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C1" w:rsidRDefault="00BB3461" w:rsidP="00BB3461">
      <w:pPr>
        <w:jc w:val="center"/>
        <w:rPr>
          <w:rFonts w:ascii="Times New Roman" w:hAnsi="Times New Roman" w:cs="Times New Roman"/>
          <w:b/>
          <w:sz w:val="24"/>
          <w:szCs w:val="24"/>
        </w:rPr>
      </w:pPr>
      <w:r w:rsidRPr="00BB3461">
        <w:rPr>
          <w:rFonts w:ascii="Times New Roman" w:hAnsi="Times New Roman" w:cs="Times New Roman"/>
          <w:b/>
          <w:sz w:val="24"/>
          <w:szCs w:val="24"/>
        </w:rPr>
        <w:t>GREEN CONSUMPTION AMONG INDIAN CONSUMERS</w:t>
      </w:r>
    </w:p>
    <w:p w:rsidR="006F67C1" w:rsidRDefault="00DA4556" w:rsidP="00DA4556">
      <w:pPr>
        <w:spacing w:after="0"/>
        <w:jc w:val="center"/>
        <w:rPr>
          <w:rFonts w:ascii="Times New Roman" w:hAnsi="Times New Roman" w:cs="Times New Roman"/>
          <w:sz w:val="24"/>
          <w:szCs w:val="24"/>
        </w:rPr>
      </w:pPr>
      <w:r>
        <w:rPr>
          <w:rFonts w:ascii="Times New Roman" w:hAnsi="Times New Roman" w:cs="Times New Roman"/>
          <w:sz w:val="24"/>
          <w:szCs w:val="24"/>
        </w:rPr>
        <w:t>Dr. Vishal Gupta</w:t>
      </w:r>
    </w:p>
    <w:p w:rsidR="00DA4556" w:rsidRDefault="00DA4556" w:rsidP="00DA4556">
      <w:pPr>
        <w:spacing w:after="0"/>
        <w:jc w:val="center"/>
        <w:rPr>
          <w:rFonts w:ascii="Times New Roman" w:hAnsi="Times New Roman" w:cs="Times New Roman"/>
          <w:sz w:val="24"/>
          <w:szCs w:val="24"/>
        </w:rPr>
      </w:pPr>
      <w:r>
        <w:rPr>
          <w:rFonts w:ascii="Times New Roman" w:hAnsi="Times New Roman" w:cs="Times New Roman"/>
          <w:sz w:val="24"/>
          <w:szCs w:val="24"/>
        </w:rPr>
        <w:t>Lecturer</w:t>
      </w:r>
    </w:p>
    <w:p w:rsidR="00DA4556" w:rsidRDefault="00DA4556" w:rsidP="00DA4556">
      <w:pPr>
        <w:spacing w:after="0"/>
        <w:jc w:val="center"/>
        <w:rPr>
          <w:rFonts w:ascii="Times New Roman" w:hAnsi="Times New Roman" w:cs="Times New Roman"/>
          <w:sz w:val="24"/>
          <w:szCs w:val="24"/>
        </w:rPr>
      </w:pPr>
      <w:r>
        <w:rPr>
          <w:rFonts w:ascii="Times New Roman" w:hAnsi="Times New Roman" w:cs="Times New Roman"/>
          <w:sz w:val="24"/>
          <w:szCs w:val="24"/>
        </w:rPr>
        <w:t>Department of Commerce,</w:t>
      </w:r>
    </w:p>
    <w:p w:rsidR="00DA4556" w:rsidRDefault="00DA4556" w:rsidP="00DA4556">
      <w:pPr>
        <w:spacing w:after="0"/>
        <w:jc w:val="center"/>
        <w:rPr>
          <w:rFonts w:ascii="Times New Roman" w:hAnsi="Times New Roman" w:cs="Times New Roman"/>
          <w:sz w:val="24"/>
          <w:szCs w:val="24"/>
        </w:rPr>
      </w:pPr>
      <w:r>
        <w:rPr>
          <w:rFonts w:ascii="Times New Roman" w:hAnsi="Times New Roman" w:cs="Times New Roman"/>
          <w:sz w:val="24"/>
          <w:szCs w:val="24"/>
        </w:rPr>
        <w:t>University of Jammu</w:t>
      </w:r>
    </w:p>
    <w:p w:rsidR="00DA4556" w:rsidRDefault="007C1783" w:rsidP="00DA4556">
      <w:pPr>
        <w:spacing w:after="0"/>
        <w:jc w:val="center"/>
        <w:rPr>
          <w:rFonts w:ascii="Times New Roman" w:hAnsi="Times New Roman" w:cs="Times New Roman"/>
          <w:sz w:val="24"/>
          <w:szCs w:val="24"/>
        </w:rPr>
      </w:pPr>
      <w:hyperlink r:id="rId5" w:history="1">
        <w:r w:rsidRPr="00484EE5">
          <w:rPr>
            <w:rStyle w:val="Hyperlink"/>
            <w:rFonts w:ascii="Times New Roman" w:hAnsi="Times New Roman" w:cs="Times New Roman"/>
            <w:sz w:val="24"/>
            <w:szCs w:val="24"/>
          </w:rPr>
          <w:t>Vishalm.com85@gmail.com</w:t>
        </w:r>
      </w:hyperlink>
    </w:p>
    <w:p w:rsidR="007C1783" w:rsidRDefault="007C1783" w:rsidP="00DA4556">
      <w:pPr>
        <w:spacing w:after="0"/>
        <w:jc w:val="center"/>
        <w:rPr>
          <w:rFonts w:ascii="Times New Roman" w:hAnsi="Times New Roman" w:cs="Times New Roman"/>
          <w:sz w:val="24"/>
          <w:szCs w:val="24"/>
        </w:rPr>
      </w:pPr>
    </w:p>
    <w:p w:rsidR="006F67C1" w:rsidRDefault="006F67C1" w:rsidP="00DA4556">
      <w:pPr>
        <w:spacing w:after="0"/>
        <w:rPr>
          <w:rFonts w:ascii="Times New Roman" w:hAnsi="Times New Roman" w:cs="Times New Roman"/>
          <w:sz w:val="24"/>
          <w:szCs w:val="24"/>
        </w:rPr>
      </w:pPr>
    </w:p>
    <w:p w:rsidR="006F67C1" w:rsidRDefault="00641492" w:rsidP="006F67C1">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1783">
        <w:rPr>
          <w:rFonts w:ascii="Times New Roman" w:hAnsi="Times New Roman" w:cs="Times New Roman"/>
          <w:b/>
          <w:sz w:val="24"/>
          <w:szCs w:val="24"/>
        </w:rPr>
        <w:t xml:space="preserve"> </w:t>
      </w:r>
      <w:r w:rsidR="006F67C1" w:rsidRPr="004866D3">
        <w:rPr>
          <w:rFonts w:ascii="Times New Roman" w:hAnsi="Times New Roman" w:cs="Times New Roman"/>
          <w:b/>
          <w:sz w:val="24"/>
          <w:szCs w:val="24"/>
        </w:rPr>
        <w:t>INTRODUCTION</w:t>
      </w:r>
    </w:p>
    <w:p w:rsidR="006F67C1" w:rsidRDefault="006F67C1" w:rsidP="00DA4556">
      <w:pPr>
        <w:pStyle w:val="Default"/>
        <w:spacing w:after="200" w:line="360" w:lineRule="auto"/>
        <w:jc w:val="both"/>
        <w:rPr>
          <w:szCs w:val="23"/>
        </w:rPr>
      </w:pPr>
      <w:r w:rsidRPr="00934C6F">
        <w:rPr>
          <w:color w:val="auto"/>
        </w:rPr>
        <w:t>India has a</w:t>
      </w:r>
      <w:r>
        <w:rPr>
          <w:color w:val="auto"/>
        </w:rPr>
        <w:t xml:space="preserve">chieved a remarkable </w:t>
      </w:r>
      <w:r w:rsidRPr="00934C6F">
        <w:rPr>
          <w:color w:val="auto"/>
        </w:rPr>
        <w:t>econom</w:t>
      </w:r>
      <w:r>
        <w:rPr>
          <w:color w:val="auto"/>
        </w:rPr>
        <w:t xml:space="preserve">ic growth </w:t>
      </w:r>
      <w:r w:rsidRPr="00934C6F">
        <w:rPr>
          <w:color w:val="auto"/>
        </w:rPr>
        <w:t xml:space="preserve">since the early 1990s due to its liberalised steps such as industrial deregulation, privatisation of </w:t>
      </w:r>
      <w:r>
        <w:rPr>
          <w:color w:val="auto"/>
        </w:rPr>
        <w:t>public</w:t>
      </w:r>
      <w:r w:rsidRPr="00934C6F">
        <w:rPr>
          <w:color w:val="auto"/>
        </w:rPr>
        <w:t xml:space="preserve"> enterprises and condensed</w:t>
      </w:r>
      <w:r>
        <w:rPr>
          <w:color w:val="auto"/>
        </w:rPr>
        <w:t xml:space="preserve"> controls on foreign trade &amp;</w:t>
      </w:r>
      <w:r w:rsidRPr="00934C6F">
        <w:rPr>
          <w:color w:val="auto"/>
        </w:rPr>
        <w:t xml:space="preserve"> investment. Since 1991</w:t>
      </w:r>
      <w:r>
        <w:rPr>
          <w:color w:val="auto"/>
        </w:rPr>
        <w:t>,</w:t>
      </w:r>
      <w:r w:rsidRPr="00934C6F">
        <w:rPr>
          <w:color w:val="auto"/>
        </w:rPr>
        <w:t xml:space="preserve"> </w:t>
      </w:r>
      <w:r>
        <w:rPr>
          <w:color w:val="auto"/>
        </w:rPr>
        <w:t xml:space="preserve">India ranked among </w:t>
      </w:r>
      <w:r w:rsidRPr="00934C6F">
        <w:rPr>
          <w:color w:val="auto"/>
        </w:rPr>
        <w:t>the top 10</w:t>
      </w:r>
      <w:r>
        <w:rPr>
          <w:color w:val="auto"/>
        </w:rPr>
        <w:t xml:space="preserve"> fast growing economies of the world but also outpaced China in terms of population </w:t>
      </w:r>
      <w:r w:rsidRPr="00934C6F">
        <w:rPr>
          <w:color w:val="auto"/>
        </w:rPr>
        <w:t>(United Nations </w:t>
      </w:r>
      <w:hyperlink r:id="rId6" w:history="1">
        <w:r w:rsidRPr="00934C6F">
          <w:rPr>
            <w:rStyle w:val="Hyperlink"/>
            <w:color w:val="auto"/>
          </w:rPr>
          <w:t>report</w:t>
        </w:r>
      </w:hyperlink>
      <w:r>
        <w:rPr>
          <w:color w:val="auto"/>
        </w:rPr>
        <w:t>, 2016</w:t>
      </w:r>
      <w:r w:rsidRPr="00934C6F">
        <w:rPr>
          <w:color w:val="auto"/>
        </w:rPr>
        <w:t>). This rapid population explosion and economic development has resulted in</w:t>
      </w:r>
      <w:r>
        <w:rPr>
          <w:color w:val="auto"/>
        </w:rPr>
        <w:t xml:space="preserve"> the</w:t>
      </w:r>
      <w:r w:rsidRPr="00934C6F">
        <w:rPr>
          <w:color w:val="auto"/>
        </w:rPr>
        <w:t xml:space="preserve"> growth of industrial production and manufacturing</w:t>
      </w:r>
      <w:r>
        <w:rPr>
          <w:color w:val="auto"/>
        </w:rPr>
        <w:t xml:space="preserve"> causing </w:t>
      </w:r>
      <w:r w:rsidRPr="00934C6F">
        <w:rPr>
          <w:color w:val="auto"/>
        </w:rPr>
        <w:t>serious weight on environment especially through exhaustive</w:t>
      </w:r>
      <w:r>
        <w:rPr>
          <w:color w:val="auto"/>
        </w:rPr>
        <w:t xml:space="preserve"> resource and energy usage</w:t>
      </w:r>
      <w:r w:rsidRPr="00934C6F">
        <w:rPr>
          <w:color w:val="auto"/>
        </w:rPr>
        <w:t>, as is apparent in natural resource d</w:t>
      </w:r>
      <w:r>
        <w:rPr>
          <w:color w:val="auto"/>
        </w:rPr>
        <w:t>epletion (fossil fuel, minerals</w:t>
      </w:r>
      <w:r w:rsidRPr="00934C6F">
        <w:rPr>
          <w:color w:val="auto"/>
        </w:rPr>
        <w:t xml:space="preserve"> and timber), water, air and land pollution, health hazards and degradation of natural eco-systems</w:t>
      </w:r>
      <w:r>
        <w:t xml:space="preserve"> (Green Purchasing Network of India Report, 2014)</w:t>
      </w:r>
      <w:r w:rsidRPr="00934C6F">
        <w:rPr>
          <w:color w:val="auto"/>
        </w:rPr>
        <w:t>.</w:t>
      </w:r>
      <w:r>
        <w:t xml:space="preserve"> This alarming environmental degradation has made</w:t>
      </w:r>
      <w:r w:rsidRPr="00934C6F">
        <w:rPr>
          <w:color w:val="auto"/>
        </w:rPr>
        <w:t xml:space="preserve"> </w:t>
      </w:r>
      <w:r>
        <w:t xml:space="preserve">Indian consumers </w:t>
      </w:r>
      <w:r w:rsidRPr="00934C6F">
        <w:rPr>
          <w:color w:val="auto"/>
        </w:rPr>
        <w:t>increasingly conscious of the benefits of environmentally frie</w:t>
      </w:r>
      <w:r>
        <w:t>ndly and sustainable products. A</w:t>
      </w:r>
      <w:r w:rsidRPr="00934C6F">
        <w:rPr>
          <w:color w:val="auto"/>
        </w:rPr>
        <w:t xml:space="preserve">ccording to Nielsen’s </w:t>
      </w:r>
      <w:r>
        <w:rPr>
          <w:color w:val="auto"/>
        </w:rPr>
        <w:t>(</w:t>
      </w:r>
      <w:r w:rsidRPr="00934C6F">
        <w:rPr>
          <w:color w:val="auto"/>
        </w:rPr>
        <w:t>2011</w:t>
      </w:r>
      <w:r>
        <w:rPr>
          <w:color w:val="auto"/>
        </w:rPr>
        <w:t>)</w:t>
      </w:r>
      <w:r w:rsidRPr="00934C6F">
        <w:rPr>
          <w:color w:val="auto"/>
        </w:rPr>
        <w:t xml:space="preserve"> Global Online Environment &amp; Sustainabil</w:t>
      </w:r>
      <w:r>
        <w:t>ity Survey of more than 25,000 i</w:t>
      </w:r>
      <w:r w:rsidRPr="00934C6F">
        <w:rPr>
          <w:color w:val="auto"/>
        </w:rPr>
        <w:t>nterne</w:t>
      </w:r>
      <w:r>
        <w:t xml:space="preserve">t respondents in 51 countries, </w:t>
      </w:r>
      <w:r w:rsidRPr="00934C6F">
        <w:rPr>
          <w:color w:val="auto"/>
        </w:rPr>
        <w:t xml:space="preserve">86 percent of Indian consumers </w:t>
      </w:r>
      <w:r>
        <w:t>believed that chemical free &amp; natural ingredients products,</w:t>
      </w:r>
      <w:r w:rsidRPr="00934C6F">
        <w:rPr>
          <w:color w:val="auto"/>
        </w:rPr>
        <w:t xml:space="preserve"> energy ef</w:t>
      </w:r>
      <w:r>
        <w:rPr>
          <w:color w:val="auto"/>
        </w:rPr>
        <w:t>ficient products and appliances</w:t>
      </w:r>
      <w:r w:rsidRPr="00934C6F">
        <w:rPr>
          <w:color w:val="auto"/>
        </w:rPr>
        <w:t xml:space="preserve"> </w:t>
      </w:r>
      <w:r>
        <w:t xml:space="preserve">and recyclable packaging products </w:t>
      </w:r>
      <w:r w:rsidRPr="00934C6F">
        <w:rPr>
          <w:color w:val="auto"/>
        </w:rPr>
        <w:t>have a positive impact on the environment.</w:t>
      </w:r>
      <w:r>
        <w:t xml:space="preserve"> </w:t>
      </w:r>
      <w:r w:rsidRPr="0016693F">
        <w:rPr>
          <w:szCs w:val="23"/>
        </w:rPr>
        <w:t xml:space="preserve">In view of this, the present chapter highlights a brief overview of </w:t>
      </w:r>
      <w:r>
        <w:rPr>
          <w:szCs w:val="23"/>
        </w:rPr>
        <w:t xml:space="preserve">consumption of green products at global </w:t>
      </w:r>
      <w:r w:rsidRPr="0016693F">
        <w:rPr>
          <w:szCs w:val="23"/>
        </w:rPr>
        <w:t>and Indian scenario</w:t>
      </w:r>
      <w:r>
        <w:rPr>
          <w:szCs w:val="23"/>
        </w:rPr>
        <w:t>. Moreover, a concise profile of respondents</w:t>
      </w:r>
      <w:r w:rsidRPr="0016693F">
        <w:rPr>
          <w:szCs w:val="23"/>
        </w:rPr>
        <w:t xml:space="preserve"> </w:t>
      </w:r>
      <w:r>
        <w:rPr>
          <w:szCs w:val="23"/>
        </w:rPr>
        <w:t xml:space="preserve">and their green consumption patterns &amp; usage are </w:t>
      </w:r>
      <w:r w:rsidRPr="0016693F">
        <w:rPr>
          <w:szCs w:val="23"/>
        </w:rPr>
        <w:t>also presented.</w:t>
      </w:r>
    </w:p>
    <w:p w:rsidR="006F67C1" w:rsidRDefault="006F67C1" w:rsidP="006F67C1">
      <w:pPr>
        <w:pStyle w:val="Default"/>
        <w:spacing w:after="200" w:line="360" w:lineRule="auto"/>
        <w:ind w:firstLine="720"/>
        <w:jc w:val="both"/>
        <w:rPr>
          <w:szCs w:val="23"/>
        </w:rPr>
      </w:pPr>
    </w:p>
    <w:p w:rsidR="00DA4556" w:rsidRDefault="007C1783" w:rsidP="00DA4556">
      <w:pPr>
        <w:tabs>
          <w:tab w:val="left" w:pos="265"/>
        </w:tabs>
        <w:rPr>
          <w:rFonts w:ascii="Times New Roman" w:hAnsi="Times New Roman" w:cs="Times New Roman"/>
          <w:b/>
          <w:sz w:val="24"/>
        </w:rPr>
      </w:pPr>
      <w:r>
        <w:rPr>
          <w:rFonts w:ascii="Times New Roman" w:hAnsi="Times New Roman" w:cs="Times New Roman"/>
          <w:b/>
          <w:sz w:val="24"/>
        </w:rPr>
        <w:t>2</w:t>
      </w:r>
      <w:r w:rsidR="00641492">
        <w:rPr>
          <w:rFonts w:ascii="Times New Roman" w:hAnsi="Times New Roman" w:cs="Times New Roman"/>
          <w:b/>
          <w:sz w:val="24"/>
        </w:rPr>
        <w:t xml:space="preserve">.  </w:t>
      </w:r>
      <w:r w:rsidR="00DA4556">
        <w:rPr>
          <w:rFonts w:ascii="Times New Roman" w:hAnsi="Times New Roman" w:cs="Times New Roman"/>
          <w:b/>
          <w:sz w:val="24"/>
        </w:rPr>
        <w:t>PROFILE OF THE SAMPLE RESPONDENTS</w:t>
      </w:r>
    </w:p>
    <w:p w:rsidR="00DA4556" w:rsidRPr="00D10939" w:rsidRDefault="00DA4556" w:rsidP="00DA4556">
      <w:pPr>
        <w:tabs>
          <w:tab w:val="left" w:pos="265"/>
        </w:tab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60C7B">
        <w:rPr>
          <w:rFonts w:ascii="Times New Roman" w:hAnsi="Times New Roman" w:cs="Times New Roman"/>
          <w:sz w:val="24"/>
          <w:szCs w:val="24"/>
        </w:rPr>
        <w:t>In the present study, primary data h</w:t>
      </w:r>
      <w:r>
        <w:rPr>
          <w:rFonts w:ascii="Times New Roman" w:hAnsi="Times New Roman" w:cs="Times New Roman"/>
          <w:sz w:val="24"/>
          <w:szCs w:val="24"/>
        </w:rPr>
        <w:t xml:space="preserve">ave </w:t>
      </w:r>
      <w:r w:rsidRPr="00260C7B">
        <w:rPr>
          <w:rFonts w:ascii="Times New Roman" w:hAnsi="Times New Roman" w:cs="Times New Roman"/>
          <w:sz w:val="24"/>
          <w:szCs w:val="24"/>
        </w:rPr>
        <w:t xml:space="preserve">been collected through questionnaire from </w:t>
      </w:r>
      <w:r>
        <w:rPr>
          <w:rFonts w:ascii="Times New Roman" w:hAnsi="Times New Roman" w:cs="Times New Roman"/>
          <w:sz w:val="24"/>
          <w:szCs w:val="24"/>
        </w:rPr>
        <w:t>students enrolled in post graduate courses at University of Jammu</w:t>
      </w:r>
      <w:r w:rsidRPr="00260C7B">
        <w:rPr>
          <w:rFonts w:ascii="Times New Roman" w:hAnsi="Times New Roman" w:cs="Times New Roman"/>
          <w:sz w:val="24"/>
          <w:szCs w:val="24"/>
        </w:rPr>
        <w:t xml:space="preserve">, </w:t>
      </w:r>
      <w:r>
        <w:rPr>
          <w:rFonts w:ascii="Times New Roman" w:hAnsi="Times New Roman" w:cs="Times New Roman"/>
          <w:sz w:val="24"/>
          <w:szCs w:val="24"/>
        </w:rPr>
        <w:t xml:space="preserve">Guru Nanak Dev University </w:t>
      </w:r>
      <w:r>
        <w:rPr>
          <w:rFonts w:ascii="Times New Roman" w:hAnsi="Times New Roman" w:cs="Times New Roman"/>
          <w:sz w:val="24"/>
          <w:szCs w:val="24"/>
        </w:rPr>
        <w:lastRenderedPageBreak/>
        <w:t xml:space="preserve">and Himachal Pradesh University. </w:t>
      </w:r>
      <w:r w:rsidRPr="00955CC2">
        <w:rPr>
          <w:rFonts w:ascii="Times New Roman" w:hAnsi="Times New Roman" w:cs="Times New Roman"/>
          <w:sz w:val="24"/>
          <w:szCs w:val="24"/>
        </w:rPr>
        <w:t>T</w:t>
      </w:r>
      <w:r w:rsidR="007C1783">
        <w:rPr>
          <w:rFonts w:ascii="Times New Roman" w:hAnsi="Times New Roman" w:cs="Times New Roman"/>
          <w:sz w:val="24"/>
          <w:szCs w:val="24"/>
        </w:rPr>
        <w:t>able 1</w:t>
      </w:r>
      <w:r w:rsidRPr="00955CC2">
        <w:rPr>
          <w:rFonts w:ascii="Times New Roman" w:hAnsi="Times New Roman" w:cs="Times New Roman"/>
          <w:sz w:val="24"/>
          <w:szCs w:val="24"/>
        </w:rPr>
        <w:t xml:space="preserve"> presents a brief profile of the respondents with respect to gender, department, annual family income and region.</w:t>
      </w:r>
      <w:r w:rsidRPr="00260C7B">
        <w:rPr>
          <w:rFonts w:ascii="Times New Roman" w:hAnsi="Times New Roman" w:cs="Times New Roman"/>
          <w:sz w:val="24"/>
          <w:szCs w:val="24"/>
        </w:rPr>
        <w:t xml:space="preserve"> </w:t>
      </w:r>
    </w:p>
    <w:p w:rsidR="00DA4556" w:rsidRPr="00A54E98" w:rsidRDefault="007C1783" w:rsidP="00DA4556">
      <w:pPr>
        <w:tabs>
          <w:tab w:val="left" w:pos="26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1</w:t>
      </w:r>
      <w:r w:rsidR="00DA4556">
        <w:rPr>
          <w:rFonts w:ascii="Times New Roman" w:hAnsi="Times New Roman" w:cs="Times New Roman"/>
          <w:b/>
          <w:sz w:val="24"/>
          <w:szCs w:val="24"/>
        </w:rPr>
        <w:t>:</w:t>
      </w:r>
      <w:r w:rsidR="00DA4556">
        <w:rPr>
          <w:rFonts w:ascii="Times New Roman" w:hAnsi="Times New Roman" w:cs="Times New Roman"/>
          <w:b/>
          <w:bCs/>
          <w:sz w:val="24"/>
          <w:szCs w:val="24"/>
        </w:rPr>
        <w:t xml:space="preserve"> P</w:t>
      </w:r>
      <w:r w:rsidR="00DA4556" w:rsidRPr="00A54E98">
        <w:rPr>
          <w:rFonts w:ascii="Times New Roman" w:hAnsi="Times New Roman" w:cs="Times New Roman"/>
          <w:b/>
          <w:bCs/>
          <w:sz w:val="24"/>
          <w:szCs w:val="24"/>
        </w:rPr>
        <w:t>rofile of the respondents*</w:t>
      </w:r>
    </w:p>
    <w:tbl>
      <w:tblPr>
        <w:tblStyle w:val="TableGrid"/>
        <w:tblW w:w="9018" w:type="dxa"/>
        <w:tblLayout w:type="fixed"/>
        <w:tblLook w:val="04A0"/>
      </w:tblPr>
      <w:tblGrid>
        <w:gridCol w:w="828"/>
        <w:gridCol w:w="1350"/>
        <w:gridCol w:w="4082"/>
        <w:gridCol w:w="1408"/>
        <w:gridCol w:w="1350"/>
      </w:tblGrid>
      <w:tr w:rsidR="00DA4556" w:rsidTr="006B528B">
        <w:tc>
          <w:tcPr>
            <w:tcW w:w="828" w:type="dxa"/>
          </w:tcPr>
          <w:p w:rsidR="00DA4556" w:rsidRPr="00A54E98" w:rsidRDefault="00DA4556" w:rsidP="006B528B">
            <w:pPr>
              <w:tabs>
                <w:tab w:val="left" w:pos="265"/>
              </w:tabs>
              <w:jc w:val="center"/>
              <w:rPr>
                <w:rFonts w:ascii="Times New Roman" w:hAnsi="Times New Roman" w:cs="Times New Roman"/>
                <w:b/>
                <w:bCs/>
                <w:sz w:val="24"/>
                <w:szCs w:val="24"/>
              </w:rPr>
            </w:pPr>
            <w:r>
              <w:rPr>
                <w:rFonts w:ascii="Times New Roman" w:hAnsi="Times New Roman" w:cs="Times New Roman"/>
                <w:b/>
                <w:bCs/>
                <w:sz w:val="24"/>
                <w:szCs w:val="24"/>
              </w:rPr>
              <w:t>S.No.</w:t>
            </w:r>
          </w:p>
        </w:tc>
        <w:tc>
          <w:tcPr>
            <w:tcW w:w="1350" w:type="dxa"/>
          </w:tcPr>
          <w:p w:rsidR="00DA4556" w:rsidRPr="00A54E98" w:rsidRDefault="00DA4556" w:rsidP="006B528B">
            <w:pPr>
              <w:tabs>
                <w:tab w:val="left" w:pos="265"/>
              </w:tabs>
              <w:jc w:val="center"/>
              <w:rPr>
                <w:rFonts w:ascii="Times New Roman" w:hAnsi="Times New Roman" w:cs="Times New Roman"/>
                <w:b/>
                <w:sz w:val="24"/>
                <w:szCs w:val="24"/>
              </w:rPr>
            </w:pPr>
            <w:r w:rsidRPr="00A54E98">
              <w:rPr>
                <w:rFonts w:ascii="Times New Roman" w:hAnsi="Times New Roman" w:cs="Times New Roman"/>
                <w:b/>
                <w:bCs/>
                <w:sz w:val="24"/>
                <w:szCs w:val="24"/>
              </w:rPr>
              <w:t>Variables</w:t>
            </w:r>
          </w:p>
        </w:tc>
        <w:tc>
          <w:tcPr>
            <w:tcW w:w="4082" w:type="dxa"/>
          </w:tcPr>
          <w:p w:rsidR="00DA4556" w:rsidRPr="00A54E98" w:rsidRDefault="00DA4556" w:rsidP="006B528B">
            <w:pPr>
              <w:tabs>
                <w:tab w:val="left" w:pos="265"/>
              </w:tabs>
              <w:jc w:val="center"/>
              <w:rPr>
                <w:rFonts w:ascii="Times New Roman" w:hAnsi="Times New Roman" w:cs="Times New Roman"/>
                <w:b/>
                <w:sz w:val="24"/>
                <w:szCs w:val="24"/>
              </w:rPr>
            </w:pPr>
            <w:r w:rsidRPr="00A54E98">
              <w:rPr>
                <w:rFonts w:ascii="Times New Roman" w:hAnsi="Times New Roman" w:cs="Times New Roman"/>
                <w:b/>
                <w:bCs/>
                <w:sz w:val="24"/>
                <w:szCs w:val="24"/>
              </w:rPr>
              <w:t>Classification</w:t>
            </w:r>
          </w:p>
        </w:tc>
        <w:tc>
          <w:tcPr>
            <w:tcW w:w="1408" w:type="dxa"/>
          </w:tcPr>
          <w:p w:rsidR="00DA4556" w:rsidRPr="00A54E98" w:rsidRDefault="00DA4556" w:rsidP="006B528B">
            <w:pPr>
              <w:tabs>
                <w:tab w:val="left" w:pos="265"/>
              </w:tabs>
              <w:jc w:val="center"/>
              <w:rPr>
                <w:rFonts w:ascii="Times New Roman" w:hAnsi="Times New Roman" w:cs="Times New Roman"/>
                <w:b/>
                <w:sz w:val="24"/>
                <w:szCs w:val="24"/>
              </w:rPr>
            </w:pPr>
            <w:r w:rsidRPr="00A54E98">
              <w:rPr>
                <w:rFonts w:ascii="Times New Roman" w:hAnsi="Times New Roman" w:cs="Times New Roman"/>
                <w:b/>
                <w:bCs/>
                <w:sz w:val="24"/>
                <w:szCs w:val="24"/>
              </w:rPr>
              <w:t>Frequency</w:t>
            </w:r>
          </w:p>
        </w:tc>
        <w:tc>
          <w:tcPr>
            <w:tcW w:w="1350" w:type="dxa"/>
          </w:tcPr>
          <w:p w:rsidR="00DA4556" w:rsidRPr="00A54E98" w:rsidRDefault="00DA4556" w:rsidP="006B528B">
            <w:pPr>
              <w:tabs>
                <w:tab w:val="left" w:pos="265"/>
              </w:tabs>
              <w:jc w:val="center"/>
              <w:rPr>
                <w:rFonts w:ascii="Times New Roman" w:hAnsi="Times New Roman" w:cs="Times New Roman"/>
                <w:b/>
                <w:bCs/>
                <w:sz w:val="24"/>
                <w:szCs w:val="24"/>
              </w:rPr>
            </w:pPr>
            <w:r>
              <w:rPr>
                <w:rFonts w:ascii="Times New Roman" w:hAnsi="Times New Roman" w:cs="Times New Roman"/>
                <w:b/>
                <w:bCs/>
                <w:sz w:val="24"/>
                <w:szCs w:val="24"/>
              </w:rPr>
              <w:t>Percentage</w:t>
            </w:r>
          </w:p>
        </w:tc>
      </w:tr>
      <w:tr w:rsidR="00DA4556" w:rsidTr="006B528B">
        <w:tc>
          <w:tcPr>
            <w:tcW w:w="828" w:type="dxa"/>
            <w:vMerge w:val="restart"/>
            <w:vAlign w:val="center"/>
          </w:tcPr>
          <w:p w:rsidR="00DA4556" w:rsidRPr="00A54E98" w:rsidRDefault="00DA4556" w:rsidP="006B528B">
            <w:pPr>
              <w:tabs>
                <w:tab w:val="left" w:pos="265"/>
              </w:tabs>
              <w:jc w:val="center"/>
              <w:rPr>
                <w:rFonts w:ascii="Times New Roman" w:hAnsi="Times New Roman" w:cs="Times New Roman"/>
                <w:sz w:val="24"/>
              </w:rPr>
            </w:pPr>
            <w:r w:rsidRPr="00A54E98">
              <w:rPr>
                <w:rFonts w:ascii="Times New Roman" w:hAnsi="Times New Roman" w:cs="Times New Roman"/>
                <w:sz w:val="24"/>
              </w:rPr>
              <w:t>1</w:t>
            </w:r>
          </w:p>
        </w:tc>
        <w:tc>
          <w:tcPr>
            <w:tcW w:w="1350" w:type="dxa"/>
            <w:vMerge w:val="restart"/>
            <w:vAlign w:val="center"/>
          </w:tcPr>
          <w:p w:rsidR="00DA4556" w:rsidRPr="00C55473"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State</w:t>
            </w:r>
          </w:p>
        </w:tc>
        <w:tc>
          <w:tcPr>
            <w:tcW w:w="4082" w:type="dxa"/>
          </w:tcPr>
          <w:p w:rsidR="00DA4556" w:rsidRPr="00A54E98" w:rsidRDefault="00DA4556" w:rsidP="006B528B">
            <w:pPr>
              <w:tabs>
                <w:tab w:val="left" w:pos="265"/>
              </w:tabs>
              <w:jc w:val="center"/>
              <w:rPr>
                <w:rFonts w:ascii="Times New Roman" w:hAnsi="Times New Roman" w:cs="Times New Roman"/>
                <w:sz w:val="24"/>
              </w:rPr>
            </w:pPr>
            <w:r w:rsidRPr="00A54E98">
              <w:rPr>
                <w:rFonts w:ascii="Times New Roman" w:hAnsi="Times New Roman" w:cs="Times New Roman"/>
                <w:sz w:val="24"/>
              </w:rPr>
              <w:t>University of Jammu</w:t>
            </w:r>
            <w:r>
              <w:rPr>
                <w:rFonts w:ascii="Times New Roman" w:hAnsi="Times New Roman" w:cs="Times New Roman"/>
                <w:sz w:val="24"/>
              </w:rPr>
              <w:t>, Jammu, J&amp;K</w:t>
            </w:r>
          </w:p>
        </w:tc>
        <w:tc>
          <w:tcPr>
            <w:tcW w:w="1408" w:type="dxa"/>
          </w:tcPr>
          <w:p w:rsidR="00DA4556" w:rsidRPr="00C55473"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298</w:t>
            </w:r>
          </w:p>
        </w:tc>
        <w:tc>
          <w:tcPr>
            <w:tcW w:w="1350" w:type="dxa"/>
          </w:tcPr>
          <w:p w:rsidR="00DA4556"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35</w:t>
            </w:r>
          </w:p>
        </w:tc>
      </w:tr>
      <w:tr w:rsidR="00DA4556" w:rsidTr="006B528B">
        <w:tc>
          <w:tcPr>
            <w:tcW w:w="828" w:type="dxa"/>
            <w:vMerge/>
            <w:vAlign w:val="center"/>
          </w:tcPr>
          <w:p w:rsidR="00DA4556" w:rsidRDefault="00DA4556" w:rsidP="006B528B">
            <w:pPr>
              <w:tabs>
                <w:tab w:val="left" w:pos="265"/>
              </w:tabs>
              <w:jc w:val="center"/>
              <w:rPr>
                <w:rFonts w:ascii="Times New Roman" w:hAnsi="Times New Roman" w:cs="Times New Roman"/>
                <w:b/>
                <w:sz w:val="24"/>
              </w:rPr>
            </w:pPr>
          </w:p>
        </w:tc>
        <w:tc>
          <w:tcPr>
            <w:tcW w:w="1350" w:type="dxa"/>
            <w:vMerge/>
            <w:vAlign w:val="center"/>
          </w:tcPr>
          <w:p w:rsidR="00DA4556" w:rsidRDefault="00DA4556" w:rsidP="006B528B">
            <w:pPr>
              <w:tabs>
                <w:tab w:val="left" w:pos="265"/>
              </w:tabs>
              <w:jc w:val="center"/>
              <w:rPr>
                <w:rFonts w:ascii="Times New Roman" w:hAnsi="Times New Roman" w:cs="Times New Roman"/>
                <w:b/>
                <w:sz w:val="24"/>
              </w:rPr>
            </w:pPr>
          </w:p>
        </w:tc>
        <w:tc>
          <w:tcPr>
            <w:tcW w:w="4082" w:type="dxa"/>
          </w:tcPr>
          <w:p w:rsidR="00DA4556" w:rsidRPr="00A54E98" w:rsidRDefault="00DA4556" w:rsidP="006B528B">
            <w:pPr>
              <w:tabs>
                <w:tab w:val="left" w:pos="265"/>
              </w:tabs>
              <w:jc w:val="center"/>
              <w:rPr>
                <w:rFonts w:ascii="Times New Roman" w:hAnsi="Times New Roman" w:cs="Times New Roman"/>
                <w:sz w:val="24"/>
              </w:rPr>
            </w:pPr>
            <w:r w:rsidRPr="00A54E98">
              <w:rPr>
                <w:rFonts w:ascii="Times New Roman" w:hAnsi="Times New Roman" w:cs="Times New Roman"/>
                <w:sz w:val="24"/>
              </w:rPr>
              <w:t>Guru Nanak Dev University, Amritsar, Punjab</w:t>
            </w:r>
          </w:p>
        </w:tc>
        <w:tc>
          <w:tcPr>
            <w:tcW w:w="1408" w:type="dxa"/>
          </w:tcPr>
          <w:p w:rsidR="00DA4556" w:rsidRPr="00C55473" w:rsidRDefault="00DA4556" w:rsidP="006B528B">
            <w:pPr>
              <w:tabs>
                <w:tab w:val="left" w:pos="265"/>
              </w:tabs>
              <w:jc w:val="center"/>
              <w:rPr>
                <w:rFonts w:ascii="Times New Roman" w:hAnsi="Times New Roman" w:cs="Times New Roman"/>
                <w:sz w:val="24"/>
              </w:rPr>
            </w:pPr>
            <w:r w:rsidRPr="00C55473">
              <w:rPr>
                <w:rFonts w:ascii="Times New Roman" w:hAnsi="Times New Roman" w:cs="Times New Roman"/>
                <w:sz w:val="24"/>
              </w:rPr>
              <w:t>2</w:t>
            </w:r>
            <w:r>
              <w:rPr>
                <w:rFonts w:ascii="Times New Roman" w:hAnsi="Times New Roman" w:cs="Times New Roman"/>
                <w:sz w:val="24"/>
              </w:rPr>
              <w:t>96</w:t>
            </w:r>
          </w:p>
        </w:tc>
        <w:tc>
          <w:tcPr>
            <w:tcW w:w="1350" w:type="dxa"/>
          </w:tcPr>
          <w:p w:rsidR="00DA4556" w:rsidRPr="00C55473"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34</w:t>
            </w:r>
          </w:p>
        </w:tc>
      </w:tr>
      <w:tr w:rsidR="00DA4556" w:rsidTr="006B528B">
        <w:tc>
          <w:tcPr>
            <w:tcW w:w="828" w:type="dxa"/>
            <w:vMerge/>
            <w:vAlign w:val="center"/>
          </w:tcPr>
          <w:p w:rsidR="00DA4556" w:rsidRDefault="00DA4556" w:rsidP="006B528B">
            <w:pPr>
              <w:tabs>
                <w:tab w:val="left" w:pos="265"/>
              </w:tabs>
              <w:jc w:val="center"/>
              <w:rPr>
                <w:rFonts w:ascii="Times New Roman" w:hAnsi="Times New Roman" w:cs="Times New Roman"/>
                <w:b/>
                <w:sz w:val="24"/>
              </w:rPr>
            </w:pPr>
          </w:p>
        </w:tc>
        <w:tc>
          <w:tcPr>
            <w:tcW w:w="1350" w:type="dxa"/>
            <w:vMerge/>
            <w:vAlign w:val="center"/>
          </w:tcPr>
          <w:p w:rsidR="00DA4556" w:rsidRDefault="00DA4556" w:rsidP="006B528B">
            <w:pPr>
              <w:tabs>
                <w:tab w:val="left" w:pos="265"/>
              </w:tabs>
              <w:jc w:val="center"/>
              <w:rPr>
                <w:rFonts w:ascii="Times New Roman" w:hAnsi="Times New Roman" w:cs="Times New Roman"/>
                <w:b/>
                <w:sz w:val="24"/>
              </w:rPr>
            </w:pPr>
          </w:p>
        </w:tc>
        <w:tc>
          <w:tcPr>
            <w:tcW w:w="4082" w:type="dxa"/>
          </w:tcPr>
          <w:p w:rsidR="00DA4556" w:rsidRPr="00C55473" w:rsidRDefault="00DA4556" w:rsidP="006B528B">
            <w:pPr>
              <w:tabs>
                <w:tab w:val="left" w:pos="265"/>
              </w:tabs>
              <w:jc w:val="center"/>
              <w:rPr>
                <w:rFonts w:ascii="Times New Roman" w:hAnsi="Times New Roman" w:cs="Times New Roman"/>
                <w:sz w:val="24"/>
              </w:rPr>
            </w:pPr>
            <w:r w:rsidRPr="00C55473">
              <w:rPr>
                <w:rFonts w:ascii="Times New Roman" w:hAnsi="Times New Roman" w:cs="Times New Roman"/>
                <w:sz w:val="24"/>
              </w:rPr>
              <w:t>Himachal Pradesh University, Shimla, Himachal Pradesh</w:t>
            </w:r>
          </w:p>
        </w:tc>
        <w:tc>
          <w:tcPr>
            <w:tcW w:w="1408" w:type="dxa"/>
          </w:tcPr>
          <w:p w:rsidR="00DA4556" w:rsidRPr="00C55473" w:rsidRDefault="00DA4556" w:rsidP="006B528B">
            <w:pPr>
              <w:tabs>
                <w:tab w:val="left" w:pos="265"/>
              </w:tabs>
              <w:jc w:val="center"/>
              <w:rPr>
                <w:rFonts w:ascii="Times New Roman" w:hAnsi="Times New Roman" w:cs="Times New Roman"/>
                <w:sz w:val="24"/>
              </w:rPr>
            </w:pPr>
            <w:r w:rsidRPr="00C55473">
              <w:rPr>
                <w:rFonts w:ascii="Times New Roman" w:hAnsi="Times New Roman" w:cs="Times New Roman"/>
                <w:sz w:val="24"/>
              </w:rPr>
              <w:t>2</w:t>
            </w:r>
            <w:r>
              <w:rPr>
                <w:rFonts w:ascii="Times New Roman" w:hAnsi="Times New Roman" w:cs="Times New Roman"/>
                <w:sz w:val="24"/>
              </w:rPr>
              <w:t>70</w:t>
            </w:r>
          </w:p>
        </w:tc>
        <w:tc>
          <w:tcPr>
            <w:tcW w:w="1350" w:type="dxa"/>
          </w:tcPr>
          <w:p w:rsidR="00DA4556" w:rsidRPr="00C55473"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31</w:t>
            </w:r>
          </w:p>
        </w:tc>
      </w:tr>
      <w:tr w:rsidR="00DA4556" w:rsidTr="006B528B">
        <w:tc>
          <w:tcPr>
            <w:tcW w:w="828" w:type="dxa"/>
            <w:vMerge w:val="restart"/>
            <w:vAlign w:val="center"/>
          </w:tcPr>
          <w:p w:rsidR="00DA4556" w:rsidRPr="00972D3A" w:rsidRDefault="00DA4556" w:rsidP="006B528B">
            <w:pPr>
              <w:tabs>
                <w:tab w:val="left" w:pos="265"/>
              </w:tabs>
              <w:jc w:val="center"/>
              <w:rPr>
                <w:rFonts w:ascii="Times New Roman" w:hAnsi="Times New Roman" w:cs="Times New Roman"/>
                <w:sz w:val="24"/>
              </w:rPr>
            </w:pPr>
            <w:r w:rsidRPr="00972D3A">
              <w:rPr>
                <w:rFonts w:ascii="Times New Roman" w:hAnsi="Times New Roman" w:cs="Times New Roman"/>
                <w:sz w:val="24"/>
              </w:rPr>
              <w:t>2</w:t>
            </w:r>
          </w:p>
        </w:tc>
        <w:tc>
          <w:tcPr>
            <w:tcW w:w="1350" w:type="dxa"/>
            <w:vMerge w:val="restart"/>
            <w:vAlign w:val="center"/>
          </w:tcPr>
          <w:p w:rsidR="00DA4556" w:rsidRPr="00291B21" w:rsidRDefault="00DA4556" w:rsidP="006B528B">
            <w:pPr>
              <w:tabs>
                <w:tab w:val="left" w:pos="265"/>
              </w:tabs>
              <w:jc w:val="center"/>
              <w:rPr>
                <w:rFonts w:ascii="Times New Roman" w:hAnsi="Times New Roman" w:cs="Times New Roman"/>
                <w:sz w:val="24"/>
              </w:rPr>
            </w:pPr>
            <w:r w:rsidRPr="00291B21">
              <w:rPr>
                <w:rFonts w:ascii="Times New Roman" w:hAnsi="Times New Roman" w:cs="Times New Roman"/>
                <w:sz w:val="24"/>
              </w:rPr>
              <w:t>Department</w:t>
            </w:r>
          </w:p>
        </w:tc>
        <w:tc>
          <w:tcPr>
            <w:tcW w:w="4082" w:type="dxa"/>
          </w:tcPr>
          <w:p w:rsidR="00DA4556" w:rsidRPr="00291B21" w:rsidRDefault="00DA4556" w:rsidP="006B528B">
            <w:pPr>
              <w:tabs>
                <w:tab w:val="left" w:pos="265"/>
              </w:tabs>
              <w:jc w:val="center"/>
              <w:rPr>
                <w:rFonts w:ascii="Times New Roman" w:hAnsi="Times New Roman" w:cs="Times New Roman"/>
                <w:sz w:val="24"/>
              </w:rPr>
            </w:pPr>
            <w:r w:rsidRPr="00291B21">
              <w:rPr>
                <w:rFonts w:ascii="Times New Roman" w:hAnsi="Times New Roman" w:cs="Times New Roman"/>
                <w:sz w:val="24"/>
              </w:rPr>
              <w:t>Social sciences</w:t>
            </w:r>
          </w:p>
        </w:tc>
        <w:tc>
          <w:tcPr>
            <w:tcW w:w="1408" w:type="dxa"/>
          </w:tcPr>
          <w:p w:rsidR="00DA4556" w:rsidRPr="00291B21" w:rsidRDefault="00DA4556" w:rsidP="006B528B">
            <w:pPr>
              <w:tabs>
                <w:tab w:val="left" w:pos="265"/>
              </w:tabs>
              <w:jc w:val="center"/>
              <w:rPr>
                <w:rFonts w:ascii="Times New Roman" w:hAnsi="Times New Roman" w:cs="Times New Roman"/>
                <w:sz w:val="24"/>
              </w:rPr>
            </w:pPr>
            <w:r w:rsidRPr="00291B21">
              <w:rPr>
                <w:rFonts w:ascii="Times New Roman" w:hAnsi="Times New Roman" w:cs="Times New Roman"/>
                <w:sz w:val="24"/>
              </w:rPr>
              <w:t>1</w:t>
            </w:r>
            <w:r>
              <w:rPr>
                <w:rFonts w:ascii="Times New Roman" w:hAnsi="Times New Roman" w:cs="Times New Roman"/>
                <w:sz w:val="24"/>
              </w:rPr>
              <w:t>76</w:t>
            </w:r>
          </w:p>
        </w:tc>
        <w:tc>
          <w:tcPr>
            <w:tcW w:w="1350" w:type="dxa"/>
          </w:tcPr>
          <w:p w:rsidR="00DA4556" w:rsidRPr="00291B21"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20</w:t>
            </w:r>
          </w:p>
        </w:tc>
      </w:tr>
      <w:tr w:rsidR="00DA4556" w:rsidTr="006B528B">
        <w:tc>
          <w:tcPr>
            <w:tcW w:w="828" w:type="dxa"/>
            <w:vMerge/>
            <w:vAlign w:val="center"/>
          </w:tcPr>
          <w:p w:rsidR="00DA4556" w:rsidRDefault="00DA4556" w:rsidP="006B528B">
            <w:pPr>
              <w:tabs>
                <w:tab w:val="left" w:pos="265"/>
              </w:tabs>
              <w:jc w:val="center"/>
              <w:rPr>
                <w:rFonts w:ascii="Times New Roman" w:hAnsi="Times New Roman" w:cs="Times New Roman"/>
                <w:b/>
                <w:sz w:val="24"/>
              </w:rPr>
            </w:pPr>
          </w:p>
        </w:tc>
        <w:tc>
          <w:tcPr>
            <w:tcW w:w="1350" w:type="dxa"/>
            <w:vMerge/>
            <w:vAlign w:val="center"/>
          </w:tcPr>
          <w:p w:rsidR="00DA4556" w:rsidRDefault="00DA4556" w:rsidP="006B528B">
            <w:pPr>
              <w:tabs>
                <w:tab w:val="left" w:pos="265"/>
              </w:tabs>
              <w:jc w:val="center"/>
              <w:rPr>
                <w:rFonts w:ascii="Times New Roman" w:hAnsi="Times New Roman" w:cs="Times New Roman"/>
                <w:b/>
                <w:sz w:val="24"/>
              </w:rPr>
            </w:pPr>
          </w:p>
        </w:tc>
        <w:tc>
          <w:tcPr>
            <w:tcW w:w="4082" w:type="dxa"/>
          </w:tcPr>
          <w:p w:rsidR="00DA4556" w:rsidRPr="00291B21" w:rsidRDefault="00DA4556" w:rsidP="006B528B">
            <w:pPr>
              <w:tabs>
                <w:tab w:val="left" w:pos="265"/>
                <w:tab w:val="center" w:pos="1933"/>
                <w:tab w:val="left" w:pos="3005"/>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91B21">
              <w:rPr>
                <w:rFonts w:ascii="Times New Roman" w:hAnsi="Times New Roman" w:cs="Times New Roman"/>
                <w:sz w:val="24"/>
              </w:rPr>
              <w:t>Languages</w:t>
            </w:r>
            <w:r>
              <w:rPr>
                <w:rFonts w:ascii="Times New Roman" w:hAnsi="Times New Roman" w:cs="Times New Roman"/>
                <w:sz w:val="24"/>
              </w:rPr>
              <w:tab/>
            </w:r>
          </w:p>
        </w:tc>
        <w:tc>
          <w:tcPr>
            <w:tcW w:w="1408" w:type="dxa"/>
          </w:tcPr>
          <w:p w:rsidR="00DA4556" w:rsidRPr="00291B21" w:rsidRDefault="00DA4556" w:rsidP="006B528B">
            <w:pPr>
              <w:tabs>
                <w:tab w:val="left" w:pos="265"/>
              </w:tabs>
              <w:jc w:val="center"/>
              <w:rPr>
                <w:rFonts w:ascii="Times New Roman" w:hAnsi="Times New Roman" w:cs="Times New Roman"/>
                <w:sz w:val="24"/>
              </w:rPr>
            </w:pPr>
            <w:r w:rsidRPr="00291B21">
              <w:rPr>
                <w:rFonts w:ascii="Times New Roman" w:hAnsi="Times New Roman" w:cs="Times New Roman"/>
                <w:sz w:val="24"/>
              </w:rPr>
              <w:t>1</w:t>
            </w:r>
            <w:r>
              <w:rPr>
                <w:rFonts w:ascii="Times New Roman" w:hAnsi="Times New Roman" w:cs="Times New Roman"/>
                <w:sz w:val="24"/>
              </w:rPr>
              <w:t>58</w:t>
            </w:r>
          </w:p>
        </w:tc>
        <w:tc>
          <w:tcPr>
            <w:tcW w:w="1350" w:type="dxa"/>
          </w:tcPr>
          <w:p w:rsidR="00DA4556" w:rsidRPr="00291B21"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18</w:t>
            </w:r>
          </w:p>
        </w:tc>
      </w:tr>
      <w:tr w:rsidR="00DA4556" w:rsidTr="006B528B">
        <w:tc>
          <w:tcPr>
            <w:tcW w:w="828" w:type="dxa"/>
            <w:vMerge/>
            <w:vAlign w:val="center"/>
          </w:tcPr>
          <w:p w:rsidR="00DA4556" w:rsidRDefault="00DA4556" w:rsidP="006B528B">
            <w:pPr>
              <w:tabs>
                <w:tab w:val="left" w:pos="265"/>
              </w:tabs>
              <w:jc w:val="center"/>
              <w:rPr>
                <w:rFonts w:ascii="Times New Roman" w:hAnsi="Times New Roman" w:cs="Times New Roman"/>
                <w:b/>
                <w:sz w:val="24"/>
              </w:rPr>
            </w:pPr>
          </w:p>
        </w:tc>
        <w:tc>
          <w:tcPr>
            <w:tcW w:w="1350" w:type="dxa"/>
            <w:vMerge/>
            <w:vAlign w:val="center"/>
          </w:tcPr>
          <w:p w:rsidR="00DA4556" w:rsidRDefault="00DA4556" w:rsidP="006B528B">
            <w:pPr>
              <w:tabs>
                <w:tab w:val="left" w:pos="265"/>
              </w:tabs>
              <w:jc w:val="center"/>
              <w:rPr>
                <w:rFonts w:ascii="Times New Roman" w:hAnsi="Times New Roman" w:cs="Times New Roman"/>
                <w:b/>
                <w:sz w:val="24"/>
              </w:rPr>
            </w:pPr>
          </w:p>
        </w:tc>
        <w:tc>
          <w:tcPr>
            <w:tcW w:w="4082" w:type="dxa"/>
          </w:tcPr>
          <w:p w:rsidR="00DA4556" w:rsidRPr="00291B21" w:rsidRDefault="00DA4556" w:rsidP="006B528B">
            <w:pPr>
              <w:tabs>
                <w:tab w:val="left" w:pos="265"/>
              </w:tabs>
              <w:jc w:val="center"/>
              <w:rPr>
                <w:rFonts w:ascii="Times New Roman" w:hAnsi="Times New Roman" w:cs="Times New Roman"/>
                <w:sz w:val="24"/>
              </w:rPr>
            </w:pPr>
            <w:r w:rsidRPr="00291B21">
              <w:rPr>
                <w:rFonts w:ascii="Times New Roman" w:hAnsi="Times New Roman" w:cs="Times New Roman"/>
                <w:sz w:val="24"/>
              </w:rPr>
              <w:t>Life sciences</w:t>
            </w:r>
          </w:p>
        </w:tc>
        <w:tc>
          <w:tcPr>
            <w:tcW w:w="1408" w:type="dxa"/>
          </w:tcPr>
          <w:p w:rsidR="00DA4556" w:rsidRPr="00291B21"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204</w:t>
            </w:r>
          </w:p>
        </w:tc>
        <w:tc>
          <w:tcPr>
            <w:tcW w:w="1350" w:type="dxa"/>
          </w:tcPr>
          <w:p w:rsidR="00DA4556"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24</w:t>
            </w:r>
          </w:p>
        </w:tc>
      </w:tr>
      <w:tr w:rsidR="00DA4556" w:rsidTr="006B528B">
        <w:tc>
          <w:tcPr>
            <w:tcW w:w="828" w:type="dxa"/>
            <w:vMerge/>
            <w:vAlign w:val="center"/>
          </w:tcPr>
          <w:p w:rsidR="00DA4556" w:rsidRDefault="00DA4556" w:rsidP="006B528B">
            <w:pPr>
              <w:tabs>
                <w:tab w:val="left" w:pos="265"/>
              </w:tabs>
              <w:jc w:val="center"/>
              <w:rPr>
                <w:rFonts w:ascii="Times New Roman" w:hAnsi="Times New Roman" w:cs="Times New Roman"/>
                <w:b/>
                <w:sz w:val="24"/>
              </w:rPr>
            </w:pPr>
          </w:p>
        </w:tc>
        <w:tc>
          <w:tcPr>
            <w:tcW w:w="1350" w:type="dxa"/>
            <w:vMerge/>
            <w:vAlign w:val="center"/>
          </w:tcPr>
          <w:p w:rsidR="00DA4556" w:rsidRDefault="00DA4556" w:rsidP="006B528B">
            <w:pPr>
              <w:tabs>
                <w:tab w:val="left" w:pos="265"/>
              </w:tabs>
              <w:jc w:val="center"/>
              <w:rPr>
                <w:rFonts w:ascii="Times New Roman" w:hAnsi="Times New Roman" w:cs="Times New Roman"/>
                <w:b/>
                <w:sz w:val="24"/>
              </w:rPr>
            </w:pPr>
          </w:p>
        </w:tc>
        <w:tc>
          <w:tcPr>
            <w:tcW w:w="4082" w:type="dxa"/>
          </w:tcPr>
          <w:p w:rsidR="00DA4556" w:rsidRPr="00291B21" w:rsidRDefault="00DA4556" w:rsidP="006B528B">
            <w:pPr>
              <w:tabs>
                <w:tab w:val="left" w:pos="265"/>
              </w:tabs>
              <w:jc w:val="center"/>
              <w:rPr>
                <w:rFonts w:ascii="Times New Roman" w:hAnsi="Times New Roman" w:cs="Times New Roman"/>
                <w:sz w:val="24"/>
              </w:rPr>
            </w:pPr>
            <w:r w:rsidRPr="00291B21">
              <w:rPr>
                <w:rFonts w:ascii="Times New Roman" w:hAnsi="Times New Roman" w:cs="Times New Roman"/>
                <w:sz w:val="24"/>
              </w:rPr>
              <w:t>Physical sciences</w:t>
            </w:r>
          </w:p>
        </w:tc>
        <w:tc>
          <w:tcPr>
            <w:tcW w:w="1408" w:type="dxa"/>
          </w:tcPr>
          <w:p w:rsidR="00DA4556" w:rsidRPr="00291B21" w:rsidRDefault="00DA4556" w:rsidP="006B528B">
            <w:pPr>
              <w:tabs>
                <w:tab w:val="left" w:pos="265"/>
              </w:tabs>
              <w:jc w:val="center"/>
              <w:rPr>
                <w:rFonts w:ascii="Times New Roman" w:hAnsi="Times New Roman" w:cs="Times New Roman"/>
                <w:sz w:val="24"/>
              </w:rPr>
            </w:pPr>
            <w:r w:rsidRPr="00291B21">
              <w:rPr>
                <w:rFonts w:ascii="Times New Roman" w:hAnsi="Times New Roman" w:cs="Times New Roman"/>
                <w:sz w:val="24"/>
              </w:rPr>
              <w:t>1</w:t>
            </w:r>
            <w:r>
              <w:rPr>
                <w:rFonts w:ascii="Times New Roman" w:hAnsi="Times New Roman" w:cs="Times New Roman"/>
                <w:sz w:val="24"/>
              </w:rPr>
              <w:t>52</w:t>
            </w:r>
          </w:p>
        </w:tc>
        <w:tc>
          <w:tcPr>
            <w:tcW w:w="1350" w:type="dxa"/>
          </w:tcPr>
          <w:p w:rsidR="00DA4556" w:rsidRPr="00291B21"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18</w:t>
            </w:r>
          </w:p>
        </w:tc>
      </w:tr>
      <w:tr w:rsidR="00DA4556" w:rsidTr="006B528B">
        <w:tc>
          <w:tcPr>
            <w:tcW w:w="828" w:type="dxa"/>
            <w:vMerge/>
            <w:vAlign w:val="center"/>
          </w:tcPr>
          <w:p w:rsidR="00DA4556" w:rsidRDefault="00DA4556" w:rsidP="006B528B">
            <w:pPr>
              <w:tabs>
                <w:tab w:val="left" w:pos="265"/>
              </w:tabs>
              <w:jc w:val="center"/>
              <w:rPr>
                <w:rFonts w:ascii="Times New Roman" w:hAnsi="Times New Roman" w:cs="Times New Roman"/>
                <w:b/>
                <w:sz w:val="24"/>
              </w:rPr>
            </w:pPr>
          </w:p>
        </w:tc>
        <w:tc>
          <w:tcPr>
            <w:tcW w:w="1350" w:type="dxa"/>
            <w:vMerge/>
            <w:vAlign w:val="center"/>
          </w:tcPr>
          <w:p w:rsidR="00DA4556" w:rsidRDefault="00DA4556" w:rsidP="006B528B">
            <w:pPr>
              <w:tabs>
                <w:tab w:val="left" w:pos="265"/>
              </w:tabs>
              <w:jc w:val="center"/>
              <w:rPr>
                <w:rFonts w:ascii="Times New Roman" w:hAnsi="Times New Roman" w:cs="Times New Roman"/>
                <w:b/>
                <w:sz w:val="24"/>
              </w:rPr>
            </w:pPr>
          </w:p>
        </w:tc>
        <w:tc>
          <w:tcPr>
            <w:tcW w:w="4082" w:type="dxa"/>
          </w:tcPr>
          <w:p w:rsidR="00DA4556" w:rsidRPr="00291B21" w:rsidRDefault="00DA4556" w:rsidP="006B528B">
            <w:pPr>
              <w:tabs>
                <w:tab w:val="left" w:pos="265"/>
              </w:tabs>
              <w:jc w:val="center"/>
              <w:rPr>
                <w:rFonts w:ascii="Times New Roman" w:hAnsi="Times New Roman" w:cs="Times New Roman"/>
                <w:sz w:val="24"/>
              </w:rPr>
            </w:pPr>
            <w:r w:rsidRPr="00291B21">
              <w:rPr>
                <w:rFonts w:ascii="Times New Roman" w:hAnsi="Times New Roman" w:cs="Times New Roman"/>
                <w:sz w:val="24"/>
              </w:rPr>
              <w:t>Information technology</w:t>
            </w:r>
          </w:p>
        </w:tc>
        <w:tc>
          <w:tcPr>
            <w:tcW w:w="1408" w:type="dxa"/>
          </w:tcPr>
          <w:p w:rsidR="00DA4556" w:rsidRPr="00291B21" w:rsidRDefault="00DA4556" w:rsidP="006B528B">
            <w:pPr>
              <w:tabs>
                <w:tab w:val="left" w:pos="265"/>
              </w:tabs>
              <w:jc w:val="center"/>
              <w:rPr>
                <w:rFonts w:ascii="Times New Roman" w:hAnsi="Times New Roman" w:cs="Times New Roman"/>
                <w:sz w:val="24"/>
              </w:rPr>
            </w:pPr>
            <w:r w:rsidRPr="00291B21">
              <w:rPr>
                <w:rFonts w:ascii="Times New Roman" w:hAnsi="Times New Roman" w:cs="Times New Roman"/>
                <w:sz w:val="24"/>
              </w:rPr>
              <w:t>17</w:t>
            </w:r>
            <w:r>
              <w:rPr>
                <w:rFonts w:ascii="Times New Roman" w:hAnsi="Times New Roman" w:cs="Times New Roman"/>
                <w:sz w:val="24"/>
              </w:rPr>
              <w:t>4</w:t>
            </w:r>
          </w:p>
        </w:tc>
        <w:tc>
          <w:tcPr>
            <w:tcW w:w="1350" w:type="dxa"/>
          </w:tcPr>
          <w:p w:rsidR="00DA4556" w:rsidRPr="00291B21"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20</w:t>
            </w:r>
          </w:p>
        </w:tc>
      </w:tr>
      <w:tr w:rsidR="00DA4556" w:rsidTr="006B528B">
        <w:tc>
          <w:tcPr>
            <w:tcW w:w="828" w:type="dxa"/>
            <w:vMerge w:val="restart"/>
            <w:vAlign w:val="center"/>
          </w:tcPr>
          <w:p w:rsidR="00DA4556" w:rsidRPr="00972D3A" w:rsidRDefault="00DA4556" w:rsidP="006B528B">
            <w:pPr>
              <w:tabs>
                <w:tab w:val="left" w:pos="265"/>
              </w:tabs>
              <w:jc w:val="center"/>
              <w:rPr>
                <w:rFonts w:ascii="Times New Roman" w:hAnsi="Times New Roman" w:cs="Times New Roman"/>
                <w:sz w:val="24"/>
              </w:rPr>
            </w:pPr>
            <w:r w:rsidRPr="00972D3A">
              <w:rPr>
                <w:rFonts w:ascii="Times New Roman" w:hAnsi="Times New Roman" w:cs="Times New Roman"/>
                <w:sz w:val="24"/>
              </w:rPr>
              <w:t>3</w:t>
            </w:r>
          </w:p>
        </w:tc>
        <w:tc>
          <w:tcPr>
            <w:tcW w:w="1350" w:type="dxa"/>
            <w:vMerge w:val="restart"/>
            <w:vAlign w:val="center"/>
          </w:tcPr>
          <w:p w:rsidR="00DA4556" w:rsidRPr="00972D3A" w:rsidRDefault="00DA4556" w:rsidP="006B528B">
            <w:pPr>
              <w:tabs>
                <w:tab w:val="left" w:pos="265"/>
              </w:tabs>
              <w:jc w:val="center"/>
              <w:rPr>
                <w:rFonts w:ascii="Times New Roman" w:hAnsi="Times New Roman" w:cs="Times New Roman"/>
                <w:sz w:val="24"/>
              </w:rPr>
            </w:pPr>
            <w:r w:rsidRPr="00972D3A">
              <w:rPr>
                <w:rFonts w:ascii="Times New Roman" w:hAnsi="Times New Roman" w:cs="Times New Roman"/>
                <w:sz w:val="24"/>
              </w:rPr>
              <w:t>Gender</w:t>
            </w:r>
          </w:p>
        </w:tc>
        <w:tc>
          <w:tcPr>
            <w:tcW w:w="4082" w:type="dxa"/>
          </w:tcPr>
          <w:p w:rsidR="00DA4556" w:rsidRPr="00972D3A" w:rsidRDefault="00DA4556" w:rsidP="006B528B">
            <w:pPr>
              <w:tabs>
                <w:tab w:val="left" w:pos="265"/>
              </w:tabs>
              <w:jc w:val="center"/>
              <w:rPr>
                <w:rFonts w:ascii="Times New Roman" w:hAnsi="Times New Roman" w:cs="Times New Roman"/>
                <w:sz w:val="24"/>
              </w:rPr>
            </w:pPr>
            <w:r w:rsidRPr="00972D3A">
              <w:rPr>
                <w:rFonts w:ascii="Times New Roman" w:hAnsi="Times New Roman" w:cs="Times New Roman"/>
                <w:sz w:val="24"/>
              </w:rPr>
              <w:t>Male</w:t>
            </w:r>
          </w:p>
        </w:tc>
        <w:tc>
          <w:tcPr>
            <w:tcW w:w="1408" w:type="dxa"/>
          </w:tcPr>
          <w:p w:rsidR="00DA4556" w:rsidRPr="00972D3A"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390</w:t>
            </w:r>
          </w:p>
        </w:tc>
        <w:tc>
          <w:tcPr>
            <w:tcW w:w="1350" w:type="dxa"/>
          </w:tcPr>
          <w:p w:rsidR="00DA4556"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45</w:t>
            </w:r>
          </w:p>
        </w:tc>
      </w:tr>
      <w:tr w:rsidR="00DA4556" w:rsidTr="006B528B">
        <w:tc>
          <w:tcPr>
            <w:tcW w:w="828" w:type="dxa"/>
            <w:vMerge/>
            <w:vAlign w:val="center"/>
          </w:tcPr>
          <w:p w:rsidR="00DA4556" w:rsidRDefault="00DA4556" w:rsidP="006B528B">
            <w:pPr>
              <w:tabs>
                <w:tab w:val="left" w:pos="265"/>
              </w:tabs>
              <w:jc w:val="center"/>
              <w:rPr>
                <w:rFonts w:ascii="Times New Roman" w:hAnsi="Times New Roman" w:cs="Times New Roman"/>
                <w:b/>
                <w:sz w:val="24"/>
              </w:rPr>
            </w:pPr>
          </w:p>
        </w:tc>
        <w:tc>
          <w:tcPr>
            <w:tcW w:w="1350" w:type="dxa"/>
            <w:vMerge/>
            <w:vAlign w:val="center"/>
          </w:tcPr>
          <w:p w:rsidR="00DA4556" w:rsidRDefault="00DA4556" w:rsidP="006B528B">
            <w:pPr>
              <w:tabs>
                <w:tab w:val="left" w:pos="265"/>
              </w:tabs>
              <w:jc w:val="center"/>
              <w:rPr>
                <w:rFonts w:ascii="Times New Roman" w:hAnsi="Times New Roman" w:cs="Times New Roman"/>
                <w:b/>
                <w:sz w:val="24"/>
              </w:rPr>
            </w:pPr>
          </w:p>
        </w:tc>
        <w:tc>
          <w:tcPr>
            <w:tcW w:w="4082" w:type="dxa"/>
          </w:tcPr>
          <w:p w:rsidR="00DA4556" w:rsidRPr="00972D3A" w:rsidRDefault="00DA4556" w:rsidP="006B528B">
            <w:pPr>
              <w:tabs>
                <w:tab w:val="left" w:pos="265"/>
              </w:tabs>
              <w:jc w:val="center"/>
              <w:rPr>
                <w:rFonts w:ascii="Times New Roman" w:hAnsi="Times New Roman" w:cs="Times New Roman"/>
                <w:sz w:val="24"/>
              </w:rPr>
            </w:pPr>
            <w:r w:rsidRPr="00972D3A">
              <w:rPr>
                <w:rFonts w:ascii="Times New Roman" w:hAnsi="Times New Roman" w:cs="Times New Roman"/>
                <w:sz w:val="24"/>
              </w:rPr>
              <w:t>Female</w:t>
            </w:r>
          </w:p>
        </w:tc>
        <w:tc>
          <w:tcPr>
            <w:tcW w:w="1408" w:type="dxa"/>
          </w:tcPr>
          <w:p w:rsidR="00DA4556" w:rsidRPr="00972D3A"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474</w:t>
            </w:r>
          </w:p>
        </w:tc>
        <w:tc>
          <w:tcPr>
            <w:tcW w:w="1350" w:type="dxa"/>
          </w:tcPr>
          <w:p w:rsidR="00DA4556"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55</w:t>
            </w:r>
          </w:p>
        </w:tc>
      </w:tr>
      <w:tr w:rsidR="00DA4556" w:rsidTr="006B528B">
        <w:tc>
          <w:tcPr>
            <w:tcW w:w="828" w:type="dxa"/>
            <w:vMerge w:val="restart"/>
            <w:vAlign w:val="center"/>
          </w:tcPr>
          <w:p w:rsidR="00DA4556" w:rsidRPr="00972D3A" w:rsidRDefault="00DA4556" w:rsidP="006B528B">
            <w:pPr>
              <w:tabs>
                <w:tab w:val="left" w:pos="265"/>
              </w:tabs>
              <w:jc w:val="center"/>
              <w:rPr>
                <w:rFonts w:ascii="Times New Roman" w:hAnsi="Times New Roman" w:cs="Times New Roman"/>
                <w:sz w:val="24"/>
              </w:rPr>
            </w:pPr>
            <w:r w:rsidRPr="00972D3A">
              <w:rPr>
                <w:rFonts w:ascii="Times New Roman" w:hAnsi="Times New Roman" w:cs="Times New Roman"/>
                <w:sz w:val="24"/>
              </w:rPr>
              <w:t>4</w:t>
            </w:r>
          </w:p>
        </w:tc>
        <w:tc>
          <w:tcPr>
            <w:tcW w:w="1350" w:type="dxa"/>
            <w:vMerge w:val="restart"/>
            <w:vAlign w:val="center"/>
          </w:tcPr>
          <w:p w:rsidR="00DA4556" w:rsidRPr="00972D3A"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Annual f</w:t>
            </w:r>
            <w:r w:rsidRPr="00972D3A">
              <w:rPr>
                <w:rFonts w:ascii="Times New Roman" w:hAnsi="Times New Roman" w:cs="Times New Roman"/>
                <w:sz w:val="24"/>
              </w:rPr>
              <w:t>amily income</w:t>
            </w:r>
          </w:p>
        </w:tc>
        <w:tc>
          <w:tcPr>
            <w:tcW w:w="4082" w:type="dxa"/>
          </w:tcPr>
          <w:p w:rsidR="00DA4556" w:rsidRDefault="00DA4556" w:rsidP="006B528B">
            <w:pPr>
              <w:tabs>
                <w:tab w:val="left" w:pos="265"/>
              </w:tabs>
              <w:jc w:val="center"/>
              <w:rPr>
                <w:rFonts w:ascii="Times New Roman" w:hAnsi="Times New Roman" w:cs="Times New Roman"/>
                <w:b/>
                <w:sz w:val="24"/>
              </w:rPr>
            </w:pPr>
            <w:r w:rsidRPr="00355A1D">
              <w:rPr>
                <w:rFonts w:ascii="Times New Roman" w:hAnsi="Times New Roman" w:cs="Times New Roman"/>
                <w:color w:val="000000"/>
                <w:sz w:val="24"/>
                <w:szCs w:val="24"/>
              </w:rPr>
              <w:t>B</w:t>
            </w:r>
            <w:r w:rsidRPr="00ED0102">
              <w:rPr>
                <w:rFonts w:ascii="Times New Roman" w:hAnsi="Times New Roman" w:cs="Times New Roman"/>
                <w:color w:val="000000"/>
                <w:sz w:val="24"/>
                <w:szCs w:val="24"/>
              </w:rPr>
              <w:t xml:space="preserve">elow </w:t>
            </w:r>
            <w:r w:rsidRPr="00B75C93">
              <w:rPr>
                <w:rFonts w:ascii="Rupee Foradian" w:hAnsi="Rupee Foradian"/>
              </w:rPr>
              <w:t>`</w:t>
            </w:r>
            <w:r w:rsidRPr="00ED0102">
              <w:rPr>
                <w:rFonts w:ascii="Times New Roman" w:hAnsi="Times New Roman" w:cs="Times New Roman"/>
                <w:color w:val="000000"/>
                <w:sz w:val="24"/>
                <w:szCs w:val="24"/>
              </w:rPr>
              <w:t>100000</w:t>
            </w:r>
          </w:p>
        </w:tc>
        <w:tc>
          <w:tcPr>
            <w:tcW w:w="1408" w:type="dxa"/>
          </w:tcPr>
          <w:p w:rsidR="00DA4556" w:rsidRPr="00972D3A" w:rsidRDefault="00DA4556" w:rsidP="006B528B">
            <w:pPr>
              <w:tabs>
                <w:tab w:val="left" w:pos="265"/>
              </w:tabs>
              <w:jc w:val="center"/>
              <w:rPr>
                <w:rFonts w:ascii="Times New Roman" w:hAnsi="Times New Roman" w:cs="Times New Roman"/>
                <w:sz w:val="24"/>
              </w:rPr>
            </w:pPr>
            <w:r w:rsidRPr="00972D3A">
              <w:rPr>
                <w:rFonts w:ascii="Times New Roman" w:hAnsi="Times New Roman" w:cs="Times New Roman"/>
                <w:sz w:val="24"/>
              </w:rPr>
              <w:t>1</w:t>
            </w:r>
            <w:r>
              <w:rPr>
                <w:rFonts w:ascii="Times New Roman" w:hAnsi="Times New Roman" w:cs="Times New Roman"/>
                <w:sz w:val="24"/>
              </w:rPr>
              <w:t>87</w:t>
            </w:r>
          </w:p>
        </w:tc>
        <w:tc>
          <w:tcPr>
            <w:tcW w:w="1350" w:type="dxa"/>
          </w:tcPr>
          <w:p w:rsidR="00DA4556" w:rsidRPr="00972D3A"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22</w:t>
            </w:r>
          </w:p>
        </w:tc>
      </w:tr>
      <w:tr w:rsidR="00DA4556" w:rsidTr="006B528B">
        <w:tc>
          <w:tcPr>
            <w:tcW w:w="828" w:type="dxa"/>
            <w:vMerge/>
          </w:tcPr>
          <w:p w:rsidR="00DA4556" w:rsidRDefault="00DA4556" w:rsidP="006B528B">
            <w:pPr>
              <w:tabs>
                <w:tab w:val="left" w:pos="265"/>
              </w:tabs>
              <w:rPr>
                <w:rFonts w:ascii="Times New Roman" w:hAnsi="Times New Roman" w:cs="Times New Roman"/>
                <w:b/>
                <w:sz w:val="24"/>
              </w:rPr>
            </w:pPr>
          </w:p>
        </w:tc>
        <w:tc>
          <w:tcPr>
            <w:tcW w:w="1350" w:type="dxa"/>
            <w:vMerge/>
          </w:tcPr>
          <w:p w:rsidR="00DA4556" w:rsidRDefault="00DA4556" w:rsidP="006B528B">
            <w:pPr>
              <w:tabs>
                <w:tab w:val="left" w:pos="265"/>
              </w:tabs>
              <w:rPr>
                <w:rFonts w:ascii="Times New Roman" w:hAnsi="Times New Roman" w:cs="Times New Roman"/>
                <w:b/>
                <w:sz w:val="24"/>
              </w:rPr>
            </w:pPr>
          </w:p>
        </w:tc>
        <w:tc>
          <w:tcPr>
            <w:tcW w:w="4082" w:type="dxa"/>
          </w:tcPr>
          <w:p w:rsidR="00DA4556" w:rsidRDefault="00DA4556" w:rsidP="006B528B">
            <w:pPr>
              <w:tabs>
                <w:tab w:val="left" w:pos="265"/>
              </w:tabs>
              <w:jc w:val="center"/>
              <w:rPr>
                <w:rFonts w:ascii="Times New Roman" w:hAnsi="Times New Roman" w:cs="Times New Roman"/>
                <w:b/>
                <w:sz w:val="24"/>
              </w:rPr>
            </w:pPr>
            <w:r w:rsidRPr="00B75C93">
              <w:rPr>
                <w:rFonts w:ascii="Rupee Foradian" w:hAnsi="Rupee Foradian"/>
              </w:rPr>
              <w:t>`</w:t>
            </w:r>
            <w:r w:rsidRPr="00ED0102">
              <w:rPr>
                <w:rFonts w:ascii="Times New Roman" w:hAnsi="Times New Roman" w:cs="Times New Roman"/>
                <w:color w:val="000000"/>
                <w:sz w:val="24"/>
                <w:szCs w:val="24"/>
              </w:rPr>
              <w:t>100000</w:t>
            </w:r>
            <w:r>
              <w:rPr>
                <w:rFonts w:ascii="Times New Roman" w:hAnsi="Times New Roman" w:cs="Times New Roman"/>
                <w:color w:val="000000"/>
                <w:sz w:val="24"/>
                <w:szCs w:val="24"/>
              </w:rPr>
              <w:t xml:space="preserve"> </w:t>
            </w:r>
            <w:r w:rsidRPr="00ED010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75C93">
              <w:rPr>
                <w:rFonts w:ascii="Rupee Foradian" w:hAnsi="Rupee Foradian"/>
              </w:rPr>
              <w:t>`</w:t>
            </w:r>
            <w:r w:rsidRPr="00ED0102">
              <w:rPr>
                <w:rFonts w:ascii="Times New Roman" w:hAnsi="Times New Roman" w:cs="Times New Roman"/>
                <w:color w:val="000000"/>
                <w:sz w:val="24"/>
                <w:szCs w:val="24"/>
              </w:rPr>
              <w:t>300000</w:t>
            </w:r>
          </w:p>
        </w:tc>
        <w:tc>
          <w:tcPr>
            <w:tcW w:w="1408" w:type="dxa"/>
          </w:tcPr>
          <w:p w:rsidR="00DA4556" w:rsidRPr="00972D3A" w:rsidRDefault="00DA4556" w:rsidP="006B528B">
            <w:pPr>
              <w:tabs>
                <w:tab w:val="left" w:pos="265"/>
              </w:tabs>
              <w:jc w:val="center"/>
              <w:rPr>
                <w:rFonts w:ascii="Times New Roman" w:hAnsi="Times New Roman" w:cs="Times New Roman"/>
                <w:sz w:val="24"/>
              </w:rPr>
            </w:pPr>
            <w:r w:rsidRPr="00972D3A">
              <w:rPr>
                <w:rFonts w:ascii="Times New Roman" w:hAnsi="Times New Roman" w:cs="Times New Roman"/>
                <w:sz w:val="24"/>
              </w:rPr>
              <w:t>2</w:t>
            </w:r>
            <w:r>
              <w:rPr>
                <w:rFonts w:ascii="Times New Roman" w:hAnsi="Times New Roman" w:cs="Times New Roman"/>
                <w:sz w:val="24"/>
              </w:rPr>
              <w:t>42</w:t>
            </w:r>
          </w:p>
        </w:tc>
        <w:tc>
          <w:tcPr>
            <w:tcW w:w="1350" w:type="dxa"/>
          </w:tcPr>
          <w:p w:rsidR="00DA4556" w:rsidRPr="00972D3A"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28</w:t>
            </w:r>
          </w:p>
        </w:tc>
      </w:tr>
      <w:tr w:rsidR="00DA4556" w:rsidTr="006B528B">
        <w:tc>
          <w:tcPr>
            <w:tcW w:w="828" w:type="dxa"/>
            <w:vMerge/>
          </w:tcPr>
          <w:p w:rsidR="00DA4556" w:rsidRDefault="00DA4556" w:rsidP="006B528B">
            <w:pPr>
              <w:tabs>
                <w:tab w:val="left" w:pos="265"/>
              </w:tabs>
              <w:rPr>
                <w:rFonts w:ascii="Times New Roman" w:hAnsi="Times New Roman" w:cs="Times New Roman"/>
                <w:b/>
                <w:sz w:val="24"/>
              </w:rPr>
            </w:pPr>
          </w:p>
        </w:tc>
        <w:tc>
          <w:tcPr>
            <w:tcW w:w="1350" w:type="dxa"/>
            <w:vMerge/>
          </w:tcPr>
          <w:p w:rsidR="00DA4556" w:rsidRDefault="00DA4556" w:rsidP="006B528B">
            <w:pPr>
              <w:tabs>
                <w:tab w:val="left" w:pos="265"/>
              </w:tabs>
              <w:rPr>
                <w:rFonts w:ascii="Times New Roman" w:hAnsi="Times New Roman" w:cs="Times New Roman"/>
                <w:b/>
                <w:sz w:val="24"/>
              </w:rPr>
            </w:pPr>
          </w:p>
        </w:tc>
        <w:tc>
          <w:tcPr>
            <w:tcW w:w="4082" w:type="dxa"/>
          </w:tcPr>
          <w:p w:rsidR="00DA4556" w:rsidRDefault="00DA4556" w:rsidP="006B528B">
            <w:pPr>
              <w:tabs>
                <w:tab w:val="left" w:pos="265"/>
              </w:tabs>
              <w:jc w:val="center"/>
              <w:rPr>
                <w:rFonts w:ascii="Times New Roman" w:hAnsi="Times New Roman" w:cs="Times New Roman"/>
                <w:b/>
                <w:sz w:val="24"/>
              </w:rPr>
            </w:pPr>
            <w:r w:rsidRPr="00B75C93">
              <w:rPr>
                <w:rFonts w:ascii="Rupee Foradian" w:hAnsi="Rupee Foradian"/>
              </w:rPr>
              <w:t>`</w:t>
            </w:r>
            <w:r w:rsidRPr="00ED0102">
              <w:rPr>
                <w:rFonts w:ascii="Times New Roman" w:hAnsi="Times New Roman" w:cs="Times New Roman"/>
                <w:color w:val="000000"/>
                <w:sz w:val="24"/>
                <w:szCs w:val="24"/>
              </w:rPr>
              <w:t>300000</w:t>
            </w:r>
            <w:r>
              <w:rPr>
                <w:rFonts w:ascii="Times New Roman" w:hAnsi="Times New Roman" w:cs="Times New Roman"/>
                <w:color w:val="000000"/>
                <w:sz w:val="24"/>
                <w:szCs w:val="24"/>
              </w:rPr>
              <w:t xml:space="preserve"> </w:t>
            </w:r>
            <w:r w:rsidRPr="00ED010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75C93">
              <w:rPr>
                <w:rFonts w:ascii="Rupee Foradian" w:hAnsi="Rupee Foradian"/>
              </w:rPr>
              <w:t>`</w:t>
            </w:r>
            <w:r w:rsidRPr="00ED0102">
              <w:rPr>
                <w:rFonts w:ascii="Times New Roman" w:hAnsi="Times New Roman" w:cs="Times New Roman"/>
                <w:color w:val="000000"/>
                <w:sz w:val="24"/>
                <w:szCs w:val="24"/>
              </w:rPr>
              <w:t>500000</w:t>
            </w:r>
          </w:p>
        </w:tc>
        <w:tc>
          <w:tcPr>
            <w:tcW w:w="1408" w:type="dxa"/>
          </w:tcPr>
          <w:p w:rsidR="00DA4556" w:rsidRPr="00972D3A"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258</w:t>
            </w:r>
          </w:p>
        </w:tc>
        <w:tc>
          <w:tcPr>
            <w:tcW w:w="1350" w:type="dxa"/>
          </w:tcPr>
          <w:p w:rsidR="00DA4556"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30</w:t>
            </w:r>
          </w:p>
        </w:tc>
      </w:tr>
      <w:tr w:rsidR="00DA4556" w:rsidTr="006B528B">
        <w:tc>
          <w:tcPr>
            <w:tcW w:w="828" w:type="dxa"/>
            <w:vMerge/>
          </w:tcPr>
          <w:p w:rsidR="00DA4556" w:rsidRDefault="00DA4556" w:rsidP="006B528B">
            <w:pPr>
              <w:tabs>
                <w:tab w:val="left" w:pos="265"/>
              </w:tabs>
              <w:rPr>
                <w:rFonts w:ascii="Times New Roman" w:hAnsi="Times New Roman" w:cs="Times New Roman"/>
                <w:b/>
                <w:sz w:val="24"/>
              </w:rPr>
            </w:pPr>
          </w:p>
        </w:tc>
        <w:tc>
          <w:tcPr>
            <w:tcW w:w="1350" w:type="dxa"/>
            <w:vMerge/>
          </w:tcPr>
          <w:p w:rsidR="00DA4556" w:rsidRDefault="00DA4556" w:rsidP="006B528B">
            <w:pPr>
              <w:tabs>
                <w:tab w:val="left" w:pos="265"/>
              </w:tabs>
              <w:rPr>
                <w:rFonts w:ascii="Times New Roman" w:hAnsi="Times New Roman" w:cs="Times New Roman"/>
                <w:b/>
                <w:sz w:val="24"/>
              </w:rPr>
            </w:pPr>
          </w:p>
        </w:tc>
        <w:tc>
          <w:tcPr>
            <w:tcW w:w="4082" w:type="dxa"/>
          </w:tcPr>
          <w:p w:rsidR="00DA4556" w:rsidRDefault="00DA4556" w:rsidP="006B528B">
            <w:pPr>
              <w:tabs>
                <w:tab w:val="left" w:pos="265"/>
              </w:tabs>
              <w:jc w:val="center"/>
              <w:rPr>
                <w:rFonts w:ascii="Times New Roman" w:hAnsi="Times New Roman" w:cs="Times New Roman"/>
                <w:b/>
                <w:sz w:val="24"/>
              </w:rPr>
            </w:pPr>
            <w:r w:rsidRPr="00ED0102">
              <w:rPr>
                <w:rFonts w:ascii="Times New Roman" w:hAnsi="Times New Roman" w:cs="Times New Roman"/>
                <w:color w:val="000000"/>
                <w:sz w:val="24"/>
                <w:szCs w:val="24"/>
              </w:rPr>
              <w:t xml:space="preserve">Above </w:t>
            </w:r>
            <w:r w:rsidRPr="00B75C93">
              <w:rPr>
                <w:rFonts w:ascii="Rupee Foradian" w:hAnsi="Rupee Foradian"/>
              </w:rPr>
              <w:t>`</w:t>
            </w:r>
            <w:r w:rsidRPr="00ED0102">
              <w:rPr>
                <w:rFonts w:ascii="Times New Roman" w:hAnsi="Times New Roman" w:cs="Times New Roman"/>
                <w:color w:val="000000"/>
                <w:sz w:val="24"/>
                <w:szCs w:val="24"/>
              </w:rPr>
              <w:t>500000</w:t>
            </w:r>
          </w:p>
        </w:tc>
        <w:tc>
          <w:tcPr>
            <w:tcW w:w="1408" w:type="dxa"/>
          </w:tcPr>
          <w:p w:rsidR="00DA4556" w:rsidRPr="00972D3A" w:rsidRDefault="00DA4556" w:rsidP="006B528B">
            <w:pPr>
              <w:tabs>
                <w:tab w:val="left" w:pos="265"/>
              </w:tabs>
              <w:jc w:val="center"/>
              <w:rPr>
                <w:rFonts w:ascii="Times New Roman" w:hAnsi="Times New Roman" w:cs="Times New Roman"/>
                <w:sz w:val="24"/>
              </w:rPr>
            </w:pPr>
            <w:r w:rsidRPr="00972D3A">
              <w:rPr>
                <w:rFonts w:ascii="Times New Roman" w:hAnsi="Times New Roman" w:cs="Times New Roman"/>
                <w:sz w:val="24"/>
              </w:rPr>
              <w:t>1</w:t>
            </w:r>
            <w:r>
              <w:rPr>
                <w:rFonts w:ascii="Times New Roman" w:hAnsi="Times New Roman" w:cs="Times New Roman"/>
                <w:sz w:val="24"/>
              </w:rPr>
              <w:t>77</w:t>
            </w:r>
          </w:p>
        </w:tc>
        <w:tc>
          <w:tcPr>
            <w:tcW w:w="1350" w:type="dxa"/>
          </w:tcPr>
          <w:p w:rsidR="00DA4556" w:rsidRPr="00972D3A" w:rsidRDefault="00DA4556" w:rsidP="006B528B">
            <w:pPr>
              <w:tabs>
                <w:tab w:val="left" w:pos="265"/>
              </w:tabs>
              <w:jc w:val="center"/>
              <w:rPr>
                <w:rFonts w:ascii="Times New Roman" w:hAnsi="Times New Roman" w:cs="Times New Roman"/>
                <w:sz w:val="24"/>
              </w:rPr>
            </w:pPr>
            <w:r>
              <w:rPr>
                <w:rFonts w:ascii="Times New Roman" w:hAnsi="Times New Roman" w:cs="Times New Roman"/>
                <w:sz w:val="24"/>
              </w:rPr>
              <w:t>20</w:t>
            </w:r>
          </w:p>
        </w:tc>
      </w:tr>
    </w:tbl>
    <w:p w:rsidR="00DA4556" w:rsidRPr="00D10E5B" w:rsidRDefault="00DA4556" w:rsidP="00DA4556">
      <w:pPr>
        <w:tabs>
          <w:tab w:val="left" w:pos="265"/>
        </w:tabs>
        <w:rPr>
          <w:rFonts w:ascii="Times New Roman" w:hAnsi="Times New Roman" w:cs="Times New Roman"/>
          <w:i/>
        </w:rPr>
      </w:pPr>
      <w:r w:rsidRPr="00D10E5B">
        <w:rPr>
          <w:rFonts w:ascii="Times New Roman" w:hAnsi="Times New Roman" w:cs="Times New Roman"/>
          <w:b/>
          <w:i/>
        </w:rPr>
        <w:t>*Source:</w:t>
      </w:r>
      <w:r w:rsidRPr="00D10E5B">
        <w:rPr>
          <w:rFonts w:ascii="Times New Roman" w:hAnsi="Times New Roman" w:cs="Times New Roman"/>
          <w:i/>
        </w:rPr>
        <w:t xml:space="preserve"> Primary survey</w:t>
      </w:r>
    </w:p>
    <w:p w:rsidR="00DA4556" w:rsidRDefault="00DA4556" w:rsidP="00DA4556">
      <w:pPr>
        <w:tabs>
          <w:tab w:val="left" w:pos="265"/>
        </w:tabs>
        <w:spacing w:line="360" w:lineRule="auto"/>
        <w:jc w:val="both"/>
        <w:rPr>
          <w:rFonts w:ascii="Times New Roman" w:hAnsi="Times New Roman" w:cs="Times New Roman"/>
          <w:sz w:val="24"/>
          <w:szCs w:val="24"/>
        </w:rPr>
      </w:pPr>
    </w:p>
    <w:p w:rsidR="00DA4556" w:rsidRPr="007C1783" w:rsidRDefault="00DA4556" w:rsidP="007C1783">
      <w:pPr>
        <w:pStyle w:val="ListParagraph"/>
        <w:numPr>
          <w:ilvl w:val="0"/>
          <w:numId w:val="30"/>
        </w:numPr>
        <w:spacing w:line="240" w:lineRule="auto"/>
        <w:jc w:val="both"/>
        <w:rPr>
          <w:rFonts w:ascii="Times New Roman" w:hAnsi="Times New Roman" w:cs="Times New Roman"/>
          <w:b/>
          <w:bCs/>
          <w:sz w:val="24"/>
          <w:szCs w:val="24"/>
        </w:rPr>
      </w:pPr>
      <w:r w:rsidRPr="007C1783">
        <w:rPr>
          <w:rFonts w:ascii="Times New Roman" w:hAnsi="Times New Roman" w:cs="Times New Roman"/>
          <w:b/>
          <w:bCs/>
          <w:sz w:val="24"/>
          <w:szCs w:val="24"/>
        </w:rPr>
        <w:t xml:space="preserve">LEVEL OF AWARENESS AND CONSUMPTION PATTERN ABOUT GREEN PRODUCTS AMONG SAMPLE RESPONDENTS </w:t>
      </w:r>
    </w:p>
    <w:p w:rsidR="00DA4556" w:rsidRDefault="007C1783" w:rsidP="00DA4556">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DA4556">
        <w:rPr>
          <w:rFonts w:ascii="Times New Roman" w:hAnsi="Times New Roman" w:cs="Times New Roman"/>
          <w:b/>
          <w:sz w:val="24"/>
          <w:szCs w:val="24"/>
        </w:rPr>
        <w:t>.1</w:t>
      </w:r>
      <w:r w:rsidR="00DA4556" w:rsidRPr="00714465">
        <w:rPr>
          <w:rFonts w:ascii="Times New Roman" w:hAnsi="Times New Roman" w:cs="Times New Roman"/>
          <w:b/>
          <w:sz w:val="24"/>
          <w:szCs w:val="24"/>
        </w:rPr>
        <w:t xml:space="preserve"> </w:t>
      </w:r>
      <w:r w:rsidR="00DA4556">
        <w:rPr>
          <w:rFonts w:ascii="Times New Roman" w:hAnsi="Times New Roman" w:cs="Times New Roman"/>
          <w:b/>
          <w:sz w:val="24"/>
          <w:szCs w:val="24"/>
        </w:rPr>
        <w:tab/>
      </w:r>
      <w:r w:rsidR="00DA4556" w:rsidRPr="00714465">
        <w:rPr>
          <w:rFonts w:ascii="Times New Roman" w:hAnsi="Times New Roman" w:cs="Times New Roman"/>
          <w:b/>
          <w:sz w:val="24"/>
          <w:szCs w:val="24"/>
        </w:rPr>
        <w:t xml:space="preserve">Level of Awareness </w:t>
      </w:r>
      <w:r w:rsidR="00DA4556">
        <w:rPr>
          <w:rFonts w:ascii="Times New Roman" w:hAnsi="Times New Roman" w:cs="Times New Roman"/>
          <w:b/>
          <w:sz w:val="24"/>
          <w:szCs w:val="24"/>
        </w:rPr>
        <w:t>about</w:t>
      </w:r>
      <w:r w:rsidR="00DA4556">
        <w:rPr>
          <w:rFonts w:ascii="Times New Roman" w:hAnsi="Times New Roman" w:cs="Times New Roman"/>
          <w:sz w:val="24"/>
          <w:szCs w:val="24"/>
        </w:rPr>
        <w:t xml:space="preserve"> </w:t>
      </w:r>
      <w:r w:rsidR="00DA4556" w:rsidRPr="00714465">
        <w:rPr>
          <w:rFonts w:ascii="Times New Roman" w:hAnsi="Times New Roman" w:cs="Times New Roman"/>
          <w:b/>
          <w:sz w:val="24"/>
          <w:szCs w:val="24"/>
        </w:rPr>
        <w:t>Green Products</w:t>
      </w:r>
    </w:p>
    <w:p w:rsidR="00DA4556" w:rsidRPr="00FF7211" w:rsidRDefault="00DA4556" w:rsidP="00DA45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Level of awareness among sample respondents with regard to green products have been analysed university-wise, faculty-wise, gender-wise and family income wise (Fi</w:t>
      </w:r>
      <w:r w:rsidR="00842813">
        <w:rPr>
          <w:rFonts w:ascii="Times New Roman" w:hAnsi="Times New Roman" w:cs="Times New Roman"/>
          <w:sz w:val="24"/>
          <w:szCs w:val="24"/>
        </w:rPr>
        <w:t>g.1</w:t>
      </w:r>
      <w:r>
        <w:rPr>
          <w:rFonts w:ascii="Times New Roman" w:hAnsi="Times New Roman" w:cs="Times New Roman"/>
          <w:sz w:val="24"/>
          <w:szCs w:val="24"/>
        </w:rPr>
        <w:t>). The analysis revealed that m</w:t>
      </w:r>
      <w:r w:rsidRPr="00FF7211">
        <w:rPr>
          <w:rFonts w:ascii="Times New Roman" w:hAnsi="Times New Roman" w:cs="Times New Roman"/>
          <w:sz w:val="24"/>
          <w:szCs w:val="24"/>
        </w:rPr>
        <w:t xml:space="preserve">ajority of youth from all the three Universities i.e. Jammu University (JU) (76%), Guru Nanak Dev University </w:t>
      </w:r>
      <w:r>
        <w:rPr>
          <w:rFonts w:ascii="Times New Roman" w:hAnsi="Times New Roman" w:cs="Times New Roman"/>
          <w:sz w:val="24"/>
          <w:szCs w:val="24"/>
        </w:rPr>
        <w:t>(</w:t>
      </w:r>
      <w:r w:rsidRPr="00FF7211">
        <w:rPr>
          <w:rFonts w:ascii="Times New Roman" w:hAnsi="Times New Roman" w:cs="Times New Roman"/>
          <w:sz w:val="24"/>
          <w:szCs w:val="24"/>
        </w:rPr>
        <w:t>GNDU</w:t>
      </w:r>
      <w:r>
        <w:rPr>
          <w:rFonts w:ascii="Times New Roman" w:hAnsi="Times New Roman" w:cs="Times New Roman"/>
          <w:sz w:val="24"/>
          <w:szCs w:val="24"/>
        </w:rPr>
        <w:t>)</w:t>
      </w:r>
      <w:r w:rsidRPr="00FF7211">
        <w:rPr>
          <w:rFonts w:ascii="Times New Roman" w:hAnsi="Times New Roman" w:cs="Times New Roman"/>
          <w:sz w:val="24"/>
          <w:szCs w:val="24"/>
        </w:rPr>
        <w:t xml:space="preserve"> (74%) and Himachal Pradesh University (HPU) (74%)</w:t>
      </w:r>
      <w:r>
        <w:rPr>
          <w:rFonts w:ascii="Times New Roman" w:hAnsi="Times New Roman" w:cs="Times New Roman"/>
          <w:sz w:val="24"/>
          <w:szCs w:val="24"/>
        </w:rPr>
        <w:t xml:space="preserve"> shows</w:t>
      </w:r>
      <w:r w:rsidRPr="00FF7211">
        <w:rPr>
          <w:rFonts w:ascii="Times New Roman" w:hAnsi="Times New Roman" w:cs="Times New Roman"/>
          <w:sz w:val="24"/>
          <w:szCs w:val="24"/>
        </w:rPr>
        <w:t xml:space="preserve"> medium level of awareness about green products. Only 18% of respondents from JU, 20% from GNDU and 17% from HPU show high level of awareness toward gre</w:t>
      </w:r>
      <w:r>
        <w:rPr>
          <w:rFonts w:ascii="Times New Roman" w:hAnsi="Times New Roman" w:cs="Times New Roman"/>
          <w:sz w:val="24"/>
          <w:szCs w:val="24"/>
        </w:rPr>
        <w:t xml:space="preserve">en products. Whereas, very less </w:t>
      </w:r>
      <w:r w:rsidRPr="00FF7211">
        <w:rPr>
          <w:rFonts w:ascii="Times New Roman" w:hAnsi="Times New Roman" w:cs="Times New Roman"/>
          <w:sz w:val="24"/>
          <w:szCs w:val="24"/>
        </w:rPr>
        <w:t>number of respondents from JU, GNDU &amp; HPU reveal</w:t>
      </w:r>
      <w:r>
        <w:rPr>
          <w:rFonts w:ascii="Times New Roman" w:hAnsi="Times New Roman" w:cs="Times New Roman"/>
          <w:sz w:val="24"/>
          <w:szCs w:val="24"/>
        </w:rPr>
        <w:t>s</w:t>
      </w:r>
      <w:r w:rsidRPr="00FF7211">
        <w:rPr>
          <w:rFonts w:ascii="Times New Roman" w:hAnsi="Times New Roman" w:cs="Times New Roman"/>
          <w:sz w:val="24"/>
          <w:szCs w:val="24"/>
        </w:rPr>
        <w:t xml:space="preserve"> low</w:t>
      </w:r>
      <w:r>
        <w:rPr>
          <w:rFonts w:ascii="Times New Roman" w:hAnsi="Times New Roman" w:cs="Times New Roman"/>
          <w:sz w:val="24"/>
          <w:szCs w:val="24"/>
        </w:rPr>
        <w:t xml:space="preserve"> level of green awareness viz. </w:t>
      </w:r>
      <w:r w:rsidRPr="00FF7211">
        <w:rPr>
          <w:rFonts w:ascii="Times New Roman" w:hAnsi="Times New Roman" w:cs="Times New Roman"/>
          <w:sz w:val="24"/>
          <w:szCs w:val="24"/>
        </w:rPr>
        <w:t>6%, 6.41% &amp; 8% respectively.</w:t>
      </w:r>
    </w:p>
    <w:tbl>
      <w:tblPr>
        <w:tblStyle w:val="TableGrid"/>
        <w:tblW w:w="7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tblPr>
      <w:tblGrid>
        <w:gridCol w:w="3738"/>
        <w:gridCol w:w="4002"/>
      </w:tblGrid>
      <w:tr w:rsidR="00DA4556" w:rsidTr="006B528B">
        <w:trPr>
          <w:jc w:val="center"/>
        </w:trPr>
        <w:tc>
          <w:tcPr>
            <w:tcW w:w="3738" w:type="dxa"/>
            <w:shd w:val="clear" w:color="auto" w:fill="C2D69B" w:themeFill="accent3" w:themeFillTint="99"/>
          </w:tcPr>
          <w:p w:rsidR="00DA4556" w:rsidRDefault="00DA4556" w:rsidP="006B528B">
            <w:pPr>
              <w:spacing w:line="360" w:lineRule="auto"/>
              <w:ind w:right="-360"/>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194120" cy="1669238"/>
                  <wp:effectExtent l="38100" t="57150" r="110930" b="102412"/>
                  <wp:docPr id="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194120" cy="16692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002" w:type="dxa"/>
            <w:shd w:val="clear" w:color="auto" w:fill="C2D69B" w:themeFill="accent3" w:themeFillTint="99"/>
          </w:tcPr>
          <w:p w:rsidR="00DA4556" w:rsidRDefault="00DA4556" w:rsidP="006B528B">
            <w:pPr>
              <w:spacing w:line="360" w:lineRule="auto"/>
              <w:ind w:right="-36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68474" cy="1667510"/>
                  <wp:effectExtent l="38100" t="57150" r="108026" b="104140"/>
                  <wp:docPr id="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367754" cy="16670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DA4556" w:rsidTr="006B528B">
        <w:trPr>
          <w:trHeight w:val="2917"/>
          <w:jc w:val="center"/>
        </w:trPr>
        <w:tc>
          <w:tcPr>
            <w:tcW w:w="3738" w:type="dxa"/>
            <w:shd w:val="clear" w:color="auto" w:fill="C2D69B" w:themeFill="accent3" w:themeFillTint="99"/>
          </w:tcPr>
          <w:p w:rsidR="00DA4556" w:rsidRDefault="00DA4556" w:rsidP="006B528B">
            <w:pPr>
              <w:ind w:right="-36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79292" cy="1749705"/>
                  <wp:effectExtent l="38100" t="57150" r="106708" b="98145"/>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177471" cy="17482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002" w:type="dxa"/>
            <w:shd w:val="clear" w:color="auto" w:fill="C2D69B" w:themeFill="accent3" w:themeFillTint="99"/>
          </w:tcPr>
          <w:p w:rsidR="00DA4556" w:rsidRDefault="00DA4556" w:rsidP="006B528B">
            <w:pPr>
              <w:spacing w:line="360" w:lineRule="auto"/>
              <w:ind w:right="-36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66310" cy="1747012"/>
                  <wp:effectExtent l="38100" t="57150" r="110190" b="100838"/>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362945" cy="17445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DA4556" w:rsidRDefault="00842813" w:rsidP="00DA4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Fig.1</w:t>
      </w:r>
      <w:r w:rsidR="00DA4556">
        <w:rPr>
          <w:rFonts w:ascii="Times New Roman" w:hAnsi="Times New Roman" w:cs="Times New Roman"/>
          <w:b/>
          <w:sz w:val="24"/>
          <w:szCs w:val="24"/>
        </w:rPr>
        <w:t>: Level of awareness about green products among sample respondents*</w:t>
      </w:r>
    </w:p>
    <w:p w:rsidR="00DA4556" w:rsidRDefault="00DA4556" w:rsidP="00DA4556">
      <w:pPr>
        <w:spacing w:after="0"/>
        <w:rPr>
          <w:rFonts w:ascii="Times New Roman" w:hAnsi="Times New Roman" w:cs="Times New Roman"/>
          <w:i/>
          <w:szCs w:val="24"/>
        </w:rPr>
      </w:pPr>
      <w:r w:rsidRPr="00F72429">
        <w:rPr>
          <w:rFonts w:ascii="Times New Roman" w:hAnsi="Times New Roman" w:cs="Times New Roman"/>
          <w:b/>
          <w:i/>
          <w:szCs w:val="24"/>
        </w:rPr>
        <w:t xml:space="preserve">*Source: </w:t>
      </w:r>
      <w:r w:rsidRPr="00F72429">
        <w:rPr>
          <w:rFonts w:ascii="Times New Roman" w:hAnsi="Times New Roman" w:cs="Times New Roman"/>
          <w:i/>
          <w:szCs w:val="24"/>
        </w:rPr>
        <w:t>Survey</w:t>
      </w:r>
      <w:r>
        <w:rPr>
          <w:rFonts w:ascii="Times New Roman" w:hAnsi="Times New Roman" w:cs="Times New Roman"/>
          <w:i/>
          <w:szCs w:val="24"/>
        </w:rPr>
        <w:t xml:space="preserve"> </w:t>
      </w:r>
    </w:p>
    <w:p w:rsidR="00DA4556" w:rsidRPr="00F72429" w:rsidRDefault="00DA4556" w:rsidP="00DA4556">
      <w:pPr>
        <w:spacing w:after="0"/>
        <w:rPr>
          <w:rFonts w:ascii="Times New Roman" w:hAnsi="Times New Roman" w:cs="Times New Roman"/>
          <w:i/>
          <w:szCs w:val="24"/>
        </w:rPr>
      </w:pPr>
    </w:p>
    <w:p w:rsidR="00842813" w:rsidRDefault="00DA4556" w:rsidP="00842813">
      <w:pPr>
        <w:pStyle w:val="ListParagraph"/>
        <w:spacing w:line="360" w:lineRule="auto"/>
        <w:ind w:left="0" w:firstLine="720"/>
        <w:contextualSpacing w:val="0"/>
        <w:jc w:val="both"/>
        <w:rPr>
          <w:rFonts w:ascii="Times New Roman" w:hAnsi="Times New Roman" w:cs="Times New Roman"/>
          <w:sz w:val="24"/>
          <w:szCs w:val="24"/>
        </w:rPr>
      </w:pPr>
      <w:r w:rsidRPr="00827F8F">
        <w:rPr>
          <w:rFonts w:ascii="Times New Roman" w:hAnsi="Times New Roman" w:cs="Times New Roman"/>
          <w:sz w:val="24"/>
          <w:szCs w:val="24"/>
        </w:rPr>
        <w:t xml:space="preserve">About 75% of respondent students </w:t>
      </w:r>
      <w:r>
        <w:rPr>
          <w:rFonts w:ascii="Times New Roman" w:hAnsi="Times New Roman" w:cs="Times New Roman"/>
          <w:sz w:val="24"/>
          <w:szCs w:val="24"/>
        </w:rPr>
        <w:t>from all the faculties in</w:t>
      </w:r>
      <w:r w:rsidRPr="00827F8F">
        <w:rPr>
          <w:rFonts w:ascii="Times New Roman" w:hAnsi="Times New Roman" w:cs="Times New Roman"/>
          <w:sz w:val="24"/>
          <w:szCs w:val="24"/>
        </w:rPr>
        <w:t xml:space="preserve"> all three universities are found to be moderately awared </w:t>
      </w:r>
      <w:r>
        <w:rPr>
          <w:rFonts w:ascii="Times New Roman" w:hAnsi="Times New Roman" w:cs="Times New Roman"/>
          <w:sz w:val="24"/>
          <w:szCs w:val="24"/>
        </w:rPr>
        <w:t xml:space="preserve">about green products. </w:t>
      </w:r>
      <w:r w:rsidRPr="00827F8F">
        <w:rPr>
          <w:rFonts w:ascii="Times New Roman" w:hAnsi="Times New Roman" w:cs="Times New Roman"/>
          <w:sz w:val="24"/>
          <w:szCs w:val="24"/>
        </w:rPr>
        <w:t>Where</w:t>
      </w:r>
      <w:r>
        <w:rPr>
          <w:rFonts w:ascii="Times New Roman" w:hAnsi="Times New Roman" w:cs="Times New Roman"/>
          <w:sz w:val="24"/>
          <w:szCs w:val="24"/>
        </w:rPr>
        <w:t xml:space="preserve"> in, </w:t>
      </w:r>
      <w:r w:rsidRPr="00827F8F">
        <w:rPr>
          <w:rFonts w:ascii="Times New Roman" w:hAnsi="Times New Roman" w:cs="Times New Roman"/>
          <w:sz w:val="24"/>
          <w:szCs w:val="24"/>
        </w:rPr>
        <w:t>26% (life sciences), 20% (social sciences), 19% (information technology), 18%</w:t>
      </w:r>
      <w:r>
        <w:rPr>
          <w:rFonts w:ascii="Times New Roman" w:hAnsi="Times New Roman" w:cs="Times New Roman"/>
          <w:sz w:val="24"/>
          <w:szCs w:val="24"/>
        </w:rPr>
        <w:t xml:space="preserve"> </w:t>
      </w:r>
      <w:r w:rsidRPr="00827F8F">
        <w:rPr>
          <w:rFonts w:ascii="Times New Roman" w:hAnsi="Times New Roman" w:cs="Times New Roman"/>
          <w:sz w:val="24"/>
          <w:szCs w:val="24"/>
        </w:rPr>
        <w:t>(languages) &amp; 17% (physical sciences)</w:t>
      </w:r>
      <w:r>
        <w:rPr>
          <w:rFonts w:ascii="Times New Roman" w:hAnsi="Times New Roman" w:cs="Times New Roman"/>
          <w:sz w:val="24"/>
          <w:szCs w:val="24"/>
        </w:rPr>
        <w:t xml:space="preserve"> of</w:t>
      </w:r>
      <w:r w:rsidRPr="00827F8F">
        <w:rPr>
          <w:rFonts w:ascii="Times New Roman" w:hAnsi="Times New Roman" w:cs="Times New Roman"/>
          <w:sz w:val="24"/>
          <w:szCs w:val="24"/>
        </w:rPr>
        <w:t xml:space="preserve"> students report</w:t>
      </w:r>
      <w:r>
        <w:rPr>
          <w:rFonts w:ascii="Times New Roman" w:hAnsi="Times New Roman" w:cs="Times New Roman"/>
          <w:sz w:val="24"/>
          <w:szCs w:val="24"/>
        </w:rPr>
        <w:t>ed an</w:t>
      </w:r>
      <w:r w:rsidRPr="00827F8F">
        <w:rPr>
          <w:rFonts w:ascii="Times New Roman" w:hAnsi="Times New Roman" w:cs="Times New Roman"/>
          <w:sz w:val="24"/>
          <w:szCs w:val="24"/>
        </w:rPr>
        <w:t xml:space="preserve"> average level of awareness about green products. </w:t>
      </w:r>
      <w:r>
        <w:rPr>
          <w:rFonts w:ascii="Times New Roman" w:hAnsi="Times New Roman" w:cs="Times New Roman"/>
          <w:sz w:val="24"/>
          <w:szCs w:val="24"/>
        </w:rPr>
        <w:t>Gender-wise, a large number of male and female (93%) showed medium to high level of green awareness while only 7% are not much aware about the green products. Female respondent students (55%) are found to have a high level of awareness about green products as compared to the male respondents (45%).</w:t>
      </w:r>
      <w:r w:rsidRPr="00DB52DB">
        <w:rPr>
          <w:rFonts w:ascii="Times New Roman" w:hAnsi="Times New Roman" w:cs="Times New Roman"/>
          <w:sz w:val="24"/>
          <w:szCs w:val="24"/>
        </w:rPr>
        <w:t xml:space="preserve">The level of awareness </w:t>
      </w:r>
      <w:r>
        <w:rPr>
          <w:rFonts w:ascii="Times New Roman" w:hAnsi="Times New Roman" w:cs="Times New Roman"/>
          <w:sz w:val="24"/>
          <w:szCs w:val="24"/>
        </w:rPr>
        <w:t>i</w:t>
      </w:r>
      <w:r w:rsidRPr="00DB52DB">
        <w:rPr>
          <w:rFonts w:ascii="Times New Roman" w:hAnsi="Times New Roman" w:cs="Times New Roman"/>
          <w:sz w:val="24"/>
          <w:szCs w:val="24"/>
        </w:rPr>
        <w:t xml:space="preserve">s </w:t>
      </w:r>
      <w:r>
        <w:rPr>
          <w:rFonts w:ascii="Times New Roman" w:hAnsi="Times New Roman" w:cs="Times New Roman"/>
          <w:sz w:val="24"/>
          <w:szCs w:val="24"/>
        </w:rPr>
        <w:t>found to be higher</w:t>
      </w:r>
      <w:r w:rsidRPr="00DB52DB">
        <w:rPr>
          <w:rFonts w:ascii="Times New Roman" w:hAnsi="Times New Roman" w:cs="Times New Roman"/>
          <w:sz w:val="24"/>
          <w:szCs w:val="24"/>
        </w:rPr>
        <w:t xml:space="preserve"> </w:t>
      </w:r>
      <w:r>
        <w:rPr>
          <w:rFonts w:ascii="Times New Roman" w:hAnsi="Times New Roman" w:cs="Times New Roman"/>
          <w:sz w:val="24"/>
          <w:szCs w:val="24"/>
        </w:rPr>
        <w:t xml:space="preserve">among </w:t>
      </w:r>
      <w:r w:rsidRPr="00DB52DB">
        <w:rPr>
          <w:rFonts w:ascii="Times New Roman" w:hAnsi="Times New Roman" w:cs="Times New Roman"/>
          <w:sz w:val="24"/>
          <w:szCs w:val="24"/>
        </w:rPr>
        <w:t xml:space="preserve">respondents having annual family </w:t>
      </w:r>
      <w:r>
        <w:rPr>
          <w:rFonts w:ascii="Times New Roman" w:hAnsi="Times New Roman" w:cs="Times New Roman"/>
          <w:sz w:val="24"/>
          <w:szCs w:val="24"/>
        </w:rPr>
        <w:t xml:space="preserve">income of </w:t>
      </w:r>
      <w:r w:rsidRPr="00B75C93">
        <w:rPr>
          <w:rFonts w:ascii="Rupee Foradian" w:hAnsi="Rupee Foradian"/>
        </w:rPr>
        <w:t>`</w:t>
      </w:r>
      <w:r>
        <w:rPr>
          <w:rFonts w:ascii="Times New Roman" w:hAnsi="Times New Roman" w:cs="Times New Roman"/>
          <w:sz w:val="24"/>
          <w:szCs w:val="24"/>
        </w:rPr>
        <w:t xml:space="preserve">100000 - </w:t>
      </w:r>
      <w:r w:rsidRPr="00B75C93">
        <w:rPr>
          <w:rFonts w:ascii="Rupee Foradian" w:hAnsi="Rupee Foradian"/>
        </w:rPr>
        <w:t>`</w:t>
      </w:r>
      <w:r w:rsidRPr="00DB52DB">
        <w:rPr>
          <w:rFonts w:ascii="Times New Roman" w:hAnsi="Times New Roman" w:cs="Times New Roman"/>
          <w:sz w:val="24"/>
          <w:szCs w:val="24"/>
        </w:rPr>
        <w:t>300000 (30.2%) and</w:t>
      </w:r>
      <w:r>
        <w:rPr>
          <w:rFonts w:ascii="Times New Roman" w:hAnsi="Times New Roman" w:cs="Times New Roman"/>
          <w:sz w:val="24"/>
          <w:szCs w:val="24"/>
        </w:rPr>
        <w:t xml:space="preserve"> </w:t>
      </w:r>
      <w:r w:rsidRPr="00B75C93">
        <w:rPr>
          <w:rFonts w:ascii="Rupee Foradian" w:hAnsi="Rupee Foradian"/>
        </w:rPr>
        <w:t>`</w:t>
      </w:r>
      <w:r>
        <w:rPr>
          <w:rFonts w:ascii="Times New Roman" w:hAnsi="Times New Roman" w:cs="Times New Roman"/>
          <w:sz w:val="24"/>
          <w:szCs w:val="24"/>
        </w:rPr>
        <w:t xml:space="preserve">300000 - </w:t>
      </w:r>
      <w:r w:rsidRPr="00B75C93">
        <w:rPr>
          <w:rFonts w:ascii="Rupee Foradian" w:hAnsi="Rupee Foradian"/>
        </w:rPr>
        <w:t>`</w:t>
      </w:r>
      <w:r w:rsidRPr="00DB52DB">
        <w:rPr>
          <w:rFonts w:ascii="Times New Roman" w:hAnsi="Times New Roman" w:cs="Times New Roman"/>
          <w:sz w:val="24"/>
          <w:szCs w:val="24"/>
        </w:rPr>
        <w:t>500000 (26.85%). Whereas respondents with family inco</w:t>
      </w:r>
      <w:r>
        <w:rPr>
          <w:rFonts w:ascii="Times New Roman" w:hAnsi="Times New Roman" w:cs="Times New Roman"/>
          <w:sz w:val="24"/>
          <w:szCs w:val="24"/>
        </w:rPr>
        <w:t>me</w:t>
      </w:r>
      <w:r w:rsidRPr="00DB52DB">
        <w:rPr>
          <w:rFonts w:ascii="Times New Roman" w:hAnsi="Times New Roman" w:cs="Times New Roman"/>
          <w:sz w:val="24"/>
          <w:szCs w:val="24"/>
        </w:rPr>
        <w:t xml:space="preserve"> </w:t>
      </w:r>
      <w:r>
        <w:rPr>
          <w:rFonts w:ascii="Times New Roman" w:hAnsi="Times New Roman" w:cs="Times New Roman"/>
          <w:sz w:val="24"/>
          <w:szCs w:val="24"/>
        </w:rPr>
        <w:t xml:space="preserve">below </w:t>
      </w:r>
      <w:r w:rsidRPr="00B75C93">
        <w:rPr>
          <w:rFonts w:ascii="Rupee Foradian" w:hAnsi="Rupee Foradian"/>
        </w:rPr>
        <w:t>`</w:t>
      </w:r>
      <w:r w:rsidRPr="00DB52DB">
        <w:rPr>
          <w:rFonts w:ascii="Times New Roman" w:hAnsi="Times New Roman" w:cs="Times New Roman"/>
          <w:sz w:val="24"/>
          <w:szCs w:val="24"/>
        </w:rPr>
        <w:t xml:space="preserve">100000 (20%) </w:t>
      </w:r>
      <w:r>
        <w:rPr>
          <w:rFonts w:ascii="Times New Roman" w:hAnsi="Times New Roman" w:cs="Times New Roman"/>
          <w:sz w:val="24"/>
          <w:szCs w:val="24"/>
        </w:rPr>
        <w:t xml:space="preserve">and above </w:t>
      </w:r>
      <w:r w:rsidRPr="00B75C93">
        <w:rPr>
          <w:rFonts w:ascii="Rupee Foradian" w:hAnsi="Rupee Foradian"/>
        </w:rPr>
        <w:t>`</w:t>
      </w:r>
      <w:r w:rsidRPr="00DB52DB">
        <w:rPr>
          <w:rFonts w:ascii="Times New Roman" w:hAnsi="Times New Roman" w:cs="Times New Roman"/>
          <w:sz w:val="24"/>
          <w:szCs w:val="24"/>
        </w:rPr>
        <w:t xml:space="preserve">500000 </w:t>
      </w:r>
      <w:r>
        <w:rPr>
          <w:rFonts w:ascii="Times New Roman" w:hAnsi="Times New Roman" w:cs="Times New Roman"/>
          <w:sz w:val="24"/>
          <w:szCs w:val="24"/>
        </w:rPr>
        <w:t>(19%) a</w:t>
      </w:r>
      <w:r w:rsidRPr="00DB52DB">
        <w:rPr>
          <w:rFonts w:ascii="Times New Roman" w:hAnsi="Times New Roman" w:cs="Times New Roman"/>
          <w:sz w:val="24"/>
          <w:szCs w:val="24"/>
        </w:rPr>
        <w:t>re not much exceedingly</w:t>
      </w:r>
      <w:r>
        <w:rPr>
          <w:rFonts w:ascii="Times New Roman" w:hAnsi="Times New Roman" w:cs="Times New Roman"/>
          <w:sz w:val="24"/>
          <w:szCs w:val="24"/>
        </w:rPr>
        <w:t xml:space="preserve"> aware</w:t>
      </w:r>
      <w:r w:rsidRPr="00DB52DB">
        <w:rPr>
          <w:rFonts w:ascii="Times New Roman" w:hAnsi="Times New Roman" w:cs="Times New Roman"/>
          <w:sz w:val="24"/>
          <w:szCs w:val="24"/>
        </w:rPr>
        <w:t xml:space="preserve"> about the green products. </w:t>
      </w:r>
    </w:p>
    <w:p w:rsidR="00842813" w:rsidRDefault="00842813" w:rsidP="00842813">
      <w:pPr>
        <w:pStyle w:val="ListParagraph"/>
        <w:spacing w:line="360" w:lineRule="auto"/>
        <w:ind w:left="0" w:firstLine="720"/>
        <w:contextualSpacing w:val="0"/>
        <w:jc w:val="both"/>
        <w:rPr>
          <w:rFonts w:ascii="Times New Roman" w:hAnsi="Times New Roman" w:cs="Times New Roman"/>
          <w:sz w:val="24"/>
          <w:szCs w:val="24"/>
        </w:rPr>
      </w:pPr>
    </w:p>
    <w:p w:rsidR="00842813" w:rsidRDefault="00842813" w:rsidP="00842813">
      <w:pPr>
        <w:pStyle w:val="ListParagraph"/>
        <w:spacing w:line="360" w:lineRule="auto"/>
        <w:ind w:left="0" w:firstLine="720"/>
        <w:contextualSpacing w:val="0"/>
        <w:jc w:val="both"/>
        <w:rPr>
          <w:rFonts w:ascii="Times New Roman" w:hAnsi="Times New Roman" w:cs="Times New Roman"/>
          <w:sz w:val="24"/>
          <w:szCs w:val="24"/>
        </w:rPr>
      </w:pPr>
    </w:p>
    <w:p w:rsidR="00DA4556" w:rsidRPr="00842813" w:rsidRDefault="00842813" w:rsidP="00842813">
      <w:pPr>
        <w:pStyle w:val="ListParagraph"/>
        <w:spacing w:line="360" w:lineRule="auto"/>
        <w:ind w:left="0" w:firstLine="720"/>
        <w:contextualSpacing w:val="0"/>
        <w:jc w:val="both"/>
        <w:rPr>
          <w:rFonts w:ascii="Times New Roman" w:hAnsi="Times New Roman" w:cs="Times New Roman"/>
          <w:sz w:val="24"/>
          <w:szCs w:val="24"/>
        </w:rPr>
      </w:pPr>
      <w:r w:rsidRPr="00842813">
        <w:rPr>
          <w:rFonts w:ascii="Times New Roman" w:hAnsi="Times New Roman" w:cs="Times New Roman"/>
          <w:b/>
          <w:sz w:val="24"/>
          <w:szCs w:val="24"/>
        </w:rPr>
        <w:lastRenderedPageBreak/>
        <w:t>3.2</w:t>
      </w:r>
      <w:r>
        <w:rPr>
          <w:rFonts w:ascii="Times New Roman" w:hAnsi="Times New Roman" w:cs="Times New Roman"/>
          <w:sz w:val="24"/>
          <w:szCs w:val="24"/>
        </w:rPr>
        <w:t xml:space="preserve"> </w:t>
      </w:r>
      <w:r w:rsidR="00DA4556" w:rsidRPr="00842813">
        <w:rPr>
          <w:rFonts w:ascii="Times New Roman" w:hAnsi="Times New Roman" w:cs="Times New Roman"/>
          <w:b/>
          <w:sz w:val="24"/>
          <w:szCs w:val="24"/>
        </w:rPr>
        <w:t>Sources of Awareness about Green Products</w:t>
      </w:r>
    </w:p>
    <w:p w:rsidR="00DA4556" w:rsidRPr="00FB0E49" w:rsidRDefault="00DA4556" w:rsidP="00DA45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Sources of awareness about green products namely, family, friend, media &amp; others were put to the respondents and the university-wise, faculty-wise, </w:t>
      </w:r>
      <w:proofErr w:type="gramStart"/>
      <w:r>
        <w:rPr>
          <w:rFonts w:ascii="Times New Roman" w:hAnsi="Times New Roman" w:cs="Times New Roman"/>
          <w:sz w:val="24"/>
          <w:szCs w:val="24"/>
        </w:rPr>
        <w:t>gender</w:t>
      </w:r>
      <w:proofErr w:type="gramEnd"/>
      <w:r>
        <w:rPr>
          <w:rFonts w:ascii="Times New Roman" w:hAnsi="Times New Roman" w:cs="Times New Roman"/>
          <w:sz w:val="24"/>
          <w:szCs w:val="24"/>
        </w:rPr>
        <w:t xml:space="preserve">-wise and family income wise results </w:t>
      </w:r>
      <w:r w:rsidR="00842813">
        <w:rPr>
          <w:rFonts w:ascii="Times New Roman" w:hAnsi="Times New Roman" w:cs="Times New Roman"/>
          <w:sz w:val="24"/>
          <w:szCs w:val="24"/>
        </w:rPr>
        <w:t>are displayed in fig.2</w:t>
      </w:r>
      <w:r>
        <w:rPr>
          <w:rFonts w:ascii="Times New Roman" w:hAnsi="Times New Roman" w:cs="Times New Roman"/>
          <w:sz w:val="24"/>
          <w:szCs w:val="24"/>
        </w:rPr>
        <w:t xml:space="preserve">. </w:t>
      </w:r>
      <w:r>
        <w:rPr>
          <w:rFonts w:ascii="Times New Roman" w:hAnsi="Times New Roman" w:cs="Times New Roman"/>
          <w:sz w:val="24"/>
          <w:szCs w:val="23"/>
        </w:rPr>
        <w:t>The analysis reveals that m</w:t>
      </w:r>
      <w:r w:rsidRPr="00AE3F95">
        <w:rPr>
          <w:rFonts w:ascii="Times New Roman" w:hAnsi="Times New Roman" w:cs="Times New Roman"/>
          <w:sz w:val="24"/>
          <w:szCs w:val="24"/>
        </w:rPr>
        <w:t>ost of the respondent students from all the three universities regard</w:t>
      </w:r>
      <w:r>
        <w:rPr>
          <w:rFonts w:ascii="Times New Roman" w:hAnsi="Times New Roman" w:cs="Times New Roman"/>
          <w:sz w:val="24"/>
          <w:szCs w:val="24"/>
        </w:rPr>
        <w:t>ed</w:t>
      </w:r>
      <w:r w:rsidRPr="00AE3F95">
        <w:rPr>
          <w:rFonts w:ascii="Times New Roman" w:hAnsi="Times New Roman" w:cs="Times New Roman"/>
          <w:sz w:val="24"/>
          <w:szCs w:val="24"/>
        </w:rPr>
        <w:t xml:space="preserve"> media </w:t>
      </w:r>
      <w:r>
        <w:rPr>
          <w:rFonts w:ascii="Times New Roman" w:hAnsi="Times New Roman" w:cs="Times New Roman"/>
          <w:sz w:val="24"/>
          <w:szCs w:val="24"/>
        </w:rPr>
        <w:t xml:space="preserve">(49.53%) </w:t>
      </w:r>
      <w:r w:rsidRPr="00AE3F95">
        <w:rPr>
          <w:rFonts w:ascii="Times New Roman" w:hAnsi="Times New Roman" w:cs="Times New Roman"/>
          <w:sz w:val="24"/>
          <w:szCs w:val="24"/>
        </w:rPr>
        <w:t>as a prime source of awareness about green products, followed by</w:t>
      </w:r>
      <w:r>
        <w:rPr>
          <w:rFonts w:ascii="Times New Roman" w:hAnsi="Times New Roman" w:cs="Times New Roman"/>
          <w:sz w:val="24"/>
          <w:szCs w:val="24"/>
        </w:rPr>
        <w:t xml:space="preserve"> </w:t>
      </w:r>
      <w:r w:rsidRPr="00AE3F95">
        <w:rPr>
          <w:rFonts w:ascii="Times New Roman" w:hAnsi="Times New Roman" w:cs="Times New Roman"/>
          <w:sz w:val="24"/>
          <w:szCs w:val="24"/>
        </w:rPr>
        <w:t>friends</w:t>
      </w:r>
      <w:r>
        <w:rPr>
          <w:rFonts w:ascii="Times New Roman" w:hAnsi="Times New Roman" w:cs="Times New Roman"/>
          <w:sz w:val="24"/>
          <w:szCs w:val="24"/>
        </w:rPr>
        <w:t xml:space="preserve"> (28.24%)</w:t>
      </w:r>
      <w:r w:rsidRPr="00AE3F95">
        <w:rPr>
          <w:rFonts w:ascii="Times New Roman" w:hAnsi="Times New Roman" w:cs="Times New Roman"/>
          <w:sz w:val="24"/>
          <w:szCs w:val="24"/>
        </w:rPr>
        <w:t>, family</w:t>
      </w:r>
      <w:r>
        <w:rPr>
          <w:rFonts w:ascii="Times New Roman" w:hAnsi="Times New Roman" w:cs="Times New Roman"/>
          <w:sz w:val="24"/>
          <w:szCs w:val="24"/>
        </w:rPr>
        <w:t xml:space="preserve"> (12.03%)</w:t>
      </w:r>
      <w:r w:rsidRPr="00AE3F95">
        <w:rPr>
          <w:rFonts w:ascii="Times New Roman" w:hAnsi="Times New Roman" w:cs="Times New Roman"/>
          <w:sz w:val="24"/>
          <w:szCs w:val="24"/>
        </w:rPr>
        <w:t xml:space="preserve"> and</w:t>
      </w:r>
      <w:r>
        <w:rPr>
          <w:rFonts w:ascii="Times New Roman" w:hAnsi="Times New Roman" w:cs="Times New Roman"/>
          <w:sz w:val="24"/>
          <w:szCs w:val="24"/>
        </w:rPr>
        <w:t xml:space="preserve"> least by </w:t>
      </w:r>
      <w:r w:rsidRPr="00AE3F95">
        <w:rPr>
          <w:rFonts w:ascii="Times New Roman" w:hAnsi="Times New Roman" w:cs="Times New Roman"/>
          <w:sz w:val="24"/>
          <w:szCs w:val="24"/>
        </w:rPr>
        <w:t>other source</w:t>
      </w:r>
      <w:r>
        <w:rPr>
          <w:rFonts w:ascii="Times New Roman" w:hAnsi="Times New Roman" w:cs="Times New Roman"/>
          <w:sz w:val="24"/>
          <w:szCs w:val="24"/>
        </w:rPr>
        <w:t>s (10.18%)</w:t>
      </w:r>
      <w:r w:rsidRPr="00AE3F95">
        <w:rPr>
          <w:rFonts w:ascii="Times New Roman" w:hAnsi="Times New Roman" w:cs="Times New Roman"/>
          <w:sz w:val="24"/>
          <w:szCs w:val="24"/>
        </w:rPr>
        <w:t>.</w:t>
      </w:r>
      <w:r>
        <w:rPr>
          <w:rFonts w:ascii="Times New Roman" w:hAnsi="Times New Roman" w:cs="Times New Roman"/>
          <w:sz w:val="24"/>
          <w:szCs w:val="24"/>
        </w:rPr>
        <w:t xml:space="preserve"> </w:t>
      </w:r>
      <w:r w:rsidRPr="00FB0E49">
        <w:rPr>
          <w:rFonts w:ascii="Times New Roman" w:hAnsi="Times New Roman" w:cs="Times New Roman"/>
          <w:sz w:val="24"/>
          <w:szCs w:val="24"/>
        </w:rPr>
        <w:t>About 54% of respondent students from IT (information technology)</w:t>
      </w:r>
      <w:r>
        <w:rPr>
          <w:rFonts w:ascii="Times New Roman" w:hAnsi="Times New Roman" w:cs="Times New Roman"/>
          <w:sz w:val="24"/>
          <w:szCs w:val="24"/>
        </w:rPr>
        <w:t xml:space="preserve"> faculty</w:t>
      </w:r>
      <w:r w:rsidRPr="00FB0E49">
        <w:rPr>
          <w:rFonts w:ascii="Times New Roman" w:hAnsi="Times New Roman" w:cs="Times New Roman"/>
          <w:sz w:val="24"/>
          <w:szCs w:val="24"/>
        </w:rPr>
        <w:t xml:space="preserve"> and 49% respondent students from life sciences mostly explore</w:t>
      </w:r>
      <w:r>
        <w:rPr>
          <w:rFonts w:ascii="Times New Roman" w:hAnsi="Times New Roman" w:cs="Times New Roman"/>
          <w:sz w:val="24"/>
          <w:szCs w:val="24"/>
        </w:rPr>
        <w:t>d</w:t>
      </w:r>
      <w:r w:rsidRPr="00FB0E49">
        <w:rPr>
          <w:rFonts w:ascii="Times New Roman" w:hAnsi="Times New Roman" w:cs="Times New Roman"/>
          <w:sz w:val="24"/>
          <w:szCs w:val="24"/>
        </w:rPr>
        <w:t xml:space="preserve"> media for the information of green product. Whereas, 31% respondents from social sciences and 27% respondents from languages regularly</w:t>
      </w:r>
      <w:r>
        <w:rPr>
          <w:rFonts w:ascii="Times New Roman" w:hAnsi="Times New Roman" w:cs="Times New Roman"/>
          <w:sz w:val="24"/>
          <w:szCs w:val="24"/>
        </w:rPr>
        <w:t xml:space="preserve"> sought</w:t>
      </w:r>
      <w:r w:rsidRPr="00FB0E49">
        <w:rPr>
          <w:rFonts w:ascii="Times New Roman" w:hAnsi="Times New Roman" w:cs="Times New Roman"/>
          <w:sz w:val="24"/>
          <w:szCs w:val="24"/>
        </w:rPr>
        <w:t xml:space="preserve"> the help of family &amp; friends for </w:t>
      </w:r>
      <w:r>
        <w:rPr>
          <w:rFonts w:ascii="Times New Roman" w:hAnsi="Times New Roman" w:cs="Times New Roman"/>
          <w:sz w:val="24"/>
          <w:szCs w:val="24"/>
        </w:rPr>
        <w:t xml:space="preserve">information about </w:t>
      </w:r>
      <w:r w:rsidRPr="00FB0E49">
        <w:rPr>
          <w:rFonts w:ascii="Times New Roman" w:hAnsi="Times New Roman" w:cs="Times New Roman"/>
          <w:sz w:val="24"/>
          <w:szCs w:val="24"/>
        </w:rPr>
        <w:t>green products.</w:t>
      </w:r>
      <w:r>
        <w:rPr>
          <w:rFonts w:ascii="Times New Roman" w:hAnsi="Times New Roman" w:cs="Times New Roman"/>
          <w:sz w:val="24"/>
          <w:szCs w:val="24"/>
        </w:rPr>
        <w:t xml:space="preserve"> </w:t>
      </w:r>
      <w:r w:rsidRPr="00FB0E49">
        <w:rPr>
          <w:rFonts w:ascii="Times New Roman" w:hAnsi="Times New Roman" w:cs="Times New Roman"/>
          <w:sz w:val="24"/>
          <w:szCs w:val="24"/>
        </w:rPr>
        <w:t>Both male (85%) &amp; female respondent students (71</w:t>
      </w:r>
      <w:r>
        <w:rPr>
          <w:rFonts w:ascii="Times New Roman" w:hAnsi="Times New Roman" w:cs="Times New Roman"/>
          <w:sz w:val="24"/>
          <w:szCs w:val="24"/>
        </w:rPr>
        <w:t>%) look</w:t>
      </w:r>
      <w:r w:rsidRPr="00FB0E49">
        <w:rPr>
          <w:rFonts w:ascii="Times New Roman" w:hAnsi="Times New Roman" w:cs="Times New Roman"/>
          <w:sz w:val="24"/>
          <w:szCs w:val="24"/>
        </w:rPr>
        <w:t xml:space="preserve"> for media &amp; friends for gathering information about green products, whereas a good part of female respondents (35%) consider family views about green products as a most authentic source of awareness about green products.</w:t>
      </w:r>
      <w:r>
        <w:rPr>
          <w:rFonts w:ascii="Times New Roman" w:hAnsi="Times New Roman" w:cs="Times New Roman"/>
          <w:sz w:val="24"/>
          <w:szCs w:val="24"/>
        </w:rPr>
        <w:t xml:space="preserve"> </w:t>
      </w:r>
      <w:r w:rsidRPr="00FB0E49">
        <w:rPr>
          <w:rFonts w:ascii="Times New Roman" w:hAnsi="Times New Roman" w:cs="Times New Roman"/>
          <w:sz w:val="24"/>
          <w:szCs w:val="24"/>
        </w:rPr>
        <w:t>Respondent</w:t>
      </w:r>
      <w:r>
        <w:rPr>
          <w:rFonts w:ascii="Times New Roman" w:hAnsi="Times New Roman" w:cs="Times New Roman"/>
          <w:sz w:val="24"/>
          <w:szCs w:val="24"/>
        </w:rPr>
        <w:t xml:space="preserve">s </w:t>
      </w:r>
      <w:r w:rsidRPr="00FB0E49">
        <w:rPr>
          <w:rFonts w:ascii="Times New Roman" w:hAnsi="Times New Roman" w:cs="Times New Roman"/>
          <w:sz w:val="24"/>
          <w:szCs w:val="24"/>
        </w:rPr>
        <w:t xml:space="preserve">from three annual family </w:t>
      </w:r>
      <w:r>
        <w:rPr>
          <w:rFonts w:ascii="Times New Roman" w:hAnsi="Times New Roman" w:cs="Times New Roman"/>
          <w:sz w:val="24"/>
          <w:szCs w:val="24"/>
        </w:rPr>
        <w:t xml:space="preserve">income </w:t>
      </w:r>
      <w:r w:rsidRPr="00FB0E49">
        <w:rPr>
          <w:rFonts w:ascii="Times New Roman" w:hAnsi="Times New Roman" w:cs="Times New Roman"/>
          <w:sz w:val="24"/>
          <w:szCs w:val="24"/>
        </w:rPr>
        <w:t>group</w:t>
      </w:r>
      <w:r>
        <w:rPr>
          <w:rFonts w:ascii="Times New Roman" w:hAnsi="Times New Roman" w:cs="Times New Roman"/>
          <w:sz w:val="24"/>
          <w:szCs w:val="24"/>
        </w:rPr>
        <w:t>s</w:t>
      </w:r>
      <w:r w:rsidRPr="00FB0E49">
        <w:rPr>
          <w:rFonts w:ascii="Times New Roman" w:hAnsi="Times New Roman" w:cs="Times New Roman"/>
          <w:sz w:val="24"/>
          <w:szCs w:val="24"/>
        </w:rPr>
        <w:t xml:space="preserve"> viz. below </w:t>
      </w:r>
      <w:r w:rsidRPr="00B75C93">
        <w:rPr>
          <w:rFonts w:ascii="Rupee Foradian" w:hAnsi="Rupee Foradian"/>
        </w:rPr>
        <w:t>`</w:t>
      </w:r>
      <w:r w:rsidRPr="00FB0E49">
        <w:rPr>
          <w:rFonts w:ascii="Times New Roman" w:hAnsi="Times New Roman" w:cs="Times New Roman"/>
          <w:sz w:val="24"/>
          <w:szCs w:val="24"/>
        </w:rPr>
        <w:t xml:space="preserve">100000 (67%), </w:t>
      </w:r>
      <w:r w:rsidRPr="00B75C93">
        <w:rPr>
          <w:rFonts w:ascii="Rupee Foradian" w:hAnsi="Rupee Foradian"/>
        </w:rPr>
        <w:t>`</w:t>
      </w:r>
      <w:r w:rsidRPr="00FB0E49">
        <w:rPr>
          <w:rFonts w:ascii="Times New Roman" w:hAnsi="Times New Roman" w:cs="Times New Roman"/>
          <w:sz w:val="24"/>
          <w:szCs w:val="24"/>
        </w:rPr>
        <w:t>100000</w:t>
      </w:r>
      <w:r>
        <w:rPr>
          <w:rFonts w:ascii="Times New Roman" w:hAnsi="Times New Roman" w:cs="Times New Roman"/>
          <w:sz w:val="24"/>
          <w:szCs w:val="24"/>
        </w:rPr>
        <w:t xml:space="preserve"> </w:t>
      </w:r>
      <w:r w:rsidRPr="00FB0E49">
        <w:rPr>
          <w:rFonts w:ascii="Times New Roman" w:hAnsi="Times New Roman" w:cs="Times New Roman"/>
          <w:sz w:val="24"/>
          <w:szCs w:val="24"/>
        </w:rPr>
        <w:t xml:space="preserve">- </w:t>
      </w:r>
      <w:r w:rsidRPr="00B75C93">
        <w:rPr>
          <w:rFonts w:ascii="Rupee Foradian" w:hAnsi="Rupee Foradian"/>
        </w:rPr>
        <w:t>`</w:t>
      </w:r>
      <w:r w:rsidRPr="00FB0E49">
        <w:rPr>
          <w:rFonts w:ascii="Times New Roman" w:hAnsi="Times New Roman" w:cs="Times New Roman"/>
          <w:sz w:val="24"/>
          <w:szCs w:val="24"/>
        </w:rPr>
        <w:t xml:space="preserve">300000 (72%) &amp; </w:t>
      </w:r>
      <w:r w:rsidRPr="00B75C93">
        <w:rPr>
          <w:rFonts w:ascii="Rupee Foradian" w:hAnsi="Rupee Foradian"/>
        </w:rPr>
        <w:t>`</w:t>
      </w:r>
      <w:r w:rsidRPr="00FB0E49">
        <w:rPr>
          <w:rFonts w:ascii="Times New Roman" w:hAnsi="Times New Roman" w:cs="Times New Roman"/>
          <w:sz w:val="24"/>
          <w:szCs w:val="24"/>
        </w:rPr>
        <w:t>300000</w:t>
      </w:r>
      <w:r>
        <w:rPr>
          <w:rFonts w:ascii="Times New Roman" w:hAnsi="Times New Roman" w:cs="Times New Roman"/>
          <w:sz w:val="24"/>
          <w:szCs w:val="24"/>
        </w:rPr>
        <w:t xml:space="preserve"> </w:t>
      </w:r>
      <w:r w:rsidRPr="00FB0E49">
        <w:rPr>
          <w:rFonts w:ascii="Times New Roman" w:hAnsi="Times New Roman" w:cs="Times New Roman"/>
          <w:sz w:val="24"/>
          <w:szCs w:val="24"/>
        </w:rPr>
        <w:t>-</w:t>
      </w:r>
      <w:r>
        <w:rPr>
          <w:rFonts w:ascii="Times New Roman" w:hAnsi="Times New Roman" w:cs="Times New Roman"/>
          <w:sz w:val="24"/>
          <w:szCs w:val="24"/>
        </w:rPr>
        <w:t xml:space="preserve"> </w:t>
      </w:r>
      <w:r w:rsidRPr="00B75C93">
        <w:rPr>
          <w:rFonts w:ascii="Rupee Foradian" w:hAnsi="Rupee Foradian"/>
        </w:rPr>
        <w:t>`</w:t>
      </w:r>
      <w:r w:rsidRPr="00FB0E49">
        <w:rPr>
          <w:rFonts w:ascii="Times New Roman" w:hAnsi="Times New Roman" w:cs="Times New Roman"/>
          <w:sz w:val="24"/>
          <w:szCs w:val="24"/>
        </w:rPr>
        <w:t xml:space="preserve">500000 (75%) </w:t>
      </w:r>
      <w:r>
        <w:rPr>
          <w:rFonts w:ascii="Times New Roman" w:hAnsi="Times New Roman" w:cs="Times New Roman"/>
          <w:sz w:val="24"/>
          <w:szCs w:val="24"/>
        </w:rPr>
        <w:t>depend on</w:t>
      </w:r>
      <w:r w:rsidRPr="00FB0E49">
        <w:rPr>
          <w:rFonts w:ascii="Times New Roman" w:hAnsi="Times New Roman" w:cs="Times New Roman"/>
          <w:sz w:val="24"/>
          <w:szCs w:val="24"/>
        </w:rPr>
        <w:t xml:space="preserve"> media, friends &amp;</w:t>
      </w:r>
      <w:r>
        <w:rPr>
          <w:rFonts w:ascii="Times New Roman" w:hAnsi="Times New Roman" w:cs="Times New Roman"/>
          <w:sz w:val="24"/>
          <w:szCs w:val="24"/>
        </w:rPr>
        <w:t xml:space="preserve"> family for</w:t>
      </w:r>
      <w:r w:rsidRPr="00FB0E49">
        <w:rPr>
          <w:rFonts w:ascii="Times New Roman" w:hAnsi="Times New Roman" w:cs="Times New Roman"/>
          <w:sz w:val="24"/>
          <w:szCs w:val="24"/>
        </w:rPr>
        <w:t xml:space="preserve"> green information. But the 82% of the respondents with annual family income of more than </w:t>
      </w:r>
      <w:r w:rsidRPr="00B75C93">
        <w:rPr>
          <w:rFonts w:ascii="Rupee Foradian" w:hAnsi="Rupee Foradian"/>
        </w:rPr>
        <w:t>`</w:t>
      </w:r>
      <w:r w:rsidRPr="00FB0E49">
        <w:rPr>
          <w:rFonts w:ascii="Times New Roman" w:hAnsi="Times New Roman" w:cs="Times New Roman"/>
          <w:sz w:val="24"/>
          <w:szCs w:val="24"/>
        </w:rPr>
        <w:t>500000 largely</w:t>
      </w:r>
      <w:r>
        <w:rPr>
          <w:rFonts w:ascii="Times New Roman" w:hAnsi="Times New Roman" w:cs="Times New Roman"/>
          <w:sz w:val="24"/>
          <w:szCs w:val="24"/>
        </w:rPr>
        <w:t xml:space="preserve"> trust media for the in</w:t>
      </w:r>
      <w:r w:rsidRPr="00FB0E49">
        <w:rPr>
          <w:rFonts w:ascii="Times New Roman" w:hAnsi="Times New Roman" w:cs="Times New Roman"/>
          <w:sz w:val="24"/>
          <w:szCs w:val="24"/>
        </w:rPr>
        <w:t xml:space="preserve">formation about green products. </w:t>
      </w:r>
    </w:p>
    <w:tbl>
      <w:tblPr>
        <w:tblStyle w:val="TableGrid"/>
        <w:tblW w:w="7470" w:type="dxa"/>
        <w:jc w:val="center"/>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ayout w:type="fixed"/>
        <w:tblLook w:val="04A0"/>
      </w:tblPr>
      <w:tblGrid>
        <w:gridCol w:w="3420"/>
        <w:gridCol w:w="4050"/>
      </w:tblGrid>
      <w:tr w:rsidR="00DA4556" w:rsidTr="006B528B">
        <w:trPr>
          <w:jc w:val="center"/>
        </w:trPr>
        <w:tc>
          <w:tcPr>
            <w:tcW w:w="3420" w:type="dxa"/>
            <w:shd w:val="clear" w:color="auto" w:fill="C2D69B" w:themeFill="accent3" w:themeFillTint="99"/>
          </w:tcPr>
          <w:p w:rsidR="00DA4556" w:rsidRDefault="00DA4556" w:rsidP="006B528B">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032986" cy="2201043"/>
                  <wp:effectExtent l="38100" t="57150" r="119664" b="104007"/>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033270" cy="2201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050" w:type="dxa"/>
            <w:shd w:val="clear" w:color="auto" w:fill="C2D69B" w:themeFill="accent3" w:themeFillTint="99"/>
          </w:tcPr>
          <w:p w:rsidR="00DA4556" w:rsidRDefault="00DA4556" w:rsidP="006B528B">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17649" cy="2201678"/>
                  <wp:effectExtent l="38100" t="57150" r="120751" b="103372"/>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320183" cy="2204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DA4556" w:rsidTr="006B528B">
        <w:trPr>
          <w:jc w:val="center"/>
        </w:trPr>
        <w:tc>
          <w:tcPr>
            <w:tcW w:w="3420" w:type="dxa"/>
            <w:shd w:val="clear" w:color="auto" w:fill="C2D69B" w:themeFill="accent3" w:themeFillTint="99"/>
          </w:tcPr>
          <w:p w:rsidR="00DA4556" w:rsidRDefault="00DA4556" w:rsidP="006B528B">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032986" cy="2297847"/>
                  <wp:effectExtent l="38100" t="57150" r="119664" b="102453"/>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033270" cy="22981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050" w:type="dxa"/>
            <w:shd w:val="clear" w:color="auto" w:fill="C2D69B" w:themeFill="accent3" w:themeFillTint="99"/>
          </w:tcPr>
          <w:p w:rsidR="00DA4556" w:rsidRDefault="00DA4556" w:rsidP="006B528B">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18953" cy="2297212"/>
                  <wp:effectExtent l="38100" t="57150" r="119447" b="103088"/>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316552" cy="22948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DA4556" w:rsidRDefault="00842813" w:rsidP="00DA4556">
      <w:pPr>
        <w:spacing w:after="0"/>
        <w:jc w:val="center"/>
        <w:rPr>
          <w:rFonts w:ascii="Times New Roman" w:hAnsi="Times New Roman" w:cs="Times New Roman"/>
          <w:b/>
          <w:sz w:val="24"/>
          <w:szCs w:val="24"/>
        </w:rPr>
      </w:pPr>
      <w:r>
        <w:rPr>
          <w:rFonts w:ascii="Times New Roman" w:hAnsi="Times New Roman" w:cs="Times New Roman"/>
          <w:b/>
          <w:sz w:val="24"/>
          <w:szCs w:val="24"/>
        </w:rPr>
        <w:t>Fig. 2</w:t>
      </w:r>
      <w:r w:rsidR="00DA4556">
        <w:rPr>
          <w:rFonts w:ascii="Times New Roman" w:hAnsi="Times New Roman" w:cs="Times New Roman"/>
          <w:b/>
          <w:sz w:val="24"/>
          <w:szCs w:val="24"/>
        </w:rPr>
        <w:t>: Sources of awareness about green products among sample respondents*</w:t>
      </w:r>
    </w:p>
    <w:p w:rsidR="00DA4556" w:rsidRPr="000C6849" w:rsidRDefault="00DA4556" w:rsidP="00DA4556">
      <w:pPr>
        <w:spacing w:after="0"/>
        <w:jc w:val="both"/>
        <w:rPr>
          <w:rFonts w:ascii="Times New Roman" w:hAnsi="Times New Roman" w:cs="Times New Roman"/>
          <w:b/>
          <w:sz w:val="20"/>
          <w:szCs w:val="24"/>
        </w:rPr>
      </w:pPr>
      <w:r w:rsidRPr="000C6849">
        <w:rPr>
          <w:rFonts w:ascii="Times New Roman" w:hAnsi="Times New Roman" w:cs="Times New Roman"/>
          <w:b/>
          <w:sz w:val="20"/>
          <w:szCs w:val="24"/>
        </w:rPr>
        <w:t>*</w:t>
      </w:r>
      <w:r w:rsidRPr="000C6849">
        <w:rPr>
          <w:rFonts w:ascii="Times New Roman" w:hAnsi="Times New Roman" w:cs="Times New Roman"/>
          <w:b/>
          <w:i/>
          <w:szCs w:val="24"/>
        </w:rPr>
        <w:t xml:space="preserve">Source: </w:t>
      </w:r>
      <w:r w:rsidRPr="000C6849">
        <w:rPr>
          <w:rFonts w:ascii="Times New Roman" w:hAnsi="Times New Roman" w:cs="Times New Roman"/>
          <w:i/>
          <w:szCs w:val="24"/>
        </w:rPr>
        <w:t>Survey</w:t>
      </w:r>
    </w:p>
    <w:p w:rsidR="00DA4556" w:rsidRDefault="00DA4556" w:rsidP="00DA4556">
      <w:pPr>
        <w:tabs>
          <w:tab w:val="left" w:pos="5407"/>
        </w:tabs>
        <w:spacing w:after="0"/>
        <w:jc w:val="both"/>
        <w:rPr>
          <w:rFonts w:ascii="Times New Roman" w:hAnsi="Times New Roman" w:cs="Times New Roman"/>
          <w:b/>
          <w:sz w:val="24"/>
          <w:szCs w:val="24"/>
        </w:rPr>
      </w:pPr>
      <w:r>
        <w:rPr>
          <w:rFonts w:ascii="Times New Roman" w:hAnsi="Times New Roman" w:cs="Times New Roman"/>
          <w:b/>
          <w:sz w:val="24"/>
          <w:szCs w:val="24"/>
        </w:rPr>
        <w:tab/>
      </w:r>
    </w:p>
    <w:p w:rsidR="00DA4556" w:rsidRDefault="00DA4556" w:rsidP="00DA4556">
      <w:pPr>
        <w:spacing w:after="0"/>
        <w:ind w:firstLine="720"/>
        <w:rPr>
          <w:rFonts w:ascii="Times New Roman" w:hAnsi="Times New Roman" w:cs="Times New Roman"/>
          <w:b/>
          <w:sz w:val="24"/>
          <w:szCs w:val="24"/>
        </w:rPr>
      </w:pPr>
    </w:p>
    <w:p w:rsidR="00DA4556" w:rsidRDefault="00DA4556" w:rsidP="00DA4556">
      <w:pPr>
        <w:spacing w:after="0"/>
        <w:rPr>
          <w:rFonts w:ascii="Times New Roman" w:hAnsi="Times New Roman" w:cs="Times New Roman"/>
          <w:b/>
          <w:sz w:val="24"/>
          <w:szCs w:val="24"/>
        </w:rPr>
      </w:pPr>
    </w:p>
    <w:p w:rsidR="00DA4556" w:rsidRDefault="00DA4556" w:rsidP="00DA4556">
      <w:pPr>
        <w:spacing w:after="0"/>
        <w:rPr>
          <w:rFonts w:ascii="Times New Roman" w:hAnsi="Times New Roman" w:cs="Times New Roman"/>
          <w:b/>
          <w:sz w:val="24"/>
          <w:szCs w:val="24"/>
        </w:rPr>
      </w:pPr>
    </w:p>
    <w:p w:rsidR="00DA4556" w:rsidRDefault="00DA4556" w:rsidP="00DA4556">
      <w:pPr>
        <w:spacing w:after="0"/>
        <w:rPr>
          <w:rFonts w:ascii="Times New Roman" w:hAnsi="Times New Roman" w:cs="Times New Roman"/>
          <w:b/>
          <w:sz w:val="24"/>
          <w:szCs w:val="24"/>
        </w:rPr>
      </w:pPr>
    </w:p>
    <w:p w:rsidR="00DA4556" w:rsidRDefault="00DA4556" w:rsidP="00DA4556">
      <w:pPr>
        <w:spacing w:after="0"/>
        <w:rPr>
          <w:rFonts w:ascii="Times New Roman" w:hAnsi="Times New Roman" w:cs="Times New Roman"/>
          <w:b/>
          <w:sz w:val="24"/>
          <w:szCs w:val="24"/>
        </w:rPr>
      </w:pPr>
    </w:p>
    <w:p w:rsidR="00DA4556" w:rsidRPr="001700F8" w:rsidRDefault="00DA4556" w:rsidP="001700F8">
      <w:pPr>
        <w:pStyle w:val="ListParagraph"/>
        <w:numPr>
          <w:ilvl w:val="1"/>
          <w:numId w:val="30"/>
        </w:numPr>
        <w:spacing w:line="360" w:lineRule="auto"/>
        <w:rPr>
          <w:rFonts w:ascii="Times New Roman" w:hAnsi="Times New Roman" w:cs="Times New Roman"/>
          <w:b/>
          <w:sz w:val="24"/>
          <w:szCs w:val="24"/>
        </w:rPr>
      </w:pPr>
      <w:r w:rsidRPr="001700F8">
        <w:rPr>
          <w:rFonts w:ascii="Times New Roman" w:hAnsi="Times New Roman" w:cs="Times New Roman"/>
          <w:b/>
          <w:sz w:val="24"/>
          <w:szCs w:val="24"/>
        </w:rPr>
        <w:t>Usage of Green Products</w:t>
      </w:r>
    </w:p>
    <w:p w:rsidR="00DA4556" w:rsidRPr="00EB2214" w:rsidRDefault="00DA4556" w:rsidP="00DA455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B2214">
        <w:rPr>
          <w:rFonts w:ascii="Times New Roman" w:hAnsi="Times New Roman" w:cs="Times New Roman"/>
          <w:sz w:val="24"/>
          <w:szCs w:val="24"/>
        </w:rPr>
        <w:t>Usage of green products have been analysed university-wise,</w:t>
      </w:r>
      <w:r>
        <w:rPr>
          <w:rFonts w:ascii="Times New Roman" w:hAnsi="Times New Roman" w:cs="Times New Roman"/>
          <w:sz w:val="24"/>
          <w:szCs w:val="24"/>
        </w:rPr>
        <w:t xml:space="preserve"> </w:t>
      </w:r>
      <w:r w:rsidRPr="00EB2214">
        <w:rPr>
          <w:rFonts w:ascii="Times New Roman" w:hAnsi="Times New Roman" w:cs="Times New Roman"/>
          <w:sz w:val="24"/>
          <w:szCs w:val="24"/>
        </w:rPr>
        <w:t>faculty-wise,</w:t>
      </w:r>
      <w:r>
        <w:rPr>
          <w:rFonts w:ascii="Times New Roman" w:hAnsi="Times New Roman" w:cs="Times New Roman"/>
          <w:sz w:val="24"/>
          <w:szCs w:val="24"/>
        </w:rPr>
        <w:t xml:space="preserve"> </w:t>
      </w:r>
      <w:r w:rsidRPr="00EB2214">
        <w:rPr>
          <w:rFonts w:ascii="Times New Roman" w:hAnsi="Times New Roman" w:cs="Times New Roman"/>
          <w:sz w:val="24"/>
          <w:szCs w:val="24"/>
        </w:rPr>
        <w:t>gender</w:t>
      </w:r>
      <w:r>
        <w:rPr>
          <w:rFonts w:ascii="Times New Roman" w:hAnsi="Times New Roman" w:cs="Times New Roman"/>
          <w:sz w:val="24"/>
          <w:szCs w:val="24"/>
        </w:rPr>
        <w:t>-wise and annual family income-</w:t>
      </w:r>
      <w:r w:rsidRPr="00EB2214">
        <w:rPr>
          <w:rFonts w:ascii="Times New Roman" w:hAnsi="Times New Roman" w:cs="Times New Roman"/>
          <w:sz w:val="24"/>
          <w:szCs w:val="24"/>
        </w:rPr>
        <w:t>wise and t</w:t>
      </w:r>
      <w:r w:rsidR="00F47CEF">
        <w:rPr>
          <w:rFonts w:ascii="Times New Roman" w:hAnsi="Times New Roman" w:cs="Times New Roman"/>
          <w:sz w:val="24"/>
          <w:szCs w:val="24"/>
        </w:rPr>
        <w:t>he results are shown in fig.3</w:t>
      </w:r>
      <w:r w:rsidRPr="00EB2214">
        <w:rPr>
          <w:rFonts w:ascii="Times New Roman" w:hAnsi="Times New Roman" w:cs="Times New Roman"/>
          <w:sz w:val="24"/>
          <w:szCs w:val="24"/>
        </w:rPr>
        <w:t>.</w:t>
      </w:r>
    </w:p>
    <w:tbl>
      <w:tblPr>
        <w:tblStyle w:val="TableGrid"/>
        <w:tblW w:w="8010" w:type="dxa"/>
        <w:jc w:val="center"/>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ayout w:type="fixed"/>
        <w:tblLook w:val="04A0"/>
      </w:tblPr>
      <w:tblGrid>
        <w:gridCol w:w="3780"/>
        <w:gridCol w:w="4230"/>
      </w:tblGrid>
      <w:tr w:rsidR="00DA4556" w:rsidTr="006B528B">
        <w:trPr>
          <w:jc w:val="center"/>
        </w:trPr>
        <w:tc>
          <w:tcPr>
            <w:tcW w:w="3780" w:type="dxa"/>
            <w:shd w:val="clear" w:color="auto" w:fill="C2D69B" w:themeFill="accent3" w:themeFillTint="99"/>
          </w:tcPr>
          <w:p w:rsidR="00DA4556" w:rsidRDefault="00DA4556" w:rsidP="006B528B">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264635" cy="2201677"/>
                  <wp:effectExtent l="38100" t="57150" r="116615" b="103373"/>
                  <wp:docPr id="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265680" cy="22026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230" w:type="dxa"/>
            <w:shd w:val="clear" w:color="auto" w:fill="C2D69B" w:themeFill="accent3" w:themeFillTint="99"/>
          </w:tcPr>
          <w:p w:rsidR="00DA4556" w:rsidRDefault="00DA4556" w:rsidP="006B528B">
            <w:pPr>
              <w:ind w:left="792" w:hanging="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01636" cy="2201042"/>
                  <wp:effectExtent l="38100" t="57150" r="112964" b="104008"/>
                  <wp:docPr id="8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402233" cy="22015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DA4556" w:rsidTr="006B528B">
        <w:trPr>
          <w:jc w:val="center"/>
        </w:trPr>
        <w:tc>
          <w:tcPr>
            <w:tcW w:w="3780" w:type="dxa"/>
            <w:shd w:val="clear" w:color="auto" w:fill="C2D69B" w:themeFill="accent3" w:themeFillTint="99"/>
          </w:tcPr>
          <w:p w:rsidR="00DA4556" w:rsidRDefault="00DA4556" w:rsidP="006B528B">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258695" cy="2115185"/>
                  <wp:effectExtent l="38100" t="57150" r="122555" b="94615"/>
                  <wp:docPr id="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258695" cy="21151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230" w:type="dxa"/>
            <w:shd w:val="clear" w:color="auto" w:fill="C2D69B" w:themeFill="accent3" w:themeFillTint="99"/>
          </w:tcPr>
          <w:p w:rsidR="00DA4556" w:rsidRDefault="00DA4556" w:rsidP="006B528B">
            <w:pPr>
              <w:ind w:left="72"/>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02510" cy="2114677"/>
                  <wp:effectExtent l="38100" t="57150" r="112090" b="95123"/>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401644" cy="2113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DA4556" w:rsidRDefault="001700F8" w:rsidP="00DA4556">
      <w:pPr>
        <w:spacing w:after="0"/>
        <w:jc w:val="center"/>
        <w:rPr>
          <w:rFonts w:ascii="Times New Roman" w:hAnsi="Times New Roman" w:cs="Times New Roman"/>
          <w:b/>
          <w:sz w:val="24"/>
          <w:szCs w:val="24"/>
        </w:rPr>
      </w:pPr>
      <w:r>
        <w:rPr>
          <w:rFonts w:ascii="Times New Roman" w:hAnsi="Times New Roman" w:cs="Times New Roman"/>
          <w:b/>
          <w:sz w:val="24"/>
          <w:szCs w:val="24"/>
        </w:rPr>
        <w:t>Fig. 3</w:t>
      </w:r>
      <w:r w:rsidR="00DA4556">
        <w:rPr>
          <w:rFonts w:ascii="Times New Roman" w:hAnsi="Times New Roman" w:cs="Times New Roman"/>
          <w:b/>
          <w:sz w:val="24"/>
          <w:szCs w:val="24"/>
        </w:rPr>
        <w:t>: Usage pattern of green products among sample respondents*</w:t>
      </w:r>
    </w:p>
    <w:p w:rsidR="00DA4556" w:rsidRDefault="00DA4556" w:rsidP="00DA4556">
      <w:pPr>
        <w:tabs>
          <w:tab w:val="left" w:pos="3928"/>
        </w:tabs>
        <w:spacing w:after="0"/>
        <w:rPr>
          <w:rFonts w:ascii="Times New Roman" w:hAnsi="Times New Roman" w:cs="Times New Roman"/>
          <w:i/>
          <w:szCs w:val="24"/>
        </w:rPr>
      </w:pPr>
      <w:r w:rsidRPr="00F72429">
        <w:rPr>
          <w:rFonts w:ascii="Times New Roman" w:hAnsi="Times New Roman" w:cs="Times New Roman"/>
          <w:b/>
          <w:i/>
          <w:szCs w:val="24"/>
        </w:rPr>
        <w:t xml:space="preserve">*Source: </w:t>
      </w:r>
      <w:r w:rsidRPr="00F72429">
        <w:rPr>
          <w:rFonts w:ascii="Times New Roman" w:hAnsi="Times New Roman" w:cs="Times New Roman"/>
          <w:i/>
          <w:szCs w:val="24"/>
        </w:rPr>
        <w:t>Survey</w:t>
      </w:r>
      <w:r>
        <w:rPr>
          <w:rFonts w:ascii="Times New Roman" w:hAnsi="Times New Roman" w:cs="Times New Roman"/>
          <w:i/>
          <w:szCs w:val="24"/>
        </w:rPr>
        <w:tab/>
      </w:r>
    </w:p>
    <w:p w:rsidR="00DA4556" w:rsidRDefault="00DA4556" w:rsidP="00DA4556">
      <w:pPr>
        <w:spacing w:after="0"/>
        <w:rPr>
          <w:rFonts w:ascii="Times New Roman" w:hAnsi="Times New Roman" w:cs="Times New Roman"/>
          <w:i/>
          <w:szCs w:val="24"/>
        </w:rPr>
      </w:pPr>
    </w:p>
    <w:p w:rsidR="00DA4556" w:rsidRPr="008C345C" w:rsidRDefault="00DA4556" w:rsidP="00DA45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a</w:t>
      </w:r>
      <w:r w:rsidRPr="008C345C">
        <w:rPr>
          <w:rFonts w:ascii="Times New Roman" w:hAnsi="Times New Roman" w:cs="Times New Roman"/>
          <w:sz w:val="24"/>
          <w:szCs w:val="24"/>
        </w:rPr>
        <w:t xml:space="preserve"> large number of respondents from all three universities under all the </w:t>
      </w:r>
      <w:r>
        <w:rPr>
          <w:rFonts w:ascii="Times New Roman" w:hAnsi="Times New Roman" w:cs="Times New Roman"/>
          <w:sz w:val="24"/>
          <w:szCs w:val="24"/>
        </w:rPr>
        <w:t>faculties (55%) a</w:t>
      </w:r>
      <w:r w:rsidRPr="008C345C">
        <w:rPr>
          <w:rFonts w:ascii="Times New Roman" w:hAnsi="Times New Roman" w:cs="Times New Roman"/>
          <w:sz w:val="24"/>
          <w:szCs w:val="24"/>
        </w:rPr>
        <w:t xml:space="preserve">re found to use more than 50 green </w:t>
      </w:r>
      <w:r w:rsidR="00F47CEF">
        <w:rPr>
          <w:rFonts w:ascii="Times New Roman" w:hAnsi="Times New Roman" w:cs="Times New Roman"/>
          <w:sz w:val="24"/>
          <w:szCs w:val="24"/>
        </w:rPr>
        <w:t>products during the year 2020-21</w:t>
      </w:r>
      <w:r w:rsidRPr="008C345C">
        <w:rPr>
          <w:rFonts w:ascii="Times New Roman" w:hAnsi="Times New Roman" w:cs="Times New Roman"/>
          <w:sz w:val="24"/>
          <w:szCs w:val="24"/>
        </w:rPr>
        <w:t>. Female respondents show</w:t>
      </w:r>
      <w:r>
        <w:rPr>
          <w:rFonts w:ascii="Times New Roman" w:hAnsi="Times New Roman" w:cs="Times New Roman"/>
          <w:sz w:val="24"/>
          <w:szCs w:val="24"/>
        </w:rPr>
        <w:t>ed</w:t>
      </w:r>
      <w:r w:rsidRPr="008C345C">
        <w:rPr>
          <w:rFonts w:ascii="Times New Roman" w:hAnsi="Times New Roman" w:cs="Times New Roman"/>
          <w:sz w:val="24"/>
          <w:szCs w:val="24"/>
        </w:rPr>
        <w:t xml:space="preserve"> a higher frequency in terms of purchase of green products than male respondents. 58% of female purchase more than 50 green products during the year 2015-16 as compare</w:t>
      </w:r>
      <w:r>
        <w:rPr>
          <w:rFonts w:ascii="Times New Roman" w:hAnsi="Times New Roman" w:cs="Times New Roman"/>
          <w:sz w:val="24"/>
          <w:szCs w:val="24"/>
        </w:rPr>
        <w:t>d</w:t>
      </w:r>
      <w:r w:rsidRPr="008C345C">
        <w:rPr>
          <w:rFonts w:ascii="Times New Roman" w:hAnsi="Times New Roman" w:cs="Times New Roman"/>
          <w:sz w:val="24"/>
          <w:szCs w:val="24"/>
        </w:rPr>
        <w:t xml:space="preserve"> to 42% of total male respondents, who buy the same quantity of green products.</w:t>
      </w:r>
      <w:r>
        <w:rPr>
          <w:rFonts w:ascii="Times New Roman" w:hAnsi="Times New Roman" w:cs="Times New Roman"/>
          <w:sz w:val="24"/>
          <w:szCs w:val="24"/>
        </w:rPr>
        <w:t xml:space="preserve"> </w:t>
      </w:r>
      <w:r w:rsidRPr="008C345C">
        <w:rPr>
          <w:rFonts w:ascii="Times New Roman" w:hAnsi="Times New Roman" w:cs="Times New Roman"/>
          <w:sz w:val="24"/>
          <w:szCs w:val="24"/>
        </w:rPr>
        <w:t xml:space="preserve">A great number of respondents with family income of above </w:t>
      </w:r>
      <w:r w:rsidRPr="00B75C93">
        <w:rPr>
          <w:rFonts w:ascii="Rupee Foradian" w:hAnsi="Rupee Foradian"/>
        </w:rPr>
        <w:t>`</w:t>
      </w:r>
      <w:r w:rsidRPr="008C345C">
        <w:rPr>
          <w:rFonts w:ascii="Times New Roman" w:hAnsi="Times New Roman" w:cs="Times New Roman"/>
          <w:sz w:val="24"/>
          <w:szCs w:val="24"/>
        </w:rPr>
        <w:t>500000 (95%) purchase</w:t>
      </w:r>
      <w:r>
        <w:rPr>
          <w:rFonts w:ascii="Times New Roman" w:hAnsi="Times New Roman" w:cs="Times New Roman"/>
          <w:sz w:val="24"/>
          <w:szCs w:val="24"/>
        </w:rPr>
        <w:t>d</w:t>
      </w:r>
      <w:r w:rsidRPr="008C345C">
        <w:rPr>
          <w:rFonts w:ascii="Times New Roman" w:hAnsi="Times New Roman" w:cs="Times New Roman"/>
          <w:sz w:val="24"/>
          <w:szCs w:val="24"/>
        </w:rPr>
        <w:t xml:space="preserve"> highest number of green products followed by respondents with less family income </w:t>
      </w:r>
      <w:r>
        <w:rPr>
          <w:rFonts w:ascii="Times New Roman" w:hAnsi="Times New Roman" w:cs="Times New Roman"/>
          <w:sz w:val="24"/>
          <w:szCs w:val="24"/>
        </w:rPr>
        <w:t>e.g.</w:t>
      </w:r>
      <w:r w:rsidRPr="008C345C">
        <w:rPr>
          <w:rFonts w:ascii="Times New Roman" w:hAnsi="Times New Roman" w:cs="Times New Roman"/>
          <w:sz w:val="24"/>
          <w:szCs w:val="24"/>
        </w:rPr>
        <w:t xml:space="preserve"> below </w:t>
      </w:r>
      <w:r w:rsidRPr="00B75C93">
        <w:rPr>
          <w:rFonts w:ascii="Rupee Foradian" w:hAnsi="Rupee Foradian"/>
        </w:rPr>
        <w:t>`</w:t>
      </w:r>
      <w:r>
        <w:rPr>
          <w:rFonts w:ascii="Times New Roman" w:hAnsi="Times New Roman" w:cs="Times New Roman"/>
          <w:sz w:val="24"/>
          <w:szCs w:val="24"/>
        </w:rPr>
        <w:t xml:space="preserve">300000 - </w:t>
      </w:r>
      <w:r w:rsidRPr="00B75C93">
        <w:rPr>
          <w:rFonts w:ascii="Rupee Foradian" w:hAnsi="Rupee Foradian"/>
        </w:rPr>
        <w:t>`</w:t>
      </w:r>
      <w:r w:rsidRPr="008C345C">
        <w:rPr>
          <w:rFonts w:ascii="Times New Roman" w:hAnsi="Times New Roman" w:cs="Times New Roman"/>
          <w:sz w:val="24"/>
          <w:szCs w:val="24"/>
        </w:rPr>
        <w:t>500000 (5</w:t>
      </w:r>
      <w:r>
        <w:rPr>
          <w:rFonts w:ascii="Times New Roman" w:hAnsi="Times New Roman" w:cs="Times New Roman"/>
          <w:sz w:val="24"/>
          <w:szCs w:val="24"/>
        </w:rPr>
        <w:t xml:space="preserve">1%), </w:t>
      </w:r>
      <w:r w:rsidRPr="00B75C93">
        <w:rPr>
          <w:rFonts w:ascii="Rupee Foradian" w:hAnsi="Rupee Foradian"/>
        </w:rPr>
        <w:t>`</w:t>
      </w:r>
      <w:r w:rsidRPr="008C345C">
        <w:rPr>
          <w:rFonts w:ascii="Times New Roman" w:hAnsi="Times New Roman" w:cs="Times New Roman"/>
          <w:sz w:val="24"/>
          <w:szCs w:val="24"/>
        </w:rPr>
        <w:t>100000</w:t>
      </w:r>
      <w:r>
        <w:rPr>
          <w:rFonts w:ascii="Times New Roman" w:hAnsi="Times New Roman" w:cs="Times New Roman"/>
          <w:sz w:val="24"/>
          <w:szCs w:val="24"/>
        </w:rPr>
        <w:t xml:space="preserve"> – </w:t>
      </w:r>
      <w:r w:rsidRPr="00B75C93">
        <w:rPr>
          <w:rFonts w:ascii="Rupee Foradian" w:hAnsi="Rupee Foradian"/>
        </w:rPr>
        <w:t>`</w:t>
      </w:r>
      <w:r w:rsidRPr="008C345C">
        <w:rPr>
          <w:rFonts w:ascii="Times New Roman" w:hAnsi="Times New Roman" w:cs="Times New Roman"/>
          <w:sz w:val="24"/>
          <w:szCs w:val="24"/>
        </w:rPr>
        <w:t>300000 (45%) &amp; Rs.100000 (35%).</w:t>
      </w:r>
    </w:p>
    <w:p w:rsidR="00DA4556" w:rsidRPr="00F23FB8" w:rsidRDefault="003B7DFA" w:rsidP="00DA4556">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DA4556" w:rsidRPr="00F23FB8">
        <w:rPr>
          <w:rFonts w:ascii="Times New Roman" w:hAnsi="Times New Roman" w:cs="Times New Roman"/>
          <w:b/>
          <w:sz w:val="24"/>
          <w:szCs w:val="24"/>
        </w:rPr>
        <w:t xml:space="preserve">.4 </w:t>
      </w:r>
      <w:r w:rsidR="00DA4556">
        <w:rPr>
          <w:rFonts w:ascii="Times New Roman" w:hAnsi="Times New Roman" w:cs="Times New Roman"/>
          <w:b/>
          <w:sz w:val="24"/>
          <w:szCs w:val="24"/>
        </w:rPr>
        <w:tab/>
      </w:r>
      <w:r w:rsidR="00DA4556" w:rsidRPr="00F23FB8">
        <w:rPr>
          <w:rFonts w:ascii="Times New Roman" w:hAnsi="Times New Roman" w:cs="Times New Roman"/>
          <w:b/>
          <w:sz w:val="24"/>
          <w:szCs w:val="24"/>
        </w:rPr>
        <w:t>Amount Spent on Green Products</w:t>
      </w:r>
    </w:p>
    <w:tbl>
      <w:tblPr>
        <w:tblStyle w:val="TableGrid"/>
        <w:tblW w:w="7560" w:type="dxa"/>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ayout w:type="fixed"/>
        <w:tblLook w:val="04A0"/>
      </w:tblPr>
      <w:tblGrid>
        <w:gridCol w:w="3618"/>
        <w:gridCol w:w="162"/>
        <w:gridCol w:w="3780"/>
      </w:tblGrid>
      <w:tr w:rsidR="00DA4556" w:rsidTr="006B528B">
        <w:trPr>
          <w:jc w:val="center"/>
        </w:trPr>
        <w:tc>
          <w:tcPr>
            <w:tcW w:w="3618" w:type="dxa"/>
            <w:shd w:val="clear" w:color="auto" w:fill="C2D69B" w:themeFill="accent3" w:themeFillTint="99"/>
          </w:tcPr>
          <w:p w:rsidR="00DA4556" w:rsidRDefault="00DA4556" w:rsidP="006B528B">
            <w:pPr>
              <w:tabs>
                <w:tab w:val="left" w:pos="3130"/>
                <w:tab w:val="left" w:pos="3582"/>
              </w:tabs>
              <w:ind w:left="1242" w:hanging="1242"/>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32606" cy="2362482"/>
                  <wp:effectExtent l="38100" t="57150" r="115294" b="94968"/>
                  <wp:docPr id="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132725" cy="23626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942" w:type="dxa"/>
            <w:gridSpan w:val="2"/>
            <w:shd w:val="clear" w:color="auto" w:fill="C2D69B" w:themeFill="accent3" w:themeFillTint="99"/>
          </w:tcPr>
          <w:p w:rsidR="00DA4556" w:rsidRDefault="00DA4556" w:rsidP="006B528B">
            <w:pPr>
              <w:tabs>
                <w:tab w:val="left" w:pos="750"/>
                <w:tab w:val="left" w:pos="4140"/>
                <w:tab w:val="left" w:pos="4320"/>
                <w:tab w:val="left" w:pos="5310"/>
              </w:tabs>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88265" cy="2367197"/>
                  <wp:effectExtent l="38100" t="57150" r="116785" b="90253"/>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189163" cy="23681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DA4556" w:rsidTr="006B528B">
        <w:trPr>
          <w:jc w:val="center"/>
        </w:trPr>
        <w:tc>
          <w:tcPr>
            <w:tcW w:w="3780" w:type="dxa"/>
            <w:gridSpan w:val="2"/>
            <w:shd w:val="clear" w:color="auto" w:fill="C2D69B" w:themeFill="accent3" w:themeFillTint="99"/>
          </w:tcPr>
          <w:p w:rsidR="00DA4556" w:rsidRDefault="00DA4556" w:rsidP="006B528B">
            <w:pPr>
              <w:tabs>
                <w:tab w:val="left" w:pos="3402"/>
                <w:tab w:val="left" w:pos="3492"/>
              </w:tabs>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136941" cy="2147740"/>
                  <wp:effectExtent l="38100" t="57150" r="110959" b="10016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139931" cy="2150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780" w:type="dxa"/>
            <w:shd w:val="clear" w:color="auto" w:fill="C2D69B" w:themeFill="accent3" w:themeFillTint="99"/>
          </w:tcPr>
          <w:p w:rsidR="00DA4556" w:rsidRDefault="00DA4556" w:rsidP="006B528B">
            <w:pPr>
              <w:tabs>
                <w:tab w:val="left" w:pos="4500"/>
              </w:tabs>
              <w:ind w:left="-198" w:firstLine="198"/>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029239" cy="2141290"/>
                  <wp:effectExtent l="38100" t="57150" r="123411" b="87560"/>
                  <wp:docPr id="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034811" cy="2147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DA4556" w:rsidRDefault="003B7DFA" w:rsidP="00DA4556">
      <w:pPr>
        <w:spacing w:after="0"/>
        <w:jc w:val="center"/>
        <w:rPr>
          <w:rFonts w:ascii="Times New Roman" w:hAnsi="Times New Roman" w:cs="Times New Roman"/>
          <w:b/>
          <w:sz w:val="24"/>
          <w:szCs w:val="24"/>
        </w:rPr>
      </w:pPr>
      <w:r>
        <w:rPr>
          <w:rFonts w:ascii="Times New Roman" w:hAnsi="Times New Roman" w:cs="Times New Roman"/>
          <w:b/>
          <w:sz w:val="24"/>
          <w:szCs w:val="24"/>
        </w:rPr>
        <w:t>Fig.4</w:t>
      </w:r>
      <w:r w:rsidR="00DA4556">
        <w:rPr>
          <w:rFonts w:ascii="Times New Roman" w:hAnsi="Times New Roman" w:cs="Times New Roman"/>
          <w:b/>
          <w:sz w:val="24"/>
          <w:szCs w:val="24"/>
        </w:rPr>
        <w:t>: Amount spent on green products by sample respondents*</w:t>
      </w:r>
    </w:p>
    <w:p w:rsidR="00DA4556" w:rsidRPr="00BC42A7" w:rsidRDefault="00DA4556" w:rsidP="00DA4556">
      <w:pPr>
        <w:tabs>
          <w:tab w:val="left" w:pos="3767"/>
        </w:tabs>
        <w:spacing w:after="0"/>
        <w:rPr>
          <w:rFonts w:ascii="Times New Roman" w:hAnsi="Times New Roman" w:cs="Times New Roman"/>
          <w:sz w:val="24"/>
          <w:szCs w:val="24"/>
        </w:rPr>
      </w:pPr>
      <w:r>
        <w:rPr>
          <w:rFonts w:ascii="Times New Roman" w:hAnsi="Times New Roman" w:cs="Times New Roman"/>
          <w:b/>
          <w:sz w:val="24"/>
          <w:szCs w:val="24"/>
        </w:rPr>
        <w:t>*</w:t>
      </w:r>
      <w:r w:rsidRPr="00AA6D24">
        <w:rPr>
          <w:rFonts w:ascii="Times New Roman" w:hAnsi="Times New Roman" w:cs="Times New Roman"/>
          <w:b/>
          <w:i/>
          <w:szCs w:val="24"/>
        </w:rPr>
        <w:t>Source</w:t>
      </w:r>
      <w:r>
        <w:rPr>
          <w:rFonts w:ascii="Times New Roman" w:hAnsi="Times New Roman" w:cs="Times New Roman"/>
          <w:b/>
          <w:sz w:val="24"/>
          <w:szCs w:val="24"/>
        </w:rPr>
        <w:t xml:space="preserve">: </w:t>
      </w:r>
      <w:r w:rsidRPr="00AA6D24">
        <w:rPr>
          <w:rFonts w:ascii="Times New Roman" w:hAnsi="Times New Roman" w:cs="Times New Roman"/>
          <w:i/>
          <w:szCs w:val="24"/>
        </w:rPr>
        <w:t>Survey</w:t>
      </w:r>
      <w:r>
        <w:rPr>
          <w:rFonts w:ascii="Times New Roman" w:hAnsi="Times New Roman" w:cs="Times New Roman"/>
          <w:i/>
          <w:szCs w:val="24"/>
        </w:rPr>
        <w:tab/>
      </w:r>
    </w:p>
    <w:p w:rsidR="00DA4556" w:rsidRDefault="00DA4556" w:rsidP="00DA4556">
      <w:pPr>
        <w:spacing w:after="0"/>
        <w:rPr>
          <w:rFonts w:ascii="Times New Roman" w:hAnsi="Times New Roman" w:cs="Times New Roman"/>
          <w:b/>
          <w:sz w:val="24"/>
          <w:szCs w:val="24"/>
        </w:rPr>
      </w:pPr>
    </w:p>
    <w:p w:rsidR="00DA4556" w:rsidRPr="00CC3BEF" w:rsidRDefault="00DA4556" w:rsidP="00DA4556">
      <w:pPr>
        <w:spacing w:after="100" w:line="360" w:lineRule="auto"/>
        <w:ind w:firstLine="720"/>
        <w:jc w:val="both"/>
        <w:rPr>
          <w:rFonts w:ascii="Times New Roman" w:hAnsi="Times New Roman" w:cs="Times New Roman"/>
          <w:sz w:val="24"/>
          <w:szCs w:val="24"/>
        </w:rPr>
      </w:pPr>
      <w:r w:rsidRPr="00CC3BEF">
        <w:rPr>
          <w:rFonts w:ascii="Times New Roman" w:hAnsi="Times New Roman" w:cs="Times New Roman"/>
          <w:sz w:val="24"/>
          <w:szCs w:val="24"/>
        </w:rPr>
        <w:t xml:space="preserve">University-wise, faculty-wise, gender-wise &amp; family income-wise analysis of expenditure on green products by the respondents during the year 2015-16 is shown in fig.4.13. It has been found that 47% of respondents in JU, 44% of respondents in GNDU and 44% of respondents in HPU spend more than </w:t>
      </w:r>
      <w:r w:rsidRPr="00CC3BEF">
        <w:rPr>
          <w:rFonts w:ascii="Rupee Foradian" w:hAnsi="Rupee Foradian"/>
        </w:rPr>
        <w:t>`</w:t>
      </w:r>
      <w:r w:rsidRPr="00CC3BEF">
        <w:rPr>
          <w:rFonts w:ascii="Times New Roman" w:hAnsi="Times New Roman" w:cs="Times New Roman"/>
          <w:sz w:val="24"/>
          <w:szCs w:val="24"/>
        </w:rPr>
        <w:t xml:space="preserve">5000 on green products. 56% of the female student respondents and 32% of male student respondents spent more than </w:t>
      </w:r>
      <w:r w:rsidRPr="00CC3BEF">
        <w:rPr>
          <w:rFonts w:ascii="Rupee Foradian" w:hAnsi="Rupee Foradian"/>
        </w:rPr>
        <w:t>`</w:t>
      </w:r>
      <w:r w:rsidRPr="00CC3BEF">
        <w:rPr>
          <w:rFonts w:ascii="Times New Roman" w:hAnsi="Times New Roman" w:cs="Times New Roman"/>
          <w:sz w:val="24"/>
          <w:szCs w:val="24"/>
        </w:rPr>
        <w:t>5000 on green products. About 75% of respondents from the</w:t>
      </w:r>
      <w:r>
        <w:rPr>
          <w:rFonts w:ascii="Times New Roman" w:hAnsi="Times New Roman" w:cs="Times New Roman"/>
          <w:sz w:val="24"/>
          <w:szCs w:val="24"/>
        </w:rPr>
        <w:t xml:space="preserve"> faculty of </w:t>
      </w:r>
      <w:r w:rsidRPr="00CC3BEF">
        <w:rPr>
          <w:rFonts w:ascii="Times New Roman" w:hAnsi="Times New Roman" w:cs="Times New Roman"/>
          <w:sz w:val="24"/>
          <w:szCs w:val="24"/>
        </w:rPr>
        <w:t>life scien</w:t>
      </w:r>
      <w:r>
        <w:rPr>
          <w:rFonts w:ascii="Times New Roman" w:hAnsi="Times New Roman" w:cs="Times New Roman"/>
          <w:sz w:val="24"/>
          <w:szCs w:val="24"/>
        </w:rPr>
        <w:t>ces spend</w:t>
      </w:r>
      <w:r w:rsidRPr="00CC3BEF">
        <w:rPr>
          <w:rFonts w:ascii="Times New Roman" w:hAnsi="Times New Roman" w:cs="Times New Roman"/>
          <w:sz w:val="24"/>
          <w:szCs w:val="24"/>
        </w:rPr>
        <w:t xml:space="preserve"> more than </w:t>
      </w:r>
      <w:r w:rsidRPr="00CC3BEF">
        <w:rPr>
          <w:rFonts w:ascii="Rupee Foradian" w:hAnsi="Rupee Foradian"/>
        </w:rPr>
        <w:t>`</w:t>
      </w:r>
      <w:r w:rsidRPr="00CC3BEF">
        <w:rPr>
          <w:rFonts w:ascii="Times New Roman" w:hAnsi="Times New Roman" w:cs="Times New Roman"/>
          <w:sz w:val="24"/>
          <w:szCs w:val="24"/>
        </w:rPr>
        <w:t>5000 as compared to the other respondents from the other faculties namely, information technology (60%), social sciences (55%), physical sciences (43%) and languages (29%). Family income-</w:t>
      </w:r>
      <w:r>
        <w:rPr>
          <w:rFonts w:ascii="Times New Roman" w:hAnsi="Times New Roman" w:cs="Times New Roman"/>
          <w:sz w:val="24"/>
          <w:szCs w:val="24"/>
        </w:rPr>
        <w:t>wise analysis shows</w:t>
      </w:r>
      <w:r w:rsidRPr="00CC3BEF">
        <w:rPr>
          <w:rFonts w:ascii="Times New Roman" w:hAnsi="Times New Roman" w:cs="Times New Roman"/>
          <w:sz w:val="24"/>
          <w:szCs w:val="24"/>
        </w:rPr>
        <w:t xml:space="preserve"> that 80% of respondents in family income group of more than </w:t>
      </w:r>
      <w:r w:rsidRPr="00CC3BEF">
        <w:rPr>
          <w:rFonts w:ascii="Rupee Foradian" w:hAnsi="Rupee Foradian"/>
        </w:rPr>
        <w:t>`</w:t>
      </w:r>
      <w:r w:rsidRPr="00CC3BEF">
        <w:rPr>
          <w:rFonts w:ascii="Times New Roman" w:hAnsi="Times New Roman" w:cs="Times New Roman"/>
          <w:sz w:val="24"/>
          <w:szCs w:val="24"/>
        </w:rPr>
        <w:t xml:space="preserve">500000 followed by 67% of respondents in </w:t>
      </w:r>
      <w:r w:rsidRPr="00CC3BEF">
        <w:rPr>
          <w:rFonts w:ascii="Rupee Foradian" w:hAnsi="Rupee Foradian"/>
        </w:rPr>
        <w:t>`</w:t>
      </w:r>
      <w:r w:rsidRPr="00CC3BEF">
        <w:rPr>
          <w:rFonts w:ascii="Times New Roman" w:hAnsi="Times New Roman" w:cs="Times New Roman"/>
          <w:sz w:val="24"/>
          <w:szCs w:val="24"/>
        </w:rPr>
        <w:t xml:space="preserve">300000- </w:t>
      </w:r>
      <w:r w:rsidRPr="00CC3BEF">
        <w:rPr>
          <w:rFonts w:ascii="Rupee Foradian" w:hAnsi="Rupee Foradian"/>
        </w:rPr>
        <w:t>`</w:t>
      </w:r>
      <w:r w:rsidRPr="00CC3BEF">
        <w:rPr>
          <w:rFonts w:ascii="Times New Roman" w:hAnsi="Times New Roman" w:cs="Times New Roman"/>
          <w:sz w:val="24"/>
          <w:szCs w:val="24"/>
        </w:rPr>
        <w:t xml:space="preserve">500000 family income group, 19% of respondents in </w:t>
      </w:r>
      <w:r w:rsidRPr="00CC3BEF">
        <w:rPr>
          <w:rFonts w:ascii="Rupee Foradian" w:hAnsi="Rupee Foradian"/>
        </w:rPr>
        <w:t>`</w:t>
      </w:r>
      <w:r w:rsidRPr="00CC3BEF">
        <w:rPr>
          <w:rFonts w:ascii="Times New Roman" w:hAnsi="Times New Roman" w:cs="Times New Roman"/>
          <w:sz w:val="24"/>
          <w:szCs w:val="24"/>
        </w:rPr>
        <w:t xml:space="preserve">100000 -  </w:t>
      </w:r>
      <w:r w:rsidRPr="00CC3BEF">
        <w:rPr>
          <w:rFonts w:ascii="Rupee Foradian" w:hAnsi="Rupee Foradian"/>
        </w:rPr>
        <w:t>`</w:t>
      </w:r>
      <w:r w:rsidRPr="00CC3BEF">
        <w:rPr>
          <w:rFonts w:ascii="Times New Roman" w:hAnsi="Times New Roman" w:cs="Times New Roman"/>
          <w:sz w:val="24"/>
          <w:szCs w:val="24"/>
        </w:rPr>
        <w:t xml:space="preserve">300000 family income group and only 16% respondents in less than </w:t>
      </w:r>
      <w:r w:rsidRPr="00CC3BEF">
        <w:rPr>
          <w:rFonts w:ascii="Rupee Foradian" w:hAnsi="Rupee Foradian"/>
        </w:rPr>
        <w:t>`</w:t>
      </w:r>
      <w:r w:rsidRPr="00CC3BEF">
        <w:rPr>
          <w:rFonts w:ascii="Times New Roman" w:hAnsi="Times New Roman" w:cs="Times New Roman"/>
          <w:sz w:val="24"/>
          <w:szCs w:val="24"/>
        </w:rPr>
        <w:t xml:space="preserve">100000 family </w:t>
      </w:r>
      <w:r>
        <w:rPr>
          <w:rFonts w:ascii="Times New Roman" w:hAnsi="Times New Roman" w:cs="Times New Roman"/>
          <w:sz w:val="24"/>
          <w:szCs w:val="24"/>
        </w:rPr>
        <w:t>income group spend</w:t>
      </w:r>
      <w:r w:rsidRPr="00CC3BEF">
        <w:rPr>
          <w:rFonts w:ascii="Times New Roman" w:hAnsi="Times New Roman" w:cs="Times New Roman"/>
          <w:sz w:val="24"/>
          <w:szCs w:val="24"/>
        </w:rPr>
        <w:t xml:space="preserve"> more than </w:t>
      </w:r>
      <w:r w:rsidRPr="00CC3BEF">
        <w:rPr>
          <w:rFonts w:ascii="Rupee Foradian" w:hAnsi="Rupee Foradian"/>
        </w:rPr>
        <w:t>`</w:t>
      </w:r>
      <w:r w:rsidRPr="00CC3BEF">
        <w:rPr>
          <w:rFonts w:ascii="Times New Roman" w:hAnsi="Times New Roman" w:cs="Times New Roman"/>
          <w:sz w:val="24"/>
          <w:szCs w:val="24"/>
        </w:rPr>
        <w:t>5000 on green products.</w:t>
      </w:r>
    </w:p>
    <w:p w:rsidR="00DA4556" w:rsidRDefault="00DA4556" w:rsidP="00F47CEF">
      <w:pPr>
        <w:spacing w:after="100" w:line="360" w:lineRule="auto"/>
        <w:ind w:left="720" w:hanging="720"/>
        <w:jc w:val="both"/>
        <w:rPr>
          <w:rFonts w:ascii="Times New Roman" w:hAnsi="Times New Roman" w:cs="Times New Roman"/>
          <w:b/>
          <w:sz w:val="24"/>
          <w:szCs w:val="24"/>
        </w:rPr>
      </w:pPr>
    </w:p>
    <w:p w:rsidR="00DA4556" w:rsidRPr="00331F58" w:rsidRDefault="00331F58" w:rsidP="00331F58">
      <w:pPr>
        <w:pStyle w:val="ListParagraph"/>
        <w:numPr>
          <w:ilvl w:val="0"/>
          <w:numId w:val="30"/>
        </w:numPr>
        <w:tabs>
          <w:tab w:val="left" w:pos="1509"/>
        </w:tabs>
        <w:spacing w:line="240" w:lineRule="auto"/>
        <w:rPr>
          <w:rFonts w:ascii="Times New Roman" w:hAnsi="Times New Roman" w:cs="Times New Roman"/>
          <w:b/>
          <w:sz w:val="24"/>
          <w:szCs w:val="24"/>
        </w:rPr>
      </w:pPr>
      <w:r>
        <w:rPr>
          <w:rFonts w:ascii="Times New Roman" w:hAnsi="Times New Roman" w:cs="Times New Roman"/>
          <w:b/>
          <w:sz w:val="24"/>
          <w:szCs w:val="24"/>
        </w:rPr>
        <w:t>CONCLUSION</w:t>
      </w:r>
      <w:r w:rsidR="00DA4556" w:rsidRPr="00331F58">
        <w:rPr>
          <w:rFonts w:ascii="Times New Roman" w:hAnsi="Times New Roman" w:cs="Times New Roman"/>
          <w:b/>
          <w:sz w:val="24"/>
          <w:szCs w:val="24"/>
        </w:rPr>
        <w:tab/>
      </w:r>
    </w:p>
    <w:p w:rsidR="00DA4556" w:rsidRPr="006653AF" w:rsidRDefault="00DA4556" w:rsidP="00F47CEF">
      <w:pPr>
        <w:spacing w:line="360" w:lineRule="auto"/>
        <w:jc w:val="both"/>
        <w:rPr>
          <w:rFonts w:ascii="Times New Roman" w:hAnsi="Times New Roman" w:cs="Times New Roman"/>
          <w:sz w:val="24"/>
          <w:szCs w:val="24"/>
        </w:rPr>
      </w:pPr>
      <w:r>
        <w:rPr>
          <w:rFonts w:ascii="Times New Roman" w:hAnsi="Times New Roman" w:cs="Times New Roman"/>
          <w:sz w:val="24"/>
          <w:szCs w:val="24"/>
        </w:rPr>
        <w:t>The purchasing preferences of Indian consumers are</w:t>
      </w:r>
      <w:r w:rsidRPr="00C80A52">
        <w:rPr>
          <w:rFonts w:ascii="Times New Roman" w:hAnsi="Times New Roman" w:cs="Times New Roman"/>
          <w:sz w:val="24"/>
          <w:szCs w:val="24"/>
        </w:rPr>
        <w:t xml:space="preserve"> </w:t>
      </w:r>
      <w:r>
        <w:rPr>
          <w:rFonts w:ascii="Times New Roman" w:hAnsi="Times New Roman" w:cs="Times New Roman"/>
          <w:sz w:val="24"/>
          <w:szCs w:val="24"/>
        </w:rPr>
        <w:t xml:space="preserve">shifted towards </w:t>
      </w:r>
      <w:r w:rsidRPr="00C80A52">
        <w:rPr>
          <w:rFonts w:ascii="Times New Roman" w:hAnsi="Times New Roman" w:cs="Times New Roman"/>
          <w:sz w:val="24"/>
          <w:szCs w:val="24"/>
        </w:rPr>
        <w:t>green products</w:t>
      </w:r>
      <w:r>
        <w:rPr>
          <w:rFonts w:ascii="Times New Roman" w:hAnsi="Times New Roman" w:cs="Times New Roman"/>
          <w:sz w:val="24"/>
          <w:szCs w:val="24"/>
        </w:rPr>
        <w:t xml:space="preserve"> from the non-green products due to the ever-increasing ecological and human wellbeing consciousness</w:t>
      </w:r>
      <w:r w:rsidRPr="00C80A52">
        <w:rPr>
          <w:rFonts w:ascii="Times New Roman" w:hAnsi="Times New Roman" w:cs="Times New Roman"/>
          <w:sz w:val="24"/>
          <w:szCs w:val="24"/>
        </w:rPr>
        <w:t>. Comp</w:t>
      </w:r>
      <w:r>
        <w:rPr>
          <w:rFonts w:ascii="Times New Roman" w:hAnsi="Times New Roman" w:cs="Times New Roman"/>
          <w:sz w:val="24"/>
          <w:szCs w:val="24"/>
        </w:rPr>
        <w:t>anies in India have also initiated</w:t>
      </w:r>
      <w:r w:rsidRPr="00C80A52">
        <w:rPr>
          <w:rFonts w:ascii="Times New Roman" w:hAnsi="Times New Roman" w:cs="Times New Roman"/>
          <w:sz w:val="24"/>
          <w:szCs w:val="24"/>
        </w:rPr>
        <w:t xml:space="preserve"> to cater this rising demand by manufacturing assortment of green products to attract the green consumers and even mainstream consumers with eco designs and pro health features</w:t>
      </w:r>
      <w:r>
        <w:rPr>
          <w:rFonts w:ascii="Times New Roman" w:hAnsi="Times New Roman" w:cs="Times New Roman"/>
          <w:sz w:val="24"/>
          <w:szCs w:val="24"/>
        </w:rPr>
        <w:t>. Thus,</w:t>
      </w:r>
      <w:r w:rsidRPr="00C80A52">
        <w:rPr>
          <w:rFonts w:ascii="Times New Roman" w:hAnsi="Times New Roman" w:cs="Times New Roman"/>
          <w:sz w:val="24"/>
          <w:szCs w:val="24"/>
        </w:rPr>
        <w:t xml:space="preserve"> a long term demand and </w:t>
      </w:r>
      <w:r>
        <w:rPr>
          <w:rFonts w:ascii="Times New Roman" w:hAnsi="Times New Roman" w:cs="Times New Roman"/>
          <w:sz w:val="24"/>
          <w:szCs w:val="24"/>
        </w:rPr>
        <w:t xml:space="preserve">prospective </w:t>
      </w:r>
      <w:r w:rsidRPr="00C80A52">
        <w:rPr>
          <w:rFonts w:ascii="Times New Roman" w:hAnsi="Times New Roman" w:cs="Times New Roman"/>
          <w:sz w:val="24"/>
          <w:szCs w:val="24"/>
        </w:rPr>
        <w:t xml:space="preserve">growth </w:t>
      </w:r>
      <w:r>
        <w:rPr>
          <w:rFonts w:ascii="Times New Roman" w:hAnsi="Times New Roman" w:cs="Times New Roman"/>
          <w:sz w:val="24"/>
          <w:szCs w:val="24"/>
        </w:rPr>
        <w:t xml:space="preserve">for green </w:t>
      </w:r>
      <w:r>
        <w:rPr>
          <w:rFonts w:ascii="Times New Roman" w:hAnsi="Times New Roman" w:cs="Times New Roman"/>
          <w:sz w:val="24"/>
          <w:szCs w:val="24"/>
        </w:rPr>
        <w:lastRenderedPageBreak/>
        <w:t xml:space="preserve">products </w:t>
      </w:r>
      <w:r w:rsidRPr="00C80A52">
        <w:rPr>
          <w:rFonts w:ascii="Times New Roman" w:hAnsi="Times New Roman" w:cs="Times New Roman"/>
          <w:sz w:val="24"/>
          <w:szCs w:val="24"/>
        </w:rPr>
        <w:t xml:space="preserve">is </w:t>
      </w:r>
      <w:r>
        <w:rPr>
          <w:rFonts w:ascii="Times New Roman" w:hAnsi="Times New Roman" w:cs="Times New Roman"/>
          <w:sz w:val="24"/>
          <w:szCs w:val="24"/>
        </w:rPr>
        <w:t xml:space="preserve">prevailing </w:t>
      </w:r>
      <w:r w:rsidRPr="00C80A52">
        <w:rPr>
          <w:rFonts w:ascii="Times New Roman" w:hAnsi="Times New Roman" w:cs="Times New Roman"/>
          <w:sz w:val="24"/>
          <w:szCs w:val="24"/>
        </w:rPr>
        <w:t>in India. The awareness and usage of green products among the young respondents of the three northern Indian Universities (JU, GNDU &amp; HPU) is found to be relatively analogous</w:t>
      </w:r>
      <w:r>
        <w:rPr>
          <w:rFonts w:ascii="Times New Roman" w:hAnsi="Times New Roman" w:cs="Times New Roman"/>
          <w:sz w:val="24"/>
          <w:szCs w:val="24"/>
        </w:rPr>
        <w:t xml:space="preserve"> and normal</w:t>
      </w:r>
      <w:r w:rsidRPr="00C80A52">
        <w:rPr>
          <w:rFonts w:ascii="Times New Roman" w:hAnsi="Times New Roman" w:cs="Times New Roman"/>
          <w:sz w:val="24"/>
          <w:szCs w:val="24"/>
        </w:rPr>
        <w:t xml:space="preserve"> as </w:t>
      </w:r>
      <w:r>
        <w:rPr>
          <w:rFonts w:ascii="Times New Roman" w:hAnsi="Times New Roman" w:cs="Times New Roman"/>
          <w:sz w:val="24"/>
          <w:szCs w:val="24"/>
        </w:rPr>
        <w:t xml:space="preserve">Indian </w:t>
      </w:r>
      <w:r w:rsidRPr="00C80A52">
        <w:rPr>
          <w:rFonts w:ascii="Times New Roman" w:hAnsi="Times New Roman" w:cs="Times New Roman"/>
          <w:sz w:val="24"/>
          <w:szCs w:val="24"/>
        </w:rPr>
        <w:t>green product market is in the infancy or budding stage. The response rate of the female consumers is more as compared to the male respondents and female respondents also show</w:t>
      </w:r>
      <w:r>
        <w:rPr>
          <w:rFonts w:ascii="Times New Roman" w:hAnsi="Times New Roman" w:cs="Times New Roman"/>
          <w:sz w:val="24"/>
          <w:szCs w:val="24"/>
        </w:rPr>
        <w:t>ed</w:t>
      </w:r>
      <w:r w:rsidRPr="00C80A52">
        <w:rPr>
          <w:rFonts w:ascii="Times New Roman" w:hAnsi="Times New Roman" w:cs="Times New Roman"/>
          <w:sz w:val="24"/>
          <w:szCs w:val="24"/>
        </w:rPr>
        <w:t xml:space="preserve"> high level of usage and brand awareness of green products. </w:t>
      </w:r>
      <w:r>
        <w:rPr>
          <w:rFonts w:ascii="Times New Roman" w:hAnsi="Times New Roman" w:cs="Times New Roman"/>
          <w:sz w:val="24"/>
          <w:szCs w:val="24"/>
        </w:rPr>
        <w:t>Majority of r</w:t>
      </w:r>
      <w:r w:rsidRPr="00C80A52">
        <w:rPr>
          <w:rFonts w:ascii="Times New Roman" w:hAnsi="Times New Roman" w:cs="Times New Roman"/>
          <w:sz w:val="24"/>
          <w:szCs w:val="24"/>
        </w:rPr>
        <w:t xml:space="preserve">espondents </w:t>
      </w:r>
      <w:r>
        <w:rPr>
          <w:rFonts w:ascii="Times New Roman" w:hAnsi="Times New Roman" w:cs="Times New Roman"/>
          <w:sz w:val="24"/>
          <w:szCs w:val="24"/>
        </w:rPr>
        <w:t>reported</w:t>
      </w:r>
      <w:r w:rsidRPr="00A858FC">
        <w:rPr>
          <w:rFonts w:ascii="Times New Roman" w:hAnsi="Times New Roman" w:cs="Times New Roman"/>
          <w:sz w:val="24"/>
          <w:szCs w:val="24"/>
        </w:rPr>
        <w:t xml:space="preserve"> higher</w:t>
      </w:r>
      <w:r>
        <w:rPr>
          <w:rFonts w:ascii="Times New Roman" w:hAnsi="Times New Roman" w:cs="Times New Roman"/>
          <w:sz w:val="24"/>
          <w:szCs w:val="24"/>
        </w:rPr>
        <w:t xml:space="preserve"> brand awareness about green personal care products and</w:t>
      </w:r>
      <w:r w:rsidRPr="00C80A52">
        <w:rPr>
          <w:rFonts w:ascii="Times New Roman" w:hAnsi="Times New Roman" w:cs="Times New Roman"/>
          <w:sz w:val="24"/>
          <w:szCs w:val="24"/>
        </w:rPr>
        <w:t xml:space="preserve"> green health care products but brands in green food products, green clothing, green mobiles and green stationery are somewhat unfamiliar among the Indian masses. Face washes, face creams, hair oil, health supplements, toothpaste, notebooks and mobile phones are the mostly used products.</w:t>
      </w:r>
      <w:r>
        <w:rPr>
          <w:rFonts w:ascii="Times New Roman" w:hAnsi="Times New Roman" w:cs="Times New Roman"/>
          <w:sz w:val="24"/>
          <w:szCs w:val="24"/>
        </w:rPr>
        <w:t xml:space="preserve"> </w:t>
      </w: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Default="00DA4556" w:rsidP="00DA4556">
      <w:pPr>
        <w:rPr>
          <w:rFonts w:ascii="Times New Roman" w:hAnsi="Times New Roman" w:cs="Times New Roman"/>
          <w:b/>
          <w:sz w:val="24"/>
          <w:szCs w:val="24"/>
        </w:rPr>
      </w:pPr>
    </w:p>
    <w:p w:rsidR="00DA4556" w:rsidRPr="00327667" w:rsidRDefault="00DA4556" w:rsidP="00DA4556">
      <w:pPr>
        <w:rPr>
          <w:rFonts w:ascii="Times New Roman" w:hAnsi="Times New Roman" w:cs="Times New Roman"/>
          <w:b/>
          <w:sz w:val="28"/>
          <w:szCs w:val="24"/>
        </w:rPr>
      </w:pPr>
      <w:r w:rsidRPr="00327667">
        <w:rPr>
          <w:rFonts w:ascii="Times New Roman" w:hAnsi="Times New Roman" w:cs="Times New Roman"/>
          <w:b/>
          <w:sz w:val="28"/>
          <w:szCs w:val="24"/>
        </w:rPr>
        <w:t>REFERENCES</w:t>
      </w:r>
    </w:p>
    <w:p w:rsidR="00DA4556" w:rsidRPr="00907DED" w:rsidRDefault="00DA4556" w:rsidP="00DA4556">
      <w:pPr>
        <w:pStyle w:val="Default"/>
        <w:spacing w:after="200" w:line="360" w:lineRule="auto"/>
        <w:ind w:left="720" w:hanging="720"/>
        <w:jc w:val="both"/>
        <w:rPr>
          <w:rFonts w:ascii="Rockwell" w:hAnsi="Rockwell" w:cs="Rockwell"/>
        </w:rPr>
      </w:pPr>
      <w:proofErr w:type="gramStart"/>
      <w:r>
        <w:t xml:space="preserve">China </w:t>
      </w:r>
      <w:r w:rsidRPr="00907DED">
        <w:t>Daily (2018).</w:t>
      </w:r>
      <w:proofErr w:type="gramEnd"/>
      <w:r w:rsidRPr="00907DED">
        <w:t xml:space="preserve"> </w:t>
      </w:r>
      <w:r w:rsidRPr="008E2865">
        <w:rPr>
          <w:bCs/>
          <w:i/>
          <w:color w:val="auto"/>
        </w:rPr>
        <w:t>Top 10 Best Global Green Brands of the World.</w:t>
      </w:r>
      <w:r>
        <w:rPr>
          <w:bCs/>
          <w:color w:val="262626"/>
        </w:rPr>
        <w:t xml:space="preserve"> </w:t>
      </w:r>
      <w:proofErr w:type="gramStart"/>
      <w:r w:rsidRPr="002512A4">
        <w:rPr>
          <w:bCs/>
        </w:rPr>
        <w:t>Retrieved from</w:t>
      </w:r>
      <w:r>
        <w:rPr>
          <w:bCs/>
        </w:rPr>
        <w:t xml:space="preserve"> </w:t>
      </w:r>
      <w:hyperlink r:id="rId23" w:history="1">
        <w:r w:rsidRPr="00907DED">
          <w:rPr>
            <w:rStyle w:val="Hyperlink"/>
            <w:bCs/>
            <w:color w:val="auto"/>
          </w:rPr>
          <w:t>http://www.chinadaily.com.cn/bizchina</w:t>
        </w:r>
      </w:hyperlink>
      <w:r w:rsidRPr="00907DED">
        <w:rPr>
          <w:bCs/>
          <w:color w:val="auto"/>
        </w:rPr>
        <w:t>.</w:t>
      </w:r>
      <w:proofErr w:type="gramEnd"/>
      <w:r>
        <w:rPr>
          <w:bCs/>
        </w:rPr>
        <w:t xml:space="preserve"> </w:t>
      </w:r>
      <w:proofErr w:type="gramStart"/>
      <w:r w:rsidRPr="002512A4">
        <w:rPr>
          <w:bCs/>
        </w:rPr>
        <w:t>Last accessed on 06.08.2018.</w:t>
      </w:r>
      <w:proofErr w:type="gramEnd"/>
    </w:p>
    <w:p w:rsidR="00DA4556" w:rsidRPr="005B5231" w:rsidRDefault="00DA4556" w:rsidP="00DA4556">
      <w:pPr>
        <w:pStyle w:val="Default"/>
        <w:spacing w:after="200" w:line="360" w:lineRule="auto"/>
        <w:ind w:left="720" w:hanging="720"/>
        <w:jc w:val="both"/>
        <w:rPr>
          <w:bCs/>
          <w:i/>
        </w:rPr>
      </w:pPr>
      <w:proofErr w:type="gramStart"/>
      <w:r w:rsidRPr="002512A4">
        <w:t>Green Purchasing Network India (2014).</w:t>
      </w:r>
      <w:proofErr w:type="gramEnd"/>
      <w:r w:rsidRPr="000D50FE">
        <w:rPr>
          <w:bCs/>
        </w:rPr>
        <w:t xml:space="preserve"> </w:t>
      </w:r>
      <w:proofErr w:type="gramStart"/>
      <w:r w:rsidRPr="000D50FE">
        <w:rPr>
          <w:bCs/>
          <w:i/>
        </w:rPr>
        <w:t>Communicating Green Pro</w:t>
      </w:r>
      <w:r>
        <w:rPr>
          <w:bCs/>
          <w:i/>
        </w:rPr>
        <w:t>ducts to Consumers in India to P</w:t>
      </w:r>
      <w:r w:rsidRPr="000D50FE">
        <w:rPr>
          <w:bCs/>
          <w:i/>
        </w:rPr>
        <w:t>romote Sustainable Consumption and Production</w:t>
      </w:r>
      <w:r>
        <w:rPr>
          <w:bCs/>
          <w:i/>
        </w:rPr>
        <w:t>.</w:t>
      </w:r>
      <w:proofErr w:type="gramEnd"/>
      <w:r>
        <w:rPr>
          <w:bCs/>
          <w:i/>
        </w:rPr>
        <w:t xml:space="preserve"> </w:t>
      </w:r>
      <w:proofErr w:type="gramStart"/>
      <w:r w:rsidRPr="002512A4">
        <w:rPr>
          <w:bCs/>
        </w:rPr>
        <w:t xml:space="preserve">Retrieved from </w:t>
      </w:r>
      <w:hyperlink r:id="rId24" w:history="1">
        <w:r w:rsidRPr="002512A4">
          <w:rPr>
            <w:rStyle w:val="Hyperlink"/>
            <w:bCs/>
            <w:color w:val="auto"/>
          </w:rPr>
          <w:t>http://switch-greenretail.in/publication/article-on-green-products</w:t>
        </w:r>
      </w:hyperlink>
      <w:r w:rsidRPr="002512A4">
        <w:rPr>
          <w:bCs/>
          <w:color w:val="auto"/>
        </w:rPr>
        <w:t>.</w:t>
      </w:r>
      <w:proofErr w:type="gramEnd"/>
      <w:r w:rsidRPr="002512A4">
        <w:rPr>
          <w:bCs/>
        </w:rPr>
        <w:t xml:space="preserve"> </w:t>
      </w:r>
      <w:proofErr w:type="gramStart"/>
      <w:r w:rsidRPr="002512A4">
        <w:rPr>
          <w:bCs/>
        </w:rPr>
        <w:t>Last accessed on 06.08.2018.</w:t>
      </w:r>
      <w:proofErr w:type="gramEnd"/>
    </w:p>
    <w:p w:rsidR="00DA4556" w:rsidRDefault="00DA4556" w:rsidP="00DA4556">
      <w:pPr>
        <w:pStyle w:val="Default"/>
        <w:spacing w:after="200" w:line="360" w:lineRule="auto"/>
        <w:ind w:left="720" w:right="-132" w:hanging="720"/>
        <w:jc w:val="both"/>
        <w:rPr>
          <w:bCs/>
        </w:rPr>
      </w:pPr>
      <w:r>
        <w:t xml:space="preserve">Nielsen co. (2015). </w:t>
      </w:r>
      <w:r w:rsidRPr="008E2865">
        <w:rPr>
          <w:i/>
        </w:rPr>
        <w:t>Green Generation:</w:t>
      </w:r>
      <w:r>
        <w:t xml:space="preserve"> </w:t>
      </w:r>
      <w:r w:rsidRPr="009964CF">
        <w:rPr>
          <w:i/>
        </w:rPr>
        <w:t>Millennials Say Sustainability is a Shopping Priority</w:t>
      </w:r>
      <w:r>
        <w:t xml:space="preserve">.  </w:t>
      </w:r>
      <w:proofErr w:type="gramStart"/>
      <w:r w:rsidRPr="002512A4">
        <w:rPr>
          <w:bCs/>
        </w:rPr>
        <w:t>Retrieved from</w:t>
      </w:r>
      <w:r>
        <w:rPr>
          <w:bCs/>
        </w:rPr>
        <w:t xml:space="preserve"> </w:t>
      </w:r>
      <w:r w:rsidRPr="00327667">
        <w:t>http://www.nielsen.com/in/en/insights/ news/2015/green-generation-millennials-say-sustainability-is-a-shopping-priority.html.</w:t>
      </w:r>
      <w:proofErr w:type="gramEnd"/>
      <w:r w:rsidRPr="00327667">
        <w:t xml:space="preserve"> </w:t>
      </w:r>
      <w:proofErr w:type="gramStart"/>
      <w:r w:rsidRPr="00327667">
        <w:rPr>
          <w:bCs/>
        </w:rPr>
        <w:t>Last accessed on 06.08.2018</w:t>
      </w:r>
      <w:r w:rsidRPr="002512A4">
        <w:rPr>
          <w:bCs/>
        </w:rPr>
        <w:t>.</w:t>
      </w:r>
      <w:proofErr w:type="gramEnd"/>
    </w:p>
    <w:p w:rsidR="00DA4556" w:rsidRPr="00906154" w:rsidRDefault="00DA4556" w:rsidP="00DA4556">
      <w:pPr>
        <w:pStyle w:val="Default"/>
        <w:spacing w:after="200" w:line="360" w:lineRule="auto"/>
        <w:ind w:left="720" w:right="-132" w:hanging="720"/>
        <w:jc w:val="both"/>
        <w:rPr>
          <w:rFonts w:ascii="Rockwell" w:hAnsi="Rockwell" w:cs="Rockwell"/>
        </w:rPr>
      </w:pPr>
      <w:proofErr w:type="spellStart"/>
      <w:proofErr w:type="gramStart"/>
      <w:r>
        <w:rPr>
          <w:bCs/>
          <w:color w:val="262626"/>
        </w:rPr>
        <w:t>Quora</w:t>
      </w:r>
      <w:proofErr w:type="spellEnd"/>
      <w:r>
        <w:rPr>
          <w:bCs/>
          <w:color w:val="262626"/>
        </w:rPr>
        <w:t xml:space="preserve"> (2017).</w:t>
      </w:r>
      <w:proofErr w:type="gramEnd"/>
      <w:r>
        <w:rPr>
          <w:bCs/>
          <w:color w:val="262626"/>
        </w:rPr>
        <w:t xml:space="preserve"> </w:t>
      </w:r>
      <w:r w:rsidRPr="006653AF">
        <w:rPr>
          <w:bCs/>
          <w:i/>
          <w:color w:val="auto"/>
        </w:rPr>
        <w:t>How large is the organic clothing market</w:t>
      </w:r>
      <w:proofErr w:type="gramStart"/>
      <w:r w:rsidRPr="006653AF">
        <w:rPr>
          <w:bCs/>
          <w:i/>
          <w:color w:val="auto"/>
        </w:rPr>
        <w:t>?.</w:t>
      </w:r>
      <w:proofErr w:type="gramEnd"/>
      <w:r>
        <w:rPr>
          <w:bCs/>
          <w:color w:val="262626"/>
        </w:rPr>
        <w:t xml:space="preserve"> </w:t>
      </w:r>
      <w:proofErr w:type="gramStart"/>
      <w:r w:rsidRPr="002512A4">
        <w:rPr>
          <w:bCs/>
        </w:rPr>
        <w:t>Retrieved from</w:t>
      </w:r>
      <w:r>
        <w:rPr>
          <w:bCs/>
        </w:rPr>
        <w:t xml:space="preserve"> </w:t>
      </w:r>
      <w:hyperlink r:id="rId25" w:history="1">
        <w:r w:rsidRPr="00906154">
          <w:rPr>
            <w:rStyle w:val="Hyperlink"/>
            <w:bCs/>
            <w:color w:val="auto"/>
          </w:rPr>
          <w:t>https://www.quora.com/How-large-is-the-organic-clothing-market</w:t>
        </w:r>
      </w:hyperlink>
      <w:r>
        <w:t>.</w:t>
      </w:r>
      <w:proofErr w:type="gramEnd"/>
      <w:r>
        <w:t xml:space="preserve"> </w:t>
      </w:r>
      <w:r w:rsidRPr="002512A4">
        <w:rPr>
          <w:bCs/>
        </w:rPr>
        <w:t>Last accessed on 06.08.2018</w:t>
      </w:r>
    </w:p>
    <w:p w:rsidR="006F67C1" w:rsidRDefault="006F67C1" w:rsidP="006F67C1">
      <w:pPr>
        <w:pStyle w:val="Default"/>
        <w:spacing w:after="200" w:line="360" w:lineRule="auto"/>
        <w:ind w:firstLine="720"/>
        <w:jc w:val="both"/>
        <w:rPr>
          <w:szCs w:val="23"/>
        </w:rPr>
      </w:pPr>
    </w:p>
    <w:p w:rsidR="0077774B" w:rsidRPr="006F67C1" w:rsidRDefault="0077774B" w:rsidP="006F67C1">
      <w:pPr>
        <w:rPr>
          <w:rFonts w:ascii="Times New Roman" w:hAnsi="Times New Roman" w:cs="Times New Roman"/>
          <w:sz w:val="24"/>
          <w:szCs w:val="24"/>
        </w:rPr>
      </w:pPr>
    </w:p>
    <w:sectPr w:rsidR="0077774B" w:rsidRPr="006F67C1" w:rsidSect="00777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6A3"/>
    <w:multiLevelType w:val="hybridMultilevel"/>
    <w:tmpl w:val="061844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D3A2A"/>
    <w:multiLevelType w:val="hybridMultilevel"/>
    <w:tmpl w:val="5D62FE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E4448"/>
    <w:multiLevelType w:val="hybridMultilevel"/>
    <w:tmpl w:val="82BCFB74"/>
    <w:lvl w:ilvl="0" w:tplc="1D8CD5A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15247"/>
    <w:multiLevelType w:val="hybridMultilevel"/>
    <w:tmpl w:val="E3B084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83567"/>
    <w:multiLevelType w:val="hybridMultilevel"/>
    <w:tmpl w:val="DCA2E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B3C0A"/>
    <w:multiLevelType w:val="hybridMultilevel"/>
    <w:tmpl w:val="7136B2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17997"/>
    <w:multiLevelType w:val="hybridMultilevel"/>
    <w:tmpl w:val="82BCFB74"/>
    <w:lvl w:ilvl="0" w:tplc="1D8CD5A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C03DF"/>
    <w:multiLevelType w:val="hybridMultilevel"/>
    <w:tmpl w:val="A5FE83BE"/>
    <w:lvl w:ilvl="0" w:tplc="9C4EC2F6">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062E3"/>
    <w:multiLevelType w:val="hybridMultilevel"/>
    <w:tmpl w:val="2D48B1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20FDB"/>
    <w:multiLevelType w:val="hybridMultilevel"/>
    <w:tmpl w:val="60308BA4"/>
    <w:lvl w:ilvl="0" w:tplc="74903B1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A2CDA"/>
    <w:multiLevelType w:val="hybridMultilevel"/>
    <w:tmpl w:val="31D4048C"/>
    <w:lvl w:ilvl="0" w:tplc="4F3E669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B0A4D"/>
    <w:multiLevelType w:val="multilevel"/>
    <w:tmpl w:val="DE44673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1058FE"/>
    <w:multiLevelType w:val="hybridMultilevel"/>
    <w:tmpl w:val="A1A22E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A6621"/>
    <w:multiLevelType w:val="hybridMultilevel"/>
    <w:tmpl w:val="E2FEE5C6"/>
    <w:lvl w:ilvl="0" w:tplc="6860BCE0">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A354A0"/>
    <w:multiLevelType w:val="multilevel"/>
    <w:tmpl w:val="F9D2863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B413300"/>
    <w:multiLevelType w:val="multilevel"/>
    <w:tmpl w:val="9B489CD8"/>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047375"/>
    <w:multiLevelType w:val="hybridMultilevel"/>
    <w:tmpl w:val="31D4048C"/>
    <w:lvl w:ilvl="0" w:tplc="4F3E669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C6912"/>
    <w:multiLevelType w:val="hybridMultilevel"/>
    <w:tmpl w:val="35C2BF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E5A13"/>
    <w:multiLevelType w:val="hybridMultilevel"/>
    <w:tmpl w:val="DC58B664"/>
    <w:lvl w:ilvl="0" w:tplc="C2B8927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E0770"/>
    <w:multiLevelType w:val="multilevel"/>
    <w:tmpl w:val="F86830AA"/>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D739C"/>
    <w:multiLevelType w:val="hybridMultilevel"/>
    <w:tmpl w:val="7396DAB2"/>
    <w:lvl w:ilvl="0" w:tplc="8F6000E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C6B2D"/>
    <w:multiLevelType w:val="hybridMultilevel"/>
    <w:tmpl w:val="43487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A6D41"/>
    <w:multiLevelType w:val="hybridMultilevel"/>
    <w:tmpl w:val="4D9CD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4275E"/>
    <w:multiLevelType w:val="hybridMultilevel"/>
    <w:tmpl w:val="01CC4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20B64"/>
    <w:multiLevelType w:val="hybridMultilevel"/>
    <w:tmpl w:val="82BCFB74"/>
    <w:lvl w:ilvl="0" w:tplc="1D8CD5A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07D0D"/>
    <w:multiLevelType w:val="multilevel"/>
    <w:tmpl w:val="575CDF50"/>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1BF057C"/>
    <w:multiLevelType w:val="hybridMultilevel"/>
    <w:tmpl w:val="18143346"/>
    <w:lvl w:ilvl="0" w:tplc="4F3E669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9467E"/>
    <w:multiLevelType w:val="hybridMultilevel"/>
    <w:tmpl w:val="2CC26F70"/>
    <w:lvl w:ilvl="0" w:tplc="4F3E669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50A70"/>
    <w:multiLevelType w:val="hybridMultilevel"/>
    <w:tmpl w:val="586A58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3D19BB"/>
    <w:multiLevelType w:val="hybridMultilevel"/>
    <w:tmpl w:val="B4C2EBEC"/>
    <w:lvl w:ilvl="0" w:tplc="4F3E669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25"/>
  </w:num>
  <w:num w:numId="5">
    <w:abstractNumId w:val="21"/>
  </w:num>
  <w:num w:numId="6">
    <w:abstractNumId w:val="13"/>
  </w:num>
  <w:num w:numId="7">
    <w:abstractNumId w:val="0"/>
  </w:num>
  <w:num w:numId="8">
    <w:abstractNumId w:val="8"/>
  </w:num>
  <w:num w:numId="9">
    <w:abstractNumId w:val="20"/>
  </w:num>
  <w:num w:numId="10">
    <w:abstractNumId w:val="1"/>
  </w:num>
  <w:num w:numId="11">
    <w:abstractNumId w:val="24"/>
  </w:num>
  <w:num w:numId="12">
    <w:abstractNumId w:val="9"/>
  </w:num>
  <w:num w:numId="13">
    <w:abstractNumId w:val="7"/>
  </w:num>
  <w:num w:numId="14">
    <w:abstractNumId w:val="23"/>
  </w:num>
  <w:num w:numId="15">
    <w:abstractNumId w:val="17"/>
  </w:num>
  <w:num w:numId="16">
    <w:abstractNumId w:val="16"/>
  </w:num>
  <w:num w:numId="17">
    <w:abstractNumId w:val="29"/>
  </w:num>
  <w:num w:numId="18">
    <w:abstractNumId w:val="27"/>
  </w:num>
  <w:num w:numId="19">
    <w:abstractNumId w:val="26"/>
  </w:num>
  <w:num w:numId="20">
    <w:abstractNumId w:val="28"/>
  </w:num>
  <w:num w:numId="21">
    <w:abstractNumId w:val="3"/>
  </w:num>
  <w:num w:numId="22">
    <w:abstractNumId w:val="6"/>
  </w:num>
  <w:num w:numId="23">
    <w:abstractNumId w:val="22"/>
  </w:num>
  <w:num w:numId="24">
    <w:abstractNumId w:val="2"/>
  </w:num>
  <w:num w:numId="25">
    <w:abstractNumId w:val="10"/>
  </w:num>
  <w:num w:numId="26">
    <w:abstractNumId w:val="11"/>
  </w:num>
  <w:num w:numId="27">
    <w:abstractNumId w:val="18"/>
  </w:num>
  <w:num w:numId="28">
    <w:abstractNumId w:val="15"/>
  </w:num>
  <w:num w:numId="29">
    <w:abstractNumId w:val="1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461"/>
    <w:rsid w:val="001700F8"/>
    <w:rsid w:val="001C264F"/>
    <w:rsid w:val="00331F58"/>
    <w:rsid w:val="003B7DFA"/>
    <w:rsid w:val="004F5CAD"/>
    <w:rsid w:val="00641492"/>
    <w:rsid w:val="00684716"/>
    <w:rsid w:val="006F67C1"/>
    <w:rsid w:val="0077774B"/>
    <w:rsid w:val="007C1783"/>
    <w:rsid w:val="00842813"/>
    <w:rsid w:val="00B617BA"/>
    <w:rsid w:val="00BB3461"/>
    <w:rsid w:val="00C0561D"/>
    <w:rsid w:val="00DA4556"/>
    <w:rsid w:val="00F47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4B"/>
  </w:style>
  <w:style w:type="paragraph" w:styleId="Heading1">
    <w:name w:val="heading 1"/>
    <w:basedOn w:val="Normal"/>
    <w:next w:val="Normal"/>
    <w:link w:val="Heading1Char"/>
    <w:uiPriority w:val="9"/>
    <w:qFormat/>
    <w:rsid w:val="00DA4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45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7C1"/>
    <w:rPr>
      <w:color w:val="0000FF"/>
      <w:u w:val="single"/>
    </w:rPr>
  </w:style>
  <w:style w:type="paragraph" w:customStyle="1" w:styleId="Default">
    <w:name w:val="Default"/>
    <w:rsid w:val="006F67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A45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556"/>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A45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556"/>
  </w:style>
  <w:style w:type="paragraph" w:styleId="Footer">
    <w:name w:val="footer"/>
    <w:basedOn w:val="Normal"/>
    <w:link w:val="FooterChar"/>
    <w:uiPriority w:val="99"/>
    <w:unhideWhenUsed/>
    <w:rsid w:val="00DA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56"/>
  </w:style>
  <w:style w:type="paragraph" w:styleId="NormalWeb">
    <w:name w:val="Normal (Web)"/>
    <w:basedOn w:val="Normal"/>
    <w:uiPriority w:val="99"/>
    <w:unhideWhenUsed/>
    <w:rsid w:val="00DA45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56"/>
    <w:rPr>
      <w:rFonts w:ascii="Tahoma" w:hAnsi="Tahoma" w:cs="Tahoma"/>
      <w:sz w:val="16"/>
      <w:szCs w:val="16"/>
    </w:rPr>
  </w:style>
  <w:style w:type="character" w:styleId="Strong">
    <w:name w:val="Strong"/>
    <w:basedOn w:val="DefaultParagraphFont"/>
    <w:uiPriority w:val="22"/>
    <w:qFormat/>
    <w:rsid w:val="00DA4556"/>
    <w:rPr>
      <w:b/>
      <w:bCs/>
    </w:rPr>
  </w:style>
  <w:style w:type="table" w:styleId="TableGrid">
    <w:name w:val="Table Grid"/>
    <w:basedOn w:val="TableNormal"/>
    <w:uiPriority w:val="59"/>
    <w:rsid w:val="00DA4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A4556"/>
    <w:rPr>
      <w:i/>
      <w:iCs/>
    </w:rPr>
  </w:style>
  <w:style w:type="character" w:customStyle="1" w:styleId="webrupee">
    <w:name w:val="webrupee"/>
    <w:basedOn w:val="DefaultParagraphFont"/>
    <w:rsid w:val="00DA4556"/>
  </w:style>
  <w:style w:type="paragraph" w:styleId="ListParagraph">
    <w:name w:val="List Paragraph"/>
    <w:basedOn w:val="Normal"/>
    <w:uiPriority w:val="34"/>
    <w:qFormat/>
    <w:rsid w:val="00DA4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s://www.quora.com/How-large-is-the-organic-clothing-market"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hyperlink" Target="http://esa.un.org/unpd/wpp/publications/files/key_findings_wpp_2015.pdf" TargetMode="External"/><Relationship Id="rId11" Type="http://schemas.openxmlformats.org/officeDocument/2006/relationships/image" Target="media/image5.emf"/><Relationship Id="rId24" Type="http://schemas.openxmlformats.org/officeDocument/2006/relationships/hyperlink" Target="http://switch-greenretail.in/publication/article-on-green-products" TargetMode="External"/><Relationship Id="rId5" Type="http://schemas.openxmlformats.org/officeDocument/2006/relationships/hyperlink" Target="mailto:Vishalm.com85@gmail.com" TargetMode="External"/><Relationship Id="rId15" Type="http://schemas.openxmlformats.org/officeDocument/2006/relationships/image" Target="media/image9.emf"/><Relationship Id="rId23" Type="http://schemas.openxmlformats.org/officeDocument/2006/relationships/hyperlink" Target="http://www.chinadaily.com.cn/bizchina" TargetMode="Externa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2022-09-03T11:25:00Z</dcterms:created>
  <dcterms:modified xsi:type="dcterms:W3CDTF">2022-09-03T11:42:00Z</dcterms:modified>
</cp:coreProperties>
</file>