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8FAE" w14:textId="6D063CAB" w:rsidR="000176BA" w:rsidRPr="00100E58" w:rsidRDefault="002772B5" w:rsidP="00550E37">
      <w:pPr>
        <w:spacing w:after="0" w:line="240" w:lineRule="auto"/>
        <w:jc w:val="center"/>
        <w:rPr>
          <w:rFonts w:ascii="Times New Roman" w:hAnsi="Times New Roman" w:cs="Times New Roman"/>
          <w:b/>
          <w:bCs/>
          <w:sz w:val="48"/>
          <w:szCs w:val="48"/>
        </w:rPr>
      </w:pPr>
      <w:r w:rsidRPr="00100E58">
        <w:rPr>
          <w:rFonts w:ascii="Times New Roman" w:hAnsi="Times New Roman" w:cs="Times New Roman"/>
          <w:b/>
          <w:bCs/>
          <w:sz w:val="48"/>
          <w:szCs w:val="48"/>
        </w:rPr>
        <w:t>P</w:t>
      </w:r>
      <w:r w:rsidR="003F0EB6" w:rsidRPr="00100E58">
        <w:rPr>
          <w:rFonts w:ascii="Times New Roman" w:hAnsi="Times New Roman" w:cs="Times New Roman"/>
          <w:b/>
          <w:bCs/>
          <w:sz w:val="48"/>
          <w:szCs w:val="48"/>
        </w:rPr>
        <w:t>rofessional</w:t>
      </w:r>
      <w:r w:rsidR="00E108A3" w:rsidRPr="00100E58">
        <w:rPr>
          <w:rFonts w:ascii="Times New Roman" w:hAnsi="Times New Roman" w:cs="Times New Roman"/>
          <w:b/>
          <w:bCs/>
          <w:sz w:val="48"/>
          <w:szCs w:val="48"/>
        </w:rPr>
        <w:t xml:space="preserve"> </w:t>
      </w:r>
      <w:r w:rsidR="00AD696C" w:rsidRPr="00100E58">
        <w:rPr>
          <w:rFonts w:ascii="Times New Roman" w:hAnsi="Times New Roman" w:cs="Times New Roman"/>
          <w:b/>
          <w:bCs/>
          <w:sz w:val="48"/>
          <w:szCs w:val="48"/>
        </w:rPr>
        <w:t>Ethics</w:t>
      </w:r>
      <w:r w:rsidR="00E108A3" w:rsidRPr="00100E58">
        <w:rPr>
          <w:rFonts w:ascii="Times New Roman" w:hAnsi="Times New Roman" w:cs="Times New Roman"/>
          <w:b/>
          <w:bCs/>
          <w:sz w:val="48"/>
          <w:szCs w:val="48"/>
        </w:rPr>
        <w:t xml:space="preserve"> in </w:t>
      </w:r>
      <w:r w:rsidRPr="00100E58">
        <w:rPr>
          <w:rFonts w:ascii="Times New Roman" w:hAnsi="Times New Roman" w:cs="Times New Roman"/>
          <w:b/>
          <w:bCs/>
          <w:sz w:val="48"/>
          <w:szCs w:val="48"/>
        </w:rPr>
        <w:t>C</w:t>
      </w:r>
      <w:r w:rsidR="006304CB" w:rsidRPr="00100E58">
        <w:rPr>
          <w:rFonts w:ascii="Times New Roman" w:hAnsi="Times New Roman" w:cs="Times New Roman"/>
          <w:b/>
          <w:bCs/>
          <w:sz w:val="48"/>
          <w:szCs w:val="48"/>
        </w:rPr>
        <w:t xml:space="preserve">linical </w:t>
      </w:r>
      <w:r w:rsidRPr="00100E58">
        <w:rPr>
          <w:rFonts w:ascii="Times New Roman" w:hAnsi="Times New Roman" w:cs="Times New Roman"/>
          <w:b/>
          <w:bCs/>
          <w:sz w:val="48"/>
          <w:szCs w:val="48"/>
        </w:rPr>
        <w:t>R</w:t>
      </w:r>
      <w:r w:rsidR="006304CB" w:rsidRPr="00100E58">
        <w:rPr>
          <w:rFonts w:ascii="Times New Roman" w:hAnsi="Times New Roman" w:cs="Times New Roman"/>
          <w:b/>
          <w:bCs/>
          <w:sz w:val="48"/>
          <w:szCs w:val="48"/>
        </w:rPr>
        <w:t>esearch</w:t>
      </w:r>
    </w:p>
    <w:p w14:paraId="02CE2D26" w14:textId="7B470682" w:rsidR="00496881" w:rsidRDefault="00100E58"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Krati Dhakad</w:t>
      </w:r>
      <w:r w:rsidR="00496881">
        <w:rPr>
          <w:rFonts w:ascii="Times New Roman" w:hAnsi="Times New Roman" w:cs="Times New Roman"/>
          <w:b/>
          <w:bCs/>
          <w:sz w:val="20"/>
          <w:szCs w:val="20"/>
          <w:vertAlign w:val="superscript"/>
        </w:rPr>
        <w:t>1</w:t>
      </w:r>
    </w:p>
    <w:p w14:paraId="46F067F4" w14:textId="6A5A70C7" w:rsidR="00496881" w:rsidRDefault="00496881" w:rsidP="00550E37">
      <w:pPr>
        <w:spacing w:after="0" w:line="240" w:lineRule="auto"/>
        <w:jc w:val="center"/>
        <w:rPr>
          <w:rFonts w:ascii="Times New Roman" w:hAnsi="Times New Roman" w:cs="Times New Roman"/>
          <w:b/>
          <w:bCs/>
          <w:sz w:val="20"/>
          <w:szCs w:val="20"/>
        </w:rPr>
      </w:pPr>
      <w:bookmarkStart w:id="0" w:name="_Hlk111902005"/>
      <w:r>
        <w:rPr>
          <w:rFonts w:ascii="Times New Roman" w:hAnsi="Times New Roman" w:cs="Times New Roman"/>
          <w:b/>
          <w:bCs/>
          <w:sz w:val="20"/>
          <w:szCs w:val="20"/>
          <w:vertAlign w:val="superscript"/>
        </w:rPr>
        <w:t>1</w:t>
      </w:r>
      <w:r>
        <w:rPr>
          <w:rFonts w:ascii="Times New Roman" w:hAnsi="Times New Roman" w:cs="Times New Roman"/>
          <w:b/>
          <w:bCs/>
          <w:sz w:val="20"/>
          <w:szCs w:val="20"/>
        </w:rPr>
        <w:t>Department of Pharmaceutical Chemistry, Shri Ram college of Pharmacy,</w:t>
      </w:r>
      <w:r w:rsidR="00301DBC">
        <w:rPr>
          <w:rFonts w:ascii="Times New Roman" w:hAnsi="Times New Roman" w:cs="Times New Roman"/>
          <w:b/>
          <w:bCs/>
          <w:sz w:val="20"/>
          <w:szCs w:val="20"/>
        </w:rPr>
        <w:t xml:space="preserve"> </w:t>
      </w:r>
      <w:proofErr w:type="spellStart"/>
      <w:proofErr w:type="gramStart"/>
      <w:r w:rsidR="00F47AB9">
        <w:rPr>
          <w:rFonts w:ascii="Times New Roman" w:hAnsi="Times New Roman" w:cs="Times New Roman"/>
          <w:b/>
          <w:bCs/>
          <w:sz w:val="20"/>
          <w:szCs w:val="20"/>
        </w:rPr>
        <w:t>Banmore</w:t>
      </w:r>
      <w:proofErr w:type="spellEnd"/>
      <w:r w:rsidR="00F47AB9">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r w:rsidR="00301DBC">
        <w:rPr>
          <w:rFonts w:ascii="Times New Roman" w:hAnsi="Times New Roman" w:cs="Times New Roman"/>
          <w:b/>
          <w:bCs/>
          <w:sz w:val="20"/>
          <w:szCs w:val="20"/>
        </w:rPr>
        <w:t xml:space="preserve"> </w:t>
      </w:r>
      <w:r>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Pr>
          <w:rFonts w:ascii="Times New Roman" w:hAnsi="Times New Roman" w:cs="Times New Roman"/>
          <w:b/>
          <w:bCs/>
          <w:sz w:val="20"/>
          <w:szCs w:val="20"/>
        </w:rPr>
        <w:t>476444</w:t>
      </w:r>
    </w:p>
    <w:bookmarkEnd w:id="0"/>
    <w:p w14:paraId="4E78FA50" w14:textId="77777777" w:rsidR="00496881" w:rsidRDefault="00496881"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"mailto:Kratidhakad08@gmail.com"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Kratidhakad08@gmail.com</w:t>
      </w:r>
      <w:r>
        <w:rPr>
          <w:rFonts w:ascii="Times New Roman" w:hAnsi="Times New Roman" w:cs="Times New Roman"/>
          <w:b/>
          <w:bCs/>
          <w:sz w:val="20"/>
          <w:szCs w:val="20"/>
        </w:rPr>
        <w:fldChar w:fldCharType="end"/>
      </w:r>
      <w:r w:rsidRPr="00496881">
        <w:rPr>
          <w:rFonts w:ascii="Times New Roman" w:hAnsi="Times New Roman" w:cs="Times New Roman"/>
          <w:b/>
          <w:bCs/>
          <w:sz w:val="20"/>
          <w:szCs w:val="20"/>
        </w:rPr>
        <w:t xml:space="preserve"> </w:t>
      </w:r>
    </w:p>
    <w:p w14:paraId="00B62583" w14:textId="0370DD91" w:rsidR="00496881" w:rsidRDefault="00100E58"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Himanshi</w:t>
      </w:r>
      <w:proofErr w:type="spellEnd"/>
      <w:r>
        <w:rPr>
          <w:rFonts w:ascii="Times New Roman" w:hAnsi="Times New Roman" w:cs="Times New Roman"/>
          <w:b/>
          <w:bCs/>
          <w:sz w:val="20"/>
          <w:szCs w:val="20"/>
        </w:rPr>
        <w:t xml:space="preserve"> Bhalerao</w:t>
      </w:r>
      <w:r w:rsidR="00496881">
        <w:rPr>
          <w:rFonts w:ascii="Times New Roman" w:hAnsi="Times New Roman" w:cs="Times New Roman"/>
          <w:b/>
          <w:bCs/>
          <w:sz w:val="20"/>
          <w:szCs w:val="20"/>
          <w:vertAlign w:val="superscript"/>
        </w:rPr>
        <w:t>2</w:t>
      </w:r>
    </w:p>
    <w:p w14:paraId="155D49F8" w14:textId="2776AC2D" w:rsidR="00496881" w:rsidRDefault="00496881" w:rsidP="00550E37">
      <w:pPr>
        <w:spacing w:after="0" w:line="240" w:lineRule="auto"/>
        <w:jc w:val="center"/>
        <w:rPr>
          <w:rFonts w:ascii="Times New Roman" w:hAnsi="Times New Roman" w:cs="Times New Roman"/>
          <w:b/>
          <w:bCs/>
          <w:sz w:val="20"/>
          <w:szCs w:val="20"/>
        </w:rPr>
      </w:pPr>
      <w:bookmarkStart w:id="1" w:name="_Hlk111902185"/>
      <w:r>
        <w:rPr>
          <w:rFonts w:ascii="Times New Roman" w:hAnsi="Times New Roman" w:cs="Times New Roman"/>
          <w:b/>
          <w:bCs/>
          <w:sz w:val="20"/>
          <w:szCs w:val="20"/>
          <w:vertAlign w:val="superscript"/>
        </w:rPr>
        <w:t>2</w:t>
      </w:r>
      <w:r>
        <w:rPr>
          <w:rFonts w:ascii="Times New Roman" w:hAnsi="Times New Roman" w:cs="Times New Roman"/>
          <w:b/>
          <w:bCs/>
          <w:sz w:val="20"/>
          <w:szCs w:val="20"/>
        </w:rPr>
        <w:t>Department of Pharmacology, Shri Ram college of Pharmacy,</w:t>
      </w:r>
      <w:r w:rsidR="00301DBC">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Banmore</w:t>
      </w:r>
      <w:proofErr w:type="spellEnd"/>
      <w:r w:rsidR="00F47AB9">
        <w:rPr>
          <w:rFonts w:ascii="Times New Roman" w:hAnsi="Times New Roman" w:cs="Times New Roman"/>
          <w:b/>
          <w:bCs/>
          <w:sz w:val="20"/>
          <w:szCs w:val="20"/>
        </w:rPr>
        <w:t xml:space="preserve"> </w:t>
      </w:r>
      <w:r>
        <w:rPr>
          <w:rFonts w:ascii="Times New Roman" w:hAnsi="Times New Roman" w:cs="Times New Roman"/>
          <w:b/>
          <w:bCs/>
          <w:sz w:val="20"/>
          <w:szCs w:val="20"/>
        </w:rPr>
        <w:t>,</w:t>
      </w:r>
      <w:r w:rsidR="00301DBC">
        <w:rPr>
          <w:rFonts w:ascii="Times New Roman" w:hAnsi="Times New Roman" w:cs="Times New Roman"/>
          <w:b/>
          <w:bCs/>
          <w:sz w:val="20"/>
          <w:szCs w:val="20"/>
        </w:rPr>
        <w:t xml:space="preserve"> </w:t>
      </w:r>
      <w:r>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Pr>
          <w:rFonts w:ascii="Times New Roman" w:hAnsi="Times New Roman" w:cs="Times New Roman"/>
          <w:b/>
          <w:bCs/>
          <w:sz w:val="20"/>
          <w:szCs w:val="20"/>
        </w:rPr>
        <w:t>476444</w:t>
      </w:r>
    </w:p>
    <w:bookmarkEnd w:id="1"/>
    <w:p w14:paraId="3D759D4B" w14:textId="08520E1A" w:rsidR="00496881"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"mailto:Himanshibhalerao075@gmail.com"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Himanshibhalerao075@gmail.com</w:t>
      </w:r>
      <w:r>
        <w:rPr>
          <w:rFonts w:ascii="Times New Roman" w:hAnsi="Times New Roman" w:cs="Times New Roman"/>
          <w:b/>
          <w:bCs/>
          <w:sz w:val="20"/>
          <w:szCs w:val="20"/>
        </w:rPr>
        <w:fldChar w:fldCharType="end"/>
      </w:r>
    </w:p>
    <w:p w14:paraId="4C851A9B" w14:textId="77777777" w:rsidR="00301DBC" w:rsidRDefault="00301DBC"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Adarsh Srhivastava</w:t>
      </w:r>
      <w:r>
        <w:rPr>
          <w:rFonts w:ascii="Times New Roman" w:hAnsi="Times New Roman" w:cs="Times New Roman"/>
          <w:b/>
          <w:bCs/>
          <w:sz w:val="20"/>
          <w:szCs w:val="20"/>
          <w:vertAlign w:val="superscript"/>
        </w:rPr>
        <w:t>3</w:t>
      </w:r>
    </w:p>
    <w:p w14:paraId="7B7D5806" w14:textId="3AD22FA8" w:rsidR="00301DBC"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3</w:t>
      </w:r>
      <w:r>
        <w:rPr>
          <w:rFonts w:ascii="Times New Roman" w:hAnsi="Times New Roman" w:cs="Times New Roman"/>
          <w:b/>
          <w:bCs/>
          <w:sz w:val="20"/>
          <w:szCs w:val="20"/>
        </w:rPr>
        <w:t xml:space="preserve">Department of Pharmaceutics, Shri Ram college of Pharmacy, </w:t>
      </w:r>
      <w:proofErr w:type="spellStart"/>
      <w:r>
        <w:rPr>
          <w:rFonts w:ascii="Times New Roman" w:hAnsi="Times New Roman" w:cs="Times New Roman"/>
          <w:b/>
          <w:bCs/>
          <w:sz w:val="20"/>
          <w:szCs w:val="20"/>
        </w:rPr>
        <w:t>Banmore</w:t>
      </w:r>
      <w:proofErr w:type="spellEnd"/>
      <w:r>
        <w:rPr>
          <w:rFonts w:ascii="Times New Roman" w:hAnsi="Times New Roman" w:cs="Times New Roman"/>
          <w:b/>
          <w:bCs/>
          <w:sz w:val="20"/>
          <w:szCs w:val="20"/>
        </w:rPr>
        <w:t>, MP,476444</w:t>
      </w:r>
    </w:p>
    <w:p w14:paraId="421DC464" w14:textId="0B79BCC7"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Ravindra Mishra</w:t>
      </w:r>
      <w:r w:rsidRPr="00B10787">
        <w:rPr>
          <w:rFonts w:ascii="Times New Roman" w:hAnsi="Times New Roman" w:cs="Times New Roman"/>
          <w:b/>
          <w:bCs/>
          <w:sz w:val="20"/>
          <w:szCs w:val="20"/>
          <w:vertAlign w:val="superscript"/>
        </w:rPr>
        <w:t>4</w:t>
      </w:r>
    </w:p>
    <w:p w14:paraId="5C3C9F70" w14:textId="51DCA9AE" w:rsidR="00B10787" w:rsidRDefault="00100E5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4</w:t>
      </w:r>
      <w:r w:rsidR="00B10787">
        <w:rPr>
          <w:rFonts w:ascii="Times New Roman" w:hAnsi="Times New Roman" w:cs="Times New Roman"/>
          <w:b/>
          <w:bCs/>
          <w:sz w:val="20"/>
          <w:szCs w:val="20"/>
        </w:rPr>
        <w:t xml:space="preserve">Department of Pharmacology, Shri Ram </w:t>
      </w:r>
      <w:r w:rsidR="00F47AB9">
        <w:rPr>
          <w:rFonts w:ascii="Times New Roman" w:hAnsi="Times New Roman" w:cs="Times New Roman"/>
          <w:b/>
          <w:bCs/>
          <w:sz w:val="20"/>
          <w:szCs w:val="20"/>
        </w:rPr>
        <w:t>College</w:t>
      </w:r>
      <w:r w:rsidR="00B10787">
        <w:rPr>
          <w:rFonts w:ascii="Times New Roman" w:hAnsi="Times New Roman" w:cs="Times New Roman"/>
          <w:b/>
          <w:bCs/>
          <w:sz w:val="20"/>
          <w:szCs w:val="20"/>
        </w:rPr>
        <w:t xml:space="preserve"> of Pharmacy, </w:t>
      </w:r>
      <w:proofErr w:type="spellStart"/>
      <w:r w:rsidR="00B10787">
        <w:rPr>
          <w:rFonts w:ascii="Times New Roman" w:hAnsi="Times New Roman" w:cs="Times New Roman"/>
          <w:b/>
          <w:bCs/>
          <w:sz w:val="20"/>
          <w:szCs w:val="20"/>
        </w:rPr>
        <w:t>Banmore</w:t>
      </w:r>
      <w:proofErr w:type="spellEnd"/>
      <w:r w:rsidR="00B10787">
        <w:rPr>
          <w:rFonts w:ascii="Times New Roman" w:hAnsi="Times New Roman" w:cs="Times New Roman"/>
          <w:b/>
          <w:bCs/>
          <w:sz w:val="20"/>
          <w:szCs w:val="20"/>
        </w:rPr>
        <w:t>, MP</w:t>
      </w:r>
      <w:r w:rsidR="00F47AB9">
        <w:rPr>
          <w:rFonts w:ascii="Times New Roman" w:hAnsi="Times New Roman" w:cs="Times New Roman"/>
          <w:b/>
          <w:bCs/>
          <w:sz w:val="20"/>
          <w:szCs w:val="20"/>
        </w:rPr>
        <w:t>, 476444</w:t>
      </w:r>
    </w:p>
    <w:p w14:paraId="2CBCA618" w14:textId="584BC807"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Harsha Rathore</w:t>
      </w:r>
      <w:r w:rsidRPr="00B10787">
        <w:rPr>
          <w:rFonts w:ascii="Times New Roman" w:hAnsi="Times New Roman" w:cs="Times New Roman"/>
          <w:b/>
          <w:bCs/>
          <w:sz w:val="20"/>
          <w:szCs w:val="20"/>
          <w:vertAlign w:val="superscript"/>
        </w:rPr>
        <w:t>5</w:t>
      </w:r>
    </w:p>
    <w:p w14:paraId="3878820F" w14:textId="7A091B0C" w:rsidR="00B10787" w:rsidRDefault="00100E5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5</w:t>
      </w:r>
      <w:r w:rsidR="00B10787">
        <w:rPr>
          <w:rFonts w:ascii="Times New Roman" w:hAnsi="Times New Roman" w:cs="Times New Roman"/>
          <w:b/>
          <w:bCs/>
          <w:sz w:val="20"/>
          <w:szCs w:val="20"/>
        </w:rPr>
        <w:t xml:space="preserve">Department of Pharmacology, Shri Ram </w:t>
      </w:r>
      <w:r w:rsidR="00F47AB9">
        <w:rPr>
          <w:rFonts w:ascii="Times New Roman" w:hAnsi="Times New Roman" w:cs="Times New Roman"/>
          <w:b/>
          <w:bCs/>
          <w:sz w:val="20"/>
          <w:szCs w:val="20"/>
        </w:rPr>
        <w:t xml:space="preserve">College of Pharmacy, </w:t>
      </w:r>
      <w:proofErr w:type="spellStart"/>
      <w:r w:rsidR="00F47AB9">
        <w:rPr>
          <w:rFonts w:ascii="Times New Roman" w:hAnsi="Times New Roman" w:cs="Times New Roman"/>
          <w:b/>
          <w:bCs/>
          <w:sz w:val="20"/>
          <w:szCs w:val="20"/>
        </w:rPr>
        <w:t>Banmore</w:t>
      </w:r>
      <w:proofErr w:type="spellEnd"/>
      <w:r w:rsidR="00F47AB9">
        <w:rPr>
          <w:rFonts w:ascii="Times New Roman" w:hAnsi="Times New Roman" w:cs="Times New Roman"/>
          <w:b/>
          <w:bCs/>
          <w:sz w:val="20"/>
          <w:szCs w:val="20"/>
        </w:rPr>
        <w:t>, MP, 476444</w:t>
      </w:r>
    </w:p>
    <w:p w14:paraId="61CC8513" w14:textId="77777777" w:rsidR="00B10787" w:rsidRPr="00496881" w:rsidRDefault="00B10787" w:rsidP="00550E37">
      <w:pPr>
        <w:spacing w:after="0" w:line="240" w:lineRule="auto"/>
        <w:jc w:val="center"/>
        <w:rPr>
          <w:rFonts w:ascii="Times New Roman" w:hAnsi="Times New Roman" w:cs="Times New Roman"/>
          <w:b/>
          <w:bCs/>
          <w:sz w:val="20"/>
          <w:szCs w:val="20"/>
        </w:rPr>
      </w:pPr>
    </w:p>
    <w:p w14:paraId="54767995" w14:textId="78BCDCBE" w:rsidR="00BB435D" w:rsidRDefault="003F0EB6"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6863097F" w14:textId="4DD197E4" w:rsidR="003F0EB6" w:rsidRDefault="00100E58" w:rsidP="00550E37">
      <w:pPr>
        <w:spacing w:after="0" w:line="240" w:lineRule="auto"/>
        <w:ind w:firstLine="720"/>
        <w:jc w:val="both"/>
        <w:rPr>
          <w:rFonts w:ascii="Times New Roman" w:hAnsi="Times New Roman" w:cs="Times New Roman"/>
          <w:sz w:val="20"/>
          <w:szCs w:val="20"/>
        </w:rPr>
      </w:pPr>
      <w:r w:rsidRPr="00100E58">
        <w:rPr>
          <w:rFonts w:ascii="Times New Roman" w:hAnsi="Times New Roman" w:cs="Times New Roman"/>
          <w:sz w:val="20"/>
          <w:szCs w:val="20"/>
        </w:rPr>
        <w:t>Over the past few decades, randomised controlled trials (RCTs) have overtaken clinical judgement, case reports, and observational research to become the gold standard for medical evidence.</w:t>
      </w:r>
      <w:r w:rsidR="00E03E1E" w:rsidRPr="00E03E1E">
        <w:rPr>
          <w:rFonts w:ascii="Times New Roman" w:hAnsi="Times New Roman" w:cs="Times New Roman"/>
          <w:sz w:val="20"/>
          <w:szCs w:val="20"/>
        </w:rPr>
        <w:t xml:space="preserve"> </w:t>
      </w:r>
      <w:r w:rsidRPr="00100E58">
        <w:rPr>
          <w:rFonts w:ascii="Times New Roman" w:hAnsi="Times New Roman" w:cs="Times New Roman"/>
          <w:sz w:val="20"/>
          <w:szCs w:val="20"/>
        </w:rPr>
        <w:t>Additionally, throughout this time, RCTs developed into a crucial part of the regulatory process by which a novel medicine could get access to the pharmaceutical market. As research issues get more complex, clinical trials have grown to be huge, tightly controlled operations that must balance adhering to ethical guidelines with upholding high epistemic standards.</w:t>
      </w:r>
      <w:r w:rsidR="00E03E1E" w:rsidRPr="00E03E1E">
        <w:rPr>
          <w:rFonts w:ascii="Times New Roman" w:hAnsi="Times New Roman" w:cs="Times New Roman"/>
          <w:sz w:val="20"/>
          <w:szCs w:val="20"/>
        </w:rPr>
        <w:t xml:space="preserve"> </w:t>
      </w:r>
      <w:r w:rsidRPr="00100E58">
        <w:rPr>
          <w:rFonts w:ascii="Times New Roman" w:hAnsi="Times New Roman" w:cs="Times New Roman"/>
          <w:sz w:val="20"/>
          <w:szCs w:val="20"/>
        </w:rPr>
        <w:t>In this review, the author will explore some of the most important ethical issues relating to RCTs, with an emphasis on current debates and the context of oncological research in particular.</w:t>
      </w:r>
    </w:p>
    <w:p w14:paraId="61365C45" w14:textId="7D34FB7E" w:rsidR="00E62AED" w:rsidRPr="00E62AED" w:rsidRDefault="00E62AED" w:rsidP="00550E37">
      <w:pPr>
        <w:spacing w:after="0" w:line="240" w:lineRule="auto"/>
        <w:jc w:val="both"/>
        <w:rPr>
          <w:rFonts w:ascii="Times New Roman" w:hAnsi="Times New Roman" w:cs="Times New Roman"/>
          <w:b/>
          <w:bCs/>
          <w:sz w:val="20"/>
          <w:szCs w:val="20"/>
        </w:rPr>
      </w:pPr>
      <w:r w:rsidRPr="00E62AED">
        <w:rPr>
          <w:rFonts w:ascii="Times New Roman" w:hAnsi="Times New Roman" w:cs="Times New Roman"/>
          <w:b/>
          <w:bCs/>
          <w:sz w:val="20"/>
          <w:szCs w:val="20"/>
        </w:rPr>
        <w:t>Keywords</w:t>
      </w:r>
      <w:r>
        <w:rPr>
          <w:rFonts w:ascii="Times New Roman" w:hAnsi="Times New Roman" w:cs="Times New Roman"/>
          <w:b/>
          <w:bCs/>
          <w:sz w:val="20"/>
          <w:szCs w:val="20"/>
        </w:rPr>
        <w:t>:</w:t>
      </w:r>
      <w:r w:rsidR="00C769D0" w:rsidRPr="00B10787">
        <w:rPr>
          <w:rFonts w:ascii="Times New Roman" w:hAnsi="Times New Roman" w:cs="Times New Roman"/>
          <w:sz w:val="20"/>
          <w:szCs w:val="20"/>
        </w:rPr>
        <w:t xml:space="preserve"> Ethics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w:t>
      </w:r>
      <w:r w:rsidR="00C769D0" w:rsidRPr="00B10787">
        <w:rPr>
          <w:rFonts w:ascii="Times New Roman" w:hAnsi="Times New Roman" w:cs="Times New Roman"/>
          <w:sz w:val="20"/>
          <w:szCs w:val="20"/>
        </w:rPr>
        <w:t>rials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dilemmas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R</w:t>
      </w:r>
      <w:r w:rsidR="005B6BA4" w:rsidRPr="00B10787">
        <w:rPr>
          <w:rFonts w:ascii="Times New Roman" w:hAnsi="Times New Roman" w:cs="Times New Roman"/>
          <w:sz w:val="20"/>
          <w:szCs w:val="20"/>
        </w:rPr>
        <w:t>CT</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Legal</w:t>
      </w:r>
      <w:r w:rsid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Tele Pharmacy</w:t>
      </w:r>
      <w:r w:rsidR="00B10787">
        <w:rPr>
          <w:rFonts w:ascii="Times New Roman" w:hAnsi="Times New Roman" w:cs="Times New Roman"/>
          <w:sz w:val="20"/>
          <w:szCs w:val="20"/>
        </w:rPr>
        <w:t>;</w:t>
      </w:r>
      <w:r w:rsidR="005B6BA4" w:rsidRPr="00B10787">
        <w:rPr>
          <w:rFonts w:ascii="Times New Roman" w:hAnsi="Times New Roman" w:cs="Times New Roman"/>
          <w:sz w:val="20"/>
          <w:szCs w:val="20"/>
        </w:rPr>
        <w:t xml:space="preserve"> Consent and confidentiality.</w:t>
      </w:r>
    </w:p>
    <w:p w14:paraId="03A4E133" w14:textId="22A356EE" w:rsidR="003F0EB6"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w:t>
      </w:r>
      <w:r w:rsidRPr="00EF792B">
        <w:rPr>
          <w:rFonts w:ascii="Times New Roman" w:hAnsi="Times New Roman" w:cs="Times New Roman"/>
          <w:b/>
          <w:sz w:val="20"/>
          <w:szCs w:val="20"/>
        </w:rPr>
        <w:t xml:space="preserve"> INTRODUCTION</w:t>
      </w:r>
    </w:p>
    <w:p w14:paraId="44404D8E" w14:textId="6D303BFC" w:rsidR="00E03E1E"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Ethica</w:t>
      </w:r>
      <w:r w:rsidR="00F47AB9">
        <w:rPr>
          <w:rFonts w:ascii="Times New Roman" w:hAnsi="Times New Roman" w:cs="Times New Roman"/>
          <w:sz w:val="20"/>
          <w:szCs w:val="20"/>
        </w:rPr>
        <w:t>l quandaries develop when these are</w:t>
      </w:r>
      <w:r w:rsidRPr="00E03E1E">
        <w:rPr>
          <w:rFonts w:ascii="Times New Roman" w:hAnsi="Times New Roman" w:cs="Times New Roman"/>
          <w:sz w:val="20"/>
          <w:szCs w:val="20"/>
        </w:rPr>
        <w:t xml:space="preserve"> differences about ethical behaviour or the application of ethical standards. Because each party's beliefs, sense of justice, and fairness may differ, ethical quandaries can arise between pharmacists and clients, ph</w:t>
      </w:r>
      <w:r w:rsidR="00F47AB9">
        <w:rPr>
          <w:rFonts w:ascii="Times New Roman" w:hAnsi="Times New Roman" w:cs="Times New Roman"/>
          <w:sz w:val="20"/>
          <w:szCs w:val="20"/>
        </w:rPr>
        <w:t>armacists and physician</w:t>
      </w:r>
      <w:r w:rsidRPr="00E03E1E">
        <w:rPr>
          <w:rFonts w:ascii="Times New Roman" w:hAnsi="Times New Roman" w:cs="Times New Roman"/>
          <w:sz w:val="20"/>
          <w:szCs w:val="20"/>
        </w:rPr>
        <w:t>, and among pharmacists. Each party may advocate a different principle, such as utilitarianism vs respect for the person. In health care, ethical quandaries most typically concern physicians, but in an expanding cascade, other healthcare workers, such as pharmacists, are experiencing problems in their occupations that cause ethical quandaries. Within a generation, our health-care systems have progressed from very simple to extremely complicated. The issue of legal culpability, both actual and imagined, influences the conduct of doctors and pharmacists as they try to practise</w:t>
      </w:r>
      <w:r w:rsidR="00316D5A">
        <w:rPr>
          <w:rFonts w:ascii="Times New Roman" w:hAnsi="Times New Roman" w:cs="Times New Roman"/>
          <w:sz w:val="20"/>
          <w:szCs w:val="20"/>
        </w:rPr>
        <w:t xml:space="preserve"> [1]</w:t>
      </w:r>
      <w:r w:rsidRPr="00E03E1E">
        <w:rPr>
          <w:rFonts w:ascii="Times New Roman" w:hAnsi="Times New Roman" w:cs="Times New Roman"/>
          <w:sz w:val="20"/>
          <w:szCs w:val="20"/>
        </w:rPr>
        <w:t>.</w:t>
      </w:r>
    </w:p>
    <w:p w14:paraId="2572322C" w14:textId="53D88B66" w:rsidR="000176BA" w:rsidRPr="003F0EB6"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Recognizing the growing role conflict, particularly in the community pharmacy environment, has encouraged pharmacists to reconsider their position in healthcare during the previous few decades. In 1986, pharmacy was defined as a "profession in transition," with considerable changes occurring in reaction to pharmacists' perceived loss of function, social influence, and prestige, resulting in a shift toward a patient-</w:t>
      </w:r>
      <w:r w:rsidR="005B6BA4" w:rsidRPr="00E03E1E">
        <w:rPr>
          <w:rFonts w:ascii="Times New Roman" w:hAnsi="Times New Roman" w:cs="Times New Roman"/>
          <w:sz w:val="20"/>
          <w:szCs w:val="20"/>
        </w:rPr>
        <w:t>c</w:t>
      </w:r>
      <w:r w:rsidR="005B6BA4">
        <w:rPr>
          <w:rFonts w:ascii="Times New Roman" w:hAnsi="Times New Roman" w:cs="Times New Roman"/>
          <w:sz w:val="20"/>
          <w:szCs w:val="20"/>
        </w:rPr>
        <w:t>e</w:t>
      </w:r>
      <w:r w:rsidR="005B6BA4" w:rsidRPr="00E03E1E">
        <w:rPr>
          <w:rFonts w:ascii="Times New Roman" w:hAnsi="Times New Roman" w:cs="Times New Roman"/>
          <w:sz w:val="20"/>
          <w:szCs w:val="20"/>
        </w:rPr>
        <w:t>ntred</w:t>
      </w:r>
      <w:r w:rsidRPr="00E03E1E">
        <w:rPr>
          <w:rFonts w:ascii="Times New Roman" w:hAnsi="Times New Roman" w:cs="Times New Roman"/>
          <w:sz w:val="20"/>
          <w:szCs w:val="20"/>
        </w:rPr>
        <w:t xml:space="preserve"> position. One significant manifestation of this transition is the review of codes of professional ethics; in certain countries, such as the United Kingdom and the United States, there has been an ongoing debate over the review of codes of ethics throughout the latter two d</w:t>
      </w:r>
      <w:r>
        <w:rPr>
          <w:rFonts w:ascii="Times New Roman" w:hAnsi="Times New Roman" w:cs="Times New Roman"/>
          <w:sz w:val="20"/>
          <w:szCs w:val="20"/>
        </w:rPr>
        <w:t>ecades of the twentieth century</w:t>
      </w:r>
      <w:r w:rsidR="00316D5A">
        <w:rPr>
          <w:rFonts w:ascii="Times New Roman" w:hAnsi="Times New Roman" w:cs="Times New Roman"/>
          <w:sz w:val="20"/>
          <w:szCs w:val="20"/>
        </w:rPr>
        <w:t xml:space="preserve"> [1]</w:t>
      </w:r>
      <w:r w:rsidR="000176BA" w:rsidRPr="003F0EB6">
        <w:rPr>
          <w:rFonts w:ascii="Times New Roman" w:hAnsi="Times New Roman" w:cs="Times New Roman"/>
          <w:sz w:val="20"/>
          <w:szCs w:val="20"/>
        </w:rPr>
        <w:t>.</w:t>
      </w:r>
    </w:p>
    <w:p w14:paraId="382A0CC2" w14:textId="2367A017" w:rsidR="00E03E1E"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While current pharmacy ethics guidelines emphasise that patients' dignity and welfare must be paramount, it has also been recognised that this dedication to patients' dignity and welfare can be jeopardised when pharmacists allow corporate aims to influence and dominate their behaviour</w:t>
      </w:r>
      <w:r w:rsidR="00316D5A">
        <w:rPr>
          <w:rFonts w:ascii="Times New Roman" w:hAnsi="Times New Roman" w:cs="Times New Roman"/>
          <w:sz w:val="20"/>
          <w:szCs w:val="20"/>
        </w:rPr>
        <w:t xml:space="preserve"> [1]</w:t>
      </w:r>
      <w:r w:rsidRPr="00E03E1E">
        <w:rPr>
          <w:rFonts w:ascii="Times New Roman" w:hAnsi="Times New Roman" w:cs="Times New Roman"/>
          <w:sz w:val="20"/>
          <w:szCs w:val="20"/>
        </w:rPr>
        <w:t>.</w:t>
      </w:r>
    </w:p>
    <w:p w14:paraId="7F80CE5D" w14:textId="644AE3FA" w:rsidR="00B10787"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 xml:space="preserve">Our present understanding of human </w:t>
      </w:r>
      <w:r w:rsidR="00100E58" w:rsidRPr="00E03E1E">
        <w:rPr>
          <w:rFonts w:ascii="Times New Roman" w:hAnsi="Times New Roman" w:cs="Times New Roman"/>
          <w:sz w:val="20"/>
          <w:szCs w:val="20"/>
        </w:rPr>
        <w:t>subject’s</w:t>
      </w:r>
      <w:r w:rsidRPr="00E03E1E">
        <w:rPr>
          <w:rFonts w:ascii="Times New Roman" w:hAnsi="Times New Roman" w:cs="Times New Roman"/>
          <w:sz w:val="20"/>
          <w:szCs w:val="20"/>
        </w:rPr>
        <w:t xml:space="preserve"> research is influenced by three key texts produced in the aftermath of the earlier described events of research misbehaviour. The Nuremberg Guideline is a legal and ethical code issued by US judges at the Nuremberg Trials following World War II. Many see it as the most authoritative legal reference on human experimentation. It is founded on global principles of natural law and human rights, and it defines the fundamental idea that participation in research needs the subject's free and informed agreement.</w:t>
      </w:r>
      <w:r>
        <w:rPr>
          <w:rFonts w:ascii="Times New Roman" w:hAnsi="Times New Roman" w:cs="Times New Roman"/>
          <w:sz w:val="20"/>
          <w:szCs w:val="20"/>
        </w:rPr>
        <w:t xml:space="preserve"> </w:t>
      </w:r>
      <w:r w:rsidRPr="00E03E1E">
        <w:rPr>
          <w:rFonts w:ascii="Times New Roman" w:hAnsi="Times New Roman" w:cs="Times New Roman"/>
          <w:sz w:val="20"/>
          <w:szCs w:val="20"/>
        </w:rPr>
        <w:t>The Helsinki Declaration is undoubtedly the most well-known and important medical research guideline in the world</w:t>
      </w:r>
      <w:r w:rsidR="00A92AF9">
        <w:rPr>
          <w:rFonts w:ascii="Times New Roman" w:hAnsi="Times New Roman" w:cs="Times New Roman"/>
          <w:sz w:val="20"/>
          <w:szCs w:val="20"/>
        </w:rPr>
        <w:t xml:space="preserve"> [1][2]</w:t>
      </w:r>
      <w:r w:rsidRPr="00E03E1E">
        <w:rPr>
          <w:rFonts w:ascii="Times New Roman" w:hAnsi="Times New Roman" w:cs="Times New Roman"/>
          <w:sz w:val="20"/>
          <w:szCs w:val="20"/>
        </w:rPr>
        <w:t>.</w:t>
      </w:r>
    </w:p>
    <w:p w14:paraId="57822CA8" w14:textId="6AAEF204" w:rsidR="00392EC1" w:rsidRPr="003F0EB6"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It is a World Medical Association (WMA) official policy that was first released in 1964 and has since undergone numerous revisions. The Declaration could be seen as a sign of the WMA's efforts to strike a compromise between the need to create high-quality medical knowledge and the need to safeguard the interests and health of research participants.</w:t>
      </w:r>
      <w:r w:rsidR="00E03E1E" w:rsidRPr="00E03E1E">
        <w:rPr>
          <w:rFonts w:ascii="Times New Roman" w:hAnsi="Times New Roman" w:cs="Times New Roman"/>
          <w:sz w:val="20"/>
          <w:szCs w:val="20"/>
        </w:rPr>
        <w:t xml:space="preserve"> </w:t>
      </w:r>
      <w:r w:rsidRPr="00E03E1E">
        <w:rPr>
          <w:rFonts w:ascii="Times New Roman" w:hAnsi="Times New Roman" w:cs="Times New Roman"/>
          <w:sz w:val="20"/>
          <w:szCs w:val="20"/>
        </w:rPr>
        <w:t>Lastly</w:t>
      </w:r>
      <w:r w:rsidR="00E03E1E" w:rsidRPr="00E03E1E">
        <w:rPr>
          <w:rFonts w:ascii="Times New Roman" w:hAnsi="Times New Roman" w:cs="Times New Roman"/>
          <w:sz w:val="20"/>
          <w:szCs w:val="20"/>
        </w:rPr>
        <w:t xml:space="preserve">, the Belmont Report is a brief treatise on moral principles produced in 1978 by the National Commission for the Protection of Human Subjects of Biomedical and </w:t>
      </w:r>
      <w:r w:rsidR="00023C79" w:rsidRPr="00E03E1E">
        <w:rPr>
          <w:rFonts w:ascii="Times New Roman" w:hAnsi="Times New Roman" w:cs="Times New Roman"/>
          <w:sz w:val="20"/>
          <w:szCs w:val="20"/>
        </w:rPr>
        <w:t>Behavioural</w:t>
      </w:r>
      <w:r w:rsidR="00E03E1E" w:rsidRPr="00E03E1E">
        <w:rPr>
          <w:rFonts w:ascii="Times New Roman" w:hAnsi="Times New Roman" w:cs="Times New Roman"/>
          <w:sz w:val="20"/>
          <w:szCs w:val="20"/>
        </w:rPr>
        <w:t xml:space="preserve"> Research in the aftermath of research misconduct scandals</w:t>
      </w:r>
      <w:r w:rsidR="00E03E1E">
        <w:rPr>
          <w:rFonts w:ascii="Times New Roman" w:hAnsi="Times New Roman" w:cs="Times New Roman"/>
          <w:sz w:val="20"/>
          <w:szCs w:val="20"/>
        </w:rPr>
        <w:t xml:space="preserve"> in the 1970s. </w:t>
      </w:r>
      <w:r w:rsidR="00392EC1" w:rsidRPr="00392EC1">
        <w:rPr>
          <w:rFonts w:ascii="Times New Roman" w:hAnsi="Times New Roman" w:cs="Times New Roman"/>
          <w:sz w:val="20"/>
          <w:szCs w:val="20"/>
        </w:rPr>
        <w:t>The Belmont Report is especially known for establishing a framework of basic moral principles—respect for persons, beneficence, and justice—which should guide the conduct of research</w:t>
      </w:r>
      <w:r>
        <w:rPr>
          <w:rFonts w:ascii="Times New Roman" w:hAnsi="Times New Roman" w:cs="Times New Roman"/>
          <w:sz w:val="20"/>
          <w:szCs w:val="20"/>
        </w:rPr>
        <w:t xml:space="preserve"> </w:t>
      </w:r>
      <w:r w:rsidRPr="00F47AB9">
        <w:rPr>
          <w:rFonts w:ascii="Times New Roman" w:hAnsi="Times New Roman" w:cs="Times New Roman"/>
          <w:sz w:val="20"/>
          <w:szCs w:val="20"/>
        </w:rPr>
        <w:t>The directives of the Council of Europe and the European Commission, as well as, of course, the National Bioethics Commissions of each member state, offer further guidance at the European level.</w:t>
      </w:r>
      <w:r>
        <w:rPr>
          <w:rFonts w:ascii="Times New Roman" w:hAnsi="Times New Roman" w:cs="Times New Roman"/>
          <w:sz w:val="20"/>
          <w:szCs w:val="20"/>
        </w:rPr>
        <w:t xml:space="preserve"> </w:t>
      </w:r>
      <w:r w:rsidRPr="00F47AB9">
        <w:rPr>
          <w:rFonts w:ascii="Times New Roman" w:hAnsi="Times New Roman" w:cs="Times New Roman"/>
          <w:sz w:val="20"/>
          <w:szCs w:val="20"/>
        </w:rPr>
        <w:lastRenderedPageBreak/>
        <w:t xml:space="preserve">This review focuses on a subset of human subject’s investigation, viz. the phase of clinical research where a novel therapeutic or therapeutic procedure is tested on living subjects: the medical experiment </w:t>
      </w:r>
      <w:r w:rsidR="00A92AF9">
        <w:rPr>
          <w:rFonts w:ascii="Times New Roman" w:hAnsi="Times New Roman" w:cs="Times New Roman"/>
          <w:sz w:val="20"/>
          <w:szCs w:val="20"/>
        </w:rPr>
        <w:t>[2]</w:t>
      </w:r>
      <w:r w:rsidR="00392EC1" w:rsidRPr="00392EC1">
        <w:rPr>
          <w:rFonts w:ascii="Times New Roman" w:hAnsi="Times New Roman" w:cs="Times New Roman"/>
          <w:sz w:val="20"/>
          <w:szCs w:val="20"/>
        </w:rPr>
        <w:t>.</w:t>
      </w:r>
    </w:p>
    <w:p w14:paraId="3BDD5BB7" w14:textId="0412EC18" w:rsidR="00251B66"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Professional codes of morals have served as publicly acknowledged norms for professional conduct that go above and beyond the bare minimums required by</w:t>
      </w:r>
      <w:r>
        <w:rPr>
          <w:rFonts w:ascii="Times New Roman" w:hAnsi="Times New Roman" w:cs="Times New Roman"/>
          <w:sz w:val="20"/>
          <w:szCs w:val="20"/>
        </w:rPr>
        <w:t xml:space="preserve"> law and society over the years</w:t>
      </w:r>
      <w:r w:rsidR="00251B66" w:rsidRPr="00251B66">
        <w:rPr>
          <w:rFonts w:ascii="Times New Roman" w:hAnsi="Times New Roman" w:cs="Times New Roman"/>
          <w:sz w:val="20"/>
          <w:szCs w:val="20"/>
        </w:rPr>
        <w:t>. These codes have also helped to impose a constructive, cohesive effect on individual members of a profession, and as products of professional associations, they represent the consensus of a wide variety of practitioners' viewpoints on current, real or potential, difficulties in practise.</w:t>
      </w:r>
    </w:p>
    <w:p w14:paraId="2022D1CA" w14:textId="36146162" w:rsidR="000176BA" w:rsidRPr="003F0EB6" w:rsidRDefault="000176BA" w:rsidP="00550E37">
      <w:pPr>
        <w:spacing w:after="0" w:line="240" w:lineRule="auto"/>
        <w:jc w:val="both"/>
        <w:rPr>
          <w:rFonts w:ascii="Times New Roman" w:hAnsi="Times New Roman" w:cs="Times New Roman"/>
          <w:sz w:val="20"/>
          <w:szCs w:val="20"/>
        </w:rPr>
      </w:pPr>
      <w:r w:rsidRPr="003F0EB6">
        <w:rPr>
          <w:rFonts w:ascii="Times New Roman" w:hAnsi="Times New Roman" w:cs="Times New Roman"/>
          <w:sz w:val="20"/>
          <w:szCs w:val="20"/>
        </w:rPr>
        <w:t xml:space="preserve">These four main principles are </w:t>
      </w:r>
    </w:p>
    <w:p w14:paraId="72D6EE06" w14:textId="547636D3"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R</w:t>
      </w:r>
      <w:r w:rsidR="000176BA" w:rsidRPr="00392EC1">
        <w:rPr>
          <w:rFonts w:ascii="Times New Roman" w:hAnsi="Times New Roman" w:cs="Times New Roman"/>
          <w:sz w:val="20"/>
          <w:szCs w:val="20"/>
        </w:rPr>
        <w:t>espect for autonomy (including the right to informed consent, privacy, refusal of treatment, veracity)</w:t>
      </w:r>
    </w:p>
    <w:p w14:paraId="3A764C7F" w14:textId="3B64B844"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B</w:t>
      </w:r>
      <w:r w:rsidR="000176BA" w:rsidRPr="00392EC1">
        <w:rPr>
          <w:rFonts w:ascii="Times New Roman" w:hAnsi="Times New Roman" w:cs="Times New Roman"/>
          <w:sz w:val="20"/>
          <w:szCs w:val="20"/>
        </w:rPr>
        <w:t>eneficence (the moral obligation to benefit others)</w:t>
      </w:r>
    </w:p>
    <w:p w14:paraId="676188C3" w14:textId="7E51A000"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N</w:t>
      </w:r>
      <w:r w:rsidR="000176BA" w:rsidRPr="00392EC1">
        <w:rPr>
          <w:rFonts w:ascii="Times New Roman" w:hAnsi="Times New Roman" w:cs="Times New Roman"/>
          <w:sz w:val="20"/>
          <w:szCs w:val="20"/>
        </w:rPr>
        <w:t>on-maleficence (to do no harm)</w:t>
      </w:r>
    </w:p>
    <w:p w14:paraId="23C89EDF" w14:textId="408C95A7"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J</w:t>
      </w:r>
      <w:r w:rsidR="000176BA" w:rsidRPr="00392EC1">
        <w:rPr>
          <w:rFonts w:ascii="Times New Roman" w:hAnsi="Times New Roman" w:cs="Times New Roman"/>
          <w:sz w:val="20"/>
          <w:szCs w:val="20"/>
        </w:rPr>
        <w:t>ustice (fair, equitable and appropriate treatment in light of what is due or owed).</w:t>
      </w:r>
    </w:p>
    <w:p w14:paraId="6D7B1EAE" w14:textId="3A629A23" w:rsidR="000176BA" w:rsidRDefault="00F47AB9" w:rsidP="00550E37">
      <w:pPr>
        <w:spacing w:after="0" w:line="240" w:lineRule="auto"/>
        <w:jc w:val="both"/>
        <w:rPr>
          <w:rFonts w:ascii="Times New Roman" w:hAnsi="Times New Roman" w:cs="Times New Roman"/>
          <w:sz w:val="20"/>
          <w:szCs w:val="20"/>
        </w:rPr>
      </w:pPr>
      <w:r w:rsidRPr="00F47AB9">
        <w:rPr>
          <w:rFonts w:ascii="Times New Roman" w:hAnsi="Times New Roman" w:cs="Times New Roman"/>
          <w:sz w:val="20"/>
          <w:szCs w:val="20"/>
        </w:rPr>
        <w:t xml:space="preserve">Since the emergence of bioethics and the rise in public expectations, the remaining two principles, autonomy and justice, have gained significance, although prior generations of codes of ethics in pharmacy would often focus on two of these principles: </w:t>
      </w:r>
      <w:r>
        <w:rPr>
          <w:rFonts w:ascii="Times New Roman" w:hAnsi="Times New Roman" w:cs="Times New Roman"/>
          <w:sz w:val="20"/>
          <w:szCs w:val="20"/>
        </w:rPr>
        <w:t>beneficence and non-maleficence [</w:t>
      </w:r>
      <w:r w:rsidR="00A92AF9">
        <w:rPr>
          <w:rFonts w:ascii="Times New Roman" w:hAnsi="Times New Roman" w:cs="Times New Roman"/>
          <w:sz w:val="20"/>
          <w:szCs w:val="20"/>
        </w:rPr>
        <w:t>3]</w:t>
      </w:r>
      <w:r w:rsidR="00550E37">
        <w:rPr>
          <w:rFonts w:ascii="Times New Roman" w:hAnsi="Times New Roman" w:cs="Times New Roman"/>
          <w:sz w:val="20"/>
          <w:szCs w:val="20"/>
        </w:rPr>
        <w:t>.</w:t>
      </w:r>
    </w:p>
    <w:p w14:paraId="1DB6F973" w14:textId="6E38A43A"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II.</w:t>
      </w:r>
      <w:r w:rsidRPr="00EF792B">
        <w:rPr>
          <w:rFonts w:ascii="Times New Roman" w:hAnsi="Times New Roman" w:cs="Times New Roman"/>
          <w:b/>
          <w:sz w:val="20"/>
          <w:szCs w:val="20"/>
        </w:rPr>
        <w:t>THE RANDOMISED CONTROLLED TRIAL</w:t>
      </w:r>
    </w:p>
    <w:p w14:paraId="5DC281BD" w14:textId="2249FAA6" w:rsidR="00392EC1"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 xml:space="preserve">In its most basic form, a randomised controlled trial (RCT) compares the effects of an experimental treatment against the course of the illness that is the subject of the study without treatment. To draw a result that can be generalised from the study, the evaluation is conducted under strictly controlled circumstances. </w:t>
      </w:r>
      <w:r w:rsidR="00A92AF9">
        <w:rPr>
          <w:rFonts w:ascii="Times New Roman" w:hAnsi="Times New Roman" w:cs="Times New Roman"/>
          <w:sz w:val="20"/>
          <w:szCs w:val="20"/>
        </w:rPr>
        <w:t>[4]</w:t>
      </w:r>
    </w:p>
    <w:p w14:paraId="1C167370" w14:textId="1B2D8507" w:rsidR="00392EC1" w:rsidRDefault="00F47AB9" w:rsidP="00550E37">
      <w:pPr>
        <w:spacing w:after="0" w:line="240" w:lineRule="auto"/>
        <w:jc w:val="both"/>
        <w:rPr>
          <w:rFonts w:ascii="Times New Roman" w:hAnsi="Times New Roman" w:cs="Times New Roman"/>
          <w:sz w:val="20"/>
          <w:szCs w:val="20"/>
        </w:rPr>
      </w:pPr>
      <w:r w:rsidRPr="00F47AB9">
        <w:rPr>
          <w:rFonts w:ascii="Times New Roman" w:hAnsi="Times New Roman" w:cs="Times New Roman"/>
          <w:sz w:val="20"/>
          <w:szCs w:val="20"/>
        </w:rPr>
        <w:t>The goal of several components of scientific trial design is to minimise this kind of interference with the results. The most infamous of these features is random subject assignment, which is frequently connected with blinding participants and, in some</w:t>
      </w:r>
      <w:r>
        <w:rPr>
          <w:rFonts w:ascii="Times New Roman" w:hAnsi="Times New Roman" w:cs="Times New Roman"/>
          <w:sz w:val="20"/>
          <w:szCs w:val="20"/>
        </w:rPr>
        <w:t xml:space="preserve"> cases, investigators</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Following an unpredictable, chance-based approach, patients enrolled in a trial are randomly assigned to either the experimental group or the control group; neither they, the investigators, nor the participating physicians are aware of which</w:t>
      </w:r>
      <w:r>
        <w:rPr>
          <w:rFonts w:ascii="Times New Roman" w:hAnsi="Times New Roman" w:cs="Times New Roman"/>
          <w:sz w:val="20"/>
          <w:szCs w:val="20"/>
        </w:rPr>
        <w:t xml:space="preserve"> arm they have been assigned to</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The main goal of this technique is to eliminate subjective interferences, such as the potential for healthier patients to initially be assigned to one arm of the trial by the researchers. Similar to this, even though there is considerable methodological debate over the suitability of the significance test for this task, its approach is employed as an objective technique to identify real variations in treatment effectiveness from sporadic changes in patients' reaction to therapy.</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The RCT methodology is currently regarded as the gold standard in therapy evaluation due to its scientific standing. RCTs have essentially replaced clinical judgement, case reports, and observational studies as the de facto standards for medical evidence over the past few decades, thanks in great part to the work of the evidence-based medicine movement.</w:t>
      </w:r>
      <w:r>
        <w:rPr>
          <w:rFonts w:ascii="Times New Roman" w:hAnsi="Times New Roman" w:cs="Times New Roman"/>
          <w:sz w:val="20"/>
          <w:szCs w:val="20"/>
        </w:rPr>
        <w:t xml:space="preserve"> </w:t>
      </w:r>
      <w:r w:rsidRPr="00F47AB9">
        <w:rPr>
          <w:rFonts w:ascii="Times New Roman" w:hAnsi="Times New Roman" w:cs="Times New Roman"/>
          <w:sz w:val="20"/>
          <w:szCs w:val="20"/>
        </w:rPr>
        <w:t>RCTs also developed into a critical component of the regulatory procedure during this time, which is required for a new therapy to enter the pharmaceutical market. Clinical trials nowadays are huge, highly regulated businesses that must balance adhering to ethical standards with upholding high epistemological standards, a balance that gets harder as the research issues get more complex.</w:t>
      </w:r>
      <w:r w:rsidR="00550E37">
        <w:rPr>
          <w:rFonts w:ascii="Times New Roman" w:hAnsi="Times New Roman" w:cs="Times New Roman"/>
          <w:sz w:val="20"/>
          <w:szCs w:val="20"/>
        </w:rPr>
        <w:t xml:space="preserve"> </w:t>
      </w:r>
      <w:r w:rsidR="00A92AF9">
        <w:rPr>
          <w:rFonts w:ascii="Times New Roman" w:hAnsi="Times New Roman" w:cs="Times New Roman"/>
          <w:sz w:val="20"/>
          <w:szCs w:val="20"/>
        </w:rPr>
        <w:t>[4]</w:t>
      </w:r>
      <w:r w:rsidR="00550E37">
        <w:rPr>
          <w:rFonts w:ascii="Times New Roman" w:hAnsi="Times New Roman" w:cs="Times New Roman"/>
          <w:sz w:val="20"/>
          <w:szCs w:val="20"/>
        </w:rPr>
        <w:t>.</w:t>
      </w:r>
    </w:p>
    <w:p w14:paraId="4A200504" w14:textId="21123CBA" w:rsidR="00392EC1" w:rsidRPr="00BB435D" w:rsidRDefault="00550E37"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BB435D">
        <w:rPr>
          <w:rFonts w:ascii="Times New Roman" w:hAnsi="Times New Roman" w:cs="Times New Roman"/>
          <w:b/>
          <w:sz w:val="20"/>
          <w:szCs w:val="20"/>
        </w:rPr>
        <w:t>THE MAIN ETHICAL ISSUES SURROUNDING RCTS</w:t>
      </w:r>
    </w:p>
    <w:p w14:paraId="769683E8" w14:textId="49A79CC3" w:rsidR="00392EC1" w:rsidRDefault="00392EC1" w:rsidP="00550E37">
      <w:pPr>
        <w:spacing w:after="0" w:line="240" w:lineRule="auto"/>
        <w:ind w:firstLine="360"/>
        <w:jc w:val="both"/>
        <w:rPr>
          <w:rFonts w:ascii="Times New Roman" w:hAnsi="Times New Roman" w:cs="Times New Roman"/>
          <w:sz w:val="20"/>
          <w:szCs w:val="20"/>
        </w:rPr>
      </w:pPr>
      <w:r w:rsidRPr="00392EC1">
        <w:rPr>
          <w:rFonts w:ascii="Times New Roman" w:hAnsi="Times New Roman" w:cs="Times New Roman"/>
          <w:sz w:val="20"/>
          <w:szCs w:val="20"/>
        </w:rPr>
        <w:t xml:space="preserve">The general problem with the ethics of clinical trials stems from the fact that those who stand to gain from the trial results are not the same that bear the risk and burden of trial participation. Participation in a clinical trial entails an increased level of risk with respect to ordinary clinical care, particularly due to the potential for exposure to unexpected effects of a new </w:t>
      </w:r>
      <w:r w:rsidR="00F47AB9" w:rsidRPr="00392EC1">
        <w:rPr>
          <w:rFonts w:ascii="Times New Roman" w:hAnsi="Times New Roman" w:cs="Times New Roman"/>
          <w:sz w:val="20"/>
          <w:szCs w:val="20"/>
        </w:rPr>
        <w:t>treatment</w:t>
      </w:r>
      <w:r w:rsidR="00F47AB9" w:rsidRPr="00F47AB9">
        <w:rPr>
          <w:rFonts w:ascii="Times New Roman" w:hAnsi="Times New Roman" w:cs="Times New Roman"/>
          <w:sz w:val="20"/>
          <w:szCs w:val="20"/>
        </w:rPr>
        <w:t xml:space="preserve"> since the trial's primary goal is to produce generalizable medical knowledge rather than treat trial participants, these risks aren't truly outweighed by a potential clinical benefit. Depending on the component of the RCT is highlighted, we will find that this ethical tension has a variety of manifestations in the sections that follow. The author will give a brief introduction to each of the critical issues—informed consent, use of placebos, randomization, and participant protection—present the relevant ethical concepts and principles, and then discuss the most pertinent questions that are still unresolved on the subject. </w:t>
      </w:r>
      <w:r w:rsidR="00571CF2">
        <w:rPr>
          <w:rFonts w:ascii="Times New Roman" w:hAnsi="Times New Roman" w:cs="Times New Roman"/>
          <w:sz w:val="20"/>
          <w:szCs w:val="20"/>
        </w:rPr>
        <w:t>[5]</w:t>
      </w:r>
      <w:r w:rsidR="00550E37">
        <w:rPr>
          <w:rFonts w:ascii="Times New Roman" w:hAnsi="Times New Roman" w:cs="Times New Roman"/>
          <w:sz w:val="20"/>
          <w:szCs w:val="20"/>
        </w:rPr>
        <w:t>.</w:t>
      </w:r>
    </w:p>
    <w:p w14:paraId="321059AB" w14:textId="016543D6"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IV.</w:t>
      </w:r>
      <w:r w:rsidRPr="00EF792B">
        <w:rPr>
          <w:rFonts w:ascii="Times New Roman" w:hAnsi="Times New Roman" w:cs="Times New Roman"/>
          <w:b/>
          <w:sz w:val="20"/>
          <w:szCs w:val="20"/>
        </w:rPr>
        <w:t>PARTICIPATION AND INFORMED CONSENT</w:t>
      </w:r>
    </w:p>
    <w:p w14:paraId="00ADD9BD" w14:textId="41D99B49" w:rsidR="00392EC1"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The history of medical research includes multiple instances where trial participants were unfairly burdened by research participation, either by misleading them with the promise of a treatment or by purposefully hiding their participation in research</w:t>
      </w:r>
      <w:r>
        <w:rPr>
          <w:rFonts w:ascii="Times New Roman" w:hAnsi="Times New Roman" w:cs="Times New Roman"/>
          <w:sz w:val="20"/>
          <w:szCs w:val="20"/>
        </w:rPr>
        <w:t xml:space="preserve"> </w:t>
      </w:r>
      <w:r w:rsidRPr="00F47AB9">
        <w:rPr>
          <w:rFonts w:ascii="Times New Roman" w:hAnsi="Times New Roman" w:cs="Times New Roman"/>
          <w:sz w:val="20"/>
          <w:szCs w:val="20"/>
        </w:rPr>
        <w:t>This is no longer acceptable in our contemporary ethical perspective, and every study involving human beings must be pre-emptively approved by the subject(s) through the process known as informed consent. Informed consent, one of the key concepts in contemporary biomedical ethics, is now a need for both treatment and research.</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Even in the early days of medical testing, individuals were occasionally given written consent papers. However, rather than being an indication of concern for their welfare, this was typically a tactic used to ensure the subject's cooperation. Modern informed consent differs greatly from these early examples in that it is based on the Nuremberg Code's fundamental premise of the respect for individuals and the importance of</w:t>
      </w:r>
      <w:r>
        <w:rPr>
          <w:rFonts w:ascii="Times New Roman" w:hAnsi="Times New Roman" w:cs="Times New Roman"/>
          <w:sz w:val="20"/>
          <w:szCs w:val="20"/>
        </w:rPr>
        <w:t xml:space="preserve"> their autonomy [</w:t>
      </w:r>
      <w:r w:rsidR="00571CF2">
        <w:rPr>
          <w:rFonts w:ascii="Times New Roman" w:hAnsi="Times New Roman" w:cs="Times New Roman"/>
          <w:sz w:val="20"/>
          <w:szCs w:val="20"/>
        </w:rPr>
        <w:t>6]</w:t>
      </w:r>
      <w:r w:rsidR="00550E37">
        <w:rPr>
          <w:rFonts w:ascii="Times New Roman" w:hAnsi="Times New Roman" w:cs="Times New Roman"/>
          <w:sz w:val="20"/>
          <w:szCs w:val="20"/>
        </w:rPr>
        <w:t>.</w:t>
      </w:r>
    </w:p>
    <w:p w14:paraId="39913A55" w14:textId="004DA940"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EF792B">
        <w:rPr>
          <w:rFonts w:ascii="Times New Roman" w:hAnsi="Times New Roman" w:cs="Times New Roman"/>
          <w:b/>
          <w:sz w:val="20"/>
          <w:szCs w:val="20"/>
        </w:rPr>
        <w:t>USE OF PLACEBO AND DECEPTION</w:t>
      </w:r>
    </w:p>
    <w:p w14:paraId="13B5B658" w14:textId="798DD460" w:rsidR="00392EC1"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 xml:space="preserve">The use of placebo controls is subject to a complex trade-off between the rigour of the scientific justification for utilising it and the potential for harm to participating patients under the majority of ethical rules and research recommendations. For instance, the Declaration of Helsinki's most recent revision states that the use of placebo is </w:t>
      </w:r>
      <w:r w:rsidRPr="00F47AB9">
        <w:rPr>
          <w:rFonts w:ascii="Times New Roman" w:hAnsi="Times New Roman" w:cs="Times New Roman"/>
          <w:sz w:val="20"/>
          <w:szCs w:val="20"/>
        </w:rPr>
        <w:lastRenderedPageBreak/>
        <w:t xml:space="preserve">acceptable when there is no effective treatment available, as well as "where it is necessary to assess the effectiveness or safety of an intervention for compelling and scientifically sound methodological reasons," provided that "the patients receiving placebo or no treatment will not be exposed to any risk of serious or irreversible harm." </w:t>
      </w:r>
      <w:r w:rsidR="00571CF2">
        <w:rPr>
          <w:rFonts w:ascii="Times New Roman" w:hAnsi="Times New Roman" w:cs="Times New Roman"/>
          <w:sz w:val="20"/>
          <w:szCs w:val="20"/>
        </w:rPr>
        <w:t>[7]</w:t>
      </w:r>
      <w:r w:rsidR="00225C2F">
        <w:rPr>
          <w:rFonts w:ascii="Times New Roman" w:hAnsi="Times New Roman" w:cs="Times New Roman"/>
          <w:sz w:val="20"/>
          <w:szCs w:val="20"/>
        </w:rPr>
        <w:t>.</w:t>
      </w:r>
    </w:p>
    <w:p w14:paraId="740A65EE" w14:textId="0A7ADE19"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bookmarkStart w:id="2" w:name="_Hlk111891019"/>
      <w:r>
        <w:rPr>
          <w:rFonts w:ascii="Times New Roman" w:hAnsi="Times New Roman" w:cs="Times New Roman"/>
          <w:b/>
          <w:sz w:val="20"/>
          <w:szCs w:val="20"/>
        </w:rPr>
        <w:t>VI.</w:t>
      </w:r>
      <w:r w:rsidRPr="00EF792B">
        <w:rPr>
          <w:rFonts w:ascii="Times New Roman" w:hAnsi="Times New Roman" w:cs="Times New Roman"/>
          <w:b/>
          <w:sz w:val="20"/>
          <w:szCs w:val="20"/>
        </w:rPr>
        <w:t xml:space="preserve"> RANDOMISATION AND BLINDING, AND EQUIPOISE</w:t>
      </w:r>
    </w:p>
    <w:bookmarkEnd w:id="2"/>
    <w:p w14:paraId="6110F3F6" w14:textId="79F422B0" w:rsidR="00C47703"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By definition, RCTs involve randomization and, in certain circumstances, participant blinding. To rule out the most blatant alterations to the trial results brought on by investigator or patient influence, these two epistemic tools are necessary. Blinding and randomization, however, might be in conflict with participants' own preferences.</w:t>
      </w:r>
      <w:r w:rsidR="00E57B0E" w:rsidRPr="00E57B0E">
        <w:rPr>
          <w:rFonts w:ascii="Times New Roman" w:hAnsi="Times New Roman" w:cs="Times New Roman"/>
          <w:sz w:val="20"/>
          <w:szCs w:val="20"/>
        </w:rPr>
        <w:t xml:space="preserve"> The primary reason for this contradiction is that when randomization and blinding are used, patients cannot receive tailored treatment recommendations based on their condition. Patients, on the other hand, explicitly consent to this when they sign up for trial participation. However, randomization between the two arms of the trial raises another ethical question that is not readily disregarded.</w:t>
      </w:r>
      <w:r w:rsidR="00E57B0E">
        <w:rPr>
          <w:rFonts w:ascii="Times New Roman" w:hAnsi="Times New Roman" w:cs="Times New Roman"/>
          <w:sz w:val="20"/>
          <w:szCs w:val="20"/>
        </w:rPr>
        <w:t xml:space="preserve"> </w:t>
      </w:r>
      <w:r w:rsidR="00E57B0E" w:rsidRPr="00E57B0E">
        <w:rPr>
          <w:rFonts w:ascii="Times New Roman" w:hAnsi="Times New Roman" w:cs="Times New Roman"/>
          <w:sz w:val="20"/>
          <w:szCs w:val="20"/>
        </w:rPr>
        <w:t>Participating patients in an active-controlled RCT have a possibility of obtaining a therapy that turns out to be inferior. This is especially troublesome if the experimental treatment turns out to be worse than the standard of care accessible outside of the study, because it is a widely accepted ethical precept that patients should be given the best confirmed standard of care wherever possible. Apparently, randomization damages trial participants since they may be denied the greatest level of treatment available by enrolling in the study.</w:t>
      </w:r>
      <w:r w:rsidR="00E57B0E">
        <w:rPr>
          <w:rFonts w:ascii="Times New Roman" w:hAnsi="Times New Roman" w:cs="Times New Roman"/>
          <w:sz w:val="20"/>
          <w:szCs w:val="20"/>
        </w:rPr>
        <w:t xml:space="preserve"> </w:t>
      </w:r>
      <w:r w:rsidR="00392EC1" w:rsidRPr="00392EC1">
        <w:rPr>
          <w:rFonts w:ascii="Times New Roman" w:hAnsi="Times New Roman" w:cs="Times New Roman"/>
          <w:sz w:val="20"/>
          <w:szCs w:val="20"/>
        </w:rPr>
        <w:t>The view that is currently prevalent in the ethical literature is that equipoise, denoting an epistemic state of indifference between two treatments, can relieve this ethical tension. If the medical community is in equipoise, this means that there exists a state of ‘honest professional disagreement’ among medical scientists about which treatment is best</w:t>
      </w:r>
      <w:r w:rsidR="00225C2F">
        <w:rPr>
          <w:rFonts w:ascii="Times New Roman" w:hAnsi="Times New Roman" w:cs="Times New Roman"/>
          <w:sz w:val="20"/>
          <w:szCs w:val="20"/>
        </w:rPr>
        <w:t xml:space="preserve"> </w:t>
      </w:r>
      <w:r w:rsidR="00571CF2">
        <w:rPr>
          <w:rFonts w:ascii="Times New Roman" w:hAnsi="Times New Roman" w:cs="Times New Roman"/>
          <w:sz w:val="20"/>
          <w:szCs w:val="20"/>
        </w:rPr>
        <w:t>[8]</w:t>
      </w:r>
      <w:r w:rsidR="00225C2F">
        <w:rPr>
          <w:rFonts w:ascii="Times New Roman" w:hAnsi="Times New Roman" w:cs="Times New Roman"/>
          <w:sz w:val="20"/>
          <w:szCs w:val="20"/>
        </w:rPr>
        <w:t>.</w:t>
      </w:r>
    </w:p>
    <w:p w14:paraId="65D5B3F9" w14:textId="38DA58F2"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 </w:t>
      </w:r>
      <w:r w:rsidRPr="00EF792B">
        <w:rPr>
          <w:rFonts w:ascii="Times New Roman" w:hAnsi="Times New Roman" w:cs="Times New Roman"/>
          <w:b/>
          <w:sz w:val="20"/>
          <w:szCs w:val="20"/>
        </w:rPr>
        <w:t>NAVIGATING BETWEEN EXPLOITATION AND OVERPROTECTION OF PATIENTS</w:t>
      </w:r>
    </w:p>
    <w:p w14:paraId="37A4D6C8" w14:textId="751D02A8" w:rsidR="00392EC1"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 xml:space="preserve">In clinical research, there is a distinction between trial participants, who are exposed to the danger of a medical intervention, and future patients and society as a whole, who are intended beneficiaries of the trial results. The section's </w:t>
      </w:r>
      <w:r>
        <w:rPr>
          <w:rFonts w:ascii="Times New Roman" w:hAnsi="Times New Roman" w:cs="Times New Roman"/>
          <w:sz w:val="20"/>
          <w:szCs w:val="20"/>
        </w:rPr>
        <w:t>introduction addressed this gap .</w:t>
      </w:r>
      <w:r w:rsidRPr="00F47AB9">
        <w:rPr>
          <w:rFonts w:ascii="Times New Roman" w:hAnsi="Times New Roman" w:cs="Times New Roman"/>
          <w:sz w:val="20"/>
          <w:szCs w:val="20"/>
        </w:rPr>
        <w:t xml:space="preserve">The majority of ethical guidelines currently in use, which were designed with a focus on protecting subjects from the risks and expenses of study, were created with this gap in mind. For instance, the Helsinki Declaration declares that "the welfare of the individual study subject must take precedence over all other interests." However, there has been an increase in criticism of this paradigm in recent years as a result of the focus on participant protection. In general, two things work against it. Among outcomes with initial equal value </w:t>
      </w:r>
      <w:r w:rsidR="00A367CF">
        <w:rPr>
          <w:rFonts w:ascii="Times New Roman" w:hAnsi="Times New Roman" w:cs="Times New Roman"/>
          <w:sz w:val="20"/>
          <w:szCs w:val="20"/>
        </w:rPr>
        <w:t>[9]</w:t>
      </w:r>
      <w:r w:rsidR="00225C2F">
        <w:rPr>
          <w:rFonts w:ascii="Times New Roman" w:hAnsi="Times New Roman" w:cs="Times New Roman"/>
          <w:sz w:val="20"/>
          <w:szCs w:val="20"/>
        </w:rPr>
        <w:t>.</w:t>
      </w:r>
    </w:p>
    <w:p w14:paraId="11E9E3FE" w14:textId="6FC3EC9D"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EF792B">
        <w:rPr>
          <w:rFonts w:ascii="Times New Roman" w:hAnsi="Times New Roman" w:cs="Times New Roman"/>
          <w:b/>
          <w:sz w:val="20"/>
          <w:szCs w:val="20"/>
        </w:rPr>
        <w:t>AN OUTLOOK ON ONCOLOGICAL RESEARCH</w:t>
      </w:r>
    </w:p>
    <w:p w14:paraId="320EB8EC" w14:textId="1CE97875" w:rsidR="00A73471"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The study's subjects are based on features of clinical research and the RCT methodology, such as the need for participant blinding, random assignment to treatment groups, or the notion that clinical practise and research must abide by different ethical standards.</w:t>
      </w:r>
      <w:r>
        <w:rPr>
          <w:rFonts w:ascii="Times New Roman" w:hAnsi="Times New Roman" w:cs="Times New Roman"/>
          <w:sz w:val="20"/>
          <w:szCs w:val="20"/>
        </w:rPr>
        <w:t xml:space="preserve"> </w:t>
      </w:r>
      <w:r w:rsidRPr="00F47AB9">
        <w:rPr>
          <w:rFonts w:ascii="Times New Roman" w:hAnsi="Times New Roman" w:cs="Times New Roman"/>
          <w:sz w:val="20"/>
          <w:szCs w:val="20"/>
        </w:rPr>
        <w:t xml:space="preserve">To wrap up this review, the author will specifically examine the setting of oncological research. Cancer is a condition that can be fatal and manifest itself in a variety of ways. Therefore, the majority of the ethical issues we discussed in this chapter, such as the permissibility of using placebos or the risk of therapeutic misunderstanding, arise during the testing of anticancer drugs. Surgery will not be included in the discussion that follows, despite being the first line of defence against a number of tumours, because it is uncommon for RCTs to be used to evaluate it. </w:t>
      </w:r>
      <w:r w:rsidR="00757378">
        <w:rPr>
          <w:rFonts w:ascii="Times New Roman" w:hAnsi="Times New Roman" w:cs="Times New Roman"/>
          <w:sz w:val="20"/>
          <w:szCs w:val="20"/>
        </w:rPr>
        <w:t>[10]</w:t>
      </w:r>
      <w:r w:rsidR="00550E37">
        <w:rPr>
          <w:rFonts w:ascii="Times New Roman" w:hAnsi="Times New Roman" w:cs="Times New Roman"/>
          <w:sz w:val="20"/>
          <w:szCs w:val="20"/>
        </w:rPr>
        <w:t>.</w:t>
      </w:r>
    </w:p>
    <w:p w14:paraId="36C2124D" w14:textId="3A912FA0" w:rsidR="00C47703" w:rsidRPr="00EF792B" w:rsidRDefault="00550E37" w:rsidP="00550E37">
      <w:pPr>
        <w:spacing w:after="0" w:line="240" w:lineRule="auto"/>
        <w:jc w:val="center"/>
        <w:rPr>
          <w:rFonts w:ascii="Times New Roman" w:hAnsi="Times New Roman" w:cs="Times New Roman"/>
          <w:b/>
          <w:sz w:val="20"/>
          <w:szCs w:val="20"/>
        </w:rPr>
      </w:pPr>
      <w:r w:rsidRPr="00C97D5F">
        <w:rPr>
          <w:rFonts w:ascii="Times New Roman" w:hAnsi="Times New Roman" w:cs="Times New Roman"/>
          <w:b/>
          <w:bCs/>
          <w:sz w:val="20"/>
          <w:szCs w:val="20"/>
        </w:rPr>
        <w:t>IX.TESTING</w:t>
      </w:r>
      <w:r w:rsidRPr="00EF792B">
        <w:rPr>
          <w:rFonts w:ascii="Times New Roman" w:hAnsi="Times New Roman" w:cs="Times New Roman"/>
          <w:b/>
          <w:sz w:val="20"/>
          <w:szCs w:val="20"/>
        </w:rPr>
        <w:t xml:space="preserve"> TARGETED AGENTS: SOME ETHICAL CONSIDERATIONS</w:t>
      </w:r>
    </w:p>
    <w:p w14:paraId="56C6A303" w14:textId="4B1108B7" w:rsidR="00F02F3A" w:rsidRPr="00C47703" w:rsidRDefault="00F02F3A" w:rsidP="00550E37">
      <w:pPr>
        <w:spacing w:after="0" w:line="240" w:lineRule="auto"/>
        <w:ind w:firstLine="720"/>
        <w:jc w:val="both"/>
        <w:rPr>
          <w:rFonts w:ascii="Times New Roman" w:hAnsi="Times New Roman" w:cs="Times New Roman"/>
          <w:b/>
          <w:sz w:val="20"/>
          <w:szCs w:val="20"/>
        </w:rPr>
      </w:pPr>
      <w:r w:rsidRPr="00F02F3A">
        <w:rPr>
          <w:rFonts w:ascii="Times New Roman" w:hAnsi="Times New Roman" w:cs="Times New Roman"/>
          <w:sz w:val="20"/>
          <w:szCs w:val="20"/>
        </w:rPr>
        <w:t>Conflicting evidence standards appear to be the root cause of the ethical problems just discussed in connection to the testing of targeted medicines. The question of whether and how the evidence required to demonstrate the effectiveness of a personalised therapy differs from that required to evaluate standard medications must be answered. The above-mentioned ethical problems can only be qualified and maybe resolved if this epistemic point is clarified. No informed opinion of the ethical concerns, according to medical philosopher John Worrall, "may be accepted without first taking an informed view of the evidential-epistemological ones," and this perspective appears to apply particularly well to the situation in question</w:t>
      </w:r>
      <w:r w:rsidRPr="00F02F3A">
        <w:t xml:space="preserve"> </w:t>
      </w:r>
      <w:r w:rsidRPr="00F02F3A">
        <w:rPr>
          <w:rFonts w:ascii="Times New Roman" w:hAnsi="Times New Roman" w:cs="Times New Roman"/>
          <w:sz w:val="20"/>
          <w:szCs w:val="20"/>
        </w:rPr>
        <w:t>It would appear that unless the evidentiary peculiarities of personalised medicines establish a stable position in the evidential paradigm of medicine, the ethics of focused trials cannot be effectively decided. However, that is a completely separate and unanswered matter from whether this only needs a minor change or whether a paradigm shift is necessary.</w:t>
      </w:r>
    </w:p>
    <w:p w14:paraId="70EC945C" w14:textId="65607FA0" w:rsidR="00F02F3A" w:rsidRPr="00023C79"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39393F">
        <w:rPr>
          <w:rFonts w:ascii="Times New Roman" w:hAnsi="Times New Roman" w:cs="Times New Roman"/>
          <w:b/>
          <w:bCs/>
          <w:sz w:val="20"/>
          <w:szCs w:val="20"/>
        </w:rPr>
        <w:t xml:space="preserve">ETHICAL </w:t>
      </w:r>
      <w:bookmarkStart w:id="3" w:name="_Hlk111893110"/>
      <w:r w:rsidRPr="0039393F">
        <w:rPr>
          <w:rFonts w:ascii="Times New Roman" w:hAnsi="Times New Roman" w:cs="Times New Roman"/>
          <w:b/>
          <w:bCs/>
          <w:sz w:val="20"/>
          <w:szCs w:val="20"/>
        </w:rPr>
        <w:t>DILEMMA</w:t>
      </w:r>
      <w:bookmarkEnd w:id="3"/>
      <w:r w:rsidRPr="0039393F">
        <w:rPr>
          <w:rFonts w:ascii="Times New Roman" w:hAnsi="Times New Roman" w:cs="Times New Roman"/>
          <w:b/>
          <w:bCs/>
          <w:sz w:val="20"/>
          <w:szCs w:val="20"/>
        </w:rPr>
        <w:t>S IN PHARMACY</w:t>
      </w:r>
    </w:p>
    <w:p w14:paraId="2D5D0B10" w14:textId="6698F75D" w:rsidR="008A62DD" w:rsidRPr="003F0EB6" w:rsidRDefault="00F02F3A" w:rsidP="00550E37">
      <w:pPr>
        <w:spacing w:after="0" w:line="240" w:lineRule="auto"/>
        <w:ind w:firstLine="720"/>
        <w:jc w:val="both"/>
        <w:rPr>
          <w:rFonts w:ascii="Times New Roman" w:hAnsi="Times New Roman" w:cs="Times New Roman"/>
          <w:sz w:val="20"/>
          <w:szCs w:val="20"/>
        </w:rPr>
      </w:pPr>
      <w:r w:rsidRPr="00F02F3A">
        <w:rPr>
          <w:rFonts w:ascii="Times New Roman" w:hAnsi="Times New Roman" w:cs="Times New Roman"/>
          <w:sz w:val="20"/>
          <w:szCs w:val="20"/>
        </w:rPr>
        <w:t>Conflicts over moral behaviour or the application of moral principles lead to ethical quandaries. Because each side may have different moral standards, there may be ethical conflicts between pharmacists and patients, between pharmacists and doctors, and even amongst pharmacists themselves. Each side may hold a different premise, such as the respect for the individual vs a utilitarian viewpoint. The majority of ethical difficulties in healthcare involve physicians, but a rising number of other healthcare professionals, including pharmacists, are running into ethically challenging circumstances in their daily work.</w:t>
      </w:r>
      <w:r w:rsidR="008A62DD"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 xml:space="preserve">Our healthcare systems have evolved from being relatively simple to becoming extremely complicated in just one generation. Both the actual and perceived issue of legal liability has an impact on the activities taken by doctors and pharmacists as they work to maximise patient care while minimising legal risk. Under certain conditions, relationships between colleagues deteriorate. </w:t>
      </w:r>
      <w:r w:rsidR="00F16BA3" w:rsidRPr="00F16BA3">
        <w:rPr>
          <w:rFonts w:ascii="Times New Roman" w:hAnsi="Times New Roman" w:cs="Times New Roman"/>
          <w:sz w:val="20"/>
          <w:szCs w:val="20"/>
        </w:rPr>
        <w:lastRenderedPageBreak/>
        <w:t>Risk-taking has become even more dangerous as a result of the increase in insurance costs for everyone, including those doctors who pay stratospheric rates</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4DE044" w14:textId="2FBFD848" w:rsidR="00F16BA3" w:rsidRDefault="008A62DD" w:rsidP="00550E37">
      <w:pPr>
        <w:spacing w:after="0" w:line="240" w:lineRule="auto"/>
        <w:ind w:firstLine="720"/>
        <w:jc w:val="both"/>
        <w:rPr>
          <w:rFonts w:ascii="Times New Roman" w:hAnsi="Times New Roman" w:cs="Times New Roman"/>
          <w:sz w:val="20"/>
          <w:szCs w:val="20"/>
        </w:rPr>
      </w:pP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It has become difficult for doctors and pharmacists to work together as a result of the exponential growth in knowledge about diseases, their treatments, and technological technologies. Information transfer between professionals and between professionals and patients is a concern.</w:t>
      </w: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How much information is shared, who shares what with whom, and by whom? It gets harder to answer when duty of disclosure, patient rights, confidentiality, and truthfulness are taken into account. Key phrases Pharmacy; level of ethical reasoning; ethical conundrums. In order to provide efficient and effective patient care, it is crucial for doctors and pharmacists to understand and complement one another given the increased interdependence between the two professions</w:t>
      </w:r>
      <w:r w:rsidR="0039393F">
        <w:rPr>
          <w:rFonts w:ascii="Times New Roman" w:hAnsi="Times New Roman" w:cs="Times New Roman"/>
          <w:sz w:val="20"/>
          <w:szCs w:val="20"/>
        </w:rPr>
        <w:t xml:space="preserve"> </w:t>
      </w:r>
      <w:r w:rsidR="00F16BA3" w:rsidRPr="00F16BA3">
        <w:rPr>
          <w:rFonts w:ascii="Times New Roman" w:hAnsi="Times New Roman" w:cs="Times New Roman"/>
          <w:sz w:val="20"/>
          <w:szCs w:val="20"/>
        </w:rPr>
        <w:t>This essay aims to update ethical dilemmas that pharmacists confront and their solutions to some of them</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389404" w14:textId="6730D9C8" w:rsidR="00CF4642" w:rsidRDefault="00F16BA3" w:rsidP="00550E37">
      <w:pPr>
        <w:spacing w:after="0" w:line="240" w:lineRule="auto"/>
        <w:ind w:firstLine="720"/>
        <w:jc w:val="both"/>
        <w:rPr>
          <w:rFonts w:ascii="Times New Roman" w:hAnsi="Times New Roman" w:cs="Times New Roman"/>
          <w:sz w:val="20"/>
          <w:szCs w:val="20"/>
        </w:rPr>
      </w:pPr>
      <w:r w:rsidRPr="00F16BA3">
        <w:rPr>
          <w:rFonts w:ascii="Times New Roman" w:hAnsi="Times New Roman" w:cs="Times New Roman"/>
          <w:sz w:val="20"/>
          <w:szCs w:val="20"/>
        </w:rPr>
        <w:t>Respondents to a survey about ethical quandaries were pharmacy school students and pharmacists in the state of Virginia. Students in their first professional year, their third college year, and their fifth college year were questioned</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A random sample of pharmacists were asked for responses through mail, and a low response rate of about 30% was received. As a result, additional surveys are preferred and the results should only be viewed as indicative rather than conclusive.</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The ethical conundrums that were used in the poll were those that were purportedly encountered by pharmacists in practise, those that were debated in the literature, in a national meeting in the United States, or in different codes of ethics for pharmacy. Based on the similarity of the answers provided by the three groups, the answers to the multiple-choice questions were analysed and grouped</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[13]</w:t>
      </w:r>
      <w:r w:rsidR="00550E37">
        <w:rPr>
          <w:rFonts w:ascii="Times New Roman" w:hAnsi="Times New Roman" w:cs="Times New Roman"/>
          <w:sz w:val="20"/>
          <w:szCs w:val="20"/>
        </w:rPr>
        <w:t>.</w:t>
      </w:r>
    </w:p>
    <w:p w14:paraId="65A5202A" w14:textId="50DF9444" w:rsidR="002227E8" w:rsidRPr="00EF792B" w:rsidRDefault="00550E37"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w:t>
      </w:r>
      <w:r w:rsidRPr="00EF792B">
        <w:rPr>
          <w:rFonts w:ascii="Times New Roman" w:hAnsi="Times New Roman" w:cs="Times New Roman"/>
          <w:b/>
          <w:bCs/>
          <w:sz w:val="20"/>
          <w:szCs w:val="20"/>
        </w:rPr>
        <w:t>THE SCOPE OF PHARMACY ETHICS</w:t>
      </w:r>
    </w:p>
    <w:p w14:paraId="2F987DFD" w14:textId="679B308D" w:rsidR="00A844E0" w:rsidRDefault="00CF4642" w:rsidP="00550E37">
      <w:pPr>
        <w:spacing w:after="0" w:line="240" w:lineRule="auto"/>
        <w:ind w:firstLine="720"/>
        <w:jc w:val="both"/>
        <w:rPr>
          <w:rFonts w:ascii="Times New Roman" w:hAnsi="Times New Roman" w:cs="Times New Roman"/>
          <w:sz w:val="20"/>
          <w:szCs w:val="20"/>
        </w:rPr>
      </w:pPr>
      <w:r w:rsidRPr="00CF4642">
        <w:rPr>
          <w:rFonts w:ascii="Times New Roman" w:hAnsi="Times New Roman" w:cs="Times New Roman"/>
          <w:sz w:val="20"/>
          <w:szCs w:val="20"/>
        </w:rPr>
        <w:t>Prior to 2002, pharmacists working in the industrialised world's health systems had shifted their focus from a predominate focus on the supply of medications to one that was increasingly clinical and advising. The transition away from the formulation and distribution of medications has been a protracted process and is far from finished. Policy directives describe important roles, primarily for community pharmacists, in prescribing and providing prescribing advice, in assuming accountability for therapeutic outcomes, and in contributing to patient care decisions within multidisciplinary healthcare teams. These roles are exemplified in England and Wales by the NHS Plan and Pharmacy in the Future.</w:t>
      </w:r>
      <w:r>
        <w:rPr>
          <w:rFonts w:ascii="Times New Roman" w:hAnsi="Times New Roman" w:cs="Times New Roman"/>
          <w:sz w:val="20"/>
          <w:szCs w:val="20"/>
        </w:rPr>
        <w:t xml:space="preserve"> </w:t>
      </w:r>
      <w:r w:rsidRPr="00CF4642">
        <w:rPr>
          <w:rFonts w:ascii="Times New Roman" w:hAnsi="Times New Roman" w:cs="Times New Roman"/>
          <w:sz w:val="20"/>
          <w:szCs w:val="20"/>
        </w:rPr>
        <w:t xml:space="preserve">Due to this change in practise, pharmacists will not only confront unique ethical issues that are different from those experienced by their clinical colleagues but also need to be aware of and respond to similar ethical challenges as well. Additionally, community pharmacists work in both the public and private sectors. </w:t>
      </w:r>
      <w:r w:rsidR="00757378">
        <w:rPr>
          <w:rFonts w:ascii="Times New Roman" w:hAnsi="Times New Roman" w:cs="Times New Roman"/>
          <w:sz w:val="20"/>
          <w:szCs w:val="20"/>
        </w:rPr>
        <w:t>[14]</w:t>
      </w:r>
      <w:r w:rsidRPr="00CF4642">
        <w:rPr>
          <w:rFonts w:ascii="Times New Roman" w:hAnsi="Times New Roman" w:cs="Times New Roman"/>
          <w:sz w:val="20"/>
          <w:szCs w:val="20"/>
        </w:rPr>
        <w:t>For instance, in the UK, a pharmacist may work for a commercial company that has a contract with the NHS to dispense prescriptions, which is a public function.</w:t>
      </w:r>
      <w:r w:rsidR="00A844E0" w:rsidRPr="00A844E0">
        <w:t xml:space="preserve"> </w:t>
      </w:r>
      <w:r w:rsidR="00A844E0" w:rsidRPr="00A844E0">
        <w:rPr>
          <w:rFonts w:ascii="Times New Roman" w:hAnsi="Times New Roman" w:cs="Times New Roman"/>
          <w:sz w:val="20"/>
          <w:szCs w:val="20"/>
        </w:rPr>
        <w:t>The pharmacist also works as a private-sector reseller of additional medications and other goods, whether or not they are related to health. Patients are both clients and recipients of sophisticated and complex treatment regimens every day for pharmacists operating in the community.</w:t>
      </w:r>
      <w:r w:rsidR="00A844E0" w:rsidRPr="00A844E0">
        <w:t xml:space="preserve"> </w:t>
      </w:r>
      <w:r w:rsidR="00A844E0" w:rsidRPr="00A844E0">
        <w:rPr>
          <w:rFonts w:ascii="Times New Roman" w:hAnsi="Times New Roman" w:cs="Times New Roman"/>
          <w:sz w:val="20"/>
          <w:szCs w:val="20"/>
        </w:rPr>
        <w:t>Therefore, practising pharmacists need to be actively involved with and capable of handling ethical dilemmas resulting from the growing difficulties of "hi-tech" healthcare and its delivery in a corporate setting. The purpose of this examination of the literature is to determine the breadth and depth of the literature that documents such participation</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[14]</w:t>
      </w:r>
      <w:r w:rsidR="00550E37">
        <w:rPr>
          <w:rFonts w:ascii="Times New Roman" w:hAnsi="Times New Roman" w:cs="Times New Roman"/>
          <w:sz w:val="20"/>
          <w:szCs w:val="20"/>
        </w:rPr>
        <w:t>.</w:t>
      </w:r>
    </w:p>
    <w:p w14:paraId="42840F37" w14:textId="6CE7BDE7" w:rsidR="00E43A45" w:rsidRPr="00EF792B"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 ETHICAL SCOPE IN PHARMACEUTICAL INDUSTRY</w:t>
      </w:r>
    </w:p>
    <w:p w14:paraId="12B4D0B5" w14:textId="77777777" w:rsidR="00704E9E" w:rsidRDefault="00176C3C" w:rsidP="00550E37">
      <w:pPr>
        <w:spacing w:after="0" w:line="240" w:lineRule="auto"/>
        <w:ind w:firstLine="360"/>
        <w:jc w:val="both"/>
        <w:rPr>
          <w:rFonts w:ascii="Times New Roman" w:hAnsi="Times New Roman" w:cs="Times New Roman"/>
          <w:sz w:val="20"/>
          <w:szCs w:val="20"/>
        </w:rPr>
      </w:pPr>
      <w:r w:rsidRPr="00176C3C">
        <w:rPr>
          <w:rFonts w:ascii="Times New Roman" w:hAnsi="Times New Roman" w:cs="Times New Roman"/>
          <w:sz w:val="20"/>
          <w:szCs w:val="20"/>
        </w:rPr>
        <w:t>The UK's core curriculum for medical ethics is a good example of a healthcare ethics issue spectrum, and it is backed up by original research done in the United States and classic texts on healthcare ethics. The interactions between medical staff and patients, family members, and the general public lead to several problems. Others result from limitations in balancing demand and costs, particularly in state-funded systems, or the research and development process that supports healthcare.</w:t>
      </w:r>
      <w:r>
        <w:rPr>
          <w:rFonts w:ascii="Times New Roman" w:hAnsi="Times New Roman" w:cs="Times New Roman"/>
          <w:sz w:val="20"/>
          <w:szCs w:val="20"/>
        </w:rPr>
        <w:t xml:space="preserve"> </w:t>
      </w:r>
      <w:r w:rsidRPr="00176C3C">
        <w:rPr>
          <w:rFonts w:ascii="Times New Roman" w:hAnsi="Times New Roman" w:cs="Times New Roman"/>
          <w:sz w:val="20"/>
          <w:szCs w:val="20"/>
        </w:rPr>
        <w:t>In contrast to cases when the "patient" is actually a fully autonomous consumer in the private sector—for instance, a customer choosing their own over-the-counter medications—healthcare ethics have typically focused on patients within a healthcare system. Therefore, hospitals account for 17% of practise areas, followed by community (or retail) pharmacies (62%), and GP practises (perhaps 3%).</w:t>
      </w:r>
      <w:r w:rsidR="00E43A45" w:rsidRPr="003F0EB6">
        <w:rPr>
          <w:rFonts w:ascii="Times New Roman" w:hAnsi="Times New Roman" w:cs="Times New Roman"/>
          <w:sz w:val="20"/>
          <w:szCs w:val="20"/>
        </w:rPr>
        <w:t xml:space="preserve"> </w:t>
      </w:r>
      <w:r w:rsidR="00FF592B" w:rsidRPr="00FF592B">
        <w:rPr>
          <w:rFonts w:ascii="Times New Roman" w:hAnsi="Times New Roman" w:cs="Times New Roman"/>
          <w:sz w:val="20"/>
          <w:szCs w:val="20"/>
        </w:rPr>
        <w:t>Pharmacy practise has the potential to raise ethical issues that span the entire healthcare ethics spectrum, though not always to the same degree or level that may be encountered by medical or nursing practitioners, for instance, when negotiating the termination of a pregnancy or the switching off of life support.</w:t>
      </w:r>
      <w:r w:rsidR="001A4CD6">
        <w:rPr>
          <w:rFonts w:ascii="Times New Roman" w:hAnsi="Times New Roman" w:cs="Times New Roman"/>
          <w:sz w:val="20"/>
          <w:szCs w:val="20"/>
        </w:rPr>
        <w:t>[15]</w:t>
      </w:r>
      <w:r w:rsidR="00FF592B" w:rsidRPr="00FF592B">
        <w:rPr>
          <w:rFonts w:ascii="Times New Roman" w:hAnsi="Times New Roman" w:cs="Times New Roman"/>
          <w:sz w:val="20"/>
          <w:szCs w:val="20"/>
        </w:rPr>
        <w:t xml:space="preserve"> </w:t>
      </w:r>
    </w:p>
    <w:p w14:paraId="45709E94" w14:textId="21A6AFD9" w:rsidR="00FF592B" w:rsidRDefault="00FF592B" w:rsidP="00550E37">
      <w:pPr>
        <w:spacing w:after="0" w:line="240" w:lineRule="auto"/>
        <w:ind w:firstLine="720"/>
        <w:jc w:val="both"/>
        <w:rPr>
          <w:rFonts w:ascii="Times New Roman" w:hAnsi="Times New Roman" w:cs="Times New Roman"/>
          <w:sz w:val="20"/>
          <w:szCs w:val="20"/>
        </w:rPr>
      </w:pPr>
      <w:r w:rsidRPr="00FF592B">
        <w:rPr>
          <w:rFonts w:ascii="Times New Roman" w:hAnsi="Times New Roman" w:cs="Times New Roman"/>
          <w:sz w:val="20"/>
          <w:szCs w:val="20"/>
        </w:rPr>
        <w:t xml:space="preserve">Community pharmacists, on the other hand, must daily combine their professional responsibilities as givers of </w:t>
      </w:r>
      <w:r w:rsidR="005B6BA4" w:rsidRPr="00FF592B">
        <w:rPr>
          <w:rFonts w:ascii="Times New Roman" w:hAnsi="Times New Roman" w:cs="Times New Roman"/>
          <w:sz w:val="20"/>
          <w:szCs w:val="20"/>
        </w:rPr>
        <w:t>advice</w:t>
      </w:r>
      <w:r w:rsidRPr="00FF592B">
        <w:rPr>
          <w:rFonts w:ascii="Times New Roman" w:hAnsi="Times New Roman" w:cs="Times New Roman"/>
          <w:sz w:val="20"/>
          <w:szCs w:val="20"/>
        </w:rPr>
        <w:t xml:space="preserve"> and support to optimise the use of medicines with their financial responsibility to make a livelihood, nay, a profit, as they work in the private</w:t>
      </w:r>
      <w:r>
        <w:rPr>
          <w:rFonts w:ascii="Times New Roman" w:hAnsi="Times New Roman" w:cs="Times New Roman"/>
          <w:sz w:val="20"/>
          <w:szCs w:val="20"/>
        </w:rPr>
        <w:t xml:space="preserve"> sector </w:t>
      </w:r>
      <w:r w:rsidRPr="00FF592B">
        <w:rPr>
          <w:rFonts w:ascii="Times New Roman" w:hAnsi="Times New Roman" w:cs="Times New Roman"/>
          <w:sz w:val="20"/>
          <w:szCs w:val="20"/>
        </w:rPr>
        <w:t>The organisational values and targets adopted by these businesses (and countless small local groups) to secure adequate profits for shareholders or owners may also have a significant impact on the capacity of individual pharmacists to exercise independent professional judgement and morality in Britain, where national multiples operate about 40% of community pharmacies.</w:t>
      </w:r>
      <w:r w:rsidRPr="00FF592B">
        <w:t xml:space="preserve"> </w:t>
      </w:r>
      <w:r w:rsidRPr="00FF592B">
        <w:rPr>
          <w:rFonts w:ascii="Times New Roman" w:hAnsi="Times New Roman" w:cs="Times New Roman"/>
          <w:sz w:val="20"/>
          <w:szCs w:val="20"/>
        </w:rPr>
        <w:t>The two additional published collections that were missed by this assessment of the literature are not particularly pertinent to pharmacy practise. First and foremost, these were reports on work done in the pharmacy ethics teaching field. Further analysis of this information may be acceptable elsewhere given that most of it is meant to educate and support future pharmacists' moral awareness and cognitive abilities.</w:t>
      </w:r>
      <w:r>
        <w:rPr>
          <w:rFonts w:ascii="Times New Roman" w:hAnsi="Times New Roman" w:cs="Times New Roman"/>
          <w:sz w:val="20"/>
          <w:szCs w:val="20"/>
        </w:rPr>
        <w:t xml:space="preserve"> </w:t>
      </w:r>
      <w:r w:rsidRPr="00FF592B">
        <w:rPr>
          <w:rFonts w:ascii="Times New Roman" w:hAnsi="Times New Roman" w:cs="Times New Roman"/>
          <w:sz w:val="20"/>
          <w:szCs w:val="20"/>
        </w:rPr>
        <w:t>The second body of work discusses the ethical conundrums that the pharmaceutical industry, third-world poverty, and access to medications present. As a result, it was determined that this was not covered by the current review.</w:t>
      </w:r>
      <w:r w:rsidR="001A4CD6">
        <w:rPr>
          <w:rFonts w:ascii="Times New Roman" w:hAnsi="Times New Roman" w:cs="Times New Roman"/>
          <w:sz w:val="20"/>
          <w:szCs w:val="20"/>
        </w:rPr>
        <w:t>[15]</w:t>
      </w:r>
    </w:p>
    <w:p w14:paraId="5DD7C97B" w14:textId="6FAC0B10" w:rsidR="00E43A45" w:rsidRPr="00550E37" w:rsidRDefault="00550E37" w:rsidP="00550E37">
      <w:pPr>
        <w:spacing w:after="0" w:line="240" w:lineRule="auto"/>
        <w:jc w:val="center"/>
        <w:rPr>
          <w:rFonts w:ascii="Times New Roman" w:hAnsi="Times New Roman" w:cs="Times New Roman"/>
          <w:sz w:val="20"/>
          <w:szCs w:val="20"/>
        </w:rPr>
      </w:pPr>
      <w:r w:rsidRPr="00550E37">
        <w:rPr>
          <w:rFonts w:ascii="Times New Roman" w:hAnsi="Times New Roman" w:cs="Times New Roman"/>
          <w:b/>
          <w:bCs/>
          <w:sz w:val="20"/>
          <w:szCs w:val="20"/>
        </w:rPr>
        <w:lastRenderedPageBreak/>
        <w:t>XIII.APPLICATION OF ETHICAL CONCEPTS TO PRACTICE</w:t>
      </w:r>
    </w:p>
    <w:p w14:paraId="7D8A2C2F" w14:textId="649065AB" w:rsidR="00540CD9" w:rsidRDefault="00540CD9" w:rsidP="00550E37">
      <w:pPr>
        <w:spacing w:after="0" w:line="240" w:lineRule="auto"/>
        <w:jc w:val="both"/>
        <w:rPr>
          <w:rFonts w:ascii="Times New Roman" w:hAnsi="Times New Roman" w:cs="Times New Roman"/>
          <w:sz w:val="20"/>
          <w:szCs w:val="20"/>
        </w:rPr>
      </w:pPr>
      <w:r w:rsidRPr="00540CD9">
        <w:rPr>
          <w:rFonts w:ascii="Times New Roman" w:hAnsi="Times New Roman" w:cs="Times New Roman"/>
          <w:sz w:val="20"/>
          <w:szCs w:val="20"/>
        </w:rPr>
        <w:t>The vast majority of material on pharmacy ethics assumes that pharmacists are aware of ethical standards and then jumps right into applying ethical (and legal) principles to real-world settings</w:t>
      </w:r>
      <w:r>
        <w:rPr>
          <w:rFonts w:ascii="Times New Roman" w:hAnsi="Times New Roman" w:cs="Times New Roman"/>
          <w:sz w:val="20"/>
          <w:szCs w:val="20"/>
        </w:rPr>
        <w:t xml:space="preserve"> </w:t>
      </w:r>
      <w:r w:rsidRPr="00540CD9">
        <w:rPr>
          <w:rFonts w:ascii="Times New Roman" w:hAnsi="Times New Roman" w:cs="Times New Roman"/>
          <w:sz w:val="20"/>
          <w:szCs w:val="20"/>
        </w:rPr>
        <w:t xml:space="preserve">In the UK, Nathan and </w:t>
      </w:r>
      <w:r w:rsidR="005B6BA4" w:rsidRPr="00540CD9">
        <w:rPr>
          <w:rFonts w:ascii="Times New Roman" w:hAnsi="Times New Roman" w:cs="Times New Roman"/>
          <w:sz w:val="20"/>
          <w:szCs w:val="20"/>
        </w:rPr>
        <w:t>Grim wade</w:t>
      </w:r>
      <w:r w:rsidRPr="00540CD9">
        <w:rPr>
          <w:rFonts w:ascii="Times New Roman" w:hAnsi="Times New Roman" w:cs="Times New Roman"/>
          <w:sz w:val="20"/>
          <w:szCs w:val="20"/>
        </w:rPr>
        <w:t xml:space="preserve"> (1993) created an early form with eight scenarios "to test your law and ethics knowledge." In reality, all but one of the scenarios raised legal rather than ethical issues, and the eighth scenario, which dealt with the confidentiality of contraceptive prescribing, actually defended the "answer" by citing data protection and other laws</w:t>
      </w:r>
      <w:r w:rsidR="0039393F">
        <w:rPr>
          <w:rFonts w:ascii="Times New Roman" w:hAnsi="Times New Roman" w:cs="Times New Roman"/>
          <w:sz w:val="20"/>
          <w:szCs w:val="20"/>
        </w:rPr>
        <w:t xml:space="preserve"> </w:t>
      </w:r>
      <w:r w:rsidRPr="00540CD9">
        <w:rPr>
          <w:rFonts w:ascii="Times New Roman" w:hAnsi="Times New Roman" w:cs="Times New Roman"/>
          <w:sz w:val="20"/>
          <w:szCs w:val="20"/>
        </w:rPr>
        <w:t>The textbooks by Weinstein and Smith (see above) include examples of "practise scenarios" (including ethical challenges involving business) where it is required to first recognise the ethical issues that arise in a circumstance before being able to address them</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3C6ACBEE" w14:textId="0D8CC0C7" w:rsidR="0056726E" w:rsidRDefault="0056726E" w:rsidP="00550E37">
      <w:pPr>
        <w:spacing w:after="0" w:line="240" w:lineRule="auto"/>
        <w:ind w:firstLine="720"/>
        <w:jc w:val="both"/>
        <w:rPr>
          <w:rFonts w:ascii="Times New Roman" w:hAnsi="Times New Roman" w:cs="Times New Roman"/>
          <w:sz w:val="20"/>
          <w:szCs w:val="20"/>
        </w:rPr>
      </w:pPr>
      <w:r w:rsidRPr="0056726E">
        <w:rPr>
          <w:rFonts w:ascii="Times New Roman" w:hAnsi="Times New Roman" w:cs="Times New Roman"/>
          <w:sz w:val="20"/>
          <w:szCs w:val="20"/>
        </w:rPr>
        <w:t xml:space="preserve">In the UK, Wingfield, Taylor, and Lee (1997), followed by </w:t>
      </w:r>
      <w:r w:rsidR="005B6BA4" w:rsidRPr="0056726E">
        <w:rPr>
          <w:rFonts w:ascii="Times New Roman" w:hAnsi="Times New Roman" w:cs="Times New Roman"/>
          <w:sz w:val="20"/>
          <w:szCs w:val="20"/>
        </w:rPr>
        <w:t>Appel be</w:t>
      </w:r>
      <w:r w:rsidRPr="0056726E">
        <w:rPr>
          <w:rFonts w:ascii="Times New Roman" w:hAnsi="Times New Roman" w:cs="Times New Roman"/>
          <w:sz w:val="20"/>
          <w:szCs w:val="20"/>
        </w:rPr>
        <w:t>, Wingfield, and Taylor (2002), recommended the use of a systematic "stepwise" method to decision-making in real-world scenarios where legal and ethical principles may conflict. (This can be summed up as: obtaining information, identifying problems, designating priorities and interests, producing actionable options, and selecting an option based on sound reasoning</w:t>
      </w:r>
      <w:r w:rsidR="0039393F">
        <w:rPr>
          <w:rFonts w:ascii="Times New Roman" w:hAnsi="Times New Roman" w:cs="Times New Roman"/>
          <w:sz w:val="20"/>
          <w:szCs w:val="20"/>
        </w:rPr>
        <w:t xml:space="preserve"> </w:t>
      </w:r>
      <w:r w:rsidRPr="0056726E">
        <w:rPr>
          <w:rFonts w:ascii="Times New Roman" w:hAnsi="Times New Roman" w:cs="Times New Roman"/>
          <w:sz w:val="20"/>
          <w:szCs w:val="20"/>
        </w:rPr>
        <w:t>At first glance, two papers published in the American Journal of Hospital Pharmacy seem to be scenario-based studies alone, but they also incorporate philosophical analysis of the schools of thinking behind the conflicting "solutions" put forth by each of the two commentators</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0B75FB60" w14:textId="77777777" w:rsidR="00C60AAC" w:rsidRDefault="00C60AAC" w:rsidP="00550E37">
      <w:pPr>
        <w:spacing w:after="0" w:line="240" w:lineRule="auto"/>
        <w:ind w:firstLine="720"/>
        <w:jc w:val="both"/>
        <w:rPr>
          <w:rFonts w:ascii="Times New Roman" w:hAnsi="Times New Roman" w:cs="Times New Roman"/>
          <w:sz w:val="20"/>
          <w:szCs w:val="20"/>
        </w:rPr>
      </w:pPr>
      <w:r w:rsidRPr="00C60AAC">
        <w:rPr>
          <w:rFonts w:ascii="Times New Roman" w:hAnsi="Times New Roman" w:cs="Times New Roman"/>
          <w:sz w:val="20"/>
          <w:szCs w:val="20"/>
        </w:rPr>
        <w:t>Veatch (1990) makes deontological and utilitarian arguments in favour of the two options in a situation where the pharmacist must question the motivations behind a change in a physician's prescribing before coming to the conclusion that obligations like the "ethics of respect" for the patient's rights should probably take precedence.</w:t>
      </w:r>
    </w:p>
    <w:p w14:paraId="6094CC17" w14:textId="0D0523EC" w:rsidR="00C60AAC" w:rsidRDefault="00C60AAC" w:rsidP="00550E37">
      <w:pPr>
        <w:spacing w:after="0" w:line="240" w:lineRule="auto"/>
        <w:jc w:val="both"/>
        <w:rPr>
          <w:rFonts w:ascii="Times New Roman" w:hAnsi="Times New Roman" w:cs="Times New Roman"/>
          <w:sz w:val="20"/>
          <w:szCs w:val="20"/>
        </w:rPr>
      </w:pPr>
      <w:r w:rsidRPr="00C60AAC">
        <w:rPr>
          <w:rFonts w:ascii="Times New Roman" w:hAnsi="Times New Roman" w:cs="Times New Roman"/>
          <w:sz w:val="20"/>
          <w:szCs w:val="20"/>
        </w:rPr>
        <w:t>Veatch (1993) also compares earlier paternalistic concepts of secrecy with more contemporary ideas on respect for autonomy in reference to a patient who refuses to reveal significant symptoms to his doctor. The following sections serve as examples of how ethical ideas are applied to pharmacy practise, frequently in works that are not particularly intended to do so</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7EB5729C" w14:textId="24BFC885" w:rsidR="00E20B42" w:rsidRPr="00550E37" w:rsidRDefault="00225C2F" w:rsidP="00225C2F">
      <w:pPr>
        <w:spacing w:after="0" w:line="240" w:lineRule="auto"/>
        <w:jc w:val="center"/>
        <w:rPr>
          <w:rFonts w:ascii="Times New Roman" w:hAnsi="Times New Roman" w:cs="Times New Roman"/>
          <w:b/>
          <w:bCs/>
          <w:sz w:val="20"/>
          <w:szCs w:val="20"/>
        </w:rPr>
      </w:pPr>
      <w:bookmarkStart w:id="4" w:name="_Hlk111893259"/>
      <w:r w:rsidRPr="00550E37">
        <w:rPr>
          <w:rFonts w:ascii="Times New Roman" w:hAnsi="Times New Roman" w:cs="Times New Roman"/>
          <w:b/>
          <w:bCs/>
          <w:sz w:val="20"/>
          <w:szCs w:val="20"/>
        </w:rPr>
        <w:t>XIII.</w:t>
      </w:r>
      <w:bookmarkStart w:id="5" w:name="_Hlk111898930"/>
      <w:r>
        <w:rPr>
          <w:rFonts w:ascii="Times New Roman" w:hAnsi="Times New Roman" w:cs="Times New Roman"/>
          <w:b/>
          <w:bCs/>
          <w:sz w:val="20"/>
          <w:szCs w:val="20"/>
        </w:rPr>
        <w:t xml:space="preserve"> </w:t>
      </w:r>
      <w:r w:rsidRPr="00550E37">
        <w:rPr>
          <w:rFonts w:ascii="Times New Roman" w:hAnsi="Times New Roman" w:cs="Times New Roman"/>
          <w:b/>
          <w:bCs/>
          <w:sz w:val="20"/>
          <w:szCs w:val="20"/>
        </w:rPr>
        <w:t>CONSENT AND CONFIDENTIALITY</w:t>
      </w:r>
      <w:bookmarkEnd w:id="5"/>
    </w:p>
    <w:bookmarkEnd w:id="4"/>
    <w:p w14:paraId="3EA04908" w14:textId="1791BD40"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Confidentiality and the related idea of consent to use and disclosure of patient information are frequently cited in literature on pharmacy ethics. A French study looked into how 15 hospital pharmacists responded to scenarios that potentially jeopardise patient privacy. All of the study's pharmacist participants argued that they did not have any instruction in biomedical ethics throughout their bachelor years and did not have enough practise to feel comfortable handling these circumstances</w:t>
      </w:r>
      <w:r w:rsidR="0039393F">
        <w:rPr>
          <w:rFonts w:ascii="Times New Roman" w:hAnsi="Times New Roman" w:cs="Times New Roman"/>
          <w:sz w:val="20"/>
          <w:szCs w:val="20"/>
        </w:rPr>
        <w:t xml:space="preserve"> </w:t>
      </w:r>
      <w:r w:rsidRPr="00614DF3">
        <w:rPr>
          <w:rFonts w:ascii="Times New Roman" w:hAnsi="Times New Roman" w:cs="Times New Roman"/>
          <w:sz w:val="20"/>
          <w:szCs w:val="20"/>
        </w:rPr>
        <w:t>The primary remedy was considered to be turning to a manual of best practises</w:t>
      </w:r>
      <w:proofErr w:type="gramStart"/>
      <w:r w:rsidRPr="00614DF3">
        <w:rPr>
          <w:rFonts w:ascii="Times New Roman" w:hAnsi="Times New Roman" w:cs="Times New Roman"/>
          <w:sz w:val="20"/>
          <w:szCs w:val="20"/>
        </w:rPr>
        <w:t>.</w:t>
      </w:r>
      <w:r w:rsidR="001A4CD6">
        <w:rPr>
          <w:rFonts w:ascii="Times New Roman" w:hAnsi="Times New Roman" w:cs="Times New Roman"/>
          <w:sz w:val="20"/>
          <w:szCs w:val="20"/>
        </w:rPr>
        <w:t>[</w:t>
      </w:r>
      <w:proofErr w:type="gramEnd"/>
      <w:r w:rsidR="001A4CD6">
        <w:rPr>
          <w:rFonts w:ascii="Times New Roman" w:hAnsi="Times New Roman" w:cs="Times New Roman"/>
          <w:sz w:val="20"/>
          <w:szCs w:val="20"/>
        </w:rPr>
        <w:t>17]</w:t>
      </w:r>
      <w:r w:rsidRPr="00614DF3">
        <w:rPr>
          <w:rFonts w:ascii="Times New Roman" w:hAnsi="Times New Roman" w:cs="Times New Roman"/>
          <w:sz w:val="20"/>
          <w:szCs w:val="20"/>
        </w:rPr>
        <w:t xml:space="preserve"> The same issues, as well as a solution, were raised in a later UK study on the challenges faced by pharmacists who provide medical information. Traditionally restricted to other healthcare professionals, such services are now being used by the general public.</w:t>
      </w:r>
      <w:r>
        <w:rPr>
          <w:rFonts w:ascii="Times New Roman" w:hAnsi="Times New Roman" w:cs="Times New Roman"/>
          <w:sz w:val="20"/>
          <w:szCs w:val="20"/>
        </w:rPr>
        <w:t xml:space="preserve"> </w:t>
      </w:r>
      <w:r w:rsidRPr="00614DF3">
        <w:rPr>
          <w:rFonts w:ascii="Times New Roman" w:hAnsi="Times New Roman" w:cs="Times New Roman"/>
          <w:sz w:val="20"/>
          <w:szCs w:val="20"/>
        </w:rPr>
        <w:t xml:space="preserve">Conflicts between pharmacists who prefer to retain sensitive information for more appropriate disclosure than by phone and those who contend that since the majority of the requested information is in the public domain, it should be made available upon request were noted in the study. Again, out of 151 centres for medicine information that provided feedback, more than half said that the pharmacists providing the service had not been trained in "ethical considerations" even though more than 70% of them had obtained postgraduate clinical degrees </w:t>
      </w:r>
      <w:r w:rsidR="001A4CD6">
        <w:rPr>
          <w:rFonts w:ascii="Times New Roman" w:hAnsi="Times New Roman" w:cs="Times New Roman"/>
          <w:sz w:val="20"/>
          <w:szCs w:val="20"/>
        </w:rPr>
        <w:t>[17]</w:t>
      </w:r>
      <w:r w:rsidR="00225C2F">
        <w:rPr>
          <w:rFonts w:ascii="Times New Roman" w:hAnsi="Times New Roman" w:cs="Times New Roman"/>
          <w:sz w:val="20"/>
          <w:szCs w:val="20"/>
        </w:rPr>
        <w:t>.</w:t>
      </w:r>
    </w:p>
    <w:p w14:paraId="142BA4E3" w14:textId="2DC48116"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The "situation and potential solutions" method mentioned above is used in other published materials on consent and secrecy</w:t>
      </w:r>
      <w:r w:rsidR="0039393F">
        <w:rPr>
          <w:rFonts w:ascii="Times New Roman" w:hAnsi="Times New Roman" w:cs="Times New Roman"/>
          <w:sz w:val="20"/>
          <w:szCs w:val="20"/>
        </w:rPr>
        <w:t xml:space="preserve"> </w:t>
      </w:r>
      <w:r w:rsidR="00AD7137" w:rsidRPr="00AD7137">
        <w:rPr>
          <w:rFonts w:ascii="Times New Roman" w:hAnsi="Times New Roman" w:cs="Times New Roman"/>
          <w:sz w:val="20"/>
          <w:szCs w:val="20"/>
        </w:rPr>
        <w:t>Haddad talked about a case in the US where a patient had given a strict order not to tell the patient's doctor about material that appeared to pose a major threat to his health. According to her, the obligation to maintain patient privacy is based on two core ethical principles: respect for the patient's right to autonomy in making medical decisions and faithfulness, which is implied in the pharmacist's tacit promise to remain silent if the patient so chooses</w:t>
      </w:r>
      <w:r w:rsidR="0039393F">
        <w:rPr>
          <w:rFonts w:ascii="Times New Roman" w:hAnsi="Times New Roman" w:cs="Times New Roman"/>
          <w:sz w:val="20"/>
          <w:szCs w:val="20"/>
        </w:rPr>
        <w:t xml:space="preserve"> </w:t>
      </w:r>
      <w:r w:rsidR="00F47AB9" w:rsidRPr="00AD7137">
        <w:rPr>
          <w:rFonts w:ascii="Times New Roman" w:hAnsi="Times New Roman" w:cs="Times New Roman"/>
          <w:sz w:val="20"/>
          <w:szCs w:val="20"/>
        </w:rPr>
        <w:t>in</w:t>
      </w:r>
      <w:r w:rsidR="00AD7137" w:rsidRPr="00AD7137">
        <w:rPr>
          <w:rFonts w:ascii="Times New Roman" w:hAnsi="Times New Roman" w:cs="Times New Roman"/>
          <w:sz w:val="20"/>
          <w:szCs w:val="20"/>
        </w:rPr>
        <w:t xml:space="preserve"> this scenario, it is believed that expressed wish to be the deciding factor. Disclosure might have been a different course of action if the patient had remained silent. In a series of scenario discussions, other examples of information given by the patient to the pharmacist on a confidential basis were included in the UK. These examples included purposefully refusing to take the prescribed medication or hiding information that might impair the efficacy of the medication</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704E9E">
        <w:rPr>
          <w:rFonts w:ascii="Times New Roman" w:hAnsi="Times New Roman" w:cs="Times New Roman"/>
          <w:sz w:val="20"/>
          <w:szCs w:val="20"/>
        </w:rPr>
        <w:t xml:space="preserve">. </w:t>
      </w:r>
    </w:p>
    <w:p w14:paraId="12F66DCA" w14:textId="2ADBBFA3" w:rsidR="00AD7137" w:rsidRDefault="00AD7137" w:rsidP="00550E37">
      <w:pPr>
        <w:spacing w:after="0" w:line="240" w:lineRule="auto"/>
        <w:ind w:firstLine="720"/>
        <w:jc w:val="both"/>
        <w:rPr>
          <w:rFonts w:ascii="Times New Roman" w:hAnsi="Times New Roman" w:cs="Times New Roman"/>
          <w:sz w:val="20"/>
          <w:szCs w:val="20"/>
        </w:rPr>
      </w:pPr>
      <w:r w:rsidRPr="00AD7137">
        <w:rPr>
          <w:rFonts w:ascii="Times New Roman" w:hAnsi="Times New Roman" w:cs="Times New Roman"/>
          <w:sz w:val="20"/>
          <w:szCs w:val="20"/>
        </w:rPr>
        <w:t>The current author incorporated a confidentiality scenario regarding the publication of patient records after death in a series of articles analysing the process of ethical decision-making to highlight the general character of ethical obligations outside statutory law. Other publications have taken a more descriptive tack, outlining the effects of practise modifications or revisions to the Code of Ethics on secrecy.</w:t>
      </w:r>
      <w:r>
        <w:rPr>
          <w:rFonts w:ascii="Times New Roman" w:hAnsi="Times New Roman" w:cs="Times New Roman"/>
          <w:sz w:val="20"/>
          <w:szCs w:val="20"/>
        </w:rPr>
        <w:t xml:space="preserve"> </w:t>
      </w:r>
      <w:r w:rsidRPr="00AD7137">
        <w:rPr>
          <w:rFonts w:ascii="Times New Roman" w:hAnsi="Times New Roman" w:cs="Times New Roman"/>
          <w:sz w:val="20"/>
          <w:szCs w:val="20"/>
        </w:rPr>
        <w:t>Another study looks at how using a phone link and a buffer zone to keep waiting patients away from the patient consultation in process can actually provide both security and privacy. The majority of the literature on secrecy in pharmacy has been produced since the introduction of electronic communication. There has been a huge increase in statutory regulation on both sides of the Atlantic, and there has been a lot of discussion about how to deal with the potential and hazards that "</w:t>
      </w:r>
      <w:r w:rsidR="005B6BA4" w:rsidRPr="00AD7137">
        <w:rPr>
          <w:rFonts w:ascii="Times New Roman" w:hAnsi="Times New Roman" w:cs="Times New Roman"/>
          <w:sz w:val="20"/>
          <w:szCs w:val="20"/>
        </w:rPr>
        <w:t>tele pharmacy</w:t>
      </w:r>
      <w:r w:rsidRPr="00AD7137">
        <w:rPr>
          <w:rFonts w:ascii="Times New Roman" w:hAnsi="Times New Roman" w:cs="Times New Roman"/>
          <w:sz w:val="20"/>
          <w:szCs w:val="20"/>
        </w:rPr>
        <w:t>" presents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225C2F">
        <w:rPr>
          <w:rFonts w:ascii="Times New Roman" w:hAnsi="Times New Roman" w:cs="Times New Roman"/>
          <w:sz w:val="20"/>
          <w:szCs w:val="20"/>
        </w:rPr>
        <w:t>.</w:t>
      </w:r>
    </w:p>
    <w:p w14:paraId="344D6CCD" w14:textId="42CAEA4A" w:rsidR="005925EE" w:rsidRDefault="005925EE" w:rsidP="00550E37">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Pharmaceutical corporations can use "data mining" to focus their drug marketing campaigns more profitably and efficiently by purchasing electronic patient medication information. The state was defeated, mostly because the data processor could demonstrate that the patient's identity had been successfully wiped off.</w:t>
      </w:r>
      <w:r>
        <w:rPr>
          <w:rFonts w:ascii="Times New Roman" w:hAnsi="Times New Roman" w:cs="Times New Roman"/>
          <w:sz w:val="20"/>
          <w:szCs w:val="20"/>
        </w:rPr>
        <w:t xml:space="preserve"> </w:t>
      </w:r>
      <w:r w:rsidRPr="005925EE">
        <w:rPr>
          <w:rFonts w:ascii="Times New Roman" w:hAnsi="Times New Roman" w:cs="Times New Roman"/>
          <w:sz w:val="20"/>
          <w:szCs w:val="20"/>
        </w:rPr>
        <w:t xml:space="preserve">In </w:t>
      </w:r>
      <w:r w:rsidRPr="005925EE">
        <w:rPr>
          <w:rFonts w:ascii="Times New Roman" w:hAnsi="Times New Roman" w:cs="Times New Roman"/>
          <w:sz w:val="20"/>
          <w:szCs w:val="20"/>
        </w:rPr>
        <w:lastRenderedPageBreak/>
        <w:t>Canada, the Medical Association called for legislation in response to similar activities by the same data processor to safeguard physician anonymity. This report makes mention of British Columbia's unilateral decision to forbid pharmacies from contributing to the collecting of this data and replace it with a province-wide, online pharmacy system. Ironically, while such information is currently available to the NHS in the UK through its state reimbursement systems, it has not yet chosen to use it in this manner</w:t>
      </w:r>
      <w:r w:rsidR="002935ED">
        <w:rPr>
          <w:rFonts w:ascii="Times New Roman" w:hAnsi="Times New Roman" w:cs="Times New Roman"/>
          <w:sz w:val="20"/>
          <w:szCs w:val="20"/>
        </w:rPr>
        <w:t xml:space="preserve"> </w:t>
      </w:r>
      <w:r w:rsidRPr="005925EE">
        <w:rPr>
          <w:rFonts w:ascii="Times New Roman" w:hAnsi="Times New Roman" w:cs="Times New Roman"/>
          <w:sz w:val="20"/>
          <w:szCs w:val="20"/>
        </w:rPr>
        <w:t>In the UK, the ability to write and send electronic prescriptions is still in its infancy, but preliminary research indicates that consent and confidentiality will be problematic issues. Real and potential opportunities to control prescription costs or enhance patient health outcomes are presented by the capacity of state systems to handle personal health information, such as the NHS in the UK or employment-linked PBOs in the US These possibilities also create tensions between organisational effectiveness and patients' rights to refuse consent to such data manipulation. These rights are probably more concerned with the right to accurate information than the right to opt-out</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1F02491" w14:textId="14B780F5" w:rsidR="008670DD" w:rsidRDefault="005925EE" w:rsidP="008670DD">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A US operation that exploited prescription information to sell a new medicine to patients without their previous knowledge sparked a media backlash in 1998. Earlier acknowledgment that the interests of pharmacy providers, such as business owners or Pharmacy Benefit Managers (PBMs), may differ from those of pharmacy practitioners is highlighted in an editorial examining this development.</w:t>
      </w:r>
      <w:r w:rsidR="00E20B42" w:rsidRPr="003F0EB6">
        <w:rPr>
          <w:rFonts w:ascii="Times New Roman" w:hAnsi="Times New Roman" w:cs="Times New Roman"/>
          <w:sz w:val="20"/>
          <w:szCs w:val="20"/>
        </w:rPr>
        <w:t xml:space="preserve"> </w:t>
      </w:r>
      <w:r w:rsidR="008A6359" w:rsidRPr="008A6359">
        <w:rPr>
          <w:rFonts w:ascii="Times New Roman" w:hAnsi="Times New Roman" w:cs="Times New Roman"/>
          <w:sz w:val="20"/>
          <w:szCs w:val="20"/>
        </w:rPr>
        <w:t xml:space="preserve">the privacy risk brought on by huge numbers of employees having access to certain data sets in behavioural (mental) health PBMs. The number of </w:t>
      </w:r>
      <w:bookmarkStart w:id="6" w:name="_GoBack"/>
      <w:r w:rsidR="008A6359" w:rsidRPr="008A6359">
        <w:rPr>
          <w:rFonts w:ascii="Times New Roman" w:hAnsi="Times New Roman" w:cs="Times New Roman"/>
          <w:sz w:val="20"/>
          <w:szCs w:val="20"/>
        </w:rPr>
        <w:t xml:space="preserve">online pharmacies is increasing everywhere. The majority of discussion centres on the financial ramifications for </w:t>
      </w:r>
      <w:bookmarkEnd w:id="6"/>
      <w:r w:rsidR="008A6359" w:rsidRPr="008A6359">
        <w:rPr>
          <w:rFonts w:ascii="Times New Roman" w:hAnsi="Times New Roman" w:cs="Times New Roman"/>
          <w:sz w:val="20"/>
          <w:szCs w:val="20"/>
        </w:rPr>
        <w:t>more established "brick and mortar" pharmacies, however Landis (1999) and Spooner (1999) explain the privacy and confidentiality ramifications of email exchanges in a US news article (1999).</w:t>
      </w:r>
      <w:r w:rsidR="008A6359" w:rsidRPr="008A6359">
        <w:t xml:space="preserve"> </w:t>
      </w:r>
      <w:r w:rsidR="008A6359" w:rsidRPr="008A6359">
        <w:rPr>
          <w:rFonts w:ascii="Times New Roman" w:hAnsi="Times New Roman" w:cs="Times New Roman"/>
          <w:sz w:val="20"/>
          <w:szCs w:val="20"/>
        </w:rPr>
        <w:t>the privacy risk brought on by huge numbers of employees having access to certain data sets in behavioural (mental) health PBMs. 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A41F940" w14:textId="4C75771F" w:rsidR="00542E8F" w:rsidRPr="00EF792B" w:rsidRDefault="00B5790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XIV.</w:t>
      </w:r>
      <w:r w:rsidR="008670DD" w:rsidRPr="00EF792B">
        <w:rPr>
          <w:rFonts w:ascii="Times New Roman" w:hAnsi="Times New Roman" w:cs="Times New Roman"/>
          <w:b/>
          <w:bCs/>
          <w:sz w:val="20"/>
          <w:szCs w:val="20"/>
        </w:rPr>
        <w:t>LEGAL AND ETHICAL ISSUES REGARDING SOCIAL MEDIA AND PHARMACY EDUCATION</w:t>
      </w:r>
    </w:p>
    <w:p w14:paraId="6F151A40" w14:textId="4C884DB1" w:rsidR="0068634C" w:rsidRDefault="0068634C" w:rsidP="00550E37">
      <w:pPr>
        <w:spacing w:after="0" w:line="240" w:lineRule="auto"/>
        <w:ind w:firstLine="720"/>
        <w:jc w:val="both"/>
        <w:rPr>
          <w:rFonts w:ascii="Times New Roman" w:hAnsi="Times New Roman" w:cs="Times New Roman"/>
          <w:sz w:val="20"/>
          <w:szCs w:val="20"/>
        </w:rPr>
      </w:pPr>
      <w:r w:rsidRPr="0068634C">
        <w:rPr>
          <w:rFonts w:ascii="Times New Roman" w:hAnsi="Times New Roman" w:cs="Times New Roman"/>
          <w:sz w:val="20"/>
          <w:szCs w:val="20"/>
        </w:rPr>
        <w:t>New social media platforms like YouTube, Facebook, Twitter, and Blogger have seen a sharp rise in popularity in recent years. Older generations are fast joining the ranks of social media users, but younger generations were predominantly the early adopters of these technology. 400 million people use Facebook alone, with users 35 and older expanding at the quickest rate.</w:t>
      </w:r>
      <w:r w:rsidR="00E33F3D" w:rsidRPr="003F0EB6">
        <w:rPr>
          <w:rFonts w:ascii="Times New Roman" w:hAnsi="Times New Roman" w:cs="Times New Roman"/>
          <w:sz w:val="20"/>
          <w:szCs w:val="20"/>
        </w:rPr>
        <w:t xml:space="preserve"> </w:t>
      </w:r>
      <w:r w:rsidRPr="0068634C">
        <w:rPr>
          <w:rFonts w:ascii="Times New Roman" w:hAnsi="Times New Roman" w:cs="Times New Roman"/>
          <w:sz w:val="20"/>
          <w:szCs w:val="20"/>
        </w:rPr>
        <w:t>The social communication paradigm is shifting from the conventional face-to-face or telephone model to one that leverages a range of Web-based social media tools, in part due to the popularity of these programmes. These technologies are now so pervasive that they are starting to disturb parts of our social structure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0B0A8713" w14:textId="69E46A96" w:rsidR="004E3960" w:rsidRDefault="006615FA" w:rsidP="00550E37">
      <w:pPr>
        <w:spacing w:after="0" w:line="240" w:lineRule="auto"/>
        <w:ind w:firstLine="360"/>
        <w:jc w:val="both"/>
        <w:rPr>
          <w:rFonts w:ascii="Times New Roman" w:hAnsi="Times New Roman" w:cs="Times New Roman"/>
          <w:sz w:val="20"/>
          <w:szCs w:val="20"/>
        </w:rPr>
      </w:pPr>
      <w:r w:rsidRPr="006615FA">
        <w:rPr>
          <w:rFonts w:ascii="Times New Roman" w:hAnsi="Times New Roman" w:cs="Times New Roman"/>
          <w:sz w:val="20"/>
          <w:szCs w:val="20"/>
        </w:rPr>
        <w:t>According to a remark made by Duncan in 2008, the past two decades in particular have been defined by exponential advancements in technology, particularly by individual access to ever-sophisticated electronic gadgets for information retrieval and communication.</w:t>
      </w:r>
      <w:r w:rsidR="004E3960" w:rsidRPr="004E3960">
        <w:t xml:space="preserve"> </w:t>
      </w:r>
      <w:r w:rsidR="004E3960" w:rsidRPr="004E3960">
        <w:rPr>
          <w:rFonts w:ascii="Times New Roman" w:hAnsi="Times New Roman" w:cs="Times New Roman"/>
          <w:sz w:val="20"/>
          <w:szCs w:val="20"/>
        </w:rPr>
        <w:t xml:space="preserve">Concomitant changes in cultural mores relative to the use of such devices have widened the intergenerational gap, affecting all institutions, including law and education. While these disruptions have spread across society as a whole, there are some specific issues of particular relevance to professional </w:t>
      </w:r>
      <w:r w:rsidR="00DA045A">
        <w:rPr>
          <w:rFonts w:ascii="Times New Roman" w:hAnsi="Times New Roman" w:cs="Times New Roman"/>
          <w:sz w:val="20"/>
          <w:szCs w:val="20"/>
        </w:rPr>
        <w:t>education</w:t>
      </w:r>
      <w:r w:rsidR="00A73471">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57D6BE44" w14:textId="71EA30C4" w:rsidR="004E3960" w:rsidRPr="002935ED" w:rsidRDefault="004E3960" w:rsidP="00550E37">
      <w:pPr>
        <w:spacing w:after="0" w:line="240" w:lineRule="auto"/>
        <w:ind w:firstLine="360"/>
        <w:jc w:val="both"/>
        <w:rPr>
          <w:rFonts w:ascii="Times New Roman" w:hAnsi="Times New Roman" w:cs="Times New Roman"/>
          <w:b/>
          <w:bCs/>
          <w:sz w:val="20"/>
          <w:szCs w:val="20"/>
        </w:rPr>
      </w:pPr>
      <w:r w:rsidRPr="002935ED">
        <w:rPr>
          <w:rFonts w:ascii="Times New Roman" w:hAnsi="Times New Roman" w:cs="Times New Roman"/>
          <w:sz w:val="20"/>
          <w:szCs w:val="20"/>
        </w:rPr>
        <w:t>Many of the hazy concerns have also been improved by conversations in research publications and at professional conferences. Many students, faculty members, and administrators are not yet completely aware of the complexity imposed upon schools as a result of the aforementioned paradigm shift because this field of research is still quite young. In order to help pharmacy faculty members and administrators understand this developing area of concern and avoid potential legal entanglements, the authors of this article review and explain the legal and ethical issues connected with social media use. They then offer recommendations for pharmacy administrators and faculty as a whole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24718AC8" w14:textId="64BABE19" w:rsidR="00E33F3D" w:rsidRPr="002935ED" w:rsidRDefault="00B57908"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XV.</w:t>
      </w:r>
      <w:r w:rsidR="00225C2F">
        <w:rPr>
          <w:rFonts w:ascii="Times New Roman" w:hAnsi="Times New Roman" w:cs="Times New Roman"/>
          <w:b/>
          <w:bCs/>
          <w:sz w:val="20"/>
          <w:szCs w:val="20"/>
        </w:rPr>
        <w:t xml:space="preserve"> </w:t>
      </w:r>
      <w:r w:rsidR="00E33F3D" w:rsidRPr="002935ED">
        <w:rPr>
          <w:rFonts w:ascii="Times New Roman" w:hAnsi="Times New Roman" w:cs="Times New Roman"/>
          <w:b/>
          <w:bCs/>
          <w:sz w:val="20"/>
          <w:szCs w:val="20"/>
        </w:rPr>
        <w:t>LEGAL ISSUES</w:t>
      </w:r>
    </w:p>
    <w:p w14:paraId="74D1AFFD" w14:textId="37A2DF65" w:rsidR="004E3960"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In matters involving the use of social media, a variety of fundamental rights guaranteed by the US Constitution may be at stake, including freedom of speech, concerns with search and seizure, the right to privacy, and the denial of due process. A quick overview of these topics could serve as a starting point for a discussion of the problems as they relate to social media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A0BD905" w14:textId="40B79CA3" w:rsidR="00EF639C"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Freedom of speech is one of the six rights granted to citizens by the First Amendment of the US Constitution, which also states that Congress cannot pass legislation restricting the free exercise of one's religion, banning its practise, restricting one's right to free speech or the press, or restricting the right of the people to peacefully assemble and petition the government for redress of grievances.</w:t>
      </w:r>
      <w:r>
        <w:rPr>
          <w:rFonts w:ascii="Times New Roman" w:hAnsi="Times New Roman" w:cs="Times New Roman"/>
          <w:sz w:val="20"/>
          <w:szCs w:val="20"/>
        </w:rPr>
        <w:t xml:space="preserve"> </w:t>
      </w:r>
      <w:r w:rsidR="00EF639C" w:rsidRPr="00EF639C">
        <w:rPr>
          <w:rFonts w:ascii="Times New Roman" w:hAnsi="Times New Roman" w:cs="Times New Roman"/>
          <w:sz w:val="20"/>
          <w:szCs w:val="20"/>
        </w:rPr>
        <w:t>Issues with free speech only arise when the government is engaged. The standard was established that student speech may only be restricted when it materially disrupts or substantially interferes with a school's activities in one of the key US Supreme Court cases in this area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4868C4C" w14:textId="18BF5144" w:rsidR="00EF639C" w:rsidRDefault="00EF639C" w:rsidP="00550E37">
      <w:pPr>
        <w:spacing w:after="0" w:line="240" w:lineRule="auto"/>
        <w:ind w:firstLine="360"/>
        <w:jc w:val="both"/>
        <w:rPr>
          <w:rFonts w:ascii="Times New Roman" w:hAnsi="Times New Roman" w:cs="Times New Roman"/>
          <w:sz w:val="20"/>
          <w:szCs w:val="20"/>
        </w:rPr>
      </w:pPr>
      <w:r w:rsidRPr="00EF639C">
        <w:rPr>
          <w:rFonts w:ascii="Times New Roman" w:hAnsi="Times New Roman" w:cs="Times New Roman"/>
          <w:sz w:val="20"/>
          <w:szCs w:val="20"/>
        </w:rPr>
        <w:t xml:space="preserve">In the Tinker case, the Supreme Court ruled that "conduct by the student, in class or out of it, which for any reason - whether it stems from time, place, or type of behaviour - involves substantial disorder or invasion of the rights of others, or which involves materially disrupts class work, is, of course, not immune by the constitutional </w:t>
      </w:r>
      <w:r w:rsidRPr="00EF639C">
        <w:rPr>
          <w:rFonts w:ascii="Times New Roman" w:hAnsi="Times New Roman" w:cs="Times New Roman"/>
          <w:sz w:val="20"/>
          <w:szCs w:val="20"/>
        </w:rPr>
        <w:lastRenderedPageBreak/>
        <w:t>guarantee of freedom of speech." When a school makes the claim that a student has participated in disruptive speech that the school would like to stop, this criterion should be used</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68804EAC" w14:textId="6B91E7E7" w:rsidR="00EF639C" w:rsidRDefault="00EF639C" w:rsidP="00550E37">
      <w:pPr>
        <w:spacing w:after="0" w:line="240" w:lineRule="auto"/>
        <w:ind w:firstLine="360"/>
        <w:jc w:val="both"/>
        <w:rPr>
          <w:rFonts w:ascii="Times New Roman" w:hAnsi="Times New Roman" w:cs="Times New Roman"/>
          <w:sz w:val="20"/>
          <w:szCs w:val="20"/>
        </w:rPr>
      </w:pPr>
      <w:r w:rsidRPr="00EF639C">
        <w:rPr>
          <w:rFonts w:ascii="Times New Roman" w:hAnsi="Times New Roman" w:cs="Times New Roman"/>
          <w:sz w:val="20"/>
          <w:szCs w:val="20"/>
        </w:rPr>
        <w:t xml:space="preserve">"It does not follow... that simply because the use of an objectionable form of communication may not be restricted to adults expressing what the speaker considers a political point, the same latitude must be granted to youngsters in a public school," the Supreme Court ruled. The school board has the authority to decide whether language is appropriate for use in the classroom or during school assemblies. Fourth Amendment concerns of search and seizure arise in cases involving social media </w:t>
      </w:r>
      <w:r w:rsidR="00F47AB9" w:rsidRPr="00EF639C">
        <w:rPr>
          <w:rFonts w:ascii="Times New Roman" w:hAnsi="Times New Roman" w:cs="Times New Roman"/>
          <w:sz w:val="20"/>
          <w:szCs w:val="20"/>
        </w:rPr>
        <w:t>use</w:t>
      </w:r>
      <w:r w:rsidR="00F47AB9" w:rsidRPr="00F47AB9">
        <w:rPr>
          <w:rFonts w:ascii="Times New Roman" w:hAnsi="Times New Roman" w:cs="Times New Roman"/>
          <w:sz w:val="20"/>
          <w:szCs w:val="20"/>
        </w:rPr>
        <w:t xml:space="preserve"> No warrants shall be issued unless there is probable cause, is supported by an oath or affirmation, and specifically describes the location to be searched as well as the people or things to be seized. </w:t>
      </w:r>
      <w:r w:rsidR="001C7D19" w:rsidRPr="001C7D19">
        <w:rPr>
          <w:rFonts w:ascii="Times New Roman" w:hAnsi="Times New Roman" w:cs="Times New Roman"/>
          <w:sz w:val="20"/>
          <w:szCs w:val="20"/>
        </w:rPr>
        <w:t>It is forbidden to infringe the people's right to be free from arbitrary searches and seizures of their person, property, and effects. Such problems can arise if administrators of the university try to see a student's social media conversations or the tools they use.</w:t>
      </w:r>
      <w:r w:rsidRPr="003F0EB6">
        <w:rPr>
          <w:rFonts w:ascii="Times New Roman" w:hAnsi="Times New Roman" w:cs="Times New Roman"/>
          <w:sz w:val="20"/>
          <w:szCs w:val="20"/>
        </w:rPr>
        <w:t xml:space="preserve"> </w:t>
      </w:r>
      <w:r w:rsidR="001C7D19" w:rsidRPr="001C7D19">
        <w:rPr>
          <w:rFonts w:ascii="Times New Roman" w:hAnsi="Times New Roman" w:cs="Times New Roman"/>
          <w:sz w:val="20"/>
          <w:szCs w:val="20"/>
        </w:rPr>
        <w:t>When administrators of the institution inquire about a student's social media communications, the Fifth Amendment may be implicated.</w:t>
      </w:r>
      <w:r w:rsidRPr="003F0EB6">
        <w:rPr>
          <w:rFonts w:ascii="Times New Roman" w:hAnsi="Times New Roman" w:cs="Times New Roman"/>
          <w:sz w:val="20"/>
          <w:szCs w:val="20"/>
        </w:rPr>
        <w:t xml:space="preserve">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407F7FC0" w14:textId="2482837A" w:rsidR="009F66C4" w:rsidRDefault="00F47AB9" w:rsidP="00550E37">
      <w:pPr>
        <w:spacing w:after="0" w:line="240" w:lineRule="auto"/>
        <w:ind w:firstLine="360"/>
        <w:jc w:val="both"/>
        <w:rPr>
          <w:rFonts w:ascii="Times New Roman" w:hAnsi="Times New Roman" w:cs="Times New Roman"/>
          <w:sz w:val="20"/>
          <w:szCs w:val="20"/>
        </w:rPr>
      </w:pPr>
      <w:r w:rsidRPr="009F66C4">
        <w:rPr>
          <w:rFonts w:ascii="Times New Roman" w:hAnsi="Times New Roman" w:cs="Times New Roman"/>
          <w:sz w:val="20"/>
          <w:szCs w:val="20"/>
        </w:rPr>
        <w:t>This Amendment also creates rights to due process. No person shall be held accountable for a capital, or otherwise infamous crime, except in cases arising in the land or naval forces, or in the militia, when in actual service in time of War or public danger; nor shall any person be subject to having his or her life or limb endangered twice for the same offence; nor shall any person be required to testify against him or her in any criminal case.</w:t>
      </w:r>
      <w:r w:rsidRPr="003F0EB6">
        <w:rPr>
          <w:rFonts w:ascii="Times New Roman" w:hAnsi="Times New Roman" w:cs="Times New Roman"/>
          <w:sz w:val="20"/>
          <w:szCs w:val="20"/>
        </w:rPr>
        <w:t xml:space="preserve"> </w:t>
      </w:r>
      <w:r w:rsidRPr="00F47AB9">
        <w:rPr>
          <w:rFonts w:ascii="Times New Roman" w:hAnsi="Times New Roman" w:cs="Times New Roman"/>
          <w:sz w:val="20"/>
          <w:szCs w:val="20"/>
        </w:rPr>
        <w:t>The Fourteenth Amendment expands the scope of constitutional due process rights by extending them to non-citizens due to the threat that a state government or an entity that is a part of it, such as a public university, may take action stated in the Amendment:</w:t>
      </w:r>
      <w:r w:rsidR="009F66C4" w:rsidRPr="009F66C4">
        <w:rPr>
          <w:rFonts w:ascii="Times New Roman" w:hAnsi="Times New Roman" w:cs="Times New Roman"/>
          <w:sz w:val="20"/>
          <w:szCs w:val="20"/>
        </w:rPr>
        <w:t xml:space="preserve"> </w:t>
      </w:r>
      <w:r w:rsidRPr="00F47AB9">
        <w:rPr>
          <w:rFonts w:ascii="Times New Roman" w:hAnsi="Times New Roman" w:cs="Times New Roman"/>
          <w:sz w:val="20"/>
          <w:szCs w:val="20"/>
        </w:rPr>
        <w:t xml:space="preserve">Citizens of both the United States and the State in which they currently reside are all those who were born or naturalised in the United States and fall under its authority. </w:t>
      </w:r>
      <w:r w:rsidR="006615FA" w:rsidRPr="006615FA">
        <w:rPr>
          <w:rFonts w:ascii="Times New Roman" w:hAnsi="Times New Roman" w:cs="Times New Roman"/>
          <w:sz w:val="20"/>
          <w:szCs w:val="20"/>
        </w:rPr>
        <w:t>No State shall make or enforce any law limiting the rights or privileges of citizens of the United States; no State shall infringe upon the life, liberty, or property of any person within its jurisdiction; no State shall deny to any person within its jurisdiction the equal protection of the laws.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758FF49F" w14:textId="0C873B42" w:rsidR="00704E9E" w:rsidRPr="00704E9E" w:rsidRDefault="00225C2F" w:rsidP="00550E37">
      <w:pPr>
        <w:spacing w:after="0" w:line="240" w:lineRule="auto"/>
        <w:ind w:firstLine="360"/>
        <w:jc w:val="center"/>
        <w:rPr>
          <w:rFonts w:ascii="Times New Roman" w:hAnsi="Times New Roman" w:cs="Times New Roman"/>
          <w:b/>
          <w:bCs/>
          <w:sz w:val="20"/>
          <w:szCs w:val="20"/>
        </w:rPr>
      </w:pPr>
      <w:r w:rsidRPr="00704E9E">
        <w:rPr>
          <w:rFonts w:ascii="Times New Roman" w:hAnsi="Times New Roman" w:cs="Times New Roman"/>
          <w:b/>
          <w:bCs/>
          <w:sz w:val="20"/>
          <w:szCs w:val="20"/>
        </w:rPr>
        <w:t>XVI. REFERENCE</w:t>
      </w:r>
    </w:p>
    <w:p w14:paraId="6210EDDD"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Jones, D. S., Grady, C., &amp; Lederer, S. E. (2019). Ethics and clinical research. </w:t>
      </w:r>
      <w:r w:rsidRPr="00704E9E">
        <w:rPr>
          <w:rFonts w:ascii="Times New Roman" w:hAnsi="Times New Roman" w:cs="Times New Roman"/>
          <w:i/>
          <w:iCs/>
          <w:color w:val="222222"/>
          <w:sz w:val="16"/>
          <w:szCs w:val="16"/>
          <w:shd w:val="clear" w:color="auto" w:fill="FFFFFF"/>
        </w:rPr>
        <w:t>The Social Medicine Reader, Volume I: Ethics and Cultures of Biomedicine</w:t>
      </w:r>
      <w:r w:rsidRPr="00704E9E">
        <w:rPr>
          <w:rFonts w:ascii="Times New Roman" w:hAnsi="Times New Roman" w:cs="Times New Roman"/>
          <w:color w:val="222222"/>
          <w:sz w:val="16"/>
          <w:szCs w:val="16"/>
          <w:shd w:val="clear" w:color="auto" w:fill="FFFFFF"/>
        </w:rPr>
        <w:t>.</w:t>
      </w:r>
    </w:p>
    <w:p w14:paraId="3E8226B4"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2213A50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Gillon, R. (1994). Medical ethics: four principles plus attention to scope.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309</w:t>
      </w:r>
      <w:r w:rsidRPr="00704E9E">
        <w:rPr>
          <w:rFonts w:ascii="Times New Roman" w:hAnsi="Times New Roman" w:cs="Times New Roman"/>
          <w:color w:val="222222"/>
          <w:sz w:val="16"/>
          <w:szCs w:val="16"/>
          <w:shd w:val="clear" w:color="auto" w:fill="FFFFFF"/>
        </w:rPr>
        <w:t>(6948), 184</w:t>
      </w:r>
    </w:p>
    <w:p w14:paraId="66AFBF8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Barbara, G., </w:t>
      </w:r>
      <w:proofErr w:type="spellStart"/>
      <w:r w:rsidRPr="00704E9E">
        <w:rPr>
          <w:rFonts w:ascii="Times New Roman" w:hAnsi="Times New Roman" w:cs="Times New Roman"/>
          <w:color w:val="222222"/>
          <w:sz w:val="16"/>
          <w:szCs w:val="16"/>
          <w:shd w:val="clear" w:color="auto" w:fill="FFFFFF"/>
        </w:rPr>
        <w:t>Cremon</w:t>
      </w:r>
      <w:proofErr w:type="spellEnd"/>
      <w:r w:rsidRPr="00704E9E">
        <w:rPr>
          <w:rFonts w:ascii="Times New Roman" w:hAnsi="Times New Roman" w:cs="Times New Roman"/>
          <w:color w:val="222222"/>
          <w:sz w:val="16"/>
          <w:szCs w:val="16"/>
          <w:shd w:val="clear" w:color="auto" w:fill="FFFFFF"/>
        </w:rPr>
        <w:t xml:space="preserve">, C., </w:t>
      </w:r>
      <w:proofErr w:type="spellStart"/>
      <w:r w:rsidRPr="00704E9E">
        <w:rPr>
          <w:rFonts w:ascii="Times New Roman" w:hAnsi="Times New Roman" w:cs="Times New Roman"/>
          <w:color w:val="222222"/>
          <w:sz w:val="16"/>
          <w:szCs w:val="16"/>
          <w:shd w:val="clear" w:color="auto" w:fill="FFFFFF"/>
        </w:rPr>
        <w:t>Annese</w:t>
      </w:r>
      <w:proofErr w:type="spellEnd"/>
      <w:r w:rsidRPr="00704E9E">
        <w:rPr>
          <w:rFonts w:ascii="Times New Roman" w:hAnsi="Times New Roman" w:cs="Times New Roman"/>
          <w:color w:val="222222"/>
          <w:sz w:val="16"/>
          <w:szCs w:val="16"/>
          <w:shd w:val="clear" w:color="auto" w:fill="FFFFFF"/>
        </w:rPr>
        <w:t xml:space="preserve">, V., </w:t>
      </w:r>
      <w:proofErr w:type="spellStart"/>
      <w:r w:rsidRPr="00704E9E">
        <w:rPr>
          <w:rFonts w:ascii="Times New Roman" w:hAnsi="Times New Roman" w:cs="Times New Roman"/>
          <w:color w:val="222222"/>
          <w:sz w:val="16"/>
          <w:szCs w:val="16"/>
          <w:shd w:val="clear" w:color="auto" w:fill="FFFFFF"/>
        </w:rPr>
        <w:t>Basilisco</w:t>
      </w:r>
      <w:proofErr w:type="spellEnd"/>
      <w:r w:rsidRPr="00704E9E">
        <w:rPr>
          <w:rFonts w:ascii="Times New Roman" w:hAnsi="Times New Roman" w:cs="Times New Roman"/>
          <w:color w:val="222222"/>
          <w:sz w:val="16"/>
          <w:szCs w:val="16"/>
          <w:shd w:val="clear" w:color="auto" w:fill="FFFFFF"/>
        </w:rPr>
        <w:t xml:space="preserve">, G., </w:t>
      </w:r>
      <w:proofErr w:type="spellStart"/>
      <w:r w:rsidRPr="00704E9E">
        <w:rPr>
          <w:rFonts w:ascii="Times New Roman" w:hAnsi="Times New Roman" w:cs="Times New Roman"/>
          <w:color w:val="222222"/>
          <w:sz w:val="16"/>
          <w:szCs w:val="16"/>
          <w:shd w:val="clear" w:color="auto" w:fill="FFFFFF"/>
        </w:rPr>
        <w:t>Bazzoli</w:t>
      </w:r>
      <w:proofErr w:type="spellEnd"/>
      <w:r w:rsidRPr="00704E9E">
        <w:rPr>
          <w:rFonts w:ascii="Times New Roman" w:hAnsi="Times New Roman" w:cs="Times New Roman"/>
          <w:color w:val="222222"/>
          <w:sz w:val="16"/>
          <w:szCs w:val="16"/>
          <w:shd w:val="clear" w:color="auto" w:fill="FFFFFF"/>
        </w:rPr>
        <w:t xml:space="preserve">, F., Bellini, M., ... &amp; </w:t>
      </w:r>
      <w:proofErr w:type="spellStart"/>
      <w:r w:rsidRPr="00704E9E">
        <w:rPr>
          <w:rFonts w:ascii="Times New Roman" w:hAnsi="Times New Roman" w:cs="Times New Roman"/>
          <w:color w:val="222222"/>
          <w:sz w:val="16"/>
          <w:szCs w:val="16"/>
          <w:shd w:val="clear" w:color="auto" w:fill="FFFFFF"/>
        </w:rPr>
        <w:t>Stanghellini</w:t>
      </w:r>
      <w:proofErr w:type="spellEnd"/>
      <w:r w:rsidRPr="00704E9E">
        <w:rPr>
          <w:rFonts w:ascii="Times New Roman" w:hAnsi="Times New Roman" w:cs="Times New Roman"/>
          <w:color w:val="222222"/>
          <w:sz w:val="16"/>
          <w:szCs w:val="16"/>
          <w:shd w:val="clear" w:color="auto" w:fill="FFFFFF"/>
        </w:rPr>
        <w:t xml:space="preserve">, V. (2016). Randomised controlled trial of </w:t>
      </w:r>
      <w:proofErr w:type="spellStart"/>
      <w:r w:rsidRPr="00704E9E">
        <w:rPr>
          <w:rFonts w:ascii="Times New Roman" w:hAnsi="Times New Roman" w:cs="Times New Roman"/>
          <w:color w:val="222222"/>
          <w:sz w:val="16"/>
          <w:szCs w:val="16"/>
          <w:shd w:val="clear" w:color="auto" w:fill="FFFFFF"/>
        </w:rPr>
        <w:t>mesalazine</w:t>
      </w:r>
      <w:proofErr w:type="spellEnd"/>
      <w:r w:rsidRPr="00704E9E">
        <w:rPr>
          <w:rFonts w:ascii="Times New Roman" w:hAnsi="Times New Roman" w:cs="Times New Roman"/>
          <w:color w:val="222222"/>
          <w:sz w:val="16"/>
          <w:szCs w:val="16"/>
          <w:shd w:val="clear" w:color="auto" w:fill="FFFFFF"/>
        </w:rPr>
        <w:t xml:space="preserve"> in IBS. </w:t>
      </w:r>
      <w:r w:rsidRPr="00704E9E">
        <w:rPr>
          <w:rFonts w:ascii="Times New Roman" w:hAnsi="Times New Roman" w:cs="Times New Roman"/>
          <w:i/>
          <w:iCs/>
          <w:color w:val="222222"/>
          <w:sz w:val="16"/>
          <w:szCs w:val="16"/>
          <w:shd w:val="clear" w:color="auto" w:fill="FFFFFF"/>
        </w:rPr>
        <w:t>Gut</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65</w:t>
      </w:r>
      <w:r w:rsidRPr="00704E9E">
        <w:rPr>
          <w:rFonts w:ascii="Times New Roman" w:hAnsi="Times New Roman" w:cs="Times New Roman"/>
          <w:color w:val="222222"/>
          <w:sz w:val="16"/>
          <w:szCs w:val="16"/>
          <w:shd w:val="clear" w:color="auto" w:fill="FFFFFF"/>
        </w:rPr>
        <w:t>(1), 82-90.</w:t>
      </w:r>
    </w:p>
    <w:p w14:paraId="7F52CB9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Halpern, S. D., Doyle, R., &amp; </w:t>
      </w:r>
      <w:proofErr w:type="spellStart"/>
      <w:r w:rsidRPr="00704E9E">
        <w:rPr>
          <w:rFonts w:ascii="Times New Roman" w:hAnsi="Times New Roman" w:cs="Times New Roman"/>
          <w:color w:val="222222"/>
          <w:sz w:val="16"/>
          <w:szCs w:val="16"/>
          <w:shd w:val="clear" w:color="auto" w:fill="FFFFFF"/>
        </w:rPr>
        <w:t>Kawut</w:t>
      </w:r>
      <w:proofErr w:type="spellEnd"/>
      <w:r w:rsidRPr="00704E9E">
        <w:rPr>
          <w:rFonts w:ascii="Times New Roman" w:hAnsi="Times New Roman" w:cs="Times New Roman"/>
          <w:color w:val="222222"/>
          <w:sz w:val="16"/>
          <w:szCs w:val="16"/>
          <w:shd w:val="clear" w:color="auto" w:fill="FFFFFF"/>
        </w:rPr>
        <w:t>, S. M. (2008). The ethics of randomized clinical trials in pulmonary arterial hypertension. </w:t>
      </w:r>
      <w:r w:rsidRPr="00704E9E">
        <w:rPr>
          <w:rFonts w:ascii="Times New Roman" w:hAnsi="Times New Roman" w:cs="Times New Roman"/>
          <w:i/>
          <w:iCs/>
          <w:color w:val="222222"/>
          <w:sz w:val="16"/>
          <w:szCs w:val="16"/>
          <w:shd w:val="clear" w:color="auto" w:fill="FFFFFF"/>
        </w:rPr>
        <w:t>Proceedings of the American Thoracic Society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(5), 631-635.</w:t>
      </w:r>
    </w:p>
    <w:p w14:paraId="265A7418"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Nijhawan</w:t>
      </w:r>
      <w:proofErr w:type="spellEnd"/>
      <w:r w:rsidRPr="00704E9E">
        <w:rPr>
          <w:rFonts w:ascii="Times New Roman" w:hAnsi="Times New Roman" w:cs="Times New Roman"/>
          <w:color w:val="222222"/>
          <w:sz w:val="16"/>
          <w:szCs w:val="16"/>
          <w:shd w:val="clear" w:color="auto" w:fill="FFFFFF"/>
        </w:rPr>
        <w:t xml:space="preserve">, L. P., </w:t>
      </w:r>
      <w:proofErr w:type="spellStart"/>
      <w:r w:rsidRPr="00704E9E">
        <w:rPr>
          <w:rFonts w:ascii="Times New Roman" w:hAnsi="Times New Roman" w:cs="Times New Roman"/>
          <w:color w:val="222222"/>
          <w:sz w:val="16"/>
          <w:szCs w:val="16"/>
          <w:shd w:val="clear" w:color="auto" w:fill="FFFFFF"/>
        </w:rPr>
        <w:t>Janodia</w:t>
      </w:r>
      <w:proofErr w:type="spellEnd"/>
      <w:r w:rsidRPr="00704E9E">
        <w:rPr>
          <w:rFonts w:ascii="Times New Roman" w:hAnsi="Times New Roman" w:cs="Times New Roman"/>
          <w:color w:val="222222"/>
          <w:sz w:val="16"/>
          <w:szCs w:val="16"/>
          <w:shd w:val="clear" w:color="auto" w:fill="FFFFFF"/>
        </w:rPr>
        <w:t xml:space="preserve">, M. D., </w:t>
      </w:r>
      <w:proofErr w:type="spellStart"/>
      <w:r w:rsidRPr="00704E9E">
        <w:rPr>
          <w:rFonts w:ascii="Times New Roman" w:hAnsi="Times New Roman" w:cs="Times New Roman"/>
          <w:color w:val="222222"/>
          <w:sz w:val="16"/>
          <w:szCs w:val="16"/>
          <w:shd w:val="clear" w:color="auto" w:fill="FFFFFF"/>
        </w:rPr>
        <w:t>Muddukrishna</w:t>
      </w:r>
      <w:proofErr w:type="spellEnd"/>
      <w:r w:rsidRPr="00704E9E">
        <w:rPr>
          <w:rFonts w:ascii="Times New Roman" w:hAnsi="Times New Roman" w:cs="Times New Roman"/>
          <w:color w:val="222222"/>
          <w:sz w:val="16"/>
          <w:szCs w:val="16"/>
          <w:shd w:val="clear" w:color="auto" w:fill="FFFFFF"/>
        </w:rPr>
        <w:t xml:space="preserve">, B. S., Bhat, K. M., </w:t>
      </w:r>
      <w:proofErr w:type="spellStart"/>
      <w:r w:rsidRPr="00704E9E">
        <w:rPr>
          <w:rFonts w:ascii="Times New Roman" w:hAnsi="Times New Roman" w:cs="Times New Roman"/>
          <w:color w:val="222222"/>
          <w:sz w:val="16"/>
          <w:szCs w:val="16"/>
          <w:shd w:val="clear" w:color="auto" w:fill="FFFFFF"/>
        </w:rPr>
        <w:t>Bairy</w:t>
      </w:r>
      <w:proofErr w:type="spellEnd"/>
      <w:r w:rsidRPr="00704E9E">
        <w:rPr>
          <w:rFonts w:ascii="Times New Roman" w:hAnsi="Times New Roman" w:cs="Times New Roman"/>
          <w:color w:val="222222"/>
          <w:sz w:val="16"/>
          <w:szCs w:val="16"/>
          <w:shd w:val="clear" w:color="auto" w:fill="FFFFFF"/>
        </w:rPr>
        <w:t xml:space="preserve">, K. L., Udupa, N., &amp; </w:t>
      </w:r>
      <w:proofErr w:type="spellStart"/>
      <w:r w:rsidRPr="00704E9E">
        <w:rPr>
          <w:rFonts w:ascii="Times New Roman" w:hAnsi="Times New Roman" w:cs="Times New Roman"/>
          <w:color w:val="222222"/>
          <w:sz w:val="16"/>
          <w:szCs w:val="16"/>
          <w:shd w:val="clear" w:color="auto" w:fill="FFFFFF"/>
        </w:rPr>
        <w:t>Musmade</w:t>
      </w:r>
      <w:proofErr w:type="spellEnd"/>
      <w:r w:rsidRPr="00704E9E">
        <w:rPr>
          <w:rFonts w:ascii="Times New Roman" w:hAnsi="Times New Roman" w:cs="Times New Roman"/>
          <w:color w:val="222222"/>
          <w:sz w:val="16"/>
          <w:szCs w:val="16"/>
          <w:shd w:val="clear" w:color="auto" w:fill="FFFFFF"/>
        </w:rPr>
        <w:t>, P. B. (2013). Informed consent: Issues and challenges. </w:t>
      </w:r>
      <w:r w:rsidRPr="00704E9E">
        <w:rPr>
          <w:rFonts w:ascii="Times New Roman" w:hAnsi="Times New Roman" w:cs="Times New Roman"/>
          <w:i/>
          <w:iCs/>
          <w:color w:val="222222"/>
          <w:sz w:val="16"/>
          <w:szCs w:val="16"/>
          <w:shd w:val="clear" w:color="auto" w:fill="FFFFFF"/>
        </w:rPr>
        <w:t>Journal of advanced pharmaceutical technology &amp;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(3), 134.</w:t>
      </w:r>
    </w:p>
    <w:p w14:paraId="772494C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Miller, F. G., Wendler, D., &amp; </w:t>
      </w:r>
      <w:proofErr w:type="spellStart"/>
      <w:r w:rsidRPr="00704E9E">
        <w:rPr>
          <w:rFonts w:ascii="Times New Roman" w:hAnsi="Times New Roman" w:cs="Times New Roman"/>
          <w:color w:val="222222"/>
          <w:sz w:val="16"/>
          <w:szCs w:val="16"/>
          <w:shd w:val="clear" w:color="auto" w:fill="FFFFFF"/>
        </w:rPr>
        <w:t>Swartzman</w:t>
      </w:r>
      <w:proofErr w:type="spellEnd"/>
      <w:r w:rsidRPr="00704E9E">
        <w:rPr>
          <w:rFonts w:ascii="Times New Roman" w:hAnsi="Times New Roman" w:cs="Times New Roman"/>
          <w:color w:val="222222"/>
          <w:sz w:val="16"/>
          <w:szCs w:val="16"/>
          <w:shd w:val="clear" w:color="auto" w:fill="FFFFFF"/>
        </w:rPr>
        <w:t>, L. C. (2005). Deception in research on the placebo effect. </w:t>
      </w:r>
      <w:proofErr w:type="spellStart"/>
      <w:r w:rsidRPr="00704E9E">
        <w:rPr>
          <w:rFonts w:ascii="Times New Roman" w:hAnsi="Times New Roman" w:cs="Times New Roman"/>
          <w:i/>
          <w:iCs/>
          <w:color w:val="222222"/>
          <w:sz w:val="16"/>
          <w:szCs w:val="16"/>
          <w:shd w:val="clear" w:color="auto" w:fill="FFFFFF"/>
        </w:rPr>
        <w:t>PLoS</w:t>
      </w:r>
      <w:proofErr w:type="spellEnd"/>
      <w:r w:rsidRPr="00704E9E">
        <w:rPr>
          <w:rFonts w:ascii="Times New Roman" w:hAnsi="Times New Roman" w:cs="Times New Roman"/>
          <w:i/>
          <w:iCs/>
          <w:color w:val="222222"/>
          <w:sz w:val="16"/>
          <w:szCs w:val="16"/>
          <w:shd w:val="clear" w:color="auto" w:fill="FFFFFF"/>
        </w:rPr>
        <w:t xml:space="preserve">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w:t>
      </w:r>
      <w:r w:rsidRPr="00704E9E">
        <w:rPr>
          <w:rFonts w:ascii="Times New Roman" w:hAnsi="Times New Roman" w:cs="Times New Roman"/>
          <w:color w:val="222222"/>
          <w:sz w:val="16"/>
          <w:szCs w:val="16"/>
          <w:shd w:val="clear" w:color="auto" w:fill="FFFFFF"/>
        </w:rPr>
        <w:t>(9), e262.</w:t>
      </w:r>
    </w:p>
    <w:p w14:paraId="516BC0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Joffe, S., &amp; </w:t>
      </w:r>
      <w:proofErr w:type="spellStart"/>
      <w:r w:rsidRPr="00704E9E">
        <w:rPr>
          <w:rFonts w:ascii="Times New Roman" w:hAnsi="Times New Roman" w:cs="Times New Roman"/>
          <w:color w:val="222222"/>
          <w:sz w:val="16"/>
          <w:szCs w:val="16"/>
          <w:shd w:val="clear" w:color="auto" w:fill="FFFFFF"/>
        </w:rPr>
        <w:t>Truog</w:t>
      </w:r>
      <w:proofErr w:type="spellEnd"/>
      <w:r w:rsidRPr="00704E9E">
        <w:rPr>
          <w:rFonts w:ascii="Times New Roman" w:hAnsi="Times New Roman" w:cs="Times New Roman"/>
          <w:color w:val="222222"/>
          <w:sz w:val="16"/>
          <w:szCs w:val="16"/>
          <w:shd w:val="clear" w:color="auto" w:fill="FFFFFF"/>
        </w:rPr>
        <w:t>, R. (2008). Equipoise and randomization. </w:t>
      </w:r>
      <w:r w:rsidRPr="00704E9E">
        <w:rPr>
          <w:rFonts w:ascii="Times New Roman" w:hAnsi="Times New Roman" w:cs="Times New Roman"/>
          <w:i/>
          <w:iCs/>
          <w:color w:val="222222"/>
          <w:sz w:val="16"/>
          <w:szCs w:val="16"/>
          <w:shd w:val="clear" w:color="auto" w:fill="FFFFFF"/>
        </w:rPr>
        <w:t>The Oxford textbook of clinical research ethics</w:t>
      </w:r>
      <w:r w:rsidRPr="00704E9E">
        <w:rPr>
          <w:rFonts w:ascii="Times New Roman" w:hAnsi="Times New Roman" w:cs="Times New Roman"/>
          <w:color w:val="222222"/>
          <w:sz w:val="16"/>
          <w:szCs w:val="16"/>
          <w:shd w:val="clear" w:color="auto" w:fill="FFFFFF"/>
        </w:rPr>
        <w:t>, 245-260.</w:t>
      </w:r>
    </w:p>
    <w:p w14:paraId="2DCD68ED"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3C3F1F45"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Putora</w:t>
      </w:r>
      <w:proofErr w:type="spellEnd"/>
      <w:r w:rsidRPr="00704E9E">
        <w:rPr>
          <w:rFonts w:ascii="Times New Roman" w:hAnsi="Times New Roman" w:cs="Times New Roman"/>
          <w:color w:val="222222"/>
          <w:sz w:val="16"/>
          <w:szCs w:val="16"/>
          <w:shd w:val="clear" w:color="auto" w:fill="FFFFFF"/>
        </w:rPr>
        <w:t xml:space="preserve">, P. M., </w:t>
      </w:r>
      <w:proofErr w:type="spellStart"/>
      <w:r w:rsidRPr="00704E9E">
        <w:rPr>
          <w:rFonts w:ascii="Times New Roman" w:hAnsi="Times New Roman" w:cs="Times New Roman"/>
          <w:color w:val="222222"/>
          <w:sz w:val="16"/>
          <w:szCs w:val="16"/>
          <w:shd w:val="clear" w:color="auto" w:fill="FFFFFF"/>
        </w:rPr>
        <w:t>Baudis</w:t>
      </w:r>
      <w:proofErr w:type="spellEnd"/>
      <w:r w:rsidRPr="00704E9E">
        <w:rPr>
          <w:rFonts w:ascii="Times New Roman" w:hAnsi="Times New Roman" w:cs="Times New Roman"/>
          <w:color w:val="222222"/>
          <w:sz w:val="16"/>
          <w:szCs w:val="16"/>
          <w:shd w:val="clear" w:color="auto" w:fill="FFFFFF"/>
        </w:rPr>
        <w:t xml:space="preserve">, M., Beadle, B. M., El </w:t>
      </w:r>
      <w:proofErr w:type="spellStart"/>
      <w:r w:rsidRPr="00704E9E">
        <w:rPr>
          <w:rFonts w:ascii="Times New Roman" w:hAnsi="Times New Roman" w:cs="Times New Roman"/>
          <w:color w:val="222222"/>
          <w:sz w:val="16"/>
          <w:szCs w:val="16"/>
          <w:shd w:val="clear" w:color="auto" w:fill="FFFFFF"/>
        </w:rPr>
        <w:t>Naqa</w:t>
      </w:r>
      <w:proofErr w:type="spellEnd"/>
      <w:r w:rsidRPr="00704E9E">
        <w:rPr>
          <w:rFonts w:ascii="Times New Roman" w:hAnsi="Times New Roman" w:cs="Times New Roman"/>
          <w:color w:val="222222"/>
          <w:sz w:val="16"/>
          <w:szCs w:val="16"/>
          <w:shd w:val="clear" w:color="auto" w:fill="FFFFFF"/>
        </w:rPr>
        <w:t>, I., Giordano, F. A., &amp; Nicolay, N. H. (2020). Oncology informatics: status quo and outlook. </w:t>
      </w:r>
      <w:r w:rsidRPr="00704E9E">
        <w:rPr>
          <w:rFonts w:ascii="Times New Roman" w:hAnsi="Times New Roman" w:cs="Times New Roman"/>
          <w:i/>
          <w:iCs/>
          <w:color w:val="222222"/>
          <w:sz w:val="16"/>
          <w:szCs w:val="16"/>
          <w:shd w:val="clear" w:color="auto" w:fill="FFFFFF"/>
        </w:rPr>
        <w:t>Oncology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98</w:t>
      </w:r>
      <w:r w:rsidRPr="00704E9E">
        <w:rPr>
          <w:rFonts w:ascii="Times New Roman" w:hAnsi="Times New Roman" w:cs="Times New Roman"/>
          <w:color w:val="222222"/>
          <w:sz w:val="16"/>
          <w:szCs w:val="16"/>
          <w:shd w:val="clear" w:color="auto" w:fill="FFFFFF"/>
        </w:rPr>
        <w:t>(6), 329-331.</w:t>
      </w:r>
    </w:p>
    <w:p w14:paraId="5C9F655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Enoch, M. A., Johnson, K., George, D. T., Schumann, G., Moss, H. B., </w:t>
      </w:r>
      <w:proofErr w:type="spellStart"/>
      <w:r w:rsidRPr="00704E9E">
        <w:rPr>
          <w:rFonts w:ascii="Times New Roman" w:hAnsi="Times New Roman" w:cs="Times New Roman"/>
          <w:color w:val="222222"/>
          <w:sz w:val="16"/>
          <w:szCs w:val="16"/>
          <w:shd w:val="clear" w:color="auto" w:fill="FFFFFF"/>
        </w:rPr>
        <w:t>Kranzler</w:t>
      </w:r>
      <w:proofErr w:type="spellEnd"/>
      <w:r w:rsidRPr="00704E9E">
        <w:rPr>
          <w:rFonts w:ascii="Times New Roman" w:hAnsi="Times New Roman" w:cs="Times New Roman"/>
          <w:color w:val="222222"/>
          <w:sz w:val="16"/>
          <w:szCs w:val="16"/>
          <w:shd w:val="clear" w:color="auto" w:fill="FFFFFF"/>
        </w:rPr>
        <w:t>, H. R., &amp; Goldman, D. (2009). Ethical considerations for administering alcohol or alcohol cues to treatment‐seeking alcoholics in a research setting: can the benefits to society outweigh the risks to the individual? A commentary in the context of the National Advisory Council on Alcohol Abuse and Alcoholism—recommended council guidelines on ethyl alcohol administration in human experimentation (2005). </w:t>
      </w:r>
      <w:r w:rsidRPr="00704E9E">
        <w:rPr>
          <w:rFonts w:ascii="Times New Roman" w:hAnsi="Times New Roman" w:cs="Times New Roman"/>
          <w:i/>
          <w:iCs/>
          <w:color w:val="222222"/>
          <w:sz w:val="16"/>
          <w:szCs w:val="16"/>
          <w:shd w:val="clear" w:color="auto" w:fill="FFFFFF"/>
        </w:rPr>
        <w:t>Alcoholism: Clinical and Experimental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w:t>
      </w:r>
      <w:r w:rsidRPr="00704E9E">
        <w:rPr>
          <w:rFonts w:ascii="Times New Roman" w:hAnsi="Times New Roman" w:cs="Times New Roman"/>
          <w:color w:val="222222"/>
          <w:sz w:val="16"/>
          <w:szCs w:val="16"/>
          <w:shd w:val="clear" w:color="auto" w:fill="FFFFFF"/>
        </w:rPr>
        <w:t>(9), 1508-1512.</w:t>
      </w:r>
    </w:p>
    <w:p w14:paraId="6A00B60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Lowenthal, W. (1988). Ethical dilemmas in pharmacy. </w:t>
      </w:r>
      <w:r w:rsidRPr="00704E9E">
        <w:rPr>
          <w:rFonts w:ascii="Times New Roman" w:hAnsi="Times New Roman" w:cs="Times New Roman"/>
          <w:i/>
          <w:iCs/>
          <w:color w:val="222222"/>
          <w:sz w:val="16"/>
          <w:szCs w:val="16"/>
          <w:shd w:val="clear" w:color="auto" w:fill="FFFFFF"/>
        </w:rPr>
        <w:t>Journal of medical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14</w:t>
      </w:r>
      <w:r w:rsidRPr="00704E9E">
        <w:rPr>
          <w:rFonts w:ascii="Times New Roman" w:hAnsi="Times New Roman" w:cs="Times New Roman"/>
          <w:color w:val="222222"/>
          <w:sz w:val="16"/>
          <w:szCs w:val="16"/>
          <w:shd w:val="clear" w:color="auto" w:fill="FFFFFF"/>
        </w:rPr>
        <w:t>(1), 31-34.</w:t>
      </w:r>
    </w:p>
    <w:p w14:paraId="3854973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Latif, D. A. (2001). The relationship between ethical reasoning and the perception of difficulty with ethical dilemmas in pharmacy students: implications for teaching professional ethics. </w:t>
      </w:r>
      <w:r w:rsidRPr="00704E9E">
        <w:rPr>
          <w:rFonts w:ascii="Times New Roman" w:hAnsi="Times New Roman" w:cs="Times New Roman"/>
          <w:i/>
          <w:iCs/>
          <w:color w:val="222222"/>
          <w:sz w:val="16"/>
          <w:szCs w:val="16"/>
          <w:shd w:val="clear" w:color="auto" w:fill="FFFFFF"/>
        </w:rPr>
        <w:t>Teaching Business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(1), 107-117.</w:t>
      </w:r>
    </w:p>
    <w:p w14:paraId="203AF7CC"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Wingfield, J., Bissell, P., &amp; Anderson, C. (2004). The scope of pharmacy ethics—an evaluation of the international research literature, 1990–2002. </w:t>
      </w:r>
      <w:r w:rsidRPr="00704E9E">
        <w:rPr>
          <w:rFonts w:ascii="Times New Roman" w:hAnsi="Times New Roman" w:cs="Times New Roman"/>
          <w:i/>
          <w:iCs/>
          <w:color w:val="222222"/>
          <w:sz w:val="16"/>
          <w:szCs w:val="16"/>
          <w:shd w:val="clear" w:color="auto" w:fill="FFFFFF"/>
        </w:rPr>
        <w:t>Social science &amp;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58</w:t>
      </w:r>
      <w:r w:rsidRPr="00704E9E">
        <w:rPr>
          <w:rFonts w:ascii="Times New Roman" w:hAnsi="Times New Roman" w:cs="Times New Roman"/>
          <w:color w:val="222222"/>
          <w:sz w:val="16"/>
          <w:szCs w:val="16"/>
          <w:shd w:val="clear" w:color="auto" w:fill="FFFFFF"/>
        </w:rPr>
        <w:t>(12), 2383-2396.</w:t>
      </w:r>
    </w:p>
    <w:p w14:paraId="11411186"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Deans, Z. (2010). </w:t>
      </w:r>
      <w:r w:rsidRPr="00704E9E">
        <w:rPr>
          <w:rFonts w:ascii="Times New Roman" w:hAnsi="Times New Roman" w:cs="Times New Roman"/>
          <w:i/>
          <w:iCs/>
          <w:color w:val="222222"/>
          <w:sz w:val="16"/>
          <w:szCs w:val="16"/>
          <w:shd w:val="clear" w:color="auto" w:fill="FFFFFF"/>
        </w:rPr>
        <w:t>Ethics in pharmacy practice</w:t>
      </w:r>
      <w:r w:rsidRPr="00704E9E">
        <w:rPr>
          <w:rFonts w:ascii="Times New Roman" w:hAnsi="Times New Roman" w:cs="Times New Roman"/>
          <w:color w:val="222222"/>
          <w:sz w:val="16"/>
          <w:szCs w:val="16"/>
          <w:shd w:val="clear" w:color="auto" w:fill="FFFFFF"/>
        </w:rPr>
        <w:t>. London: Pharmacy Practice Research Trust.</w:t>
      </w:r>
    </w:p>
    <w:p w14:paraId="0849EE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Shaffer, H. J., Ladouceur, R., </w:t>
      </w:r>
      <w:proofErr w:type="spellStart"/>
      <w:r w:rsidRPr="00704E9E">
        <w:rPr>
          <w:rFonts w:ascii="Times New Roman" w:hAnsi="Times New Roman" w:cs="Times New Roman"/>
          <w:color w:val="222222"/>
          <w:sz w:val="16"/>
          <w:szCs w:val="16"/>
          <w:shd w:val="clear" w:color="auto" w:fill="FFFFFF"/>
        </w:rPr>
        <w:t>Blaszczynski</w:t>
      </w:r>
      <w:proofErr w:type="spellEnd"/>
      <w:r w:rsidRPr="00704E9E">
        <w:rPr>
          <w:rFonts w:ascii="Times New Roman" w:hAnsi="Times New Roman" w:cs="Times New Roman"/>
          <w:color w:val="222222"/>
          <w:sz w:val="16"/>
          <w:szCs w:val="16"/>
          <w:shd w:val="clear" w:color="auto" w:fill="FFFFFF"/>
        </w:rPr>
        <w:t>, A., &amp; Whyte, K. (2016). Extending the RENO model: Clinical and ethical applications. </w:t>
      </w:r>
      <w:r w:rsidRPr="00704E9E">
        <w:rPr>
          <w:rFonts w:ascii="Times New Roman" w:hAnsi="Times New Roman" w:cs="Times New Roman"/>
          <w:i/>
          <w:iCs/>
          <w:color w:val="222222"/>
          <w:sz w:val="16"/>
          <w:szCs w:val="16"/>
          <w:shd w:val="clear" w:color="auto" w:fill="FFFFFF"/>
        </w:rPr>
        <w:t>American Journal of Orthopsychiatry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86</w:t>
      </w:r>
      <w:r w:rsidRPr="00704E9E">
        <w:rPr>
          <w:rFonts w:ascii="Times New Roman" w:hAnsi="Times New Roman" w:cs="Times New Roman"/>
          <w:color w:val="222222"/>
          <w:sz w:val="16"/>
          <w:szCs w:val="16"/>
          <w:shd w:val="clear" w:color="auto" w:fill="FFFFFF"/>
        </w:rPr>
        <w:t>(3), 297.</w:t>
      </w:r>
    </w:p>
    <w:p w14:paraId="17603B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Larcher</w:t>
      </w:r>
      <w:proofErr w:type="spellEnd"/>
      <w:r w:rsidRPr="00704E9E">
        <w:rPr>
          <w:rFonts w:ascii="Times New Roman" w:hAnsi="Times New Roman" w:cs="Times New Roman"/>
          <w:color w:val="222222"/>
          <w:sz w:val="16"/>
          <w:szCs w:val="16"/>
          <w:shd w:val="clear" w:color="auto" w:fill="FFFFFF"/>
        </w:rPr>
        <w:t>, V. (2005). Consent, competence, and confidentiality.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330</w:t>
      </w:r>
      <w:r w:rsidRPr="00704E9E">
        <w:rPr>
          <w:rFonts w:ascii="Times New Roman" w:hAnsi="Times New Roman" w:cs="Times New Roman"/>
          <w:color w:val="222222"/>
          <w:sz w:val="16"/>
          <w:szCs w:val="16"/>
          <w:shd w:val="clear" w:color="auto" w:fill="FFFFFF"/>
        </w:rPr>
        <w:t>(7487), 353-356.</w:t>
      </w:r>
    </w:p>
    <w:p w14:paraId="61E83C5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Berlan</w:t>
      </w:r>
      <w:proofErr w:type="spellEnd"/>
      <w:r w:rsidRPr="00704E9E">
        <w:rPr>
          <w:rFonts w:ascii="Times New Roman" w:hAnsi="Times New Roman" w:cs="Times New Roman"/>
          <w:color w:val="222222"/>
          <w:sz w:val="16"/>
          <w:szCs w:val="16"/>
          <w:shd w:val="clear" w:color="auto" w:fill="FFFFFF"/>
        </w:rPr>
        <w:t xml:space="preserve">, E. D., &amp; </w:t>
      </w:r>
      <w:proofErr w:type="spellStart"/>
      <w:r w:rsidRPr="00704E9E">
        <w:rPr>
          <w:rFonts w:ascii="Times New Roman" w:hAnsi="Times New Roman" w:cs="Times New Roman"/>
          <w:color w:val="222222"/>
          <w:sz w:val="16"/>
          <w:szCs w:val="16"/>
          <w:shd w:val="clear" w:color="auto" w:fill="FFFFFF"/>
        </w:rPr>
        <w:t>Bravender</w:t>
      </w:r>
      <w:proofErr w:type="spellEnd"/>
      <w:r w:rsidRPr="00704E9E">
        <w:rPr>
          <w:rFonts w:ascii="Times New Roman" w:hAnsi="Times New Roman" w:cs="Times New Roman"/>
          <w:color w:val="222222"/>
          <w:sz w:val="16"/>
          <w:szCs w:val="16"/>
          <w:shd w:val="clear" w:color="auto" w:fill="FFFFFF"/>
        </w:rPr>
        <w:t>, T. (2009). Confidentiality, consent, and caring for the adolescent patient. </w:t>
      </w:r>
      <w:r w:rsidRPr="00704E9E">
        <w:rPr>
          <w:rFonts w:ascii="Times New Roman" w:hAnsi="Times New Roman" w:cs="Times New Roman"/>
          <w:i/>
          <w:iCs/>
          <w:color w:val="222222"/>
          <w:sz w:val="16"/>
          <w:szCs w:val="16"/>
          <w:shd w:val="clear" w:color="auto" w:fill="FFFFFF"/>
        </w:rPr>
        <w:t xml:space="preserve">Current opinion in </w:t>
      </w:r>
      <w:proofErr w:type="spellStart"/>
      <w:r w:rsidRPr="00704E9E">
        <w:rPr>
          <w:rFonts w:ascii="Times New Roman" w:hAnsi="Times New Roman" w:cs="Times New Roman"/>
          <w:i/>
          <w:iCs/>
          <w:color w:val="222222"/>
          <w:sz w:val="16"/>
          <w:szCs w:val="16"/>
          <w:shd w:val="clear" w:color="auto" w:fill="FFFFFF"/>
        </w:rPr>
        <w:t>pediatrics</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21</w:t>
      </w:r>
      <w:r w:rsidRPr="00704E9E">
        <w:rPr>
          <w:rFonts w:ascii="Times New Roman" w:hAnsi="Times New Roman" w:cs="Times New Roman"/>
          <w:color w:val="222222"/>
          <w:sz w:val="16"/>
          <w:szCs w:val="16"/>
          <w:shd w:val="clear" w:color="auto" w:fill="FFFFFF"/>
        </w:rPr>
        <w:t>(4), 450-456.</w:t>
      </w:r>
    </w:p>
    <w:p w14:paraId="2560448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Cain, J., &amp; Cain, J. L. (2010). Legal and ethical issues regarding social media and pharmacy education. </w:t>
      </w:r>
      <w:r w:rsidRPr="00704E9E">
        <w:rPr>
          <w:rFonts w:ascii="Times New Roman" w:hAnsi="Times New Roman" w:cs="Times New Roman"/>
          <w:i/>
          <w:iCs/>
          <w:color w:val="222222"/>
          <w:sz w:val="16"/>
          <w:szCs w:val="16"/>
          <w:shd w:val="clear" w:color="auto" w:fill="FFFFFF"/>
        </w:rPr>
        <w:t>American journal of pharmaceutical education</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74</w:t>
      </w:r>
      <w:r w:rsidRPr="00704E9E">
        <w:rPr>
          <w:rFonts w:ascii="Times New Roman" w:hAnsi="Times New Roman" w:cs="Times New Roman"/>
          <w:color w:val="222222"/>
          <w:sz w:val="16"/>
          <w:szCs w:val="16"/>
          <w:shd w:val="clear" w:color="auto" w:fill="FFFFFF"/>
        </w:rPr>
        <w:t>(10).</w:t>
      </w:r>
    </w:p>
    <w:p w14:paraId="7932B8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Yip, C., Han, N. L. R., &amp; </w:t>
      </w:r>
      <w:proofErr w:type="spellStart"/>
      <w:r w:rsidRPr="00704E9E">
        <w:rPr>
          <w:rFonts w:ascii="Times New Roman" w:hAnsi="Times New Roman" w:cs="Times New Roman"/>
          <w:color w:val="222222"/>
          <w:sz w:val="16"/>
          <w:szCs w:val="16"/>
          <w:shd w:val="clear" w:color="auto" w:fill="FFFFFF"/>
        </w:rPr>
        <w:t>Sng</w:t>
      </w:r>
      <w:proofErr w:type="spellEnd"/>
      <w:r w:rsidRPr="00704E9E">
        <w:rPr>
          <w:rFonts w:ascii="Times New Roman" w:hAnsi="Times New Roman" w:cs="Times New Roman"/>
          <w:color w:val="222222"/>
          <w:sz w:val="16"/>
          <w:szCs w:val="16"/>
          <w:shd w:val="clear" w:color="auto" w:fill="FFFFFF"/>
        </w:rPr>
        <w:t>, B. L. (2016). Legal and ethical issues in research. </w:t>
      </w:r>
      <w:r w:rsidRPr="00704E9E">
        <w:rPr>
          <w:rFonts w:ascii="Times New Roman" w:hAnsi="Times New Roman" w:cs="Times New Roman"/>
          <w:i/>
          <w:iCs/>
          <w:color w:val="222222"/>
          <w:sz w:val="16"/>
          <w:szCs w:val="16"/>
          <w:shd w:val="clear" w:color="auto" w:fill="FFFFFF"/>
        </w:rPr>
        <w:t>Indian journal of anaesthesia</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60</w:t>
      </w:r>
      <w:r w:rsidRPr="00704E9E">
        <w:rPr>
          <w:rFonts w:ascii="Times New Roman" w:hAnsi="Times New Roman" w:cs="Times New Roman"/>
          <w:color w:val="222222"/>
          <w:sz w:val="16"/>
          <w:szCs w:val="16"/>
          <w:shd w:val="clear" w:color="auto" w:fill="FFFFFF"/>
        </w:rPr>
        <w:t>(9), 684.</w:t>
      </w:r>
    </w:p>
    <w:p w14:paraId="29E599C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Manhal-Baugus</w:t>
      </w:r>
      <w:proofErr w:type="spellEnd"/>
      <w:r w:rsidRPr="00704E9E">
        <w:rPr>
          <w:rFonts w:ascii="Times New Roman" w:hAnsi="Times New Roman" w:cs="Times New Roman"/>
          <w:color w:val="222222"/>
          <w:sz w:val="16"/>
          <w:szCs w:val="16"/>
          <w:shd w:val="clear" w:color="auto" w:fill="FFFFFF"/>
        </w:rPr>
        <w:t>, M. (2001). E-therapy: Practical, ethical, and legal issues. </w:t>
      </w:r>
      <w:proofErr w:type="spellStart"/>
      <w:r w:rsidRPr="00704E9E">
        <w:rPr>
          <w:rFonts w:ascii="Times New Roman" w:hAnsi="Times New Roman" w:cs="Times New Roman"/>
          <w:i/>
          <w:iCs/>
          <w:color w:val="222222"/>
          <w:sz w:val="16"/>
          <w:szCs w:val="16"/>
          <w:shd w:val="clear" w:color="auto" w:fill="FFFFFF"/>
        </w:rPr>
        <w:t>CyberPsychology</w:t>
      </w:r>
      <w:proofErr w:type="spellEnd"/>
      <w:r w:rsidRPr="00704E9E">
        <w:rPr>
          <w:rFonts w:ascii="Times New Roman" w:hAnsi="Times New Roman" w:cs="Times New Roman"/>
          <w:i/>
          <w:iCs/>
          <w:color w:val="222222"/>
          <w:sz w:val="16"/>
          <w:szCs w:val="16"/>
          <w:shd w:val="clear" w:color="auto" w:fill="FFFFFF"/>
        </w:rPr>
        <w:t xml:space="preserve"> &amp; </w:t>
      </w:r>
      <w:proofErr w:type="spellStart"/>
      <w:r w:rsidRPr="00704E9E">
        <w:rPr>
          <w:rFonts w:ascii="Times New Roman" w:hAnsi="Times New Roman" w:cs="Times New Roman"/>
          <w:i/>
          <w:iCs/>
          <w:color w:val="222222"/>
          <w:sz w:val="16"/>
          <w:szCs w:val="16"/>
          <w:shd w:val="clear" w:color="auto" w:fill="FFFFFF"/>
        </w:rPr>
        <w:t>Behavior</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(5), 551-563.</w:t>
      </w:r>
    </w:p>
    <w:p w14:paraId="591E9680" w14:textId="77777777" w:rsidR="00E33F3D" w:rsidRPr="00704E9E" w:rsidRDefault="00E33F3D" w:rsidP="00550E37">
      <w:pPr>
        <w:spacing w:after="0" w:line="240" w:lineRule="auto"/>
        <w:jc w:val="both"/>
        <w:rPr>
          <w:rFonts w:ascii="Times New Roman" w:hAnsi="Times New Roman" w:cs="Times New Roman"/>
          <w:b/>
          <w:bCs/>
          <w:sz w:val="16"/>
          <w:szCs w:val="16"/>
        </w:rPr>
      </w:pPr>
    </w:p>
    <w:sectPr w:rsidR="00E33F3D" w:rsidRPr="00704E9E" w:rsidSect="003F0EB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FE0"/>
    <w:multiLevelType w:val="hybridMultilevel"/>
    <w:tmpl w:val="98B24F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0516E3C"/>
    <w:multiLevelType w:val="multilevel"/>
    <w:tmpl w:val="9CB41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1E13717"/>
    <w:multiLevelType w:val="hybridMultilevel"/>
    <w:tmpl w:val="4F90CB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DA819BF"/>
    <w:multiLevelType w:val="hybridMultilevel"/>
    <w:tmpl w:val="BF7A5C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784752A"/>
    <w:multiLevelType w:val="hybridMultilevel"/>
    <w:tmpl w:val="39C811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7A31361"/>
    <w:multiLevelType w:val="hybridMultilevel"/>
    <w:tmpl w:val="95D48DB0"/>
    <w:lvl w:ilvl="0" w:tplc="ED7653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639383E"/>
    <w:multiLevelType w:val="hybridMultilevel"/>
    <w:tmpl w:val="93E2B1E8"/>
    <w:lvl w:ilvl="0" w:tplc="5E2AD6B6">
      <w:start w:val="1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A"/>
    <w:rsid w:val="00011FB0"/>
    <w:rsid w:val="000176BA"/>
    <w:rsid w:val="00023C79"/>
    <w:rsid w:val="00035293"/>
    <w:rsid w:val="00100E58"/>
    <w:rsid w:val="00176C3C"/>
    <w:rsid w:val="001A4CD6"/>
    <w:rsid w:val="001A4F9A"/>
    <w:rsid w:val="001A5513"/>
    <w:rsid w:val="001B047C"/>
    <w:rsid w:val="001B7124"/>
    <w:rsid w:val="001C7D19"/>
    <w:rsid w:val="001F4907"/>
    <w:rsid w:val="002227E8"/>
    <w:rsid w:val="00225C2F"/>
    <w:rsid w:val="00251B66"/>
    <w:rsid w:val="00264F26"/>
    <w:rsid w:val="002772B5"/>
    <w:rsid w:val="00280071"/>
    <w:rsid w:val="00284290"/>
    <w:rsid w:val="002935ED"/>
    <w:rsid w:val="00301DBC"/>
    <w:rsid w:val="0030368B"/>
    <w:rsid w:val="00316D5A"/>
    <w:rsid w:val="00392EC1"/>
    <w:rsid w:val="0039393F"/>
    <w:rsid w:val="003F0EB6"/>
    <w:rsid w:val="00496881"/>
    <w:rsid w:val="004E3960"/>
    <w:rsid w:val="00540CD9"/>
    <w:rsid w:val="00542E8F"/>
    <w:rsid w:val="00550E37"/>
    <w:rsid w:val="0056726E"/>
    <w:rsid w:val="00571CF2"/>
    <w:rsid w:val="005925EE"/>
    <w:rsid w:val="00594FBA"/>
    <w:rsid w:val="005B6BA4"/>
    <w:rsid w:val="006125A4"/>
    <w:rsid w:val="00614DF3"/>
    <w:rsid w:val="00620F92"/>
    <w:rsid w:val="006304CB"/>
    <w:rsid w:val="006615FA"/>
    <w:rsid w:val="0068634C"/>
    <w:rsid w:val="006B40B0"/>
    <w:rsid w:val="006E4E9F"/>
    <w:rsid w:val="00704E9E"/>
    <w:rsid w:val="007432B9"/>
    <w:rsid w:val="00757378"/>
    <w:rsid w:val="007A2E30"/>
    <w:rsid w:val="008670DD"/>
    <w:rsid w:val="008A62DD"/>
    <w:rsid w:val="008A6359"/>
    <w:rsid w:val="00911A34"/>
    <w:rsid w:val="009C7AC0"/>
    <w:rsid w:val="009F66C4"/>
    <w:rsid w:val="00A176A1"/>
    <w:rsid w:val="00A367CF"/>
    <w:rsid w:val="00A73471"/>
    <w:rsid w:val="00A844E0"/>
    <w:rsid w:val="00A92AF9"/>
    <w:rsid w:val="00A943E7"/>
    <w:rsid w:val="00AB1FCA"/>
    <w:rsid w:val="00AD696C"/>
    <w:rsid w:val="00AD7137"/>
    <w:rsid w:val="00AE275E"/>
    <w:rsid w:val="00B10787"/>
    <w:rsid w:val="00B42189"/>
    <w:rsid w:val="00B57908"/>
    <w:rsid w:val="00BB1FE5"/>
    <w:rsid w:val="00BB435D"/>
    <w:rsid w:val="00BC2A3E"/>
    <w:rsid w:val="00C47703"/>
    <w:rsid w:val="00C60AAC"/>
    <w:rsid w:val="00C769D0"/>
    <w:rsid w:val="00C93F62"/>
    <w:rsid w:val="00C97D5F"/>
    <w:rsid w:val="00CF4642"/>
    <w:rsid w:val="00D377A4"/>
    <w:rsid w:val="00DA045A"/>
    <w:rsid w:val="00DB7A42"/>
    <w:rsid w:val="00E02A15"/>
    <w:rsid w:val="00E03E1E"/>
    <w:rsid w:val="00E108A3"/>
    <w:rsid w:val="00E20B42"/>
    <w:rsid w:val="00E33F3D"/>
    <w:rsid w:val="00E43A45"/>
    <w:rsid w:val="00E57B0E"/>
    <w:rsid w:val="00E62AED"/>
    <w:rsid w:val="00EF639C"/>
    <w:rsid w:val="00EF792B"/>
    <w:rsid w:val="00F02F3A"/>
    <w:rsid w:val="00F12042"/>
    <w:rsid w:val="00F16BA3"/>
    <w:rsid w:val="00F47AB9"/>
    <w:rsid w:val="00F71E31"/>
    <w:rsid w:val="00FB3E53"/>
    <w:rsid w:val="00FC7CAC"/>
    <w:rsid w:val="00FF59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DD41"/>
  <w15:chartTrackingRefBased/>
  <w15:docId w15:val="{F85957FE-717C-4FAE-8EA6-B36DFC6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C1"/>
    <w:pPr>
      <w:ind w:left="720"/>
      <w:contextualSpacing/>
    </w:pPr>
  </w:style>
  <w:style w:type="character" w:styleId="Hyperlink">
    <w:name w:val="Hyperlink"/>
    <w:basedOn w:val="DefaultParagraphFont"/>
    <w:uiPriority w:val="99"/>
    <w:unhideWhenUsed/>
    <w:rsid w:val="00496881"/>
    <w:rPr>
      <w:color w:val="0563C1" w:themeColor="hyperlink"/>
      <w:u w:val="single"/>
    </w:rPr>
  </w:style>
  <w:style w:type="character" w:customStyle="1" w:styleId="UnresolvedMention">
    <w:name w:val="Unresolved Mention"/>
    <w:basedOn w:val="DefaultParagraphFont"/>
    <w:uiPriority w:val="99"/>
    <w:semiHidden/>
    <w:unhideWhenUsed/>
    <w:rsid w:val="00496881"/>
    <w:rPr>
      <w:color w:val="605E5C"/>
      <w:shd w:val="clear" w:color="auto" w:fill="E1DFDD"/>
    </w:rPr>
  </w:style>
  <w:style w:type="character" w:styleId="SubtleEmphasis">
    <w:name w:val="Subtle Emphasis"/>
    <w:basedOn w:val="DefaultParagraphFont"/>
    <w:uiPriority w:val="19"/>
    <w:qFormat/>
    <w:rsid w:val="00FB3E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71E-D73E-4FE3-9B07-02667CDD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6161</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 dhakad</dc:creator>
  <cp:keywords/>
  <dc:description/>
  <cp:lastModifiedBy>Krati dhakad</cp:lastModifiedBy>
  <cp:revision>19</cp:revision>
  <dcterms:created xsi:type="dcterms:W3CDTF">2022-08-20T11:19:00Z</dcterms:created>
  <dcterms:modified xsi:type="dcterms:W3CDTF">2022-08-27T11:00:00Z</dcterms:modified>
</cp:coreProperties>
</file>