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88FAE" w14:textId="25ECA6F8" w:rsidR="000176BA" w:rsidRDefault="002772B5" w:rsidP="00550E37">
      <w:pPr>
        <w:spacing w:after="0" w:line="240" w:lineRule="auto"/>
        <w:jc w:val="center"/>
        <w:rPr>
          <w:rFonts w:ascii="Times New Roman" w:hAnsi="Times New Roman" w:cs="Times New Roman"/>
          <w:b/>
          <w:bCs/>
          <w:sz w:val="48"/>
          <w:szCs w:val="48"/>
        </w:rPr>
      </w:pPr>
      <w:r>
        <w:rPr>
          <w:rFonts w:ascii="Times New Roman" w:hAnsi="Times New Roman" w:cs="Times New Roman"/>
          <w:b/>
          <w:bCs/>
          <w:sz w:val="48"/>
          <w:szCs w:val="48"/>
        </w:rPr>
        <w:t>P</w:t>
      </w:r>
      <w:r w:rsidR="003F0EB6" w:rsidRPr="00BB435D">
        <w:rPr>
          <w:rFonts w:ascii="Times New Roman" w:hAnsi="Times New Roman" w:cs="Times New Roman"/>
          <w:b/>
          <w:bCs/>
          <w:sz w:val="48"/>
          <w:szCs w:val="48"/>
        </w:rPr>
        <w:t>rofessional</w:t>
      </w:r>
      <w:r w:rsidR="00E108A3" w:rsidRPr="00BB435D">
        <w:rPr>
          <w:rFonts w:ascii="Times New Roman" w:hAnsi="Times New Roman" w:cs="Times New Roman"/>
          <w:b/>
          <w:bCs/>
          <w:sz w:val="48"/>
          <w:szCs w:val="48"/>
        </w:rPr>
        <w:t xml:space="preserve"> </w:t>
      </w:r>
      <w:r w:rsidR="00AD696C" w:rsidRPr="00BB435D">
        <w:rPr>
          <w:rFonts w:ascii="Times New Roman" w:hAnsi="Times New Roman" w:cs="Times New Roman"/>
          <w:b/>
          <w:bCs/>
          <w:sz w:val="48"/>
          <w:szCs w:val="48"/>
        </w:rPr>
        <w:t>Ethics</w:t>
      </w:r>
      <w:r w:rsidR="00E108A3" w:rsidRPr="00BB435D">
        <w:rPr>
          <w:rFonts w:ascii="Times New Roman" w:hAnsi="Times New Roman" w:cs="Times New Roman"/>
          <w:b/>
          <w:bCs/>
          <w:sz w:val="48"/>
          <w:szCs w:val="48"/>
        </w:rPr>
        <w:t xml:space="preserve"> in </w:t>
      </w:r>
      <w:r>
        <w:rPr>
          <w:rFonts w:ascii="Times New Roman" w:hAnsi="Times New Roman" w:cs="Times New Roman"/>
          <w:b/>
          <w:bCs/>
          <w:sz w:val="48"/>
          <w:szCs w:val="48"/>
        </w:rPr>
        <w:t>C</w:t>
      </w:r>
      <w:r w:rsidR="006304CB" w:rsidRPr="00BB435D">
        <w:rPr>
          <w:rFonts w:ascii="Times New Roman" w:hAnsi="Times New Roman" w:cs="Times New Roman"/>
          <w:b/>
          <w:bCs/>
          <w:sz w:val="48"/>
          <w:szCs w:val="48"/>
        </w:rPr>
        <w:t xml:space="preserve">linical </w:t>
      </w:r>
      <w:r>
        <w:rPr>
          <w:rFonts w:ascii="Times New Roman" w:hAnsi="Times New Roman" w:cs="Times New Roman"/>
          <w:b/>
          <w:bCs/>
          <w:sz w:val="48"/>
          <w:szCs w:val="48"/>
        </w:rPr>
        <w:t>R</w:t>
      </w:r>
      <w:r w:rsidR="006304CB" w:rsidRPr="00BB435D">
        <w:rPr>
          <w:rFonts w:ascii="Times New Roman" w:hAnsi="Times New Roman" w:cs="Times New Roman"/>
          <w:b/>
          <w:bCs/>
          <w:sz w:val="48"/>
          <w:szCs w:val="48"/>
        </w:rPr>
        <w:t>esearch</w:t>
      </w:r>
    </w:p>
    <w:p w14:paraId="02CE2D26" w14:textId="168D5486" w:rsidR="00496881" w:rsidRDefault="00496881" w:rsidP="00550E37">
      <w:pPr>
        <w:spacing w:after="0" w:line="240" w:lineRule="auto"/>
        <w:jc w:val="center"/>
        <w:rPr>
          <w:rFonts w:ascii="Times New Roman" w:hAnsi="Times New Roman" w:cs="Times New Roman"/>
          <w:b/>
          <w:bCs/>
          <w:sz w:val="20"/>
          <w:szCs w:val="20"/>
          <w:vertAlign w:val="superscript"/>
        </w:rPr>
      </w:pPr>
      <w:r>
        <w:rPr>
          <w:rFonts w:ascii="Times New Roman" w:hAnsi="Times New Roman" w:cs="Times New Roman"/>
          <w:b/>
          <w:bCs/>
          <w:sz w:val="20"/>
          <w:szCs w:val="20"/>
        </w:rPr>
        <w:t>Krati dhakad</w:t>
      </w:r>
      <w:r>
        <w:rPr>
          <w:rFonts w:ascii="Times New Roman" w:hAnsi="Times New Roman" w:cs="Times New Roman"/>
          <w:b/>
          <w:bCs/>
          <w:sz w:val="20"/>
          <w:szCs w:val="20"/>
          <w:vertAlign w:val="superscript"/>
        </w:rPr>
        <w:t>1</w:t>
      </w:r>
    </w:p>
    <w:p w14:paraId="46F067F4" w14:textId="787CF8DE" w:rsidR="00496881" w:rsidRDefault="00496881" w:rsidP="00550E37">
      <w:pPr>
        <w:spacing w:after="0" w:line="240" w:lineRule="auto"/>
        <w:jc w:val="center"/>
        <w:rPr>
          <w:rFonts w:ascii="Times New Roman" w:hAnsi="Times New Roman" w:cs="Times New Roman"/>
          <w:b/>
          <w:bCs/>
          <w:sz w:val="20"/>
          <w:szCs w:val="20"/>
        </w:rPr>
      </w:pPr>
      <w:bookmarkStart w:id="0" w:name="_Hlk111902005"/>
      <w:r>
        <w:rPr>
          <w:rFonts w:ascii="Times New Roman" w:hAnsi="Times New Roman" w:cs="Times New Roman"/>
          <w:b/>
          <w:bCs/>
          <w:sz w:val="20"/>
          <w:szCs w:val="20"/>
          <w:vertAlign w:val="superscript"/>
        </w:rPr>
        <w:t>1</w:t>
      </w:r>
      <w:r>
        <w:rPr>
          <w:rFonts w:ascii="Times New Roman" w:hAnsi="Times New Roman" w:cs="Times New Roman"/>
          <w:b/>
          <w:bCs/>
          <w:sz w:val="20"/>
          <w:szCs w:val="20"/>
        </w:rPr>
        <w:t>Department of Pharmaceutical Chemistry, Shri Ram college of Pharmacy,</w:t>
      </w:r>
      <w:r w:rsidR="00301DBC">
        <w:rPr>
          <w:rFonts w:ascii="Times New Roman" w:hAnsi="Times New Roman" w:cs="Times New Roman"/>
          <w:b/>
          <w:bCs/>
          <w:sz w:val="20"/>
          <w:szCs w:val="20"/>
        </w:rPr>
        <w:t xml:space="preserve"> </w:t>
      </w:r>
      <w:proofErr w:type="spellStart"/>
      <w:proofErr w:type="gramStart"/>
      <w:r>
        <w:rPr>
          <w:rFonts w:ascii="Times New Roman" w:hAnsi="Times New Roman" w:cs="Times New Roman"/>
          <w:b/>
          <w:bCs/>
          <w:sz w:val="20"/>
          <w:szCs w:val="20"/>
        </w:rPr>
        <w:t>Banmore</w:t>
      </w:r>
      <w:proofErr w:type="spellEnd"/>
      <w:r w:rsidR="00301DBC">
        <w:rPr>
          <w:rFonts w:ascii="Times New Roman" w:hAnsi="Times New Roman" w:cs="Times New Roman"/>
          <w:b/>
          <w:bCs/>
          <w:sz w:val="20"/>
          <w:szCs w:val="20"/>
        </w:rPr>
        <w:t xml:space="preserve"> </w:t>
      </w:r>
      <w:r>
        <w:rPr>
          <w:rFonts w:ascii="Times New Roman" w:hAnsi="Times New Roman" w:cs="Times New Roman"/>
          <w:b/>
          <w:bCs/>
          <w:sz w:val="20"/>
          <w:szCs w:val="20"/>
        </w:rPr>
        <w:t>,</w:t>
      </w:r>
      <w:proofErr w:type="gramEnd"/>
      <w:r w:rsidR="00301DBC">
        <w:rPr>
          <w:rFonts w:ascii="Times New Roman" w:hAnsi="Times New Roman" w:cs="Times New Roman"/>
          <w:b/>
          <w:bCs/>
          <w:sz w:val="20"/>
          <w:szCs w:val="20"/>
        </w:rPr>
        <w:t xml:space="preserve"> </w:t>
      </w:r>
      <w:r>
        <w:rPr>
          <w:rFonts w:ascii="Times New Roman" w:hAnsi="Times New Roman" w:cs="Times New Roman"/>
          <w:b/>
          <w:bCs/>
          <w:sz w:val="20"/>
          <w:szCs w:val="20"/>
        </w:rPr>
        <w:t>MP,476444</w:t>
      </w:r>
    </w:p>
    <w:bookmarkEnd w:id="0"/>
    <w:p w14:paraId="4E78FA50" w14:textId="77777777" w:rsidR="00496881" w:rsidRDefault="00496881" w:rsidP="00550E3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fldChar w:fldCharType="begin"/>
      </w:r>
      <w:r>
        <w:rPr>
          <w:rFonts w:ascii="Times New Roman" w:hAnsi="Times New Roman" w:cs="Times New Roman"/>
          <w:b/>
          <w:bCs/>
          <w:sz w:val="20"/>
          <w:szCs w:val="20"/>
        </w:rPr>
        <w:instrText xml:space="preserve"> HYPERLINK "mailto:Kratidhakad08@gmail.com" </w:instrText>
      </w:r>
      <w:r>
        <w:rPr>
          <w:rFonts w:ascii="Times New Roman" w:hAnsi="Times New Roman" w:cs="Times New Roman"/>
          <w:b/>
          <w:bCs/>
          <w:sz w:val="20"/>
          <w:szCs w:val="20"/>
        </w:rPr>
        <w:fldChar w:fldCharType="separate"/>
      </w:r>
      <w:r w:rsidRPr="00201315">
        <w:rPr>
          <w:rStyle w:val="Hyperlink"/>
          <w:rFonts w:ascii="Times New Roman" w:hAnsi="Times New Roman" w:cs="Times New Roman"/>
          <w:b/>
          <w:bCs/>
          <w:sz w:val="20"/>
          <w:szCs w:val="20"/>
        </w:rPr>
        <w:t>Kratidhakad08@gmail.com</w:t>
      </w:r>
      <w:r>
        <w:rPr>
          <w:rFonts w:ascii="Times New Roman" w:hAnsi="Times New Roman" w:cs="Times New Roman"/>
          <w:b/>
          <w:bCs/>
          <w:sz w:val="20"/>
          <w:szCs w:val="20"/>
        </w:rPr>
        <w:fldChar w:fldCharType="end"/>
      </w:r>
      <w:r w:rsidRPr="00496881">
        <w:rPr>
          <w:rFonts w:ascii="Times New Roman" w:hAnsi="Times New Roman" w:cs="Times New Roman"/>
          <w:b/>
          <w:bCs/>
          <w:sz w:val="20"/>
          <w:szCs w:val="20"/>
        </w:rPr>
        <w:t xml:space="preserve"> </w:t>
      </w:r>
    </w:p>
    <w:p w14:paraId="00B62583" w14:textId="75AB7A1F" w:rsidR="00496881" w:rsidRDefault="00496881" w:rsidP="00550E37">
      <w:pPr>
        <w:spacing w:after="0" w:line="240" w:lineRule="auto"/>
        <w:jc w:val="center"/>
        <w:rPr>
          <w:rFonts w:ascii="Times New Roman" w:hAnsi="Times New Roman" w:cs="Times New Roman"/>
          <w:b/>
          <w:bCs/>
          <w:sz w:val="20"/>
          <w:szCs w:val="20"/>
          <w:vertAlign w:val="superscript"/>
        </w:rPr>
      </w:pPr>
      <w:proofErr w:type="spellStart"/>
      <w:r>
        <w:rPr>
          <w:rFonts w:ascii="Times New Roman" w:hAnsi="Times New Roman" w:cs="Times New Roman"/>
          <w:b/>
          <w:bCs/>
          <w:sz w:val="20"/>
          <w:szCs w:val="20"/>
        </w:rPr>
        <w:t>Himanshi</w:t>
      </w:r>
      <w:proofErr w:type="spellEnd"/>
      <w:r>
        <w:rPr>
          <w:rFonts w:ascii="Times New Roman" w:hAnsi="Times New Roman" w:cs="Times New Roman"/>
          <w:b/>
          <w:bCs/>
          <w:sz w:val="20"/>
          <w:szCs w:val="20"/>
        </w:rPr>
        <w:t xml:space="preserve"> Bhalerao</w:t>
      </w:r>
      <w:r>
        <w:rPr>
          <w:rFonts w:ascii="Times New Roman" w:hAnsi="Times New Roman" w:cs="Times New Roman"/>
          <w:b/>
          <w:bCs/>
          <w:sz w:val="20"/>
          <w:szCs w:val="20"/>
          <w:vertAlign w:val="superscript"/>
        </w:rPr>
        <w:t>2</w:t>
      </w:r>
    </w:p>
    <w:p w14:paraId="155D49F8" w14:textId="3F535D0B" w:rsidR="00496881" w:rsidRDefault="00496881" w:rsidP="00550E37">
      <w:pPr>
        <w:spacing w:after="0" w:line="240" w:lineRule="auto"/>
        <w:jc w:val="center"/>
        <w:rPr>
          <w:rFonts w:ascii="Times New Roman" w:hAnsi="Times New Roman" w:cs="Times New Roman"/>
          <w:b/>
          <w:bCs/>
          <w:sz w:val="20"/>
          <w:szCs w:val="20"/>
        </w:rPr>
      </w:pPr>
      <w:bookmarkStart w:id="1" w:name="_Hlk111902185"/>
      <w:r>
        <w:rPr>
          <w:rFonts w:ascii="Times New Roman" w:hAnsi="Times New Roman" w:cs="Times New Roman"/>
          <w:b/>
          <w:bCs/>
          <w:sz w:val="20"/>
          <w:szCs w:val="20"/>
          <w:vertAlign w:val="superscript"/>
        </w:rPr>
        <w:t>2</w:t>
      </w:r>
      <w:r>
        <w:rPr>
          <w:rFonts w:ascii="Times New Roman" w:hAnsi="Times New Roman" w:cs="Times New Roman"/>
          <w:b/>
          <w:bCs/>
          <w:sz w:val="20"/>
          <w:szCs w:val="20"/>
        </w:rPr>
        <w:t>Department of Pharmacology, Shri Ram college of Pharmacy,</w:t>
      </w:r>
      <w:r w:rsidR="00301DBC">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Banmore</w:t>
      </w:r>
      <w:proofErr w:type="spellEnd"/>
      <w:r>
        <w:rPr>
          <w:rFonts w:ascii="Times New Roman" w:hAnsi="Times New Roman" w:cs="Times New Roman"/>
          <w:b/>
          <w:bCs/>
          <w:sz w:val="20"/>
          <w:szCs w:val="20"/>
        </w:rPr>
        <w:t>,</w:t>
      </w:r>
      <w:r w:rsidR="00301DBC">
        <w:rPr>
          <w:rFonts w:ascii="Times New Roman" w:hAnsi="Times New Roman" w:cs="Times New Roman"/>
          <w:b/>
          <w:bCs/>
          <w:sz w:val="20"/>
          <w:szCs w:val="20"/>
        </w:rPr>
        <w:t xml:space="preserve"> </w:t>
      </w:r>
      <w:r>
        <w:rPr>
          <w:rFonts w:ascii="Times New Roman" w:hAnsi="Times New Roman" w:cs="Times New Roman"/>
          <w:b/>
          <w:bCs/>
          <w:sz w:val="20"/>
          <w:szCs w:val="20"/>
        </w:rPr>
        <w:t>MP,476444</w:t>
      </w:r>
    </w:p>
    <w:bookmarkEnd w:id="1"/>
    <w:p w14:paraId="3D759D4B" w14:textId="08520E1A" w:rsidR="00496881" w:rsidRDefault="00301DBC" w:rsidP="00550E3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fldChar w:fldCharType="begin"/>
      </w:r>
      <w:r>
        <w:rPr>
          <w:rFonts w:ascii="Times New Roman" w:hAnsi="Times New Roman" w:cs="Times New Roman"/>
          <w:b/>
          <w:bCs/>
          <w:sz w:val="20"/>
          <w:szCs w:val="20"/>
        </w:rPr>
        <w:instrText xml:space="preserve"> HYPERLINK "mailto:Himanshibhalerao075@gmail.com" </w:instrText>
      </w:r>
      <w:r>
        <w:rPr>
          <w:rFonts w:ascii="Times New Roman" w:hAnsi="Times New Roman" w:cs="Times New Roman"/>
          <w:b/>
          <w:bCs/>
          <w:sz w:val="20"/>
          <w:szCs w:val="20"/>
        </w:rPr>
        <w:fldChar w:fldCharType="separate"/>
      </w:r>
      <w:r w:rsidRPr="00201315">
        <w:rPr>
          <w:rStyle w:val="Hyperlink"/>
          <w:rFonts w:ascii="Times New Roman" w:hAnsi="Times New Roman" w:cs="Times New Roman"/>
          <w:b/>
          <w:bCs/>
          <w:sz w:val="20"/>
          <w:szCs w:val="20"/>
        </w:rPr>
        <w:t>Himanshibhalerao075@gmail.com</w:t>
      </w:r>
      <w:r>
        <w:rPr>
          <w:rFonts w:ascii="Times New Roman" w:hAnsi="Times New Roman" w:cs="Times New Roman"/>
          <w:b/>
          <w:bCs/>
          <w:sz w:val="20"/>
          <w:szCs w:val="20"/>
        </w:rPr>
        <w:fldChar w:fldCharType="end"/>
      </w:r>
    </w:p>
    <w:p w14:paraId="4C851A9B" w14:textId="77777777" w:rsidR="00301DBC" w:rsidRDefault="00301DBC" w:rsidP="00550E37">
      <w:pPr>
        <w:spacing w:after="0" w:line="240" w:lineRule="auto"/>
        <w:jc w:val="center"/>
        <w:rPr>
          <w:rFonts w:ascii="Times New Roman" w:hAnsi="Times New Roman" w:cs="Times New Roman"/>
          <w:b/>
          <w:bCs/>
          <w:sz w:val="20"/>
          <w:szCs w:val="20"/>
          <w:vertAlign w:val="superscript"/>
        </w:rPr>
      </w:pPr>
      <w:r>
        <w:rPr>
          <w:rFonts w:ascii="Times New Roman" w:hAnsi="Times New Roman" w:cs="Times New Roman"/>
          <w:b/>
          <w:bCs/>
          <w:sz w:val="20"/>
          <w:szCs w:val="20"/>
        </w:rPr>
        <w:t>Adarsh Srhivastava</w:t>
      </w:r>
      <w:r>
        <w:rPr>
          <w:rFonts w:ascii="Times New Roman" w:hAnsi="Times New Roman" w:cs="Times New Roman"/>
          <w:b/>
          <w:bCs/>
          <w:sz w:val="20"/>
          <w:szCs w:val="20"/>
          <w:vertAlign w:val="superscript"/>
        </w:rPr>
        <w:t>3</w:t>
      </w:r>
    </w:p>
    <w:p w14:paraId="7B7D5806" w14:textId="3AD22FA8" w:rsidR="00301DBC" w:rsidRDefault="00301DBC" w:rsidP="00550E3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vertAlign w:val="superscript"/>
        </w:rPr>
        <w:t>3</w:t>
      </w:r>
      <w:r>
        <w:rPr>
          <w:rFonts w:ascii="Times New Roman" w:hAnsi="Times New Roman" w:cs="Times New Roman"/>
          <w:b/>
          <w:bCs/>
          <w:sz w:val="20"/>
          <w:szCs w:val="20"/>
        </w:rPr>
        <w:t xml:space="preserve">Department of Pharmaceutics, Shri Ram college of Pharmacy, </w:t>
      </w:r>
      <w:proofErr w:type="spellStart"/>
      <w:r>
        <w:rPr>
          <w:rFonts w:ascii="Times New Roman" w:hAnsi="Times New Roman" w:cs="Times New Roman"/>
          <w:b/>
          <w:bCs/>
          <w:sz w:val="20"/>
          <w:szCs w:val="20"/>
        </w:rPr>
        <w:t>Banmore</w:t>
      </w:r>
      <w:proofErr w:type="spellEnd"/>
      <w:r>
        <w:rPr>
          <w:rFonts w:ascii="Times New Roman" w:hAnsi="Times New Roman" w:cs="Times New Roman"/>
          <w:b/>
          <w:bCs/>
          <w:sz w:val="20"/>
          <w:szCs w:val="20"/>
        </w:rPr>
        <w:t>, MP,476444</w:t>
      </w:r>
    </w:p>
    <w:p w14:paraId="421DC464" w14:textId="0B79BCC7" w:rsidR="00B10787" w:rsidRDefault="00B10787" w:rsidP="00550E3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Ravindra Mishra</w:t>
      </w:r>
      <w:r w:rsidRPr="00B10787">
        <w:rPr>
          <w:rFonts w:ascii="Times New Roman" w:hAnsi="Times New Roman" w:cs="Times New Roman"/>
          <w:b/>
          <w:bCs/>
          <w:sz w:val="20"/>
          <w:szCs w:val="20"/>
          <w:vertAlign w:val="superscript"/>
        </w:rPr>
        <w:t>4</w:t>
      </w:r>
    </w:p>
    <w:p w14:paraId="5C3C9F70" w14:textId="77777777" w:rsidR="00B10787" w:rsidRDefault="00B10787" w:rsidP="00550E3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vertAlign w:val="superscript"/>
        </w:rPr>
        <w:t>2</w:t>
      </w:r>
      <w:r>
        <w:rPr>
          <w:rFonts w:ascii="Times New Roman" w:hAnsi="Times New Roman" w:cs="Times New Roman"/>
          <w:b/>
          <w:bCs/>
          <w:sz w:val="20"/>
          <w:szCs w:val="20"/>
        </w:rPr>
        <w:t xml:space="preserve">Department of Pharmacology, Shri Ram college of Pharmacy, </w:t>
      </w:r>
      <w:proofErr w:type="spellStart"/>
      <w:r>
        <w:rPr>
          <w:rFonts w:ascii="Times New Roman" w:hAnsi="Times New Roman" w:cs="Times New Roman"/>
          <w:b/>
          <w:bCs/>
          <w:sz w:val="20"/>
          <w:szCs w:val="20"/>
        </w:rPr>
        <w:t>Banmore</w:t>
      </w:r>
      <w:proofErr w:type="spellEnd"/>
      <w:r>
        <w:rPr>
          <w:rFonts w:ascii="Times New Roman" w:hAnsi="Times New Roman" w:cs="Times New Roman"/>
          <w:b/>
          <w:bCs/>
          <w:sz w:val="20"/>
          <w:szCs w:val="20"/>
        </w:rPr>
        <w:t>, MP,476444</w:t>
      </w:r>
    </w:p>
    <w:p w14:paraId="2CBCA618" w14:textId="584BC807" w:rsidR="00B10787" w:rsidRDefault="00B10787" w:rsidP="00550E3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Harsha Rathore</w:t>
      </w:r>
      <w:r w:rsidRPr="00B10787">
        <w:rPr>
          <w:rFonts w:ascii="Times New Roman" w:hAnsi="Times New Roman" w:cs="Times New Roman"/>
          <w:b/>
          <w:bCs/>
          <w:sz w:val="20"/>
          <w:szCs w:val="20"/>
          <w:vertAlign w:val="superscript"/>
        </w:rPr>
        <w:t>5</w:t>
      </w:r>
    </w:p>
    <w:p w14:paraId="3878820F" w14:textId="02224BA6" w:rsidR="00B10787" w:rsidRDefault="00B10787" w:rsidP="00550E3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Department of Pharmacology, Shri Ram college of Pharmacy, </w:t>
      </w:r>
      <w:proofErr w:type="spellStart"/>
      <w:r>
        <w:rPr>
          <w:rFonts w:ascii="Times New Roman" w:hAnsi="Times New Roman" w:cs="Times New Roman"/>
          <w:b/>
          <w:bCs/>
          <w:sz w:val="20"/>
          <w:szCs w:val="20"/>
        </w:rPr>
        <w:t>Banmore</w:t>
      </w:r>
      <w:proofErr w:type="spellEnd"/>
      <w:r>
        <w:rPr>
          <w:rFonts w:ascii="Times New Roman" w:hAnsi="Times New Roman" w:cs="Times New Roman"/>
          <w:b/>
          <w:bCs/>
          <w:sz w:val="20"/>
          <w:szCs w:val="20"/>
        </w:rPr>
        <w:t>, MP,476444</w:t>
      </w:r>
    </w:p>
    <w:p w14:paraId="61CC8513" w14:textId="77777777" w:rsidR="00B10787" w:rsidRPr="00496881" w:rsidRDefault="00B10787" w:rsidP="00550E37">
      <w:pPr>
        <w:spacing w:after="0" w:line="240" w:lineRule="auto"/>
        <w:jc w:val="center"/>
        <w:rPr>
          <w:rFonts w:ascii="Times New Roman" w:hAnsi="Times New Roman" w:cs="Times New Roman"/>
          <w:b/>
          <w:bCs/>
          <w:sz w:val="20"/>
          <w:szCs w:val="20"/>
        </w:rPr>
      </w:pPr>
    </w:p>
    <w:p w14:paraId="54767995" w14:textId="78BCDCBE" w:rsidR="00BB435D" w:rsidRDefault="003F0EB6" w:rsidP="00550E3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Abstract</w:t>
      </w:r>
    </w:p>
    <w:p w14:paraId="6863097F" w14:textId="65ADB7F1" w:rsidR="003F0EB6" w:rsidRDefault="00E03E1E" w:rsidP="00550E37">
      <w:pPr>
        <w:spacing w:after="0" w:line="240" w:lineRule="auto"/>
        <w:ind w:firstLine="720"/>
        <w:jc w:val="both"/>
        <w:rPr>
          <w:rFonts w:ascii="Times New Roman" w:hAnsi="Times New Roman" w:cs="Times New Roman"/>
          <w:sz w:val="20"/>
          <w:szCs w:val="20"/>
        </w:rPr>
      </w:pPr>
      <w:r w:rsidRPr="00E03E1E">
        <w:rPr>
          <w:rFonts w:ascii="Times New Roman" w:hAnsi="Times New Roman" w:cs="Times New Roman"/>
          <w:sz w:val="20"/>
          <w:szCs w:val="20"/>
        </w:rPr>
        <w:t>Randomised controlled trials (RCTs) have surpassed clinical judgement, case reports, and observational research to become the gold evidentiary standard in medicine during the last few decades. Moreover, over the same time period, RCTs became an essential component of the regulatory procedure through which a novel therapy might acquire entry to the drug market. Clinical trials are now enormous, closely regulated operations that must adhere to ethical regulations while maintaining high epistemic standards, a balancing act that grows increasingly challenging as research questions become more sophisticated. The author will cover some of the most relevant ethical concerns surrounding RCTs in this review, with a focus on contemporary discussions and the context of oncological research in particular.</w:t>
      </w:r>
    </w:p>
    <w:p w14:paraId="61365C45" w14:textId="7D34FB7E" w:rsidR="00E62AED" w:rsidRPr="00E62AED" w:rsidRDefault="00E62AED" w:rsidP="00550E37">
      <w:pPr>
        <w:spacing w:after="0" w:line="240" w:lineRule="auto"/>
        <w:jc w:val="both"/>
        <w:rPr>
          <w:rFonts w:ascii="Times New Roman" w:hAnsi="Times New Roman" w:cs="Times New Roman"/>
          <w:b/>
          <w:bCs/>
          <w:sz w:val="20"/>
          <w:szCs w:val="20"/>
        </w:rPr>
      </w:pPr>
      <w:r w:rsidRPr="00E62AED">
        <w:rPr>
          <w:rFonts w:ascii="Times New Roman" w:hAnsi="Times New Roman" w:cs="Times New Roman"/>
          <w:b/>
          <w:bCs/>
          <w:sz w:val="20"/>
          <w:szCs w:val="20"/>
        </w:rPr>
        <w:t>Keywords</w:t>
      </w:r>
      <w:r>
        <w:rPr>
          <w:rFonts w:ascii="Times New Roman" w:hAnsi="Times New Roman" w:cs="Times New Roman"/>
          <w:b/>
          <w:bCs/>
          <w:sz w:val="20"/>
          <w:szCs w:val="20"/>
        </w:rPr>
        <w:t>:</w:t>
      </w:r>
      <w:r w:rsidR="00C769D0" w:rsidRPr="00B10787">
        <w:rPr>
          <w:rFonts w:ascii="Times New Roman" w:hAnsi="Times New Roman" w:cs="Times New Roman"/>
          <w:sz w:val="20"/>
          <w:szCs w:val="20"/>
        </w:rPr>
        <w:t xml:space="preserve"> Ethics</w:t>
      </w:r>
      <w:r w:rsidR="00B10787">
        <w:rPr>
          <w:rFonts w:ascii="Times New Roman" w:hAnsi="Times New Roman" w:cs="Times New Roman"/>
          <w:sz w:val="20"/>
          <w:szCs w:val="20"/>
        </w:rPr>
        <w:t>;</w:t>
      </w:r>
      <w:r w:rsidR="00C769D0" w:rsidRPr="00B10787">
        <w:rPr>
          <w:rFonts w:ascii="Times New Roman" w:hAnsi="Times New Roman" w:cs="Times New Roman"/>
          <w:sz w:val="20"/>
          <w:szCs w:val="20"/>
        </w:rPr>
        <w:t xml:space="preserve"> </w:t>
      </w:r>
      <w:r w:rsidR="005B6BA4" w:rsidRPr="00B10787">
        <w:rPr>
          <w:rFonts w:ascii="Times New Roman" w:hAnsi="Times New Roman" w:cs="Times New Roman"/>
          <w:sz w:val="20"/>
          <w:szCs w:val="20"/>
        </w:rPr>
        <w:t>T</w:t>
      </w:r>
      <w:r w:rsidR="00C769D0" w:rsidRPr="00B10787">
        <w:rPr>
          <w:rFonts w:ascii="Times New Roman" w:hAnsi="Times New Roman" w:cs="Times New Roman"/>
          <w:sz w:val="20"/>
          <w:szCs w:val="20"/>
        </w:rPr>
        <w:t>rials</w:t>
      </w:r>
      <w:r w:rsidR="00B10787">
        <w:rPr>
          <w:rFonts w:ascii="Times New Roman" w:hAnsi="Times New Roman" w:cs="Times New Roman"/>
          <w:sz w:val="20"/>
          <w:szCs w:val="20"/>
        </w:rPr>
        <w:t>;</w:t>
      </w:r>
      <w:r w:rsidR="00C769D0" w:rsidRPr="00B10787">
        <w:rPr>
          <w:rFonts w:ascii="Times New Roman" w:hAnsi="Times New Roman" w:cs="Times New Roman"/>
          <w:sz w:val="20"/>
          <w:szCs w:val="20"/>
        </w:rPr>
        <w:t xml:space="preserve"> dilemmas</w:t>
      </w:r>
      <w:r w:rsidR="00B10787">
        <w:rPr>
          <w:rFonts w:ascii="Times New Roman" w:hAnsi="Times New Roman" w:cs="Times New Roman"/>
          <w:sz w:val="20"/>
          <w:szCs w:val="20"/>
        </w:rPr>
        <w:t>;</w:t>
      </w:r>
      <w:r w:rsidR="00C769D0" w:rsidRPr="00B10787">
        <w:rPr>
          <w:rFonts w:ascii="Times New Roman" w:hAnsi="Times New Roman" w:cs="Times New Roman"/>
          <w:sz w:val="20"/>
          <w:szCs w:val="20"/>
        </w:rPr>
        <w:t xml:space="preserve"> R</w:t>
      </w:r>
      <w:r w:rsidR="005B6BA4" w:rsidRPr="00B10787">
        <w:rPr>
          <w:rFonts w:ascii="Times New Roman" w:hAnsi="Times New Roman" w:cs="Times New Roman"/>
          <w:sz w:val="20"/>
          <w:szCs w:val="20"/>
        </w:rPr>
        <w:t>CT</w:t>
      </w:r>
      <w:r w:rsidR="00B10787">
        <w:rPr>
          <w:rFonts w:ascii="Times New Roman" w:hAnsi="Times New Roman" w:cs="Times New Roman"/>
          <w:sz w:val="20"/>
          <w:szCs w:val="20"/>
        </w:rPr>
        <w:t>;</w:t>
      </w:r>
      <w:r w:rsidR="00C769D0" w:rsidRPr="00B10787">
        <w:rPr>
          <w:rFonts w:ascii="Times New Roman" w:hAnsi="Times New Roman" w:cs="Times New Roman"/>
          <w:sz w:val="20"/>
          <w:szCs w:val="20"/>
        </w:rPr>
        <w:t xml:space="preserve"> Legal</w:t>
      </w:r>
      <w:r w:rsidR="00B10787">
        <w:rPr>
          <w:rFonts w:ascii="Times New Roman" w:hAnsi="Times New Roman" w:cs="Times New Roman"/>
          <w:sz w:val="20"/>
          <w:szCs w:val="20"/>
        </w:rPr>
        <w:t xml:space="preserve">; </w:t>
      </w:r>
      <w:r w:rsidR="005B6BA4" w:rsidRPr="00B10787">
        <w:rPr>
          <w:rFonts w:ascii="Times New Roman" w:hAnsi="Times New Roman" w:cs="Times New Roman"/>
          <w:sz w:val="20"/>
          <w:szCs w:val="20"/>
        </w:rPr>
        <w:t>Tele Pharmacy</w:t>
      </w:r>
      <w:r w:rsidR="00B10787">
        <w:rPr>
          <w:rFonts w:ascii="Times New Roman" w:hAnsi="Times New Roman" w:cs="Times New Roman"/>
          <w:sz w:val="20"/>
          <w:szCs w:val="20"/>
        </w:rPr>
        <w:t>;</w:t>
      </w:r>
      <w:r w:rsidR="005B6BA4" w:rsidRPr="00B10787">
        <w:rPr>
          <w:rFonts w:ascii="Times New Roman" w:hAnsi="Times New Roman" w:cs="Times New Roman"/>
          <w:sz w:val="20"/>
          <w:szCs w:val="20"/>
        </w:rPr>
        <w:t xml:space="preserve"> Consent and confidentiality.</w:t>
      </w:r>
    </w:p>
    <w:p w14:paraId="03A4E133" w14:textId="22A356EE" w:rsidR="003F0EB6" w:rsidRPr="00EF792B" w:rsidRDefault="00550E37" w:rsidP="00550E37">
      <w:pPr>
        <w:pStyle w:val="ListParagraph"/>
        <w:spacing w:after="0" w:line="240" w:lineRule="auto"/>
        <w:ind w:left="360"/>
        <w:jc w:val="center"/>
        <w:rPr>
          <w:rFonts w:ascii="Times New Roman" w:hAnsi="Times New Roman" w:cs="Times New Roman"/>
          <w:b/>
          <w:sz w:val="20"/>
          <w:szCs w:val="20"/>
        </w:rPr>
      </w:pPr>
      <w:r>
        <w:rPr>
          <w:rFonts w:ascii="Times New Roman" w:hAnsi="Times New Roman" w:cs="Times New Roman"/>
          <w:b/>
          <w:sz w:val="20"/>
          <w:szCs w:val="20"/>
        </w:rPr>
        <w:t>I.</w:t>
      </w:r>
      <w:r w:rsidRPr="00EF792B">
        <w:rPr>
          <w:rFonts w:ascii="Times New Roman" w:hAnsi="Times New Roman" w:cs="Times New Roman"/>
          <w:b/>
          <w:sz w:val="20"/>
          <w:szCs w:val="20"/>
        </w:rPr>
        <w:t xml:space="preserve"> INTRODUCTION</w:t>
      </w:r>
    </w:p>
    <w:p w14:paraId="44404D8E" w14:textId="50AF843B" w:rsidR="00E03E1E" w:rsidRDefault="00E03E1E" w:rsidP="00550E37">
      <w:pPr>
        <w:spacing w:after="0" w:line="240" w:lineRule="auto"/>
        <w:ind w:firstLine="360"/>
        <w:jc w:val="both"/>
        <w:rPr>
          <w:rFonts w:ascii="Times New Roman" w:hAnsi="Times New Roman" w:cs="Times New Roman"/>
          <w:sz w:val="20"/>
          <w:szCs w:val="20"/>
        </w:rPr>
      </w:pPr>
      <w:r w:rsidRPr="00E03E1E">
        <w:rPr>
          <w:rFonts w:ascii="Times New Roman" w:hAnsi="Times New Roman" w:cs="Times New Roman"/>
          <w:sz w:val="20"/>
          <w:szCs w:val="20"/>
        </w:rPr>
        <w:t>Ethical quandaries develop when there are differences about ethical behaviour or the application of ethical standards. Because each party's beliefs, sense of justice, and fairness may differ, ethical quandaries can arise between pharmacists and clients, pharmacists and physicians, and among pharmacists. Each party may advocate a different principle, such as utilitarianism vs respect for the person. In health care, ethical quandaries most typically concern physicians, but in an expanding cascade, other healthcare workers, such as pharmacists, are experiencing problems in their occupations that cause ethical quandaries. Within a generation, our health-care systems have progressed from very simple to extremely complicated. The issue of legal culpability, both actual and imagined, influences the conduct of doctors and pharmacists as they try to practise</w:t>
      </w:r>
      <w:r w:rsidR="00316D5A">
        <w:rPr>
          <w:rFonts w:ascii="Times New Roman" w:hAnsi="Times New Roman" w:cs="Times New Roman"/>
          <w:sz w:val="20"/>
          <w:szCs w:val="20"/>
        </w:rPr>
        <w:t xml:space="preserve"> [1]</w:t>
      </w:r>
      <w:r w:rsidRPr="00E03E1E">
        <w:rPr>
          <w:rFonts w:ascii="Times New Roman" w:hAnsi="Times New Roman" w:cs="Times New Roman"/>
          <w:sz w:val="20"/>
          <w:szCs w:val="20"/>
        </w:rPr>
        <w:t>.</w:t>
      </w:r>
    </w:p>
    <w:p w14:paraId="2572322C" w14:textId="53D88B66" w:rsidR="000176BA" w:rsidRPr="003F0EB6" w:rsidRDefault="00E03E1E" w:rsidP="00550E37">
      <w:pPr>
        <w:spacing w:after="0" w:line="240" w:lineRule="auto"/>
        <w:ind w:firstLine="360"/>
        <w:jc w:val="both"/>
        <w:rPr>
          <w:rFonts w:ascii="Times New Roman" w:hAnsi="Times New Roman" w:cs="Times New Roman"/>
          <w:sz w:val="20"/>
          <w:szCs w:val="20"/>
        </w:rPr>
      </w:pPr>
      <w:r w:rsidRPr="00E03E1E">
        <w:rPr>
          <w:rFonts w:ascii="Times New Roman" w:hAnsi="Times New Roman" w:cs="Times New Roman"/>
          <w:sz w:val="20"/>
          <w:szCs w:val="20"/>
        </w:rPr>
        <w:t>Recognizing the growing role conflict, particularly in the community pharmacy environment, has encouraged pharmacists to reconsider their position in healthcare during the previous few decades. In 1986, pharmacy was defined as a "profession in transition," with considerable changes occurring in reaction to pharmacists' perceived loss of function, social influence, and prestige, resulting in a shift toward a patient-</w:t>
      </w:r>
      <w:r w:rsidR="005B6BA4" w:rsidRPr="00E03E1E">
        <w:rPr>
          <w:rFonts w:ascii="Times New Roman" w:hAnsi="Times New Roman" w:cs="Times New Roman"/>
          <w:sz w:val="20"/>
          <w:szCs w:val="20"/>
        </w:rPr>
        <w:t>c</w:t>
      </w:r>
      <w:r w:rsidR="005B6BA4">
        <w:rPr>
          <w:rFonts w:ascii="Times New Roman" w:hAnsi="Times New Roman" w:cs="Times New Roman"/>
          <w:sz w:val="20"/>
          <w:szCs w:val="20"/>
        </w:rPr>
        <w:t>e</w:t>
      </w:r>
      <w:r w:rsidR="005B6BA4" w:rsidRPr="00E03E1E">
        <w:rPr>
          <w:rFonts w:ascii="Times New Roman" w:hAnsi="Times New Roman" w:cs="Times New Roman"/>
          <w:sz w:val="20"/>
          <w:szCs w:val="20"/>
        </w:rPr>
        <w:t>ntred</w:t>
      </w:r>
      <w:r w:rsidRPr="00E03E1E">
        <w:rPr>
          <w:rFonts w:ascii="Times New Roman" w:hAnsi="Times New Roman" w:cs="Times New Roman"/>
          <w:sz w:val="20"/>
          <w:szCs w:val="20"/>
        </w:rPr>
        <w:t xml:space="preserve"> position. One significant manifestation of this transition is the review of codes of professional ethics; in certain countries, such as the United Kingdom and the United States, there has been an ongoing debate over the review of codes of ethics throughout the latter two d</w:t>
      </w:r>
      <w:r>
        <w:rPr>
          <w:rFonts w:ascii="Times New Roman" w:hAnsi="Times New Roman" w:cs="Times New Roman"/>
          <w:sz w:val="20"/>
          <w:szCs w:val="20"/>
        </w:rPr>
        <w:t>ecades of the twentieth century</w:t>
      </w:r>
      <w:r w:rsidR="00316D5A">
        <w:rPr>
          <w:rFonts w:ascii="Times New Roman" w:hAnsi="Times New Roman" w:cs="Times New Roman"/>
          <w:sz w:val="20"/>
          <w:szCs w:val="20"/>
        </w:rPr>
        <w:t xml:space="preserve"> [1]</w:t>
      </w:r>
      <w:r w:rsidR="000176BA" w:rsidRPr="003F0EB6">
        <w:rPr>
          <w:rFonts w:ascii="Times New Roman" w:hAnsi="Times New Roman" w:cs="Times New Roman"/>
          <w:sz w:val="20"/>
          <w:szCs w:val="20"/>
        </w:rPr>
        <w:t>.</w:t>
      </w:r>
    </w:p>
    <w:p w14:paraId="382A0CC2" w14:textId="2367A017" w:rsidR="00E03E1E" w:rsidRDefault="00E03E1E" w:rsidP="00550E37">
      <w:pPr>
        <w:spacing w:after="0" w:line="240" w:lineRule="auto"/>
        <w:ind w:firstLine="360"/>
        <w:jc w:val="both"/>
        <w:rPr>
          <w:rFonts w:ascii="Times New Roman" w:hAnsi="Times New Roman" w:cs="Times New Roman"/>
          <w:sz w:val="20"/>
          <w:szCs w:val="20"/>
        </w:rPr>
      </w:pPr>
      <w:r w:rsidRPr="00E03E1E">
        <w:rPr>
          <w:rFonts w:ascii="Times New Roman" w:hAnsi="Times New Roman" w:cs="Times New Roman"/>
          <w:sz w:val="20"/>
          <w:szCs w:val="20"/>
        </w:rPr>
        <w:t>While current pharmacy ethics guidelines emphasise that patients' dignity and welfare must be paramount, it has also been recognised that this dedication to patients' dignity and welfare can be jeopardised when pharmacists allow corporate aims to influence and dominate their behaviour</w:t>
      </w:r>
      <w:r w:rsidR="00316D5A">
        <w:rPr>
          <w:rFonts w:ascii="Times New Roman" w:hAnsi="Times New Roman" w:cs="Times New Roman"/>
          <w:sz w:val="20"/>
          <w:szCs w:val="20"/>
        </w:rPr>
        <w:t xml:space="preserve"> [1]</w:t>
      </w:r>
      <w:r w:rsidRPr="00E03E1E">
        <w:rPr>
          <w:rFonts w:ascii="Times New Roman" w:hAnsi="Times New Roman" w:cs="Times New Roman"/>
          <w:sz w:val="20"/>
          <w:szCs w:val="20"/>
        </w:rPr>
        <w:t>.</w:t>
      </w:r>
    </w:p>
    <w:p w14:paraId="7F80CE5D" w14:textId="77777777" w:rsidR="00B10787" w:rsidRDefault="00E03E1E" w:rsidP="00550E37">
      <w:pPr>
        <w:spacing w:after="0" w:line="240" w:lineRule="auto"/>
        <w:ind w:firstLine="360"/>
        <w:jc w:val="both"/>
        <w:rPr>
          <w:rFonts w:ascii="Times New Roman" w:hAnsi="Times New Roman" w:cs="Times New Roman"/>
          <w:sz w:val="20"/>
          <w:szCs w:val="20"/>
        </w:rPr>
      </w:pPr>
      <w:r w:rsidRPr="00E03E1E">
        <w:rPr>
          <w:rFonts w:ascii="Times New Roman" w:hAnsi="Times New Roman" w:cs="Times New Roman"/>
          <w:sz w:val="20"/>
          <w:szCs w:val="20"/>
        </w:rPr>
        <w:t xml:space="preserve">Our present understanding of human </w:t>
      </w:r>
      <w:proofErr w:type="gramStart"/>
      <w:r w:rsidRPr="00E03E1E">
        <w:rPr>
          <w:rFonts w:ascii="Times New Roman" w:hAnsi="Times New Roman" w:cs="Times New Roman"/>
          <w:sz w:val="20"/>
          <w:szCs w:val="20"/>
        </w:rPr>
        <w:t>subjects</w:t>
      </w:r>
      <w:proofErr w:type="gramEnd"/>
      <w:r w:rsidRPr="00E03E1E">
        <w:rPr>
          <w:rFonts w:ascii="Times New Roman" w:hAnsi="Times New Roman" w:cs="Times New Roman"/>
          <w:sz w:val="20"/>
          <w:szCs w:val="20"/>
        </w:rPr>
        <w:t xml:space="preserve"> research is influenced by three key texts produced in the aftermath of the earlier described events of research misbehaviour. The Nuremberg Guideline is a legal and ethical code issued by US judges at the Nuremberg Trials following World War II. Many see it as the most authoritative legal reference on human experimentation. It is founded on global principles of natural law and human rights, and it defines the fundamental idea that participation in research needs the subject's free and informed agreement.</w:t>
      </w:r>
      <w:r>
        <w:rPr>
          <w:rFonts w:ascii="Times New Roman" w:hAnsi="Times New Roman" w:cs="Times New Roman"/>
          <w:sz w:val="20"/>
          <w:szCs w:val="20"/>
        </w:rPr>
        <w:t xml:space="preserve"> </w:t>
      </w:r>
      <w:r w:rsidRPr="00E03E1E">
        <w:rPr>
          <w:rFonts w:ascii="Times New Roman" w:hAnsi="Times New Roman" w:cs="Times New Roman"/>
          <w:sz w:val="20"/>
          <w:szCs w:val="20"/>
        </w:rPr>
        <w:t>The Helsinki Declaration is undoubtedly the most well-known and important medical research guideline in the world</w:t>
      </w:r>
      <w:r w:rsidR="00A92AF9">
        <w:rPr>
          <w:rFonts w:ascii="Times New Roman" w:hAnsi="Times New Roman" w:cs="Times New Roman"/>
          <w:sz w:val="20"/>
          <w:szCs w:val="20"/>
        </w:rPr>
        <w:t xml:space="preserve"> [1][2]</w:t>
      </w:r>
      <w:r w:rsidRPr="00E03E1E">
        <w:rPr>
          <w:rFonts w:ascii="Times New Roman" w:hAnsi="Times New Roman" w:cs="Times New Roman"/>
          <w:sz w:val="20"/>
          <w:szCs w:val="20"/>
        </w:rPr>
        <w:t>.</w:t>
      </w:r>
    </w:p>
    <w:p w14:paraId="57822CA8" w14:textId="006D6322" w:rsidR="00392EC1" w:rsidRPr="003F0EB6" w:rsidRDefault="00E03E1E" w:rsidP="00550E37">
      <w:pPr>
        <w:spacing w:after="0" w:line="240" w:lineRule="auto"/>
        <w:ind w:firstLine="360"/>
        <w:jc w:val="both"/>
        <w:rPr>
          <w:rFonts w:ascii="Times New Roman" w:hAnsi="Times New Roman" w:cs="Times New Roman"/>
          <w:sz w:val="20"/>
          <w:szCs w:val="20"/>
        </w:rPr>
      </w:pPr>
      <w:r w:rsidRPr="00E03E1E">
        <w:rPr>
          <w:rFonts w:ascii="Times New Roman" w:hAnsi="Times New Roman" w:cs="Times New Roman"/>
          <w:sz w:val="20"/>
          <w:szCs w:val="20"/>
        </w:rPr>
        <w:t xml:space="preserve"> It is an official policy of the World Medical Association (WMA), which was initially issued in 1964 and has subsequently been revised several times. The Declaration might be viewed as an indication of the WMA's endeavour to balance the need to develop quality medical information with the need to protect research participants' health and interests. Finally, the Belmont Report is a brief treatise on moral principles produced in 1978 by the National Commission for the Protection of Human Subjects of Biomedical and </w:t>
      </w:r>
      <w:r w:rsidR="00023C79" w:rsidRPr="00E03E1E">
        <w:rPr>
          <w:rFonts w:ascii="Times New Roman" w:hAnsi="Times New Roman" w:cs="Times New Roman"/>
          <w:sz w:val="20"/>
          <w:szCs w:val="20"/>
        </w:rPr>
        <w:t>Behavioural</w:t>
      </w:r>
      <w:r w:rsidRPr="00E03E1E">
        <w:rPr>
          <w:rFonts w:ascii="Times New Roman" w:hAnsi="Times New Roman" w:cs="Times New Roman"/>
          <w:sz w:val="20"/>
          <w:szCs w:val="20"/>
        </w:rPr>
        <w:t xml:space="preserve"> Research in the aftermath of research misconduct scandals</w:t>
      </w:r>
      <w:r>
        <w:rPr>
          <w:rFonts w:ascii="Times New Roman" w:hAnsi="Times New Roman" w:cs="Times New Roman"/>
          <w:sz w:val="20"/>
          <w:szCs w:val="20"/>
        </w:rPr>
        <w:t xml:space="preserve"> in the 1970s. </w:t>
      </w:r>
      <w:r w:rsidR="00392EC1" w:rsidRPr="00392EC1">
        <w:rPr>
          <w:rFonts w:ascii="Times New Roman" w:hAnsi="Times New Roman" w:cs="Times New Roman"/>
          <w:sz w:val="20"/>
          <w:szCs w:val="20"/>
        </w:rPr>
        <w:t xml:space="preserve">The Belmont Report is especially known for establishing a framework of basic moral principles—respect for persons, beneficence, and justice—which should guide the conduct of research. At the European level, further guidelines are provided by the directives of the Council of Europe and the European Commission, and of course, by the individual member States’ National </w:t>
      </w:r>
      <w:r w:rsidR="00392EC1" w:rsidRPr="00392EC1">
        <w:rPr>
          <w:rFonts w:ascii="Times New Roman" w:hAnsi="Times New Roman" w:cs="Times New Roman"/>
          <w:sz w:val="20"/>
          <w:szCs w:val="20"/>
        </w:rPr>
        <w:lastRenderedPageBreak/>
        <w:t>Bioethics Commissions. This review focuses on a subset of research involving human beings, namely the stage of clinical research in which a new therapeutics or medical intervention is put to test on human patients: the clinical trial</w:t>
      </w:r>
      <w:r w:rsidR="00A92AF9">
        <w:rPr>
          <w:rFonts w:ascii="Times New Roman" w:hAnsi="Times New Roman" w:cs="Times New Roman"/>
          <w:sz w:val="20"/>
          <w:szCs w:val="20"/>
        </w:rPr>
        <w:t xml:space="preserve"> [2]</w:t>
      </w:r>
      <w:r w:rsidR="00392EC1" w:rsidRPr="00392EC1">
        <w:rPr>
          <w:rFonts w:ascii="Times New Roman" w:hAnsi="Times New Roman" w:cs="Times New Roman"/>
          <w:sz w:val="20"/>
          <w:szCs w:val="20"/>
        </w:rPr>
        <w:t>.</w:t>
      </w:r>
    </w:p>
    <w:p w14:paraId="3BDD5BB7" w14:textId="77777777" w:rsidR="00251B66" w:rsidRDefault="00251B66" w:rsidP="00550E37">
      <w:pPr>
        <w:spacing w:after="0" w:line="240" w:lineRule="auto"/>
        <w:ind w:firstLine="360"/>
        <w:jc w:val="both"/>
        <w:rPr>
          <w:rFonts w:ascii="Times New Roman" w:hAnsi="Times New Roman" w:cs="Times New Roman"/>
          <w:sz w:val="20"/>
          <w:szCs w:val="20"/>
        </w:rPr>
      </w:pPr>
      <w:r w:rsidRPr="00251B66">
        <w:rPr>
          <w:rFonts w:ascii="Times New Roman" w:hAnsi="Times New Roman" w:cs="Times New Roman"/>
          <w:sz w:val="20"/>
          <w:szCs w:val="20"/>
        </w:rPr>
        <w:t>Over the decades, professional codes of ethics have acted as publicly declared benchmarks for standards of professional conduct that go above and beyond the minimum legal and societal requirements. These codes have also helped to impose a constructive, cohesive effect on individual members of a profession, and as products of professional associations, they represent the consensus of a wide variety of practitioners' viewpoints on current, real or potential, difficulties in practise.</w:t>
      </w:r>
    </w:p>
    <w:p w14:paraId="2022D1CA" w14:textId="36146162" w:rsidR="000176BA" w:rsidRPr="003F0EB6" w:rsidRDefault="000176BA" w:rsidP="00550E37">
      <w:pPr>
        <w:spacing w:after="0" w:line="240" w:lineRule="auto"/>
        <w:jc w:val="both"/>
        <w:rPr>
          <w:rFonts w:ascii="Times New Roman" w:hAnsi="Times New Roman" w:cs="Times New Roman"/>
          <w:sz w:val="20"/>
          <w:szCs w:val="20"/>
        </w:rPr>
      </w:pPr>
      <w:r w:rsidRPr="003F0EB6">
        <w:rPr>
          <w:rFonts w:ascii="Times New Roman" w:hAnsi="Times New Roman" w:cs="Times New Roman"/>
          <w:sz w:val="20"/>
          <w:szCs w:val="20"/>
        </w:rPr>
        <w:t xml:space="preserve">These four main principles are </w:t>
      </w:r>
    </w:p>
    <w:p w14:paraId="72D6EE06" w14:textId="547636D3" w:rsidR="000176BA" w:rsidRPr="00392EC1" w:rsidRDefault="003F0EB6" w:rsidP="00550E37">
      <w:pPr>
        <w:pStyle w:val="ListParagraph"/>
        <w:numPr>
          <w:ilvl w:val="0"/>
          <w:numId w:val="1"/>
        </w:numPr>
        <w:spacing w:after="0" w:line="240" w:lineRule="auto"/>
        <w:jc w:val="both"/>
        <w:rPr>
          <w:rFonts w:ascii="Times New Roman" w:hAnsi="Times New Roman" w:cs="Times New Roman"/>
          <w:sz w:val="20"/>
          <w:szCs w:val="20"/>
        </w:rPr>
      </w:pPr>
      <w:r w:rsidRPr="00392EC1">
        <w:rPr>
          <w:rFonts w:ascii="Times New Roman" w:hAnsi="Times New Roman" w:cs="Times New Roman"/>
          <w:sz w:val="20"/>
          <w:szCs w:val="20"/>
        </w:rPr>
        <w:t>R</w:t>
      </w:r>
      <w:r w:rsidR="000176BA" w:rsidRPr="00392EC1">
        <w:rPr>
          <w:rFonts w:ascii="Times New Roman" w:hAnsi="Times New Roman" w:cs="Times New Roman"/>
          <w:sz w:val="20"/>
          <w:szCs w:val="20"/>
        </w:rPr>
        <w:t>espect for autonomy (including the right to informed consent, privacy, refusal of treatment, veracity)</w:t>
      </w:r>
    </w:p>
    <w:p w14:paraId="3A764C7F" w14:textId="3B64B844" w:rsidR="000176BA" w:rsidRPr="00392EC1" w:rsidRDefault="003F0EB6" w:rsidP="00550E37">
      <w:pPr>
        <w:pStyle w:val="ListParagraph"/>
        <w:numPr>
          <w:ilvl w:val="0"/>
          <w:numId w:val="1"/>
        </w:numPr>
        <w:spacing w:after="0" w:line="240" w:lineRule="auto"/>
        <w:jc w:val="both"/>
        <w:rPr>
          <w:rFonts w:ascii="Times New Roman" w:hAnsi="Times New Roman" w:cs="Times New Roman"/>
          <w:sz w:val="20"/>
          <w:szCs w:val="20"/>
        </w:rPr>
      </w:pPr>
      <w:r w:rsidRPr="00392EC1">
        <w:rPr>
          <w:rFonts w:ascii="Times New Roman" w:hAnsi="Times New Roman" w:cs="Times New Roman"/>
          <w:sz w:val="20"/>
          <w:szCs w:val="20"/>
        </w:rPr>
        <w:t>B</w:t>
      </w:r>
      <w:r w:rsidR="000176BA" w:rsidRPr="00392EC1">
        <w:rPr>
          <w:rFonts w:ascii="Times New Roman" w:hAnsi="Times New Roman" w:cs="Times New Roman"/>
          <w:sz w:val="20"/>
          <w:szCs w:val="20"/>
        </w:rPr>
        <w:t>eneficence (the moral obligation to benefit others)</w:t>
      </w:r>
    </w:p>
    <w:p w14:paraId="676188C3" w14:textId="7E51A000" w:rsidR="000176BA" w:rsidRPr="00392EC1" w:rsidRDefault="003F0EB6" w:rsidP="00550E37">
      <w:pPr>
        <w:pStyle w:val="ListParagraph"/>
        <w:numPr>
          <w:ilvl w:val="0"/>
          <w:numId w:val="1"/>
        </w:numPr>
        <w:spacing w:after="0" w:line="240" w:lineRule="auto"/>
        <w:jc w:val="both"/>
        <w:rPr>
          <w:rFonts w:ascii="Times New Roman" w:hAnsi="Times New Roman" w:cs="Times New Roman"/>
          <w:sz w:val="20"/>
          <w:szCs w:val="20"/>
        </w:rPr>
      </w:pPr>
      <w:r w:rsidRPr="00392EC1">
        <w:rPr>
          <w:rFonts w:ascii="Times New Roman" w:hAnsi="Times New Roman" w:cs="Times New Roman"/>
          <w:sz w:val="20"/>
          <w:szCs w:val="20"/>
        </w:rPr>
        <w:t>N</w:t>
      </w:r>
      <w:r w:rsidR="000176BA" w:rsidRPr="00392EC1">
        <w:rPr>
          <w:rFonts w:ascii="Times New Roman" w:hAnsi="Times New Roman" w:cs="Times New Roman"/>
          <w:sz w:val="20"/>
          <w:szCs w:val="20"/>
        </w:rPr>
        <w:t>on-maleficence (to do no harm)</w:t>
      </w:r>
    </w:p>
    <w:p w14:paraId="23C89EDF" w14:textId="408C95A7" w:rsidR="000176BA" w:rsidRPr="00392EC1" w:rsidRDefault="003F0EB6" w:rsidP="00550E37">
      <w:pPr>
        <w:pStyle w:val="ListParagraph"/>
        <w:numPr>
          <w:ilvl w:val="0"/>
          <w:numId w:val="1"/>
        </w:numPr>
        <w:spacing w:after="0" w:line="240" w:lineRule="auto"/>
        <w:jc w:val="both"/>
        <w:rPr>
          <w:rFonts w:ascii="Times New Roman" w:hAnsi="Times New Roman" w:cs="Times New Roman"/>
          <w:sz w:val="20"/>
          <w:szCs w:val="20"/>
        </w:rPr>
      </w:pPr>
      <w:r w:rsidRPr="00392EC1">
        <w:rPr>
          <w:rFonts w:ascii="Times New Roman" w:hAnsi="Times New Roman" w:cs="Times New Roman"/>
          <w:sz w:val="20"/>
          <w:szCs w:val="20"/>
        </w:rPr>
        <w:t>J</w:t>
      </w:r>
      <w:r w:rsidR="000176BA" w:rsidRPr="00392EC1">
        <w:rPr>
          <w:rFonts w:ascii="Times New Roman" w:hAnsi="Times New Roman" w:cs="Times New Roman"/>
          <w:sz w:val="20"/>
          <w:szCs w:val="20"/>
        </w:rPr>
        <w:t>ustice (fair, equitable and appropriate treatment in light of what is due or owed).</w:t>
      </w:r>
    </w:p>
    <w:p w14:paraId="6D7B1EAE" w14:textId="50AA7AB9" w:rsidR="000176BA" w:rsidRDefault="000176BA" w:rsidP="00550E37">
      <w:pPr>
        <w:spacing w:after="0" w:line="240" w:lineRule="auto"/>
        <w:jc w:val="both"/>
        <w:rPr>
          <w:rFonts w:ascii="Times New Roman" w:hAnsi="Times New Roman" w:cs="Times New Roman"/>
          <w:sz w:val="20"/>
          <w:szCs w:val="20"/>
        </w:rPr>
      </w:pPr>
      <w:r w:rsidRPr="003F0EB6">
        <w:rPr>
          <w:rFonts w:ascii="Times New Roman" w:hAnsi="Times New Roman" w:cs="Times New Roman"/>
          <w:sz w:val="20"/>
          <w:szCs w:val="20"/>
        </w:rPr>
        <w:t>While previous generations of codes of ethics in pharmacy would traditionally focus on two of these principles: beneficence and non-maleficence, it has only been since the advent of bioethics and the heightening of public expectation that the remaining two principles, autonomy and justice, have come to prominence</w:t>
      </w:r>
      <w:r w:rsidR="00550E37">
        <w:rPr>
          <w:rFonts w:ascii="Times New Roman" w:hAnsi="Times New Roman" w:cs="Times New Roman"/>
          <w:sz w:val="20"/>
          <w:szCs w:val="20"/>
        </w:rPr>
        <w:t xml:space="preserve"> </w:t>
      </w:r>
      <w:r w:rsidR="00A92AF9">
        <w:rPr>
          <w:rFonts w:ascii="Times New Roman" w:hAnsi="Times New Roman" w:cs="Times New Roman"/>
          <w:sz w:val="20"/>
          <w:szCs w:val="20"/>
        </w:rPr>
        <w:t>[3]</w:t>
      </w:r>
      <w:r w:rsidR="00550E37">
        <w:rPr>
          <w:rFonts w:ascii="Times New Roman" w:hAnsi="Times New Roman" w:cs="Times New Roman"/>
          <w:sz w:val="20"/>
          <w:szCs w:val="20"/>
        </w:rPr>
        <w:t>.</w:t>
      </w:r>
    </w:p>
    <w:p w14:paraId="1DB6F973" w14:textId="6E38A43A" w:rsidR="00392EC1" w:rsidRPr="00EF792B" w:rsidRDefault="00550E37" w:rsidP="00550E37">
      <w:pPr>
        <w:pStyle w:val="ListParagraph"/>
        <w:spacing w:after="0" w:line="240" w:lineRule="auto"/>
        <w:ind w:left="360"/>
        <w:jc w:val="center"/>
        <w:rPr>
          <w:rFonts w:ascii="Times New Roman" w:hAnsi="Times New Roman" w:cs="Times New Roman"/>
          <w:b/>
          <w:sz w:val="20"/>
          <w:szCs w:val="20"/>
        </w:rPr>
      </w:pPr>
      <w:r>
        <w:rPr>
          <w:rFonts w:ascii="Times New Roman" w:hAnsi="Times New Roman" w:cs="Times New Roman"/>
          <w:b/>
          <w:sz w:val="20"/>
          <w:szCs w:val="20"/>
        </w:rPr>
        <w:t>II.</w:t>
      </w:r>
      <w:r w:rsidRPr="00EF792B">
        <w:rPr>
          <w:rFonts w:ascii="Times New Roman" w:hAnsi="Times New Roman" w:cs="Times New Roman"/>
          <w:b/>
          <w:sz w:val="20"/>
          <w:szCs w:val="20"/>
        </w:rPr>
        <w:t>THE RANDOMISED CONTROLLED TRIAL</w:t>
      </w:r>
    </w:p>
    <w:p w14:paraId="5DC281BD" w14:textId="1C804893" w:rsidR="00392EC1" w:rsidRDefault="00392EC1" w:rsidP="00550E37">
      <w:pPr>
        <w:spacing w:after="0" w:line="240" w:lineRule="auto"/>
        <w:ind w:firstLine="360"/>
        <w:jc w:val="both"/>
        <w:rPr>
          <w:rFonts w:ascii="Times New Roman" w:hAnsi="Times New Roman" w:cs="Times New Roman"/>
          <w:sz w:val="20"/>
          <w:szCs w:val="20"/>
        </w:rPr>
      </w:pPr>
      <w:r w:rsidRPr="00392EC1">
        <w:rPr>
          <w:rFonts w:ascii="Times New Roman" w:hAnsi="Times New Roman" w:cs="Times New Roman"/>
          <w:sz w:val="20"/>
          <w:szCs w:val="20"/>
        </w:rPr>
        <w:t>The randomised controlled trial (RCT) consists, in its most conventional form, in a comparison of the action of the experimental treatment versus the untreated progression of an illness under study. The comparison takes place under tightly controlled conditions in order to extrapolate a generalisable conclusion from the study.</w:t>
      </w:r>
      <w:r w:rsidR="00A92AF9">
        <w:rPr>
          <w:rFonts w:ascii="Times New Roman" w:hAnsi="Times New Roman" w:cs="Times New Roman"/>
          <w:sz w:val="20"/>
          <w:szCs w:val="20"/>
        </w:rPr>
        <w:t>[4]</w:t>
      </w:r>
    </w:p>
    <w:p w14:paraId="1C167370" w14:textId="1C3AAFDC" w:rsidR="00392EC1" w:rsidRDefault="00392EC1" w:rsidP="00550E37">
      <w:pPr>
        <w:spacing w:after="0" w:line="240" w:lineRule="auto"/>
        <w:jc w:val="both"/>
        <w:rPr>
          <w:rFonts w:ascii="Times New Roman" w:hAnsi="Times New Roman" w:cs="Times New Roman"/>
          <w:sz w:val="20"/>
          <w:szCs w:val="20"/>
        </w:rPr>
      </w:pPr>
      <w:r w:rsidRPr="00392EC1">
        <w:rPr>
          <w:rFonts w:ascii="Times New Roman" w:hAnsi="Times New Roman" w:cs="Times New Roman"/>
          <w:sz w:val="20"/>
          <w:szCs w:val="20"/>
        </w:rPr>
        <w:t xml:space="preserve">Several aspects of the scientific design of trials have precisely the objective of minimising this kind of interferences on the results. One of the most notorious such aspects is randomised allocation of subjects, typically associated with blindfolding of participants and possibly also of investigators. Patients entering a trial are assigned to either the experimental or the control group following a non-predictable, </w:t>
      </w:r>
      <w:proofErr w:type="gramStart"/>
      <w:r w:rsidRPr="00392EC1">
        <w:rPr>
          <w:rFonts w:ascii="Times New Roman" w:hAnsi="Times New Roman" w:cs="Times New Roman"/>
          <w:sz w:val="20"/>
          <w:szCs w:val="20"/>
        </w:rPr>
        <w:t>chance</w:t>
      </w:r>
      <w:r w:rsidR="00E57B0E">
        <w:rPr>
          <w:rFonts w:ascii="Times New Roman" w:hAnsi="Times New Roman" w:cs="Times New Roman"/>
          <w:sz w:val="20"/>
          <w:szCs w:val="20"/>
        </w:rPr>
        <w:t xml:space="preserve"> </w:t>
      </w:r>
      <w:r w:rsidRPr="00392EC1">
        <w:rPr>
          <w:rFonts w:ascii="Times New Roman" w:hAnsi="Times New Roman" w:cs="Times New Roman"/>
          <w:sz w:val="20"/>
          <w:szCs w:val="20"/>
        </w:rPr>
        <w:t>based</w:t>
      </w:r>
      <w:proofErr w:type="gramEnd"/>
      <w:r w:rsidRPr="00392EC1">
        <w:rPr>
          <w:rFonts w:ascii="Times New Roman" w:hAnsi="Times New Roman" w:cs="Times New Roman"/>
          <w:sz w:val="20"/>
          <w:szCs w:val="20"/>
        </w:rPr>
        <w:t xml:space="preserve"> procedure, and neither they nor the investigators and the participating physicians know to which arm they have been assigned. This procedure has the primary objective of removing subjective interferences, for instance, the possibility that investigators assign healthier patients to one ar</w:t>
      </w:r>
      <w:r>
        <w:rPr>
          <w:rFonts w:ascii="Times New Roman" w:hAnsi="Times New Roman" w:cs="Times New Roman"/>
          <w:sz w:val="20"/>
          <w:szCs w:val="20"/>
        </w:rPr>
        <w:t>m of the study to begin with</w:t>
      </w:r>
      <w:r w:rsidRPr="00392EC1">
        <w:rPr>
          <w:rFonts w:ascii="Times New Roman" w:hAnsi="Times New Roman" w:cs="Times New Roman"/>
          <w:sz w:val="20"/>
          <w:szCs w:val="20"/>
        </w:rPr>
        <w:t>. Analogously, the methodology of the statistical test of significance is used as an impartial way to distinguish genuine differences in treatment effectiveness from occasional fluctuations in patients’ response to treatment, even though the adequacy of the significance test to this task is a subject of m</w:t>
      </w:r>
      <w:r>
        <w:rPr>
          <w:rFonts w:ascii="Times New Roman" w:hAnsi="Times New Roman" w:cs="Times New Roman"/>
          <w:sz w:val="20"/>
          <w:szCs w:val="20"/>
        </w:rPr>
        <w:t>uch methodological controversy</w:t>
      </w:r>
      <w:r w:rsidRPr="00392EC1">
        <w:rPr>
          <w:rFonts w:ascii="Times New Roman" w:hAnsi="Times New Roman" w:cs="Times New Roman"/>
          <w:sz w:val="20"/>
          <w:szCs w:val="20"/>
        </w:rPr>
        <w:t>. Because of its scientific credentials, the RCT methodology is currently considered the gold standard in treatment evaluation. Over the past several decades, RCTs prevailed over clinical judgement, case report, and observational studies as evidential standards in medicine, largely due the effort of the movement know</w:t>
      </w:r>
      <w:r>
        <w:rPr>
          <w:rFonts w:ascii="Times New Roman" w:hAnsi="Times New Roman" w:cs="Times New Roman"/>
          <w:sz w:val="20"/>
          <w:szCs w:val="20"/>
        </w:rPr>
        <w:t>n as evidence-based medicine</w:t>
      </w:r>
      <w:r w:rsidRPr="00392EC1">
        <w:rPr>
          <w:rFonts w:ascii="Times New Roman" w:hAnsi="Times New Roman" w:cs="Times New Roman"/>
          <w:sz w:val="20"/>
          <w:szCs w:val="20"/>
        </w:rPr>
        <w:t>. Furthermore, during the same time frame, RCTs became a crucial part of the regulatory process whereby a new therapeutic can gain access to the drug market. Nowadays, clinical trials are large and tightly regulated enterprises that have to comply with ethical requirements while at the same time maintaining high epistemic standards, in a balance that becomes increasingly difficult as the research questions become more sophisticated</w:t>
      </w:r>
      <w:r w:rsidR="00550E37">
        <w:rPr>
          <w:rFonts w:ascii="Times New Roman" w:hAnsi="Times New Roman" w:cs="Times New Roman"/>
          <w:sz w:val="20"/>
          <w:szCs w:val="20"/>
        </w:rPr>
        <w:t xml:space="preserve"> </w:t>
      </w:r>
      <w:r w:rsidR="00A92AF9">
        <w:rPr>
          <w:rFonts w:ascii="Times New Roman" w:hAnsi="Times New Roman" w:cs="Times New Roman"/>
          <w:sz w:val="20"/>
          <w:szCs w:val="20"/>
        </w:rPr>
        <w:t>[4]</w:t>
      </w:r>
      <w:r w:rsidR="00550E37">
        <w:rPr>
          <w:rFonts w:ascii="Times New Roman" w:hAnsi="Times New Roman" w:cs="Times New Roman"/>
          <w:sz w:val="20"/>
          <w:szCs w:val="20"/>
        </w:rPr>
        <w:t>.</w:t>
      </w:r>
    </w:p>
    <w:p w14:paraId="4A200504" w14:textId="21123CBA" w:rsidR="00392EC1" w:rsidRPr="00BB435D" w:rsidRDefault="00550E37" w:rsidP="00550E3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III.</w:t>
      </w:r>
      <w:r w:rsidRPr="00BB435D">
        <w:rPr>
          <w:rFonts w:ascii="Times New Roman" w:hAnsi="Times New Roman" w:cs="Times New Roman"/>
          <w:b/>
          <w:sz w:val="20"/>
          <w:szCs w:val="20"/>
        </w:rPr>
        <w:t>THE MAIN ETHICAL ISSUES SURROUNDING RCTS</w:t>
      </w:r>
    </w:p>
    <w:p w14:paraId="769683E8" w14:textId="541DE385" w:rsidR="00392EC1" w:rsidRDefault="00392EC1" w:rsidP="00550E37">
      <w:pPr>
        <w:spacing w:after="0" w:line="240" w:lineRule="auto"/>
        <w:ind w:firstLine="360"/>
        <w:jc w:val="both"/>
        <w:rPr>
          <w:rFonts w:ascii="Times New Roman" w:hAnsi="Times New Roman" w:cs="Times New Roman"/>
          <w:sz w:val="20"/>
          <w:szCs w:val="20"/>
        </w:rPr>
      </w:pPr>
      <w:r w:rsidRPr="00392EC1">
        <w:rPr>
          <w:rFonts w:ascii="Times New Roman" w:hAnsi="Times New Roman" w:cs="Times New Roman"/>
          <w:sz w:val="20"/>
          <w:szCs w:val="20"/>
        </w:rPr>
        <w:t>The general problem with the ethics of clinical trials stems from the fact that those who stand to gain from the trial results are not the same that bear the risk and burden of trial participation. Participation in a clinical trial entails an increased level of risk with respect to ordinary clinical care, particularly due to the potential for exposure to unexpected effects of a new treatment. These risks are actually not offset by a prospective clinical benefit, since the primary end of the trial is not that of treating trial participants but rather that of producing generalisable medical knowledge. In the following, we will see that this ethical tension has several facets, according to which aspect of the RCT is put in the spotlight. For each of the problematic aspects that will be examined—informed consent, use of placebo, randomisation, and protection of participants—the author will provide a brief introduction, then present the ethical principles and concepts that come into play, and finally discuss the most relevant issues that are still open on the subject</w:t>
      </w:r>
      <w:r w:rsidR="00550E37">
        <w:rPr>
          <w:rFonts w:ascii="Times New Roman" w:hAnsi="Times New Roman" w:cs="Times New Roman"/>
          <w:sz w:val="20"/>
          <w:szCs w:val="20"/>
        </w:rPr>
        <w:t xml:space="preserve"> </w:t>
      </w:r>
      <w:r w:rsidR="00571CF2">
        <w:rPr>
          <w:rFonts w:ascii="Times New Roman" w:hAnsi="Times New Roman" w:cs="Times New Roman"/>
          <w:sz w:val="20"/>
          <w:szCs w:val="20"/>
        </w:rPr>
        <w:t>[5]</w:t>
      </w:r>
      <w:r w:rsidR="00550E37">
        <w:rPr>
          <w:rFonts w:ascii="Times New Roman" w:hAnsi="Times New Roman" w:cs="Times New Roman"/>
          <w:sz w:val="20"/>
          <w:szCs w:val="20"/>
        </w:rPr>
        <w:t>.</w:t>
      </w:r>
    </w:p>
    <w:p w14:paraId="321059AB" w14:textId="016543D6" w:rsidR="00392EC1" w:rsidRPr="00EF792B" w:rsidRDefault="00550E37" w:rsidP="00550E37">
      <w:pPr>
        <w:pStyle w:val="ListParagraph"/>
        <w:spacing w:after="0" w:line="240" w:lineRule="auto"/>
        <w:ind w:left="360"/>
        <w:jc w:val="center"/>
        <w:rPr>
          <w:rFonts w:ascii="Times New Roman" w:hAnsi="Times New Roman" w:cs="Times New Roman"/>
          <w:b/>
          <w:sz w:val="20"/>
          <w:szCs w:val="20"/>
        </w:rPr>
      </w:pPr>
      <w:r>
        <w:rPr>
          <w:rFonts w:ascii="Times New Roman" w:hAnsi="Times New Roman" w:cs="Times New Roman"/>
          <w:b/>
          <w:sz w:val="20"/>
          <w:szCs w:val="20"/>
        </w:rPr>
        <w:t>IV.</w:t>
      </w:r>
      <w:r w:rsidRPr="00EF792B">
        <w:rPr>
          <w:rFonts w:ascii="Times New Roman" w:hAnsi="Times New Roman" w:cs="Times New Roman"/>
          <w:b/>
          <w:sz w:val="20"/>
          <w:szCs w:val="20"/>
        </w:rPr>
        <w:t>PARTICIPATION AND INFORMED CONSENT</w:t>
      </w:r>
    </w:p>
    <w:p w14:paraId="00ADD9BD" w14:textId="1156E638" w:rsidR="00392EC1" w:rsidRDefault="00392EC1" w:rsidP="00550E37">
      <w:pPr>
        <w:spacing w:after="0" w:line="240" w:lineRule="auto"/>
        <w:ind w:firstLine="360"/>
        <w:jc w:val="both"/>
        <w:rPr>
          <w:rFonts w:ascii="Times New Roman" w:hAnsi="Times New Roman" w:cs="Times New Roman"/>
          <w:sz w:val="20"/>
          <w:szCs w:val="20"/>
        </w:rPr>
      </w:pPr>
      <w:r w:rsidRPr="00392EC1">
        <w:rPr>
          <w:rFonts w:ascii="Times New Roman" w:hAnsi="Times New Roman" w:cs="Times New Roman"/>
          <w:sz w:val="20"/>
          <w:szCs w:val="20"/>
        </w:rPr>
        <w:t>The past history of medical research features several episodes in which the burdens of research participation were placed disproportionally on trial participants, either by deceiving them with the promise of a cure or by deliberately concealing that they were taking part in research. In our modern ethical conception, this is no longer considered acceptable, and all research conducted on human subjects must be pre-emptively accepted by the subject themselves through the procedure known as informed consent. One of the most important ethical constructs of modern biomedical ethics, informed consent is nowadays an essential condition both for therapy and research. Written authorisation forms were occasionally submitted to participants also in the early times of medical experimentation. However, this was, in most of the cases, a device aimed at ensuring the subject’s compliance rather than an expression of concern for their welfare. Modern informed consent is very different from these early instances in that it stems from a basic principle, expressed in the Nuremberg Code, of the respect due to persons and the value of a person’s autonomy</w:t>
      </w:r>
      <w:r w:rsidR="00550E37">
        <w:rPr>
          <w:rFonts w:ascii="Times New Roman" w:hAnsi="Times New Roman" w:cs="Times New Roman"/>
          <w:sz w:val="20"/>
          <w:szCs w:val="20"/>
        </w:rPr>
        <w:t xml:space="preserve"> </w:t>
      </w:r>
      <w:r w:rsidR="00571CF2">
        <w:rPr>
          <w:rFonts w:ascii="Times New Roman" w:hAnsi="Times New Roman" w:cs="Times New Roman"/>
          <w:sz w:val="20"/>
          <w:szCs w:val="20"/>
        </w:rPr>
        <w:t>[6]</w:t>
      </w:r>
      <w:r w:rsidR="00550E37">
        <w:rPr>
          <w:rFonts w:ascii="Times New Roman" w:hAnsi="Times New Roman" w:cs="Times New Roman"/>
          <w:sz w:val="20"/>
          <w:szCs w:val="20"/>
        </w:rPr>
        <w:t>.</w:t>
      </w:r>
    </w:p>
    <w:p w14:paraId="39913A55" w14:textId="004DA940" w:rsidR="00392EC1" w:rsidRPr="00EF792B" w:rsidRDefault="00550E37" w:rsidP="00550E37">
      <w:pPr>
        <w:pStyle w:val="ListParagraph"/>
        <w:spacing w:after="0" w:line="240" w:lineRule="auto"/>
        <w:ind w:left="360"/>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V. </w:t>
      </w:r>
      <w:r w:rsidRPr="00EF792B">
        <w:rPr>
          <w:rFonts w:ascii="Times New Roman" w:hAnsi="Times New Roman" w:cs="Times New Roman"/>
          <w:b/>
          <w:sz w:val="20"/>
          <w:szCs w:val="20"/>
        </w:rPr>
        <w:t>USE OF PLACEBO AND DECEPTION</w:t>
      </w:r>
    </w:p>
    <w:p w14:paraId="13B5B658" w14:textId="45AFC7DF" w:rsidR="00392EC1" w:rsidRDefault="00392EC1" w:rsidP="00550E37">
      <w:pPr>
        <w:spacing w:after="0" w:line="240" w:lineRule="auto"/>
        <w:ind w:firstLine="360"/>
        <w:jc w:val="both"/>
        <w:rPr>
          <w:rFonts w:ascii="Times New Roman" w:hAnsi="Times New Roman" w:cs="Times New Roman"/>
          <w:sz w:val="20"/>
          <w:szCs w:val="20"/>
        </w:rPr>
      </w:pPr>
      <w:r w:rsidRPr="00392EC1">
        <w:rPr>
          <w:rFonts w:ascii="Times New Roman" w:hAnsi="Times New Roman" w:cs="Times New Roman"/>
          <w:sz w:val="20"/>
          <w:szCs w:val="20"/>
        </w:rPr>
        <w:t xml:space="preserve">In most of the ethical regulations and research guidelines, the use of placebo controls is subjected to a delicate </w:t>
      </w:r>
      <w:r w:rsidR="00023C79" w:rsidRPr="00392EC1">
        <w:rPr>
          <w:rFonts w:ascii="Times New Roman" w:hAnsi="Times New Roman" w:cs="Times New Roman"/>
          <w:sz w:val="20"/>
          <w:szCs w:val="20"/>
        </w:rPr>
        <w:t>trade-off</w:t>
      </w:r>
      <w:r w:rsidRPr="00392EC1">
        <w:rPr>
          <w:rFonts w:ascii="Times New Roman" w:hAnsi="Times New Roman" w:cs="Times New Roman"/>
          <w:sz w:val="20"/>
          <w:szCs w:val="20"/>
        </w:rPr>
        <w:t xml:space="preserve"> between the stringency of the scientific rationale for using it, and the possibility of harm for participating patients. For instance, according to the Declaration of Helsinki in its most recent formulation, the use of placebo is acceptable under the condition that no proven treatment exists, but also ‘where for compelling and scientifically sound methodological reasons, [it] is necessary to determine the efficacy or safety of an intervention’, provided that ‘the patients who receive placebo or no treatment will not be subjected to any risk of serious or irreversible harm</w:t>
      </w:r>
      <w:r w:rsidR="00225C2F">
        <w:rPr>
          <w:rFonts w:ascii="Times New Roman" w:hAnsi="Times New Roman" w:cs="Times New Roman"/>
          <w:sz w:val="20"/>
          <w:szCs w:val="20"/>
        </w:rPr>
        <w:t xml:space="preserve"> </w:t>
      </w:r>
      <w:r w:rsidR="00571CF2">
        <w:rPr>
          <w:rFonts w:ascii="Times New Roman" w:hAnsi="Times New Roman" w:cs="Times New Roman"/>
          <w:sz w:val="20"/>
          <w:szCs w:val="20"/>
        </w:rPr>
        <w:t>[7]</w:t>
      </w:r>
      <w:r w:rsidR="00225C2F">
        <w:rPr>
          <w:rFonts w:ascii="Times New Roman" w:hAnsi="Times New Roman" w:cs="Times New Roman"/>
          <w:sz w:val="20"/>
          <w:szCs w:val="20"/>
        </w:rPr>
        <w:t>.</w:t>
      </w:r>
    </w:p>
    <w:p w14:paraId="740A65EE" w14:textId="0A7ADE19" w:rsidR="00392EC1" w:rsidRPr="00EF792B" w:rsidRDefault="00550E37" w:rsidP="00550E37">
      <w:pPr>
        <w:pStyle w:val="ListParagraph"/>
        <w:spacing w:after="0" w:line="240" w:lineRule="auto"/>
        <w:ind w:left="360"/>
        <w:jc w:val="center"/>
        <w:rPr>
          <w:rFonts w:ascii="Times New Roman" w:hAnsi="Times New Roman" w:cs="Times New Roman"/>
          <w:b/>
          <w:sz w:val="20"/>
          <w:szCs w:val="20"/>
        </w:rPr>
      </w:pPr>
      <w:bookmarkStart w:id="2" w:name="_Hlk111891019"/>
      <w:r>
        <w:rPr>
          <w:rFonts w:ascii="Times New Roman" w:hAnsi="Times New Roman" w:cs="Times New Roman"/>
          <w:b/>
          <w:sz w:val="20"/>
          <w:szCs w:val="20"/>
        </w:rPr>
        <w:t>VI.</w:t>
      </w:r>
      <w:r w:rsidRPr="00EF792B">
        <w:rPr>
          <w:rFonts w:ascii="Times New Roman" w:hAnsi="Times New Roman" w:cs="Times New Roman"/>
          <w:b/>
          <w:sz w:val="20"/>
          <w:szCs w:val="20"/>
        </w:rPr>
        <w:t xml:space="preserve"> RANDOMISATION AND BLINDING, AND EQUIPOISE</w:t>
      </w:r>
    </w:p>
    <w:bookmarkEnd w:id="2"/>
    <w:p w14:paraId="6110F3F6" w14:textId="23FC5FDB" w:rsidR="00C47703" w:rsidRDefault="00E57B0E" w:rsidP="00550E37">
      <w:pPr>
        <w:spacing w:after="0" w:line="240" w:lineRule="auto"/>
        <w:ind w:firstLine="360"/>
        <w:jc w:val="both"/>
        <w:rPr>
          <w:rFonts w:ascii="Times New Roman" w:hAnsi="Times New Roman" w:cs="Times New Roman"/>
          <w:sz w:val="20"/>
          <w:szCs w:val="20"/>
        </w:rPr>
      </w:pPr>
      <w:r w:rsidRPr="00E57B0E">
        <w:rPr>
          <w:rFonts w:ascii="Times New Roman" w:hAnsi="Times New Roman" w:cs="Times New Roman"/>
          <w:sz w:val="20"/>
          <w:szCs w:val="20"/>
        </w:rPr>
        <w:t>RCTs, by definition, include randomization and, in certain cases, blindfolding of participants. These two epistemic devices are required to rule out the most evident perturbations of the trial outcome caused by investigator or patient intervention. However, randomization and blinding may clash with the specific interests of persons taking part in the experiment. The primary reason for this contradiction is that when randomization and blinding are used, patients cannot receive tailored treatment recommendations based on their condition. Patients, on the other hand, explicitly consent to this when they sign up for trial participation. However, randomization between the two arms of the trial raises another ethical question that is not readily disregarded.</w:t>
      </w:r>
      <w:r>
        <w:rPr>
          <w:rFonts w:ascii="Times New Roman" w:hAnsi="Times New Roman" w:cs="Times New Roman"/>
          <w:sz w:val="20"/>
          <w:szCs w:val="20"/>
        </w:rPr>
        <w:t xml:space="preserve"> </w:t>
      </w:r>
      <w:r w:rsidRPr="00E57B0E">
        <w:rPr>
          <w:rFonts w:ascii="Times New Roman" w:hAnsi="Times New Roman" w:cs="Times New Roman"/>
          <w:sz w:val="20"/>
          <w:szCs w:val="20"/>
        </w:rPr>
        <w:t>Participating patients in an active-controlled RCT have a possibility of obtaining a therapy that turns out to be inferior. This is especially troublesome if the experimental treatment turns out to be worse than the standard of care accessible outside of the study, because it is a widely accepted ethical precept that patients should be given the best confirmed standard of care wherever possible. Apparently, randomization damages trial participants since they may be denied the greatest level of treatment available by enrolling in the study.</w:t>
      </w:r>
      <w:r>
        <w:rPr>
          <w:rFonts w:ascii="Times New Roman" w:hAnsi="Times New Roman" w:cs="Times New Roman"/>
          <w:sz w:val="20"/>
          <w:szCs w:val="20"/>
        </w:rPr>
        <w:t xml:space="preserve"> </w:t>
      </w:r>
      <w:r w:rsidR="00392EC1" w:rsidRPr="00392EC1">
        <w:rPr>
          <w:rFonts w:ascii="Times New Roman" w:hAnsi="Times New Roman" w:cs="Times New Roman"/>
          <w:sz w:val="20"/>
          <w:szCs w:val="20"/>
        </w:rPr>
        <w:t>The view that is currently prevalent in the ethical literature is that equipoise, denoting an epistemic state of indifference between two treatments, can relieve this ethical tension. If the medical community is in equipoise, this means that there exists a state of ‘honest professional disagreement’ among medical scientists about which treatment is best</w:t>
      </w:r>
      <w:r w:rsidR="00225C2F">
        <w:rPr>
          <w:rFonts w:ascii="Times New Roman" w:hAnsi="Times New Roman" w:cs="Times New Roman"/>
          <w:sz w:val="20"/>
          <w:szCs w:val="20"/>
        </w:rPr>
        <w:t xml:space="preserve"> </w:t>
      </w:r>
      <w:r w:rsidR="00571CF2">
        <w:rPr>
          <w:rFonts w:ascii="Times New Roman" w:hAnsi="Times New Roman" w:cs="Times New Roman"/>
          <w:sz w:val="20"/>
          <w:szCs w:val="20"/>
        </w:rPr>
        <w:t>[8]</w:t>
      </w:r>
      <w:r w:rsidR="00225C2F">
        <w:rPr>
          <w:rFonts w:ascii="Times New Roman" w:hAnsi="Times New Roman" w:cs="Times New Roman"/>
          <w:sz w:val="20"/>
          <w:szCs w:val="20"/>
        </w:rPr>
        <w:t>.</w:t>
      </w:r>
    </w:p>
    <w:p w14:paraId="65D5B3F9" w14:textId="38DA58F2" w:rsidR="00C47703" w:rsidRPr="00EF792B" w:rsidRDefault="00550E37" w:rsidP="00550E37">
      <w:pPr>
        <w:pStyle w:val="ListParagraph"/>
        <w:spacing w:after="0" w:line="240" w:lineRule="auto"/>
        <w:ind w:left="360"/>
        <w:jc w:val="center"/>
        <w:rPr>
          <w:rFonts w:ascii="Times New Roman" w:hAnsi="Times New Roman" w:cs="Times New Roman"/>
          <w:b/>
          <w:sz w:val="20"/>
          <w:szCs w:val="20"/>
        </w:rPr>
      </w:pPr>
      <w:r>
        <w:rPr>
          <w:rFonts w:ascii="Times New Roman" w:hAnsi="Times New Roman" w:cs="Times New Roman"/>
          <w:b/>
          <w:sz w:val="20"/>
          <w:szCs w:val="20"/>
        </w:rPr>
        <w:t xml:space="preserve">VII. </w:t>
      </w:r>
      <w:r w:rsidRPr="00EF792B">
        <w:rPr>
          <w:rFonts w:ascii="Times New Roman" w:hAnsi="Times New Roman" w:cs="Times New Roman"/>
          <w:b/>
          <w:sz w:val="20"/>
          <w:szCs w:val="20"/>
        </w:rPr>
        <w:t>NAVIGATING BETWEEN EXPLOITATION AND OVERPROTECTION OF PATIENTS</w:t>
      </w:r>
    </w:p>
    <w:p w14:paraId="37A4D6C8" w14:textId="6106481D" w:rsidR="00392EC1" w:rsidRDefault="00011FB0" w:rsidP="00550E37">
      <w:pPr>
        <w:spacing w:after="0" w:line="240" w:lineRule="auto"/>
        <w:ind w:firstLine="360"/>
        <w:jc w:val="both"/>
        <w:rPr>
          <w:rFonts w:ascii="Times New Roman" w:hAnsi="Times New Roman" w:cs="Times New Roman"/>
          <w:sz w:val="20"/>
          <w:szCs w:val="20"/>
        </w:rPr>
      </w:pPr>
      <w:r w:rsidRPr="00011FB0">
        <w:rPr>
          <w:rFonts w:ascii="Times New Roman" w:hAnsi="Times New Roman" w:cs="Times New Roman"/>
          <w:sz w:val="20"/>
          <w:szCs w:val="20"/>
        </w:rPr>
        <w:t>In clinical research, there is a divide between those who are exposed to the risk of a medical intervention—the trial participants—and those who are the intended beneficiaries of the trial results—future patients and society at general. This gap was mentioned in the section's introduction. Most ethical rules currently in use, which were developed with a focus on safeguarding participants from the dangers and costs of research, were developed with the existence of this gap in mind.</w:t>
      </w:r>
      <w:r>
        <w:rPr>
          <w:rFonts w:ascii="Times New Roman" w:hAnsi="Times New Roman" w:cs="Times New Roman"/>
          <w:sz w:val="20"/>
          <w:szCs w:val="20"/>
        </w:rPr>
        <w:t xml:space="preserve"> </w:t>
      </w:r>
      <w:r w:rsidRPr="00011FB0">
        <w:rPr>
          <w:rFonts w:ascii="Times New Roman" w:hAnsi="Times New Roman" w:cs="Times New Roman"/>
          <w:sz w:val="20"/>
          <w:szCs w:val="20"/>
        </w:rPr>
        <w:t>The Helsinki Declaration, for instance, states that "the individual study subject's welfare must take precedence above all other interests." But in recent years, the emphasis on participant protection has led to an increasing amount of criticism for this paradigm. Generally speaking, two factors work against it. among outcomes with an equal value at the outset</w:t>
      </w:r>
      <w:r w:rsidR="00225C2F">
        <w:rPr>
          <w:rFonts w:ascii="Times New Roman" w:hAnsi="Times New Roman" w:cs="Times New Roman"/>
          <w:sz w:val="20"/>
          <w:szCs w:val="20"/>
        </w:rPr>
        <w:t xml:space="preserve"> </w:t>
      </w:r>
      <w:r w:rsidR="00A367CF">
        <w:rPr>
          <w:rFonts w:ascii="Times New Roman" w:hAnsi="Times New Roman" w:cs="Times New Roman"/>
          <w:sz w:val="20"/>
          <w:szCs w:val="20"/>
        </w:rPr>
        <w:t>[9]</w:t>
      </w:r>
      <w:r w:rsidR="00225C2F">
        <w:rPr>
          <w:rFonts w:ascii="Times New Roman" w:hAnsi="Times New Roman" w:cs="Times New Roman"/>
          <w:sz w:val="20"/>
          <w:szCs w:val="20"/>
        </w:rPr>
        <w:t>.</w:t>
      </w:r>
    </w:p>
    <w:p w14:paraId="11E9E3FE" w14:textId="6FC3EC9D" w:rsidR="00C47703" w:rsidRPr="00EF792B" w:rsidRDefault="00550E37" w:rsidP="00550E37">
      <w:pPr>
        <w:pStyle w:val="ListParagraph"/>
        <w:spacing w:after="0" w:line="240" w:lineRule="auto"/>
        <w:ind w:left="360"/>
        <w:jc w:val="center"/>
        <w:rPr>
          <w:rFonts w:ascii="Times New Roman" w:hAnsi="Times New Roman" w:cs="Times New Roman"/>
          <w:b/>
          <w:sz w:val="20"/>
          <w:szCs w:val="20"/>
        </w:rPr>
      </w:pPr>
      <w:r>
        <w:rPr>
          <w:rFonts w:ascii="Times New Roman" w:hAnsi="Times New Roman" w:cs="Times New Roman"/>
          <w:b/>
          <w:sz w:val="20"/>
          <w:szCs w:val="20"/>
        </w:rPr>
        <w:t xml:space="preserve">VIII. </w:t>
      </w:r>
      <w:r w:rsidRPr="00EF792B">
        <w:rPr>
          <w:rFonts w:ascii="Times New Roman" w:hAnsi="Times New Roman" w:cs="Times New Roman"/>
          <w:b/>
          <w:sz w:val="20"/>
          <w:szCs w:val="20"/>
        </w:rPr>
        <w:t>AN OUTLOOK ON ONCOLOGICAL RESEARCH</w:t>
      </w:r>
    </w:p>
    <w:p w14:paraId="320EB8EC" w14:textId="34EDED53" w:rsidR="00A73471" w:rsidRDefault="00011FB0" w:rsidP="00550E37">
      <w:pPr>
        <w:spacing w:after="0" w:line="240" w:lineRule="auto"/>
        <w:ind w:firstLine="360"/>
        <w:jc w:val="both"/>
        <w:rPr>
          <w:rFonts w:ascii="Times New Roman" w:hAnsi="Times New Roman" w:cs="Times New Roman"/>
          <w:sz w:val="20"/>
          <w:szCs w:val="20"/>
        </w:rPr>
      </w:pPr>
      <w:r w:rsidRPr="00011FB0">
        <w:rPr>
          <w:rFonts w:ascii="Times New Roman" w:hAnsi="Times New Roman" w:cs="Times New Roman"/>
          <w:sz w:val="20"/>
          <w:szCs w:val="20"/>
        </w:rPr>
        <w:t>The topics covered in this study are based on common characteristics of clinical research and the RCT methodology, such as the requirement for blinding participants and random assignment to treatment groups, or the idea that medical practise and research adhere to separate ethical standards. The author will explicitly look at the context of oncological research in order to conclude this review. Cancer is a life-threatening condition that can take many different forms</w:t>
      </w:r>
      <w:r>
        <w:rPr>
          <w:rFonts w:ascii="Times New Roman" w:hAnsi="Times New Roman" w:cs="Times New Roman"/>
          <w:sz w:val="20"/>
          <w:szCs w:val="20"/>
        </w:rPr>
        <w:t xml:space="preserve"> </w:t>
      </w:r>
      <w:r w:rsidRPr="00011FB0">
        <w:rPr>
          <w:rFonts w:ascii="Times New Roman" w:hAnsi="Times New Roman" w:cs="Times New Roman"/>
          <w:sz w:val="20"/>
          <w:szCs w:val="20"/>
        </w:rPr>
        <w:t>Because of this, testing anticancer medications is where the majority of the ethical difficulties we mentioned in this chapter originate, such as the legality of using placebos or the danger of therapeutic misunderstanding. (Despite being the first line of defence against a number of tumours, surgical procedures will not be included in the discussion that follows because they are not frequently assessed using RCTs</w:t>
      </w:r>
      <w:r w:rsidR="00550E37">
        <w:rPr>
          <w:rFonts w:ascii="Times New Roman" w:hAnsi="Times New Roman" w:cs="Times New Roman"/>
          <w:sz w:val="20"/>
          <w:szCs w:val="20"/>
        </w:rPr>
        <w:t xml:space="preserve"> </w:t>
      </w:r>
      <w:r w:rsidR="00757378">
        <w:rPr>
          <w:rFonts w:ascii="Times New Roman" w:hAnsi="Times New Roman" w:cs="Times New Roman"/>
          <w:sz w:val="20"/>
          <w:szCs w:val="20"/>
        </w:rPr>
        <w:t>[10]</w:t>
      </w:r>
      <w:r w:rsidR="00550E37">
        <w:rPr>
          <w:rFonts w:ascii="Times New Roman" w:hAnsi="Times New Roman" w:cs="Times New Roman"/>
          <w:sz w:val="20"/>
          <w:szCs w:val="20"/>
        </w:rPr>
        <w:t>.</w:t>
      </w:r>
    </w:p>
    <w:p w14:paraId="36C2124D" w14:textId="3A912FA0" w:rsidR="00C47703" w:rsidRPr="00EF792B" w:rsidRDefault="00550E37" w:rsidP="00550E37">
      <w:pPr>
        <w:spacing w:after="0" w:line="240" w:lineRule="auto"/>
        <w:jc w:val="center"/>
        <w:rPr>
          <w:rFonts w:ascii="Times New Roman" w:hAnsi="Times New Roman" w:cs="Times New Roman"/>
          <w:b/>
          <w:sz w:val="20"/>
          <w:szCs w:val="20"/>
        </w:rPr>
      </w:pPr>
      <w:r w:rsidRPr="00C97D5F">
        <w:rPr>
          <w:rFonts w:ascii="Times New Roman" w:hAnsi="Times New Roman" w:cs="Times New Roman"/>
          <w:b/>
          <w:bCs/>
          <w:sz w:val="20"/>
          <w:szCs w:val="20"/>
        </w:rPr>
        <w:t>IX.TESTING</w:t>
      </w:r>
      <w:r w:rsidRPr="00EF792B">
        <w:rPr>
          <w:rFonts w:ascii="Times New Roman" w:hAnsi="Times New Roman" w:cs="Times New Roman"/>
          <w:b/>
          <w:sz w:val="20"/>
          <w:szCs w:val="20"/>
        </w:rPr>
        <w:t xml:space="preserve"> TARGETED AGENTS: SOME ETHICAL CONSIDERATIONS</w:t>
      </w:r>
    </w:p>
    <w:p w14:paraId="56C6A303" w14:textId="4B1108B7" w:rsidR="00F02F3A" w:rsidRPr="00C47703" w:rsidRDefault="00F02F3A" w:rsidP="00550E37">
      <w:pPr>
        <w:spacing w:after="0" w:line="240" w:lineRule="auto"/>
        <w:ind w:firstLine="720"/>
        <w:jc w:val="both"/>
        <w:rPr>
          <w:rFonts w:ascii="Times New Roman" w:hAnsi="Times New Roman" w:cs="Times New Roman"/>
          <w:b/>
          <w:sz w:val="20"/>
          <w:szCs w:val="20"/>
        </w:rPr>
      </w:pPr>
      <w:r w:rsidRPr="00F02F3A">
        <w:rPr>
          <w:rFonts w:ascii="Times New Roman" w:hAnsi="Times New Roman" w:cs="Times New Roman"/>
          <w:sz w:val="20"/>
          <w:szCs w:val="20"/>
        </w:rPr>
        <w:t>Conflicting evidence standards appear to be the root cause of the ethical problems just discussed in connection to the testing of targeted medicines. The question of whether and how the evidence required to demonstrate the effectiveness of a personalised therapy differs from that required to evaluate standard medications must be answered. The above-mentioned ethical problems can only be qualified and maybe resolved if this epistemic point is clarified. No informed opinion of the ethical concerns, according to medical philosopher John Worrall, "may be accepted without first taking an informed view of the evidential-epistemological ones," and this perspective appears to apply particularly well to the situation in question</w:t>
      </w:r>
      <w:r w:rsidRPr="00F02F3A">
        <w:t xml:space="preserve"> </w:t>
      </w:r>
      <w:r w:rsidRPr="00F02F3A">
        <w:rPr>
          <w:rFonts w:ascii="Times New Roman" w:hAnsi="Times New Roman" w:cs="Times New Roman"/>
          <w:sz w:val="20"/>
          <w:szCs w:val="20"/>
        </w:rPr>
        <w:t>It would appear that unless the evidentiary peculiarities of personalised medicines establish a stable position in the evidential paradigm of medicine, the ethics of focused trials cannot be effectively decided. However, that is a completely separate and unanswered matter from whether this only needs a minor change or whether a paradigm shift is necessary.</w:t>
      </w:r>
    </w:p>
    <w:p w14:paraId="70EC945C" w14:textId="65607FA0" w:rsidR="00F02F3A" w:rsidRPr="00023C79" w:rsidRDefault="00550E37" w:rsidP="00550E3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X. </w:t>
      </w:r>
      <w:r w:rsidRPr="0039393F">
        <w:rPr>
          <w:rFonts w:ascii="Times New Roman" w:hAnsi="Times New Roman" w:cs="Times New Roman"/>
          <w:b/>
          <w:bCs/>
          <w:sz w:val="20"/>
          <w:szCs w:val="20"/>
        </w:rPr>
        <w:t xml:space="preserve">ETHICAL </w:t>
      </w:r>
      <w:bookmarkStart w:id="3" w:name="_Hlk111893110"/>
      <w:r w:rsidRPr="0039393F">
        <w:rPr>
          <w:rFonts w:ascii="Times New Roman" w:hAnsi="Times New Roman" w:cs="Times New Roman"/>
          <w:b/>
          <w:bCs/>
          <w:sz w:val="20"/>
          <w:szCs w:val="20"/>
        </w:rPr>
        <w:t>DILEMMA</w:t>
      </w:r>
      <w:bookmarkEnd w:id="3"/>
      <w:r w:rsidRPr="0039393F">
        <w:rPr>
          <w:rFonts w:ascii="Times New Roman" w:hAnsi="Times New Roman" w:cs="Times New Roman"/>
          <w:b/>
          <w:bCs/>
          <w:sz w:val="20"/>
          <w:szCs w:val="20"/>
        </w:rPr>
        <w:t>S IN PHARMACY</w:t>
      </w:r>
    </w:p>
    <w:p w14:paraId="2D5D0B10" w14:textId="52C0E2EF" w:rsidR="008A62DD" w:rsidRPr="003F0EB6" w:rsidRDefault="00F02F3A" w:rsidP="00550E37">
      <w:pPr>
        <w:spacing w:after="0" w:line="240" w:lineRule="auto"/>
        <w:ind w:firstLine="720"/>
        <w:jc w:val="both"/>
        <w:rPr>
          <w:rFonts w:ascii="Times New Roman" w:hAnsi="Times New Roman" w:cs="Times New Roman"/>
          <w:sz w:val="20"/>
          <w:szCs w:val="20"/>
        </w:rPr>
      </w:pPr>
      <w:r w:rsidRPr="00F02F3A">
        <w:rPr>
          <w:rFonts w:ascii="Times New Roman" w:hAnsi="Times New Roman" w:cs="Times New Roman"/>
          <w:sz w:val="20"/>
          <w:szCs w:val="20"/>
        </w:rPr>
        <w:t xml:space="preserve">Conflicts over moral behaviour or the application of moral principles lead to ethical quandaries. Because each side may have different moral standards, there may be ethical conflicts between pharmacists and patients, between pharmacists and doctors, and even amongst pharmacists themselves. Each side may hold a different premise, such as the respect for the individual vs a utilitarian viewpoint. The majority of ethical difficulties in healthcare involve physicians, but a rising number of other healthcare professionals, including pharmacists, are </w:t>
      </w:r>
      <w:r w:rsidRPr="00F02F3A">
        <w:rPr>
          <w:rFonts w:ascii="Times New Roman" w:hAnsi="Times New Roman" w:cs="Times New Roman"/>
          <w:sz w:val="20"/>
          <w:szCs w:val="20"/>
        </w:rPr>
        <w:lastRenderedPageBreak/>
        <w:t xml:space="preserve">running into ethically challenging circumstances in their daily </w:t>
      </w:r>
      <w:proofErr w:type="gramStart"/>
      <w:r w:rsidRPr="00F02F3A">
        <w:rPr>
          <w:rFonts w:ascii="Times New Roman" w:hAnsi="Times New Roman" w:cs="Times New Roman"/>
          <w:sz w:val="20"/>
          <w:szCs w:val="20"/>
        </w:rPr>
        <w:t>work.</w:t>
      </w:r>
      <w:r w:rsidR="008A62DD" w:rsidRPr="003F0EB6">
        <w:rPr>
          <w:rFonts w:ascii="Times New Roman" w:hAnsi="Times New Roman" w:cs="Times New Roman"/>
          <w:sz w:val="20"/>
          <w:szCs w:val="20"/>
        </w:rPr>
        <w:t>.</w:t>
      </w:r>
      <w:proofErr w:type="gramEnd"/>
      <w:r w:rsidR="008A62DD" w:rsidRPr="003F0EB6">
        <w:rPr>
          <w:rFonts w:ascii="Times New Roman" w:hAnsi="Times New Roman" w:cs="Times New Roman"/>
          <w:sz w:val="20"/>
          <w:szCs w:val="20"/>
        </w:rPr>
        <w:t xml:space="preserve"> </w:t>
      </w:r>
      <w:r w:rsidR="00F16BA3" w:rsidRPr="00F16BA3">
        <w:rPr>
          <w:rFonts w:ascii="Times New Roman" w:hAnsi="Times New Roman" w:cs="Times New Roman"/>
          <w:sz w:val="20"/>
          <w:szCs w:val="20"/>
        </w:rPr>
        <w:t>Our healthcare systems have evolved from being relatively simple to becoming extremely complicated in just one generation. Both the actual and perceived issue of legal liability has an impact on the activities taken by doctors and pharmacists as they work to maximise patient care while minimising legal risk. Under certain conditions, relationships between colleagues deteriorate. Risk-taking has become even more dangerous as a result of the increase in insurance costs for everyone, including those doctors who pay stratospheric rates</w:t>
      </w:r>
      <w:r w:rsidR="00550E37">
        <w:rPr>
          <w:rFonts w:ascii="Times New Roman" w:hAnsi="Times New Roman" w:cs="Times New Roman"/>
          <w:sz w:val="20"/>
          <w:szCs w:val="20"/>
        </w:rPr>
        <w:t xml:space="preserve"> </w:t>
      </w:r>
      <w:r w:rsidR="00757378">
        <w:rPr>
          <w:rFonts w:ascii="Times New Roman" w:hAnsi="Times New Roman" w:cs="Times New Roman"/>
          <w:sz w:val="20"/>
          <w:szCs w:val="20"/>
        </w:rPr>
        <w:t>[12]</w:t>
      </w:r>
      <w:r w:rsidR="00550E37">
        <w:rPr>
          <w:rFonts w:ascii="Times New Roman" w:hAnsi="Times New Roman" w:cs="Times New Roman"/>
          <w:sz w:val="20"/>
          <w:szCs w:val="20"/>
        </w:rPr>
        <w:t>.</w:t>
      </w:r>
    </w:p>
    <w:p w14:paraId="0D4DE044" w14:textId="2FBFD848" w:rsidR="00F16BA3" w:rsidRDefault="008A62DD" w:rsidP="00550E37">
      <w:pPr>
        <w:spacing w:after="0" w:line="240" w:lineRule="auto"/>
        <w:ind w:firstLine="720"/>
        <w:jc w:val="both"/>
        <w:rPr>
          <w:rFonts w:ascii="Times New Roman" w:hAnsi="Times New Roman" w:cs="Times New Roman"/>
          <w:sz w:val="20"/>
          <w:szCs w:val="20"/>
        </w:rPr>
      </w:pPr>
      <w:r w:rsidRPr="003F0EB6">
        <w:rPr>
          <w:rFonts w:ascii="Times New Roman" w:hAnsi="Times New Roman" w:cs="Times New Roman"/>
          <w:sz w:val="20"/>
          <w:szCs w:val="20"/>
        </w:rPr>
        <w:t xml:space="preserve"> </w:t>
      </w:r>
      <w:r w:rsidR="00F16BA3" w:rsidRPr="00F16BA3">
        <w:rPr>
          <w:rFonts w:ascii="Times New Roman" w:hAnsi="Times New Roman" w:cs="Times New Roman"/>
          <w:sz w:val="20"/>
          <w:szCs w:val="20"/>
        </w:rPr>
        <w:t>It has become difficult for doctors and pharmacists to work together as a result of the exponential growth in knowledge about diseases, their treatments, and technological technologies. Information transfer between professionals and between professionals and patients is a concern.</w:t>
      </w:r>
      <w:r w:rsidRPr="003F0EB6">
        <w:rPr>
          <w:rFonts w:ascii="Times New Roman" w:hAnsi="Times New Roman" w:cs="Times New Roman"/>
          <w:sz w:val="20"/>
          <w:szCs w:val="20"/>
        </w:rPr>
        <w:t xml:space="preserve"> </w:t>
      </w:r>
      <w:r w:rsidR="00F16BA3" w:rsidRPr="00F16BA3">
        <w:rPr>
          <w:rFonts w:ascii="Times New Roman" w:hAnsi="Times New Roman" w:cs="Times New Roman"/>
          <w:sz w:val="20"/>
          <w:szCs w:val="20"/>
        </w:rPr>
        <w:t>How much information is shared, who shares what with whom, and by whom? It gets harder to answer when duty of disclosure, patient rights, confidentiality, and truthfulness are taken into account. Key phrases Pharmacy; level of ethical reasoning; ethical conundrums. In order to provide efficient and effective patient care, it is crucial for doctors and pharmacists to understand and complement one another given the increased interdependence between the two professions</w:t>
      </w:r>
      <w:r w:rsidR="0039393F">
        <w:rPr>
          <w:rFonts w:ascii="Times New Roman" w:hAnsi="Times New Roman" w:cs="Times New Roman"/>
          <w:sz w:val="20"/>
          <w:szCs w:val="20"/>
        </w:rPr>
        <w:t xml:space="preserve"> </w:t>
      </w:r>
      <w:r w:rsidR="00F16BA3" w:rsidRPr="00F16BA3">
        <w:rPr>
          <w:rFonts w:ascii="Times New Roman" w:hAnsi="Times New Roman" w:cs="Times New Roman"/>
          <w:sz w:val="20"/>
          <w:szCs w:val="20"/>
        </w:rPr>
        <w:t>This essay aims to update ethical dilemmas that pharmacists confront and their solutions to some of them</w:t>
      </w:r>
      <w:r w:rsidR="00550E37">
        <w:rPr>
          <w:rFonts w:ascii="Times New Roman" w:hAnsi="Times New Roman" w:cs="Times New Roman"/>
          <w:sz w:val="20"/>
          <w:szCs w:val="20"/>
        </w:rPr>
        <w:t xml:space="preserve"> </w:t>
      </w:r>
      <w:r w:rsidR="00757378">
        <w:rPr>
          <w:rFonts w:ascii="Times New Roman" w:hAnsi="Times New Roman" w:cs="Times New Roman"/>
          <w:sz w:val="20"/>
          <w:szCs w:val="20"/>
        </w:rPr>
        <w:t>[12]</w:t>
      </w:r>
      <w:r w:rsidR="00550E37">
        <w:rPr>
          <w:rFonts w:ascii="Times New Roman" w:hAnsi="Times New Roman" w:cs="Times New Roman"/>
          <w:sz w:val="20"/>
          <w:szCs w:val="20"/>
        </w:rPr>
        <w:t>.</w:t>
      </w:r>
    </w:p>
    <w:p w14:paraId="0D389404" w14:textId="6730D9C8" w:rsidR="00CF4642" w:rsidRDefault="00F16BA3" w:rsidP="00550E37">
      <w:pPr>
        <w:spacing w:after="0" w:line="240" w:lineRule="auto"/>
        <w:ind w:firstLine="720"/>
        <w:jc w:val="both"/>
        <w:rPr>
          <w:rFonts w:ascii="Times New Roman" w:hAnsi="Times New Roman" w:cs="Times New Roman"/>
          <w:sz w:val="20"/>
          <w:szCs w:val="20"/>
        </w:rPr>
      </w:pPr>
      <w:r w:rsidRPr="00F16BA3">
        <w:rPr>
          <w:rFonts w:ascii="Times New Roman" w:hAnsi="Times New Roman" w:cs="Times New Roman"/>
          <w:sz w:val="20"/>
          <w:szCs w:val="20"/>
        </w:rPr>
        <w:t>Respondents to a survey about ethical quandaries were pharmacy school students and pharmacists in the state of Virginia. Students in their first professional year, their third college year, and their fifth college year were questioned</w:t>
      </w:r>
      <w:r w:rsidR="008A62DD" w:rsidRPr="003F0EB6">
        <w:rPr>
          <w:rFonts w:ascii="Times New Roman" w:hAnsi="Times New Roman" w:cs="Times New Roman"/>
          <w:sz w:val="20"/>
          <w:szCs w:val="20"/>
        </w:rPr>
        <w:t xml:space="preserve">. </w:t>
      </w:r>
      <w:r w:rsidR="00CF4642" w:rsidRPr="00CF4642">
        <w:rPr>
          <w:rFonts w:ascii="Times New Roman" w:hAnsi="Times New Roman" w:cs="Times New Roman"/>
          <w:sz w:val="20"/>
          <w:szCs w:val="20"/>
        </w:rPr>
        <w:t>A random sample of pharmacists were asked for responses through mail, and a low response rate of about 30% was received. As a result, additional surveys are preferred and the results should only be viewed as indicative rather than conclusive.</w:t>
      </w:r>
      <w:r w:rsidR="008A62DD" w:rsidRPr="003F0EB6">
        <w:rPr>
          <w:rFonts w:ascii="Times New Roman" w:hAnsi="Times New Roman" w:cs="Times New Roman"/>
          <w:sz w:val="20"/>
          <w:szCs w:val="20"/>
        </w:rPr>
        <w:t xml:space="preserve"> </w:t>
      </w:r>
      <w:r w:rsidR="00CF4642" w:rsidRPr="00CF4642">
        <w:rPr>
          <w:rFonts w:ascii="Times New Roman" w:hAnsi="Times New Roman" w:cs="Times New Roman"/>
          <w:sz w:val="20"/>
          <w:szCs w:val="20"/>
        </w:rPr>
        <w:t>The ethical conundrums that were used in the poll were those that were purportedly encountered by pharmacists in practise, those that were debated in the literature, in a national meeting in the United States, or in different codes of ethics for pharmacy. Based on the similarity of the answers provided by the three groups, the answers to the multiple-choice questions were analysed and grouped</w:t>
      </w:r>
      <w:r w:rsidR="00550E37">
        <w:rPr>
          <w:rFonts w:ascii="Times New Roman" w:hAnsi="Times New Roman" w:cs="Times New Roman"/>
          <w:sz w:val="20"/>
          <w:szCs w:val="20"/>
        </w:rPr>
        <w:t xml:space="preserve"> </w:t>
      </w:r>
      <w:r w:rsidR="00757378">
        <w:rPr>
          <w:rFonts w:ascii="Times New Roman" w:hAnsi="Times New Roman" w:cs="Times New Roman"/>
          <w:sz w:val="20"/>
          <w:szCs w:val="20"/>
        </w:rPr>
        <w:t>[13]</w:t>
      </w:r>
      <w:r w:rsidR="00550E37">
        <w:rPr>
          <w:rFonts w:ascii="Times New Roman" w:hAnsi="Times New Roman" w:cs="Times New Roman"/>
          <w:sz w:val="20"/>
          <w:szCs w:val="20"/>
        </w:rPr>
        <w:t>.</w:t>
      </w:r>
    </w:p>
    <w:p w14:paraId="65A5202A" w14:textId="50DF9444" w:rsidR="002227E8" w:rsidRPr="00EF792B" w:rsidRDefault="00550E37" w:rsidP="00225C2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XI.</w:t>
      </w:r>
      <w:r w:rsidRPr="00EF792B">
        <w:rPr>
          <w:rFonts w:ascii="Times New Roman" w:hAnsi="Times New Roman" w:cs="Times New Roman"/>
          <w:b/>
          <w:bCs/>
          <w:sz w:val="20"/>
          <w:szCs w:val="20"/>
        </w:rPr>
        <w:t>THE SCOPE OF PHARMACY ETHICS</w:t>
      </w:r>
    </w:p>
    <w:p w14:paraId="2F987DFD" w14:textId="679B308D" w:rsidR="00A844E0" w:rsidRDefault="00CF4642" w:rsidP="00550E37">
      <w:pPr>
        <w:spacing w:after="0" w:line="240" w:lineRule="auto"/>
        <w:ind w:firstLine="720"/>
        <w:jc w:val="both"/>
        <w:rPr>
          <w:rFonts w:ascii="Times New Roman" w:hAnsi="Times New Roman" w:cs="Times New Roman"/>
          <w:sz w:val="20"/>
          <w:szCs w:val="20"/>
        </w:rPr>
      </w:pPr>
      <w:r w:rsidRPr="00CF4642">
        <w:rPr>
          <w:rFonts w:ascii="Times New Roman" w:hAnsi="Times New Roman" w:cs="Times New Roman"/>
          <w:sz w:val="20"/>
          <w:szCs w:val="20"/>
        </w:rPr>
        <w:t>Prior to 2002, pharmacists working in the industrialised world's health systems had shifted their focus from a predominate focus on the supply of medications to one that was increasingly clinical and advising. The transition away from the formulation and distribution of medications has been a protracted process and is far from finished. Policy directives describe important roles, primarily for community pharmacists, in prescribing and providing prescribing advice, in assuming accountability for therapeutic outcomes, and in contributing to patient care decisions within multidisciplinary healthcare teams. These roles are exemplified in England and Wales by the NHS Plan and Pharmacy in the Future.</w:t>
      </w:r>
      <w:r>
        <w:rPr>
          <w:rFonts w:ascii="Times New Roman" w:hAnsi="Times New Roman" w:cs="Times New Roman"/>
          <w:sz w:val="20"/>
          <w:szCs w:val="20"/>
        </w:rPr>
        <w:t xml:space="preserve"> </w:t>
      </w:r>
      <w:r w:rsidRPr="00CF4642">
        <w:rPr>
          <w:rFonts w:ascii="Times New Roman" w:hAnsi="Times New Roman" w:cs="Times New Roman"/>
          <w:sz w:val="20"/>
          <w:szCs w:val="20"/>
        </w:rPr>
        <w:t xml:space="preserve">Due to this change in practise, pharmacists will not only confront unique ethical issues that are different from those experienced by their clinical colleagues but also need to be aware of and respond to similar ethical challenges as well. Additionally, community pharmacists work in both the public and private sectors. </w:t>
      </w:r>
      <w:r w:rsidR="00757378">
        <w:rPr>
          <w:rFonts w:ascii="Times New Roman" w:hAnsi="Times New Roman" w:cs="Times New Roman"/>
          <w:sz w:val="20"/>
          <w:szCs w:val="20"/>
        </w:rPr>
        <w:t>[</w:t>
      </w:r>
      <w:proofErr w:type="gramStart"/>
      <w:r w:rsidR="00757378">
        <w:rPr>
          <w:rFonts w:ascii="Times New Roman" w:hAnsi="Times New Roman" w:cs="Times New Roman"/>
          <w:sz w:val="20"/>
          <w:szCs w:val="20"/>
        </w:rPr>
        <w:t>14]</w:t>
      </w:r>
      <w:r w:rsidRPr="00CF4642">
        <w:rPr>
          <w:rFonts w:ascii="Times New Roman" w:hAnsi="Times New Roman" w:cs="Times New Roman"/>
          <w:sz w:val="20"/>
          <w:szCs w:val="20"/>
        </w:rPr>
        <w:t>For</w:t>
      </w:r>
      <w:proofErr w:type="gramEnd"/>
      <w:r w:rsidRPr="00CF4642">
        <w:rPr>
          <w:rFonts w:ascii="Times New Roman" w:hAnsi="Times New Roman" w:cs="Times New Roman"/>
          <w:sz w:val="20"/>
          <w:szCs w:val="20"/>
        </w:rPr>
        <w:t xml:space="preserve"> instance, in the UK, a pharmacist may work for a commercial company that has a contract with the NHS to dispense prescriptions, which is a public function.</w:t>
      </w:r>
      <w:r w:rsidR="00A844E0" w:rsidRPr="00A844E0">
        <w:t xml:space="preserve"> </w:t>
      </w:r>
      <w:r w:rsidR="00A844E0" w:rsidRPr="00A844E0">
        <w:rPr>
          <w:rFonts w:ascii="Times New Roman" w:hAnsi="Times New Roman" w:cs="Times New Roman"/>
          <w:sz w:val="20"/>
          <w:szCs w:val="20"/>
        </w:rPr>
        <w:t>The pharmacist also works as a private-sector reseller of additional medications and other goods, whether or not they are related to health. Patients are both clients and recipients of sophisticated and complex treatment regimens every day for pharmacists operating in the community.</w:t>
      </w:r>
      <w:r w:rsidR="00A844E0" w:rsidRPr="00A844E0">
        <w:t xml:space="preserve"> </w:t>
      </w:r>
      <w:r w:rsidR="00A844E0" w:rsidRPr="00A844E0">
        <w:rPr>
          <w:rFonts w:ascii="Times New Roman" w:hAnsi="Times New Roman" w:cs="Times New Roman"/>
          <w:sz w:val="20"/>
          <w:szCs w:val="20"/>
        </w:rPr>
        <w:t>Therefore, practising pharmacists need to be actively involved with and capable of handling ethical dilemmas resulting from the growing difficulties of "hi-tech" healthcare and its delivery in a corporate setting. The purpose of this examination of the literature is to determine the breadth and depth of the literature that documents such participation</w:t>
      </w:r>
      <w:r w:rsidR="00550E37">
        <w:rPr>
          <w:rFonts w:ascii="Times New Roman" w:hAnsi="Times New Roman" w:cs="Times New Roman"/>
          <w:sz w:val="20"/>
          <w:szCs w:val="20"/>
        </w:rPr>
        <w:t xml:space="preserve"> </w:t>
      </w:r>
      <w:r w:rsidR="00757378">
        <w:rPr>
          <w:rFonts w:ascii="Times New Roman" w:hAnsi="Times New Roman" w:cs="Times New Roman"/>
          <w:sz w:val="20"/>
          <w:szCs w:val="20"/>
        </w:rPr>
        <w:t>[14]</w:t>
      </w:r>
      <w:r w:rsidR="00550E37">
        <w:rPr>
          <w:rFonts w:ascii="Times New Roman" w:hAnsi="Times New Roman" w:cs="Times New Roman"/>
          <w:sz w:val="20"/>
          <w:szCs w:val="20"/>
        </w:rPr>
        <w:t>.</w:t>
      </w:r>
    </w:p>
    <w:p w14:paraId="42840F37" w14:textId="6CE7BDE7" w:rsidR="00E43A45" w:rsidRPr="00EF792B" w:rsidRDefault="00550E37" w:rsidP="00550E3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XII. ETHICAL SCOPE IN PHARMACEUTICAL INDUSTRY</w:t>
      </w:r>
    </w:p>
    <w:p w14:paraId="12B4D0B5" w14:textId="77777777" w:rsidR="00704E9E" w:rsidRDefault="00176C3C" w:rsidP="00550E37">
      <w:pPr>
        <w:spacing w:after="0" w:line="240" w:lineRule="auto"/>
        <w:ind w:firstLine="360"/>
        <w:jc w:val="both"/>
        <w:rPr>
          <w:rFonts w:ascii="Times New Roman" w:hAnsi="Times New Roman" w:cs="Times New Roman"/>
          <w:sz w:val="20"/>
          <w:szCs w:val="20"/>
        </w:rPr>
      </w:pPr>
      <w:r w:rsidRPr="00176C3C">
        <w:rPr>
          <w:rFonts w:ascii="Times New Roman" w:hAnsi="Times New Roman" w:cs="Times New Roman"/>
          <w:sz w:val="20"/>
          <w:szCs w:val="20"/>
        </w:rPr>
        <w:t>The UK's core curriculum for medical ethics is a good example of a healthcare ethics issue spectrum, and it is backed up by original research done in the United States and classic texts on healthcare ethics. The interactions between medical staff and patients, family members, and the general public lead to several problems. Others result from limitations in balancing demand and costs, particularly in state-funded systems, or the research and development process that supports healthcare.</w:t>
      </w:r>
      <w:r>
        <w:rPr>
          <w:rFonts w:ascii="Times New Roman" w:hAnsi="Times New Roman" w:cs="Times New Roman"/>
          <w:sz w:val="20"/>
          <w:szCs w:val="20"/>
        </w:rPr>
        <w:t xml:space="preserve"> </w:t>
      </w:r>
      <w:r w:rsidRPr="00176C3C">
        <w:rPr>
          <w:rFonts w:ascii="Times New Roman" w:hAnsi="Times New Roman" w:cs="Times New Roman"/>
          <w:sz w:val="20"/>
          <w:szCs w:val="20"/>
        </w:rPr>
        <w:t>In contrast to cases when the "patient" is actually a fully autonomous consumer in the private sector—for instance, a customer choosing their own over-the-counter medications—healthcare ethics have typically focused on patients within a healthcare system. Therefore, hospitals account for 17% of practise areas, followed by community (or retail) pharmacies (62%), and GP practises (perhaps 3%).</w:t>
      </w:r>
      <w:r w:rsidR="00E43A45" w:rsidRPr="003F0EB6">
        <w:rPr>
          <w:rFonts w:ascii="Times New Roman" w:hAnsi="Times New Roman" w:cs="Times New Roman"/>
          <w:sz w:val="20"/>
          <w:szCs w:val="20"/>
        </w:rPr>
        <w:t xml:space="preserve"> </w:t>
      </w:r>
      <w:r w:rsidR="00FF592B" w:rsidRPr="00FF592B">
        <w:rPr>
          <w:rFonts w:ascii="Times New Roman" w:hAnsi="Times New Roman" w:cs="Times New Roman"/>
          <w:sz w:val="20"/>
          <w:szCs w:val="20"/>
        </w:rPr>
        <w:t>Pharmacy practise has the potential to raise ethical issues that span the entire healthcare ethics spectrum, though not always to the same degree or level that may be encountered by medical or nursing practitioners, for instance, when negotiating the termination of a pregnancy or the switching off of life support.</w:t>
      </w:r>
      <w:r w:rsidR="001A4CD6">
        <w:rPr>
          <w:rFonts w:ascii="Times New Roman" w:hAnsi="Times New Roman" w:cs="Times New Roman"/>
          <w:sz w:val="20"/>
          <w:szCs w:val="20"/>
        </w:rPr>
        <w:t>[15]</w:t>
      </w:r>
      <w:r w:rsidR="00FF592B" w:rsidRPr="00FF592B">
        <w:rPr>
          <w:rFonts w:ascii="Times New Roman" w:hAnsi="Times New Roman" w:cs="Times New Roman"/>
          <w:sz w:val="20"/>
          <w:szCs w:val="20"/>
        </w:rPr>
        <w:t xml:space="preserve"> </w:t>
      </w:r>
    </w:p>
    <w:p w14:paraId="45709E94" w14:textId="21A6AFD9" w:rsidR="00FF592B" w:rsidRDefault="00FF592B" w:rsidP="00550E37">
      <w:pPr>
        <w:spacing w:after="0" w:line="240" w:lineRule="auto"/>
        <w:ind w:firstLine="720"/>
        <w:jc w:val="both"/>
        <w:rPr>
          <w:rFonts w:ascii="Times New Roman" w:hAnsi="Times New Roman" w:cs="Times New Roman"/>
          <w:sz w:val="20"/>
          <w:szCs w:val="20"/>
        </w:rPr>
      </w:pPr>
      <w:r w:rsidRPr="00FF592B">
        <w:rPr>
          <w:rFonts w:ascii="Times New Roman" w:hAnsi="Times New Roman" w:cs="Times New Roman"/>
          <w:sz w:val="20"/>
          <w:szCs w:val="20"/>
        </w:rPr>
        <w:t xml:space="preserve">Community pharmacists, on the other hand, must daily combine their professional responsibilities as givers of </w:t>
      </w:r>
      <w:r w:rsidR="005B6BA4" w:rsidRPr="00FF592B">
        <w:rPr>
          <w:rFonts w:ascii="Times New Roman" w:hAnsi="Times New Roman" w:cs="Times New Roman"/>
          <w:sz w:val="20"/>
          <w:szCs w:val="20"/>
        </w:rPr>
        <w:t>advice</w:t>
      </w:r>
      <w:r w:rsidRPr="00FF592B">
        <w:rPr>
          <w:rFonts w:ascii="Times New Roman" w:hAnsi="Times New Roman" w:cs="Times New Roman"/>
          <w:sz w:val="20"/>
          <w:szCs w:val="20"/>
        </w:rPr>
        <w:t xml:space="preserve"> and support to optimise the use of medicines with their financial responsibility to make a livelihood, nay, a profit, as they work in the private</w:t>
      </w:r>
      <w:r>
        <w:rPr>
          <w:rFonts w:ascii="Times New Roman" w:hAnsi="Times New Roman" w:cs="Times New Roman"/>
          <w:sz w:val="20"/>
          <w:szCs w:val="20"/>
        </w:rPr>
        <w:t xml:space="preserve"> sector </w:t>
      </w:r>
      <w:r w:rsidRPr="00FF592B">
        <w:rPr>
          <w:rFonts w:ascii="Times New Roman" w:hAnsi="Times New Roman" w:cs="Times New Roman"/>
          <w:sz w:val="20"/>
          <w:szCs w:val="20"/>
        </w:rPr>
        <w:t>The organisational values and targets adopted by these businesses (and countless small local groups) to secure adequate profits for shareholders or owners may also have a significant impact on the capacity of individual pharmacists to exercise independent professional judgement and morality in Britain, where national multiples operate about 40% of community pharmacies.</w:t>
      </w:r>
      <w:r w:rsidRPr="00FF592B">
        <w:t xml:space="preserve"> </w:t>
      </w:r>
      <w:r w:rsidRPr="00FF592B">
        <w:rPr>
          <w:rFonts w:ascii="Times New Roman" w:hAnsi="Times New Roman" w:cs="Times New Roman"/>
          <w:sz w:val="20"/>
          <w:szCs w:val="20"/>
        </w:rPr>
        <w:t xml:space="preserve">The two additional published collections that were missed by this assessment of the literature are not particularly pertinent to pharmacy practise. First and foremost, these were reports on work done in the pharmacy ethics teaching field. </w:t>
      </w:r>
      <w:r w:rsidRPr="00FF592B">
        <w:rPr>
          <w:rFonts w:ascii="Times New Roman" w:hAnsi="Times New Roman" w:cs="Times New Roman"/>
          <w:sz w:val="20"/>
          <w:szCs w:val="20"/>
        </w:rPr>
        <w:lastRenderedPageBreak/>
        <w:t>Further analysis of this information may be acceptable elsewhere given that most of it is meant to educate and support future pharmacists' moral awareness and cognitive abilities.</w:t>
      </w:r>
      <w:r>
        <w:rPr>
          <w:rFonts w:ascii="Times New Roman" w:hAnsi="Times New Roman" w:cs="Times New Roman"/>
          <w:sz w:val="20"/>
          <w:szCs w:val="20"/>
        </w:rPr>
        <w:t xml:space="preserve"> </w:t>
      </w:r>
      <w:r w:rsidRPr="00FF592B">
        <w:rPr>
          <w:rFonts w:ascii="Times New Roman" w:hAnsi="Times New Roman" w:cs="Times New Roman"/>
          <w:sz w:val="20"/>
          <w:szCs w:val="20"/>
        </w:rPr>
        <w:t>The second body of work discusses the ethical conundrums that the pharmaceutical industry, third-world poverty, and access to medications present. As a result, it was determined that this was not covered by the current review.</w:t>
      </w:r>
      <w:r w:rsidR="001A4CD6">
        <w:rPr>
          <w:rFonts w:ascii="Times New Roman" w:hAnsi="Times New Roman" w:cs="Times New Roman"/>
          <w:sz w:val="20"/>
          <w:szCs w:val="20"/>
        </w:rPr>
        <w:t>[15]</w:t>
      </w:r>
    </w:p>
    <w:p w14:paraId="5DD7C97B" w14:textId="6FAC0B10" w:rsidR="00E43A45" w:rsidRPr="00550E37" w:rsidRDefault="00550E37" w:rsidP="00550E37">
      <w:pPr>
        <w:spacing w:after="0" w:line="240" w:lineRule="auto"/>
        <w:jc w:val="center"/>
        <w:rPr>
          <w:rFonts w:ascii="Times New Roman" w:hAnsi="Times New Roman" w:cs="Times New Roman"/>
          <w:sz w:val="20"/>
          <w:szCs w:val="20"/>
        </w:rPr>
      </w:pPr>
      <w:r w:rsidRPr="00550E37">
        <w:rPr>
          <w:rFonts w:ascii="Times New Roman" w:hAnsi="Times New Roman" w:cs="Times New Roman"/>
          <w:b/>
          <w:bCs/>
          <w:sz w:val="20"/>
          <w:szCs w:val="20"/>
        </w:rPr>
        <w:t>XIII.APPLICATION OF ETHICAL CONCEPTS TO PRACTICE</w:t>
      </w:r>
    </w:p>
    <w:p w14:paraId="7D8A2C2F" w14:textId="649065AB" w:rsidR="00540CD9" w:rsidRDefault="00540CD9" w:rsidP="00550E37">
      <w:pPr>
        <w:spacing w:after="0" w:line="240" w:lineRule="auto"/>
        <w:jc w:val="both"/>
        <w:rPr>
          <w:rFonts w:ascii="Times New Roman" w:hAnsi="Times New Roman" w:cs="Times New Roman"/>
          <w:sz w:val="20"/>
          <w:szCs w:val="20"/>
        </w:rPr>
      </w:pPr>
      <w:r w:rsidRPr="00540CD9">
        <w:rPr>
          <w:rFonts w:ascii="Times New Roman" w:hAnsi="Times New Roman" w:cs="Times New Roman"/>
          <w:sz w:val="20"/>
          <w:szCs w:val="20"/>
        </w:rPr>
        <w:t>The vast majority of material on pharmacy ethics assumes that pharmacists are aware of ethical standards and then jumps right into applying ethical (and legal) principles to real-world settings</w:t>
      </w:r>
      <w:r>
        <w:rPr>
          <w:rFonts w:ascii="Times New Roman" w:hAnsi="Times New Roman" w:cs="Times New Roman"/>
          <w:sz w:val="20"/>
          <w:szCs w:val="20"/>
        </w:rPr>
        <w:t xml:space="preserve"> </w:t>
      </w:r>
      <w:proofErr w:type="gramStart"/>
      <w:r w:rsidRPr="00540CD9">
        <w:rPr>
          <w:rFonts w:ascii="Times New Roman" w:hAnsi="Times New Roman" w:cs="Times New Roman"/>
          <w:sz w:val="20"/>
          <w:szCs w:val="20"/>
        </w:rPr>
        <w:t>In</w:t>
      </w:r>
      <w:proofErr w:type="gramEnd"/>
      <w:r w:rsidRPr="00540CD9">
        <w:rPr>
          <w:rFonts w:ascii="Times New Roman" w:hAnsi="Times New Roman" w:cs="Times New Roman"/>
          <w:sz w:val="20"/>
          <w:szCs w:val="20"/>
        </w:rPr>
        <w:t xml:space="preserve"> the UK, Nathan and </w:t>
      </w:r>
      <w:r w:rsidR="005B6BA4" w:rsidRPr="00540CD9">
        <w:rPr>
          <w:rFonts w:ascii="Times New Roman" w:hAnsi="Times New Roman" w:cs="Times New Roman"/>
          <w:sz w:val="20"/>
          <w:szCs w:val="20"/>
        </w:rPr>
        <w:t>Grim wade</w:t>
      </w:r>
      <w:r w:rsidRPr="00540CD9">
        <w:rPr>
          <w:rFonts w:ascii="Times New Roman" w:hAnsi="Times New Roman" w:cs="Times New Roman"/>
          <w:sz w:val="20"/>
          <w:szCs w:val="20"/>
        </w:rPr>
        <w:t xml:space="preserve"> (1993) created an early form with eight scenarios "to test your law and ethics knowledge." In reality, all but one of the scenarios raised legal rather than ethical issues, and the eighth scenario, which dealt with the confidentiality of contraceptive prescribing, actually defended the "answer" by citing data protection and other laws</w:t>
      </w:r>
      <w:r w:rsidR="0039393F">
        <w:rPr>
          <w:rFonts w:ascii="Times New Roman" w:hAnsi="Times New Roman" w:cs="Times New Roman"/>
          <w:sz w:val="20"/>
          <w:szCs w:val="20"/>
        </w:rPr>
        <w:t xml:space="preserve"> </w:t>
      </w:r>
      <w:r w:rsidRPr="00540CD9">
        <w:rPr>
          <w:rFonts w:ascii="Times New Roman" w:hAnsi="Times New Roman" w:cs="Times New Roman"/>
          <w:sz w:val="20"/>
          <w:szCs w:val="20"/>
        </w:rPr>
        <w:t>The textbooks by Weinstein and Smith (see above) include examples of "practise scenarios" (including ethical challenges involving business) where it is required to first recognise the ethical issues that arise in a circumstance before being able to address them</w:t>
      </w:r>
      <w:r w:rsidR="00225C2F">
        <w:rPr>
          <w:rFonts w:ascii="Times New Roman" w:hAnsi="Times New Roman" w:cs="Times New Roman"/>
          <w:sz w:val="20"/>
          <w:szCs w:val="20"/>
        </w:rPr>
        <w:t xml:space="preserve"> </w:t>
      </w:r>
      <w:r w:rsidR="001A4CD6">
        <w:rPr>
          <w:rFonts w:ascii="Times New Roman" w:hAnsi="Times New Roman" w:cs="Times New Roman"/>
          <w:sz w:val="20"/>
          <w:szCs w:val="20"/>
        </w:rPr>
        <w:t>[16]</w:t>
      </w:r>
      <w:r w:rsidR="00225C2F">
        <w:rPr>
          <w:rFonts w:ascii="Times New Roman" w:hAnsi="Times New Roman" w:cs="Times New Roman"/>
          <w:sz w:val="20"/>
          <w:szCs w:val="20"/>
        </w:rPr>
        <w:t>.</w:t>
      </w:r>
    </w:p>
    <w:p w14:paraId="3C6ACBEE" w14:textId="0D8CC0C7" w:rsidR="0056726E" w:rsidRDefault="0056726E" w:rsidP="00550E37">
      <w:pPr>
        <w:spacing w:after="0" w:line="240" w:lineRule="auto"/>
        <w:ind w:firstLine="720"/>
        <w:jc w:val="both"/>
        <w:rPr>
          <w:rFonts w:ascii="Times New Roman" w:hAnsi="Times New Roman" w:cs="Times New Roman"/>
          <w:sz w:val="20"/>
          <w:szCs w:val="20"/>
        </w:rPr>
      </w:pPr>
      <w:r w:rsidRPr="0056726E">
        <w:rPr>
          <w:rFonts w:ascii="Times New Roman" w:hAnsi="Times New Roman" w:cs="Times New Roman"/>
          <w:sz w:val="20"/>
          <w:szCs w:val="20"/>
        </w:rPr>
        <w:t xml:space="preserve">In the UK, Wingfield, Taylor, and Lee (1997), followed by </w:t>
      </w:r>
      <w:r w:rsidR="005B6BA4" w:rsidRPr="0056726E">
        <w:rPr>
          <w:rFonts w:ascii="Times New Roman" w:hAnsi="Times New Roman" w:cs="Times New Roman"/>
          <w:sz w:val="20"/>
          <w:szCs w:val="20"/>
        </w:rPr>
        <w:t>Appel be</w:t>
      </w:r>
      <w:r w:rsidRPr="0056726E">
        <w:rPr>
          <w:rFonts w:ascii="Times New Roman" w:hAnsi="Times New Roman" w:cs="Times New Roman"/>
          <w:sz w:val="20"/>
          <w:szCs w:val="20"/>
        </w:rPr>
        <w:t>, Wingfield, and Taylor (2002), recommended the use of a systematic "stepwise" method to decision-making in real-world scenarios where legal and ethical principles may conflict. (This can be summed up as: obtaining information, identifying problems, designating priorities and interests, producing actionable options, and selecting an option based on sound reasoning</w:t>
      </w:r>
      <w:r w:rsidR="0039393F">
        <w:rPr>
          <w:rFonts w:ascii="Times New Roman" w:hAnsi="Times New Roman" w:cs="Times New Roman"/>
          <w:sz w:val="20"/>
          <w:szCs w:val="20"/>
        </w:rPr>
        <w:t xml:space="preserve"> </w:t>
      </w:r>
      <w:proofErr w:type="gramStart"/>
      <w:r w:rsidRPr="0056726E">
        <w:rPr>
          <w:rFonts w:ascii="Times New Roman" w:hAnsi="Times New Roman" w:cs="Times New Roman"/>
          <w:sz w:val="20"/>
          <w:szCs w:val="20"/>
        </w:rPr>
        <w:t>At</w:t>
      </w:r>
      <w:proofErr w:type="gramEnd"/>
      <w:r w:rsidRPr="0056726E">
        <w:rPr>
          <w:rFonts w:ascii="Times New Roman" w:hAnsi="Times New Roman" w:cs="Times New Roman"/>
          <w:sz w:val="20"/>
          <w:szCs w:val="20"/>
        </w:rPr>
        <w:t xml:space="preserve"> first glance, two papers published in the American Journal of Hospital Pharmacy seem to be scenario-based studies alone, but they also incorporate philosophical analysis of the schools of thinking behind the conflicting "solutions" put forth by each of the two commentators</w:t>
      </w:r>
      <w:r w:rsidR="00225C2F">
        <w:rPr>
          <w:rFonts w:ascii="Times New Roman" w:hAnsi="Times New Roman" w:cs="Times New Roman"/>
          <w:sz w:val="20"/>
          <w:szCs w:val="20"/>
        </w:rPr>
        <w:t xml:space="preserve"> </w:t>
      </w:r>
      <w:r w:rsidR="001A4CD6">
        <w:rPr>
          <w:rFonts w:ascii="Times New Roman" w:hAnsi="Times New Roman" w:cs="Times New Roman"/>
          <w:sz w:val="20"/>
          <w:szCs w:val="20"/>
        </w:rPr>
        <w:t>[16]</w:t>
      </w:r>
      <w:r w:rsidR="00225C2F">
        <w:rPr>
          <w:rFonts w:ascii="Times New Roman" w:hAnsi="Times New Roman" w:cs="Times New Roman"/>
          <w:sz w:val="20"/>
          <w:szCs w:val="20"/>
        </w:rPr>
        <w:t>.</w:t>
      </w:r>
    </w:p>
    <w:p w14:paraId="0B75FB60" w14:textId="77777777" w:rsidR="00C60AAC" w:rsidRDefault="00C60AAC" w:rsidP="00550E37">
      <w:pPr>
        <w:spacing w:after="0" w:line="240" w:lineRule="auto"/>
        <w:ind w:firstLine="720"/>
        <w:jc w:val="both"/>
        <w:rPr>
          <w:rFonts w:ascii="Times New Roman" w:hAnsi="Times New Roman" w:cs="Times New Roman"/>
          <w:sz w:val="20"/>
          <w:szCs w:val="20"/>
        </w:rPr>
      </w:pPr>
      <w:r w:rsidRPr="00C60AAC">
        <w:rPr>
          <w:rFonts w:ascii="Times New Roman" w:hAnsi="Times New Roman" w:cs="Times New Roman"/>
          <w:sz w:val="20"/>
          <w:szCs w:val="20"/>
        </w:rPr>
        <w:t>Veatch (1990) makes deontological and utilitarian arguments in favour of the two options in a situation where the pharmacist must question the motivations behind a change in a physician's prescribing before coming to the conclusion that obligations like the "ethics of respect" for the patient's rights should probably take precedence.</w:t>
      </w:r>
    </w:p>
    <w:p w14:paraId="6094CC17" w14:textId="0D0523EC" w:rsidR="00C60AAC" w:rsidRDefault="00C60AAC" w:rsidP="00550E37">
      <w:pPr>
        <w:spacing w:after="0" w:line="240" w:lineRule="auto"/>
        <w:jc w:val="both"/>
        <w:rPr>
          <w:rFonts w:ascii="Times New Roman" w:hAnsi="Times New Roman" w:cs="Times New Roman"/>
          <w:sz w:val="20"/>
          <w:szCs w:val="20"/>
        </w:rPr>
      </w:pPr>
      <w:r w:rsidRPr="00C60AAC">
        <w:rPr>
          <w:rFonts w:ascii="Times New Roman" w:hAnsi="Times New Roman" w:cs="Times New Roman"/>
          <w:sz w:val="20"/>
          <w:szCs w:val="20"/>
        </w:rPr>
        <w:t>Veatch (1993) also compares earlier paternalistic concepts of secrecy with more contemporary ideas on respect for autonomy in reference to a patient who refuses to reveal significant symptoms to his doctor. The following sections serve as examples of how ethical ideas are applied to pharmacy practise, frequently in works that are not particularly intended to do so</w:t>
      </w:r>
      <w:r w:rsidR="00225C2F">
        <w:rPr>
          <w:rFonts w:ascii="Times New Roman" w:hAnsi="Times New Roman" w:cs="Times New Roman"/>
          <w:sz w:val="20"/>
          <w:szCs w:val="20"/>
        </w:rPr>
        <w:t xml:space="preserve"> </w:t>
      </w:r>
      <w:r w:rsidR="001A4CD6">
        <w:rPr>
          <w:rFonts w:ascii="Times New Roman" w:hAnsi="Times New Roman" w:cs="Times New Roman"/>
          <w:sz w:val="20"/>
          <w:szCs w:val="20"/>
        </w:rPr>
        <w:t>[16]</w:t>
      </w:r>
      <w:r w:rsidR="00225C2F">
        <w:rPr>
          <w:rFonts w:ascii="Times New Roman" w:hAnsi="Times New Roman" w:cs="Times New Roman"/>
          <w:sz w:val="20"/>
          <w:szCs w:val="20"/>
        </w:rPr>
        <w:t>.</w:t>
      </w:r>
    </w:p>
    <w:p w14:paraId="7EB5729C" w14:textId="24BFC885" w:rsidR="00E20B42" w:rsidRPr="00550E37" w:rsidRDefault="00225C2F" w:rsidP="00225C2F">
      <w:pPr>
        <w:spacing w:after="0" w:line="240" w:lineRule="auto"/>
        <w:jc w:val="center"/>
        <w:rPr>
          <w:rFonts w:ascii="Times New Roman" w:hAnsi="Times New Roman" w:cs="Times New Roman"/>
          <w:b/>
          <w:bCs/>
          <w:sz w:val="20"/>
          <w:szCs w:val="20"/>
        </w:rPr>
      </w:pPr>
      <w:bookmarkStart w:id="4" w:name="_Hlk111893259"/>
      <w:r w:rsidRPr="00550E37">
        <w:rPr>
          <w:rFonts w:ascii="Times New Roman" w:hAnsi="Times New Roman" w:cs="Times New Roman"/>
          <w:b/>
          <w:bCs/>
          <w:sz w:val="20"/>
          <w:szCs w:val="20"/>
        </w:rPr>
        <w:t>XIII.</w:t>
      </w:r>
      <w:bookmarkStart w:id="5" w:name="_Hlk111898930"/>
      <w:r>
        <w:rPr>
          <w:rFonts w:ascii="Times New Roman" w:hAnsi="Times New Roman" w:cs="Times New Roman"/>
          <w:b/>
          <w:bCs/>
          <w:sz w:val="20"/>
          <w:szCs w:val="20"/>
        </w:rPr>
        <w:t xml:space="preserve"> </w:t>
      </w:r>
      <w:r w:rsidRPr="00550E37">
        <w:rPr>
          <w:rFonts w:ascii="Times New Roman" w:hAnsi="Times New Roman" w:cs="Times New Roman"/>
          <w:b/>
          <w:bCs/>
          <w:sz w:val="20"/>
          <w:szCs w:val="20"/>
        </w:rPr>
        <w:t>CONSENT AND CONFIDENTIALITY</w:t>
      </w:r>
      <w:bookmarkEnd w:id="5"/>
    </w:p>
    <w:bookmarkEnd w:id="4"/>
    <w:p w14:paraId="3EA04908" w14:textId="1791BD40" w:rsidR="00704E9E" w:rsidRDefault="00614DF3" w:rsidP="00550E37">
      <w:pPr>
        <w:spacing w:after="0" w:line="240" w:lineRule="auto"/>
        <w:ind w:firstLine="720"/>
        <w:jc w:val="both"/>
        <w:rPr>
          <w:rFonts w:ascii="Times New Roman" w:hAnsi="Times New Roman" w:cs="Times New Roman"/>
          <w:sz w:val="20"/>
          <w:szCs w:val="20"/>
        </w:rPr>
      </w:pPr>
      <w:r w:rsidRPr="00614DF3">
        <w:rPr>
          <w:rFonts w:ascii="Times New Roman" w:hAnsi="Times New Roman" w:cs="Times New Roman"/>
          <w:sz w:val="20"/>
          <w:szCs w:val="20"/>
        </w:rPr>
        <w:t>Confidentiality and the related idea of consent to use and disclosure of patient information are frequently cited in literature on pharmacy ethics. A French study looked into how 15 hospital pharmacists responded to scenarios that potentially jeopardise patient privacy. All of the study's pharmacist participants argued that they did not have any instruction in biomedical ethics throughout their bachelor years and did not have enough practise to feel comfortable handling these circumstances</w:t>
      </w:r>
      <w:r w:rsidR="0039393F">
        <w:rPr>
          <w:rFonts w:ascii="Times New Roman" w:hAnsi="Times New Roman" w:cs="Times New Roman"/>
          <w:sz w:val="20"/>
          <w:szCs w:val="20"/>
        </w:rPr>
        <w:t xml:space="preserve"> </w:t>
      </w:r>
      <w:proofErr w:type="gramStart"/>
      <w:r w:rsidRPr="00614DF3">
        <w:rPr>
          <w:rFonts w:ascii="Times New Roman" w:hAnsi="Times New Roman" w:cs="Times New Roman"/>
          <w:sz w:val="20"/>
          <w:szCs w:val="20"/>
        </w:rPr>
        <w:t>The</w:t>
      </w:r>
      <w:proofErr w:type="gramEnd"/>
      <w:r w:rsidRPr="00614DF3">
        <w:rPr>
          <w:rFonts w:ascii="Times New Roman" w:hAnsi="Times New Roman" w:cs="Times New Roman"/>
          <w:sz w:val="20"/>
          <w:szCs w:val="20"/>
        </w:rPr>
        <w:t xml:space="preserve"> primary remedy was considered to be turning to a manual of best practises.</w:t>
      </w:r>
      <w:r w:rsidR="001A4CD6">
        <w:rPr>
          <w:rFonts w:ascii="Times New Roman" w:hAnsi="Times New Roman" w:cs="Times New Roman"/>
          <w:sz w:val="20"/>
          <w:szCs w:val="20"/>
        </w:rPr>
        <w:t>[17]</w:t>
      </w:r>
      <w:r w:rsidRPr="00614DF3">
        <w:rPr>
          <w:rFonts w:ascii="Times New Roman" w:hAnsi="Times New Roman" w:cs="Times New Roman"/>
          <w:sz w:val="20"/>
          <w:szCs w:val="20"/>
        </w:rPr>
        <w:t xml:space="preserve"> The same issues, as well as a solution, were raised in a later UK study on the challenges faced by pharmacists who provide medical information. Traditionally restricted to other healthcare professionals, such services are now being used by the general public.</w:t>
      </w:r>
      <w:r>
        <w:rPr>
          <w:rFonts w:ascii="Times New Roman" w:hAnsi="Times New Roman" w:cs="Times New Roman"/>
          <w:sz w:val="20"/>
          <w:szCs w:val="20"/>
        </w:rPr>
        <w:t xml:space="preserve"> </w:t>
      </w:r>
      <w:r w:rsidRPr="00614DF3">
        <w:rPr>
          <w:rFonts w:ascii="Times New Roman" w:hAnsi="Times New Roman" w:cs="Times New Roman"/>
          <w:sz w:val="20"/>
          <w:szCs w:val="20"/>
        </w:rPr>
        <w:t xml:space="preserve">Conflicts between pharmacists who prefer to retain sensitive information for more appropriate disclosure than by phone and those who contend that since the majority of the requested information is in the public domain, it should be made available upon request were noted in the study. Again, out of 151 centres for medicine information that provided feedback, more than half said that the pharmacists providing the service had not been trained in "ethical considerations" even though more than 70% of them had obtained postgraduate clinical degrees </w:t>
      </w:r>
      <w:r w:rsidR="001A4CD6">
        <w:rPr>
          <w:rFonts w:ascii="Times New Roman" w:hAnsi="Times New Roman" w:cs="Times New Roman"/>
          <w:sz w:val="20"/>
          <w:szCs w:val="20"/>
        </w:rPr>
        <w:t>[17]</w:t>
      </w:r>
      <w:r w:rsidR="00225C2F">
        <w:rPr>
          <w:rFonts w:ascii="Times New Roman" w:hAnsi="Times New Roman" w:cs="Times New Roman"/>
          <w:sz w:val="20"/>
          <w:szCs w:val="20"/>
        </w:rPr>
        <w:t>.</w:t>
      </w:r>
    </w:p>
    <w:p w14:paraId="142BA4E3" w14:textId="4D15EE55" w:rsidR="00704E9E" w:rsidRDefault="00614DF3" w:rsidP="00550E37">
      <w:pPr>
        <w:spacing w:after="0" w:line="240" w:lineRule="auto"/>
        <w:ind w:firstLine="720"/>
        <w:jc w:val="both"/>
        <w:rPr>
          <w:rFonts w:ascii="Times New Roman" w:hAnsi="Times New Roman" w:cs="Times New Roman"/>
          <w:sz w:val="20"/>
          <w:szCs w:val="20"/>
        </w:rPr>
      </w:pPr>
      <w:r w:rsidRPr="00614DF3">
        <w:rPr>
          <w:rFonts w:ascii="Times New Roman" w:hAnsi="Times New Roman" w:cs="Times New Roman"/>
          <w:sz w:val="20"/>
          <w:szCs w:val="20"/>
        </w:rPr>
        <w:t>The "situation and potential solutions" method mentioned above is used in other published materials on consent and secrecy</w:t>
      </w:r>
      <w:r w:rsidR="0039393F">
        <w:rPr>
          <w:rFonts w:ascii="Times New Roman" w:hAnsi="Times New Roman" w:cs="Times New Roman"/>
          <w:sz w:val="20"/>
          <w:szCs w:val="20"/>
        </w:rPr>
        <w:t xml:space="preserve"> </w:t>
      </w:r>
      <w:r w:rsidR="00AD7137" w:rsidRPr="00AD7137">
        <w:rPr>
          <w:rFonts w:ascii="Times New Roman" w:hAnsi="Times New Roman" w:cs="Times New Roman"/>
          <w:sz w:val="20"/>
          <w:szCs w:val="20"/>
        </w:rPr>
        <w:t>Haddad talked about a case in the US where a patient had given a strict order not to tell the patient's doctor about material that appeared to pose a major threat to his health. According to her, the obligation to maintain patient privacy is based on two core ethical principles: respect for the patient's right to autonomy in making medical decisions and faithfulness, which is implied in the pharmacist's tacit promise to remain silent if the patient so chooses</w:t>
      </w:r>
      <w:r w:rsidR="0039393F">
        <w:rPr>
          <w:rFonts w:ascii="Times New Roman" w:hAnsi="Times New Roman" w:cs="Times New Roman"/>
          <w:sz w:val="20"/>
          <w:szCs w:val="20"/>
        </w:rPr>
        <w:t xml:space="preserve"> </w:t>
      </w:r>
      <w:proofErr w:type="gramStart"/>
      <w:r w:rsidR="00AD7137" w:rsidRPr="00AD7137">
        <w:rPr>
          <w:rFonts w:ascii="Times New Roman" w:hAnsi="Times New Roman" w:cs="Times New Roman"/>
          <w:sz w:val="20"/>
          <w:szCs w:val="20"/>
        </w:rPr>
        <w:t>In</w:t>
      </w:r>
      <w:proofErr w:type="gramEnd"/>
      <w:r w:rsidR="00AD7137" w:rsidRPr="00AD7137">
        <w:rPr>
          <w:rFonts w:ascii="Times New Roman" w:hAnsi="Times New Roman" w:cs="Times New Roman"/>
          <w:sz w:val="20"/>
          <w:szCs w:val="20"/>
        </w:rPr>
        <w:t xml:space="preserve"> this scenario, it is believed that expressed wish to be the deciding factor. Disclosure might have been a different course of action if the patient had remained silent. In a series of scenario discussions, other examples of information given by the patient to the pharmacist on a confidential basis were included in the UK. These examples included purposefully refusing to take the prescribed medication or hiding information that might impair the efficacy of the medication</w:t>
      </w:r>
      <w:r w:rsidR="00225C2F">
        <w:rPr>
          <w:rFonts w:ascii="Times New Roman" w:hAnsi="Times New Roman" w:cs="Times New Roman"/>
          <w:sz w:val="20"/>
          <w:szCs w:val="20"/>
        </w:rPr>
        <w:t xml:space="preserve"> </w:t>
      </w:r>
      <w:r w:rsidR="00DA045A">
        <w:rPr>
          <w:rFonts w:ascii="Times New Roman" w:hAnsi="Times New Roman" w:cs="Times New Roman"/>
          <w:sz w:val="20"/>
          <w:szCs w:val="20"/>
        </w:rPr>
        <w:t>[17]</w:t>
      </w:r>
      <w:r w:rsidR="00704E9E">
        <w:rPr>
          <w:rFonts w:ascii="Times New Roman" w:hAnsi="Times New Roman" w:cs="Times New Roman"/>
          <w:sz w:val="20"/>
          <w:szCs w:val="20"/>
        </w:rPr>
        <w:t xml:space="preserve">. </w:t>
      </w:r>
    </w:p>
    <w:p w14:paraId="12F66DCA" w14:textId="2ADBBFA3" w:rsidR="00AD7137" w:rsidRDefault="00AD7137" w:rsidP="00550E37">
      <w:pPr>
        <w:spacing w:after="0" w:line="240" w:lineRule="auto"/>
        <w:ind w:firstLine="720"/>
        <w:jc w:val="both"/>
        <w:rPr>
          <w:rFonts w:ascii="Times New Roman" w:hAnsi="Times New Roman" w:cs="Times New Roman"/>
          <w:sz w:val="20"/>
          <w:szCs w:val="20"/>
        </w:rPr>
      </w:pPr>
      <w:r w:rsidRPr="00AD7137">
        <w:rPr>
          <w:rFonts w:ascii="Times New Roman" w:hAnsi="Times New Roman" w:cs="Times New Roman"/>
          <w:sz w:val="20"/>
          <w:szCs w:val="20"/>
        </w:rPr>
        <w:t>The current author incorporated a confidentiality scenario regarding the publication of patient records after death in a series of articles analysing the process of ethical decision-making to highlight the general character of ethical obligations outside statutory law. Other publications have taken a more descriptive tack, outlining the effects of practise modifications or revisions to the Code of Ethics on secrecy.</w:t>
      </w:r>
      <w:r>
        <w:rPr>
          <w:rFonts w:ascii="Times New Roman" w:hAnsi="Times New Roman" w:cs="Times New Roman"/>
          <w:sz w:val="20"/>
          <w:szCs w:val="20"/>
        </w:rPr>
        <w:t xml:space="preserve"> </w:t>
      </w:r>
      <w:r w:rsidRPr="00AD7137">
        <w:rPr>
          <w:rFonts w:ascii="Times New Roman" w:hAnsi="Times New Roman" w:cs="Times New Roman"/>
          <w:sz w:val="20"/>
          <w:szCs w:val="20"/>
        </w:rPr>
        <w:t xml:space="preserve">Another study looks at how using a phone link and a buffer zone to keep waiting patients away from the patient consultation in process can actually provide both security and privacy. The majority of the literature on secrecy in pharmacy has been produced since the introduction of electronic communication. There has been a huge increase in statutory regulation on both sides </w:t>
      </w:r>
      <w:r w:rsidRPr="00AD7137">
        <w:rPr>
          <w:rFonts w:ascii="Times New Roman" w:hAnsi="Times New Roman" w:cs="Times New Roman"/>
          <w:sz w:val="20"/>
          <w:szCs w:val="20"/>
        </w:rPr>
        <w:lastRenderedPageBreak/>
        <w:t>of the Atlantic, and there has been a lot of discussion about how to deal with the potential and hazards that "</w:t>
      </w:r>
      <w:r w:rsidR="005B6BA4" w:rsidRPr="00AD7137">
        <w:rPr>
          <w:rFonts w:ascii="Times New Roman" w:hAnsi="Times New Roman" w:cs="Times New Roman"/>
          <w:sz w:val="20"/>
          <w:szCs w:val="20"/>
        </w:rPr>
        <w:t>tele pharmacy</w:t>
      </w:r>
      <w:r w:rsidRPr="00AD7137">
        <w:rPr>
          <w:rFonts w:ascii="Times New Roman" w:hAnsi="Times New Roman" w:cs="Times New Roman"/>
          <w:sz w:val="20"/>
          <w:szCs w:val="20"/>
        </w:rPr>
        <w:t>" presents</w:t>
      </w:r>
      <w:r w:rsidR="00225C2F">
        <w:rPr>
          <w:rFonts w:ascii="Times New Roman" w:hAnsi="Times New Roman" w:cs="Times New Roman"/>
          <w:sz w:val="20"/>
          <w:szCs w:val="20"/>
        </w:rPr>
        <w:t xml:space="preserve"> </w:t>
      </w:r>
      <w:r w:rsidR="00DA045A">
        <w:rPr>
          <w:rFonts w:ascii="Times New Roman" w:hAnsi="Times New Roman" w:cs="Times New Roman"/>
          <w:sz w:val="20"/>
          <w:szCs w:val="20"/>
        </w:rPr>
        <w:t>[17]</w:t>
      </w:r>
      <w:r w:rsidR="00225C2F">
        <w:rPr>
          <w:rFonts w:ascii="Times New Roman" w:hAnsi="Times New Roman" w:cs="Times New Roman"/>
          <w:sz w:val="20"/>
          <w:szCs w:val="20"/>
        </w:rPr>
        <w:t>.</w:t>
      </w:r>
    </w:p>
    <w:p w14:paraId="344D6CCD" w14:textId="42CAEA4A" w:rsidR="005925EE" w:rsidRDefault="005925EE" w:rsidP="00550E37">
      <w:pPr>
        <w:spacing w:after="0" w:line="240" w:lineRule="auto"/>
        <w:ind w:firstLine="720"/>
        <w:jc w:val="both"/>
        <w:rPr>
          <w:rFonts w:ascii="Times New Roman" w:hAnsi="Times New Roman" w:cs="Times New Roman"/>
          <w:sz w:val="20"/>
          <w:szCs w:val="20"/>
        </w:rPr>
      </w:pPr>
      <w:r w:rsidRPr="005925EE">
        <w:rPr>
          <w:rFonts w:ascii="Times New Roman" w:hAnsi="Times New Roman" w:cs="Times New Roman"/>
          <w:sz w:val="20"/>
          <w:szCs w:val="20"/>
        </w:rPr>
        <w:t>Pharmaceutical corporations can use "data mining" to focus their drug marketing campaigns more profitably and efficiently by purchasing electronic patient medication information. The state was defeated, mostly because the data processor could demonstrate that the patient's identity had been successfully wiped off.</w:t>
      </w:r>
      <w:r>
        <w:rPr>
          <w:rFonts w:ascii="Times New Roman" w:hAnsi="Times New Roman" w:cs="Times New Roman"/>
          <w:sz w:val="20"/>
          <w:szCs w:val="20"/>
        </w:rPr>
        <w:t xml:space="preserve"> </w:t>
      </w:r>
      <w:r w:rsidRPr="005925EE">
        <w:rPr>
          <w:rFonts w:ascii="Times New Roman" w:hAnsi="Times New Roman" w:cs="Times New Roman"/>
          <w:sz w:val="20"/>
          <w:szCs w:val="20"/>
        </w:rPr>
        <w:t>In Canada, the Medical Association called for legislation in response to similar activities by the same data processor to safeguard physician anonymity. This report makes mention of British Columbia's unilateral decision to forbid pharmacies from contributing to the collecting of this data and replace it with a province-wide, online pharmacy system. Ironically, while such information is currently available to the NHS in the UK through its state reimbursement systems, it has not yet chosen to use it in this manner</w:t>
      </w:r>
      <w:r w:rsidR="002935ED">
        <w:rPr>
          <w:rFonts w:ascii="Times New Roman" w:hAnsi="Times New Roman" w:cs="Times New Roman"/>
          <w:sz w:val="20"/>
          <w:szCs w:val="20"/>
        </w:rPr>
        <w:t xml:space="preserve"> </w:t>
      </w:r>
      <w:proofErr w:type="gramStart"/>
      <w:r w:rsidRPr="005925EE">
        <w:rPr>
          <w:rFonts w:ascii="Times New Roman" w:hAnsi="Times New Roman" w:cs="Times New Roman"/>
          <w:sz w:val="20"/>
          <w:szCs w:val="20"/>
        </w:rPr>
        <w:t>In</w:t>
      </w:r>
      <w:proofErr w:type="gramEnd"/>
      <w:r w:rsidRPr="005925EE">
        <w:rPr>
          <w:rFonts w:ascii="Times New Roman" w:hAnsi="Times New Roman" w:cs="Times New Roman"/>
          <w:sz w:val="20"/>
          <w:szCs w:val="20"/>
        </w:rPr>
        <w:t xml:space="preserve"> the UK, the ability to write and send electronic prescriptions is still in its infancy, but preliminary research indicates that consent and confidentiality will be problematic issues. Real and potential opportunities to control prescription costs or enhance patient health outcomes are presented by the capacity of state systems to handle personal health information, such as the NHS in the UK or employment-linked PBOs in the US These possibilities also create tensions between organisational effectiveness and patients' rights to refuse consent to such data manipulation. These rights are probably more concerned with the right to accurate information than the right to opt-out</w:t>
      </w:r>
      <w:r w:rsidR="00225C2F">
        <w:rPr>
          <w:rFonts w:ascii="Times New Roman" w:hAnsi="Times New Roman" w:cs="Times New Roman"/>
          <w:sz w:val="20"/>
          <w:szCs w:val="20"/>
        </w:rPr>
        <w:t xml:space="preserve"> </w:t>
      </w:r>
      <w:r w:rsidR="00DA045A">
        <w:rPr>
          <w:rFonts w:ascii="Times New Roman" w:hAnsi="Times New Roman" w:cs="Times New Roman"/>
          <w:sz w:val="20"/>
          <w:szCs w:val="20"/>
        </w:rPr>
        <w:t>[18]</w:t>
      </w:r>
      <w:r w:rsidR="00225C2F">
        <w:rPr>
          <w:rFonts w:ascii="Times New Roman" w:hAnsi="Times New Roman" w:cs="Times New Roman"/>
          <w:sz w:val="20"/>
          <w:szCs w:val="20"/>
        </w:rPr>
        <w:t>.</w:t>
      </w:r>
    </w:p>
    <w:p w14:paraId="12123F71" w14:textId="73394457" w:rsidR="008A6359" w:rsidRDefault="005925EE" w:rsidP="00550E37">
      <w:pPr>
        <w:spacing w:after="0" w:line="240" w:lineRule="auto"/>
        <w:ind w:firstLine="720"/>
        <w:jc w:val="both"/>
        <w:rPr>
          <w:rFonts w:ascii="Times New Roman" w:hAnsi="Times New Roman" w:cs="Times New Roman"/>
          <w:sz w:val="20"/>
          <w:szCs w:val="20"/>
        </w:rPr>
      </w:pPr>
      <w:r w:rsidRPr="005925EE">
        <w:rPr>
          <w:rFonts w:ascii="Times New Roman" w:hAnsi="Times New Roman" w:cs="Times New Roman"/>
          <w:sz w:val="20"/>
          <w:szCs w:val="20"/>
        </w:rPr>
        <w:t>A US operation that exploited prescription information to sell a new medicine to patients without their previous knowledge sparked a media backlash in 1998. Earlier acknowledgment that the interests of pharmacy providers, such as business owners or Pharmacy Benefit Managers (PBMs), may differ from those of pharmacy practitioners is highlighted in an editorial examining this development.</w:t>
      </w:r>
      <w:r w:rsidR="00E20B42" w:rsidRPr="003F0EB6">
        <w:rPr>
          <w:rFonts w:ascii="Times New Roman" w:hAnsi="Times New Roman" w:cs="Times New Roman"/>
          <w:sz w:val="20"/>
          <w:szCs w:val="20"/>
        </w:rPr>
        <w:t xml:space="preserve"> </w:t>
      </w:r>
      <w:r w:rsidR="008A6359" w:rsidRPr="008A6359">
        <w:rPr>
          <w:rFonts w:ascii="Times New Roman" w:hAnsi="Times New Roman" w:cs="Times New Roman"/>
          <w:sz w:val="20"/>
          <w:szCs w:val="20"/>
        </w:rPr>
        <w:t>the privacy risk brought on by huge numbers of employees having access to certain data sets in behavioural (mental) health PBMs. The number of online pharmacies is increasing everywhere. The majority of discussion centres on the financial ramifications for more established "brick and mortar" pharmacies, however Landis (1999) and Spooner (1999) explain the privacy and confidentiality ramifications of email exchanges in a US news article (1999).</w:t>
      </w:r>
      <w:r w:rsidR="008A6359" w:rsidRPr="008A6359">
        <w:t xml:space="preserve"> </w:t>
      </w:r>
      <w:r w:rsidR="008A6359" w:rsidRPr="008A6359">
        <w:rPr>
          <w:rFonts w:ascii="Times New Roman" w:hAnsi="Times New Roman" w:cs="Times New Roman"/>
          <w:sz w:val="20"/>
          <w:szCs w:val="20"/>
        </w:rPr>
        <w:t>the privacy risk brought on by huge numbers of employees having access to certain data sets in behavioural (mental) health PBMs. The number of online pharmacies is increasing everywhere. The majority of discussion centres on the financial ramifications for more established "brick and mortar" pharmacies, however Landis (1999) and Spooner (1999) explain the privacy and confidentiality ramifications of email exchanges in a US news article (1999)</w:t>
      </w:r>
      <w:r w:rsidR="00225C2F">
        <w:rPr>
          <w:rFonts w:ascii="Times New Roman" w:hAnsi="Times New Roman" w:cs="Times New Roman"/>
          <w:sz w:val="20"/>
          <w:szCs w:val="20"/>
        </w:rPr>
        <w:t xml:space="preserve"> </w:t>
      </w:r>
      <w:r w:rsidR="00DA045A">
        <w:rPr>
          <w:rFonts w:ascii="Times New Roman" w:hAnsi="Times New Roman" w:cs="Times New Roman"/>
          <w:sz w:val="20"/>
          <w:szCs w:val="20"/>
        </w:rPr>
        <w:t>[18]</w:t>
      </w:r>
      <w:r w:rsidR="00225C2F">
        <w:rPr>
          <w:rFonts w:ascii="Times New Roman" w:hAnsi="Times New Roman" w:cs="Times New Roman"/>
          <w:sz w:val="20"/>
          <w:szCs w:val="20"/>
        </w:rPr>
        <w:t>.</w:t>
      </w:r>
    </w:p>
    <w:p w14:paraId="2A41F940" w14:textId="562D41E6" w:rsidR="00542E8F" w:rsidRPr="00EF792B" w:rsidRDefault="00B57908" w:rsidP="00550E3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XIV.</w:t>
      </w:r>
      <w:r w:rsidR="00542E8F" w:rsidRPr="00EF792B">
        <w:rPr>
          <w:rFonts w:ascii="Times New Roman" w:hAnsi="Times New Roman" w:cs="Times New Roman"/>
          <w:b/>
          <w:bCs/>
          <w:sz w:val="20"/>
          <w:szCs w:val="20"/>
        </w:rPr>
        <w:t xml:space="preserve">Legal and Ethical Issues Regarding </w:t>
      </w:r>
      <w:r w:rsidR="00225C2F" w:rsidRPr="00EF792B">
        <w:rPr>
          <w:rFonts w:ascii="Times New Roman" w:hAnsi="Times New Roman" w:cs="Times New Roman"/>
          <w:b/>
          <w:bCs/>
          <w:sz w:val="20"/>
          <w:szCs w:val="20"/>
        </w:rPr>
        <w:t>social media</w:t>
      </w:r>
      <w:r w:rsidR="00542E8F" w:rsidRPr="00EF792B">
        <w:rPr>
          <w:rFonts w:ascii="Times New Roman" w:hAnsi="Times New Roman" w:cs="Times New Roman"/>
          <w:b/>
          <w:bCs/>
          <w:sz w:val="20"/>
          <w:szCs w:val="20"/>
        </w:rPr>
        <w:t xml:space="preserve"> and Pharmacy Education</w:t>
      </w:r>
    </w:p>
    <w:p w14:paraId="6F151A40" w14:textId="4C884DB1" w:rsidR="0068634C" w:rsidRDefault="0068634C" w:rsidP="00550E37">
      <w:pPr>
        <w:spacing w:after="0" w:line="240" w:lineRule="auto"/>
        <w:ind w:firstLine="720"/>
        <w:jc w:val="both"/>
        <w:rPr>
          <w:rFonts w:ascii="Times New Roman" w:hAnsi="Times New Roman" w:cs="Times New Roman"/>
          <w:sz w:val="20"/>
          <w:szCs w:val="20"/>
        </w:rPr>
      </w:pPr>
      <w:r w:rsidRPr="0068634C">
        <w:rPr>
          <w:rFonts w:ascii="Times New Roman" w:hAnsi="Times New Roman" w:cs="Times New Roman"/>
          <w:sz w:val="20"/>
          <w:szCs w:val="20"/>
        </w:rPr>
        <w:t>New social media platforms like YouTube, Facebook, Twitter, and Blogger have seen a sharp rise in popularity in recent years. Older generations are fast joining the ranks of social media users, but younger generations were predominantly the early adopters of these technology. 400 million people use Facebook alone, with users 35 and older expanding at the quickest rate.</w:t>
      </w:r>
      <w:r w:rsidR="00E33F3D" w:rsidRPr="003F0EB6">
        <w:rPr>
          <w:rFonts w:ascii="Times New Roman" w:hAnsi="Times New Roman" w:cs="Times New Roman"/>
          <w:sz w:val="20"/>
          <w:szCs w:val="20"/>
        </w:rPr>
        <w:t xml:space="preserve"> </w:t>
      </w:r>
      <w:r w:rsidRPr="0068634C">
        <w:rPr>
          <w:rFonts w:ascii="Times New Roman" w:hAnsi="Times New Roman" w:cs="Times New Roman"/>
          <w:sz w:val="20"/>
          <w:szCs w:val="20"/>
        </w:rPr>
        <w:t>The social communication paradigm is shifting from the conventional face-to-face or telephone model to one that leverages a range of Web-based social media tools, in part due to the popularity of these programmes. These technologies are now so pervasive that they are starting to disturb parts of our social structure</w:t>
      </w:r>
      <w:r w:rsidR="00225C2F">
        <w:rPr>
          <w:rFonts w:ascii="Times New Roman" w:hAnsi="Times New Roman" w:cs="Times New Roman"/>
          <w:sz w:val="20"/>
          <w:szCs w:val="20"/>
        </w:rPr>
        <w:t xml:space="preserve"> </w:t>
      </w:r>
      <w:r w:rsidR="00DA045A">
        <w:rPr>
          <w:rFonts w:ascii="Times New Roman" w:hAnsi="Times New Roman" w:cs="Times New Roman"/>
          <w:sz w:val="20"/>
          <w:szCs w:val="20"/>
        </w:rPr>
        <w:t>[19]</w:t>
      </w:r>
      <w:r w:rsidR="00225C2F">
        <w:rPr>
          <w:rFonts w:ascii="Times New Roman" w:hAnsi="Times New Roman" w:cs="Times New Roman"/>
          <w:sz w:val="20"/>
          <w:szCs w:val="20"/>
        </w:rPr>
        <w:t>.</w:t>
      </w:r>
    </w:p>
    <w:p w14:paraId="0B0A8713" w14:textId="24195013" w:rsidR="004E3960" w:rsidRDefault="004E3960" w:rsidP="00550E37">
      <w:pPr>
        <w:spacing w:after="0" w:line="240" w:lineRule="auto"/>
        <w:ind w:firstLine="360"/>
        <w:jc w:val="both"/>
        <w:rPr>
          <w:rFonts w:ascii="Times New Roman" w:hAnsi="Times New Roman" w:cs="Times New Roman"/>
          <w:sz w:val="20"/>
          <w:szCs w:val="20"/>
        </w:rPr>
      </w:pPr>
      <w:r w:rsidRPr="004E3960">
        <w:rPr>
          <w:rFonts w:ascii="Times New Roman" w:hAnsi="Times New Roman" w:cs="Times New Roman"/>
          <w:sz w:val="20"/>
          <w:szCs w:val="20"/>
        </w:rPr>
        <w:t>The last two decades, in particular, have been marked by exponential breakthroughs in technology, particularly by personal access to ever-sophisticated electronic devices for information retrieval and communication, according to a statement made by Duncan in 2008.</w:t>
      </w:r>
      <w:r w:rsidRPr="004E3960">
        <w:t xml:space="preserve"> </w:t>
      </w:r>
      <w:r w:rsidRPr="004E3960">
        <w:rPr>
          <w:rFonts w:ascii="Times New Roman" w:hAnsi="Times New Roman" w:cs="Times New Roman"/>
          <w:sz w:val="20"/>
          <w:szCs w:val="20"/>
        </w:rPr>
        <w:t xml:space="preserve">Concomitant changes in cultural mores relative to the use of such devices have widened the intergenerational gap, affecting all institutions, including law and education. While these disruptions have spread across society as a whole, there are some specific issues of particular relevance to professional </w:t>
      </w:r>
      <w:r w:rsidR="00DA045A">
        <w:rPr>
          <w:rFonts w:ascii="Times New Roman" w:hAnsi="Times New Roman" w:cs="Times New Roman"/>
          <w:sz w:val="20"/>
          <w:szCs w:val="20"/>
        </w:rPr>
        <w:t>education</w:t>
      </w:r>
      <w:r w:rsidR="00A73471">
        <w:rPr>
          <w:rFonts w:ascii="Times New Roman" w:hAnsi="Times New Roman" w:cs="Times New Roman"/>
          <w:sz w:val="20"/>
          <w:szCs w:val="20"/>
        </w:rPr>
        <w:t xml:space="preserve"> </w:t>
      </w:r>
      <w:r w:rsidR="00DA045A">
        <w:rPr>
          <w:rFonts w:ascii="Times New Roman" w:hAnsi="Times New Roman" w:cs="Times New Roman"/>
          <w:sz w:val="20"/>
          <w:szCs w:val="20"/>
        </w:rPr>
        <w:t>[19]</w:t>
      </w:r>
      <w:r w:rsidR="00225C2F">
        <w:rPr>
          <w:rFonts w:ascii="Times New Roman" w:hAnsi="Times New Roman" w:cs="Times New Roman"/>
          <w:sz w:val="20"/>
          <w:szCs w:val="20"/>
        </w:rPr>
        <w:t>.</w:t>
      </w:r>
    </w:p>
    <w:p w14:paraId="57D6BE44" w14:textId="71EA30C4" w:rsidR="004E3960" w:rsidRPr="002935ED" w:rsidRDefault="004E3960" w:rsidP="00550E37">
      <w:pPr>
        <w:spacing w:after="0" w:line="240" w:lineRule="auto"/>
        <w:ind w:firstLine="360"/>
        <w:jc w:val="both"/>
        <w:rPr>
          <w:rFonts w:ascii="Times New Roman" w:hAnsi="Times New Roman" w:cs="Times New Roman"/>
          <w:b/>
          <w:bCs/>
          <w:sz w:val="20"/>
          <w:szCs w:val="20"/>
        </w:rPr>
      </w:pPr>
      <w:r w:rsidRPr="002935ED">
        <w:rPr>
          <w:rFonts w:ascii="Times New Roman" w:hAnsi="Times New Roman" w:cs="Times New Roman"/>
          <w:sz w:val="20"/>
          <w:szCs w:val="20"/>
        </w:rPr>
        <w:t>Many of the hazy concerns have also been improved by conversations in research publications and at professional conferences. Many students, faculty members, and administrators are not yet completely aware of the complexity imposed upon schools as a result of the aforementioned paradigm shift because this field of research is still quite young. In order to help pharmacy faculty members and administrators understand this developing area of concern and avoid potential legal entanglements, the authors of this article review and explain the legal and ethical issues connected with social media use. They then offer recommendations for pharmacy administrators and faculty as a whole</w:t>
      </w:r>
      <w:r w:rsidR="00225C2F">
        <w:rPr>
          <w:rFonts w:ascii="Times New Roman" w:hAnsi="Times New Roman" w:cs="Times New Roman"/>
          <w:sz w:val="20"/>
          <w:szCs w:val="20"/>
        </w:rPr>
        <w:t xml:space="preserve"> </w:t>
      </w:r>
      <w:r w:rsidR="00DA045A">
        <w:rPr>
          <w:rFonts w:ascii="Times New Roman" w:hAnsi="Times New Roman" w:cs="Times New Roman"/>
          <w:sz w:val="20"/>
          <w:szCs w:val="20"/>
        </w:rPr>
        <w:t>[19]</w:t>
      </w:r>
      <w:r w:rsidR="00225C2F">
        <w:rPr>
          <w:rFonts w:ascii="Times New Roman" w:hAnsi="Times New Roman" w:cs="Times New Roman"/>
          <w:sz w:val="20"/>
          <w:szCs w:val="20"/>
        </w:rPr>
        <w:t>.</w:t>
      </w:r>
    </w:p>
    <w:p w14:paraId="24718AC8" w14:textId="64BABE19" w:rsidR="00E33F3D" w:rsidRPr="002935ED" w:rsidRDefault="00B57908" w:rsidP="00225C2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XV.</w:t>
      </w:r>
      <w:r w:rsidR="00225C2F">
        <w:rPr>
          <w:rFonts w:ascii="Times New Roman" w:hAnsi="Times New Roman" w:cs="Times New Roman"/>
          <w:b/>
          <w:bCs/>
          <w:sz w:val="20"/>
          <w:szCs w:val="20"/>
        </w:rPr>
        <w:t xml:space="preserve"> </w:t>
      </w:r>
      <w:r w:rsidR="00E33F3D" w:rsidRPr="002935ED">
        <w:rPr>
          <w:rFonts w:ascii="Times New Roman" w:hAnsi="Times New Roman" w:cs="Times New Roman"/>
          <w:b/>
          <w:bCs/>
          <w:sz w:val="20"/>
          <w:szCs w:val="20"/>
        </w:rPr>
        <w:t>LEGAL ISSUES</w:t>
      </w:r>
    </w:p>
    <w:p w14:paraId="74D1AFFD" w14:textId="37A2DF65" w:rsidR="004E3960" w:rsidRDefault="004E3960" w:rsidP="00550E37">
      <w:pPr>
        <w:spacing w:after="0" w:line="240" w:lineRule="auto"/>
        <w:ind w:firstLine="360"/>
        <w:jc w:val="both"/>
        <w:rPr>
          <w:rFonts w:ascii="Times New Roman" w:hAnsi="Times New Roman" w:cs="Times New Roman"/>
          <w:sz w:val="20"/>
          <w:szCs w:val="20"/>
        </w:rPr>
      </w:pPr>
      <w:r w:rsidRPr="004E3960">
        <w:rPr>
          <w:rFonts w:ascii="Times New Roman" w:hAnsi="Times New Roman" w:cs="Times New Roman"/>
          <w:sz w:val="20"/>
          <w:szCs w:val="20"/>
        </w:rPr>
        <w:t>In matters involving the use of social media, a variety of fundamental rights guaranteed by the US Constitution may be at stake, including freedom of speech, concerns with search and seizure, the right to privacy, and the denial of due process. A quick overview of these topics could serve as a starting point for a discussion of the problems as they relate to social media</w:t>
      </w:r>
      <w:r w:rsidR="00225C2F">
        <w:rPr>
          <w:rFonts w:ascii="Times New Roman" w:hAnsi="Times New Roman" w:cs="Times New Roman"/>
          <w:sz w:val="20"/>
          <w:szCs w:val="20"/>
        </w:rPr>
        <w:t xml:space="preserve"> </w:t>
      </w:r>
      <w:r w:rsidR="00DA045A">
        <w:rPr>
          <w:rFonts w:ascii="Times New Roman" w:hAnsi="Times New Roman" w:cs="Times New Roman"/>
          <w:sz w:val="20"/>
          <w:szCs w:val="20"/>
        </w:rPr>
        <w:t>[20]</w:t>
      </w:r>
      <w:r w:rsidR="00225C2F">
        <w:rPr>
          <w:rFonts w:ascii="Times New Roman" w:hAnsi="Times New Roman" w:cs="Times New Roman"/>
          <w:sz w:val="20"/>
          <w:szCs w:val="20"/>
        </w:rPr>
        <w:t>.</w:t>
      </w:r>
    </w:p>
    <w:p w14:paraId="7A0BD905" w14:textId="40B79CA3" w:rsidR="00EF639C" w:rsidRDefault="004E3960" w:rsidP="00550E37">
      <w:pPr>
        <w:spacing w:after="0" w:line="240" w:lineRule="auto"/>
        <w:ind w:firstLine="360"/>
        <w:jc w:val="both"/>
        <w:rPr>
          <w:rFonts w:ascii="Times New Roman" w:hAnsi="Times New Roman" w:cs="Times New Roman"/>
          <w:sz w:val="20"/>
          <w:szCs w:val="20"/>
        </w:rPr>
      </w:pPr>
      <w:r w:rsidRPr="004E3960">
        <w:rPr>
          <w:rFonts w:ascii="Times New Roman" w:hAnsi="Times New Roman" w:cs="Times New Roman"/>
          <w:sz w:val="20"/>
          <w:szCs w:val="20"/>
        </w:rPr>
        <w:t>Freedom of speech is one of the six rights granted to citizens by the First Amendment of the US Constitution, which also states that Congress cannot pass legislation restricting the free exercise of one's religion, banning its practise, restricting one's right to free speech or the press, or restricting the right of the people to peacefully assemble and petition the government for redress of grievances.</w:t>
      </w:r>
      <w:r>
        <w:rPr>
          <w:rFonts w:ascii="Times New Roman" w:hAnsi="Times New Roman" w:cs="Times New Roman"/>
          <w:sz w:val="20"/>
          <w:szCs w:val="20"/>
        </w:rPr>
        <w:t xml:space="preserve"> </w:t>
      </w:r>
      <w:r w:rsidR="00EF639C" w:rsidRPr="00EF639C">
        <w:rPr>
          <w:rFonts w:ascii="Times New Roman" w:hAnsi="Times New Roman" w:cs="Times New Roman"/>
          <w:sz w:val="20"/>
          <w:szCs w:val="20"/>
        </w:rPr>
        <w:t xml:space="preserve">Issues with free speech only arise when the government is engaged. The standard was established that student speech may only be restricted when it materially </w:t>
      </w:r>
      <w:r w:rsidR="00EF639C" w:rsidRPr="00EF639C">
        <w:rPr>
          <w:rFonts w:ascii="Times New Roman" w:hAnsi="Times New Roman" w:cs="Times New Roman"/>
          <w:sz w:val="20"/>
          <w:szCs w:val="20"/>
        </w:rPr>
        <w:lastRenderedPageBreak/>
        <w:t>disrupts or substantially interferes with a school's activities in one of the key US Supreme Court cases in this area</w:t>
      </w:r>
      <w:r w:rsidR="00225C2F">
        <w:rPr>
          <w:rFonts w:ascii="Times New Roman" w:hAnsi="Times New Roman" w:cs="Times New Roman"/>
          <w:sz w:val="20"/>
          <w:szCs w:val="20"/>
        </w:rPr>
        <w:t xml:space="preserve"> </w:t>
      </w:r>
      <w:r w:rsidR="00DA045A">
        <w:rPr>
          <w:rFonts w:ascii="Times New Roman" w:hAnsi="Times New Roman" w:cs="Times New Roman"/>
          <w:sz w:val="20"/>
          <w:szCs w:val="20"/>
        </w:rPr>
        <w:t>[20]</w:t>
      </w:r>
      <w:r w:rsidR="00225C2F">
        <w:rPr>
          <w:rFonts w:ascii="Times New Roman" w:hAnsi="Times New Roman" w:cs="Times New Roman"/>
          <w:sz w:val="20"/>
          <w:szCs w:val="20"/>
        </w:rPr>
        <w:t>.</w:t>
      </w:r>
    </w:p>
    <w:p w14:paraId="74868C4C" w14:textId="18BF5144" w:rsidR="00EF639C" w:rsidRDefault="00EF639C" w:rsidP="00550E37">
      <w:pPr>
        <w:spacing w:after="0" w:line="240" w:lineRule="auto"/>
        <w:ind w:firstLine="360"/>
        <w:jc w:val="both"/>
        <w:rPr>
          <w:rFonts w:ascii="Times New Roman" w:hAnsi="Times New Roman" w:cs="Times New Roman"/>
          <w:sz w:val="20"/>
          <w:szCs w:val="20"/>
        </w:rPr>
      </w:pPr>
      <w:r w:rsidRPr="00EF639C">
        <w:rPr>
          <w:rFonts w:ascii="Times New Roman" w:hAnsi="Times New Roman" w:cs="Times New Roman"/>
          <w:sz w:val="20"/>
          <w:szCs w:val="20"/>
        </w:rPr>
        <w:t>In the Tinker case, the Supreme Court ruled that "conduct by the student, in class or out of it, which for any reason - whether it stems from time, place, or type of behaviour - involves substantial disorder or invasion of the rights of others, or which involves materially disrupts class work, is, of course, not immune by the constitutional guarantee of freedom of speech." When a school makes the claim that a student has participated in disruptive speech that the school would like to stop, this criterion should be used</w:t>
      </w:r>
      <w:r w:rsidR="00225C2F">
        <w:rPr>
          <w:rFonts w:ascii="Times New Roman" w:hAnsi="Times New Roman" w:cs="Times New Roman"/>
          <w:sz w:val="20"/>
          <w:szCs w:val="20"/>
        </w:rPr>
        <w:t xml:space="preserve"> </w:t>
      </w:r>
      <w:r w:rsidR="00DA045A">
        <w:rPr>
          <w:rFonts w:ascii="Times New Roman" w:hAnsi="Times New Roman" w:cs="Times New Roman"/>
          <w:sz w:val="20"/>
          <w:szCs w:val="20"/>
        </w:rPr>
        <w:t>[20]</w:t>
      </w:r>
      <w:r w:rsidR="00225C2F">
        <w:rPr>
          <w:rFonts w:ascii="Times New Roman" w:hAnsi="Times New Roman" w:cs="Times New Roman"/>
          <w:sz w:val="20"/>
          <w:szCs w:val="20"/>
        </w:rPr>
        <w:t>.</w:t>
      </w:r>
    </w:p>
    <w:p w14:paraId="68804EAC" w14:textId="75CCD188" w:rsidR="00EF639C" w:rsidRDefault="00EF639C" w:rsidP="00550E37">
      <w:pPr>
        <w:spacing w:after="0" w:line="240" w:lineRule="auto"/>
        <w:ind w:firstLine="360"/>
        <w:jc w:val="both"/>
        <w:rPr>
          <w:rFonts w:ascii="Times New Roman" w:hAnsi="Times New Roman" w:cs="Times New Roman"/>
          <w:sz w:val="20"/>
          <w:szCs w:val="20"/>
        </w:rPr>
      </w:pPr>
      <w:r w:rsidRPr="00EF639C">
        <w:rPr>
          <w:rFonts w:ascii="Times New Roman" w:hAnsi="Times New Roman" w:cs="Times New Roman"/>
          <w:sz w:val="20"/>
          <w:szCs w:val="20"/>
        </w:rPr>
        <w:t>"It does not follow... that simply because the use of an objectionable form of communication may not be restricted to adults expressing what the speaker considers a political point, the same latitude must be granted to youngsters in a public school," the Supreme Court ruled. The school board has the authority to decide whether language is appropriate for use in the classroom or during school assemblies. Fourth Amendment concerns of search and seizure arise in cases involving social media use:</w:t>
      </w:r>
      <w:r>
        <w:rPr>
          <w:rFonts w:ascii="Times New Roman" w:hAnsi="Times New Roman" w:cs="Times New Roman"/>
          <w:sz w:val="20"/>
          <w:szCs w:val="20"/>
        </w:rPr>
        <w:t xml:space="preserve"> </w:t>
      </w:r>
      <w:r w:rsidRPr="003F0EB6">
        <w:rPr>
          <w:rFonts w:ascii="Times New Roman" w:hAnsi="Times New Roman" w:cs="Times New Roman"/>
          <w:sz w:val="20"/>
          <w:szCs w:val="20"/>
        </w:rPr>
        <w:t xml:space="preserve">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seized.8 Such issues might materialize when institutional officials attempt to gain access to a student’s social media communications or the equipment used for such exchanges. The Fifth Amendment could be drawn into such cases when institutional officials question a student regarding the content of social media communications </w:t>
      </w:r>
      <w:r w:rsidR="00DA045A">
        <w:rPr>
          <w:rFonts w:ascii="Times New Roman" w:hAnsi="Times New Roman" w:cs="Times New Roman"/>
          <w:sz w:val="20"/>
          <w:szCs w:val="20"/>
        </w:rPr>
        <w:t>[21]</w:t>
      </w:r>
      <w:r w:rsidR="00225C2F">
        <w:rPr>
          <w:rFonts w:ascii="Times New Roman" w:hAnsi="Times New Roman" w:cs="Times New Roman"/>
          <w:sz w:val="20"/>
          <w:szCs w:val="20"/>
        </w:rPr>
        <w:t>.</w:t>
      </w:r>
    </w:p>
    <w:p w14:paraId="407F7FC0" w14:textId="69E4100B" w:rsidR="009F66C4" w:rsidRDefault="009F66C4" w:rsidP="00550E37">
      <w:pPr>
        <w:spacing w:after="0" w:line="240" w:lineRule="auto"/>
        <w:ind w:firstLine="360"/>
        <w:jc w:val="both"/>
        <w:rPr>
          <w:rFonts w:ascii="Times New Roman" w:hAnsi="Times New Roman" w:cs="Times New Roman"/>
          <w:sz w:val="20"/>
          <w:szCs w:val="20"/>
        </w:rPr>
      </w:pPr>
      <w:r w:rsidRPr="009F66C4">
        <w:rPr>
          <w:rFonts w:ascii="Times New Roman" w:hAnsi="Times New Roman" w:cs="Times New Roman"/>
          <w:sz w:val="20"/>
          <w:szCs w:val="20"/>
        </w:rPr>
        <w:t>This Amendment also creates rights to due process. No person shall be held accountable for a capital, or otherwise infamous crime, except in cases arising in the land or naval forces, or in the militia, when in actual service in time of War or public danger; nor shall any person be subject to having his or her life or limb endangered twice for the same offence; nor shall any person be required to testify against him or her in any criminal case.</w:t>
      </w:r>
      <w:r w:rsidR="00AE275E" w:rsidRPr="003F0EB6">
        <w:rPr>
          <w:rFonts w:ascii="Times New Roman" w:hAnsi="Times New Roman" w:cs="Times New Roman"/>
          <w:sz w:val="20"/>
          <w:szCs w:val="20"/>
        </w:rPr>
        <w:t xml:space="preserve"> </w:t>
      </w:r>
      <w:r w:rsidRPr="009F66C4">
        <w:rPr>
          <w:rFonts w:ascii="Times New Roman" w:hAnsi="Times New Roman" w:cs="Times New Roman"/>
          <w:sz w:val="20"/>
          <w:szCs w:val="20"/>
        </w:rPr>
        <w:t>The threat that a state government or an entity that is part of it, such as a public university, may take action outlined in the Amendment causes the Fourteenth Amendment to broaden the coverage of Constitutional due process rights by extending them to non-citizens: All individuals who are born or naturalised in the United States and fall under its jurisdiction are citizens of both the United States and the State in which they currently reside</w:t>
      </w:r>
      <w:r w:rsidR="00DA045A">
        <w:rPr>
          <w:rFonts w:ascii="Times New Roman" w:hAnsi="Times New Roman" w:cs="Times New Roman"/>
          <w:sz w:val="20"/>
          <w:szCs w:val="20"/>
        </w:rPr>
        <w:t xml:space="preserve"> </w:t>
      </w:r>
      <w:r w:rsidRPr="009F66C4">
        <w:rPr>
          <w:rFonts w:ascii="Times New Roman" w:hAnsi="Times New Roman" w:cs="Times New Roman"/>
          <w:sz w:val="20"/>
          <w:szCs w:val="20"/>
        </w:rPr>
        <w:t>No State may enact or carry out any legislation that restricts the rights or privileges of US citizens; no State may rob anybody of their life, liberty, or property without first obtaining a court order; and no State shall refuse to any person within its borders the equal protection of the laws</w:t>
      </w:r>
      <w:r w:rsidR="00225C2F">
        <w:rPr>
          <w:rFonts w:ascii="Times New Roman" w:hAnsi="Times New Roman" w:cs="Times New Roman"/>
          <w:sz w:val="20"/>
          <w:szCs w:val="20"/>
        </w:rPr>
        <w:t xml:space="preserve"> </w:t>
      </w:r>
      <w:r w:rsidR="00DA045A">
        <w:rPr>
          <w:rFonts w:ascii="Times New Roman" w:hAnsi="Times New Roman" w:cs="Times New Roman"/>
          <w:sz w:val="20"/>
          <w:szCs w:val="20"/>
        </w:rPr>
        <w:t>[21]</w:t>
      </w:r>
      <w:r w:rsidR="00225C2F">
        <w:rPr>
          <w:rFonts w:ascii="Times New Roman" w:hAnsi="Times New Roman" w:cs="Times New Roman"/>
          <w:sz w:val="20"/>
          <w:szCs w:val="20"/>
        </w:rPr>
        <w:t>.</w:t>
      </w:r>
    </w:p>
    <w:p w14:paraId="758FF49F" w14:textId="0C873B42" w:rsidR="00704E9E" w:rsidRPr="00704E9E" w:rsidRDefault="00225C2F" w:rsidP="00550E37">
      <w:pPr>
        <w:spacing w:after="0" w:line="240" w:lineRule="auto"/>
        <w:ind w:firstLine="360"/>
        <w:jc w:val="center"/>
        <w:rPr>
          <w:rFonts w:ascii="Times New Roman" w:hAnsi="Times New Roman" w:cs="Times New Roman"/>
          <w:b/>
          <w:bCs/>
          <w:sz w:val="20"/>
          <w:szCs w:val="20"/>
        </w:rPr>
      </w:pPr>
      <w:r w:rsidRPr="00704E9E">
        <w:rPr>
          <w:rFonts w:ascii="Times New Roman" w:hAnsi="Times New Roman" w:cs="Times New Roman"/>
          <w:b/>
          <w:bCs/>
          <w:sz w:val="20"/>
          <w:szCs w:val="20"/>
        </w:rPr>
        <w:t>XVI. REFERENCE</w:t>
      </w:r>
    </w:p>
    <w:p w14:paraId="6210EDDD" w14:textId="77777777" w:rsidR="00704E9E" w:rsidRPr="00704E9E" w:rsidRDefault="00704E9E" w:rsidP="00550E37">
      <w:pPr>
        <w:pStyle w:val="ListParagraph"/>
        <w:numPr>
          <w:ilvl w:val="0"/>
          <w:numId w:val="7"/>
        </w:numPr>
        <w:spacing w:after="0" w:line="240" w:lineRule="auto"/>
        <w:ind w:left="357" w:hanging="357"/>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Jones, D. S., Grady, C., &amp; Lederer, S. E. (2019). Ethics and clinical research. </w:t>
      </w:r>
      <w:r w:rsidRPr="00704E9E">
        <w:rPr>
          <w:rFonts w:ascii="Times New Roman" w:hAnsi="Times New Roman" w:cs="Times New Roman"/>
          <w:i/>
          <w:iCs/>
          <w:color w:val="222222"/>
          <w:sz w:val="16"/>
          <w:szCs w:val="16"/>
          <w:shd w:val="clear" w:color="auto" w:fill="FFFFFF"/>
        </w:rPr>
        <w:t>The Social Medicine Reader, Volume I: Ethics and Cultures of Biomedicine</w:t>
      </w:r>
      <w:r w:rsidRPr="00704E9E">
        <w:rPr>
          <w:rFonts w:ascii="Times New Roman" w:hAnsi="Times New Roman" w:cs="Times New Roman"/>
          <w:color w:val="222222"/>
          <w:sz w:val="16"/>
          <w:szCs w:val="16"/>
          <w:shd w:val="clear" w:color="auto" w:fill="FFFFFF"/>
        </w:rPr>
        <w:t>.</w:t>
      </w:r>
    </w:p>
    <w:p w14:paraId="3E8226B4" w14:textId="77777777" w:rsidR="00704E9E" w:rsidRPr="00704E9E" w:rsidRDefault="00704E9E" w:rsidP="00550E37">
      <w:pPr>
        <w:pStyle w:val="ListParagraph"/>
        <w:numPr>
          <w:ilvl w:val="0"/>
          <w:numId w:val="7"/>
        </w:numPr>
        <w:spacing w:after="0" w:line="240" w:lineRule="auto"/>
        <w:ind w:left="357" w:hanging="357"/>
        <w:rPr>
          <w:rFonts w:ascii="Times New Roman" w:hAnsi="Times New Roman" w:cs="Times New Roman"/>
          <w:sz w:val="16"/>
          <w:szCs w:val="16"/>
        </w:rPr>
      </w:pPr>
      <w:proofErr w:type="spellStart"/>
      <w:r w:rsidRPr="00704E9E">
        <w:rPr>
          <w:rFonts w:ascii="Times New Roman" w:hAnsi="Times New Roman" w:cs="Times New Roman"/>
          <w:color w:val="222222"/>
          <w:sz w:val="16"/>
          <w:szCs w:val="16"/>
          <w:shd w:val="clear" w:color="auto" w:fill="FFFFFF"/>
        </w:rPr>
        <w:t>Nardini</w:t>
      </w:r>
      <w:proofErr w:type="spellEnd"/>
      <w:r w:rsidRPr="00704E9E">
        <w:rPr>
          <w:rFonts w:ascii="Times New Roman" w:hAnsi="Times New Roman" w:cs="Times New Roman"/>
          <w:color w:val="222222"/>
          <w:sz w:val="16"/>
          <w:szCs w:val="16"/>
          <w:shd w:val="clear" w:color="auto" w:fill="FFFFFF"/>
        </w:rPr>
        <w:t>, C. (2014). The ethics of clinical trials. </w:t>
      </w:r>
      <w:proofErr w:type="spellStart"/>
      <w:r w:rsidRPr="00704E9E">
        <w:rPr>
          <w:rFonts w:ascii="Times New Roman" w:hAnsi="Times New Roman" w:cs="Times New Roman"/>
          <w:i/>
          <w:iCs/>
          <w:color w:val="222222"/>
          <w:sz w:val="16"/>
          <w:szCs w:val="16"/>
          <w:shd w:val="clear" w:color="auto" w:fill="FFFFFF"/>
        </w:rPr>
        <w:t>Ecancermedicalscience</w:t>
      </w:r>
      <w:proofErr w:type="spellEnd"/>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8</w:t>
      </w:r>
      <w:r w:rsidRPr="00704E9E">
        <w:rPr>
          <w:rFonts w:ascii="Times New Roman" w:hAnsi="Times New Roman" w:cs="Times New Roman"/>
          <w:color w:val="222222"/>
          <w:sz w:val="16"/>
          <w:szCs w:val="16"/>
          <w:shd w:val="clear" w:color="auto" w:fill="FFFFFF"/>
        </w:rPr>
        <w:t>.</w:t>
      </w:r>
    </w:p>
    <w:p w14:paraId="2213A50E" w14:textId="77777777" w:rsidR="00704E9E" w:rsidRPr="00704E9E" w:rsidRDefault="00704E9E" w:rsidP="00550E37">
      <w:pPr>
        <w:pStyle w:val="ListParagraph"/>
        <w:numPr>
          <w:ilvl w:val="0"/>
          <w:numId w:val="7"/>
        </w:numPr>
        <w:spacing w:after="0" w:line="240" w:lineRule="auto"/>
        <w:ind w:left="357" w:hanging="357"/>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Gillon, R. (1994). Medical ethics: four principles plus attention to scope. </w:t>
      </w:r>
      <w:proofErr w:type="spellStart"/>
      <w:r w:rsidRPr="00704E9E">
        <w:rPr>
          <w:rFonts w:ascii="Times New Roman" w:hAnsi="Times New Roman" w:cs="Times New Roman"/>
          <w:i/>
          <w:iCs/>
          <w:color w:val="222222"/>
          <w:sz w:val="16"/>
          <w:szCs w:val="16"/>
          <w:shd w:val="clear" w:color="auto" w:fill="FFFFFF"/>
        </w:rPr>
        <w:t>Bmj</w:t>
      </w:r>
      <w:proofErr w:type="spellEnd"/>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309</w:t>
      </w:r>
      <w:r w:rsidRPr="00704E9E">
        <w:rPr>
          <w:rFonts w:ascii="Times New Roman" w:hAnsi="Times New Roman" w:cs="Times New Roman"/>
          <w:color w:val="222222"/>
          <w:sz w:val="16"/>
          <w:szCs w:val="16"/>
          <w:shd w:val="clear" w:color="auto" w:fill="FFFFFF"/>
        </w:rPr>
        <w:t>(6948), 184</w:t>
      </w:r>
    </w:p>
    <w:p w14:paraId="66AFBF82" w14:textId="77777777" w:rsidR="00704E9E" w:rsidRPr="00704E9E" w:rsidRDefault="00704E9E" w:rsidP="00550E37">
      <w:pPr>
        <w:pStyle w:val="ListParagraph"/>
        <w:numPr>
          <w:ilvl w:val="0"/>
          <w:numId w:val="7"/>
        </w:numPr>
        <w:spacing w:after="0" w:line="240" w:lineRule="auto"/>
        <w:ind w:left="357" w:hanging="357"/>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 xml:space="preserve">Barbara, G., </w:t>
      </w:r>
      <w:proofErr w:type="spellStart"/>
      <w:r w:rsidRPr="00704E9E">
        <w:rPr>
          <w:rFonts w:ascii="Times New Roman" w:hAnsi="Times New Roman" w:cs="Times New Roman"/>
          <w:color w:val="222222"/>
          <w:sz w:val="16"/>
          <w:szCs w:val="16"/>
          <w:shd w:val="clear" w:color="auto" w:fill="FFFFFF"/>
        </w:rPr>
        <w:t>Cremon</w:t>
      </w:r>
      <w:proofErr w:type="spellEnd"/>
      <w:r w:rsidRPr="00704E9E">
        <w:rPr>
          <w:rFonts w:ascii="Times New Roman" w:hAnsi="Times New Roman" w:cs="Times New Roman"/>
          <w:color w:val="222222"/>
          <w:sz w:val="16"/>
          <w:szCs w:val="16"/>
          <w:shd w:val="clear" w:color="auto" w:fill="FFFFFF"/>
        </w:rPr>
        <w:t xml:space="preserve">, C., </w:t>
      </w:r>
      <w:proofErr w:type="spellStart"/>
      <w:r w:rsidRPr="00704E9E">
        <w:rPr>
          <w:rFonts w:ascii="Times New Roman" w:hAnsi="Times New Roman" w:cs="Times New Roman"/>
          <w:color w:val="222222"/>
          <w:sz w:val="16"/>
          <w:szCs w:val="16"/>
          <w:shd w:val="clear" w:color="auto" w:fill="FFFFFF"/>
        </w:rPr>
        <w:t>Annese</w:t>
      </w:r>
      <w:proofErr w:type="spellEnd"/>
      <w:r w:rsidRPr="00704E9E">
        <w:rPr>
          <w:rFonts w:ascii="Times New Roman" w:hAnsi="Times New Roman" w:cs="Times New Roman"/>
          <w:color w:val="222222"/>
          <w:sz w:val="16"/>
          <w:szCs w:val="16"/>
          <w:shd w:val="clear" w:color="auto" w:fill="FFFFFF"/>
        </w:rPr>
        <w:t xml:space="preserve">, V., </w:t>
      </w:r>
      <w:proofErr w:type="spellStart"/>
      <w:r w:rsidRPr="00704E9E">
        <w:rPr>
          <w:rFonts w:ascii="Times New Roman" w:hAnsi="Times New Roman" w:cs="Times New Roman"/>
          <w:color w:val="222222"/>
          <w:sz w:val="16"/>
          <w:szCs w:val="16"/>
          <w:shd w:val="clear" w:color="auto" w:fill="FFFFFF"/>
        </w:rPr>
        <w:t>Basilisco</w:t>
      </w:r>
      <w:proofErr w:type="spellEnd"/>
      <w:r w:rsidRPr="00704E9E">
        <w:rPr>
          <w:rFonts w:ascii="Times New Roman" w:hAnsi="Times New Roman" w:cs="Times New Roman"/>
          <w:color w:val="222222"/>
          <w:sz w:val="16"/>
          <w:szCs w:val="16"/>
          <w:shd w:val="clear" w:color="auto" w:fill="FFFFFF"/>
        </w:rPr>
        <w:t xml:space="preserve">, G., </w:t>
      </w:r>
      <w:proofErr w:type="spellStart"/>
      <w:r w:rsidRPr="00704E9E">
        <w:rPr>
          <w:rFonts w:ascii="Times New Roman" w:hAnsi="Times New Roman" w:cs="Times New Roman"/>
          <w:color w:val="222222"/>
          <w:sz w:val="16"/>
          <w:szCs w:val="16"/>
          <w:shd w:val="clear" w:color="auto" w:fill="FFFFFF"/>
        </w:rPr>
        <w:t>Bazzoli</w:t>
      </w:r>
      <w:proofErr w:type="spellEnd"/>
      <w:r w:rsidRPr="00704E9E">
        <w:rPr>
          <w:rFonts w:ascii="Times New Roman" w:hAnsi="Times New Roman" w:cs="Times New Roman"/>
          <w:color w:val="222222"/>
          <w:sz w:val="16"/>
          <w:szCs w:val="16"/>
          <w:shd w:val="clear" w:color="auto" w:fill="FFFFFF"/>
        </w:rPr>
        <w:t xml:space="preserve">, F., Bellini, M., ... &amp; </w:t>
      </w:r>
      <w:proofErr w:type="spellStart"/>
      <w:r w:rsidRPr="00704E9E">
        <w:rPr>
          <w:rFonts w:ascii="Times New Roman" w:hAnsi="Times New Roman" w:cs="Times New Roman"/>
          <w:color w:val="222222"/>
          <w:sz w:val="16"/>
          <w:szCs w:val="16"/>
          <w:shd w:val="clear" w:color="auto" w:fill="FFFFFF"/>
        </w:rPr>
        <w:t>Stanghellini</w:t>
      </w:r>
      <w:proofErr w:type="spellEnd"/>
      <w:r w:rsidRPr="00704E9E">
        <w:rPr>
          <w:rFonts w:ascii="Times New Roman" w:hAnsi="Times New Roman" w:cs="Times New Roman"/>
          <w:color w:val="222222"/>
          <w:sz w:val="16"/>
          <w:szCs w:val="16"/>
          <w:shd w:val="clear" w:color="auto" w:fill="FFFFFF"/>
        </w:rPr>
        <w:t xml:space="preserve">, V. (2016). Randomised controlled trial of </w:t>
      </w:r>
      <w:proofErr w:type="spellStart"/>
      <w:r w:rsidRPr="00704E9E">
        <w:rPr>
          <w:rFonts w:ascii="Times New Roman" w:hAnsi="Times New Roman" w:cs="Times New Roman"/>
          <w:color w:val="222222"/>
          <w:sz w:val="16"/>
          <w:szCs w:val="16"/>
          <w:shd w:val="clear" w:color="auto" w:fill="FFFFFF"/>
        </w:rPr>
        <w:t>mesalazine</w:t>
      </w:r>
      <w:proofErr w:type="spellEnd"/>
      <w:r w:rsidRPr="00704E9E">
        <w:rPr>
          <w:rFonts w:ascii="Times New Roman" w:hAnsi="Times New Roman" w:cs="Times New Roman"/>
          <w:color w:val="222222"/>
          <w:sz w:val="16"/>
          <w:szCs w:val="16"/>
          <w:shd w:val="clear" w:color="auto" w:fill="FFFFFF"/>
        </w:rPr>
        <w:t xml:space="preserve"> in IBS. </w:t>
      </w:r>
      <w:r w:rsidRPr="00704E9E">
        <w:rPr>
          <w:rFonts w:ascii="Times New Roman" w:hAnsi="Times New Roman" w:cs="Times New Roman"/>
          <w:i/>
          <w:iCs/>
          <w:color w:val="222222"/>
          <w:sz w:val="16"/>
          <w:szCs w:val="16"/>
          <w:shd w:val="clear" w:color="auto" w:fill="FFFFFF"/>
        </w:rPr>
        <w:t>Gut</w:t>
      </w:r>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65</w:t>
      </w:r>
      <w:r w:rsidRPr="00704E9E">
        <w:rPr>
          <w:rFonts w:ascii="Times New Roman" w:hAnsi="Times New Roman" w:cs="Times New Roman"/>
          <w:color w:val="222222"/>
          <w:sz w:val="16"/>
          <w:szCs w:val="16"/>
          <w:shd w:val="clear" w:color="auto" w:fill="FFFFFF"/>
        </w:rPr>
        <w:t>(1), 82-90.</w:t>
      </w:r>
    </w:p>
    <w:p w14:paraId="7F52CB9E" w14:textId="77777777" w:rsidR="00704E9E" w:rsidRPr="00704E9E" w:rsidRDefault="00704E9E" w:rsidP="00550E37">
      <w:pPr>
        <w:pStyle w:val="ListParagraph"/>
        <w:numPr>
          <w:ilvl w:val="0"/>
          <w:numId w:val="7"/>
        </w:numPr>
        <w:spacing w:after="0" w:line="240" w:lineRule="auto"/>
        <w:ind w:left="357" w:hanging="357"/>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 xml:space="preserve">Halpern, S. D., Doyle, R., &amp; </w:t>
      </w:r>
      <w:proofErr w:type="spellStart"/>
      <w:r w:rsidRPr="00704E9E">
        <w:rPr>
          <w:rFonts w:ascii="Times New Roman" w:hAnsi="Times New Roman" w:cs="Times New Roman"/>
          <w:color w:val="222222"/>
          <w:sz w:val="16"/>
          <w:szCs w:val="16"/>
          <w:shd w:val="clear" w:color="auto" w:fill="FFFFFF"/>
        </w:rPr>
        <w:t>Kawut</w:t>
      </w:r>
      <w:proofErr w:type="spellEnd"/>
      <w:r w:rsidRPr="00704E9E">
        <w:rPr>
          <w:rFonts w:ascii="Times New Roman" w:hAnsi="Times New Roman" w:cs="Times New Roman"/>
          <w:color w:val="222222"/>
          <w:sz w:val="16"/>
          <w:szCs w:val="16"/>
          <w:shd w:val="clear" w:color="auto" w:fill="FFFFFF"/>
        </w:rPr>
        <w:t>, S. M. (2008). The ethics of randomized clinical trials in pulmonary arterial hypertension. </w:t>
      </w:r>
      <w:r w:rsidRPr="00704E9E">
        <w:rPr>
          <w:rFonts w:ascii="Times New Roman" w:hAnsi="Times New Roman" w:cs="Times New Roman"/>
          <w:i/>
          <w:iCs/>
          <w:color w:val="222222"/>
          <w:sz w:val="16"/>
          <w:szCs w:val="16"/>
          <w:shd w:val="clear" w:color="auto" w:fill="FFFFFF"/>
        </w:rPr>
        <w:t>Proceedings of the American Thoracic Society</w:t>
      </w:r>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5</w:t>
      </w:r>
      <w:r w:rsidRPr="00704E9E">
        <w:rPr>
          <w:rFonts w:ascii="Times New Roman" w:hAnsi="Times New Roman" w:cs="Times New Roman"/>
          <w:color w:val="222222"/>
          <w:sz w:val="16"/>
          <w:szCs w:val="16"/>
          <w:shd w:val="clear" w:color="auto" w:fill="FFFFFF"/>
        </w:rPr>
        <w:t>(5), 631-635.</w:t>
      </w:r>
    </w:p>
    <w:p w14:paraId="265A7418" w14:textId="77777777" w:rsidR="00704E9E" w:rsidRPr="00704E9E" w:rsidRDefault="00704E9E" w:rsidP="00550E37">
      <w:pPr>
        <w:pStyle w:val="ListParagraph"/>
        <w:numPr>
          <w:ilvl w:val="0"/>
          <w:numId w:val="7"/>
        </w:numPr>
        <w:spacing w:after="0" w:line="240" w:lineRule="auto"/>
        <w:ind w:left="357" w:hanging="357"/>
        <w:rPr>
          <w:rFonts w:ascii="Times New Roman" w:hAnsi="Times New Roman" w:cs="Times New Roman"/>
          <w:sz w:val="16"/>
          <w:szCs w:val="16"/>
        </w:rPr>
      </w:pPr>
      <w:proofErr w:type="spellStart"/>
      <w:r w:rsidRPr="00704E9E">
        <w:rPr>
          <w:rFonts w:ascii="Times New Roman" w:hAnsi="Times New Roman" w:cs="Times New Roman"/>
          <w:color w:val="222222"/>
          <w:sz w:val="16"/>
          <w:szCs w:val="16"/>
          <w:shd w:val="clear" w:color="auto" w:fill="FFFFFF"/>
        </w:rPr>
        <w:t>Nijhawan</w:t>
      </w:r>
      <w:proofErr w:type="spellEnd"/>
      <w:r w:rsidRPr="00704E9E">
        <w:rPr>
          <w:rFonts w:ascii="Times New Roman" w:hAnsi="Times New Roman" w:cs="Times New Roman"/>
          <w:color w:val="222222"/>
          <w:sz w:val="16"/>
          <w:szCs w:val="16"/>
          <w:shd w:val="clear" w:color="auto" w:fill="FFFFFF"/>
        </w:rPr>
        <w:t xml:space="preserve">, L. P., </w:t>
      </w:r>
      <w:proofErr w:type="spellStart"/>
      <w:r w:rsidRPr="00704E9E">
        <w:rPr>
          <w:rFonts w:ascii="Times New Roman" w:hAnsi="Times New Roman" w:cs="Times New Roman"/>
          <w:color w:val="222222"/>
          <w:sz w:val="16"/>
          <w:szCs w:val="16"/>
          <w:shd w:val="clear" w:color="auto" w:fill="FFFFFF"/>
        </w:rPr>
        <w:t>Janodia</w:t>
      </w:r>
      <w:proofErr w:type="spellEnd"/>
      <w:r w:rsidRPr="00704E9E">
        <w:rPr>
          <w:rFonts w:ascii="Times New Roman" w:hAnsi="Times New Roman" w:cs="Times New Roman"/>
          <w:color w:val="222222"/>
          <w:sz w:val="16"/>
          <w:szCs w:val="16"/>
          <w:shd w:val="clear" w:color="auto" w:fill="FFFFFF"/>
        </w:rPr>
        <w:t xml:space="preserve">, M. D., </w:t>
      </w:r>
      <w:proofErr w:type="spellStart"/>
      <w:r w:rsidRPr="00704E9E">
        <w:rPr>
          <w:rFonts w:ascii="Times New Roman" w:hAnsi="Times New Roman" w:cs="Times New Roman"/>
          <w:color w:val="222222"/>
          <w:sz w:val="16"/>
          <w:szCs w:val="16"/>
          <w:shd w:val="clear" w:color="auto" w:fill="FFFFFF"/>
        </w:rPr>
        <w:t>Muddukrishna</w:t>
      </w:r>
      <w:proofErr w:type="spellEnd"/>
      <w:r w:rsidRPr="00704E9E">
        <w:rPr>
          <w:rFonts w:ascii="Times New Roman" w:hAnsi="Times New Roman" w:cs="Times New Roman"/>
          <w:color w:val="222222"/>
          <w:sz w:val="16"/>
          <w:szCs w:val="16"/>
          <w:shd w:val="clear" w:color="auto" w:fill="FFFFFF"/>
        </w:rPr>
        <w:t xml:space="preserve">, B. S., Bhat, K. M., </w:t>
      </w:r>
      <w:proofErr w:type="spellStart"/>
      <w:r w:rsidRPr="00704E9E">
        <w:rPr>
          <w:rFonts w:ascii="Times New Roman" w:hAnsi="Times New Roman" w:cs="Times New Roman"/>
          <w:color w:val="222222"/>
          <w:sz w:val="16"/>
          <w:szCs w:val="16"/>
          <w:shd w:val="clear" w:color="auto" w:fill="FFFFFF"/>
        </w:rPr>
        <w:t>Bairy</w:t>
      </w:r>
      <w:proofErr w:type="spellEnd"/>
      <w:r w:rsidRPr="00704E9E">
        <w:rPr>
          <w:rFonts w:ascii="Times New Roman" w:hAnsi="Times New Roman" w:cs="Times New Roman"/>
          <w:color w:val="222222"/>
          <w:sz w:val="16"/>
          <w:szCs w:val="16"/>
          <w:shd w:val="clear" w:color="auto" w:fill="FFFFFF"/>
        </w:rPr>
        <w:t xml:space="preserve">, K. L., Udupa, N., &amp; </w:t>
      </w:r>
      <w:proofErr w:type="spellStart"/>
      <w:r w:rsidRPr="00704E9E">
        <w:rPr>
          <w:rFonts w:ascii="Times New Roman" w:hAnsi="Times New Roman" w:cs="Times New Roman"/>
          <w:color w:val="222222"/>
          <w:sz w:val="16"/>
          <w:szCs w:val="16"/>
          <w:shd w:val="clear" w:color="auto" w:fill="FFFFFF"/>
        </w:rPr>
        <w:t>Musmade</w:t>
      </w:r>
      <w:proofErr w:type="spellEnd"/>
      <w:r w:rsidRPr="00704E9E">
        <w:rPr>
          <w:rFonts w:ascii="Times New Roman" w:hAnsi="Times New Roman" w:cs="Times New Roman"/>
          <w:color w:val="222222"/>
          <w:sz w:val="16"/>
          <w:szCs w:val="16"/>
          <w:shd w:val="clear" w:color="auto" w:fill="FFFFFF"/>
        </w:rPr>
        <w:t>, P. B. (2013). Informed consent: Issues and challenges. </w:t>
      </w:r>
      <w:r w:rsidRPr="00704E9E">
        <w:rPr>
          <w:rFonts w:ascii="Times New Roman" w:hAnsi="Times New Roman" w:cs="Times New Roman"/>
          <w:i/>
          <w:iCs/>
          <w:color w:val="222222"/>
          <w:sz w:val="16"/>
          <w:szCs w:val="16"/>
          <w:shd w:val="clear" w:color="auto" w:fill="FFFFFF"/>
        </w:rPr>
        <w:t>Journal of advanced pharmaceutical technology &amp; research</w:t>
      </w:r>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4</w:t>
      </w:r>
      <w:r w:rsidRPr="00704E9E">
        <w:rPr>
          <w:rFonts w:ascii="Times New Roman" w:hAnsi="Times New Roman" w:cs="Times New Roman"/>
          <w:color w:val="222222"/>
          <w:sz w:val="16"/>
          <w:szCs w:val="16"/>
          <w:shd w:val="clear" w:color="auto" w:fill="FFFFFF"/>
        </w:rPr>
        <w:t>(3), 134.</w:t>
      </w:r>
    </w:p>
    <w:p w14:paraId="772494C2" w14:textId="77777777" w:rsidR="00704E9E" w:rsidRPr="00704E9E" w:rsidRDefault="00704E9E" w:rsidP="00550E37">
      <w:pPr>
        <w:pStyle w:val="ListParagraph"/>
        <w:numPr>
          <w:ilvl w:val="0"/>
          <w:numId w:val="7"/>
        </w:numPr>
        <w:spacing w:after="0" w:line="240" w:lineRule="auto"/>
        <w:ind w:left="357" w:hanging="357"/>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 xml:space="preserve">Miller, F. G., Wendler, D., &amp; </w:t>
      </w:r>
      <w:proofErr w:type="spellStart"/>
      <w:r w:rsidRPr="00704E9E">
        <w:rPr>
          <w:rFonts w:ascii="Times New Roman" w:hAnsi="Times New Roman" w:cs="Times New Roman"/>
          <w:color w:val="222222"/>
          <w:sz w:val="16"/>
          <w:szCs w:val="16"/>
          <w:shd w:val="clear" w:color="auto" w:fill="FFFFFF"/>
        </w:rPr>
        <w:t>Swartzman</w:t>
      </w:r>
      <w:proofErr w:type="spellEnd"/>
      <w:r w:rsidRPr="00704E9E">
        <w:rPr>
          <w:rFonts w:ascii="Times New Roman" w:hAnsi="Times New Roman" w:cs="Times New Roman"/>
          <w:color w:val="222222"/>
          <w:sz w:val="16"/>
          <w:szCs w:val="16"/>
          <w:shd w:val="clear" w:color="auto" w:fill="FFFFFF"/>
        </w:rPr>
        <w:t>, L. C. (2005). Deception in research on the placebo effect. </w:t>
      </w:r>
      <w:proofErr w:type="spellStart"/>
      <w:r w:rsidRPr="00704E9E">
        <w:rPr>
          <w:rFonts w:ascii="Times New Roman" w:hAnsi="Times New Roman" w:cs="Times New Roman"/>
          <w:i/>
          <w:iCs/>
          <w:color w:val="222222"/>
          <w:sz w:val="16"/>
          <w:szCs w:val="16"/>
          <w:shd w:val="clear" w:color="auto" w:fill="FFFFFF"/>
        </w:rPr>
        <w:t>PLoS</w:t>
      </w:r>
      <w:proofErr w:type="spellEnd"/>
      <w:r w:rsidRPr="00704E9E">
        <w:rPr>
          <w:rFonts w:ascii="Times New Roman" w:hAnsi="Times New Roman" w:cs="Times New Roman"/>
          <w:i/>
          <w:iCs/>
          <w:color w:val="222222"/>
          <w:sz w:val="16"/>
          <w:szCs w:val="16"/>
          <w:shd w:val="clear" w:color="auto" w:fill="FFFFFF"/>
        </w:rPr>
        <w:t xml:space="preserve"> medicine</w:t>
      </w:r>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2</w:t>
      </w:r>
      <w:r w:rsidRPr="00704E9E">
        <w:rPr>
          <w:rFonts w:ascii="Times New Roman" w:hAnsi="Times New Roman" w:cs="Times New Roman"/>
          <w:color w:val="222222"/>
          <w:sz w:val="16"/>
          <w:szCs w:val="16"/>
          <w:shd w:val="clear" w:color="auto" w:fill="FFFFFF"/>
        </w:rPr>
        <w:t>(9), e262.</w:t>
      </w:r>
    </w:p>
    <w:p w14:paraId="516BC0B9"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 xml:space="preserve">Joffe, S., &amp; </w:t>
      </w:r>
      <w:proofErr w:type="spellStart"/>
      <w:r w:rsidRPr="00704E9E">
        <w:rPr>
          <w:rFonts w:ascii="Times New Roman" w:hAnsi="Times New Roman" w:cs="Times New Roman"/>
          <w:color w:val="222222"/>
          <w:sz w:val="16"/>
          <w:szCs w:val="16"/>
          <w:shd w:val="clear" w:color="auto" w:fill="FFFFFF"/>
        </w:rPr>
        <w:t>Truog</w:t>
      </w:r>
      <w:proofErr w:type="spellEnd"/>
      <w:r w:rsidRPr="00704E9E">
        <w:rPr>
          <w:rFonts w:ascii="Times New Roman" w:hAnsi="Times New Roman" w:cs="Times New Roman"/>
          <w:color w:val="222222"/>
          <w:sz w:val="16"/>
          <w:szCs w:val="16"/>
          <w:shd w:val="clear" w:color="auto" w:fill="FFFFFF"/>
        </w:rPr>
        <w:t>, R. (2008). Equipoise and randomization. </w:t>
      </w:r>
      <w:r w:rsidRPr="00704E9E">
        <w:rPr>
          <w:rFonts w:ascii="Times New Roman" w:hAnsi="Times New Roman" w:cs="Times New Roman"/>
          <w:i/>
          <w:iCs/>
          <w:color w:val="222222"/>
          <w:sz w:val="16"/>
          <w:szCs w:val="16"/>
          <w:shd w:val="clear" w:color="auto" w:fill="FFFFFF"/>
        </w:rPr>
        <w:t>The Oxford textbook of clinical research ethics</w:t>
      </w:r>
      <w:r w:rsidRPr="00704E9E">
        <w:rPr>
          <w:rFonts w:ascii="Times New Roman" w:hAnsi="Times New Roman" w:cs="Times New Roman"/>
          <w:color w:val="222222"/>
          <w:sz w:val="16"/>
          <w:szCs w:val="16"/>
          <w:shd w:val="clear" w:color="auto" w:fill="FFFFFF"/>
        </w:rPr>
        <w:t>, 245-260.</w:t>
      </w:r>
    </w:p>
    <w:p w14:paraId="2DCD68ED"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proofErr w:type="spellStart"/>
      <w:r w:rsidRPr="00704E9E">
        <w:rPr>
          <w:rFonts w:ascii="Times New Roman" w:hAnsi="Times New Roman" w:cs="Times New Roman"/>
          <w:color w:val="222222"/>
          <w:sz w:val="16"/>
          <w:szCs w:val="16"/>
          <w:shd w:val="clear" w:color="auto" w:fill="FFFFFF"/>
        </w:rPr>
        <w:t>Nardini</w:t>
      </w:r>
      <w:proofErr w:type="spellEnd"/>
      <w:r w:rsidRPr="00704E9E">
        <w:rPr>
          <w:rFonts w:ascii="Times New Roman" w:hAnsi="Times New Roman" w:cs="Times New Roman"/>
          <w:color w:val="222222"/>
          <w:sz w:val="16"/>
          <w:szCs w:val="16"/>
          <w:shd w:val="clear" w:color="auto" w:fill="FFFFFF"/>
        </w:rPr>
        <w:t>, C. (2014). The ethics of clinical trials. </w:t>
      </w:r>
      <w:proofErr w:type="spellStart"/>
      <w:r w:rsidRPr="00704E9E">
        <w:rPr>
          <w:rFonts w:ascii="Times New Roman" w:hAnsi="Times New Roman" w:cs="Times New Roman"/>
          <w:i/>
          <w:iCs/>
          <w:color w:val="222222"/>
          <w:sz w:val="16"/>
          <w:szCs w:val="16"/>
          <w:shd w:val="clear" w:color="auto" w:fill="FFFFFF"/>
        </w:rPr>
        <w:t>Ecancermedicalscience</w:t>
      </w:r>
      <w:proofErr w:type="spellEnd"/>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8</w:t>
      </w:r>
      <w:r w:rsidRPr="00704E9E">
        <w:rPr>
          <w:rFonts w:ascii="Times New Roman" w:hAnsi="Times New Roman" w:cs="Times New Roman"/>
          <w:color w:val="222222"/>
          <w:sz w:val="16"/>
          <w:szCs w:val="16"/>
          <w:shd w:val="clear" w:color="auto" w:fill="FFFFFF"/>
        </w:rPr>
        <w:t>.</w:t>
      </w:r>
    </w:p>
    <w:p w14:paraId="3C3F1F45"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proofErr w:type="spellStart"/>
      <w:r w:rsidRPr="00704E9E">
        <w:rPr>
          <w:rFonts w:ascii="Times New Roman" w:hAnsi="Times New Roman" w:cs="Times New Roman"/>
          <w:color w:val="222222"/>
          <w:sz w:val="16"/>
          <w:szCs w:val="16"/>
          <w:shd w:val="clear" w:color="auto" w:fill="FFFFFF"/>
        </w:rPr>
        <w:t>Putora</w:t>
      </w:r>
      <w:proofErr w:type="spellEnd"/>
      <w:r w:rsidRPr="00704E9E">
        <w:rPr>
          <w:rFonts w:ascii="Times New Roman" w:hAnsi="Times New Roman" w:cs="Times New Roman"/>
          <w:color w:val="222222"/>
          <w:sz w:val="16"/>
          <w:szCs w:val="16"/>
          <w:shd w:val="clear" w:color="auto" w:fill="FFFFFF"/>
        </w:rPr>
        <w:t xml:space="preserve">, P. M., </w:t>
      </w:r>
      <w:proofErr w:type="spellStart"/>
      <w:r w:rsidRPr="00704E9E">
        <w:rPr>
          <w:rFonts w:ascii="Times New Roman" w:hAnsi="Times New Roman" w:cs="Times New Roman"/>
          <w:color w:val="222222"/>
          <w:sz w:val="16"/>
          <w:szCs w:val="16"/>
          <w:shd w:val="clear" w:color="auto" w:fill="FFFFFF"/>
        </w:rPr>
        <w:t>Baudis</w:t>
      </w:r>
      <w:proofErr w:type="spellEnd"/>
      <w:r w:rsidRPr="00704E9E">
        <w:rPr>
          <w:rFonts w:ascii="Times New Roman" w:hAnsi="Times New Roman" w:cs="Times New Roman"/>
          <w:color w:val="222222"/>
          <w:sz w:val="16"/>
          <w:szCs w:val="16"/>
          <w:shd w:val="clear" w:color="auto" w:fill="FFFFFF"/>
        </w:rPr>
        <w:t xml:space="preserve">, M., Beadle, B. M., El </w:t>
      </w:r>
      <w:proofErr w:type="spellStart"/>
      <w:r w:rsidRPr="00704E9E">
        <w:rPr>
          <w:rFonts w:ascii="Times New Roman" w:hAnsi="Times New Roman" w:cs="Times New Roman"/>
          <w:color w:val="222222"/>
          <w:sz w:val="16"/>
          <w:szCs w:val="16"/>
          <w:shd w:val="clear" w:color="auto" w:fill="FFFFFF"/>
        </w:rPr>
        <w:t>Naqa</w:t>
      </w:r>
      <w:proofErr w:type="spellEnd"/>
      <w:r w:rsidRPr="00704E9E">
        <w:rPr>
          <w:rFonts w:ascii="Times New Roman" w:hAnsi="Times New Roman" w:cs="Times New Roman"/>
          <w:color w:val="222222"/>
          <w:sz w:val="16"/>
          <w:szCs w:val="16"/>
          <w:shd w:val="clear" w:color="auto" w:fill="FFFFFF"/>
        </w:rPr>
        <w:t>, I., Giordano, F. A., &amp; Nicolay, N. H. (2020). Oncology informatics: status quo and outlook. </w:t>
      </w:r>
      <w:r w:rsidRPr="00704E9E">
        <w:rPr>
          <w:rFonts w:ascii="Times New Roman" w:hAnsi="Times New Roman" w:cs="Times New Roman"/>
          <w:i/>
          <w:iCs/>
          <w:color w:val="222222"/>
          <w:sz w:val="16"/>
          <w:szCs w:val="16"/>
          <w:shd w:val="clear" w:color="auto" w:fill="FFFFFF"/>
        </w:rPr>
        <w:t>Oncology</w:t>
      </w:r>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98</w:t>
      </w:r>
      <w:r w:rsidRPr="00704E9E">
        <w:rPr>
          <w:rFonts w:ascii="Times New Roman" w:hAnsi="Times New Roman" w:cs="Times New Roman"/>
          <w:color w:val="222222"/>
          <w:sz w:val="16"/>
          <w:szCs w:val="16"/>
          <w:shd w:val="clear" w:color="auto" w:fill="FFFFFF"/>
        </w:rPr>
        <w:t>(6), 329-331.</w:t>
      </w:r>
    </w:p>
    <w:p w14:paraId="5C9F655E"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 xml:space="preserve">Enoch, M. A., Johnson, K., George, D. T., Schumann, G., Moss, H. B., </w:t>
      </w:r>
      <w:proofErr w:type="spellStart"/>
      <w:r w:rsidRPr="00704E9E">
        <w:rPr>
          <w:rFonts w:ascii="Times New Roman" w:hAnsi="Times New Roman" w:cs="Times New Roman"/>
          <w:color w:val="222222"/>
          <w:sz w:val="16"/>
          <w:szCs w:val="16"/>
          <w:shd w:val="clear" w:color="auto" w:fill="FFFFFF"/>
        </w:rPr>
        <w:t>Kranzler</w:t>
      </w:r>
      <w:proofErr w:type="spellEnd"/>
      <w:r w:rsidRPr="00704E9E">
        <w:rPr>
          <w:rFonts w:ascii="Times New Roman" w:hAnsi="Times New Roman" w:cs="Times New Roman"/>
          <w:color w:val="222222"/>
          <w:sz w:val="16"/>
          <w:szCs w:val="16"/>
          <w:shd w:val="clear" w:color="auto" w:fill="FFFFFF"/>
        </w:rPr>
        <w:t>, H. R., &amp; Goldman, D. (2009). Ethical considerations for administering alcohol or alcohol cues to treatment‐seeking alcoholics in a research setting: can the benefits to society outweigh the risks to the individual? A commentary in the context of the National Advisory Council on Alcohol Abuse and Alcoholism—recommended council guidelines on ethyl alcohol administration in human experimentation (2005). </w:t>
      </w:r>
      <w:r w:rsidRPr="00704E9E">
        <w:rPr>
          <w:rFonts w:ascii="Times New Roman" w:hAnsi="Times New Roman" w:cs="Times New Roman"/>
          <w:i/>
          <w:iCs/>
          <w:color w:val="222222"/>
          <w:sz w:val="16"/>
          <w:szCs w:val="16"/>
          <w:shd w:val="clear" w:color="auto" w:fill="FFFFFF"/>
        </w:rPr>
        <w:t>Alcoholism: Clinical and Experimental Research</w:t>
      </w:r>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33</w:t>
      </w:r>
      <w:r w:rsidRPr="00704E9E">
        <w:rPr>
          <w:rFonts w:ascii="Times New Roman" w:hAnsi="Times New Roman" w:cs="Times New Roman"/>
          <w:color w:val="222222"/>
          <w:sz w:val="16"/>
          <w:szCs w:val="16"/>
          <w:shd w:val="clear" w:color="auto" w:fill="FFFFFF"/>
        </w:rPr>
        <w:t>(9), 1508-1512.</w:t>
      </w:r>
    </w:p>
    <w:p w14:paraId="6A00B60A"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Lowenthal, W. (1988). Ethical dilemmas in pharmacy. </w:t>
      </w:r>
      <w:r w:rsidRPr="00704E9E">
        <w:rPr>
          <w:rFonts w:ascii="Times New Roman" w:hAnsi="Times New Roman" w:cs="Times New Roman"/>
          <w:i/>
          <w:iCs/>
          <w:color w:val="222222"/>
          <w:sz w:val="16"/>
          <w:szCs w:val="16"/>
          <w:shd w:val="clear" w:color="auto" w:fill="FFFFFF"/>
        </w:rPr>
        <w:t>Journal of medical ethics</w:t>
      </w:r>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14</w:t>
      </w:r>
      <w:r w:rsidRPr="00704E9E">
        <w:rPr>
          <w:rFonts w:ascii="Times New Roman" w:hAnsi="Times New Roman" w:cs="Times New Roman"/>
          <w:color w:val="222222"/>
          <w:sz w:val="16"/>
          <w:szCs w:val="16"/>
          <w:shd w:val="clear" w:color="auto" w:fill="FFFFFF"/>
        </w:rPr>
        <w:t>(1), 31-34.</w:t>
      </w:r>
    </w:p>
    <w:p w14:paraId="3854973E"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Latif, D. A. (2001). The relationship between ethical reasoning and the perception of difficulty with ethical dilemmas in pharmacy students: implications for teaching professional ethics. </w:t>
      </w:r>
      <w:r w:rsidRPr="00704E9E">
        <w:rPr>
          <w:rFonts w:ascii="Times New Roman" w:hAnsi="Times New Roman" w:cs="Times New Roman"/>
          <w:i/>
          <w:iCs/>
          <w:color w:val="222222"/>
          <w:sz w:val="16"/>
          <w:szCs w:val="16"/>
          <w:shd w:val="clear" w:color="auto" w:fill="FFFFFF"/>
        </w:rPr>
        <w:t>Teaching Business Ethics</w:t>
      </w:r>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5</w:t>
      </w:r>
      <w:r w:rsidRPr="00704E9E">
        <w:rPr>
          <w:rFonts w:ascii="Times New Roman" w:hAnsi="Times New Roman" w:cs="Times New Roman"/>
          <w:color w:val="222222"/>
          <w:sz w:val="16"/>
          <w:szCs w:val="16"/>
          <w:shd w:val="clear" w:color="auto" w:fill="FFFFFF"/>
        </w:rPr>
        <w:t>(1), 107-117.</w:t>
      </w:r>
    </w:p>
    <w:p w14:paraId="203AF7CC"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Wingfield, J., Bissell, P., &amp; Anderson, C. (2004). The scope of pharmacy ethics—an evaluation of the international research literature, 1990–2002. </w:t>
      </w:r>
      <w:r w:rsidRPr="00704E9E">
        <w:rPr>
          <w:rFonts w:ascii="Times New Roman" w:hAnsi="Times New Roman" w:cs="Times New Roman"/>
          <w:i/>
          <w:iCs/>
          <w:color w:val="222222"/>
          <w:sz w:val="16"/>
          <w:szCs w:val="16"/>
          <w:shd w:val="clear" w:color="auto" w:fill="FFFFFF"/>
        </w:rPr>
        <w:t>Social science &amp; medicine</w:t>
      </w:r>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58</w:t>
      </w:r>
      <w:r w:rsidRPr="00704E9E">
        <w:rPr>
          <w:rFonts w:ascii="Times New Roman" w:hAnsi="Times New Roman" w:cs="Times New Roman"/>
          <w:color w:val="222222"/>
          <w:sz w:val="16"/>
          <w:szCs w:val="16"/>
          <w:shd w:val="clear" w:color="auto" w:fill="FFFFFF"/>
        </w:rPr>
        <w:t>(12), 2383-2396.</w:t>
      </w:r>
    </w:p>
    <w:p w14:paraId="11411186"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Deans, Z. (2010). </w:t>
      </w:r>
      <w:r w:rsidRPr="00704E9E">
        <w:rPr>
          <w:rFonts w:ascii="Times New Roman" w:hAnsi="Times New Roman" w:cs="Times New Roman"/>
          <w:i/>
          <w:iCs/>
          <w:color w:val="222222"/>
          <w:sz w:val="16"/>
          <w:szCs w:val="16"/>
          <w:shd w:val="clear" w:color="auto" w:fill="FFFFFF"/>
        </w:rPr>
        <w:t>Ethics in pharmacy practice</w:t>
      </w:r>
      <w:r w:rsidRPr="00704E9E">
        <w:rPr>
          <w:rFonts w:ascii="Times New Roman" w:hAnsi="Times New Roman" w:cs="Times New Roman"/>
          <w:color w:val="222222"/>
          <w:sz w:val="16"/>
          <w:szCs w:val="16"/>
          <w:shd w:val="clear" w:color="auto" w:fill="FFFFFF"/>
        </w:rPr>
        <w:t>. London: Pharmacy Practice Research Trust.</w:t>
      </w:r>
    </w:p>
    <w:p w14:paraId="0849EEF1"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 xml:space="preserve">Shaffer, H. J., Ladouceur, R., </w:t>
      </w:r>
      <w:proofErr w:type="spellStart"/>
      <w:r w:rsidRPr="00704E9E">
        <w:rPr>
          <w:rFonts w:ascii="Times New Roman" w:hAnsi="Times New Roman" w:cs="Times New Roman"/>
          <w:color w:val="222222"/>
          <w:sz w:val="16"/>
          <w:szCs w:val="16"/>
          <w:shd w:val="clear" w:color="auto" w:fill="FFFFFF"/>
        </w:rPr>
        <w:t>Blaszczynski</w:t>
      </w:r>
      <w:proofErr w:type="spellEnd"/>
      <w:r w:rsidRPr="00704E9E">
        <w:rPr>
          <w:rFonts w:ascii="Times New Roman" w:hAnsi="Times New Roman" w:cs="Times New Roman"/>
          <w:color w:val="222222"/>
          <w:sz w:val="16"/>
          <w:szCs w:val="16"/>
          <w:shd w:val="clear" w:color="auto" w:fill="FFFFFF"/>
        </w:rPr>
        <w:t>, A., &amp; Whyte, K. (2016). Extending the RENO model: Clinical and ethical applications. </w:t>
      </w:r>
      <w:r w:rsidRPr="00704E9E">
        <w:rPr>
          <w:rFonts w:ascii="Times New Roman" w:hAnsi="Times New Roman" w:cs="Times New Roman"/>
          <w:i/>
          <w:iCs/>
          <w:color w:val="222222"/>
          <w:sz w:val="16"/>
          <w:szCs w:val="16"/>
          <w:shd w:val="clear" w:color="auto" w:fill="FFFFFF"/>
        </w:rPr>
        <w:t>American Journal of Orthopsychiatry</w:t>
      </w:r>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86</w:t>
      </w:r>
      <w:r w:rsidRPr="00704E9E">
        <w:rPr>
          <w:rFonts w:ascii="Times New Roman" w:hAnsi="Times New Roman" w:cs="Times New Roman"/>
          <w:color w:val="222222"/>
          <w:sz w:val="16"/>
          <w:szCs w:val="16"/>
          <w:shd w:val="clear" w:color="auto" w:fill="FFFFFF"/>
        </w:rPr>
        <w:t>(3), 297.</w:t>
      </w:r>
    </w:p>
    <w:p w14:paraId="17603BF1"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proofErr w:type="spellStart"/>
      <w:r w:rsidRPr="00704E9E">
        <w:rPr>
          <w:rFonts w:ascii="Times New Roman" w:hAnsi="Times New Roman" w:cs="Times New Roman"/>
          <w:color w:val="222222"/>
          <w:sz w:val="16"/>
          <w:szCs w:val="16"/>
          <w:shd w:val="clear" w:color="auto" w:fill="FFFFFF"/>
        </w:rPr>
        <w:t>Larcher</w:t>
      </w:r>
      <w:proofErr w:type="spellEnd"/>
      <w:r w:rsidRPr="00704E9E">
        <w:rPr>
          <w:rFonts w:ascii="Times New Roman" w:hAnsi="Times New Roman" w:cs="Times New Roman"/>
          <w:color w:val="222222"/>
          <w:sz w:val="16"/>
          <w:szCs w:val="16"/>
          <w:shd w:val="clear" w:color="auto" w:fill="FFFFFF"/>
        </w:rPr>
        <w:t>, V. (2005). Consent, competence, and confidentiality. </w:t>
      </w:r>
      <w:proofErr w:type="spellStart"/>
      <w:r w:rsidRPr="00704E9E">
        <w:rPr>
          <w:rFonts w:ascii="Times New Roman" w:hAnsi="Times New Roman" w:cs="Times New Roman"/>
          <w:i/>
          <w:iCs/>
          <w:color w:val="222222"/>
          <w:sz w:val="16"/>
          <w:szCs w:val="16"/>
          <w:shd w:val="clear" w:color="auto" w:fill="FFFFFF"/>
        </w:rPr>
        <w:t>Bmj</w:t>
      </w:r>
      <w:proofErr w:type="spellEnd"/>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330</w:t>
      </w:r>
      <w:r w:rsidRPr="00704E9E">
        <w:rPr>
          <w:rFonts w:ascii="Times New Roman" w:hAnsi="Times New Roman" w:cs="Times New Roman"/>
          <w:color w:val="222222"/>
          <w:sz w:val="16"/>
          <w:szCs w:val="16"/>
          <w:shd w:val="clear" w:color="auto" w:fill="FFFFFF"/>
        </w:rPr>
        <w:t>(7487), 353-356.</w:t>
      </w:r>
    </w:p>
    <w:p w14:paraId="61E83C5A"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proofErr w:type="spellStart"/>
      <w:r w:rsidRPr="00704E9E">
        <w:rPr>
          <w:rFonts w:ascii="Times New Roman" w:hAnsi="Times New Roman" w:cs="Times New Roman"/>
          <w:color w:val="222222"/>
          <w:sz w:val="16"/>
          <w:szCs w:val="16"/>
          <w:shd w:val="clear" w:color="auto" w:fill="FFFFFF"/>
        </w:rPr>
        <w:t>Berlan</w:t>
      </w:r>
      <w:proofErr w:type="spellEnd"/>
      <w:r w:rsidRPr="00704E9E">
        <w:rPr>
          <w:rFonts w:ascii="Times New Roman" w:hAnsi="Times New Roman" w:cs="Times New Roman"/>
          <w:color w:val="222222"/>
          <w:sz w:val="16"/>
          <w:szCs w:val="16"/>
          <w:shd w:val="clear" w:color="auto" w:fill="FFFFFF"/>
        </w:rPr>
        <w:t xml:space="preserve">, E. D., &amp; </w:t>
      </w:r>
      <w:proofErr w:type="spellStart"/>
      <w:r w:rsidRPr="00704E9E">
        <w:rPr>
          <w:rFonts w:ascii="Times New Roman" w:hAnsi="Times New Roman" w:cs="Times New Roman"/>
          <w:color w:val="222222"/>
          <w:sz w:val="16"/>
          <w:szCs w:val="16"/>
          <w:shd w:val="clear" w:color="auto" w:fill="FFFFFF"/>
        </w:rPr>
        <w:t>Bravender</w:t>
      </w:r>
      <w:proofErr w:type="spellEnd"/>
      <w:r w:rsidRPr="00704E9E">
        <w:rPr>
          <w:rFonts w:ascii="Times New Roman" w:hAnsi="Times New Roman" w:cs="Times New Roman"/>
          <w:color w:val="222222"/>
          <w:sz w:val="16"/>
          <w:szCs w:val="16"/>
          <w:shd w:val="clear" w:color="auto" w:fill="FFFFFF"/>
        </w:rPr>
        <w:t>, T. (2009). Confidentiality, consent, and caring for the adolescent patient. </w:t>
      </w:r>
      <w:r w:rsidRPr="00704E9E">
        <w:rPr>
          <w:rFonts w:ascii="Times New Roman" w:hAnsi="Times New Roman" w:cs="Times New Roman"/>
          <w:i/>
          <w:iCs/>
          <w:color w:val="222222"/>
          <w:sz w:val="16"/>
          <w:szCs w:val="16"/>
          <w:shd w:val="clear" w:color="auto" w:fill="FFFFFF"/>
        </w:rPr>
        <w:t xml:space="preserve">Current opinion in </w:t>
      </w:r>
      <w:proofErr w:type="spellStart"/>
      <w:r w:rsidRPr="00704E9E">
        <w:rPr>
          <w:rFonts w:ascii="Times New Roman" w:hAnsi="Times New Roman" w:cs="Times New Roman"/>
          <w:i/>
          <w:iCs/>
          <w:color w:val="222222"/>
          <w:sz w:val="16"/>
          <w:szCs w:val="16"/>
          <w:shd w:val="clear" w:color="auto" w:fill="FFFFFF"/>
        </w:rPr>
        <w:t>pediatrics</w:t>
      </w:r>
      <w:proofErr w:type="spellEnd"/>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21</w:t>
      </w:r>
      <w:r w:rsidRPr="00704E9E">
        <w:rPr>
          <w:rFonts w:ascii="Times New Roman" w:hAnsi="Times New Roman" w:cs="Times New Roman"/>
          <w:color w:val="222222"/>
          <w:sz w:val="16"/>
          <w:szCs w:val="16"/>
          <w:shd w:val="clear" w:color="auto" w:fill="FFFFFF"/>
        </w:rPr>
        <w:t>(4), 450-456.</w:t>
      </w:r>
    </w:p>
    <w:p w14:paraId="2560448E"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Cain, J., &amp; Cain, J. L. (2010). Legal and ethical issues regarding social media and pharmacy education. </w:t>
      </w:r>
      <w:r w:rsidRPr="00704E9E">
        <w:rPr>
          <w:rFonts w:ascii="Times New Roman" w:hAnsi="Times New Roman" w:cs="Times New Roman"/>
          <w:i/>
          <w:iCs/>
          <w:color w:val="222222"/>
          <w:sz w:val="16"/>
          <w:szCs w:val="16"/>
          <w:shd w:val="clear" w:color="auto" w:fill="FFFFFF"/>
        </w:rPr>
        <w:t>American journal of pharmaceutical education</w:t>
      </w:r>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74</w:t>
      </w:r>
      <w:r w:rsidRPr="00704E9E">
        <w:rPr>
          <w:rFonts w:ascii="Times New Roman" w:hAnsi="Times New Roman" w:cs="Times New Roman"/>
          <w:color w:val="222222"/>
          <w:sz w:val="16"/>
          <w:szCs w:val="16"/>
          <w:shd w:val="clear" w:color="auto" w:fill="FFFFFF"/>
        </w:rPr>
        <w:t>(10).</w:t>
      </w:r>
    </w:p>
    <w:p w14:paraId="7932B8B9"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 xml:space="preserve">Yip, C., Han, N. L. R., &amp; </w:t>
      </w:r>
      <w:proofErr w:type="spellStart"/>
      <w:r w:rsidRPr="00704E9E">
        <w:rPr>
          <w:rFonts w:ascii="Times New Roman" w:hAnsi="Times New Roman" w:cs="Times New Roman"/>
          <w:color w:val="222222"/>
          <w:sz w:val="16"/>
          <w:szCs w:val="16"/>
          <w:shd w:val="clear" w:color="auto" w:fill="FFFFFF"/>
        </w:rPr>
        <w:t>Sng</w:t>
      </w:r>
      <w:proofErr w:type="spellEnd"/>
      <w:r w:rsidRPr="00704E9E">
        <w:rPr>
          <w:rFonts w:ascii="Times New Roman" w:hAnsi="Times New Roman" w:cs="Times New Roman"/>
          <w:color w:val="222222"/>
          <w:sz w:val="16"/>
          <w:szCs w:val="16"/>
          <w:shd w:val="clear" w:color="auto" w:fill="FFFFFF"/>
        </w:rPr>
        <w:t>, B. L. (2016). Legal and ethical issues in research. </w:t>
      </w:r>
      <w:r w:rsidRPr="00704E9E">
        <w:rPr>
          <w:rFonts w:ascii="Times New Roman" w:hAnsi="Times New Roman" w:cs="Times New Roman"/>
          <w:i/>
          <w:iCs/>
          <w:color w:val="222222"/>
          <w:sz w:val="16"/>
          <w:szCs w:val="16"/>
          <w:shd w:val="clear" w:color="auto" w:fill="FFFFFF"/>
        </w:rPr>
        <w:t>Indian journal of anaesthesia</w:t>
      </w:r>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60</w:t>
      </w:r>
      <w:r w:rsidRPr="00704E9E">
        <w:rPr>
          <w:rFonts w:ascii="Times New Roman" w:hAnsi="Times New Roman" w:cs="Times New Roman"/>
          <w:color w:val="222222"/>
          <w:sz w:val="16"/>
          <w:szCs w:val="16"/>
          <w:shd w:val="clear" w:color="auto" w:fill="FFFFFF"/>
        </w:rPr>
        <w:t>(9), 684.</w:t>
      </w:r>
    </w:p>
    <w:p w14:paraId="29E599CE"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proofErr w:type="spellStart"/>
      <w:r w:rsidRPr="00704E9E">
        <w:rPr>
          <w:rFonts w:ascii="Times New Roman" w:hAnsi="Times New Roman" w:cs="Times New Roman"/>
          <w:color w:val="222222"/>
          <w:sz w:val="16"/>
          <w:szCs w:val="16"/>
          <w:shd w:val="clear" w:color="auto" w:fill="FFFFFF"/>
        </w:rPr>
        <w:t>Manhal-Baugus</w:t>
      </w:r>
      <w:proofErr w:type="spellEnd"/>
      <w:r w:rsidRPr="00704E9E">
        <w:rPr>
          <w:rFonts w:ascii="Times New Roman" w:hAnsi="Times New Roman" w:cs="Times New Roman"/>
          <w:color w:val="222222"/>
          <w:sz w:val="16"/>
          <w:szCs w:val="16"/>
          <w:shd w:val="clear" w:color="auto" w:fill="FFFFFF"/>
        </w:rPr>
        <w:t>, M. (2001). E-therapy: Practical, ethical, and legal issues. </w:t>
      </w:r>
      <w:proofErr w:type="spellStart"/>
      <w:r w:rsidRPr="00704E9E">
        <w:rPr>
          <w:rFonts w:ascii="Times New Roman" w:hAnsi="Times New Roman" w:cs="Times New Roman"/>
          <w:i/>
          <w:iCs/>
          <w:color w:val="222222"/>
          <w:sz w:val="16"/>
          <w:szCs w:val="16"/>
          <w:shd w:val="clear" w:color="auto" w:fill="FFFFFF"/>
        </w:rPr>
        <w:t>CyberPsychology</w:t>
      </w:r>
      <w:proofErr w:type="spellEnd"/>
      <w:r w:rsidRPr="00704E9E">
        <w:rPr>
          <w:rFonts w:ascii="Times New Roman" w:hAnsi="Times New Roman" w:cs="Times New Roman"/>
          <w:i/>
          <w:iCs/>
          <w:color w:val="222222"/>
          <w:sz w:val="16"/>
          <w:szCs w:val="16"/>
          <w:shd w:val="clear" w:color="auto" w:fill="FFFFFF"/>
        </w:rPr>
        <w:t xml:space="preserve"> &amp; </w:t>
      </w:r>
      <w:proofErr w:type="spellStart"/>
      <w:r w:rsidRPr="00704E9E">
        <w:rPr>
          <w:rFonts w:ascii="Times New Roman" w:hAnsi="Times New Roman" w:cs="Times New Roman"/>
          <w:i/>
          <w:iCs/>
          <w:color w:val="222222"/>
          <w:sz w:val="16"/>
          <w:szCs w:val="16"/>
          <w:shd w:val="clear" w:color="auto" w:fill="FFFFFF"/>
        </w:rPr>
        <w:t>Behavior</w:t>
      </w:r>
      <w:proofErr w:type="spellEnd"/>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4</w:t>
      </w:r>
      <w:r w:rsidRPr="00704E9E">
        <w:rPr>
          <w:rFonts w:ascii="Times New Roman" w:hAnsi="Times New Roman" w:cs="Times New Roman"/>
          <w:color w:val="222222"/>
          <w:sz w:val="16"/>
          <w:szCs w:val="16"/>
          <w:shd w:val="clear" w:color="auto" w:fill="FFFFFF"/>
        </w:rPr>
        <w:t>(5), 551-563.</w:t>
      </w:r>
    </w:p>
    <w:p w14:paraId="591E9680" w14:textId="77777777" w:rsidR="00E33F3D" w:rsidRPr="00704E9E" w:rsidRDefault="00E33F3D" w:rsidP="00550E37">
      <w:pPr>
        <w:spacing w:after="0" w:line="240" w:lineRule="auto"/>
        <w:jc w:val="both"/>
        <w:rPr>
          <w:rFonts w:ascii="Times New Roman" w:hAnsi="Times New Roman" w:cs="Times New Roman"/>
          <w:b/>
          <w:bCs/>
          <w:sz w:val="16"/>
          <w:szCs w:val="16"/>
        </w:rPr>
      </w:pPr>
    </w:p>
    <w:sectPr w:rsidR="00E33F3D" w:rsidRPr="00704E9E" w:rsidSect="003F0EB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E4FE0"/>
    <w:multiLevelType w:val="hybridMultilevel"/>
    <w:tmpl w:val="98B24FB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20516E3C"/>
    <w:multiLevelType w:val="multilevel"/>
    <w:tmpl w:val="9CB412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1E13717"/>
    <w:multiLevelType w:val="hybridMultilevel"/>
    <w:tmpl w:val="4F90CB36"/>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15:restartNumberingAfterBreak="0">
    <w:nsid w:val="3DA819BF"/>
    <w:multiLevelType w:val="hybridMultilevel"/>
    <w:tmpl w:val="BF7A5CB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6784752A"/>
    <w:multiLevelType w:val="hybridMultilevel"/>
    <w:tmpl w:val="39C811B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67A31361"/>
    <w:multiLevelType w:val="hybridMultilevel"/>
    <w:tmpl w:val="95D48DB0"/>
    <w:lvl w:ilvl="0" w:tplc="ED76535E">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7639383E"/>
    <w:multiLevelType w:val="hybridMultilevel"/>
    <w:tmpl w:val="93E2B1E8"/>
    <w:lvl w:ilvl="0" w:tplc="5E2AD6B6">
      <w:start w:val="13"/>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394086913">
    <w:abstractNumId w:val="2"/>
  </w:num>
  <w:num w:numId="2" w16cid:durableId="1191995197">
    <w:abstractNumId w:val="4"/>
  </w:num>
  <w:num w:numId="3" w16cid:durableId="875579926">
    <w:abstractNumId w:val="3"/>
  </w:num>
  <w:num w:numId="4" w16cid:durableId="1154645966">
    <w:abstractNumId w:val="1"/>
  </w:num>
  <w:num w:numId="5" w16cid:durableId="736130379">
    <w:abstractNumId w:val="0"/>
  </w:num>
  <w:num w:numId="6" w16cid:durableId="1250384696">
    <w:abstractNumId w:val="6"/>
  </w:num>
  <w:num w:numId="7" w16cid:durableId="10453749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6BA"/>
    <w:rsid w:val="00011FB0"/>
    <w:rsid w:val="000176BA"/>
    <w:rsid w:val="00023C79"/>
    <w:rsid w:val="00035293"/>
    <w:rsid w:val="00176C3C"/>
    <w:rsid w:val="001A4CD6"/>
    <w:rsid w:val="001A4F9A"/>
    <w:rsid w:val="001A5513"/>
    <w:rsid w:val="002227E8"/>
    <w:rsid w:val="00225C2F"/>
    <w:rsid w:val="00251B66"/>
    <w:rsid w:val="002772B5"/>
    <w:rsid w:val="00280071"/>
    <w:rsid w:val="00284290"/>
    <w:rsid w:val="002935ED"/>
    <w:rsid w:val="00301DBC"/>
    <w:rsid w:val="0030368B"/>
    <w:rsid w:val="00316D5A"/>
    <w:rsid w:val="00392EC1"/>
    <w:rsid w:val="0039393F"/>
    <w:rsid w:val="003F0EB6"/>
    <w:rsid w:val="00496881"/>
    <w:rsid w:val="004E3960"/>
    <w:rsid w:val="00540CD9"/>
    <w:rsid w:val="00542E8F"/>
    <w:rsid w:val="00550E37"/>
    <w:rsid w:val="0056726E"/>
    <w:rsid w:val="00571CF2"/>
    <w:rsid w:val="005925EE"/>
    <w:rsid w:val="00594FBA"/>
    <w:rsid w:val="005B6BA4"/>
    <w:rsid w:val="006125A4"/>
    <w:rsid w:val="00614DF3"/>
    <w:rsid w:val="00620F92"/>
    <w:rsid w:val="006304CB"/>
    <w:rsid w:val="0068634C"/>
    <w:rsid w:val="006B40B0"/>
    <w:rsid w:val="006E4E9F"/>
    <w:rsid w:val="00704E9E"/>
    <w:rsid w:val="007432B9"/>
    <w:rsid w:val="00757378"/>
    <w:rsid w:val="007A2E30"/>
    <w:rsid w:val="008A62DD"/>
    <w:rsid w:val="008A6359"/>
    <w:rsid w:val="00911A34"/>
    <w:rsid w:val="009F66C4"/>
    <w:rsid w:val="00A176A1"/>
    <w:rsid w:val="00A367CF"/>
    <w:rsid w:val="00A73471"/>
    <w:rsid w:val="00A844E0"/>
    <w:rsid w:val="00A92AF9"/>
    <w:rsid w:val="00A943E7"/>
    <w:rsid w:val="00AB1FCA"/>
    <w:rsid w:val="00AD696C"/>
    <w:rsid w:val="00AD7137"/>
    <w:rsid w:val="00AE275E"/>
    <w:rsid w:val="00B10787"/>
    <w:rsid w:val="00B42189"/>
    <w:rsid w:val="00B57908"/>
    <w:rsid w:val="00BB1FE5"/>
    <w:rsid w:val="00BB435D"/>
    <w:rsid w:val="00C47703"/>
    <w:rsid w:val="00C60AAC"/>
    <w:rsid w:val="00C769D0"/>
    <w:rsid w:val="00C93F62"/>
    <w:rsid w:val="00C97D5F"/>
    <w:rsid w:val="00CF4642"/>
    <w:rsid w:val="00D377A4"/>
    <w:rsid w:val="00DA045A"/>
    <w:rsid w:val="00DB7A42"/>
    <w:rsid w:val="00E02A15"/>
    <w:rsid w:val="00E03E1E"/>
    <w:rsid w:val="00E108A3"/>
    <w:rsid w:val="00E20B42"/>
    <w:rsid w:val="00E33F3D"/>
    <w:rsid w:val="00E43A45"/>
    <w:rsid w:val="00E57B0E"/>
    <w:rsid w:val="00E62AED"/>
    <w:rsid w:val="00EF639C"/>
    <w:rsid w:val="00EF792B"/>
    <w:rsid w:val="00F02F3A"/>
    <w:rsid w:val="00F16BA3"/>
    <w:rsid w:val="00F71E31"/>
    <w:rsid w:val="00FC7CAC"/>
    <w:rsid w:val="00FF59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DDD41"/>
  <w15:chartTrackingRefBased/>
  <w15:docId w15:val="{F85957FE-717C-4FAE-8EA6-B36DFC60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EC1"/>
    <w:pPr>
      <w:ind w:left="720"/>
      <w:contextualSpacing/>
    </w:pPr>
  </w:style>
  <w:style w:type="character" w:styleId="Hyperlink">
    <w:name w:val="Hyperlink"/>
    <w:basedOn w:val="DefaultParagraphFont"/>
    <w:uiPriority w:val="99"/>
    <w:unhideWhenUsed/>
    <w:rsid w:val="00496881"/>
    <w:rPr>
      <w:color w:val="0563C1" w:themeColor="hyperlink"/>
      <w:u w:val="single"/>
    </w:rPr>
  </w:style>
  <w:style w:type="character" w:styleId="UnresolvedMention">
    <w:name w:val="Unresolved Mention"/>
    <w:basedOn w:val="DefaultParagraphFont"/>
    <w:uiPriority w:val="99"/>
    <w:semiHidden/>
    <w:unhideWhenUsed/>
    <w:rsid w:val="00496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6B419-47BB-43B8-9040-AA7508A41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6247</Words>
  <Characters>35608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Krati dhakad</dc:creator>
  <cp:keywords/>
  <dc:description/>
  <cp:lastModifiedBy>Krati dhakad</cp:lastModifiedBy>
  <cp:revision>2</cp:revision>
  <dcterms:created xsi:type="dcterms:W3CDTF">2022-08-20T11:19:00Z</dcterms:created>
  <dcterms:modified xsi:type="dcterms:W3CDTF">2022-08-20T11:19:00Z</dcterms:modified>
</cp:coreProperties>
</file>