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423BC2" w14:textId="17698A7F" w:rsidR="00B921A6" w:rsidRPr="0053592F" w:rsidRDefault="002139C0" w:rsidP="00373622">
      <w:pPr>
        <w:spacing w:before="100" w:beforeAutospacing="1" w:after="100" w:afterAutospacing="1" w:line="276" w:lineRule="auto"/>
        <w:jc w:val="both"/>
        <w:rPr>
          <w:b/>
          <w:bCs/>
          <w:color w:val="252525"/>
        </w:rPr>
      </w:pPr>
      <w:r w:rsidRPr="0053592F">
        <w:rPr>
          <w:b/>
          <w:bCs/>
          <w:color w:val="252525"/>
        </w:rPr>
        <w:t>Aplastic anaemia</w:t>
      </w:r>
      <w:r w:rsidR="00B52056" w:rsidRPr="0053592F">
        <w:rPr>
          <w:b/>
          <w:bCs/>
          <w:color w:val="252525"/>
        </w:rPr>
        <w:t>:</w:t>
      </w:r>
      <w:r>
        <w:rPr>
          <w:b/>
          <w:bCs/>
          <w:color w:val="252525"/>
        </w:rPr>
        <w:t xml:space="preserve"> aetiology</w:t>
      </w:r>
      <w:r w:rsidR="00677C68">
        <w:rPr>
          <w:b/>
          <w:bCs/>
          <w:color w:val="252525"/>
        </w:rPr>
        <w:t>,</w:t>
      </w:r>
      <w:r w:rsidR="00D83588">
        <w:rPr>
          <w:b/>
          <w:bCs/>
          <w:color w:val="252525"/>
        </w:rPr>
        <w:t xml:space="preserve"> </w:t>
      </w:r>
      <w:r>
        <w:rPr>
          <w:b/>
          <w:bCs/>
          <w:color w:val="252525"/>
        </w:rPr>
        <w:t>pathophysiology</w:t>
      </w:r>
      <w:r w:rsidR="00D83588">
        <w:rPr>
          <w:b/>
          <w:bCs/>
          <w:color w:val="252525"/>
        </w:rPr>
        <w:t xml:space="preserve">, </w:t>
      </w:r>
      <w:r>
        <w:rPr>
          <w:b/>
          <w:bCs/>
          <w:color w:val="252525"/>
        </w:rPr>
        <w:t xml:space="preserve">diagnostic approach, recent management protocols, prognosis and </w:t>
      </w:r>
      <w:r w:rsidR="006F463C">
        <w:rPr>
          <w:b/>
          <w:bCs/>
          <w:color w:val="252525"/>
        </w:rPr>
        <w:t xml:space="preserve">their </w:t>
      </w:r>
      <w:r>
        <w:rPr>
          <w:b/>
          <w:bCs/>
          <w:color w:val="252525"/>
        </w:rPr>
        <w:t>complications</w:t>
      </w:r>
    </w:p>
    <w:p w14:paraId="7CF08340" w14:textId="77777777" w:rsidR="0073503A" w:rsidRPr="0053592F" w:rsidRDefault="00B52056" w:rsidP="00373622">
      <w:pPr>
        <w:spacing w:before="100" w:beforeAutospacing="1" w:after="100" w:afterAutospacing="1" w:line="276" w:lineRule="auto"/>
        <w:contextualSpacing/>
        <w:jc w:val="both"/>
        <w:rPr>
          <w:b/>
          <w:bCs/>
          <w:color w:val="252525"/>
        </w:rPr>
      </w:pPr>
      <w:r w:rsidRPr="0053592F">
        <w:rPr>
          <w:b/>
          <w:bCs/>
          <w:color w:val="252525"/>
        </w:rPr>
        <w:t>Authors:</w:t>
      </w:r>
    </w:p>
    <w:p w14:paraId="390834A9" w14:textId="1B1A6B07" w:rsidR="0073503A" w:rsidRPr="0053592F" w:rsidRDefault="0073503A" w:rsidP="00373622">
      <w:pPr>
        <w:spacing w:before="100" w:beforeAutospacing="1" w:after="100" w:afterAutospacing="1" w:line="276" w:lineRule="auto"/>
        <w:contextualSpacing/>
        <w:jc w:val="both"/>
        <w:rPr>
          <w:b/>
          <w:bCs/>
          <w:color w:val="252525"/>
        </w:rPr>
      </w:pPr>
      <w:r w:rsidRPr="0053592F">
        <w:rPr>
          <w:b/>
          <w:bCs/>
          <w:color w:val="252525"/>
        </w:rPr>
        <w:t xml:space="preserve">Dr. Rashmi Kushwaha </w:t>
      </w:r>
    </w:p>
    <w:p w14:paraId="4AE4D985" w14:textId="0C8E0494" w:rsidR="0073503A" w:rsidRPr="0053592F" w:rsidRDefault="0073503A" w:rsidP="00373622">
      <w:pPr>
        <w:spacing w:before="100" w:beforeAutospacing="1" w:line="276" w:lineRule="auto"/>
        <w:contextualSpacing/>
        <w:jc w:val="both"/>
        <w:rPr>
          <w:color w:val="252525"/>
        </w:rPr>
      </w:pPr>
      <w:r w:rsidRPr="0053592F">
        <w:rPr>
          <w:color w:val="252525"/>
        </w:rPr>
        <w:t xml:space="preserve">Professor, </w:t>
      </w:r>
      <w:r w:rsidR="00AD783D" w:rsidRPr="0053592F">
        <w:rPr>
          <w:color w:val="252525"/>
        </w:rPr>
        <w:t>Hematopathology</w:t>
      </w:r>
      <w:r w:rsidRPr="0053592F">
        <w:rPr>
          <w:color w:val="252525"/>
        </w:rPr>
        <w:t xml:space="preserve"> Unit</w:t>
      </w:r>
    </w:p>
    <w:p w14:paraId="3C1D0684" w14:textId="093ED7AE" w:rsidR="0073503A" w:rsidRPr="0053592F" w:rsidRDefault="0073503A" w:rsidP="00373622">
      <w:pPr>
        <w:spacing w:before="100" w:beforeAutospacing="1" w:line="276" w:lineRule="auto"/>
        <w:contextualSpacing/>
        <w:jc w:val="both"/>
        <w:rPr>
          <w:color w:val="252525"/>
        </w:rPr>
      </w:pPr>
      <w:r w:rsidRPr="0053592F">
        <w:rPr>
          <w:color w:val="252525"/>
        </w:rPr>
        <w:t>Department of Pathology</w:t>
      </w:r>
    </w:p>
    <w:p w14:paraId="7F06D034" w14:textId="672EE7F3" w:rsidR="0073503A" w:rsidRPr="0053592F" w:rsidRDefault="0073503A" w:rsidP="00373622">
      <w:pPr>
        <w:spacing w:before="100" w:beforeAutospacing="1" w:line="276" w:lineRule="auto"/>
        <w:contextualSpacing/>
        <w:jc w:val="both"/>
        <w:rPr>
          <w:color w:val="252525"/>
        </w:rPr>
      </w:pPr>
      <w:r w:rsidRPr="0053592F">
        <w:rPr>
          <w:color w:val="252525"/>
        </w:rPr>
        <w:t>King George’s Medical University</w:t>
      </w:r>
    </w:p>
    <w:p w14:paraId="4B2DCF65" w14:textId="2A9B9EA0" w:rsidR="0073503A" w:rsidRPr="0053592F" w:rsidRDefault="0073503A" w:rsidP="00373622">
      <w:pPr>
        <w:spacing w:before="100" w:beforeAutospacing="1" w:line="276" w:lineRule="auto"/>
        <w:contextualSpacing/>
        <w:jc w:val="both"/>
        <w:rPr>
          <w:color w:val="252525"/>
        </w:rPr>
      </w:pPr>
      <w:r w:rsidRPr="0053592F">
        <w:rPr>
          <w:color w:val="252525"/>
        </w:rPr>
        <w:t>Lucknow</w:t>
      </w:r>
    </w:p>
    <w:p w14:paraId="18B7C570" w14:textId="77777777" w:rsidR="0073503A" w:rsidRPr="0053592F" w:rsidRDefault="0073503A" w:rsidP="00373622">
      <w:pPr>
        <w:spacing w:before="100" w:beforeAutospacing="1" w:line="276" w:lineRule="auto"/>
        <w:contextualSpacing/>
        <w:jc w:val="both"/>
        <w:rPr>
          <w:color w:val="252525"/>
        </w:rPr>
      </w:pPr>
    </w:p>
    <w:p w14:paraId="23F1D5BA" w14:textId="229349F9" w:rsidR="0073503A" w:rsidRPr="0053592F" w:rsidRDefault="0073503A" w:rsidP="00373622">
      <w:pPr>
        <w:spacing w:before="100" w:beforeAutospacing="1" w:after="100" w:afterAutospacing="1" w:line="276" w:lineRule="auto"/>
        <w:contextualSpacing/>
        <w:jc w:val="both"/>
        <w:rPr>
          <w:b/>
          <w:bCs/>
          <w:color w:val="252525"/>
        </w:rPr>
      </w:pPr>
      <w:r w:rsidRPr="0053592F">
        <w:rPr>
          <w:b/>
          <w:bCs/>
          <w:color w:val="252525"/>
        </w:rPr>
        <w:t>Dr. Anurag Singh</w:t>
      </w:r>
    </w:p>
    <w:p w14:paraId="0FA0F7CC" w14:textId="564949ED" w:rsidR="0073503A" w:rsidRPr="0053592F" w:rsidRDefault="0073503A" w:rsidP="00373622">
      <w:pPr>
        <w:spacing w:before="100" w:beforeAutospacing="1" w:line="276" w:lineRule="auto"/>
        <w:contextualSpacing/>
        <w:jc w:val="both"/>
        <w:rPr>
          <w:color w:val="252525"/>
        </w:rPr>
      </w:pPr>
      <w:r w:rsidRPr="0053592F">
        <w:rPr>
          <w:color w:val="252525"/>
        </w:rPr>
        <w:t xml:space="preserve">Senior Resident, </w:t>
      </w:r>
      <w:r w:rsidR="00AD783D" w:rsidRPr="0053592F">
        <w:rPr>
          <w:color w:val="252525"/>
        </w:rPr>
        <w:t>Hematopathology</w:t>
      </w:r>
      <w:r w:rsidRPr="0053592F">
        <w:rPr>
          <w:color w:val="252525"/>
        </w:rPr>
        <w:t xml:space="preserve"> Unit</w:t>
      </w:r>
    </w:p>
    <w:p w14:paraId="2D4EFB91" w14:textId="77777777" w:rsidR="0073503A" w:rsidRPr="0053592F" w:rsidRDefault="0073503A" w:rsidP="00373622">
      <w:pPr>
        <w:spacing w:before="100" w:beforeAutospacing="1" w:line="276" w:lineRule="auto"/>
        <w:contextualSpacing/>
        <w:jc w:val="both"/>
        <w:rPr>
          <w:color w:val="252525"/>
        </w:rPr>
      </w:pPr>
      <w:r w:rsidRPr="0053592F">
        <w:rPr>
          <w:color w:val="252525"/>
        </w:rPr>
        <w:t>Department of Pathology</w:t>
      </w:r>
    </w:p>
    <w:p w14:paraId="11E03F1A" w14:textId="77777777" w:rsidR="0073503A" w:rsidRPr="0053592F" w:rsidRDefault="0073503A" w:rsidP="00373622">
      <w:pPr>
        <w:spacing w:before="100" w:beforeAutospacing="1" w:line="276" w:lineRule="auto"/>
        <w:contextualSpacing/>
        <w:jc w:val="both"/>
        <w:rPr>
          <w:color w:val="252525"/>
        </w:rPr>
      </w:pPr>
      <w:r w:rsidRPr="0053592F">
        <w:rPr>
          <w:color w:val="252525"/>
        </w:rPr>
        <w:t>King George’s Medical University</w:t>
      </w:r>
    </w:p>
    <w:p w14:paraId="1614EF3E" w14:textId="30B1C1C5" w:rsidR="0073503A" w:rsidRDefault="0073503A" w:rsidP="00373622">
      <w:pPr>
        <w:spacing w:before="100" w:beforeAutospacing="1" w:line="276" w:lineRule="auto"/>
        <w:contextualSpacing/>
        <w:jc w:val="both"/>
        <w:rPr>
          <w:color w:val="252525"/>
        </w:rPr>
      </w:pPr>
      <w:r w:rsidRPr="0053592F">
        <w:rPr>
          <w:color w:val="252525"/>
        </w:rPr>
        <w:t>Lucknow</w:t>
      </w:r>
    </w:p>
    <w:p w14:paraId="2E638014" w14:textId="3A354D1E" w:rsidR="00E7491A" w:rsidRDefault="00E7491A" w:rsidP="00373622">
      <w:pPr>
        <w:spacing w:before="100" w:beforeAutospacing="1" w:line="276" w:lineRule="auto"/>
        <w:contextualSpacing/>
        <w:jc w:val="both"/>
        <w:rPr>
          <w:color w:val="252525"/>
        </w:rPr>
      </w:pPr>
    </w:p>
    <w:p w14:paraId="29DC472D" w14:textId="5FB37B4E" w:rsidR="00E7491A" w:rsidRDefault="00E7491A" w:rsidP="00373622">
      <w:pPr>
        <w:spacing w:before="100" w:beforeAutospacing="1" w:line="276" w:lineRule="auto"/>
        <w:contextualSpacing/>
        <w:jc w:val="both"/>
        <w:rPr>
          <w:b/>
          <w:bCs/>
          <w:color w:val="252525"/>
        </w:rPr>
      </w:pPr>
      <w:r w:rsidRPr="00E7491A">
        <w:rPr>
          <w:b/>
          <w:bCs/>
          <w:color w:val="252525"/>
        </w:rPr>
        <w:t>Abstract</w:t>
      </w:r>
      <w:r>
        <w:rPr>
          <w:b/>
          <w:bCs/>
          <w:color w:val="252525"/>
        </w:rPr>
        <w:t>:</w:t>
      </w:r>
    </w:p>
    <w:p w14:paraId="038E423F" w14:textId="6162BB90" w:rsidR="00954667" w:rsidRPr="00E123D7" w:rsidRDefault="00954667" w:rsidP="00373622">
      <w:pPr>
        <w:spacing w:before="100" w:beforeAutospacing="1" w:line="276" w:lineRule="auto"/>
        <w:contextualSpacing/>
        <w:jc w:val="both"/>
        <w:rPr>
          <w:color w:val="252525"/>
        </w:rPr>
      </w:pPr>
      <w:r w:rsidRPr="00E123D7">
        <w:rPr>
          <w:color w:val="252525"/>
        </w:rPr>
        <w:t xml:space="preserve">Aplastic anaemia is a relatively uncommon disease, with a significant proportion of cases manifesting within the initial three decades of an individual's lifespan. The prevalence of aplastic anaemia in Asia is significantly greater, ranging from two to three times higher, compared to the Western world. Approximately 20-40% of patients diagnosed with pancytopenia in specialised medical centres exhibit aplastic anaemia. The clinical manifestations most frequently observed include pallor, manifestations of bleeding, and fever. The majority of cases of acquired aplastic anaemia occur due to the immune-mediated destruction of hematopoietic stem cells, resulting in pancytopenia and bone marrow that is hypocellular. This condition can be effectively managed through either immunosuppressive therapy or hematopoietic stem-cell transplantation. In the case of children and young adults diagnosed with severe aplastic anaemia, hematopoietic stem-cell transplantation from a compatible sibling donor is the preferred treatment option. However, if hematopoietic stem-cell transplantation is not possible due to factors such as age, absence of a </w:t>
      </w:r>
      <w:proofErr w:type="spellStart"/>
      <w:r w:rsidRPr="00E123D7">
        <w:rPr>
          <w:color w:val="252525"/>
        </w:rPr>
        <w:t>histocompatible</w:t>
      </w:r>
      <w:proofErr w:type="spellEnd"/>
      <w:r w:rsidRPr="00E123D7">
        <w:rPr>
          <w:color w:val="252525"/>
        </w:rPr>
        <w:t xml:space="preserve"> sibling, or presence of other medical conditions, immunosuppressive therapy is utilised as a last resort. The management of AA poses a significant challenge in developing nations. Adverse consequences of aplastic anaemia can be minimized by enhancing patient and referring physician awareness, thereby minimising the time lapse between diagnosis and treatment.</w:t>
      </w:r>
    </w:p>
    <w:p w14:paraId="49C21ECD" w14:textId="4B9FE2E5" w:rsidR="001F6C50" w:rsidRPr="001F6C50" w:rsidRDefault="001F6C50" w:rsidP="00373622">
      <w:pPr>
        <w:spacing w:before="100" w:beforeAutospacing="1" w:after="100" w:afterAutospacing="1" w:line="276" w:lineRule="auto"/>
        <w:jc w:val="both"/>
        <w:rPr>
          <w:b/>
          <w:bCs/>
          <w:color w:val="252525"/>
        </w:rPr>
      </w:pPr>
      <w:r w:rsidRPr="001F6C50">
        <w:rPr>
          <w:b/>
          <w:bCs/>
          <w:color w:val="252525"/>
        </w:rPr>
        <w:t>Introduction:</w:t>
      </w:r>
    </w:p>
    <w:p w14:paraId="1282FE33" w14:textId="7E852579" w:rsidR="00B921A6" w:rsidRPr="0053592F" w:rsidRDefault="00B921A6" w:rsidP="00373622">
      <w:pPr>
        <w:spacing w:before="100" w:beforeAutospacing="1" w:after="100" w:afterAutospacing="1" w:line="276" w:lineRule="auto"/>
        <w:jc w:val="both"/>
        <w:rPr>
          <w:color w:val="252525"/>
        </w:rPr>
      </w:pPr>
      <w:r w:rsidRPr="0053592F">
        <w:rPr>
          <w:color w:val="252525"/>
        </w:rPr>
        <w:t xml:space="preserve">Aplastic anaemia is a haematological disorder that can be recognised by pancytopenia, as observed through a complete blood count, and the presence of a significant hypocellular or acellular marrow, as </w:t>
      </w:r>
      <w:r w:rsidR="004147B4" w:rsidRPr="0053592F">
        <w:rPr>
          <w:color w:val="252525"/>
        </w:rPr>
        <w:t>identified</w:t>
      </w:r>
      <w:r w:rsidRPr="0053592F">
        <w:rPr>
          <w:color w:val="252525"/>
        </w:rPr>
        <w:t xml:space="preserve"> through bone marrow examination [1].</w:t>
      </w:r>
      <w:r w:rsidR="00AA791A">
        <w:rPr>
          <w:color w:val="252525"/>
        </w:rPr>
        <w:t xml:space="preserve"> </w:t>
      </w:r>
      <w:r w:rsidRPr="0053592F">
        <w:rPr>
          <w:color w:val="252525"/>
        </w:rPr>
        <w:t xml:space="preserve">Aplastic anaemia was diagnosed based on established criteria, which include the presence of hypocellular bone marrow (as observed through trephine biopsy) without fibrosis or neoplastic infiltration, along with the presence of at least two </w:t>
      </w:r>
      <w:r w:rsidRPr="0053592F">
        <w:rPr>
          <w:color w:val="252525"/>
        </w:rPr>
        <w:lastRenderedPageBreak/>
        <w:t>of the following: less than 10 g/dl of haemoglobin, a platelet count of less than 50 x 10</w:t>
      </w:r>
      <w:r w:rsidRPr="0053592F">
        <w:rPr>
          <w:color w:val="252525"/>
          <w:vertAlign w:val="superscript"/>
        </w:rPr>
        <w:t>9</w:t>
      </w:r>
      <w:r w:rsidRPr="0053592F">
        <w:rPr>
          <w:color w:val="252525"/>
        </w:rPr>
        <w:t>/L, and a neutrophil count of less than 1.5 x 10</w:t>
      </w:r>
      <w:r w:rsidRPr="0053592F">
        <w:rPr>
          <w:color w:val="252525"/>
          <w:vertAlign w:val="superscript"/>
        </w:rPr>
        <w:t>9</w:t>
      </w:r>
      <w:r w:rsidRPr="0053592F">
        <w:rPr>
          <w:color w:val="252525"/>
        </w:rPr>
        <w:t>/L. When the aforementioned parameters were met and the absolute neutrophil count was less than 0.2 x 10</w:t>
      </w:r>
      <w:r w:rsidRPr="0053592F">
        <w:rPr>
          <w:color w:val="252525"/>
          <w:vertAlign w:val="superscript"/>
        </w:rPr>
        <w:t>9</w:t>
      </w:r>
      <w:r w:rsidRPr="0053592F">
        <w:rPr>
          <w:color w:val="252525"/>
        </w:rPr>
        <w:t>/L, it was referred to as very severe aplastic anaemia (VSAA), and severe aplastic anaemia (SAA), when it was less than 0.5 x 10</w:t>
      </w:r>
      <w:r w:rsidRPr="0053592F">
        <w:rPr>
          <w:color w:val="252525"/>
          <w:vertAlign w:val="superscript"/>
        </w:rPr>
        <w:t>9</w:t>
      </w:r>
      <w:r w:rsidRPr="0053592F">
        <w:rPr>
          <w:color w:val="252525"/>
        </w:rPr>
        <w:t>/L. The remaining individuals have been diagnosed with non-severe aplastic anaemia (NSAA) [2,3].</w:t>
      </w:r>
      <w:r w:rsidR="00E43D1F">
        <w:rPr>
          <w:color w:val="252525"/>
        </w:rPr>
        <w:t xml:space="preserve"> </w:t>
      </w:r>
      <w:r w:rsidRPr="0053592F">
        <w:rPr>
          <w:color w:val="252525"/>
        </w:rPr>
        <w:t>The presence of anaemia can result in the manifestation of symptoms such as overall weakness, pallor, and an increased heart rate</w:t>
      </w:r>
      <w:r w:rsidR="00A54AC0" w:rsidRPr="0053592F">
        <w:rPr>
          <w:color w:val="252525"/>
        </w:rPr>
        <w:t xml:space="preserve"> [4]</w:t>
      </w:r>
      <w:r w:rsidRPr="0053592F">
        <w:rPr>
          <w:color w:val="252525"/>
        </w:rPr>
        <w:t xml:space="preserve">. Thrombocytopenia is associated with an elevated susceptibility to haemorrhaging, contusions, and petechiae. The presence of </w:t>
      </w:r>
      <w:r w:rsidR="00F013CE" w:rsidRPr="0053592F">
        <w:rPr>
          <w:color w:val="252525"/>
        </w:rPr>
        <w:t>leukocytopenia</w:t>
      </w:r>
      <w:r w:rsidRPr="0053592F">
        <w:rPr>
          <w:color w:val="252525"/>
        </w:rPr>
        <w:t xml:space="preserve"> has been shown to elevate the susceptibility to infections [4,5].</w:t>
      </w:r>
    </w:p>
    <w:p w14:paraId="465EB71B" w14:textId="34B67380" w:rsidR="00B921A6" w:rsidRPr="0053592F" w:rsidRDefault="00B921A6" w:rsidP="00373622">
      <w:pPr>
        <w:spacing w:before="100" w:beforeAutospacing="1" w:after="100" w:afterAutospacing="1" w:line="276" w:lineRule="auto"/>
        <w:jc w:val="both"/>
        <w:rPr>
          <w:color w:val="252525"/>
        </w:rPr>
      </w:pPr>
      <w:r w:rsidRPr="0053592F">
        <w:rPr>
          <w:b/>
          <w:bCs/>
          <w:color w:val="252525"/>
        </w:rPr>
        <w:t>Aetiology and epidemiology</w:t>
      </w:r>
    </w:p>
    <w:p w14:paraId="3AA352B6" w14:textId="77777777" w:rsidR="00B921A6" w:rsidRPr="0053592F" w:rsidRDefault="00B921A6" w:rsidP="00373622">
      <w:pPr>
        <w:spacing w:before="100" w:beforeAutospacing="1" w:after="100" w:afterAutospacing="1" w:line="276" w:lineRule="auto"/>
        <w:jc w:val="both"/>
        <w:rPr>
          <w:color w:val="252525"/>
        </w:rPr>
      </w:pPr>
      <w:r w:rsidRPr="0053592F">
        <w:rPr>
          <w:color w:val="252525"/>
        </w:rPr>
        <w:t>Aplastic anaemia may arise due to immune disorders or exposure to certain chemicals, medications, radiation, or infections. However, in approximately fifty percent of cases, the aetiology remains unidentified. Aplastic anaemia is additionally linked to exposure to toxins such as benzene or the use of certain kinds of medications, including chloramphenicol, carbamazepine, felbamate, phenytoin, quinine, and phenylbutazone [6–8] [Table 1].</w:t>
      </w:r>
    </w:p>
    <w:p w14:paraId="3340006E" w14:textId="77777777" w:rsidR="00F013CE" w:rsidRPr="0053592F" w:rsidRDefault="006C57BC" w:rsidP="00373622">
      <w:pPr>
        <w:spacing w:line="276" w:lineRule="auto"/>
        <w:jc w:val="both"/>
        <w:rPr>
          <w:b/>
          <w:bCs/>
          <w:color w:val="000000" w:themeColor="text1"/>
          <w:shd w:val="clear" w:color="auto" w:fill="FFFFFF"/>
        </w:rPr>
      </w:pPr>
      <w:r w:rsidRPr="0053592F">
        <w:rPr>
          <w:b/>
          <w:bCs/>
          <w:color w:val="000000" w:themeColor="text1"/>
          <w:shd w:val="clear" w:color="auto" w:fill="FFFFFF"/>
        </w:rPr>
        <w:t xml:space="preserve">                                  </w:t>
      </w:r>
    </w:p>
    <w:p w14:paraId="52CC1A6C" w14:textId="0667DCEE" w:rsidR="006C57BC" w:rsidRPr="0053592F" w:rsidRDefault="00A0010A" w:rsidP="00373622">
      <w:pPr>
        <w:spacing w:line="276" w:lineRule="auto"/>
        <w:jc w:val="both"/>
        <w:rPr>
          <w:b/>
          <w:bCs/>
          <w:color w:val="000000" w:themeColor="text1"/>
          <w:shd w:val="clear" w:color="auto" w:fill="FFFFFF"/>
        </w:rPr>
      </w:pPr>
      <w:r w:rsidRPr="0053592F">
        <w:rPr>
          <w:b/>
          <w:bCs/>
          <w:color w:val="000000" w:themeColor="text1"/>
          <w:shd w:val="clear" w:color="auto" w:fill="FFFFFF"/>
        </w:rPr>
        <w:t xml:space="preserve">                                         </w:t>
      </w:r>
      <w:r w:rsidR="006C57BC" w:rsidRPr="0053592F">
        <w:rPr>
          <w:b/>
          <w:bCs/>
          <w:color w:val="000000" w:themeColor="text1"/>
          <w:shd w:val="clear" w:color="auto" w:fill="FFFFFF"/>
        </w:rPr>
        <w:t xml:space="preserve">Table 1: Aplastic </w:t>
      </w:r>
      <w:r w:rsidR="00F013CE" w:rsidRPr="0053592F">
        <w:rPr>
          <w:b/>
          <w:bCs/>
          <w:color w:val="000000" w:themeColor="text1"/>
          <w:shd w:val="clear" w:color="auto" w:fill="FFFFFF"/>
        </w:rPr>
        <w:t>anaemia</w:t>
      </w:r>
      <w:r w:rsidR="006C57BC" w:rsidRPr="0053592F">
        <w:rPr>
          <w:b/>
          <w:bCs/>
          <w:color w:val="000000" w:themeColor="text1"/>
          <w:shd w:val="clear" w:color="auto" w:fill="FFFFFF"/>
        </w:rPr>
        <w:t xml:space="preserve"> aetiology</w:t>
      </w:r>
      <w:r w:rsidR="00C07852" w:rsidRPr="0053592F">
        <w:rPr>
          <w:b/>
          <w:bCs/>
          <w:color w:val="000000" w:themeColor="text1"/>
          <w:shd w:val="clear" w:color="auto" w:fill="FFFFFF"/>
        </w:rPr>
        <w:t xml:space="preserve"> [6-9]</w:t>
      </w:r>
    </w:p>
    <w:p w14:paraId="3D87CD77" w14:textId="77777777" w:rsidR="00593F09" w:rsidRPr="0053592F" w:rsidRDefault="00593F09" w:rsidP="00373622">
      <w:pPr>
        <w:spacing w:line="276" w:lineRule="auto"/>
        <w:jc w:val="both"/>
        <w:rPr>
          <w:color w:val="000000" w:themeColor="text1"/>
          <w:shd w:val="clear" w:color="auto" w:fill="FFFFFF"/>
        </w:rPr>
      </w:pPr>
    </w:p>
    <w:tbl>
      <w:tblPr>
        <w:tblStyle w:val="TableGrid"/>
        <w:tblW w:w="0" w:type="auto"/>
        <w:tblLook w:val="04A0" w:firstRow="1" w:lastRow="0" w:firstColumn="1" w:lastColumn="0" w:noHBand="0" w:noVBand="1"/>
      </w:tblPr>
      <w:tblGrid>
        <w:gridCol w:w="4675"/>
        <w:gridCol w:w="4675"/>
      </w:tblGrid>
      <w:tr w:rsidR="00EC6DED" w:rsidRPr="0053592F" w14:paraId="2923D8DD" w14:textId="77777777" w:rsidTr="00EC6DED">
        <w:tc>
          <w:tcPr>
            <w:tcW w:w="4675" w:type="dxa"/>
          </w:tcPr>
          <w:p w14:paraId="3CE0767B" w14:textId="22525B34" w:rsidR="00EC6DED" w:rsidRPr="0053592F" w:rsidRDefault="00F767F6" w:rsidP="00373622">
            <w:pPr>
              <w:spacing w:line="276" w:lineRule="auto"/>
              <w:jc w:val="both"/>
              <w:rPr>
                <w:color w:val="000000" w:themeColor="text1"/>
                <w:shd w:val="clear" w:color="auto" w:fill="FFFFFF"/>
              </w:rPr>
            </w:pPr>
            <w:r w:rsidRPr="0053592F">
              <w:rPr>
                <w:color w:val="000000" w:themeColor="text1"/>
                <w:shd w:val="clear" w:color="auto" w:fill="FFFFFF"/>
              </w:rPr>
              <w:t>Idiopathic</w:t>
            </w:r>
          </w:p>
        </w:tc>
        <w:tc>
          <w:tcPr>
            <w:tcW w:w="4675" w:type="dxa"/>
          </w:tcPr>
          <w:p w14:paraId="0A2E313E" w14:textId="3767C72A" w:rsidR="00EC6DED" w:rsidRPr="0053592F" w:rsidRDefault="004F268B" w:rsidP="00373622">
            <w:pPr>
              <w:spacing w:line="276" w:lineRule="auto"/>
              <w:jc w:val="both"/>
              <w:rPr>
                <w:color w:val="000000" w:themeColor="text1"/>
                <w:shd w:val="clear" w:color="auto" w:fill="FFFFFF"/>
              </w:rPr>
            </w:pPr>
            <w:r w:rsidRPr="0053592F">
              <w:rPr>
                <w:color w:val="000000" w:themeColor="text1"/>
                <w:shd w:val="clear" w:color="auto" w:fill="FFFFFF"/>
              </w:rPr>
              <w:t>Acquired stem cell defects</w:t>
            </w:r>
          </w:p>
        </w:tc>
      </w:tr>
      <w:tr w:rsidR="00EC6DED" w:rsidRPr="0053592F" w14:paraId="08793DB3" w14:textId="77777777" w:rsidTr="00EC6DED">
        <w:tc>
          <w:tcPr>
            <w:tcW w:w="4675" w:type="dxa"/>
          </w:tcPr>
          <w:p w14:paraId="4D9E281D" w14:textId="5CD63BDE" w:rsidR="00EC6DED" w:rsidRPr="0053592F" w:rsidRDefault="00F767F6" w:rsidP="00373622">
            <w:pPr>
              <w:spacing w:line="276" w:lineRule="auto"/>
              <w:jc w:val="both"/>
              <w:rPr>
                <w:color w:val="000000" w:themeColor="text1"/>
                <w:shd w:val="clear" w:color="auto" w:fill="FFFFFF"/>
              </w:rPr>
            </w:pPr>
            <w:r w:rsidRPr="0053592F">
              <w:rPr>
                <w:color w:val="000000" w:themeColor="text1"/>
                <w:shd w:val="clear" w:color="auto" w:fill="FFFFFF"/>
              </w:rPr>
              <w:t>Secondary</w:t>
            </w:r>
          </w:p>
        </w:tc>
        <w:tc>
          <w:tcPr>
            <w:tcW w:w="4675" w:type="dxa"/>
          </w:tcPr>
          <w:p w14:paraId="4EE28F9D" w14:textId="0986D471" w:rsidR="00EC6DED" w:rsidRPr="0053592F" w:rsidRDefault="00F767F6" w:rsidP="00373622">
            <w:pPr>
              <w:spacing w:line="276" w:lineRule="auto"/>
              <w:jc w:val="both"/>
              <w:rPr>
                <w:color w:val="000000" w:themeColor="text1"/>
                <w:shd w:val="clear" w:color="auto" w:fill="FFFFFF"/>
              </w:rPr>
            </w:pPr>
            <w:r w:rsidRPr="0053592F">
              <w:rPr>
                <w:color w:val="000000" w:themeColor="text1"/>
                <w:shd w:val="clear" w:color="auto" w:fill="FFFFFF"/>
              </w:rPr>
              <w:t xml:space="preserve">Chemical and drugs: Benzene, cytotoxic agents, </w:t>
            </w:r>
            <w:r w:rsidR="004F268B" w:rsidRPr="0053592F">
              <w:rPr>
                <w:color w:val="000000" w:themeColor="text1"/>
                <w:shd w:val="clear" w:color="auto" w:fill="FFFFFF"/>
              </w:rPr>
              <w:t xml:space="preserve">lindane, toluene, </w:t>
            </w:r>
            <w:r w:rsidRPr="0053592F">
              <w:rPr>
                <w:color w:val="000000" w:themeColor="text1"/>
                <w:shd w:val="clear" w:color="auto" w:fill="FFFFFF"/>
              </w:rPr>
              <w:t>gold salt, chloramphenicol, non-steroidal anti-inflammatory drugs</w:t>
            </w:r>
          </w:p>
          <w:p w14:paraId="1490A269" w14:textId="24BBEB3A" w:rsidR="004F268B" w:rsidRPr="0053592F" w:rsidRDefault="004F268B" w:rsidP="00373622">
            <w:pPr>
              <w:spacing w:line="276" w:lineRule="auto"/>
              <w:jc w:val="both"/>
              <w:rPr>
                <w:color w:val="000000" w:themeColor="text1"/>
                <w:shd w:val="clear" w:color="auto" w:fill="FFFFFF"/>
              </w:rPr>
            </w:pPr>
            <w:r w:rsidRPr="0053592F">
              <w:rPr>
                <w:color w:val="000000" w:themeColor="text1"/>
                <w:shd w:val="clear" w:color="auto" w:fill="FFFFFF"/>
              </w:rPr>
              <w:t>Radiations</w:t>
            </w:r>
          </w:p>
          <w:p w14:paraId="23E7A7C3" w14:textId="4E64BBD6" w:rsidR="00F767F6" w:rsidRPr="0053592F" w:rsidRDefault="00F767F6" w:rsidP="00373622">
            <w:pPr>
              <w:spacing w:line="276" w:lineRule="auto"/>
              <w:jc w:val="both"/>
              <w:rPr>
                <w:color w:val="000000" w:themeColor="text1"/>
                <w:shd w:val="clear" w:color="auto" w:fill="FFFFFF"/>
              </w:rPr>
            </w:pPr>
            <w:r w:rsidRPr="0053592F">
              <w:rPr>
                <w:color w:val="000000" w:themeColor="text1"/>
                <w:shd w:val="clear" w:color="auto" w:fill="FFFFFF"/>
              </w:rPr>
              <w:t xml:space="preserve">Viruses: Epstein-Barr virus, Parvovirus B-19, HIV, </w:t>
            </w:r>
            <w:r w:rsidR="004F268B" w:rsidRPr="0053592F">
              <w:rPr>
                <w:color w:val="000000" w:themeColor="text1"/>
                <w:shd w:val="clear" w:color="auto" w:fill="FFFFFF"/>
              </w:rPr>
              <w:t xml:space="preserve">Varicella zoster virus, </w:t>
            </w:r>
            <w:r w:rsidRPr="0053592F">
              <w:rPr>
                <w:color w:val="000000" w:themeColor="text1"/>
                <w:shd w:val="clear" w:color="auto" w:fill="FFFFFF"/>
              </w:rPr>
              <w:t>Hepatitis virus</w:t>
            </w:r>
            <w:r w:rsidR="004F268B" w:rsidRPr="0053592F">
              <w:rPr>
                <w:color w:val="000000" w:themeColor="text1"/>
                <w:shd w:val="clear" w:color="auto" w:fill="FFFFFF"/>
              </w:rPr>
              <w:t>, Human herpes virus-6</w:t>
            </w:r>
          </w:p>
          <w:p w14:paraId="73EAB3C1" w14:textId="77777777" w:rsidR="006B3DA6" w:rsidRPr="0053592F" w:rsidRDefault="006B3DA6" w:rsidP="00373622">
            <w:pPr>
              <w:spacing w:line="276" w:lineRule="auto"/>
              <w:jc w:val="both"/>
              <w:rPr>
                <w:color w:val="000000" w:themeColor="text1"/>
                <w:shd w:val="clear" w:color="auto" w:fill="FFFFFF"/>
              </w:rPr>
            </w:pPr>
            <w:r w:rsidRPr="0053592F">
              <w:rPr>
                <w:color w:val="000000" w:themeColor="text1"/>
                <w:shd w:val="clear" w:color="auto" w:fill="FFFFFF"/>
              </w:rPr>
              <w:t>Pregnancy</w:t>
            </w:r>
          </w:p>
          <w:p w14:paraId="0EEBFA2A" w14:textId="23384ABB" w:rsidR="006B3DA6" w:rsidRPr="0053592F" w:rsidRDefault="00E96BA0" w:rsidP="00373622">
            <w:pPr>
              <w:spacing w:line="276" w:lineRule="auto"/>
              <w:jc w:val="both"/>
              <w:rPr>
                <w:color w:val="000000" w:themeColor="text1"/>
                <w:shd w:val="clear" w:color="auto" w:fill="FFFFFF"/>
              </w:rPr>
            </w:pPr>
            <w:r w:rsidRPr="0053592F">
              <w:rPr>
                <w:color w:val="000000" w:themeColor="text1"/>
                <w:shd w:val="clear" w:color="auto" w:fill="FFFFFF"/>
              </w:rPr>
              <w:t>Auto-i</w:t>
            </w:r>
            <w:r w:rsidR="006B3DA6" w:rsidRPr="0053592F">
              <w:rPr>
                <w:color w:val="000000" w:themeColor="text1"/>
                <w:shd w:val="clear" w:color="auto" w:fill="FFFFFF"/>
              </w:rPr>
              <w:t>mmune disease</w:t>
            </w:r>
            <w:r w:rsidRPr="0053592F">
              <w:rPr>
                <w:color w:val="000000" w:themeColor="text1"/>
                <w:shd w:val="clear" w:color="auto" w:fill="FFFFFF"/>
              </w:rPr>
              <w:t>s: Eosinophilic fasciitis, systemic lupus erythematosus, Graft-versus host disease</w:t>
            </w:r>
          </w:p>
          <w:p w14:paraId="2D6B0430" w14:textId="77777777" w:rsidR="006B3DA6" w:rsidRPr="0053592F" w:rsidRDefault="006B3DA6" w:rsidP="00373622">
            <w:pPr>
              <w:spacing w:line="276" w:lineRule="auto"/>
              <w:jc w:val="both"/>
              <w:rPr>
                <w:color w:val="000000" w:themeColor="text1"/>
                <w:shd w:val="clear" w:color="auto" w:fill="FFFFFF"/>
              </w:rPr>
            </w:pPr>
            <w:r w:rsidRPr="0053592F">
              <w:rPr>
                <w:color w:val="000000" w:themeColor="text1"/>
                <w:shd w:val="clear" w:color="auto" w:fill="FFFFFF"/>
              </w:rPr>
              <w:t xml:space="preserve">Paroxysmal nocturnal </w:t>
            </w:r>
            <w:r w:rsidR="00ED7772" w:rsidRPr="0053592F">
              <w:rPr>
                <w:color w:val="000000" w:themeColor="text1"/>
                <w:shd w:val="clear" w:color="auto" w:fill="FFFFFF"/>
              </w:rPr>
              <w:t>haemoglobinuria</w:t>
            </w:r>
          </w:p>
          <w:p w14:paraId="4775ACF6" w14:textId="43204CF6" w:rsidR="00ED7772" w:rsidRPr="0053592F" w:rsidRDefault="00ED7772" w:rsidP="00373622">
            <w:pPr>
              <w:spacing w:line="276" w:lineRule="auto"/>
              <w:jc w:val="both"/>
              <w:rPr>
                <w:color w:val="000000" w:themeColor="text1"/>
                <w:shd w:val="clear" w:color="auto" w:fill="FFFFFF"/>
              </w:rPr>
            </w:pPr>
            <w:r w:rsidRPr="0053592F">
              <w:rPr>
                <w:color w:val="000000" w:themeColor="text1"/>
                <w:shd w:val="clear" w:color="auto" w:fill="FFFFFF"/>
              </w:rPr>
              <w:t xml:space="preserve">Miscellaneous: Anorexia nervosa, Hypopituitarism, </w:t>
            </w:r>
            <w:r w:rsidR="0088374B" w:rsidRPr="0053592F">
              <w:rPr>
                <w:color w:val="000000" w:themeColor="text1"/>
                <w:shd w:val="clear" w:color="auto" w:fill="FFFFFF"/>
              </w:rPr>
              <w:t>Thymoma</w:t>
            </w:r>
          </w:p>
        </w:tc>
      </w:tr>
      <w:tr w:rsidR="00F767F6" w:rsidRPr="0053592F" w14:paraId="19074245" w14:textId="77777777" w:rsidTr="00EC6DED">
        <w:tc>
          <w:tcPr>
            <w:tcW w:w="4675" w:type="dxa"/>
          </w:tcPr>
          <w:p w14:paraId="70CAEE93" w14:textId="707F44F7" w:rsidR="00F767F6" w:rsidRPr="0053592F" w:rsidRDefault="00F767F6" w:rsidP="00373622">
            <w:pPr>
              <w:spacing w:line="276" w:lineRule="auto"/>
              <w:jc w:val="both"/>
              <w:rPr>
                <w:color w:val="000000" w:themeColor="text1"/>
                <w:shd w:val="clear" w:color="auto" w:fill="FFFFFF"/>
              </w:rPr>
            </w:pPr>
            <w:r w:rsidRPr="0053592F">
              <w:rPr>
                <w:color w:val="000000" w:themeColor="text1"/>
                <w:shd w:val="clear" w:color="auto" w:fill="FFFFFF"/>
              </w:rPr>
              <w:t>Inherited disorders</w:t>
            </w:r>
          </w:p>
        </w:tc>
        <w:tc>
          <w:tcPr>
            <w:tcW w:w="4675" w:type="dxa"/>
          </w:tcPr>
          <w:p w14:paraId="23F9B081" w14:textId="77777777" w:rsidR="00F767F6" w:rsidRPr="0053592F" w:rsidRDefault="006B3DA6" w:rsidP="00373622">
            <w:pPr>
              <w:spacing w:line="276" w:lineRule="auto"/>
              <w:jc w:val="both"/>
              <w:rPr>
                <w:color w:val="000000" w:themeColor="text1"/>
                <w:shd w:val="clear" w:color="auto" w:fill="FFFFFF"/>
              </w:rPr>
            </w:pPr>
            <w:r w:rsidRPr="0053592F">
              <w:rPr>
                <w:color w:val="000000" w:themeColor="text1"/>
                <w:shd w:val="clear" w:color="auto" w:fill="FFFFFF"/>
              </w:rPr>
              <w:t>Dyskeratosis congenita</w:t>
            </w:r>
          </w:p>
          <w:p w14:paraId="23BF4BF6" w14:textId="7DF99D8A" w:rsidR="006B3DA6" w:rsidRPr="0053592F" w:rsidRDefault="006B3DA6" w:rsidP="00373622">
            <w:pPr>
              <w:spacing w:line="276" w:lineRule="auto"/>
              <w:jc w:val="both"/>
              <w:rPr>
                <w:color w:val="000000" w:themeColor="text1"/>
                <w:shd w:val="clear" w:color="auto" w:fill="FFFFFF"/>
              </w:rPr>
            </w:pPr>
            <w:r w:rsidRPr="0053592F">
              <w:rPr>
                <w:color w:val="000000" w:themeColor="text1"/>
                <w:shd w:val="clear" w:color="auto" w:fill="FFFFFF"/>
              </w:rPr>
              <w:t>Fanconi’s an</w:t>
            </w:r>
            <w:r w:rsidR="00F013CE" w:rsidRPr="0053592F">
              <w:rPr>
                <w:color w:val="000000" w:themeColor="text1"/>
                <w:shd w:val="clear" w:color="auto" w:fill="FFFFFF"/>
              </w:rPr>
              <w:t>a</w:t>
            </w:r>
            <w:r w:rsidRPr="0053592F">
              <w:rPr>
                <w:color w:val="000000" w:themeColor="text1"/>
                <w:shd w:val="clear" w:color="auto" w:fill="FFFFFF"/>
              </w:rPr>
              <w:t>emia</w:t>
            </w:r>
          </w:p>
          <w:p w14:paraId="5C1DAC77" w14:textId="77777777" w:rsidR="006B3DA6" w:rsidRPr="0053592F" w:rsidRDefault="006B3DA6" w:rsidP="00373622">
            <w:pPr>
              <w:spacing w:line="276" w:lineRule="auto"/>
              <w:jc w:val="both"/>
              <w:rPr>
                <w:color w:val="000000" w:themeColor="text1"/>
                <w:shd w:val="clear" w:color="auto" w:fill="FFFFFF"/>
              </w:rPr>
            </w:pPr>
            <w:r w:rsidRPr="0053592F">
              <w:rPr>
                <w:color w:val="000000" w:themeColor="text1"/>
                <w:shd w:val="clear" w:color="auto" w:fill="FFFFFF"/>
              </w:rPr>
              <w:t>Schwachman-Diamond syndrome</w:t>
            </w:r>
          </w:p>
          <w:p w14:paraId="457E6E89" w14:textId="77777777" w:rsidR="004F268B" w:rsidRPr="0053592F" w:rsidRDefault="004F268B" w:rsidP="00373622">
            <w:pPr>
              <w:spacing w:line="276" w:lineRule="auto"/>
              <w:jc w:val="both"/>
              <w:rPr>
                <w:color w:val="000000" w:themeColor="text1"/>
                <w:shd w:val="clear" w:color="auto" w:fill="FFFFFF"/>
              </w:rPr>
            </w:pPr>
            <w:r w:rsidRPr="0053592F">
              <w:rPr>
                <w:color w:val="000000" w:themeColor="text1"/>
                <w:shd w:val="clear" w:color="auto" w:fill="FFFFFF"/>
              </w:rPr>
              <w:t>Telomerase defects</w:t>
            </w:r>
          </w:p>
          <w:p w14:paraId="342F6375" w14:textId="4ACD6945" w:rsidR="004F268B" w:rsidRPr="0053592F" w:rsidRDefault="004F268B" w:rsidP="00373622">
            <w:pPr>
              <w:spacing w:line="276" w:lineRule="auto"/>
              <w:jc w:val="both"/>
              <w:rPr>
                <w:color w:val="000000" w:themeColor="text1"/>
                <w:shd w:val="clear" w:color="auto" w:fill="FFFFFF"/>
              </w:rPr>
            </w:pPr>
            <w:proofErr w:type="spellStart"/>
            <w:r w:rsidRPr="0053592F">
              <w:rPr>
                <w:color w:val="000000" w:themeColor="text1"/>
                <w:shd w:val="clear" w:color="auto" w:fill="FFFFFF"/>
              </w:rPr>
              <w:lastRenderedPageBreak/>
              <w:t>Amegakaryocytic</w:t>
            </w:r>
            <w:proofErr w:type="spellEnd"/>
            <w:r w:rsidRPr="0053592F">
              <w:rPr>
                <w:color w:val="000000" w:themeColor="text1"/>
                <w:shd w:val="clear" w:color="auto" w:fill="FFFFFF"/>
              </w:rPr>
              <w:t xml:space="preserve"> thrombocytopenia</w:t>
            </w:r>
          </w:p>
        </w:tc>
      </w:tr>
    </w:tbl>
    <w:p w14:paraId="189FEEE8" w14:textId="77777777" w:rsidR="00EC6DED" w:rsidRPr="0053592F" w:rsidRDefault="00EC6DED" w:rsidP="00373622">
      <w:pPr>
        <w:spacing w:line="276" w:lineRule="auto"/>
        <w:jc w:val="both"/>
        <w:rPr>
          <w:color w:val="000000" w:themeColor="text1"/>
          <w:shd w:val="clear" w:color="auto" w:fill="FFFFFF"/>
        </w:rPr>
      </w:pPr>
    </w:p>
    <w:p w14:paraId="132AB0A5" w14:textId="77777777" w:rsidR="003F627B" w:rsidRPr="0053592F" w:rsidRDefault="003F627B" w:rsidP="00373622">
      <w:pPr>
        <w:spacing w:before="100" w:beforeAutospacing="1" w:after="100" w:afterAutospacing="1" w:line="276" w:lineRule="auto"/>
        <w:jc w:val="both"/>
        <w:rPr>
          <w:color w:val="252525"/>
        </w:rPr>
      </w:pPr>
      <w:r w:rsidRPr="0053592F">
        <w:rPr>
          <w:color w:val="252525"/>
        </w:rPr>
        <w:t>The development of aplastic anaemia is also linked to exposure to ionising radiation from radioactive materials or radiation-producing devices. Marie Curie, renowned for her groundbreaking contributions to the study of radioactivity, succumbed to aplastic anaemia as a result of prolonged exposure to radioactive substances without adequate protection. It is worth noting that during that time, the detrimental consequences of ionising radiation were not yet understood [6].</w:t>
      </w:r>
    </w:p>
    <w:p w14:paraId="67C76A4D" w14:textId="544327F3" w:rsidR="003F627B" w:rsidRPr="0053592F" w:rsidRDefault="003F627B" w:rsidP="00373622">
      <w:pPr>
        <w:spacing w:before="100" w:beforeAutospacing="1" w:after="100" w:afterAutospacing="1" w:line="276" w:lineRule="auto"/>
        <w:jc w:val="both"/>
        <w:rPr>
          <w:color w:val="252525"/>
        </w:rPr>
      </w:pPr>
      <w:r w:rsidRPr="0053592F">
        <w:rPr>
          <w:color w:val="252525"/>
        </w:rPr>
        <w:t>An autoimmune condition in which white blood cells assault the bone marrow is one recognised cause [7,8]. A T-cell-mediated autoimmune disease known as acquired aplastic anaemia is characterised by a decrease in regulatory T cells and an increase in T-bet, a transcription factor and important regulator of Th1 generation and function, in afflicted T cells. Transient aplastic anaemia can also occur as a consequence of specific viral infections, such as parvovirus and seronegative hepatitis virus [9].</w:t>
      </w:r>
    </w:p>
    <w:p w14:paraId="68460D4C" w14:textId="77777777" w:rsidR="003F627B" w:rsidRPr="0053592F" w:rsidRDefault="003F627B" w:rsidP="00373622">
      <w:pPr>
        <w:spacing w:before="100" w:beforeAutospacing="1" w:after="100" w:afterAutospacing="1" w:line="276" w:lineRule="auto"/>
        <w:jc w:val="both"/>
        <w:rPr>
          <w:color w:val="252525"/>
        </w:rPr>
      </w:pPr>
      <w:r w:rsidRPr="0053592F">
        <w:rPr>
          <w:color w:val="252525"/>
        </w:rPr>
        <w:t>The incidence of aplastic anaemia ranges from 0.6 to 6.1 cases per million people. The gender distribution is equal, with a male-to-female ratio of approximately 1:1 [10]. Aplastic anaemia is observed across all age groups, with a notable incidence peak occurring during childhood. The age group of 20 to 25 years exhibits a second peak [11].</w:t>
      </w:r>
    </w:p>
    <w:p w14:paraId="62790A14" w14:textId="77777777" w:rsidR="003F627B" w:rsidRPr="0053592F" w:rsidRDefault="003F627B" w:rsidP="00373622">
      <w:pPr>
        <w:spacing w:before="100" w:beforeAutospacing="1" w:after="100" w:afterAutospacing="1" w:line="276" w:lineRule="auto"/>
        <w:jc w:val="both"/>
        <w:rPr>
          <w:b/>
          <w:bCs/>
          <w:color w:val="252525"/>
        </w:rPr>
      </w:pPr>
      <w:r w:rsidRPr="0053592F">
        <w:rPr>
          <w:b/>
          <w:bCs/>
          <w:color w:val="252525"/>
        </w:rPr>
        <w:t>Pathophysiology:</w:t>
      </w:r>
    </w:p>
    <w:p w14:paraId="58848991" w14:textId="77777777" w:rsidR="003F627B" w:rsidRPr="0053592F" w:rsidRDefault="003F627B" w:rsidP="00373622">
      <w:pPr>
        <w:spacing w:before="100" w:beforeAutospacing="1" w:after="100" w:afterAutospacing="1" w:line="276" w:lineRule="auto"/>
        <w:jc w:val="both"/>
        <w:rPr>
          <w:color w:val="252525"/>
        </w:rPr>
      </w:pPr>
      <w:r w:rsidRPr="0053592F">
        <w:rPr>
          <w:color w:val="252525"/>
        </w:rPr>
        <w:t>There are two interconnected explanations for the occurrence of aplastic anaemia: the first is the external immune-mediated suppression of hematopoietic stem cells, and the second is the internal abnormality of marrow progenitors [12].</w:t>
      </w:r>
    </w:p>
    <w:p w14:paraId="6F9E5385" w14:textId="77777777" w:rsidR="003F627B" w:rsidRPr="0053592F" w:rsidRDefault="003F627B" w:rsidP="00373622">
      <w:pPr>
        <w:spacing w:before="100" w:beforeAutospacing="1" w:after="100" w:afterAutospacing="1" w:line="276" w:lineRule="auto"/>
        <w:jc w:val="both"/>
        <w:rPr>
          <w:color w:val="252525"/>
        </w:rPr>
      </w:pPr>
      <w:r w:rsidRPr="0053592F">
        <w:rPr>
          <w:color w:val="252525"/>
        </w:rPr>
        <w:t>Hematopoietic stem cells that have been affected undergo maturation into T-helper cells (T1) that exhibit self-reactivity. These T1 cells subsequently release cytokines, particularly interferon (IFN) and tumour necrosis factor (TNF), in order to initiate a cytotoxic cascade. The purpose of this cascade is to eliminate and inhibit the function of various hematopoietic stem cells [13,14]. The specific antigens that T1 cells selectively recognise remain uncertain; however, evidence suggests that one such antigen is the glucose phosphate inositol (GPI)-linked protein located on cellular membranes. In addition, it has been observed that the application of immunosuppressive therapy specifically aimed at T-cells results in a positive outcome in approximately two-thirds of individuals diagnosed with idiopathic aplastic anaemia [14].</w:t>
      </w:r>
    </w:p>
    <w:p w14:paraId="27F6F8F9" w14:textId="77777777" w:rsidR="003F627B" w:rsidRPr="0053592F" w:rsidRDefault="003F627B" w:rsidP="00373622">
      <w:pPr>
        <w:spacing w:before="100" w:beforeAutospacing="1" w:after="100" w:afterAutospacing="1" w:line="276" w:lineRule="auto"/>
        <w:jc w:val="both"/>
        <w:rPr>
          <w:color w:val="252525"/>
        </w:rPr>
      </w:pPr>
      <w:r w:rsidRPr="0053592F">
        <w:rPr>
          <w:color w:val="252525"/>
        </w:rPr>
        <w:t xml:space="preserve">According to the second theory, stem cells that possess inherent defects experience a loss of their ability to undergo differentiation and proliferation. The failure to undergo dedifferentiation has the potential to result in the development of hematologic neoplasms through clonal evolution. The </w:t>
      </w:r>
      <w:r w:rsidRPr="0053592F">
        <w:rPr>
          <w:color w:val="252525"/>
        </w:rPr>
        <w:lastRenderedPageBreak/>
        <w:t>presence of telomere deficiencies, which are integral to the process of cell division, can result in the premature depletion of hematopoietic stem cells and the development of marrow aplasia [15].</w:t>
      </w:r>
    </w:p>
    <w:p w14:paraId="3D359C6A" w14:textId="77777777" w:rsidR="005D246C" w:rsidRDefault="003F627B" w:rsidP="00373622">
      <w:pPr>
        <w:spacing w:before="100" w:beforeAutospacing="1" w:after="100" w:afterAutospacing="1" w:line="276" w:lineRule="auto"/>
        <w:jc w:val="both"/>
        <w:rPr>
          <w:color w:val="252525"/>
        </w:rPr>
      </w:pPr>
      <w:r w:rsidRPr="0053592F">
        <w:rPr>
          <w:color w:val="252525"/>
        </w:rPr>
        <w:t>The bone marrow microenvironment refers to the specialised cellular and extracellular components that exist within the bone marrow and play a crucial role in supporting its development and maintenance.</w:t>
      </w:r>
    </w:p>
    <w:p w14:paraId="2A2CCAB3" w14:textId="6535324B" w:rsidR="003F627B" w:rsidRPr="0053592F" w:rsidRDefault="003F627B" w:rsidP="00373622">
      <w:pPr>
        <w:spacing w:before="100" w:beforeAutospacing="1" w:after="100" w:afterAutospacing="1" w:line="276" w:lineRule="auto"/>
        <w:jc w:val="both"/>
        <w:rPr>
          <w:color w:val="252525"/>
        </w:rPr>
      </w:pPr>
      <w:r w:rsidRPr="0053592F">
        <w:rPr>
          <w:color w:val="252525"/>
        </w:rPr>
        <w:t xml:space="preserve">The bone marrow microenvironment is a crucial determinant in the generation of viable stem cells. The key constituents encompass stromal cells, the extracellular matrix, and localised cytokine gradients [16]. The hematopoietic and non-hematopoietic components of the bone marrow exhibit close interplay, contributing to the support and regulation of hematopoietic equilibrium [17]. Aplastic anaemia patients exhibit not only reduced quantities of hematopoietic stem cells but also modifications in their hematopoietic niche. These alterations arise from the heightened presence of cytotoxic T-cells, specifically the polyclonal expansion of dysregulated CD4+ T-cells, which initiate apoptosis in bone marrow cells. Furthermore, abnormal production of interferon, tumour necrosis factor, and transforming growth factor contributes to an increase in adipocyte numbers and a decrease in pericyte numbers. These changes in the hematopoietic niche also contribute to the suppression of </w:t>
      </w:r>
      <w:r w:rsidR="00AD783D" w:rsidRPr="0053592F">
        <w:rPr>
          <w:color w:val="252525"/>
        </w:rPr>
        <w:t>haematopoiesis</w:t>
      </w:r>
      <w:r w:rsidRPr="0053592F">
        <w:rPr>
          <w:color w:val="252525"/>
        </w:rPr>
        <w:t xml:space="preserve"> [18,19]</w:t>
      </w:r>
      <w:r w:rsidR="003002E4">
        <w:rPr>
          <w:color w:val="252525"/>
        </w:rPr>
        <w:t>.</w:t>
      </w:r>
    </w:p>
    <w:p w14:paraId="136905BA" w14:textId="67C2FF74" w:rsidR="003F627B" w:rsidRPr="0053592F" w:rsidRDefault="003F627B" w:rsidP="00373622">
      <w:pPr>
        <w:spacing w:before="100" w:beforeAutospacing="1" w:after="100" w:afterAutospacing="1" w:line="276" w:lineRule="auto"/>
        <w:jc w:val="both"/>
        <w:rPr>
          <w:b/>
          <w:bCs/>
          <w:color w:val="252525"/>
        </w:rPr>
      </w:pPr>
      <w:r w:rsidRPr="0053592F">
        <w:rPr>
          <w:b/>
          <w:bCs/>
          <w:color w:val="252525"/>
        </w:rPr>
        <w:t>Diagn</w:t>
      </w:r>
      <w:r w:rsidR="00BD77BD">
        <w:rPr>
          <w:b/>
          <w:bCs/>
          <w:color w:val="252525"/>
        </w:rPr>
        <w:t>ostic approach</w:t>
      </w:r>
      <w:r w:rsidRPr="0053592F">
        <w:rPr>
          <w:b/>
          <w:bCs/>
          <w:color w:val="252525"/>
        </w:rPr>
        <w:t>:</w:t>
      </w:r>
    </w:p>
    <w:p w14:paraId="3F0D7C19" w14:textId="77777777" w:rsidR="003F627B" w:rsidRPr="0079029A" w:rsidRDefault="003F627B" w:rsidP="00373622">
      <w:pPr>
        <w:spacing w:before="100" w:beforeAutospacing="1" w:after="100" w:afterAutospacing="1" w:line="276" w:lineRule="auto"/>
        <w:jc w:val="both"/>
        <w:rPr>
          <w:b/>
          <w:bCs/>
          <w:color w:val="252525"/>
        </w:rPr>
      </w:pPr>
      <w:r w:rsidRPr="0079029A">
        <w:rPr>
          <w:b/>
          <w:bCs/>
          <w:color w:val="252525"/>
        </w:rPr>
        <w:t>Clinical history, physical examination, biochemical tests, and bone marrow examination:</w:t>
      </w:r>
    </w:p>
    <w:p w14:paraId="035EA886" w14:textId="311EF309" w:rsidR="003F627B" w:rsidRPr="0053592F" w:rsidRDefault="003F627B" w:rsidP="00373622">
      <w:pPr>
        <w:spacing w:before="100" w:beforeAutospacing="1" w:after="100" w:afterAutospacing="1" w:line="276" w:lineRule="auto"/>
        <w:jc w:val="both"/>
        <w:rPr>
          <w:color w:val="252525"/>
        </w:rPr>
      </w:pPr>
      <w:r w:rsidRPr="0053592F">
        <w:rPr>
          <w:color w:val="252525"/>
        </w:rPr>
        <w:t xml:space="preserve">Aplastic anaemia manifests in individuals of all age groups, exhibiting an equal prevalence across genders and races. The presence of splenomegaly is not observed, and its existence indicates the possibility of an alternative diagnosis. The examination of the peripheral blood smear reveals the presence of normocytic and normochromic anaemia, along with reticulocytopenia, neutropenia, and thrombocytopenia. The bone marrow examination reveals a decrease in cellularity, accompanied by significant suppression of </w:t>
      </w:r>
      <w:r w:rsidR="00AD783D" w:rsidRPr="0053592F">
        <w:rPr>
          <w:color w:val="252525"/>
        </w:rPr>
        <w:t>haematopoiesis</w:t>
      </w:r>
      <w:r w:rsidRPr="0053592F">
        <w:rPr>
          <w:color w:val="252525"/>
        </w:rPr>
        <w:t xml:space="preserve"> [Figure 1]. The absence of cytologic abnormalities is indicative of the absence of an underlying haematological disorder. In order to establish a conclusive diagnosis of aplastic anaemia, it is imperative to conduct a bone marrow biopsy [20].</w:t>
      </w:r>
    </w:p>
    <w:p w14:paraId="7D2E3E6D" w14:textId="3384D917" w:rsidR="00305A60" w:rsidRPr="0053592F" w:rsidRDefault="002B7A57" w:rsidP="00373622">
      <w:pPr>
        <w:spacing w:before="166" w:after="166" w:line="276" w:lineRule="auto"/>
        <w:jc w:val="both"/>
        <w:rPr>
          <w:color w:val="000000" w:themeColor="text1"/>
        </w:rPr>
      </w:pPr>
      <w:r w:rsidRPr="0053592F">
        <w:rPr>
          <w:noProof/>
          <w:color w:val="000000" w:themeColor="text1"/>
        </w:rPr>
        <w:lastRenderedPageBreak/>
        <w:drawing>
          <wp:inline distT="0" distB="0" distL="0" distR="0" wp14:anchorId="0A89247F" wp14:editId="51B153CD">
            <wp:extent cx="5943600" cy="2026692"/>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040239" cy="2059645"/>
                    </a:xfrm>
                    <a:prstGeom prst="rect">
                      <a:avLst/>
                    </a:prstGeom>
                  </pic:spPr>
                </pic:pic>
              </a:graphicData>
            </a:graphic>
          </wp:inline>
        </w:drawing>
      </w:r>
    </w:p>
    <w:p w14:paraId="2B3DEB3C" w14:textId="598C4AB1" w:rsidR="00B0669B" w:rsidRPr="0053592F" w:rsidRDefault="00B0669B" w:rsidP="00373622">
      <w:pPr>
        <w:spacing w:before="100" w:beforeAutospacing="1" w:after="100" w:afterAutospacing="1" w:line="276" w:lineRule="auto"/>
        <w:jc w:val="both"/>
        <w:rPr>
          <w:color w:val="252525"/>
        </w:rPr>
      </w:pPr>
      <w:r w:rsidRPr="0053592F">
        <w:rPr>
          <w:color w:val="252525"/>
        </w:rPr>
        <w:t xml:space="preserve">Figure 1: (A) Peripheral blood smear of a patient with aplastic anaemia showing pancytopenia; (B) Bone marrow aspirate smears showing hypocellular marrow fragments with marked suppression of </w:t>
      </w:r>
      <w:r w:rsidR="00F013CE" w:rsidRPr="0053592F">
        <w:rPr>
          <w:color w:val="252525"/>
        </w:rPr>
        <w:t>haematopoiesis</w:t>
      </w:r>
      <w:r w:rsidRPr="0053592F">
        <w:rPr>
          <w:color w:val="252525"/>
        </w:rPr>
        <w:t>; (C) Bone marrow biopsy of a patient with aplastic anaemia showing markedly hypocellular marrow spaces filled with fat cells.</w:t>
      </w:r>
    </w:p>
    <w:p w14:paraId="7C7E9887" w14:textId="77777777" w:rsidR="00E03067" w:rsidRDefault="00E03067" w:rsidP="00373622">
      <w:pPr>
        <w:spacing w:before="100" w:beforeAutospacing="1" w:after="100" w:afterAutospacing="1" w:line="276" w:lineRule="auto"/>
        <w:jc w:val="both"/>
        <w:rPr>
          <w:color w:val="252525"/>
        </w:rPr>
      </w:pPr>
    </w:p>
    <w:p w14:paraId="01761E37" w14:textId="17A3A85C" w:rsidR="00B0669B" w:rsidRPr="0053592F" w:rsidRDefault="00B0669B" w:rsidP="00373622">
      <w:pPr>
        <w:spacing w:before="100" w:beforeAutospacing="1" w:after="100" w:afterAutospacing="1" w:line="276" w:lineRule="auto"/>
        <w:jc w:val="both"/>
        <w:rPr>
          <w:color w:val="252525"/>
        </w:rPr>
      </w:pPr>
      <w:r w:rsidRPr="0053592F">
        <w:rPr>
          <w:color w:val="252525"/>
        </w:rPr>
        <w:t>Before looking at the bone marrow, a full history of iatrogenic exposure, cytotoxic treatment, and current and past illnesses with or without lymphadenopathy is needed. Blood tests are usually requested in order to obtain diagnostic clues. Commonly asked blood tests include those assessing renal function, liver enzymes, thyroid function, vitamin B12 levels, and folic acid levels. These biochemical tests, in conjunction with the patient's medical history and the results of an examination, could be helpful in establishing the cause of aplastic anaemia [1,21].</w:t>
      </w:r>
    </w:p>
    <w:p w14:paraId="2B71C70C" w14:textId="7D37EC51" w:rsidR="00B0669B" w:rsidRDefault="00B0669B" w:rsidP="00373622">
      <w:pPr>
        <w:spacing w:before="100" w:beforeAutospacing="1" w:after="100" w:afterAutospacing="1" w:line="276" w:lineRule="auto"/>
        <w:jc w:val="both"/>
        <w:rPr>
          <w:color w:val="252525"/>
        </w:rPr>
      </w:pPr>
      <w:r w:rsidRPr="0053592F">
        <w:rPr>
          <w:color w:val="252525"/>
        </w:rPr>
        <w:t>Studies of immunophenotyping and cytogenetic testing with the use of flow cytometry and fluorescence in situ hybridization (FISH) are helpful when attempting to rule out hematologic illnesses as the cause of pancytopenia [21,22].</w:t>
      </w:r>
    </w:p>
    <w:p w14:paraId="6571CA0C" w14:textId="736521AD" w:rsidR="0099408F" w:rsidRPr="0099408F" w:rsidRDefault="0099408F" w:rsidP="00373622">
      <w:pPr>
        <w:spacing w:before="100" w:beforeAutospacing="1" w:after="100" w:afterAutospacing="1" w:line="276" w:lineRule="auto"/>
        <w:jc w:val="both"/>
        <w:rPr>
          <w:b/>
          <w:bCs/>
          <w:color w:val="252525"/>
        </w:rPr>
      </w:pPr>
      <w:r w:rsidRPr="0099408F">
        <w:rPr>
          <w:b/>
          <w:bCs/>
          <w:color w:val="252525"/>
        </w:rPr>
        <w:t>Treatment:</w:t>
      </w:r>
    </w:p>
    <w:p w14:paraId="46EDF180" w14:textId="77777777" w:rsidR="00B0669B" w:rsidRPr="0053592F" w:rsidRDefault="00B0669B" w:rsidP="00373622">
      <w:pPr>
        <w:spacing w:before="100" w:beforeAutospacing="1" w:after="100" w:afterAutospacing="1" w:line="276" w:lineRule="auto"/>
        <w:jc w:val="both"/>
        <w:rPr>
          <w:color w:val="252525"/>
        </w:rPr>
      </w:pPr>
      <w:r w:rsidRPr="0053592F">
        <w:rPr>
          <w:color w:val="252525"/>
        </w:rPr>
        <w:t>The treatment of aplastic anaemia is based on the primary cause. Certain medications have been withdrawn from the market in the United States due to their links with aplastic anaemia, such as Ticlopidine, a platelet aggregation inhibitor utilised for primary or secondary stroke prevention, as well as dual antiplatelet therapy after percutaneous coronary intervention, and phenylbutazone, a nonsteroidal anti-inflammatory drug employed as an analgesic and antipyretic [23]. The occurrence of aplastic anaemia in relation to pregnancy is typically of a temporary nature and resolves upon the completion of delivery [24,25].</w:t>
      </w:r>
    </w:p>
    <w:p w14:paraId="31568E2F" w14:textId="77777777" w:rsidR="00B0669B" w:rsidRPr="0053592F" w:rsidRDefault="00B0669B" w:rsidP="00373622">
      <w:pPr>
        <w:spacing w:before="100" w:beforeAutospacing="1" w:after="100" w:afterAutospacing="1" w:line="276" w:lineRule="auto"/>
        <w:jc w:val="both"/>
        <w:rPr>
          <w:color w:val="252525"/>
        </w:rPr>
      </w:pPr>
      <w:r w:rsidRPr="0053592F">
        <w:rPr>
          <w:color w:val="252525"/>
        </w:rPr>
        <w:t xml:space="preserve">The treatment approach for patients who do not exhibit any reversible cause is contingent upon several factors, including the patient's age, severity of the disease, availability of a suitable donor, </w:t>
      </w:r>
      <w:r w:rsidRPr="0053592F">
        <w:rPr>
          <w:color w:val="252525"/>
        </w:rPr>
        <w:lastRenderedPageBreak/>
        <w:t xml:space="preserve">and their performance status. According to previous research, it is recommended that individuals who are under the age of 50 and in good overall health but are afflicted with a severe illness receive allogeneic hematopoietic cell transplant (HCT) as a priority before commencing initial immunosuppressive therapy [23]. The administration of full-dose immunosuppressive therapy is employed for older patients aged 50 years or older who are in a state of good health, as well as for young patients who do not possess a hematopoietic cell transplant (HCT) donor. This therapeutic approach involves the utilisation of </w:t>
      </w:r>
      <w:proofErr w:type="spellStart"/>
      <w:r w:rsidRPr="0053592F">
        <w:rPr>
          <w:color w:val="252525"/>
        </w:rPr>
        <w:t>eltrombopag</w:t>
      </w:r>
      <w:proofErr w:type="spellEnd"/>
      <w:r w:rsidRPr="0053592F">
        <w:rPr>
          <w:color w:val="252525"/>
        </w:rPr>
        <w:t xml:space="preserve">, horse/rabbit anti-thymocyte globulin (ATG), cyclosporine A, and prednisone. This combination can be customised to include either single-agent </w:t>
      </w:r>
      <w:proofErr w:type="spellStart"/>
      <w:r w:rsidRPr="0053592F">
        <w:rPr>
          <w:color w:val="252525"/>
        </w:rPr>
        <w:t>eltrombopag</w:t>
      </w:r>
      <w:proofErr w:type="spellEnd"/>
      <w:r w:rsidRPr="0053592F">
        <w:rPr>
          <w:color w:val="252525"/>
        </w:rPr>
        <w:t xml:space="preserve">, anti-thymocyte globulin (ATG), or cyclosporine A for individuals with compromised health conditions. </w:t>
      </w:r>
      <w:proofErr w:type="spellStart"/>
      <w:r w:rsidRPr="0053592F">
        <w:rPr>
          <w:color w:val="252525"/>
        </w:rPr>
        <w:t>Eltrombopag</w:t>
      </w:r>
      <w:proofErr w:type="spellEnd"/>
      <w:r w:rsidRPr="0053592F">
        <w:rPr>
          <w:color w:val="252525"/>
        </w:rPr>
        <w:t xml:space="preserve"> is a pharmacological agent classified as a non-peptide agonist of thrombopoietin. Its primary mechanism of action involves augmenting platelet counts and stimulating intracellular signal transduction pathways, thereby promoting the proliferation and differentiation of progenitor cells in the bone marrow [24]. The administration of anti-thymocyte globulin (ATG) results in the eradication of T-lymphocytes that are responsive to antigens, leading to the stimulation of hematologic reactions in individuals with aplastic anaemia. Cyclosporine A effectively suppresses the synthesis and secretion of interleukin-II (IL-2), thereby impeding the activation of quiescent T-lymphocytes induced by IL-2. Ongoing clinical trials are currently being conducted to investigate the efficacy of alternative therapies as secondary treatment options [25,26].</w:t>
      </w:r>
    </w:p>
    <w:p w14:paraId="60997897" w14:textId="77777777" w:rsidR="00B0669B" w:rsidRPr="0053592F" w:rsidRDefault="00B0669B" w:rsidP="00373622">
      <w:pPr>
        <w:spacing w:before="100" w:beforeAutospacing="1" w:after="100" w:afterAutospacing="1" w:line="276" w:lineRule="auto"/>
        <w:jc w:val="both"/>
        <w:rPr>
          <w:color w:val="252525"/>
        </w:rPr>
      </w:pPr>
      <w:r w:rsidRPr="0053592F">
        <w:rPr>
          <w:color w:val="252525"/>
        </w:rPr>
        <w:t>Supportive care encompasses the administration of infection prophylaxis and treatment, as well as the blood transfusions. It is recommended to closely observe individuals for the development of secondary hemochromatosis and, when appropriate, administer iron chelators. The utilisation of growth factors, such as erythropoietin or granulocyte colony-stimulating factors, is prohibited due to insufficient precursor cells available to elicit adequate responses [27].</w:t>
      </w:r>
    </w:p>
    <w:p w14:paraId="014BE4C9" w14:textId="047D67B2" w:rsidR="00541C26" w:rsidRPr="0053592F" w:rsidRDefault="00B0669B" w:rsidP="00373622">
      <w:pPr>
        <w:spacing w:before="100" w:beforeAutospacing="1" w:after="100" w:afterAutospacing="1" w:line="276" w:lineRule="auto"/>
        <w:jc w:val="both"/>
        <w:rPr>
          <w:b/>
          <w:bCs/>
          <w:color w:val="252525"/>
        </w:rPr>
      </w:pPr>
      <w:r w:rsidRPr="0053592F">
        <w:rPr>
          <w:b/>
          <w:bCs/>
          <w:color w:val="252525"/>
        </w:rPr>
        <w:t>Follow-up: </w:t>
      </w:r>
    </w:p>
    <w:p w14:paraId="6A23FDFD" w14:textId="5433542F" w:rsidR="00B0669B" w:rsidRPr="0053592F" w:rsidRDefault="00B0669B" w:rsidP="00373622">
      <w:pPr>
        <w:spacing w:before="100" w:beforeAutospacing="1" w:after="100" w:afterAutospacing="1" w:line="276" w:lineRule="auto"/>
        <w:jc w:val="both"/>
        <w:rPr>
          <w:color w:val="252525"/>
        </w:rPr>
      </w:pPr>
      <w:r w:rsidRPr="0053592F">
        <w:rPr>
          <w:color w:val="252525"/>
        </w:rPr>
        <w:t xml:space="preserve">Regular monitoring of complete blood counts is necessary to assess the ongoing remission status of the patient. A significant proportion of individuals diagnosed with aplastic anaemia exhibit cellular clones that possess distinct characteristics associated with paroxysmal nocturnal </w:t>
      </w:r>
      <w:r w:rsidR="00AD783D" w:rsidRPr="0053592F">
        <w:rPr>
          <w:color w:val="252525"/>
        </w:rPr>
        <w:t>haemoglobinuria</w:t>
      </w:r>
      <w:r w:rsidRPr="0053592F">
        <w:rPr>
          <w:color w:val="252525"/>
        </w:rPr>
        <w:t xml:space="preserve"> (PNH), an uncommon disorder characterised by anaemia accompanied by thrombocytopenia and/or thrombosis</w:t>
      </w:r>
      <w:r w:rsidR="00F42D62" w:rsidRPr="0053592F">
        <w:rPr>
          <w:color w:val="252525"/>
        </w:rPr>
        <w:t xml:space="preserve"> [28]</w:t>
      </w:r>
      <w:r w:rsidRPr="0053592F">
        <w:rPr>
          <w:color w:val="252525"/>
        </w:rPr>
        <w:t xml:space="preserve">. The potential coexistence of </w:t>
      </w:r>
      <w:r w:rsidR="001A134A" w:rsidRPr="0053592F">
        <w:rPr>
          <w:color w:val="252525"/>
        </w:rPr>
        <w:t>aplastic anemia</w:t>
      </w:r>
      <w:r w:rsidRPr="0053592F">
        <w:rPr>
          <w:color w:val="252525"/>
        </w:rPr>
        <w:t> and  </w:t>
      </w:r>
      <w:r w:rsidR="001A134A" w:rsidRPr="0053592F">
        <w:rPr>
          <w:color w:val="252525"/>
        </w:rPr>
        <w:t xml:space="preserve">paroxysmal nocturnal </w:t>
      </w:r>
      <w:r w:rsidR="00AD783D" w:rsidRPr="0053592F">
        <w:rPr>
          <w:color w:val="252525"/>
        </w:rPr>
        <w:t>haemoglobinuria</w:t>
      </w:r>
      <w:r w:rsidRPr="0053592F">
        <w:rPr>
          <w:color w:val="252525"/>
        </w:rPr>
        <w:t> has been postulated as a mechanism employed by the bone marrow to evade immune-mediated destruction [28-30].</w:t>
      </w:r>
    </w:p>
    <w:p w14:paraId="01D3BC0A" w14:textId="77777777" w:rsidR="00B0669B" w:rsidRPr="0053592F" w:rsidRDefault="00B0669B" w:rsidP="00373622">
      <w:pPr>
        <w:spacing w:before="100" w:beforeAutospacing="1" w:after="100" w:afterAutospacing="1" w:line="276" w:lineRule="auto"/>
        <w:jc w:val="both"/>
        <w:rPr>
          <w:b/>
          <w:bCs/>
          <w:color w:val="252525"/>
        </w:rPr>
      </w:pPr>
      <w:r w:rsidRPr="0053592F">
        <w:rPr>
          <w:b/>
          <w:bCs/>
          <w:color w:val="252525"/>
        </w:rPr>
        <w:t>Prognosis:</w:t>
      </w:r>
    </w:p>
    <w:p w14:paraId="32E1790A" w14:textId="029D4E11" w:rsidR="00B0669B" w:rsidRPr="0053592F" w:rsidRDefault="00B0669B" w:rsidP="00373622">
      <w:pPr>
        <w:spacing w:before="100" w:beforeAutospacing="1" w:after="100" w:afterAutospacing="1" w:line="276" w:lineRule="auto"/>
        <w:jc w:val="both"/>
        <w:rPr>
          <w:color w:val="252525"/>
        </w:rPr>
      </w:pPr>
      <w:r w:rsidRPr="0053592F">
        <w:rPr>
          <w:color w:val="252525"/>
        </w:rPr>
        <w:t xml:space="preserve">The prognosis of individuals with aplastic anaemia is significantly influenced by factors such as age, the severity of the disease, and the patient's response to initial treatment. Individuals who experience a cessation of drug use or receive treatment for an underlying condition exhibit a </w:t>
      </w:r>
      <w:r w:rsidRPr="0053592F">
        <w:rPr>
          <w:color w:val="252525"/>
        </w:rPr>
        <w:lastRenderedPageBreak/>
        <w:t>clinically stable trajectory, as do those with processes that resolve on their own</w:t>
      </w:r>
      <w:r w:rsidR="003F3A7A" w:rsidRPr="0053592F">
        <w:rPr>
          <w:color w:val="252525"/>
        </w:rPr>
        <w:t xml:space="preserve"> [31]</w:t>
      </w:r>
      <w:r w:rsidRPr="0053592F">
        <w:rPr>
          <w:color w:val="252525"/>
        </w:rPr>
        <w:t>. The survival rate for patients who receive a bone marrow transplant from a compatible donor exceeds 75% over a period of five years. A significant proportion of patients who do not receive treatment experience mortality within a year due to complications directly associated with the disease, such as bleeding, infections, or the development of lymphoproliferative disorders [31–33].</w:t>
      </w:r>
    </w:p>
    <w:p w14:paraId="0EED5153" w14:textId="77777777" w:rsidR="00B0669B" w:rsidRPr="0053592F" w:rsidRDefault="00B0669B" w:rsidP="00373622">
      <w:pPr>
        <w:spacing w:before="100" w:beforeAutospacing="1" w:after="100" w:afterAutospacing="1" w:line="276" w:lineRule="auto"/>
        <w:jc w:val="both"/>
        <w:rPr>
          <w:b/>
          <w:bCs/>
          <w:color w:val="252525"/>
        </w:rPr>
      </w:pPr>
      <w:r w:rsidRPr="0053592F">
        <w:rPr>
          <w:b/>
          <w:bCs/>
          <w:color w:val="252525"/>
        </w:rPr>
        <w:t>Complications: </w:t>
      </w:r>
    </w:p>
    <w:p w14:paraId="0B96665F" w14:textId="77777777" w:rsidR="004133B8" w:rsidRPr="0053592F" w:rsidRDefault="00B0669B" w:rsidP="00373622">
      <w:pPr>
        <w:spacing w:before="100" w:beforeAutospacing="1" w:after="100" w:afterAutospacing="1" w:line="276" w:lineRule="auto"/>
        <w:jc w:val="both"/>
        <w:rPr>
          <w:color w:val="252525"/>
        </w:rPr>
      </w:pPr>
      <w:r w:rsidRPr="0053592F">
        <w:rPr>
          <w:color w:val="252525"/>
        </w:rPr>
        <w:t>The prevailing complications associated with aplastic anaemia encompass haemorrhage, infections, or progression to lymphoproliferative disorders. The management of these conditions involves the implementation of surveillance measures and the administration of symptomatic treatments, such as transfusions, antibiotics, and/or chemotherapy. The management of patients diagnosed with aplastic anaemia is a collaborative effort involving an interprofessional team [34]. The disorder has the potential to impact multiple organ systems. In addition to the primary disease, various complications may arise as a consequence of immunosuppressive therapy and hematopoietic cell transplantation. It is imperative to closely monitor these patients for the occurrence of infections and bleeding. Premenopausal women may experience heavy menstrual bleeding, and it is recommended that they consider hormonal therapy as a potential treatment option. In conclusion, it is imperative to provide comprehensive education to all patients regarding the importance of upholding proper hand and personal hygiene practises, as they are particularly susceptible to infections [35].</w:t>
      </w:r>
    </w:p>
    <w:p w14:paraId="52647956" w14:textId="3247E7DA" w:rsidR="000173EE" w:rsidRPr="0053592F" w:rsidRDefault="00A12E1C" w:rsidP="00373622">
      <w:pPr>
        <w:spacing w:before="100" w:beforeAutospacing="1" w:after="100" w:afterAutospacing="1" w:line="276" w:lineRule="auto"/>
        <w:jc w:val="both"/>
        <w:rPr>
          <w:color w:val="252525"/>
        </w:rPr>
      </w:pPr>
      <w:r w:rsidRPr="0053592F">
        <w:rPr>
          <w:b/>
          <w:bCs/>
          <w:color w:val="000000" w:themeColor="text1"/>
        </w:rPr>
        <w:t>References:</w:t>
      </w:r>
    </w:p>
    <w:p w14:paraId="201BEF79" w14:textId="53391D43" w:rsidR="008476EC" w:rsidRPr="0053592F" w:rsidRDefault="008476EC" w:rsidP="00373622">
      <w:pPr>
        <w:spacing w:line="276" w:lineRule="auto"/>
        <w:jc w:val="both"/>
      </w:pPr>
      <w:r w:rsidRPr="0053592F">
        <w:rPr>
          <w:color w:val="222222"/>
          <w:shd w:val="clear" w:color="auto" w:fill="FFFFFF"/>
        </w:rPr>
        <w:t xml:space="preserve">1. </w:t>
      </w:r>
      <w:proofErr w:type="spellStart"/>
      <w:r w:rsidRPr="0053592F">
        <w:rPr>
          <w:color w:val="222222"/>
          <w:shd w:val="clear" w:color="auto" w:fill="FFFFFF"/>
        </w:rPr>
        <w:t>Leguit</w:t>
      </w:r>
      <w:proofErr w:type="spellEnd"/>
      <w:r w:rsidRPr="0053592F">
        <w:rPr>
          <w:color w:val="222222"/>
          <w:shd w:val="clear" w:color="auto" w:fill="FFFFFF"/>
        </w:rPr>
        <w:t xml:space="preserve"> RJ, Van Den Tweel JG. The pathology of bone marrow failure. Histopathology. 2010 Nov;57(5):655-70.</w:t>
      </w:r>
    </w:p>
    <w:p w14:paraId="3AEFE27E" w14:textId="1042BA5C" w:rsidR="009E20EB" w:rsidRPr="0053592F" w:rsidRDefault="00E87AC9" w:rsidP="00373622">
      <w:pPr>
        <w:spacing w:line="276" w:lineRule="auto"/>
        <w:jc w:val="both"/>
      </w:pPr>
      <w:r w:rsidRPr="0053592F">
        <w:rPr>
          <w:color w:val="000000" w:themeColor="text1"/>
        </w:rPr>
        <w:t>2.</w:t>
      </w:r>
      <w:r w:rsidR="004E392E" w:rsidRPr="0053592F">
        <w:rPr>
          <w:color w:val="212121"/>
          <w:shd w:val="clear" w:color="auto" w:fill="FFFFFF"/>
        </w:rPr>
        <w:t xml:space="preserve"> </w:t>
      </w:r>
      <w:proofErr w:type="spellStart"/>
      <w:r w:rsidR="009E20EB" w:rsidRPr="0053592F">
        <w:rPr>
          <w:color w:val="222222"/>
          <w:shd w:val="clear" w:color="auto" w:fill="FFFFFF"/>
        </w:rPr>
        <w:t>Bhargawa</w:t>
      </w:r>
      <w:proofErr w:type="spellEnd"/>
      <w:r w:rsidR="009E20EB" w:rsidRPr="0053592F">
        <w:rPr>
          <w:color w:val="222222"/>
          <w:shd w:val="clear" w:color="auto" w:fill="FFFFFF"/>
        </w:rPr>
        <w:t xml:space="preserve"> SK, Singh A, Yadav G, Kushwaha R, Verma SP, Tripathi AK, et al. Aplastic anemia severity and IL-6 and IL-8 blood levels. Discoveries. 2022;10(4).</w:t>
      </w:r>
    </w:p>
    <w:p w14:paraId="417D71E5" w14:textId="3FAFF75D" w:rsidR="00711721" w:rsidRPr="0053592F" w:rsidRDefault="004E392E" w:rsidP="00373622">
      <w:pPr>
        <w:spacing w:line="276" w:lineRule="auto"/>
        <w:jc w:val="both"/>
        <w:rPr>
          <w:color w:val="222222"/>
          <w:shd w:val="clear" w:color="auto" w:fill="FFFFFF"/>
        </w:rPr>
      </w:pPr>
      <w:r w:rsidRPr="0053592F">
        <w:rPr>
          <w:color w:val="000000" w:themeColor="text1"/>
        </w:rPr>
        <w:t>3.</w:t>
      </w:r>
      <w:r w:rsidR="000A75A1" w:rsidRPr="0053592F">
        <w:rPr>
          <w:color w:val="000000"/>
          <w:shd w:val="clear" w:color="auto" w:fill="FFFFFF"/>
        </w:rPr>
        <w:t xml:space="preserve"> </w:t>
      </w:r>
      <w:r w:rsidR="00711721" w:rsidRPr="0053592F">
        <w:rPr>
          <w:color w:val="222222"/>
          <w:shd w:val="clear" w:color="auto" w:fill="FFFFFF"/>
        </w:rPr>
        <w:t xml:space="preserve">Guinan EC. Diagnosis and management of aplastic anemia. </w:t>
      </w:r>
      <w:proofErr w:type="spellStart"/>
      <w:r w:rsidR="00711721" w:rsidRPr="0053592F">
        <w:rPr>
          <w:color w:val="222222"/>
          <w:shd w:val="clear" w:color="auto" w:fill="FFFFFF"/>
        </w:rPr>
        <w:t>Hematology</w:t>
      </w:r>
      <w:proofErr w:type="spellEnd"/>
      <w:r w:rsidR="00711721" w:rsidRPr="0053592F">
        <w:rPr>
          <w:color w:val="222222"/>
          <w:shd w:val="clear" w:color="auto" w:fill="FFFFFF"/>
        </w:rPr>
        <w:t xml:space="preserve"> 2010, the American Society of </w:t>
      </w:r>
      <w:proofErr w:type="spellStart"/>
      <w:r w:rsidR="00711721" w:rsidRPr="0053592F">
        <w:rPr>
          <w:color w:val="222222"/>
          <w:shd w:val="clear" w:color="auto" w:fill="FFFFFF"/>
        </w:rPr>
        <w:t>Hematology</w:t>
      </w:r>
      <w:proofErr w:type="spellEnd"/>
      <w:r w:rsidR="00711721" w:rsidRPr="0053592F">
        <w:rPr>
          <w:color w:val="222222"/>
          <w:shd w:val="clear" w:color="auto" w:fill="FFFFFF"/>
        </w:rPr>
        <w:t xml:space="preserve"> Education Program Book. 2011 10;2011(1):76-81.</w:t>
      </w:r>
    </w:p>
    <w:p w14:paraId="2B50E664" w14:textId="44CD7996" w:rsidR="00E11DD2" w:rsidRPr="0053592F" w:rsidRDefault="00E11DD2" w:rsidP="00373622">
      <w:pPr>
        <w:spacing w:line="276" w:lineRule="auto"/>
        <w:jc w:val="both"/>
      </w:pPr>
      <w:r w:rsidRPr="0053592F">
        <w:rPr>
          <w:color w:val="222222"/>
          <w:shd w:val="clear" w:color="auto" w:fill="FFFFFF"/>
        </w:rPr>
        <w:t xml:space="preserve">4. </w:t>
      </w:r>
      <w:proofErr w:type="spellStart"/>
      <w:r w:rsidRPr="0053592F">
        <w:rPr>
          <w:color w:val="222222"/>
          <w:shd w:val="clear" w:color="auto" w:fill="FFFFFF"/>
        </w:rPr>
        <w:t>DeZern</w:t>
      </w:r>
      <w:proofErr w:type="spellEnd"/>
      <w:r w:rsidRPr="0053592F">
        <w:rPr>
          <w:color w:val="222222"/>
          <w:shd w:val="clear" w:color="auto" w:fill="FFFFFF"/>
        </w:rPr>
        <w:t xml:space="preserve"> AE, </w:t>
      </w:r>
      <w:proofErr w:type="spellStart"/>
      <w:r w:rsidRPr="0053592F">
        <w:rPr>
          <w:color w:val="222222"/>
          <w:shd w:val="clear" w:color="auto" w:fill="FFFFFF"/>
        </w:rPr>
        <w:t>Churpek</w:t>
      </w:r>
      <w:proofErr w:type="spellEnd"/>
      <w:r w:rsidRPr="0053592F">
        <w:rPr>
          <w:color w:val="222222"/>
          <w:shd w:val="clear" w:color="auto" w:fill="FFFFFF"/>
        </w:rPr>
        <w:t xml:space="preserve"> JE. Approach to the diagnosis of aplastic anemia. Blood Advances. 202</w:t>
      </w:r>
      <w:r w:rsidR="00EB3A37" w:rsidRPr="0053592F">
        <w:rPr>
          <w:color w:val="222222"/>
          <w:shd w:val="clear" w:color="auto" w:fill="FFFFFF"/>
        </w:rPr>
        <w:t>2</w:t>
      </w:r>
      <w:r w:rsidRPr="0053592F">
        <w:rPr>
          <w:color w:val="222222"/>
          <w:shd w:val="clear" w:color="auto" w:fill="FFFFFF"/>
        </w:rPr>
        <w:t>;5(12):2660-71.</w:t>
      </w:r>
    </w:p>
    <w:p w14:paraId="4E6485E0" w14:textId="492030DB" w:rsidR="00E73686" w:rsidRPr="0053592F" w:rsidRDefault="00E73686" w:rsidP="00373622">
      <w:pPr>
        <w:spacing w:line="276" w:lineRule="auto"/>
        <w:jc w:val="both"/>
        <w:rPr>
          <w:color w:val="222222"/>
          <w:shd w:val="clear" w:color="auto" w:fill="FFFFFF"/>
        </w:rPr>
      </w:pPr>
      <w:r w:rsidRPr="0053592F">
        <w:t>5.</w:t>
      </w:r>
      <w:r w:rsidRPr="0053592F">
        <w:rPr>
          <w:color w:val="222222"/>
          <w:shd w:val="clear" w:color="auto" w:fill="FFFFFF"/>
        </w:rPr>
        <w:t xml:space="preserve"> Hartung HD, Olson TS, </w:t>
      </w:r>
      <w:proofErr w:type="spellStart"/>
      <w:r w:rsidRPr="0053592F">
        <w:rPr>
          <w:color w:val="222222"/>
          <w:shd w:val="clear" w:color="auto" w:fill="FFFFFF"/>
        </w:rPr>
        <w:t>Bessler</w:t>
      </w:r>
      <w:proofErr w:type="spellEnd"/>
      <w:r w:rsidRPr="0053592F">
        <w:rPr>
          <w:color w:val="222222"/>
          <w:shd w:val="clear" w:color="auto" w:fill="FFFFFF"/>
        </w:rPr>
        <w:t xml:space="preserve"> M. Acquired aplastic anemia in children. Pediatric Clinics. 2013;60(6):1311-36.</w:t>
      </w:r>
    </w:p>
    <w:p w14:paraId="0F078926" w14:textId="40C164BA" w:rsidR="00264807" w:rsidRPr="0053592F" w:rsidRDefault="00264807" w:rsidP="00373622">
      <w:pPr>
        <w:spacing w:line="276" w:lineRule="auto"/>
        <w:jc w:val="both"/>
      </w:pPr>
      <w:r w:rsidRPr="0053592F">
        <w:rPr>
          <w:color w:val="222222"/>
          <w:shd w:val="clear" w:color="auto" w:fill="FFFFFF"/>
        </w:rPr>
        <w:t>6. Young NS. Acquired aplastic anemia. Annals of Internal Medicine. 2002;136(7):534-46.</w:t>
      </w:r>
    </w:p>
    <w:p w14:paraId="06C7EDAE" w14:textId="506C2D25" w:rsidR="009F37FD" w:rsidRPr="0053592F" w:rsidRDefault="009F37FD" w:rsidP="00373622">
      <w:pPr>
        <w:spacing w:line="276" w:lineRule="auto"/>
        <w:jc w:val="both"/>
      </w:pPr>
      <w:r w:rsidRPr="0053592F">
        <w:t xml:space="preserve">7. </w:t>
      </w:r>
      <w:r w:rsidRPr="0053592F">
        <w:rPr>
          <w:color w:val="222222"/>
          <w:shd w:val="clear" w:color="auto" w:fill="FFFFFF"/>
        </w:rPr>
        <w:t>Myer SA, Oliva J. Severe aplastic anemia and allogeneic hematopoietic stem cell transplantation. AACN Advanced Critical Care. 2002;13(2):169-91.</w:t>
      </w:r>
    </w:p>
    <w:p w14:paraId="55CD67F8" w14:textId="3D89401A" w:rsidR="00804C4B" w:rsidRPr="0053592F" w:rsidRDefault="009F37FD" w:rsidP="00373622">
      <w:pPr>
        <w:spacing w:line="276" w:lineRule="auto"/>
        <w:jc w:val="both"/>
        <w:rPr>
          <w:color w:val="222222"/>
          <w:shd w:val="clear" w:color="auto" w:fill="FFFFFF"/>
        </w:rPr>
      </w:pPr>
      <w:r w:rsidRPr="0053592F">
        <w:t>8.</w:t>
      </w:r>
      <w:r w:rsidR="00804C4B" w:rsidRPr="0053592F">
        <w:rPr>
          <w:color w:val="222222"/>
          <w:shd w:val="clear" w:color="auto" w:fill="FFFFFF"/>
        </w:rPr>
        <w:t xml:space="preserve"> Young NS, </w:t>
      </w:r>
      <w:proofErr w:type="spellStart"/>
      <w:r w:rsidR="00804C4B" w:rsidRPr="0053592F">
        <w:rPr>
          <w:color w:val="222222"/>
          <w:shd w:val="clear" w:color="auto" w:fill="FFFFFF"/>
        </w:rPr>
        <w:t>Abkowitz</w:t>
      </w:r>
      <w:proofErr w:type="spellEnd"/>
      <w:r w:rsidR="00804C4B" w:rsidRPr="0053592F">
        <w:rPr>
          <w:color w:val="222222"/>
          <w:shd w:val="clear" w:color="auto" w:fill="FFFFFF"/>
        </w:rPr>
        <w:t xml:space="preserve"> JL, </w:t>
      </w:r>
      <w:proofErr w:type="spellStart"/>
      <w:r w:rsidR="00804C4B" w:rsidRPr="0053592F">
        <w:rPr>
          <w:color w:val="222222"/>
          <w:shd w:val="clear" w:color="auto" w:fill="FFFFFF"/>
        </w:rPr>
        <w:t>Luzzatto</w:t>
      </w:r>
      <w:proofErr w:type="spellEnd"/>
      <w:r w:rsidR="00804C4B" w:rsidRPr="0053592F">
        <w:rPr>
          <w:color w:val="222222"/>
          <w:shd w:val="clear" w:color="auto" w:fill="FFFFFF"/>
        </w:rPr>
        <w:t xml:space="preserve"> L. New insights into the pathophysiology of acquired </w:t>
      </w:r>
      <w:proofErr w:type="spellStart"/>
      <w:r w:rsidR="00804C4B" w:rsidRPr="0053592F">
        <w:rPr>
          <w:color w:val="222222"/>
          <w:shd w:val="clear" w:color="auto" w:fill="FFFFFF"/>
        </w:rPr>
        <w:t>cytopenias</w:t>
      </w:r>
      <w:proofErr w:type="spellEnd"/>
      <w:r w:rsidR="00804C4B" w:rsidRPr="0053592F">
        <w:rPr>
          <w:color w:val="222222"/>
          <w:shd w:val="clear" w:color="auto" w:fill="FFFFFF"/>
        </w:rPr>
        <w:t>. ASH Education Program Book. 2000;2000(1):18-38.</w:t>
      </w:r>
    </w:p>
    <w:p w14:paraId="6197699F" w14:textId="1AD1E508" w:rsidR="00A658E2" w:rsidRPr="0053592F" w:rsidRDefault="00A658E2" w:rsidP="00373622">
      <w:pPr>
        <w:spacing w:line="276" w:lineRule="auto"/>
        <w:jc w:val="both"/>
        <w:rPr>
          <w:color w:val="222222"/>
          <w:shd w:val="clear" w:color="auto" w:fill="FFFFFF"/>
        </w:rPr>
      </w:pPr>
      <w:r w:rsidRPr="0053592F">
        <w:rPr>
          <w:color w:val="222222"/>
          <w:shd w:val="clear" w:color="auto" w:fill="FFFFFF"/>
        </w:rPr>
        <w:t xml:space="preserve">9. </w:t>
      </w:r>
      <w:proofErr w:type="spellStart"/>
      <w:r w:rsidRPr="0053592F">
        <w:rPr>
          <w:color w:val="222222"/>
          <w:shd w:val="clear" w:color="auto" w:fill="FFFFFF"/>
        </w:rPr>
        <w:t>Muranski</w:t>
      </w:r>
      <w:proofErr w:type="spellEnd"/>
      <w:r w:rsidRPr="0053592F">
        <w:rPr>
          <w:color w:val="222222"/>
          <w:shd w:val="clear" w:color="auto" w:fill="FFFFFF"/>
        </w:rPr>
        <w:t xml:space="preserve"> P, </w:t>
      </w:r>
      <w:proofErr w:type="spellStart"/>
      <w:r w:rsidRPr="0053592F">
        <w:rPr>
          <w:color w:val="222222"/>
          <w:shd w:val="clear" w:color="auto" w:fill="FFFFFF"/>
        </w:rPr>
        <w:t>Restifo</w:t>
      </w:r>
      <w:proofErr w:type="spellEnd"/>
      <w:r w:rsidRPr="0053592F">
        <w:rPr>
          <w:color w:val="222222"/>
          <w:shd w:val="clear" w:color="auto" w:fill="FFFFFF"/>
        </w:rPr>
        <w:t xml:space="preserve"> NP. Essentials of Th17 cell commitment and plasticity. Blood, The Journal of the American Society of </w:t>
      </w:r>
      <w:proofErr w:type="spellStart"/>
      <w:r w:rsidRPr="0053592F">
        <w:rPr>
          <w:color w:val="222222"/>
          <w:shd w:val="clear" w:color="auto" w:fill="FFFFFF"/>
        </w:rPr>
        <w:t>Hematology</w:t>
      </w:r>
      <w:proofErr w:type="spellEnd"/>
      <w:r w:rsidRPr="0053592F">
        <w:rPr>
          <w:color w:val="222222"/>
          <w:shd w:val="clear" w:color="auto" w:fill="FFFFFF"/>
        </w:rPr>
        <w:t>. 2013;121(13):2402-14.</w:t>
      </w:r>
    </w:p>
    <w:p w14:paraId="44309555" w14:textId="1DA1CC66" w:rsidR="00F11035" w:rsidRPr="0053592F" w:rsidRDefault="00F11035" w:rsidP="00373622">
      <w:pPr>
        <w:spacing w:line="276" w:lineRule="auto"/>
        <w:jc w:val="both"/>
        <w:rPr>
          <w:color w:val="222222"/>
          <w:shd w:val="clear" w:color="auto" w:fill="FFFFFF"/>
        </w:rPr>
      </w:pPr>
      <w:r w:rsidRPr="0053592F">
        <w:rPr>
          <w:color w:val="222222"/>
          <w:shd w:val="clear" w:color="auto" w:fill="FFFFFF"/>
        </w:rPr>
        <w:lastRenderedPageBreak/>
        <w:t xml:space="preserve">10. Grimaldi F, Gandhi S, </w:t>
      </w:r>
      <w:proofErr w:type="spellStart"/>
      <w:r w:rsidRPr="0053592F">
        <w:rPr>
          <w:color w:val="222222"/>
          <w:shd w:val="clear" w:color="auto" w:fill="FFFFFF"/>
        </w:rPr>
        <w:t>Risitano</w:t>
      </w:r>
      <w:proofErr w:type="spellEnd"/>
      <w:r w:rsidRPr="0053592F">
        <w:rPr>
          <w:color w:val="222222"/>
          <w:shd w:val="clear" w:color="auto" w:fill="FFFFFF"/>
        </w:rPr>
        <w:t xml:space="preserve"> AM. Epidemiology of Acquired Bone Marrow Failure. </w:t>
      </w:r>
      <w:proofErr w:type="spellStart"/>
      <w:r w:rsidRPr="0053592F">
        <w:rPr>
          <w:color w:val="222222"/>
          <w:shd w:val="clear" w:color="auto" w:fill="FFFFFF"/>
        </w:rPr>
        <w:t>InCongenital</w:t>
      </w:r>
      <w:proofErr w:type="spellEnd"/>
      <w:r w:rsidRPr="0053592F">
        <w:rPr>
          <w:color w:val="222222"/>
          <w:shd w:val="clear" w:color="auto" w:fill="FFFFFF"/>
        </w:rPr>
        <w:t xml:space="preserve"> and Acquired Bone Marrow Failure 2017;11(1):1-11.</w:t>
      </w:r>
    </w:p>
    <w:p w14:paraId="632B2C16" w14:textId="5FD184C8" w:rsidR="00F11035" w:rsidRPr="0053592F" w:rsidRDefault="00F11035" w:rsidP="00373622">
      <w:pPr>
        <w:spacing w:line="276" w:lineRule="auto"/>
        <w:jc w:val="both"/>
        <w:rPr>
          <w:color w:val="000000" w:themeColor="text1"/>
        </w:rPr>
      </w:pPr>
      <w:r w:rsidRPr="0053592F">
        <w:rPr>
          <w:color w:val="222222"/>
          <w:shd w:val="clear" w:color="auto" w:fill="FFFFFF"/>
        </w:rPr>
        <w:t xml:space="preserve">11. </w:t>
      </w:r>
      <w:proofErr w:type="spellStart"/>
      <w:r w:rsidRPr="0053592F">
        <w:rPr>
          <w:color w:val="000000" w:themeColor="text1"/>
        </w:rPr>
        <w:t>Vaht</w:t>
      </w:r>
      <w:proofErr w:type="spellEnd"/>
      <w:r w:rsidRPr="0053592F">
        <w:rPr>
          <w:color w:val="000000" w:themeColor="text1"/>
        </w:rPr>
        <w:t xml:space="preserve"> K, </w:t>
      </w:r>
      <w:proofErr w:type="spellStart"/>
      <w:r w:rsidRPr="0053592F">
        <w:rPr>
          <w:color w:val="000000" w:themeColor="text1"/>
        </w:rPr>
        <w:t>Göransson</w:t>
      </w:r>
      <w:proofErr w:type="spellEnd"/>
      <w:r w:rsidRPr="0053592F">
        <w:rPr>
          <w:color w:val="000000" w:themeColor="text1"/>
        </w:rPr>
        <w:t xml:space="preserve"> M, Carlson K, Isaksson C, </w:t>
      </w:r>
      <w:proofErr w:type="spellStart"/>
      <w:r w:rsidRPr="0053592F">
        <w:rPr>
          <w:color w:val="000000" w:themeColor="text1"/>
        </w:rPr>
        <w:t>Lenhoff</w:t>
      </w:r>
      <w:proofErr w:type="spellEnd"/>
      <w:r w:rsidRPr="0053592F">
        <w:rPr>
          <w:color w:val="000000" w:themeColor="text1"/>
        </w:rPr>
        <w:t xml:space="preserve"> S, </w:t>
      </w:r>
      <w:proofErr w:type="spellStart"/>
      <w:r w:rsidRPr="0053592F">
        <w:rPr>
          <w:color w:val="000000" w:themeColor="text1"/>
        </w:rPr>
        <w:t>Sandstedt</w:t>
      </w:r>
      <w:proofErr w:type="spellEnd"/>
      <w:r w:rsidRPr="0053592F">
        <w:rPr>
          <w:color w:val="000000" w:themeColor="text1"/>
        </w:rPr>
        <w:t xml:space="preserve"> A, </w:t>
      </w:r>
      <w:r w:rsidR="00EB3A37" w:rsidRPr="0053592F">
        <w:rPr>
          <w:color w:val="000000" w:themeColor="text1"/>
        </w:rPr>
        <w:t>et al</w:t>
      </w:r>
      <w:r w:rsidRPr="0053592F">
        <w:rPr>
          <w:color w:val="000000" w:themeColor="text1"/>
        </w:rPr>
        <w:t>. Incidence and outcome of acquired aplastic anemia: real-world data from patients diagnosed in Sweden from 2000-2011. </w:t>
      </w:r>
      <w:proofErr w:type="spellStart"/>
      <w:r w:rsidRPr="0053592F">
        <w:rPr>
          <w:color w:val="000000" w:themeColor="text1"/>
        </w:rPr>
        <w:t>Haematologica</w:t>
      </w:r>
      <w:proofErr w:type="spellEnd"/>
      <w:r w:rsidRPr="0053592F">
        <w:rPr>
          <w:color w:val="000000" w:themeColor="text1"/>
        </w:rPr>
        <w:t>. 2017 Oct;102(10):1683-1690.</w:t>
      </w:r>
    </w:p>
    <w:p w14:paraId="4AC19466" w14:textId="78F34810" w:rsidR="00F00F11" w:rsidRPr="0053592F" w:rsidRDefault="00F00F11" w:rsidP="00373622">
      <w:pPr>
        <w:spacing w:line="276" w:lineRule="auto"/>
        <w:jc w:val="both"/>
        <w:rPr>
          <w:color w:val="000000" w:themeColor="text1"/>
        </w:rPr>
      </w:pPr>
      <w:r w:rsidRPr="0053592F">
        <w:rPr>
          <w:color w:val="000000" w:themeColor="text1"/>
        </w:rPr>
        <w:t>12. Schoettler ML, Nathan DG. The Pathophysiology of Acquired Aplastic Anemia: Current Concepts Revisited. </w:t>
      </w:r>
      <w:proofErr w:type="spellStart"/>
      <w:r w:rsidRPr="0053592F">
        <w:rPr>
          <w:color w:val="000000" w:themeColor="text1"/>
        </w:rPr>
        <w:t>Hematol</w:t>
      </w:r>
      <w:proofErr w:type="spellEnd"/>
      <w:r w:rsidRPr="0053592F">
        <w:rPr>
          <w:color w:val="000000" w:themeColor="text1"/>
        </w:rPr>
        <w:t xml:space="preserve"> Oncol Clin North Am. 2018;32(4):581-594. </w:t>
      </w:r>
    </w:p>
    <w:p w14:paraId="7D109E3D" w14:textId="740D0357" w:rsidR="005E1F66" w:rsidRPr="0053592F" w:rsidRDefault="005E1F66" w:rsidP="00373622">
      <w:pPr>
        <w:spacing w:line="276" w:lineRule="auto"/>
        <w:jc w:val="both"/>
      </w:pPr>
      <w:r w:rsidRPr="0053592F">
        <w:rPr>
          <w:color w:val="000000" w:themeColor="text1"/>
        </w:rPr>
        <w:t>13.</w:t>
      </w:r>
      <w:r w:rsidRPr="0053592F">
        <w:rPr>
          <w:color w:val="222222"/>
          <w:shd w:val="clear" w:color="auto" w:fill="FFFFFF"/>
        </w:rPr>
        <w:t xml:space="preserve"> Engel P, Gómez-Puerta JA, Ramos-Casals M, Lozano F, Bosch X. Therapeutic targeting of B cells for rheumatic autoimmune diseases. Pharmacological reviews. 2011;63(1):127-56.</w:t>
      </w:r>
    </w:p>
    <w:p w14:paraId="2F60AB42" w14:textId="12FFADE0" w:rsidR="002A7634" w:rsidRPr="0053592F" w:rsidRDefault="005E1F66" w:rsidP="00373622">
      <w:pPr>
        <w:spacing w:line="276" w:lineRule="auto"/>
        <w:jc w:val="both"/>
        <w:rPr>
          <w:color w:val="222222"/>
          <w:shd w:val="clear" w:color="auto" w:fill="FFFFFF"/>
        </w:rPr>
      </w:pPr>
      <w:r w:rsidRPr="0053592F">
        <w:t>14</w:t>
      </w:r>
      <w:r w:rsidR="002A7634" w:rsidRPr="0053592F">
        <w:t>.</w:t>
      </w:r>
      <w:r w:rsidR="002A7634" w:rsidRPr="0053592F">
        <w:rPr>
          <w:color w:val="222222"/>
          <w:shd w:val="clear" w:color="auto" w:fill="FFFFFF"/>
        </w:rPr>
        <w:t xml:space="preserve"> Ha SP. CD4+ T cell mediated tumor immunity following transplantation of TRP-1 TCR gene modified hematopoietic stem cells. Indiana University; 2012.</w:t>
      </w:r>
    </w:p>
    <w:p w14:paraId="53831FDD" w14:textId="56940B83" w:rsidR="00BF18AE" w:rsidRPr="0053592F" w:rsidRDefault="00BF18AE" w:rsidP="00373622">
      <w:pPr>
        <w:spacing w:line="276" w:lineRule="auto"/>
        <w:jc w:val="both"/>
        <w:rPr>
          <w:color w:val="212121"/>
          <w:shd w:val="clear" w:color="auto" w:fill="FFFFFF"/>
        </w:rPr>
      </w:pPr>
      <w:r w:rsidRPr="0053592F">
        <w:rPr>
          <w:color w:val="222222"/>
          <w:shd w:val="clear" w:color="auto" w:fill="FFFFFF"/>
        </w:rPr>
        <w:t xml:space="preserve">15. </w:t>
      </w:r>
      <w:r w:rsidRPr="0053592F">
        <w:rPr>
          <w:color w:val="212121"/>
          <w:shd w:val="clear" w:color="auto" w:fill="FFFFFF"/>
        </w:rPr>
        <w:t xml:space="preserve">Kirwan M, </w:t>
      </w:r>
      <w:proofErr w:type="spellStart"/>
      <w:r w:rsidRPr="0053592F">
        <w:rPr>
          <w:color w:val="212121"/>
          <w:shd w:val="clear" w:color="auto" w:fill="FFFFFF"/>
        </w:rPr>
        <w:t>Dokal</w:t>
      </w:r>
      <w:proofErr w:type="spellEnd"/>
      <w:r w:rsidRPr="0053592F">
        <w:rPr>
          <w:color w:val="212121"/>
          <w:shd w:val="clear" w:color="auto" w:fill="FFFFFF"/>
        </w:rPr>
        <w:t xml:space="preserve"> I. Dyskeratosis congenita, stem cells and telomeres. </w:t>
      </w:r>
      <w:proofErr w:type="spellStart"/>
      <w:r w:rsidRPr="0053592F">
        <w:rPr>
          <w:color w:val="212121"/>
          <w:shd w:val="clear" w:color="auto" w:fill="FFFFFF"/>
        </w:rPr>
        <w:t>Biochim</w:t>
      </w:r>
      <w:proofErr w:type="spellEnd"/>
      <w:r w:rsidRPr="0053592F">
        <w:rPr>
          <w:color w:val="212121"/>
          <w:shd w:val="clear" w:color="auto" w:fill="FFFFFF"/>
        </w:rPr>
        <w:t xml:space="preserve"> </w:t>
      </w:r>
      <w:proofErr w:type="spellStart"/>
      <w:r w:rsidRPr="0053592F">
        <w:rPr>
          <w:color w:val="212121"/>
          <w:shd w:val="clear" w:color="auto" w:fill="FFFFFF"/>
        </w:rPr>
        <w:t>Biophys</w:t>
      </w:r>
      <w:proofErr w:type="spellEnd"/>
      <w:r w:rsidRPr="0053592F">
        <w:rPr>
          <w:color w:val="212121"/>
          <w:shd w:val="clear" w:color="auto" w:fill="FFFFFF"/>
        </w:rPr>
        <w:t xml:space="preserve"> Acta. 2009;1792(4):371-379. </w:t>
      </w:r>
    </w:p>
    <w:p w14:paraId="03F73831" w14:textId="211D3A3F" w:rsidR="009467B1" w:rsidRPr="0053592F" w:rsidRDefault="009467B1" w:rsidP="00373622">
      <w:pPr>
        <w:spacing w:line="276" w:lineRule="auto"/>
        <w:jc w:val="both"/>
        <w:rPr>
          <w:color w:val="222222"/>
          <w:shd w:val="clear" w:color="auto" w:fill="FFFFFF"/>
        </w:rPr>
      </w:pPr>
      <w:r w:rsidRPr="0053592F">
        <w:rPr>
          <w:color w:val="212121"/>
          <w:shd w:val="clear" w:color="auto" w:fill="FFFFFF"/>
        </w:rPr>
        <w:t>16.</w:t>
      </w:r>
      <w:r w:rsidRPr="0053592F">
        <w:rPr>
          <w:color w:val="222222"/>
          <w:shd w:val="clear" w:color="auto" w:fill="FFFFFF"/>
        </w:rPr>
        <w:t xml:space="preserve"> </w:t>
      </w:r>
      <w:proofErr w:type="spellStart"/>
      <w:r w:rsidRPr="0053592F">
        <w:rPr>
          <w:color w:val="222222"/>
          <w:shd w:val="clear" w:color="auto" w:fill="FFFFFF"/>
        </w:rPr>
        <w:t>Medinger</w:t>
      </w:r>
      <w:proofErr w:type="spellEnd"/>
      <w:r w:rsidRPr="0053592F">
        <w:rPr>
          <w:color w:val="222222"/>
          <w:shd w:val="clear" w:color="auto" w:fill="FFFFFF"/>
        </w:rPr>
        <w:t xml:space="preserve"> M, Drexler B, </w:t>
      </w:r>
      <w:proofErr w:type="spellStart"/>
      <w:r w:rsidRPr="0053592F">
        <w:rPr>
          <w:color w:val="222222"/>
          <w:shd w:val="clear" w:color="auto" w:fill="FFFFFF"/>
        </w:rPr>
        <w:t>Lengerke</w:t>
      </w:r>
      <w:proofErr w:type="spellEnd"/>
      <w:r w:rsidRPr="0053592F">
        <w:rPr>
          <w:color w:val="222222"/>
          <w:shd w:val="clear" w:color="auto" w:fill="FFFFFF"/>
        </w:rPr>
        <w:t xml:space="preserve"> C, </w:t>
      </w:r>
      <w:proofErr w:type="spellStart"/>
      <w:r w:rsidRPr="0053592F">
        <w:rPr>
          <w:color w:val="222222"/>
          <w:shd w:val="clear" w:color="auto" w:fill="FFFFFF"/>
        </w:rPr>
        <w:t>Passweg</w:t>
      </w:r>
      <w:proofErr w:type="spellEnd"/>
      <w:r w:rsidRPr="0053592F">
        <w:rPr>
          <w:color w:val="222222"/>
          <w:shd w:val="clear" w:color="auto" w:fill="FFFFFF"/>
        </w:rPr>
        <w:t xml:space="preserve"> J. Pathogenesis of acquired aplastic anemia and the role of the bone marrow microenvironment. Frontiers in oncology. 2018</w:t>
      </w:r>
      <w:r w:rsidR="00DD7E5F" w:rsidRPr="0053592F">
        <w:rPr>
          <w:color w:val="222222"/>
          <w:shd w:val="clear" w:color="auto" w:fill="FFFFFF"/>
        </w:rPr>
        <w:t>;</w:t>
      </w:r>
      <w:r w:rsidRPr="0053592F">
        <w:rPr>
          <w:color w:val="222222"/>
          <w:shd w:val="clear" w:color="auto" w:fill="FFFFFF"/>
        </w:rPr>
        <w:t>5</w:t>
      </w:r>
      <w:r w:rsidR="00DD7E5F" w:rsidRPr="0053592F">
        <w:rPr>
          <w:color w:val="222222"/>
          <w:shd w:val="clear" w:color="auto" w:fill="FFFFFF"/>
        </w:rPr>
        <w:t>(</w:t>
      </w:r>
      <w:r w:rsidRPr="0053592F">
        <w:rPr>
          <w:color w:val="222222"/>
          <w:shd w:val="clear" w:color="auto" w:fill="FFFFFF"/>
        </w:rPr>
        <w:t>8</w:t>
      </w:r>
      <w:r w:rsidR="00DD7E5F" w:rsidRPr="0053592F">
        <w:rPr>
          <w:color w:val="222222"/>
          <w:shd w:val="clear" w:color="auto" w:fill="FFFFFF"/>
        </w:rPr>
        <w:t>)</w:t>
      </w:r>
      <w:r w:rsidRPr="0053592F">
        <w:rPr>
          <w:color w:val="222222"/>
          <w:shd w:val="clear" w:color="auto" w:fill="FFFFFF"/>
        </w:rPr>
        <w:t>:587.</w:t>
      </w:r>
    </w:p>
    <w:p w14:paraId="3C19E4B1" w14:textId="52E7DF90" w:rsidR="00EF413A" w:rsidRPr="0053592F" w:rsidRDefault="00EF413A" w:rsidP="00373622">
      <w:pPr>
        <w:spacing w:line="276" w:lineRule="auto"/>
        <w:jc w:val="both"/>
      </w:pPr>
      <w:r w:rsidRPr="0053592F">
        <w:rPr>
          <w:color w:val="222222"/>
          <w:shd w:val="clear" w:color="auto" w:fill="FFFFFF"/>
        </w:rPr>
        <w:t xml:space="preserve">17. Bello AB, Park H, Lee SH. Current approaches in biomaterial-based hematopoietic stem cell niches. Acta </w:t>
      </w:r>
      <w:proofErr w:type="spellStart"/>
      <w:r w:rsidRPr="0053592F">
        <w:rPr>
          <w:color w:val="222222"/>
          <w:shd w:val="clear" w:color="auto" w:fill="FFFFFF"/>
        </w:rPr>
        <w:t>biomaterialia</w:t>
      </w:r>
      <w:proofErr w:type="spellEnd"/>
      <w:r w:rsidRPr="0053592F">
        <w:rPr>
          <w:color w:val="222222"/>
          <w:shd w:val="clear" w:color="auto" w:fill="FFFFFF"/>
        </w:rPr>
        <w:t>. 2018;72:1-5.</w:t>
      </w:r>
    </w:p>
    <w:p w14:paraId="7216F43B" w14:textId="76A3E59E" w:rsidR="004F5C1F" w:rsidRPr="0053592F" w:rsidRDefault="004F5C1F" w:rsidP="00373622">
      <w:pPr>
        <w:spacing w:line="276" w:lineRule="auto"/>
        <w:jc w:val="both"/>
      </w:pPr>
      <w:r w:rsidRPr="0053592F">
        <w:t xml:space="preserve">18. </w:t>
      </w:r>
      <w:r w:rsidRPr="0053592F">
        <w:rPr>
          <w:color w:val="222222"/>
          <w:shd w:val="clear" w:color="auto" w:fill="FFFFFF"/>
        </w:rPr>
        <w:t xml:space="preserve">Li H, </w:t>
      </w:r>
      <w:proofErr w:type="spellStart"/>
      <w:r w:rsidRPr="0053592F">
        <w:rPr>
          <w:color w:val="222222"/>
          <w:shd w:val="clear" w:color="auto" w:fill="FFFFFF"/>
        </w:rPr>
        <w:t>Ghazanfari</w:t>
      </w:r>
      <w:proofErr w:type="spellEnd"/>
      <w:r w:rsidRPr="0053592F">
        <w:rPr>
          <w:color w:val="222222"/>
          <w:shd w:val="clear" w:color="auto" w:fill="FFFFFF"/>
        </w:rPr>
        <w:t xml:space="preserve"> R, </w:t>
      </w:r>
      <w:proofErr w:type="spellStart"/>
      <w:r w:rsidRPr="0053592F">
        <w:rPr>
          <w:color w:val="222222"/>
          <w:shd w:val="clear" w:color="auto" w:fill="FFFFFF"/>
        </w:rPr>
        <w:t>Zacharaki</w:t>
      </w:r>
      <w:proofErr w:type="spellEnd"/>
      <w:r w:rsidRPr="0053592F">
        <w:rPr>
          <w:color w:val="222222"/>
          <w:shd w:val="clear" w:color="auto" w:fill="FFFFFF"/>
        </w:rPr>
        <w:t xml:space="preserve"> D, </w:t>
      </w:r>
      <w:proofErr w:type="spellStart"/>
      <w:r w:rsidRPr="0053592F">
        <w:rPr>
          <w:color w:val="222222"/>
          <w:shd w:val="clear" w:color="auto" w:fill="FFFFFF"/>
        </w:rPr>
        <w:t>Ditzel</w:t>
      </w:r>
      <w:proofErr w:type="spellEnd"/>
      <w:r w:rsidRPr="0053592F">
        <w:rPr>
          <w:color w:val="222222"/>
          <w:shd w:val="clear" w:color="auto" w:fill="FFFFFF"/>
        </w:rPr>
        <w:t xml:space="preserve"> N, </w:t>
      </w:r>
      <w:proofErr w:type="spellStart"/>
      <w:r w:rsidRPr="0053592F">
        <w:rPr>
          <w:color w:val="222222"/>
          <w:shd w:val="clear" w:color="auto" w:fill="FFFFFF"/>
        </w:rPr>
        <w:t>Isern</w:t>
      </w:r>
      <w:proofErr w:type="spellEnd"/>
      <w:r w:rsidRPr="0053592F">
        <w:rPr>
          <w:color w:val="222222"/>
          <w:shd w:val="clear" w:color="auto" w:fill="FFFFFF"/>
        </w:rPr>
        <w:t xml:space="preserve"> J, Ekblom M, Méndez-Ferrer S, Kassem M, </w:t>
      </w:r>
      <w:proofErr w:type="spellStart"/>
      <w:r w:rsidRPr="0053592F">
        <w:rPr>
          <w:color w:val="222222"/>
          <w:shd w:val="clear" w:color="auto" w:fill="FFFFFF"/>
        </w:rPr>
        <w:t>Scheding</w:t>
      </w:r>
      <w:proofErr w:type="spellEnd"/>
      <w:r w:rsidRPr="0053592F">
        <w:rPr>
          <w:color w:val="222222"/>
          <w:shd w:val="clear" w:color="auto" w:fill="FFFFFF"/>
        </w:rPr>
        <w:t xml:space="preserve"> S. Low/negative expression of PDGFR-α identifies the candidate primary mesenchymal stromal cells in adult human bone marrow. Stem cell reports. 2014;3(6):965-74.</w:t>
      </w:r>
    </w:p>
    <w:p w14:paraId="6D5FEBA3" w14:textId="2ACC6D03" w:rsidR="00FA35A0" w:rsidRPr="0053592F" w:rsidRDefault="00441F36" w:rsidP="00373622">
      <w:pPr>
        <w:spacing w:line="276" w:lineRule="auto"/>
        <w:jc w:val="both"/>
        <w:rPr>
          <w:color w:val="222222"/>
          <w:shd w:val="clear" w:color="auto" w:fill="FFFFFF"/>
        </w:rPr>
      </w:pPr>
      <w:r w:rsidRPr="0053592F">
        <w:t xml:space="preserve">19. </w:t>
      </w:r>
      <w:r w:rsidR="00FA35A0" w:rsidRPr="0053592F">
        <w:rPr>
          <w:color w:val="222222"/>
          <w:shd w:val="clear" w:color="auto" w:fill="FFFFFF"/>
        </w:rPr>
        <w:t xml:space="preserve">Gregory CA, </w:t>
      </w:r>
      <w:proofErr w:type="spellStart"/>
      <w:r w:rsidR="00FA35A0" w:rsidRPr="0053592F">
        <w:rPr>
          <w:color w:val="222222"/>
          <w:shd w:val="clear" w:color="auto" w:fill="FFFFFF"/>
        </w:rPr>
        <w:t>Ylostalo</w:t>
      </w:r>
      <w:proofErr w:type="spellEnd"/>
      <w:r w:rsidR="00FA35A0" w:rsidRPr="0053592F">
        <w:rPr>
          <w:color w:val="222222"/>
          <w:shd w:val="clear" w:color="auto" w:fill="FFFFFF"/>
        </w:rPr>
        <w:t xml:space="preserve"> J, </w:t>
      </w:r>
      <w:proofErr w:type="spellStart"/>
      <w:r w:rsidR="00FA35A0" w:rsidRPr="0053592F">
        <w:rPr>
          <w:color w:val="222222"/>
          <w:shd w:val="clear" w:color="auto" w:fill="FFFFFF"/>
        </w:rPr>
        <w:t>Prockop</w:t>
      </w:r>
      <w:proofErr w:type="spellEnd"/>
      <w:r w:rsidR="00FA35A0" w:rsidRPr="0053592F">
        <w:rPr>
          <w:color w:val="222222"/>
          <w:shd w:val="clear" w:color="auto" w:fill="FFFFFF"/>
        </w:rPr>
        <w:t xml:space="preserve"> DJ. Adult bone marrow stem/progenitor cells (MSCs) are preconditioned by microenvironmental" niches" in culture: a two-stage hypothesis for regulation of MSC fate. Science's STKE. 2005;2005(294):37</w:t>
      </w:r>
      <w:r w:rsidR="007D01C4" w:rsidRPr="0053592F">
        <w:rPr>
          <w:color w:val="222222"/>
          <w:shd w:val="clear" w:color="auto" w:fill="FFFFFF"/>
        </w:rPr>
        <w:t>-40</w:t>
      </w:r>
      <w:r w:rsidR="00FA35A0" w:rsidRPr="0053592F">
        <w:rPr>
          <w:color w:val="222222"/>
          <w:shd w:val="clear" w:color="auto" w:fill="FFFFFF"/>
        </w:rPr>
        <w:t>.</w:t>
      </w:r>
    </w:p>
    <w:p w14:paraId="134EDC18" w14:textId="57561BE5" w:rsidR="00776A1C" w:rsidRPr="0053592F" w:rsidRDefault="007D01C4" w:rsidP="00373622">
      <w:pPr>
        <w:spacing w:line="276" w:lineRule="auto"/>
        <w:jc w:val="both"/>
        <w:rPr>
          <w:color w:val="222222"/>
          <w:shd w:val="clear" w:color="auto" w:fill="FFFFFF"/>
        </w:rPr>
      </w:pPr>
      <w:r w:rsidRPr="0053592F">
        <w:rPr>
          <w:color w:val="222222"/>
          <w:shd w:val="clear" w:color="auto" w:fill="FFFFFF"/>
        </w:rPr>
        <w:t xml:space="preserve">20. Cascio MJ, </w:t>
      </w:r>
      <w:proofErr w:type="spellStart"/>
      <w:r w:rsidRPr="0053592F">
        <w:rPr>
          <w:color w:val="222222"/>
          <w:shd w:val="clear" w:color="auto" w:fill="FFFFFF"/>
        </w:rPr>
        <w:t>DeLoughery</w:t>
      </w:r>
      <w:proofErr w:type="spellEnd"/>
      <w:r w:rsidRPr="0053592F">
        <w:rPr>
          <w:color w:val="222222"/>
          <w:shd w:val="clear" w:color="auto" w:fill="FFFFFF"/>
        </w:rPr>
        <w:t xml:space="preserve"> TG. Anemia: evaluation and diagnostic tests. Medical Clinics. 2017;101(2):263-84.</w:t>
      </w:r>
    </w:p>
    <w:p w14:paraId="16D1EE18" w14:textId="5ADFBD59" w:rsidR="00776A1C" w:rsidRPr="0053592F" w:rsidRDefault="00776A1C" w:rsidP="00373622">
      <w:pPr>
        <w:spacing w:line="276" w:lineRule="auto"/>
        <w:jc w:val="both"/>
        <w:rPr>
          <w:color w:val="222222"/>
          <w:shd w:val="clear" w:color="auto" w:fill="FFFFFF"/>
        </w:rPr>
      </w:pPr>
      <w:r w:rsidRPr="0053592F">
        <w:rPr>
          <w:color w:val="222222"/>
          <w:shd w:val="clear" w:color="auto" w:fill="FFFFFF"/>
        </w:rPr>
        <w:t xml:space="preserve">21. </w:t>
      </w:r>
      <w:proofErr w:type="spellStart"/>
      <w:r w:rsidRPr="0053592F">
        <w:rPr>
          <w:color w:val="000000" w:themeColor="text1"/>
        </w:rPr>
        <w:t>Gnanaraj</w:t>
      </w:r>
      <w:proofErr w:type="spellEnd"/>
      <w:r w:rsidRPr="0053592F">
        <w:rPr>
          <w:color w:val="000000" w:themeColor="text1"/>
        </w:rPr>
        <w:t xml:space="preserve"> J, </w:t>
      </w:r>
      <w:proofErr w:type="spellStart"/>
      <w:r w:rsidRPr="0053592F">
        <w:rPr>
          <w:color w:val="000000" w:themeColor="text1"/>
        </w:rPr>
        <w:t>Parnes</w:t>
      </w:r>
      <w:proofErr w:type="spellEnd"/>
      <w:r w:rsidRPr="0053592F">
        <w:rPr>
          <w:color w:val="000000" w:themeColor="text1"/>
        </w:rPr>
        <w:t xml:space="preserve"> A, Francis CW, Go RS, Takemoto CM, Hashmi SK. Approach to pancytopenia: Diagnostic algorithm for clinical </w:t>
      </w:r>
      <w:proofErr w:type="spellStart"/>
      <w:r w:rsidRPr="0053592F">
        <w:rPr>
          <w:color w:val="000000" w:themeColor="text1"/>
        </w:rPr>
        <w:t>hematologists</w:t>
      </w:r>
      <w:proofErr w:type="spellEnd"/>
      <w:r w:rsidRPr="0053592F">
        <w:rPr>
          <w:color w:val="000000" w:themeColor="text1"/>
        </w:rPr>
        <w:t>. Blood Rev. 2018;32(5):361-367.</w:t>
      </w:r>
    </w:p>
    <w:p w14:paraId="754AEA47" w14:textId="26F0BE1B" w:rsidR="00776A1C" w:rsidRPr="0053592F" w:rsidRDefault="00776A1C" w:rsidP="00373622">
      <w:pPr>
        <w:spacing w:line="276" w:lineRule="auto"/>
        <w:jc w:val="both"/>
        <w:rPr>
          <w:color w:val="000000" w:themeColor="text1"/>
        </w:rPr>
      </w:pPr>
      <w:r w:rsidRPr="0053592F">
        <w:rPr>
          <w:color w:val="000000" w:themeColor="text1"/>
        </w:rPr>
        <w:t xml:space="preserve">22. </w:t>
      </w:r>
      <w:proofErr w:type="spellStart"/>
      <w:r w:rsidRPr="0053592F">
        <w:rPr>
          <w:color w:val="000000" w:themeColor="text1"/>
        </w:rPr>
        <w:t>Bluteau</w:t>
      </w:r>
      <w:proofErr w:type="spellEnd"/>
      <w:r w:rsidRPr="0053592F">
        <w:rPr>
          <w:color w:val="000000" w:themeColor="text1"/>
        </w:rPr>
        <w:t xml:space="preserve"> O, </w:t>
      </w:r>
      <w:proofErr w:type="spellStart"/>
      <w:r w:rsidRPr="0053592F">
        <w:rPr>
          <w:color w:val="000000" w:themeColor="text1"/>
        </w:rPr>
        <w:t>Sebert</w:t>
      </w:r>
      <w:proofErr w:type="spellEnd"/>
      <w:r w:rsidRPr="0053592F">
        <w:rPr>
          <w:color w:val="000000" w:themeColor="text1"/>
        </w:rPr>
        <w:t xml:space="preserve"> M, Leblanc T, </w:t>
      </w:r>
      <w:proofErr w:type="spellStart"/>
      <w:r w:rsidRPr="0053592F">
        <w:rPr>
          <w:color w:val="000000" w:themeColor="text1"/>
        </w:rPr>
        <w:t>Peffault</w:t>
      </w:r>
      <w:proofErr w:type="spellEnd"/>
      <w:r w:rsidRPr="0053592F">
        <w:rPr>
          <w:color w:val="000000" w:themeColor="text1"/>
        </w:rPr>
        <w:t xml:space="preserve"> de Latour R, Quentin S, Lainey E, et al. A landscape of germ line mutations in a cohort of inherited bone marrow failure patients. Blood. 2018;131(7):717-732.</w:t>
      </w:r>
    </w:p>
    <w:p w14:paraId="5BD7DF83" w14:textId="168F034B" w:rsidR="00873090" w:rsidRPr="0053592F" w:rsidRDefault="008436CE" w:rsidP="00373622">
      <w:pPr>
        <w:spacing w:line="276" w:lineRule="auto"/>
        <w:jc w:val="both"/>
        <w:rPr>
          <w:color w:val="000000" w:themeColor="text1"/>
        </w:rPr>
      </w:pPr>
      <w:r w:rsidRPr="0053592F">
        <w:rPr>
          <w:color w:val="000000" w:themeColor="text1"/>
        </w:rPr>
        <w:t xml:space="preserve">23. Georges GE, </w:t>
      </w:r>
      <w:proofErr w:type="spellStart"/>
      <w:r w:rsidRPr="0053592F">
        <w:rPr>
          <w:color w:val="000000" w:themeColor="text1"/>
        </w:rPr>
        <w:t>Doney</w:t>
      </w:r>
      <w:proofErr w:type="spellEnd"/>
      <w:r w:rsidRPr="0053592F">
        <w:rPr>
          <w:color w:val="000000" w:themeColor="text1"/>
        </w:rPr>
        <w:t xml:space="preserve"> K, </w:t>
      </w:r>
      <w:proofErr w:type="spellStart"/>
      <w:r w:rsidRPr="0053592F">
        <w:rPr>
          <w:color w:val="000000" w:themeColor="text1"/>
        </w:rPr>
        <w:t>Storb</w:t>
      </w:r>
      <w:proofErr w:type="spellEnd"/>
      <w:r w:rsidRPr="0053592F">
        <w:rPr>
          <w:color w:val="000000" w:themeColor="text1"/>
        </w:rPr>
        <w:t xml:space="preserve"> R. Severe aplastic anemia: allogeneic bone marrow transplantation as first-line treatment. Blood Adv. 2018;2(15):2020-2028. </w:t>
      </w:r>
    </w:p>
    <w:p w14:paraId="77497133" w14:textId="44C74D97" w:rsidR="00873090" w:rsidRPr="0053592F" w:rsidRDefault="00873090" w:rsidP="00373622">
      <w:pPr>
        <w:spacing w:line="276" w:lineRule="auto"/>
        <w:jc w:val="both"/>
        <w:rPr>
          <w:color w:val="000000" w:themeColor="text1"/>
        </w:rPr>
      </w:pPr>
      <w:r w:rsidRPr="0053592F">
        <w:rPr>
          <w:color w:val="000000" w:themeColor="text1"/>
        </w:rPr>
        <w:t>24. Yoshida N, Kojima S. Updated Guidelines for the Treatment of Acquired Aplastic Anemia in Children. </w:t>
      </w:r>
      <w:proofErr w:type="spellStart"/>
      <w:r w:rsidRPr="0053592F">
        <w:rPr>
          <w:color w:val="000000" w:themeColor="text1"/>
        </w:rPr>
        <w:t>Curr</w:t>
      </w:r>
      <w:proofErr w:type="spellEnd"/>
      <w:r w:rsidRPr="0053592F">
        <w:rPr>
          <w:color w:val="000000" w:themeColor="text1"/>
        </w:rPr>
        <w:t xml:space="preserve"> Oncol Rep. 2018;20(9):67. </w:t>
      </w:r>
    </w:p>
    <w:p w14:paraId="32A56E51" w14:textId="2646E8C5" w:rsidR="00873090" w:rsidRPr="0053592F" w:rsidRDefault="00873090" w:rsidP="00373622">
      <w:pPr>
        <w:spacing w:line="276" w:lineRule="auto"/>
        <w:ind w:right="192"/>
        <w:jc w:val="both"/>
        <w:rPr>
          <w:color w:val="000000" w:themeColor="text1"/>
        </w:rPr>
      </w:pPr>
      <w:r w:rsidRPr="0053592F">
        <w:rPr>
          <w:color w:val="000000" w:themeColor="text1"/>
        </w:rPr>
        <w:t xml:space="preserve">25. Samarasinghe S, </w:t>
      </w:r>
      <w:proofErr w:type="spellStart"/>
      <w:r w:rsidRPr="0053592F">
        <w:rPr>
          <w:color w:val="000000" w:themeColor="text1"/>
        </w:rPr>
        <w:t>Veys</w:t>
      </w:r>
      <w:proofErr w:type="spellEnd"/>
      <w:r w:rsidRPr="0053592F">
        <w:rPr>
          <w:color w:val="000000" w:themeColor="text1"/>
        </w:rPr>
        <w:t xml:space="preserve"> P, Vora A, Wynn R. Paediatric amendment to adult BSH Guidelines for aplastic anaemia. Br J </w:t>
      </w:r>
      <w:proofErr w:type="spellStart"/>
      <w:r w:rsidRPr="0053592F">
        <w:rPr>
          <w:color w:val="000000" w:themeColor="text1"/>
        </w:rPr>
        <w:t>Haematol</w:t>
      </w:r>
      <w:proofErr w:type="spellEnd"/>
      <w:r w:rsidRPr="0053592F">
        <w:rPr>
          <w:color w:val="000000" w:themeColor="text1"/>
        </w:rPr>
        <w:t>. 2018;180(2):201-205. </w:t>
      </w:r>
    </w:p>
    <w:p w14:paraId="63839363" w14:textId="42F6BC0B" w:rsidR="00903F27" w:rsidRPr="0053592F" w:rsidRDefault="00903F27" w:rsidP="00373622">
      <w:pPr>
        <w:spacing w:line="276" w:lineRule="auto"/>
        <w:jc w:val="both"/>
      </w:pPr>
      <w:r w:rsidRPr="0053592F">
        <w:rPr>
          <w:color w:val="000000" w:themeColor="text1"/>
        </w:rPr>
        <w:t>26.</w:t>
      </w:r>
      <w:r w:rsidRPr="0053592F">
        <w:rPr>
          <w:color w:val="222222"/>
          <w:shd w:val="clear" w:color="auto" w:fill="FFFFFF"/>
        </w:rPr>
        <w:t xml:space="preserve"> Yamamoto H, Uchida N, Yamaguchi K, Yuasa M, Kageyama K, Nishida A, et al. Promising Outcomes of Urgent Cord Blood Transplantation for Fulminant Aplastic Anemia in Adults. Biology of Blood and Marrow Transplantation. 2017;23(3):S178.</w:t>
      </w:r>
    </w:p>
    <w:p w14:paraId="33B2786D" w14:textId="46C4246D" w:rsidR="008D1E2A" w:rsidRPr="0053592F" w:rsidRDefault="008D1E2A" w:rsidP="00373622">
      <w:pPr>
        <w:spacing w:line="276" w:lineRule="auto"/>
        <w:jc w:val="both"/>
        <w:rPr>
          <w:color w:val="212121"/>
          <w:shd w:val="clear" w:color="auto" w:fill="FFFFFF"/>
        </w:rPr>
      </w:pPr>
      <w:r w:rsidRPr="0053592F">
        <w:rPr>
          <w:color w:val="000000" w:themeColor="text1"/>
        </w:rPr>
        <w:lastRenderedPageBreak/>
        <w:t>27.</w:t>
      </w:r>
      <w:r w:rsidRPr="0053592F">
        <w:rPr>
          <w:color w:val="212121"/>
          <w:shd w:val="clear" w:color="auto" w:fill="FFFFFF"/>
        </w:rPr>
        <w:t xml:space="preserve"> Gupta V, Kumar S, </w:t>
      </w:r>
      <w:proofErr w:type="spellStart"/>
      <w:r w:rsidRPr="0053592F">
        <w:rPr>
          <w:color w:val="212121"/>
          <w:shd w:val="clear" w:color="auto" w:fill="FFFFFF"/>
        </w:rPr>
        <w:t>Sonowal</w:t>
      </w:r>
      <w:proofErr w:type="spellEnd"/>
      <w:r w:rsidRPr="0053592F">
        <w:rPr>
          <w:color w:val="212121"/>
          <w:shd w:val="clear" w:color="auto" w:fill="FFFFFF"/>
        </w:rPr>
        <w:t xml:space="preserve"> R, Singh SK. Interleukin-6 and Interleukin-8 Levels Correlate With the Severity of Aplastic Anemia in Children. J </w:t>
      </w:r>
      <w:proofErr w:type="spellStart"/>
      <w:r w:rsidRPr="0053592F">
        <w:rPr>
          <w:color w:val="212121"/>
          <w:shd w:val="clear" w:color="auto" w:fill="FFFFFF"/>
        </w:rPr>
        <w:t>Pediatr</w:t>
      </w:r>
      <w:proofErr w:type="spellEnd"/>
      <w:r w:rsidRPr="0053592F">
        <w:rPr>
          <w:color w:val="212121"/>
          <w:shd w:val="clear" w:color="auto" w:fill="FFFFFF"/>
        </w:rPr>
        <w:t xml:space="preserve"> </w:t>
      </w:r>
      <w:proofErr w:type="spellStart"/>
      <w:r w:rsidRPr="0053592F">
        <w:rPr>
          <w:color w:val="212121"/>
          <w:shd w:val="clear" w:color="auto" w:fill="FFFFFF"/>
        </w:rPr>
        <w:t>Hematol</w:t>
      </w:r>
      <w:proofErr w:type="spellEnd"/>
      <w:r w:rsidRPr="0053592F">
        <w:rPr>
          <w:color w:val="212121"/>
          <w:shd w:val="clear" w:color="auto" w:fill="FFFFFF"/>
        </w:rPr>
        <w:t xml:space="preserve"> Oncol. 2017;39(3):214-216. </w:t>
      </w:r>
    </w:p>
    <w:p w14:paraId="630A5942" w14:textId="424B8B1D" w:rsidR="004E0C9A" w:rsidRPr="0053592F" w:rsidRDefault="004E0C9A" w:rsidP="00373622">
      <w:pPr>
        <w:spacing w:line="276" w:lineRule="auto"/>
        <w:jc w:val="both"/>
      </w:pPr>
      <w:r w:rsidRPr="0053592F">
        <w:rPr>
          <w:color w:val="212121"/>
          <w:shd w:val="clear" w:color="auto" w:fill="FFFFFF"/>
        </w:rPr>
        <w:t>28.</w:t>
      </w:r>
      <w:r w:rsidRPr="0053592F">
        <w:rPr>
          <w:color w:val="222222"/>
          <w:shd w:val="clear" w:color="auto" w:fill="FFFFFF"/>
        </w:rPr>
        <w:t xml:space="preserve"> Richards SJ, Barnett D. The role of flow cytometry in the diagnosis of paroxysmal nocturnal </w:t>
      </w:r>
      <w:proofErr w:type="spellStart"/>
      <w:r w:rsidRPr="0053592F">
        <w:rPr>
          <w:color w:val="222222"/>
          <w:shd w:val="clear" w:color="auto" w:fill="FFFFFF"/>
        </w:rPr>
        <w:t>hemoglobinuria</w:t>
      </w:r>
      <w:proofErr w:type="spellEnd"/>
      <w:r w:rsidRPr="0053592F">
        <w:rPr>
          <w:color w:val="222222"/>
          <w:shd w:val="clear" w:color="auto" w:fill="FFFFFF"/>
        </w:rPr>
        <w:t xml:space="preserve"> in the clinical laboratory. Clinics in laboratory medicine. 2007;27(3):577-90.</w:t>
      </w:r>
    </w:p>
    <w:p w14:paraId="009CED6B" w14:textId="7521AC29" w:rsidR="009518B3" w:rsidRPr="0053592F" w:rsidRDefault="009518B3" w:rsidP="00373622">
      <w:pPr>
        <w:spacing w:line="276" w:lineRule="auto"/>
        <w:jc w:val="both"/>
      </w:pPr>
      <w:r w:rsidRPr="0053592F">
        <w:t>29.</w:t>
      </w:r>
      <w:r w:rsidRPr="0053592F">
        <w:rPr>
          <w:color w:val="222222"/>
          <w:shd w:val="clear" w:color="auto" w:fill="FFFFFF"/>
        </w:rPr>
        <w:t xml:space="preserve"> Sun L, </w:t>
      </w:r>
      <w:proofErr w:type="spellStart"/>
      <w:r w:rsidRPr="0053592F">
        <w:rPr>
          <w:color w:val="222222"/>
          <w:shd w:val="clear" w:color="auto" w:fill="FFFFFF"/>
        </w:rPr>
        <w:t>Babushok</w:t>
      </w:r>
      <w:proofErr w:type="spellEnd"/>
      <w:r w:rsidRPr="0053592F">
        <w:rPr>
          <w:color w:val="222222"/>
          <w:shd w:val="clear" w:color="auto" w:fill="FFFFFF"/>
        </w:rPr>
        <w:t xml:space="preserve"> DV. Secondary myelodysplastic syndrome and leukemia in acquired aplastic anemia and paroxysmal nocturnal </w:t>
      </w:r>
      <w:proofErr w:type="spellStart"/>
      <w:r w:rsidRPr="0053592F">
        <w:rPr>
          <w:color w:val="222222"/>
          <w:shd w:val="clear" w:color="auto" w:fill="FFFFFF"/>
        </w:rPr>
        <w:t>hemoglobinuria</w:t>
      </w:r>
      <w:proofErr w:type="spellEnd"/>
      <w:r w:rsidRPr="0053592F">
        <w:rPr>
          <w:color w:val="222222"/>
          <w:shd w:val="clear" w:color="auto" w:fill="FFFFFF"/>
        </w:rPr>
        <w:t xml:space="preserve">. Blood, The Journal of the American Society of </w:t>
      </w:r>
      <w:proofErr w:type="spellStart"/>
      <w:r w:rsidRPr="0053592F">
        <w:rPr>
          <w:color w:val="222222"/>
          <w:shd w:val="clear" w:color="auto" w:fill="FFFFFF"/>
        </w:rPr>
        <w:t>Hematology</w:t>
      </w:r>
      <w:proofErr w:type="spellEnd"/>
      <w:r w:rsidRPr="0053592F">
        <w:rPr>
          <w:color w:val="222222"/>
          <w:shd w:val="clear" w:color="auto" w:fill="FFFFFF"/>
        </w:rPr>
        <w:t>. 2020;136(1):36-49.</w:t>
      </w:r>
    </w:p>
    <w:p w14:paraId="6E3463B4" w14:textId="679367D5" w:rsidR="00043689" w:rsidRPr="0053592F" w:rsidRDefault="009518B3" w:rsidP="00373622">
      <w:pPr>
        <w:spacing w:line="276" w:lineRule="auto"/>
        <w:jc w:val="both"/>
      </w:pPr>
      <w:r w:rsidRPr="0053592F">
        <w:t>30.</w:t>
      </w:r>
      <w:r w:rsidR="00043689" w:rsidRPr="0053592F">
        <w:rPr>
          <w:color w:val="222222"/>
          <w:shd w:val="clear" w:color="auto" w:fill="FFFFFF"/>
        </w:rPr>
        <w:t xml:space="preserve"> Shah YB, </w:t>
      </w:r>
      <w:proofErr w:type="spellStart"/>
      <w:r w:rsidR="00043689" w:rsidRPr="0053592F">
        <w:rPr>
          <w:color w:val="222222"/>
          <w:shd w:val="clear" w:color="auto" w:fill="FFFFFF"/>
        </w:rPr>
        <w:t>Priore</w:t>
      </w:r>
      <w:proofErr w:type="spellEnd"/>
      <w:r w:rsidR="00043689" w:rsidRPr="0053592F">
        <w:rPr>
          <w:color w:val="222222"/>
          <w:shd w:val="clear" w:color="auto" w:fill="FFFFFF"/>
        </w:rPr>
        <w:t xml:space="preserve"> SF, Li Y, Tang CN, Nicholas P, </w:t>
      </w:r>
      <w:proofErr w:type="spellStart"/>
      <w:r w:rsidR="00043689" w:rsidRPr="0053592F">
        <w:rPr>
          <w:color w:val="222222"/>
          <w:shd w:val="clear" w:color="auto" w:fill="FFFFFF"/>
        </w:rPr>
        <w:t>Kurre</w:t>
      </w:r>
      <w:proofErr w:type="spellEnd"/>
      <w:r w:rsidR="00043689" w:rsidRPr="0053592F">
        <w:rPr>
          <w:color w:val="222222"/>
          <w:shd w:val="clear" w:color="auto" w:fill="FFFFFF"/>
        </w:rPr>
        <w:t xml:space="preserve"> P, et al. The predictive value of PNH clones, 6p CN-LOH, and clonal TCR gene rearrangement for aplastic anemia diagnosis. Blood advances. 2021;5(16):3216-26.</w:t>
      </w:r>
    </w:p>
    <w:p w14:paraId="50C04C25" w14:textId="2AB5DB04" w:rsidR="005E5A90" w:rsidRPr="0053592F" w:rsidRDefault="005E5A90" w:rsidP="00373622">
      <w:pPr>
        <w:spacing w:line="276" w:lineRule="auto"/>
        <w:jc w:val="both"/>
        <w:rPr>
          <w:color w:val="222222"/>
          <w:shd w:val="clear" w:color="auto" w:fill="FFFFFF"/>
        </w:rPr>
      </w:pPr>
      <w:r w:rsidRPr="0053592F">
        <w:t xml:space="preserve">31. </w:t>
      </w:r>
      <w:proofErr w:type="spellStart"/>
      <w:r w:rsidRPr="0053592F">
        <w:rPr>
          <w:color w:val="222222"/>
          <w:shd w:val="clear" w:color="auto" w:fill="FFFFFF"/>
        </w:rPr>
        <w:t>Szczepiorkowski</w:t>
      </w:r>
      <w:proofErr w:type="spellEnd"/>
      <w:r w:rsidRPr="0053592F">
        <w:rPr>
          <w:color w:val="222222"/>
          <w:shd w:val="clear" w:color="auto" w:fill="FFFFFF"/>
        </w:rPr>
        <w:t xml:space="preserve">, Z.M., </w:t>
      </w:r>
      <w:proofErr w:type="spellStart"/>
      <w:r w:rsidRPr="0053592F">
        <w:rPr>
          <w:color w:val="222222"/>
          <w:shd w:val="clear" w:color="auto" w:fill="FFFFFF"/>
        </w:rPr>
        <w:t>Bandarenko</w:t>
      </w:r>
      <w:proofErr w:type="spellEnd"/>
      <w:r w:rsidRPr="0053592F">
        <w:rPr>
          <w:color w:val="222222"/>
          <w:shd w:val="clear" w:color="auto" w:fill="FFFFFF"/>
        </w:rPr>
        <w:t xml:space="preserve">, N., Kim, H.C., </w:t>
      </w:r>
      <w:proofErr w:type="spellStart"/>
      <w:r w:rsidRPr="0053592F">
        <w:rPr>
          <w:color w:val="222222"/>
          <w:shd w:val="clear" w:color="auto" w:fill="FFFFFF"/>
        </w:rPr>
        <w:t>Linenberger</w:t>
      </w:r>
      <w:proofErr w:type="spellEnd"/>
      <w:r w:rsidRPr="0053592F">
        <w:rPr>
          <w:color w:val="222222"/>
          <w:shd w:val="clear" w:color="auto" w:fill="FFFFFF"/>
        </w:rPr>
        <w:t>, M.L., Marques, et al. Guidelines on the use of therapeutic apheresis in clinical practice—Evidence‐based approach from the apheresis applications committee of the American society for apheresis. Journal of Clinical Apheresis: The Official Journal of the American Society for Apheresis, 22(3)</w:t>
      </w:r>
      <w:r w:rsidR="001822FE" w:rsidRPr="0053592F">
        <w:rPr>
          <w:color w:val="222222"/>
          <w:shd w:val="clear" w:color="auto" w:fill="FFFFFF"/>
        </w:rPr>
        <w:t>:</w:t>
      </w:r>
      <w:r w:rsidRPr="0053592F">
        <w:rPr>
          <w:color w:val="222222"/>
          <w:shd w:val="clear" w:color="auto" w:fill="FFFFFF"/>
        </w:rPr>
        <w:t>106-175.</w:t>
      </w:r>
    </w:p>
    <w:p w14:paraId="3F302898" w14:textId="67CD5E2B" w:rsidR="001822FE" w:rsidRPr="0053592F" w:rsidRDefault="001822FE" w:rsidP="00373622">
      <w:pPr>
        <w:spacing w:line="276" w:lineRule="auto"/>
        <w:jc w:val="both"/>
      </w:pPr>
      <w:r w:rsidRPr="0053592F">
        <w:rPr>
          <w:color w:val="222222"/>
          <w:shd w:val="clear" w:color="auto" w:fill="FFFFFF"/>
        </w:rPr>
        <w:t>32.</w:t>
      </w:r>
      <w:r w:rsidRPr="0053592F">
        <w:rPr>
          <w:color w:val="000000" w:themeColor="text1"/>
        </w:rPr>
        <w:t xml:space="preserve"> Rice C, </w:t>
      </w:r>
      <w:proofErr w:type="spellStart"/>
      <w:r w:rsidRPr="0053592F">
        <w:rPr>
          <w:color w:val="000000" w:themeColor="text1"/>
        </w:rPr>
        <w:t>Eikema</w:t>
      </w:r>
      <w:proofErr w:type="spellEnd"/>
      <w:r w:rsidRPr="0053592F">
        <w:rPr>
          <w:color w:val="000000" w:themeColor="text1"/>
        </w:rPr>
        <w:t xml:space="preserve"> DJ, Marsh JCW, Knol C, Hebert K, Putter H, et al. Allogeneic Hematopoietic Cell Transplantation in Patients Aged 50Years or Older with Severe Aplastic Anemia. </w:t>
      </w:r>
      <w:proofErr w:type="spellStart"/>
      <w:r w:rsidRPr="0053592F">
        <w:rPr>
          <w:color w:val="000000" w:themeColor="text1"/>
        </w:rPr>
        <w:t>Biol</w:t>
      </w:r>
      <w:proofErr w:type="spellEnd"/>
      <w:r w:rsidRPr="0053592F">
        <w:rPr>
          <w:color w:val="000000" w:themeColor="text1"/>
        </w:rPr>
        <w:t xml:space="preserve"> Blood Marrow Transplant. 2019;25(3):488-495. </w:t>
      </w:r>
    </w:p>
    <w:p w14:paraId="76481702" w14:textId="1F350406" w:rsidR="00B64CF8" w:rsidRPr="0053592F" w:rsidRDefault="00B64DED" w:rsidP="00373622">
      <w:pPr>
        <w:spacing w:line="276" w:lineRule="auto"/>
        <w:jc w:val="both"/>
        <w:rPr>
          <w:color w:val="222222"/>
          <w:shd w:val="clear" w:color="auto" w:fill="FFFFFF"/>
        </w:rPr>
      </w:pPr>
      <w:r w:rsidRPr="0053592F">
        <w:rPr>
          <w:color w:val="222222"/>
          <w:shd w:val="clear" w:color="auto" w:fill="FFFFFF"/>
        </w:rPr>
        <w:t>3</w:t>
      </w:r>
      <w:r w:rsidR="001822FE" w:rsidRPr="0053592F">
        <w:rPr>
          <w:color w:val="222222"/>
          <w:shd w:val="clear" w:color="auto" w:fill="FFFFFF"/>
        </w:rPr>
        <w:t>3</w:t>
      </w:r>
      <w:r w:rsidRPr="0053592F">
        <w:rPr>
          <w:color w:val="222222"/>
          <w:shd w:val="clear" w:color="auto" w:fill="FFFFFF"/>
        </w:rPr>
        <w:t>.</w:t>
      </w:r>
      <w:r w:rsidR="002E3B80" w:rsidRPr="0053592F">
        <w:rPr>
          <w:color w:val="222222"/>
          <w:shd w:val="clear" w:color="auto" w:fill="FFFFFF"/>
        </w:rPr>
        <w:t xml:space="preserve"> Gaman A, Gaman G, Bold A. Acquired aplastic anemia: correlation between </w:t>
      </w:r>
      <w:proofErr w:type="spellStart"/>
      <w:r w:rsidR="002E3B80" w:rsidRPr="0053592F">
        <w:rPr>
          <w:color w:val="222222"/>
          <w:shd w:val="clear" w:color="auto" w:fill="FFFFFF"/>
        </w:rPr>
        <w:t>etiology</w:t>
      </w:r>
      <w:proofErr w:type="spellEnd"/>
      <w:r w:rsidR="002E3B80" w:rsidRPr="0053592F">
        <w:rPr>
          <w:color w:val="222222"/>
          <w:shd w:val="clear" w:color="auto" w:fill="FFFFFF"/>
        </w:rPr>
        <w:t xml:space="preserve">, pathophysiology, bone marrow histology and prognosis factors. Rom J </w:t>
      </w:r>
      <w:proofErr w:type="spellStart"/>
      <w:r w:rsidR="002E3B80" w:rsidRPr="0053592F">
        <w:rPr>
          <w:color w:val="222222"/>
          <w:shd w:val="clear" w:color="auto" w:fill="FFFFFF"/>
        </w:rPr>
        <w:t>Morphol</w:t>
      </w:r>
      <w:proofErr w:type="spellEnd"/>
      <w:r w:rsidR="002E3B80" w:rsidRPr="0053592F">
        <w:rPr>
          <w:color w:val="222222"/>
          <w:shd w:val="clear" w:color="auto" w:fill="FFFFFF"/>
        </w:rPr>
        <w:t xml:space="preserve"> </w:t>
      </w:r>
      <w:proofErr w:type="spellStart"/>
      <w:r w:rsidR="002E3B80" w:rsidRPr="0053592F">
        <w:rPr>
          <w:color w:val="222222"/>
          <w:shd w:val="clear" w:color="auto" w:fill="FFFFFF"/>
        </w:rPr>
        <w:t>Embryol</w:t>
      </w:r>
      <w:proofErr w:type="spellEnd"/>
      <w:r w:rsidR="002E3B80" w:rsidRPr="0053592F">
        <w:rPr>
          <w:color w:val="222222"/>
          <w:shd w:val="clear" w:color="auto" w:fill="FFFFFF"/>
        </w:rPr>
        <w:t>. 2009;50(4):669-74.</w:t>
      </w:r>
    </w:p>
    <w:p w14:paraId="57329BB0" w14:textId="1A67A458" w:rsidR="00B64CF8" w:rsidRPr="0053592F" w:rsidRDefault="00B64CF8" w:rsidP="00373622">
      <w:pPr>
        <w:spacing w:line="276" w:lineRule="auto"/>
        <w:jc w:val="both"/>
        <w:rPr>
          <w:color w:val="222222"/>
          <w:shd w:val="clear" w:color="auto" w:fill="FFFFFF"/>
        </w:rPr>
      </w:pPr>
      <w:r w:rsidRPr="0053592F">
        <w:rPr>
          <w:color w:val="222222"/>
          <w:shd w:val="clear" w:color="auto" w:fill="FFFFFF"/>
        </w:rPr>
        <w:t>3</w:t>
      </w:r>
      <w:r w:rsidR="001822FE" w:rsidRPr="0053592F">
        <w:rPr>
          <w:color w:val="222222"/>
          <w:shd w:val="clear" w:color="auto" w:fill="FFFFFF"/>
        </w:rPr>
        <w:t>4</w:t>
      </w:r>
      <w:r w:rsidRPr="0053592F">
        <w:rPr>
          <w:color w:val="222222"/>
          <w:shd w:val="clear" w:color="auto" w:fill="FFFFFF"/>
        </w:rPr>
        <w:t xml:space="preserve">. </w:t>
      </w:r>
      <w:r w:rsidRPr="0053592F">
        <w:rPr>
          <w:color w:val="000000" w:themeColor="text1"/>
        </w:rPr>
        <w:t xml:space="preserve">Zakaria Z, </w:t>
      </w:r>
      <w:proofErr w:type="spellStart"/>
      <w:r w:rsidRPr="0053592F">
        <w:rPr>
          <w:color w:val="000000" w:themeColor="text1"/>
        </w:rPr>
        <w:t>Kaliaperumal</w:t>
      </w:r>
      <w:proofErr w:type="spellEnd"/>
      <w:r w:rsidRPr="0053592F">
        <w:rPr>
          <w:color w:val="000000" w:themeColor="text1"/>
        </w:rPr>
        <w:t xml:space="preserve"> C, Crimmins D, Caird J. Neurosurgical management in children with bleeding diathesis: auditing neurological outcome. J </w:t>
      </w:r>
      <w:proofErr w:type="spellStart"/>
      <w:r w:rsidRPr="0053592F">
        <w:rPr>
          <w:color w:val="000000" w:themeColor="text1"/>
        </w:rPr>
        <w:t>Neurosurg</w:t>
      </w:r>
      <w:proofErr w:type="spellEnd"/>
      <w:r w:rsidRPr="0053592F">
        <w:rPr>
          <w:color w:val="000000" w:themeColor="text1"/>
        </w:rPr>
        <w:t xml:space="preserve"> </w:t>
      </w:r>
      <w:proofErr w:type="spellStart"/>
      <w:r w:rsidRPr="0053592F">
        <w:rPr>
          <w:color w:val="000000" w:themeColor="text1"/>
        </w:rPr>
        <w:t>Pediatr</w:t>
      </w:r>
      <w:proofErr w:type="spellEnd"/>
      <w:r w:rsidRPr="0053592F">
        <w:rPr>
          <w:color w:val="000000" w:themeColor="text1"/>
        </w:rPr>
        <w:t>. 2018;21(1):38-43.</w:t>
      </w:r>
    </w:p>
    <w:p w14:paraId="1809ED81" w14:textId="3389007F" w:rsidR="000173EE" w:rsidRPr="0053592F" w:rsidRDefault="00B64CF8" w:rsidP="00373622">
      <w:pPr>
        <w:spacing w:line="276" w:lineRule="auto"/>
        <w:ind w:right="192"/>
        <w:jc w:val="both"/>
        <w:rPr>
          <w:color w:val="000000" w:themeColor="text1"/>
        </w:rPr>
      </w:pPr>
      <w:r w:rsidRPr="0053592F">
        <w:rPr>
          <w:color w:val="000000" w:themeColor="text1"/>
        </w:rPr>
        <w:t>3</w:t>
      </w:r>
      <w:r w:rsidR="001822FE" w:rsidRPr="0053592F">
        <w:rPr>
          <w:color w:val="000000" w:themeColor="text1"/>
        </w:rPr>
        <w:t>5</w:t>
      </w:r>
      <w:r w:rsidRPr="0053592F">
        <w:rPr>
          <w:color w:val="000000" w:themeColor="text1"/>
        </w:rPr>
        <w:t xml:space="preserve">. Dietz AC, Mehta PA, Vlachos A, Savage SA, </w:t>
      </w:r>
      <w:proofErr w:type="spellStart"/>
      <w:r w:rsidRPr="0053592F">
        <w:rPr>
          <w:color w:val="000000" w:themeColor="text1"/>
        </w:rPr>
        <w:t>Bresters</w:t>
      </w:r>
      <w:proofErr w:type="spellEnd"/>
      <w:r w:rsidRPr="0053592F">
        <w:rPr>
          <w:color w:val="000000" w:themeColor="text1"/>
        </w:rPr>
        <w:t xml:space="preserve"> D, Tolar J, </w:t>
      </w:r>
      <w:r w:rsidR="0072390C" w:rsidRPr="0053592F">
        <w:rPr>
          <w:color w:val="000000" w:themeColor="text1"/>
        </w:rPr>
        <w:t>et al</w:t>
      </w:r>
      <w:r w:rsidRPr="0053592F">
        <w:rPr>
          <w:color w:val="000000" w:themeColor="text1"/>
        </w:rPr>
        <w:t>. Current Knowledge and Priorities for Future Research in Late Effects after Hematopoietic Cell Transplantation for Inherited Bone Marrow Failure Syndromes: Consensus Statement from the Second Pediatric Blood and Marrow Transplant Consortium International Conference on Late Effects after Pediatric Hematopoietic Cell Transplantation. </w:t>
      </w:r>
      <w:proofErr w:type="spellStart"/>
      <w:r w:rsidRPr="0053592F">
        <w:rPr>
          <w:color w:val="000000" w:themeColor="text1"/>
        </w:rPr>
        <w:t>Biol</w:t>
      </w:r>
      <w:proofErr w:type="spellEnd"/>
      <w:r w:rsidRPr="0053592F">
        <w:rPr>
          <w:color w:val="000000" w:themeColor="text1"/>
        </w:rPr>
        <w:t xml:space="preserve"> Blood Marrow Transplant. 2017;23(5):726-735. </w:t>
      </w:r>
    </w:p>
    <w:sectPr w:rsidR="000173EE" w:rsidRPr="0053592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4A0C40"/>
    <w:multiLevelType w:val="multilevel"/>
    <w:tmpl w:val="40AC5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FD827E6"/>
    <w:multiLevelType w:val="multilevel"/>
    <w:tmpl w:val="9CFE6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131275F"/>
    <w:multiLevelType w:val="multilevel"/>
    <w:tmpl w:val="2E8E49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A364180"/>
    <w:multiLevelType w:val="multilevel"/>
    <w:tmpl w:val="2D104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4FD"/>
    <w:rsid w:val="000068F5"/>
    <w:rsid w:val="000173EE"/>
    <w:rsid w:val="00025D2D"/>
    <w:rsid w:val="00041911"/>
    <w:rsid w:val="00043689"/>
    <w:rsid w:val="00072605"/>
    <w:rsid w:val="00074170"/>
    <w:rsid w:val="00092E2E"/>
    <w:rsid w:val="000A75A1"/>
    <w:rsid w:val="000A771B"/>
    <w:rsid w:val="000B1013"/>
    <w:rsid w:val="000D39E0"/>
    <w:rsid w:val="000E00E4"/>
    <w:rsid w:val="000E1778"/>
    <w:rsid w:val="000E2AEF"/>
    <w:rsid w:val="000E4F87"/>
    <w:rsid w:val="000E53A8"/>
    <w:rsid w:val="00110BB1"/>
    <w:rsid w:val="00117295"/>
    <w:rsid w:val="0012432A"/>
    <w:rsid w:val="00145A36"/>
    <w:rsid w:val="001822FE"/>
    <w:rsid w:val="001A134A"/>
    <w:rsid w:val="001A5C93"/>
    <w:rsid w:val="001B4DD5"/>
    <w:rsid w:val="001D5FDD"/>
    <w:rsid w:val="001E445B"/>
    <w:rsid w:val="001F6C50"/>
    <w:rsid w:val="002139C0"/>
    <w:rsid w:val="00235765"/>
    <w:rsid w:val="00264807"/>
    <w:rsid w:val="002759C1"/>
    <w:rsid w:val="00280FDA"/>
    <w:rsid w:val="00282AC6"/>
    <w:rsid w:val="002838BA"/>
    <w:rsid w:val="002A0C6F"/>
    <w:rsid w:val="002A367B"/>
    <w:rsid w:val="002A6D43"/>
    <w:rsid w:val="002A7634"/>
    <w:rsid w:val="002B7031"/>
    <w:rsid w:val="002B7A57"/>
    <w:rsid w:val="002C2F64"/>
    <w:rsid w:val="002E3B80"/>
    <w:rsid w:val="002E537C"/>
    <w:rsid w:val="003002E4"/>
    <w:rsid w:val="00303FE3"/>
    <w:rsid w:val="00305A60"/>
    <w:rsid w:val="0031141D"/>
    <w:rsid w:val="0031615F"/>
    <w:rsid w:val="00316275"/>
    <w:rsid w:val="00335446"/>
    <w:rsid w:val="00373622"/>
    <w:rsid w:val="0037643B"/>
    <w:rsid w:val="0039047A"/>
    <w:rsid w:val="00397276"/>
    <w:rsid w:val="003A1901"/>
    <w:rsid w:val="003C75EC"/>
    <w:rsid w:val="003F3A7A"/>
    <w:rsid w:val="003F627B"/>
    <w:rsid w:val="00400A10"/>
    <w:rsid w:val="00401ED3"/>
    <w:rsid w:val="004133B8"/>
    <w:rsid w:val="004147B4"/>
    <w:rsid w:val="00436F1B"/>
    <w:rsid w:val="00441F36"/>
    <w:rsid w:val="0045684A"/>
    <w:rsid w:val="0046043A"/>
    <w:rsid w:val="00464604"/>
    <w:rsid w:val="00464E27"/>
    <w:rsid w:val="004701A1"/>
    <w:rsid w:val="00481E78"/>
    <w:rsid w:val="004834FD"/>
    <w:rsid w:val="004850C3"/>
    <w:rsid w:val="004B6121"/>
    <w:rsid w:val="004E0C9A"/>
    <w:rsid w:val="004E392E"/>
    <w:rsid w:val="004F268B"/>
    <w:rsid w:val="004F5C1F"/>
    <w:rsid w:val="004F64A5"/>
    <w:rsid w:val="00516E8D"/>
    <w:rsid w:val="0052754E"/>
    <w:rsid w:val="0053592F"/>
    <w:rsid w:val="00541C26"/>
    <w:rsid w:val="0057297A"/>
    <w:rsid w:val="00593F09"/>
    <w:rsid w:val="005C5BFB"/>
    <w:rsid w:val="005D0E48"/>
    <w:rsid w:val="005D246C"/>
    <w:rsid w:val="005E1F66"/>
    <w:rsid w:val="005E4168"/>
    <w:rsid w:val="005E5A90"/>
    <w:rsid w:val="005F4FD7"/>
    <w:rsid w:val="0061462B"/>
    <w:rsid w:val="00627568"/>
    <w:rsid w:val="00631CA6"/>
    <w:rsid w:val="00633E4F"/>
    <w:rsid w:val="00636F33"/>
    <w:rsid w:val="0066113E"/>
    <w:rsid w:val="00677C68"/>
    <w:rsid w:val="006832C0"/>
    <w:rsid w:val="006878CA"/>
    <w:rsid w:val="006A4C2B"/>
    <w:rsid w:val="006B3DA6"/>
    <w:rsid w:val="006C57BC"/>
    <w:rsid w:val="006F463C"/>
    <w:rsid w:val="00711721"/>
    <w:rsid w:val="0072390C"/>
    <w:rsid w:val="0072408B"/>
    <w:rsid w:val="0072503F"/>
    <w:rsid w:val="0073503A"/>
    <w:rsid w:val="0073697F"/>
    <w:rsid w:val="007423AC"/>
    <w:rsid w:val="00755579"/>
    <w:rsid w:val="0076159E"/>
    <w:rsid w:val="00762E17"/>
    <w:rsid w:val="00763678"/>
    <w:rsid w:val="007664B2"/>
    <w:rsid w:val="00776A1C"/>
    <w:rsid w:val="00777C7D"/>
    <w:rsid w:val="00780997"/>
    <w:rsid w:val="00781D27"/>
    <w:rsid w:val="0079029A"/>
    <w:rsid w:val="007D01C4"/>
    <w:rsid w:val="007D0A56"/>
    <w:rsid w:val="007D35F6"/>
    <w:rsid w:val="007D7965"/>
    <w:rsid w:val="007F7100"/>
    <w:rsid w:val="00804C4B"/>
    <w:rsid w:val="00834576"/>
    <w:rsid w:val="008436CE"/>
    <w:rsid w:val="00843CD4"/>
    <w:rsid w:val="00844793"/>
    <w:rsid w:val="008473B7"/>
    <w:rsid w:val="008476EC"/>
    <w:rsid w:val="00867E2A"/>
    <w:rsid w:val="00873090"/>
    <w:rsid w:val="0088374B"/>
    <w:rsid w:val="00894932"/>
    <w:rsid w:val="008B5B1E"/>
    <w:rsid w:val="008C0573"/>
    <w:rsid w:val="008C155C"/>
    <w:rsid w:val="008D1E2A"/>
    <w:rsid w:val="008E0623"/>
    <w:rsid w:val="009038EB"/>
    <w:rsid w:val="00903F27"/>
    <w:rsid w:val="00930210"/>
    <w:rsid w:val="00934DD3"/>
    <w:rsid w:val="0093614E"/>
    <w:rsid w:val="009455E2"/>
    <w:rsid w:val="009462EF"/>
    <w:rsid w:val="009467B1"/>
    <w:rsid w:val="009518B3"/>
    <w:rsid w:val="00954667"/>
    <w:rsid w:val="009603C4"/>
    <w:rsid w:val="0099408F"/>
    <w:rsid w:val="00995DDA"/>
    <w:rsid w:val="009A1A47"/>
    <w:rsid w:val="009A23CC"/>
    <w:rsid w:val="009C7F8F"/>
    <w:rsid w:val="009E20EB"/>
    <w:rsid w:val="009F0437"/>
    <w:rsid w:val="009F37FD"/>
    <w:rsid w:val="00A0010A"/>
    <w:rsid w:val="00A12E1C"/>
    <w:rsid w:val="00A42BD6"/>
    <w:rsid w:val="00A44895"/>
    <w:rsid w:val="00A54AC0"/>
    <w:rsid w:val="00A658E2"/>
    <w:rsid w:val="00A66EC7"/>
    <w:rsid w:val="00AA09A9"/>
    <w:rsid w:val="00AA791A"/>
    <w:rsid w:val="00AA7B7C"/>
    <w:rsid w:val="00AB477E"/>
    <w:rsid w:val="00AD783D"/>
    <w:rsid w:val="00AF20C1"/>
    <w:rsid w:val="00B0669B"/>
    <w:rsid w:val="00B21CC9"/>
    <w:rsid w:val="00B308F5"/>
    <w:rsid w:val="00B52056"/>
    <w:rsid w:val="00B64CF8"/>
    <w:rsid w:val="00B64DED"/>
    <w:rsid w:val="00B7550E"/>
    <w:rsid w:val="00B75A51"/>
    <w:rsid w:val="00B91D69"/>
    <w:rsid w:val="00B921A6"/>
    <w:rsid w:val="00BC577A"/>
    <w:rsid w:val="00BD2B4D"/>
    <w:rsid w:val="00BD4696"/>
    <w:rsid w:val="00BD6F73"/>
    <w:rsid w:val="00BD77BD"/>
    <w:rsid w:val="00BF18AE"/>
    <w:rsid w:val="00C06D0C"/>
    <w:rsid w:val="00C07852"/>
    <w:rsid w:val="00C13419"/>
    <w:rsid w:val="00C32E31"/>
    <w:rsid w:val="00C37244"/>
    <w:rsid w:val="00C4190E"/>
    <w:rsid w:val="00C72BFA"/>
    <w:rsid w:val="00C82BDE"/>
    <w:rsid w:val="00CD3858"/>
    <w:rsid w:val="00CD5040"/>
    <w:rsid w:val="00CD7746"/>
    <w:rsid w:val="00CE6840"/>
    <w:rsid w:val="00CF3C02"/>
    <w:rsid w:val="00D03FD3"/>
    <w:rsid w:val="00D54963"/>
    <w:rsid w:val="00D57BAB"/>
    <w:rsid w:val="00D61B53"/>
    <w:rsid w:val="00D83588"/>
    <w:rsid w:val="00D92C9A"/>
    <w:rsid w:val="00DA2AA9"/>
    <w:rsid w:val="00DB3D08"/>
    <w:rsid w:val="00DC6868"/>
    <w:rsid w:val="00DD7E5F"/>
    <w:rsid w:val="00DD7EA7"/>
    <w:rsid w:val="00E03067"/>
    <w:rsid w:val="00E06D32"/>
    <w:rsid w:val="00E11DD2"/>
    <w:rsid w:val="00E123D7"/>
    <w:rsid w:val="00E13FC1"/>
    <w:rsid w:val="00E21FB2"/>
    <w:rsid w:val="00E229B0"/>
    <w:rsid w:val="00E2374B"/>
    <w:rsid w:val="00E3634D"/>
    <w:rsid w:val="00E43D1F"/>
    <w:rsid w:val="00E5595E"/>
    <w:rsid w:val="00E55AD4"/>
    <w:rsid w:val="00E73686"/>
    <w:rsid w:val="00E7491A"/>
    <w:rsid w:val="00E87AC9"/>
    <w:rsid w:val="00E96BA0"/>
    <w:rsid w:val="00EA4135"/>
    <w:rsid w:val="00EB1843"/>
    <w:rsid w:val="00EB3A37"/>
    <w:rsid w:val="00EC6DED"/>
    <w:rsid w:val="00ED7772"/>
    <w:rsid w:val="00EF36D6"/>
    <w:rsid w:val="00EF413A"/>
    <w:rsid w:val="00EF6072"/>
    <w:rsid w:val="00F00F11"/>
    <w:rsid w:val="00F013CE"/>
    <w:rsid w:val="00F07615"/>
    <w:rsid w:val="00F11035"/>
    <w:rsid w:val="00F179A9"/>
    <w:rsid w:val="00F204CE"/>
    <w:rsid w:val="00F21AB3"/>
    <w:rsid w:val="00F379D1"/>
    <w:rsid w:val="00F42D62"/>
    <w:rsid w:val="00F50DC7"/>
    <w:rsid w:val="00F767F6"/>
    <w:rsid w:val="00F86F21"/>
    <w:rsid w:val="00F901D0"/>
    <w:rsid w:val="00FA35A0"/>
    <w:rsid w:val="00FC3955"/>
    <w:rsid w:val="00FD136D"/>
    <w:rsid w:val="00FD666B"/>
    <w:rsid w:val="00FE55A8"/>
    <w:rsid w:val="00FE55F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7F3B7F"/>
  <w15:chartTrackingRefBased/>
  <w15:docId w15:val="{39896CD3-7692-864E-91A4-BA43252D6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01C4"/>
    <w:rPr>
      <w:rFonts w:ascii="Times New Roman" w:eastAsia="Times New Roman" w:hAnsi="Times New Roman" w:cs="Times New Roman"/>
      <w:lang w:eastAsia="en-GB"/>
    </w:rPr>
  </w:style>
  <w:style w:type="paragraph" w:styleId="Heading2">
    <w:name w:val="heading 2"/>
    <w:basedOn w:val="Normal"/>
    <w:link w:val="Heading2Char"/>
    <w:uiPriority w:val="9"/>
    <w:qFormat/>
    <w:rsid w:val="000173EE"/>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unhideWhenUsed/>
    <w:qFormat/>
    <w:rsid w:val="002B7031"/>
    <w:pPr>
      <w:keepNext/>
      <w:keepLines/>
      <w:spacing w:before="40"/>
      <w:outlineLvl w:val="2"/>
    </w:pPr>
    <w:rPr>
      <w:rFonts w:asciiTheme="majorHAnsi" w:eastAsiaTheme="majorEastAsia" w:hAnsiTheme="majorHAnsi" w:cstheme="majorBidi"/>
      <w:color w:val="1F3763" w:themeColor="accent1" w:themeShade="7F"/>
      <w:lang w:eastAsia="en-US"/>
    </w:rPr>
  </w:style>
  <w:style w:type="paragraph" w:styleId="Heading4">
    <w:name w:val="heading 4"/>
    <w:basedOn w:val="Normal"/>
    <w:link w:val="Heading4Char"/>
    <w:uiPriority w:val="9"/>
    <w:qFormat/>
    <w:rsid w:val="000173EE"/>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173EE"/>
    <w:rPr>
      <w:rFonts w:ascii="Times New Roman" w:eastAsia="Times New Roman" w:hAnsi="Times New Roman" w:cs="Times New Roman"/>
      <w:b/>
      <w:bCs/>
      <w:sz w:val="36"/>
      <w:szCs w:val="36"/>
      <w:lang w:eastAsia="en-GB"/>
    </w:rPr>
  </w:style>
  <w:style w:type="character" w:customStyle="1" w:styleId="Heading4Char">
    <w:name w:val="Heading 4 Char"/>
    <w:basedOn w:val="DefaultParagraphFont"/>
    <w:link w:val="Heading4"/>
    <w:uiPriority w:val="9"/>
    <w:rsid w:val="000173EE"/>
    <w:rPr>
      <w:rFonts w:ascii="Times New Roman" w:eastAsia="Times New Roman" w:hAnsi="Times New Roman" w:cs="Times New Roman"/>
      <w:b/>
      <w:bCs/>
      <w:lang w:eastAsia="en-GB"/>
    </w:rPr>
  </w:style>
  <w:style w:type="paragraph" w:styleId="NormalWeb">
    <w:name w:val="Normal (Web)"/>
    <w:basedOn w:val="Normal"/>
    <w:uiPriority w:val="99"/>
    <w:unhideWhenUsed/>
    <w:rsid w:val="000173EE"/>
    <w:pPr>
      <w:spacing w:before="100" w:beforeAutospacing="1" w:after="100" w:afterAutospacing="1"/>
    </w:pPr>
  </w:style>
  <w:style w:type="paragraph" w:customStyle="1" w:styleId="halfrhythm">
    <w:name w:val="half_rhythm"/>
    <w:basedOn w:val="Normal"/>
    <w:rsid w:val="000173EE"/>
    <w:pPr>
      <w:spacing w:before="100" w:beforeAutospacing="1" w:after="100" w:afterAutospacing="1"/>
    </w:pPr>
  </w:style>
  <w:style w:type="character" w:styleId="Hyperlink">
    <w:name w:val="Hyperlink"/>
    <w:basedOn w:val="DefaultParagraphFont"/>
    <w:uiPriority w:val="99"/>
    <w:semiHidden/>
    <w:unhideWhenUsed/>
    <w:rsid w:val="000173EE"/>
    <w:rPr>
      <w:color w:val="0000FF"/>
      <w:u w:val="single"/>
    </w:rPr>
  </w:style>
  <w:style w:type="paragraph" w:customStyle="1" w:styleId="float-caption">
    <w:name w:val="float-caption"/>
    <w:basedOn w:val="Normal"/>
    <w:rsid w:val="000173EE"/>
    <w:pPr>
      <w:spacing w:before="100" w:beforeAutospacing="1" w:after="100" w:afterAutospacing="1"/>
    </w:pPr>
  </w:style>
  <w:style w:type="character" w:customStyle="1" w:styleId="ref-journal">
    <w:name w:val="ref-journal"/>
    <w:basedOn w:val="DefaultParagraphFont"/>
    <w:rsid w:val="000173EE"/>
  </w:style>
  <w:style w:type="character" w:customStyle="1" w:styleId="ref-vol">
    <w:name w:val="ref-vol"/>
    <w:basedOn w:val="DefaultParagraphFont"/>
    <w:rsid w:val="000173EE"/>
  </w:style>
  <w:style w:type="character" w:styleId="FollowedHyperlink">
    <w:name w:val="FollowedHyperlink"/>
    <w:basedOn w:val="DefaultParagraphFont"/>
    <w:uiPriority w:val="99"/>
    <w:semiHidden/>
    <w:unhideWhenUsed/>
    <w:rsid w:val="00C72BFA"/>
    <w:rPr>
      <w:color w:val="954F72" w:themeColor="followedHyperlink"/>
      <w:u w:val="single"/>
    </w:rPr>
  </w:style>
  <w:style w:type="character" w:customStyle="1" w:styleId="Heading3Char">
    <w:name w:val="Heading 3 Char"/>
    <w:basedOn w:val="DefaultParagraphFont"/>
    <w:link w:val="Heading3"/>
    <w:uiPriority w:val="9"/>
    <w:rsid w:val="002B7031"/>
    <w:rPr>
      <w:rFonts w:asciiTheme="majorHAnsi" w:eastAsiaTheme="majorEastAsia" w:hAnsiTheme="majorHAnsi" w:cstheme="majorBidi"/>
      <w:color w:val="1F3763" w:themeColor="accent1" w:themeShade="7F"/>
    </w:rPr>
  </w:style>
  <w:style w:type="character" w:customStyle="1" w:styleId="mw-headline">
    <w:name w:val="mw-headline"/>
    <w:basedOn w:val="DefaultParagraphFont"/>
    <w:rsid w:val="002B7031"/>
  </w:style>
  <w:style w:type="character" w:customStyle="1" w:styleId="mw-editsection">
    <w:name w:val="mw-editsection"/>
    <w:basedOn w:val="DefaultParagraphFont"/>
    <w:rsid w:val="002B7031"/>
  </w:style>
  <w:style w:type="character" w:customStyle="1" w:styleId="mw-editsection-bracket">
    <w:name w:val="mw-editsection-bracket"/>
    <w:basedOn w:val="DefaultParagraphFont"/>
    <w:rsid w:val="002B7031"/>
  </w:style>
  <w:style w:type="character" w:customStyle="1" w:styleId="A9">
    <w:name w:val="A9"/>
    <w:uiPriority w:val="99"/>
    <w:rsid w:val="00930210"/>
    <w:rPr>
      <w:color w:val="000000"/>
      <w:sz w:val="11"/>
      <w:szCs w:val="11"/>
    </w:rPr>
  </w:style>
  <w:style w:type="table" w:styleId="TableGrid">
    <w:name w:val="Table Grid"/>
    <w:basedOn w:val="TableNormal"/>
    <w:uiPriority w:val="39"/>
    <w:rsid w:val="00EC6D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476EC"/>
    <w:pPr>
      <w:ind w:left="720"/>
      <w:contextualSpacing/>
    </w:pPr>
    <w:rPr>
      <w:rFonts w:asciiTheme="minorHAnsi" w:eastAsiaTheme="minorHAnsi" w:hAnsiTheme="minorHAnsi" w:cstheme="minorBidi"/>
      <w:lang w:eastAsia="en-US"/>
    </w:rPr>
  </w:style>
  <w:style w:type="character" w:styleId="Strong">
    <w:name w:val="Strong"/>
    <w:basedOn w:val="DefaultParagraphFont"/>
    <w:uiPriority w:val="22"/>
    <w:qFormat/>
    <w:rsid w:val="00B921A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471827">
      <w:bodyDiv w:val="1"/>
      <w:marLeft w:val="0"/>
      <w:marRight w:val="0"/>
      <w:marTop w:val="0"/>
      <w:marBottom w:val="0"/>
      <w:divBdr>
        <w:top w:val="none" w:sz="0" w:space="0" w:color="auto"/>
        <w:left w:val="none" w:sz="0" w:space="0" w:color="auto"/>
        <w:bottom w:val="none" w:sz="0" w:space="0" w:color="auto"/>
        <w:right w:val="none" w:sz="0" w:space="0" w:color="auto"/>
      </w:divBdr>
    </w:div>
    <w:div w:id="88700153">
      <w:bodyDiv w:val="1"/>
      <w:marLeft w:val="0"/>
      <w:marRight w:val="0"/>
      <w:marTop w:val="0"/>
      <w:marBottom w:val="0"/>
      <w:divBdr>
        <w:top w:val="none" w:sz="0" w:space="0" w:color="auto"/>
        <w:left w:val="none" w:sz="0" w:space="0" w:color="auto"/>
        <w:bottom w:val="none" w:sz="0" w:space="0" w:color="auto"/>
        <w:right w:val="none" w:sz="0" w:space="0" w:color="auto"/>
      </w:divBdr>
    </w:div>
    <w:div w:id="99448320">
      <w:bodyDiv w:val="1"/>
      <w:marLeft w:val="0"/>
      <w:marRight w:val="0"/>
      <w:marTop w:val="0"/>
      <w:marBottom w:val="0"/>
      <w:divBdr>
        <w:top w:val="none" w:sz="0" w:space="0" w:color="auto"/>
        <w:left w:val="none" w:sz="0" w:space="0" w:color="auto"/>
        <w:bottom w:val="none" w:sz="0" w:space="0" w:color="auto"/>
        <w:right w:val="none" w:sz="0" w:space="0" w:color="auto"/>
      </w:divBdr>
    </w:div>
    <w:div w:id="104230701">
      <w:bodyDiv w:val="1"/>
      <w:marLeft w:val="0"/>
      <w:marRight w:val="0"/>
      <w:marTop w:val="0"/>
      <w:marBottom w:val="0"/>
      <w:divBdr>
        <w:top w:val="none" w:sz="0" w:space="0" w:color="auto"/>
        <w:left w:val="none" w:sz="0" w:space="0" w:color="auto"/>
        <w:bottom w:val="none" w:sz="0" w:space="0" w:color="auto"/>
        <w:right w:val="none" w:sz="0" w:space="0" w:color="auto"/>
      </w:divBdr>
    </w:div>
    <w:div w:id="140343643">
      <w:bodyDiv w:val="1"/>
      <w:marLeft w:val="0"/>
      <w:marRight w:val="0"/>
      <w:marTop w:val="0"/>
      <w:marBottom w:val="0"/>
      <w:divBdr>
        <w:top w:val="none" w:sz="0" w:space="0" w:color="auto"/>
        <w:left w:val="none" w:sz="0" w:space="0" w:color="auto"/>
        <w:bottom w:val="none" w:sz="0" w:space="0" w:color="auto"/>
        <w:right w:val="none" w:sz="0" w:space="0" w:color="auto"/>
      </w:divBdr>
    </w:div>
    <w:div w:id="171996473">
      <w:bodyDiv w:val="1"/>
      <w:marLeft w:val="0"/>
      <w:marRight w:val="0"/>
      <w:marTop w:val="0"/>
      <w:marBottom w:val="0"/>
      <w:divBdr>
        <w:top w:val="none" w:sz="0" w:space="0" w:color="auto"/>
        <w:left w:val="none" w:sz="0" w:space="0" w:color="auto"/>
        <w:bottom w:val="none" w:sz="0" w:space="0" w:color="auto"/>
        <w:right w:val="none" w:sz="0" w:space="0" w:color="auto"/>
      </w:divBdr>
    </w:div>
    <w:div w:id="291598562">
      <w:bodyDiv w:val="1"/>
      <w:marLeft w:val="0"/>
      <w:marRight w:val="0"/>
      <w:marTop w:val="0"/>
      <w:marBottom w:val="0"/>
      <w:divBdr>
        <w:top w:val="none" w:sz="0" w:space="0" w:color="auto"/>
        <w:left w:val="none" w:sz="0" w:space="0" w:color="auto"/>
        <w:bottom w:val="none" w:sz="0" w:space="0" w:color="auto"/>
        <w:right w:val="none" w:sz="0" w:space="0" w:color="auto"/>
      </w:divBdr>
    </w:div>
    <w:div w:id="316422483">
      <w:bodyDiv w:val="1"/>
      <w:marLeft w:val="0"/>
      <w:marRight w:val="0"/>
      <w:marTop w:val="0"/>
      <w:marBottom w:val="0"/>
      <w:divBdr>
        <w:top w:val="none" w:sz="0" w:space="0" w:color="auto"/>
        <w:left w:val="none" w:sz="0" w:space="0" w:color="auto"/>
        <w:bottom w:val="none" w:sz="0" w:space="0" w:color="auto"/>
        <w:right w:val="none" w:sz="0" w:space="0" w:color="auto"/>
      </w:divBdr>
    </w:div>
    <w:div w:id="368847497">
      <w:bodyDiv w:val="1"/>
      <w:marLeft w:val="0"/>
      <w:marRight w:val="0"/>
      <w:marTop w:val="0"/>
      <w:marBottom w:val="0"/>
      <w:divBdr>
        <w:top w:val="none" w:sz="0" w:space="0" w:color="auto"/>
        <w:left w:val="none" w:sz="0" w:space="0" w:color="auto"/>
        <w:bottom w:val="none" w:sz="0" w:space="0" w:color="auto"/>
        <w:right w:val="none" w:sz="0" w:space="0" w:color="auto"/>
      </w:divBdr>
    </w:div>
    <w:div w:id="369495832">
      <w:bodyDiv w:val="1"/>
      <w:marLeft w:val="0"/>
      <w:marRight w:val="0"/>
      <w:marTop w:val="0"/>
      <w:marBottom w:val="0"/>
      <w:divBdr>
        <w:top w:val="none" w:sz="0" w:space="0" w:color="auto"/>
        <w:left w:val="none" w:sz="0" w:space="0" w:color="auto"/>
        <w:bottom w:val="none" w:sz="0" w:space="0" w:color="auto"/>
        <w:right w:val="none" w:sz="0" w:space="0" w:color="auto"/>
      </w:divBdr>
    </w:div>
    <w:div w:id="416245371">
      <w:bodyDiv w:val="1"/>
      <w:marLeft w:val="0"/>
      <w:marRight w:val="0"/>
      <w:marTop w:val="0"/>
      <w:marBottom w:val="0"/>
      <w:divBdr>
        <w:top w:val="none" w:sz="0" w:space="0" w:color="auto"/>
        <w:left w:val="none" w:sz="0" w:space="0" w:color="auto"/>
        <w:bottom w:val="none" w:sz="0" w:space="0" w:color="auto"/>
        <w:right w:val="none" w:sz="0" w:space="0" w:color="auto"/>
      </w:divBdr>
    </w:div>
    <w:div w:id="427503463">
      <w:bodyDiv w:val="1"/>
      <w:marLeft w:val="0"/>
      <w:marRight w:val="0"/>
      <w:marTop w:val="0"/>
      <w:marBottom w:val="0"/>
      <w:divBdr>
        <w:top w:val="none" w:sz="0" w:space="0" w:color="auto"/>
        <w:left w:val="none" w:sz="0" w:space="0" w:color="auto"/>
        <w:bottom w:val="none" w:sz="0" w:space="0" w:color="auto"/>
        <w:right w:val="none" w:sz="0" w:space="0" w:color="auto"/>
      </w:divBdr>
    </w:div>
    <w:div w:id="440149153">
      <w:bodyDiv w:val="1"/>
      <w:marLeft w:val="0"/>
      <w:marRight w:val="0"/>
      <w:marTop w:val="0"/>
      <w:marBottom w:val="0"/>
      <w:divBdr>
        <w:top w:val="none" w:sz="0" w:space="0" w:color="auto"/>
        <w:left w:val="none" w:sz="0" w:space="0" w:color="auto"/>
        <w:bottom w:val="none" w:sz="0" w:space="0" w:color="auto"/>
        <w:right w:val="none" w:sz="0" w:space="0" w:color="auto"/>
      </w:divBdr>
    </w:div>
    <w:div w:id="462384587">
      <w:bodyDiv w:val="1"/>
      <w:marLeft w:val="0"/>
      <w:marRight w:val="0"/>
      <w:marTop w:val="0"/>
      <w:marBottom w:val="0"/>
      <w:divBdr>
        <w:top w:val="none" w:sz="0" w:space="0" w:color="auto"/>
        <w:left w:val="none" w:sz="0" w:space="0" w:color="auto"/>
        <w:bottom w:val="none" w:sz="0" w:space="0" w:color="auto"/>
        <w:right w:val="none" w:sz="0" w:space="0" w:color="auto"/>
      </w:divBdr>
    </w:div>
    <w:div w:id="479738995">
      <w:bodyDiv w:val="1"/>
      <w:marLeft w:val="0"/>
      <w:marRight w:val="0"/>
      <w:marTop w:val="0"/>
      <w:marBottom w:val="0"/>
      <w:divBdr>
        <w:top w:val="none" w:sz="0" w:space="0" w:color="auto"/>
        <w:left w:val="none" w:sz="0" w:space="0" w:color="auto"/>
        <w:bottom w:val="none" w:sz="0" w:space="0" w:color="auto"/>
        <w:right w:val="none" w:sz="0" w:space="0" w:color="auto"/>
      </w:divBdr>
    </w:div>
    <w:div w:id="580021899">
      <w:bodyDiv w:val="1"/>
      <w:marLeft w:val="0"/>
      <w:marRight w:val="0"/>
      <w:marTop w:val="0"/>
      <w:marBottom w:val="0"/>
      <w:divBdr>
        <w:top w:val="none" w:sz="0" w:space="0" w:color="auto"/>
        <w:left w:val="none" w:sz="0" w:space="0" w:color="auto"/>
        <w:bottom w:val="none" w:sz="0" w:space="0" w:color="auto"/>
        <w:right w:val="none" w:sz="0" w:space="0" w:color="auto"/>
      </w:divBdr>
    </w:div>
    <w:div w:id="585264707">
      <w:bodyDiv w:val="1"/>
      <w:marLeft w:val="0"/>
      <w:marRight w:val="0"/>
      <w:marTop w:val="0"/>
      <w:marBottom w:val="0"/>
      <w:divBdr>
        <w:top w:val="none" w:sz="0" w:space="0" w:color="auto"/>
        <w:left w:val="none" w:sz="0" w:space="0" w:color="auto"/>
        <w:bottom w:val="none" w:sz="0" w:space="0" w:color="auto"/>
        <w:right w:val="none" w:sz="0" w:space="0" w:color="auto"/>
      </w:divBdr>
    </w:div>
    <w:div w:id="594556951">
      <w:bodyDiv w:val="1"/>
      <w:marLeft w:val="0"/>
      <w:marRight w:val="0"/>
      <w:marTop w:val="0"/>
      <w:marBottom w:val="0"/>
      <w:divBdr>
        <w:top w:val="none" w:sz="0" w:space="0" w:color="auto"/>
        <w:left w:val="none" w:sz="0" w:space="0" w:color="auto"/>
        <w:bottom w:val="none" w:sz="0" w:space="0" w:color="auto"/>
        <w:right w:val="none" w:sz="0" w:space="0" w:color="auto"/>
      </w:divBdr>
    </w:div>
    <w:div w:id="632251862">
      <w:bodyDiv w:val="1"/>
      <w:marLeft w:val="0"/>
      <w:marRight w:val="0"/>
      <w:marTop w:val="0"/>
      <w:marBottom w:val="0"/>
      <w:divBdr>
        <w:top w:val="none" w:sz="0" w:space="0" w:color="auto"/>
        <w:left w:val="none" w:sz="0" w:space="0" w:color="auto"/>
        <w:bottom w:val="none" w:sz="0" w:space="0" w:color="auto"/>
        <w:right w:val="none" w:sz="0" w:space="0" w:color="auto"/>
      </w:divBdr>
    </w:div>
    <w:div w:id="776097656">
      <w:bodyDiv w:val="1"/>
      <w:marLeft w:val="0"/>
      <w:marRight w:val="0"/>
      <w:marTop w:val="0"/>
      <w:marBottom w:val="0"/>
      <w:divBdr>
        <w:top w:val="none" w:sz="0" w:space="0" w:color="auto"/>
        <w:left w:val="none" w:sz="0" w:space="0" w:color="auto"/>
        <w:bottom w:val="none" w:sz="0" w:space="0" w:color="auto"/>
        <w:right w:val="none" w:sz="0" w:space="0" w:color="auto"/>
      </w:divBdr>
    </w:div>
    <w:div w:id="820271863">
      <w:bodyDiv w:val="1"/>
      <w:marLeft w:val="0"/>
      <w:marRight w:val="0"/>
      <w:marTop w:val="0"/>
      <w:marBottom w:val="0"/>
      <w:divBdr>
        <w:top w:val="none" w:sz="0" w:space="0" w:color="auto"/>
        <w:left w:val="none" w:sz="0" w:space="0" w:color="auto"/>
        <w:bottom w:val="none" w:sz="0" w:space="0" w:color="auto"/>
        <w:right w:val="none" w:sz="0" w:space="0" w:color="auto"/>
      </w:divBdr>
    </w:div>
    <w:div w:id="891380238">
      <w:bodyDiv w:val="1"/>
      <w:marLeft w:val="0"/>
      <w:marRight w:val="0"/>
      <w:marTop w:val="0"/>
      <w:marBottom w:val="0"/>
      <w:divBdr>
        <w:top w:val="none" w:sz="0" w:space="0" w:color="auto"/>
        <w:left w:val="none" w:sz="0" w:space="0" w:color="auto"/>
        <w:bottom w:val="none" w:sz="0" w:space="0" w:color="auto"/>
        <w:right w:val="none" w:sz="0" w:space="0" w:color="auto"/>
      </w:divBdr>
    </w:div>
    <w:div w:id="907764800">
      <w:bodyDiv w:val="1"/>
      <w:marLeft w:val="0"/>
      <w:marRight w:val="0"/>
      <w:marTop w:val="0"/>
      <w:marBottom w:val="0"/>
      <w:divBdr>
        <w:top w:val="none" w:sz="0" w:space="0" w:color="auto"/>
        <w:left w:val="none" w:sz="0" w:space="0" w:color="auto"/>
        <w:bottom w:val="none" w:sz="0" w:space="0" w:color="auto"/>
        <w:right w:val="none" w:sz="0" w:space="0" w:color="auto"/>
      </w:divBdr>
    </w:div>
    <w:div w:id="921990737">
      <w:bodyDiv w:val="1"/>
      <w:marLeft w:val="0"/>
      <w:marRight w:val="0"/>
      <w:marTop w:val="0"/>
      <w:marBottom w:val="0"/>
      <w:divBdr>
        <w:top w:val="none" w:sz="0" w:space="0" w:color="auto"/>
        <w:left w:val="none" w:sz="0" w:space="0" w:color="auto"/>
        <w:bottom w:val="none" w:sz="0" w:space="0" w:color="auto"/>
        <w:right w:val="none" w:sz="0" w:space="0" w:color="auto"/>
      </w:divBdr>
    </w:div>
    <w:div w:id="1001784123">
      <w:bodyDiv w:val="1"/>
      <w:marLeft w:val="0"/>
      <w:marRight w:val="0"/>
      <w:marTop w:val="0"/>
      <w:marBottom w:val="0"/>
      <w:divBdr>
        <w:top w:val="none" w:sz="0" w:space="0" w:color="auto"/>
        <w:left w:val="none" w:sz="0" w:space="0" w:color="auto"/>
        <w:bottom w:val="none" w:sz="0" w:space="0" w:color="auto"/>
        <w:right w:val="none" w:sz="0" w:space="0" w:color="auto"/>
      </w:divBdr>
    </w:div>
    <w:div w:id="1047872331">
      <w:bodyDiv w:val="1"/>
      <w:marLeft w:val="0"/>
      <w:marRight w:val="0"/>
      <w:marTop w:val="0"/>
      <w:marBottom w:val="0"/>
      <w:divBdr>
        <w:top w:val="none" w:sz="0" w:space="0" w:color="auto"/>
        <w:left w:val="none" w:sz="0" w:space="0" w:color="auto"/>
        <w:bottom w:val="none" w:sz="0" w:space="0" w:color="auto"/>
        <w:right w:val="none" w:sz="0" w:space="0" w:color="auto"/>
      </w:divBdr>
    </w:div>
    <w:div w:id="1070081695">
      <w:bodyDiv w:val="1"/>
      <w:marLeft w:val="0"/>
      <w:marRight w:val="0"/>
      <w:marTop w:val="0"/>
      <w:marBottom w:val="0"/>
      <w:divBdr>
        <w:top w:val="none" w:sz="0" w:space="0" w:color="auto"/>
        <w:left w:val="none" w:sz="0" w:space="0" w:color="auto"/>
        <w:bottom w:val="none" w:sz="0" w:space="0" w:color="auto"/>
        <w:right w:val="none" w:sz="0" w:space="0" w:color="auto"/>
      </w:divBdr>
    </w:div>
    <w:div w:id="1126125692">
      <w:bodyDiv w:val="1"/>
      <w:marLeft w:val="0"/>
      <w:marRight w:val="0"/>
      <w:marTop w:val="0"/>
      <w:marBottom w:val="0"/>
      <w:divBdr>
        <w:top w:val="none" w:sz="0" w:space="0" w:color="auto"/>
        <w:left w:val="none" w:sz="0" w:space="0" w:color="auto"/>
        <w:bottom w:val="none" w:sz="0" w:space="0" w:color="auto"/>
        <w:right w:val="none" w:sz="0" w:space="0" w:color="auto"/>
      </w:divBdr>
    </w:div>
    <w:div w:id="1179811326">
      <w:bodyDiv w:val="1"/>
      <w:marLeft w:val="0"/>
      <w:marRight w:val="0"/>
      <w:marTop w:val="0"/>
      <w:marBottom w:val="0"/>
      <w:divBdr>
        <w:top w:val="none" w:sz="0" w:space="0" w:color="auto"/>
        <w:left w:val="none" w:sz="0" w:space="0" w:color="auto"/>
        <w:bottom w:val="none" w:sz="0" w:space="0" w:color="auto"/>
        <w:right w:val="none" w:sz="0" w:space="0" w:color="auto"/>
      </w:divBdr>
    </w:div>
    <w:div w:id="1193302046">
      <w:bodyDiv w:val="1"/>
      <w:marLeft w:val="0"/>
      <w:marRight w:val="0"/>
      <w:marTop w:val="0"/>
      <w:marBottom w:val="0"/>
      <w:divBdr>
        <w:top w:val="none" w:sz="0" w:space="0" w:color="auto"/>
        <w:left w:val="none" w:sz="0" w:space="0" w:color="auto"/>
        <w:bottom w:val="none" w:sz="0" w:space="0" w:color="auto"/>
        <w:right w:val="none" w:sz="0" w:space="0" w:color="auto"/>
      </w:divBdr>
    </w:div>
    <w:div w:id="1364331486">
      <w:bodyDiv w:val="1"/>
      <w:marLeft w:val="0"/>
      <w:marRight w:val="0"/>
      <w:marTop w:val="0"/>
      <w:marBottom w:val="0"/>
      <w:divBdr>
        <w:top w:val="none" w:sz="0" w:space="0" w:color="auto"/>
        <w:left w:val="none" w:sz="0" w:space="0" w:color="auto"/>
        <w:bottom w:val="none" w:sz="0" w:space="0" w:color="auto"/>
        <w:right w:val="none" w:sz="0" w:space="0" w:color="auto"/>
      </w:divBdr>
    </w:div>
    <w:div w:id="1504511873">
      <w:bodyDiv w:val="1"/>
      <w:marLeft w:val="0"/>
      <w:marRight w:val="0"/>
      <w:marTop w:val="0"/>
      <w:marBottom w:val="0"/>
      <w:divBdr>
        <w:top w:val="none" w:sz="0" w:space="0" w:color="auto"/>
        <w:left w:val="none" w:sz="0" w:space="0" w:color="auto"/>
        <w:bottom w:val="none" w:sz="0" w:space="0" w:color="auto"/>
        <w:right w:val="none" w:sz="0" w:space="0" w:color="auto"/>
      </w:divBdr>
    </w:div>
    <w:div w:id="1565336310">
      <w:bodyDiv w:val="1"/>
      <w:marLeft w:val="0"/>
      <w:marRight w:val="0"/>
      <w:marTop w:val="0"/>
      <w:marBottom w:val="0"/>
      <w:divBdr>
        <w:top w:val="none" w:sz="0" w:space="0" w:color="auto"/>
        <w:left w:val="none" w:sz="0" w:space="0" w:color="auto"/>
        <w:bottom w:val="none" w:sz="0" w:space="0" w:color="auto"/>
        <w:right w:val="none" w:sz="0" w:space="0" w:color="auto"/>
      </w:divBdr>
    </w:div>
    <w:div w:id="1585724991">
      <w:bodyDiv w:val="1"/>
      <w:marLeft w:val="0"/>
      <w:marRight w:val="0"/>
      <w:marTop w:val="0"/>
      <w:marBottom w:val="0"/>
      <w:divBdr>
        <w:top w:val="none" w:sz="0" w:space="0" w:color="auto"/>
        <w:left w:val="none" w:sz="0" w:space="0" w:color="auto"/>
        <w:bottom w:val="none" w:sz="0" w:space="0" w:color="auto"/>
        <w:right w:val="none" w:sz="0" w:space="0" w:color="auto"/>
      </w:divBdr>
    </w:div>
    <w:div w:id="1625383136">
      <w:bodyDiv w:val="1"/>
      <w:marLeft w:val="0"/>
      <w:marRight w:val="0"/>
      <w:marTop w:val="0"/>
      <w:marBottom w:val="0"/>
      <w:divBdr>
        <w:top w:val="none" w:sz="0" w:space="0" w:color="auto"/>
        <w:left w:val="none" w:sz="0" w:space="0" w:color="auto"/>
        <w:bottom w:val="none" w:sz="0" w:space="0" w:color="auto"/>
        <w:right w:val="none" w:sz="0" w:space="0" w:color="auto"/>
      </w:divBdr>
    </w:div>
    <w:div w:id="1630356808">
      <w:bodyDiv w:val="1"/>
      <w:marLeft w:val="0"/>
      <w:marRight w:val="0"/>
      <w:marTop w:val="0"/>
      <w:marBottom w:val="0"/>
      <w:divBdr>
        <w:top w:val="none" w:sz="0" w:space="0" w:color="auto"/>
        <w:left w:val="none" w:sz="0" w:space="0" w:color="auto"/>
        <w:bottom w:val="none" w:sz="0" w:space="0" w:color="auto"/>
        <w:right w:val="none" w:sz="0" w:space="0" w:color="auto"/>
      </w:divBdr>
    </w:div>
    <w:div w:id="1644694320">
      <w:bodyDiv w:val="1"/>
      <w:marLeft w:val="0"/>
      <w:marRight w:val="0"/>
      <w:marTop w:val="0"/>
      <w:marBottom w:val="0"/>
      <w:divBdr>
        <w:top w:val="none" w:sz="0" w:space="0" w:color="auto"/>
        <w:left w:val="none" w:sz="0" w:space="0" w:color="auto"/>
        <w:bottom w:val="none" w:sz="0" w:space="0" w:color="auto"/>
        <w:right w:val="none" w:sz="0" w:space="0" w:color="auto"/>
      </w:divBdr>
    </w:div>
    <w:div w:id="1675256605">
      <w:bodyDiv w:val="1"/>
      <w:marLeft w:val="0"/>
      <w:marRight w:val="0"/>
      <w:marTop w:val="0"/>
      <w:marBottom w:val="0"/>
      <w:divBdr>
        <w:top w:val="none" w:sz="0" w:space="0" w:color="auto"/>
        <w:left w:val="none" w:sz="0" w:space="0" w:color="auto"/>
        <w:bottom w:val="none" w:sz="0" w:space="0" w:color="auto"/>
        <w:right w:val="none" w:sz="0" w:space="0" w:color="auto"/>
      </w:divBdr>
    </w:div>
    <w:div w:id="1760714036">
      <w:bodyDiv w:val="1"/>
      <w:marLeft w:val="0"/>
      <w:marRight w:val="0"/>
      <w:marTop w:val="0"/>
      <w:marBottom w:val="0"/>
      <w:divBdr>
        <w:top w:val="none" w:sz="0" w:space="0" w:color="auto"/>
        <w:left w:val="none" w:sz="0" w:space="0" w:color="auto"/>
        <w:bottom w:val="none" w:sz="0" w:space="0" w:color="auto"/>
        <w:right w:val="none" w:sz="0" w:space="0" w:color="auto"/>
      </w:divBdr>
    </w:div>
    <w:div w:id="1791169446">
      <w:bodyDiv w:val="1"/>
      <w:marLeft w:val="0"/>
      <w:marRight w:val="0"/>
      <w:marTop w:val="0"/>
      <w:marBottom w:val="0"/>
      <w:divBdr>
        <w:top w:val="none" w:sz="0" w:space="0" w:color="auto"/>
        <w:left w:val="none" w:sz="0" w:space="0" w:color="auto"/>
        <w:bottom w:val="none" w:sz="0" w:space="0" w:color="auto"/>
        <w:right w:val="none" w:sz="0" w:space="0" w:color="auto"/>
      </w:divBdr>
    </w:div>
    <w:div w:id="1864130485">
      <w:bodyDiv w:val="1"/>
      <w:marLeft w:val="0"/>
      <w:marRight w:val="0"/>
      <w:marTop w:val="0"/>
      <w:marBottom w:val="0"/>
      <w:divBdr>
        <w:top w:val="none" w:sz="0" w:space="0" w:color="auto"/>
        <w:left w:val="none" w:sz="0" w:space="0" w:color="auto"/>
        <w:bottom w:val="none" w:sz="0" w:space="0" w:color="auto"/>
        <w:right w:val="none" w:sz="0" w:space="0" w:color="auto"/>
      </w:divBdr>
    </w:div>
    <w:div w:id="1919711946">
      <w:bodyDiv w:val="1"/>
      <w:marLeft w:val="0"/>
      <w:marRight w:val="0"/>
      <w:marTop w:val="0"/>
      <w:marBottom w:val="0"/>
      <w:divBdr>
        <w:top w:val="none" w:sz="0" w:space="0" w:color="auto"/>
        <w:left w:val="none" w:sz="0" w:space="0" w:color="auto"/>
        <w:bottom w:val="none" w:sz="0" w:space="0" w:color="auto"/>
        <w:right w:val="none" w:sz="0" w:space="0" w:color="auto"/>
      </w:divBdr>
    </w:div>
    <w:div w:id="1942300814">
      <w:bodyDiv w:val="1"/>
      <w:marLeft w:val="0"/>
      <w:marRight w:val="0"/>
      <w:marTop w:val="0"/>
      <w:marBottom w:val="0"/>
      <w:divBdr>
        <w:top w:val="none" w:sz="0" w:space="0" w:color="auto"/>
        <w:left w:val="none" w:sz="0" w:space="0" w:color="auto"/>
        <w:bottom w:val="none" w:sz="0" w:space="0" w:color="auto"/>
        <w:right w:val="none" w:sz="0" w:space="0" w:color="auto"/>
      </w:divBdr>
    </w:div>
    <w:div w:id="1944721621">
      <w:bodyDiv w:val="1"/>
      <w:marLeft w:val="0"/>
      <w:marRight w:val="0"/>
      <w:marTop w:val="0"/>
      <w:marBottom w:val="0"/>
      <w:divBdr>
        <w:top w:val="none" w:sz="0" w:space="0" w:color="auto"/>
        <w:left w:val="none" w:sz="0" w:space="0" w:color="auto"/>
        <w:bottom w:val="none" w:sz="0" w:space="0" w:color="auto"/>
        <w:right w:val="none" w:sz="0" w:space="0" w:color="auto"/>
      </w:divBdr>
    </w:div>
    <w:div w:id="2024433858">
      <w:bodyDiv w:val="1"/>
      <w:marLeft w:val="0"/>
      <w:marRight w:val="0"/>
      <w:marTop w:val="0"/>
      <w:marBottom w:val="0"/>
      <w:divBdr>
        <w:top w:val="none" w:sz="0" w:space="0" w:color="auto"/>
        <w:left w:val="none" w:sz="0" w:space="0" w:color="auto"/>
        <w:bottom w:val="none" w:sz="0" w:space="0" w:color="auto"/>
        <w:right w:val="none" w:sz="0" w:space="0" w:color="auto"/>
      </w:divBdr>
    </w:div>
    <w:div w:id="2047171446">
      <w:bodyDiv w:val="1"/>
      <w:marLeft w:val="0"/>
      <w:marRight w:val="0"/>
      <w:marTop w:val="0"/>
      <w:marBottom w:val="0"/>
      <w:divBdr>
        <w:top w:val="none" w:sz="0" w:space="0" w:color="auto"/>
        <w:left w:val="none" w:sz="0" w:space="0" w:color="auto"/>
        <w:bottom w:val="none" w:sz="0" w:space="0" w:color="auto"/>
        <w:right w:val="none" w:sz="0" w:space="0" w:color="auto"/>
      </w:divBdr>
    </w:div>
    <w:div w:id="2052655546">
      <w:bodyDiv w:val="1"/>
      <w:marLeft w:val="0"/>
      <w:marRight w:val="0"/>
      <w:marTop w:val="0"/>
      <w:marBottom w:val="0"/>
      <w:divBdr>
        <w:top w:val="none" w:sz="0" w:space="0" w:color="auto"/>
        <w:left w:val="none" w:sz="0" w:space="0" w:color="auto"/>
        <w:bottom w:val="none" w:sz="0" w:space="0" w:color="auto"/>
        <w:right w:val="none" w:sz="0" w:space="0" w:color="auto"/>
      </w:divBdr>
      <w:divsChild>
        <w:div w:id="1184783697">
          <w:marLeft w:val="0"/>
          <w:marRight w:val="0"/>
          <w:marTop w:val="0"/>
          <w:marBottom w:val="0"/>
          <w:divBdr>
            <w:top w:val="none" w:sz="0" w:space="0" w:color="auto"/>
            <w:left w:val="none" w:sz="0" w:space="0" w:color="auto"/>
            <w:bottom w:val="none" w:sz="0" w:space="0" w:color="auto"/>
            <w:right w:val="none" w:sz="0" w:space="0" w:color="auto"/>
          </w:divBdr>
          <w:divsChild>
            <w:div w:id="622155373">
              <w:marLeft w:val="0"/>
              <w:marRight w:val="0"/>
              <w:marTop w:val="0"/>
              <w:marBottom w:val="0"/>
              <w:divBdr>
                <w:top w:val="none" w:sz="0" w:space="0" w:color="auto"/>
                <w:left w:val="none" w:sz="0" w:space="0" w:color="auto"/>
                <w:bottom w:val="none" w:sz="0" w:space="0" w:color="auto"/>
                <w:right w:val="none" w:sz="0" w:space="0" w:color="auto"/>
              </w:divBdr>
            </w:div>
            <w:div w:id="666786635">
              <w:marLeft w:val="0"/>
              <w:marRight w:val="0"/>
              <w:marTop w:val="0"/>
              <w:marBottom w:val="0"/>
              <w:divBdr>
                <w:top w:val="none" w:sz="0" w:space="0" w:color="auto"/>
                <w:left w:val="none" w:sz="0" w:space="0" w:color="auto"/>
                <w:bottom w:val="none" w:sz="0" w:space="0" w:color="auto"/>
                <w:right w:val="none" w:sz="0" w:space="0" w:color="auto"/>
              </w:divBdr>
            </w:div>
            <w:div w:id="1590118726">
              <w:marLeft w:val="0"/>
              <w:marRight w:val="0"/>
              <w:marTop w:val="0"/>
              <w:marBottom w:val="0"/>
              <w:divBdr>
                <w:top w:val="none" w:sz="0" w:space="0" w:color="auto"/>
                <w:left w:val="none" w:sz="0" w:space="0" w:color="auto"/>
                <w:bottom w:val="none" w:sz="0" w:space="0" w:color="auto"/>
                <w:right w:val="none" w:sz="0" w:space="0" w:color="auto"/>
              </w:divBdr>
            </w:div>
            <w:div w:id="627976977">
              <w:marLeft w:val="0"/>
              <w:marRight w:val="0"/>
              <w:marTop w:val="0"/>
              <w:marBottom w:val="0"/>
              <w:divBdr>
                <w:top w:val="none" w:sz="0" w:space="0" w:color="auto"/>
                <w:left w:val="none" w:sz="0" w:space="0" w:color="auto"/>
                <w:bottom w:val="none" w:sz="0" w:space="0" w:color="auto"/>
                <w:right w:val="none" w:sz="0" w:space="0" w:color="auto"/>
              </w:divBdr>
            </w:div>
          </w:divsChild>
        </w:div>
        <w:div w:id="376200419">
          <w:marLeft w:val="0"/>
          <w:marRight w:val="0"/>
          <w:marTop w:val="0"/>
          <w:marBottom w:val="0"/>
          <w:divBdr>
            <w:top w:val="none" w:sz="0" w:space="0" w:color="auto"/>
            <w:left w:val="none" w:sz="0" w:space="0" w:color="auto"/>
            <w:bottom w:val="none" w:sz="0" w:space="0" w:color="auto"/>
            <w:right w:val="none" w:sz="0" w:space="0" w:color="auto"/>
          </w:divBdr>
        </w:div>
        <w:div w:id="130682173">
          <w:marLeft w:val="0"/>
          <w:marRight w:val="0"/>
          <w:marTop w:val="0"/>
          <w:marBottom w:val="0"/>
          <w:divBdr>
            <w:top w:val="none" w:sz="0" w:space="0" w:color="auto"/>
            <w:left w:val="none" w:sz="0" w:space="0" w:color="auto"/>
            <w:bottom w:val="none" w:sz="0" w:space="0" w:color="auto"/>
            <w:right w:val="none" w:sz="0" w:space="0" w:color="auto"/>
          </w:divBdr>
        </w:div>
        <w:div w:id="1576931893">
          <w:marLeft w:val="0"/>
          <w:marRight w:val="0"/>
          <w:marTop w:val="0"/>
          <w:marBottom w:val="0"/>
          <w:divBdr>
            <w:top w:val="none" w:sz="0" w:space="0" w:color="auto"/>
            <w:left w:val="none" w:sz="0" w:space="0" w:color="auto"/>
            <w:bottom w:val="none" w:sz="0" w:space="0" w:color="auto"/>
            <w:right w:val="none" w:sz="0" w:space="0" w:color="auto"/>
          </w:divBdr>
        </w:div>
        <w:div w:id="67919386">
          <w:marLeft w:val="0"/>
          <w:marRight w:val="0"/>
          <w:marTop w:val="0"/>
          <w:marBottom w:val="0"/>
          <w:divBdr>
            <w:top w:val="none" w:sz="0" w:space="0" w:color="auto"/>
            <w:left w:val="none" w:sz="0" w:space="0" w:color="auto"/>
            <w:bottom w:val="none" w:sz="0" w:space="0" w:color="auto"/>
            <w:right w:val="none" w:sz="0" w:space="0" w:color="auto"/>
          </w:divBdr>
        </w:div>
        <w:div w:id="593633290">
          <w:marLeft w:val="0"/>
          <w:marRight w:val="0"/>
          <w:marTop w:val="0"/>
          <w:marBottom w:val="0"/>
          <w:divBdr>
            <w:top w:val="none" w:sz="0" w:space="0" w:color="auto"/>
            <w:left w:val="none" w:sz="0" w:space="0" w:color="auto"/>
            <w:bottom w:val="none" w:sz="0" w:space="0" w:color="auto"/>
            <w:right w:val="none" w:sz="0" w:space="0" w:color="auto"/>
          </w:divBdr>
        </w:div>
        <w:div w:id="816604792">
          <w:marLeft w:val="0"/>
          <w:marRight w:val="0"/>
          <w:marTop w:val="0"/>
          <w:marBottom w:val="0"/>
          <w:divBdr>
            <w:top w:val="none" w:sz="0" w:space="0" w:color="auto"/>
            <w:left w:val="none" w:sz="0" w:space="0" w:color="auto"/>
            <w:bottom w:val="none" w:sz="0" w:space="0" w:color="auto"/>
            <w:right w:val="none" w:sz="0" w:space="0" w:color="auto"/>
          </w:divBdr>
        </w:div>
        <w:div w:id="628974317">
          <w:marLeft w:val="0"/>
          <w:marRight w:val="0"/>
          <w:marTop w:val="0"/>
          <w:marBottom w:val="0"/>
          <w:divBdr>
            <w:top w:val="none" w:sz="0" w:space="0" w:color="auto"/>
            <w:left w:val="none" w:sz="0" w:space="0" w:color="auto"/>
            <w:bottom w:val="none" w:sz="0" w:space="0" w:color="auto"/>
            <w:right w:val="none" w:sz="0" w:space="0" w:color="auto"/>
          </w:divBdr>
        </w:div>
        <w:div w:id="918366314">
          <w:marLeft w:val="0"/>
          <w:marRight w:val="0"/>
          <w:marTop w:val="0"/>
          <w:marBottom w:val="0"/>
          <w:divBdr>
            <w:top w:val="none" w:sz="0" w:space="0" w:color="auto"/>
            <w:left w:val="none" w:sz="0" w:space="0" w:color="auto"/>
            <w:bottom w:val="none" w:sz="0" w:space="0" w:color="auto"/>
            <w:right w:val="none" w:sz="0" w:space="0" w:color="auto"/>
          </w:divBdr>
        </w:div>
        <w:div w:id="1845317683">
          <w:marLeft w:val="0"/>
          <w:marRight w:val="0"/>
          <w:marTop w:val="0"/>
          <w:marBottom w:val="0"/>
          <w:divBdr>
            <w:top w:val="none" w:sz="0" w:space="0" w:color="auto"/>
            <w:left w:val="none" w:sz="0" w:space="0" w:color="auto"/>
            <w:bottom w:val="none" w:sz="0" w:space="0" w:color="auto"/>
            <w:right w:val="none" w:sz="0" w:space="0" w:color="auto"/>
          </w:divBdr>
        </w:div>
        <w:div w:id="1260019137">
          <w:marLeft w:val="0"/>
          <w:marRight w:val="0"/>
          <w:marTop w:val="0"/>
          <w:marBottom w:val="0"/>
          <w:divBdr>
            <w:top w:val="none" w:sz="0" w:space="0" w:color="auto"/>
            <w:left w:val="none" w:sz="0" w:space="0" w:color="auto"/>
            <w:bottom w:val="none" w:sz="0" w:space="0" w:color="auto"/>
            <w:right w:val="none" w:sz="0" w:space="0" w:color="auto"/>
          </w:divBdr>
        </w:div>
        <w:div w:id="1179000418">
          <w:marLeft w:val="0"/>
          <w:marRight w:val="0"/>
          <w:marTop w:val="0"/>
          <w:marBottom w:val="0"/>
          <w:divBdr>
            <w:top w:val="none" w:sz="0" w:space="0" w:color="auto"/>
            <w:left w:val="none" w:sz="0" w:space="0" w:color="auto"/>
            <w:bottom w:val="none" w:sz="0" w:space="0" w:color="auto"/>
            <w:right w:val="none" w:sz="0" w:space="0" w:color="auto"/>
          </w:divBdr>
        </w:div>
        <w:div w:id="821121833">
          <w:marLeft w:val="0"/>
          <w:marRight w:val="0"/>
          <w:marTop w:val="0"/>
          <w:marBottom w:val="0"/>
          <w:divBdr>
            <w:top w:val="none" w:sz="0" w:space="0" w:color="auto"/>
            <w:left w:val="none" w:sz="0" w:space="0" w:color="auto"/>
            <w:bottom w:val="none" w:sz="0" w:space="0" w:color="auto"/>
            <w:right w:val="none" w:sz="0" w:space="0" w:color="auto"/>
          </w:divBdr>
        </w:div>
        <w:div w:id="1710646624">
          <w:marLeft w:val="0"/>
          <w:marRight w:val="0"/>
          <w:marTop w:val="0"/>
          <w:marBottom w:val="0"/>
          <w:divBdr>
            <w:top w:val="none" w:sz="0" w:space="0" w:color="auto"/>
            <w:left w:val="none" w:sz="0" w:space="0" w:color="auto"/>
            <w:bottom w:val="none" w:sz="0" w:space="0" w:color="auto"/>
            <w:right w:val="none" w:sz="0" w:space="0" w:color="auto"/>
          </w:divBdr>
        </w:div>
        <w:div w:id="1183780577">
          <w:marLeft w:val="0"/>
          <w:marRight w:val="0"/>
          <w:marTop w:val="0"/>
          <w:marBottom w:val="0"/>
          <w:divBdr>
            <w:top w:val="none" w:sz="0" w:space="0" w:color="auto"/>
            <w:left w:val="none" w:sz="0" w:space="0" w:color="auto"/>
            <w:bottom w:val="none" w:sz="0" w:space="0" w:color="auto"/>
            <w:right w:val="none" w:sz="0" w:space="0" w:color="auto"/>
          </w:divBdr>
        </w:div>
        <w:div w:id="379330430">
          <w:marLeft w:val="0"/>
          <w:marRight w:val="0"/>
          <w:marTop w:val="0"/>
          <w:marBottom w:val="0"/>
          <w:divBdr>
            <w:top w:val="none" w:sz="0" w:space="0" w:color="auto"/>
            <w:left w:val="none" w:sz="0" w:space="0" w:color="auto"/>
            <w:bottom w:val="none" w:sz="0" w:space="0" w:color="auto"/>
            <w:right w:val="none" w:sz="0" w:space="0" w:color="auto"/>
          </w:divBdr>
          <w:divsChild>
            <w:div w:id="141512081">
              <w:marLeft w:val="0"/>
              <w:marRight w:val="0"/>
              <w:marTop w:val="0"/>
              <w:marBottom w:val="0"/>
              <w:divBdr>
                <w:top w:val="none" w:sz="0" w:space="0" w:color="auto"/>
                <w:left w:val="none" w:sz="0" w:space="0" w:color="auto"/>
                <w:bottom w:val="none" w:sz="0" w:space="0" w:color="auto"/>
                <w:right w:val="none" w:sz="0" w:space="0" w:color="auto"/>
              </w:divBdr>
            </w:div>
            <w:div w:id="1579711023">
              <w:marLeft w:val="0"/>
              <w:marRight w:val="0"/>
              <w:marTop w:val="0"/>
              <w:marBottom w:val="0"/>
              <w:divBdr>
                <w:top w:val="none" w:sz="0" w:space="0" w:color="auto"/>
                <w:left w:val="none" w:sz="0" w:space="0" w:color="auto"/>
                <w:bottom w:val="none" w:sz="0" w:space="0" w:color="auto"/>
                <w:right w:val="none" w:sz="0" w:space="0" w:color="auto"/>
              </w:divBdr>
            </w:div>
          </w:divsChild>
        </w:div>
        <w:div w:id="1493331124">
          <w:marLeft w:val="0"/>
          <w:marRight w:val="0"/>
          <w:marTop w:val="0"/>
          <w:marBottom w:val="0"/>
          <w:divBdr>
            <w:top w:val="none" w:sz="0" w:space="0" w:color="auto"/>
            <w:left w:val="none" w:sz="0" w:space="0" w:color="auto"/>
            <w:bottom w:val="none" w:sz="0" w:space="0" w:color="auto"/>
            <w:right w:val="none" w:sz="0" w:space="0" w:color="auto"/>
          </w:divBdr>
          <w:divsChild>
            <w:div w:id="74474195">
              <w:marLeft w:val="0"/>
              <w:marRight w:val="0"/>
              <w:marTop w:val="332"/>
              <w:marBottom w:val="332"/>
              <w:divBdr>
                <w:top w:val="none" w:sz="0" w:space="0" w:color="auto"/>
                <w:left w:val="none" w:sz="0" w:space="0" w:color="auto"/>
                <w:bottom w:val="none" w:sz="0" w:space="0" w:color="auto"/>
                <w:right w:val="none" w:sz="0" w:space="0" w:color="auto"/>
              </w:divBdr>
              <w:divsChild>
                <w:div w:id="74672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280025">
          <w:marLeft w:val="0"/>
          <w:marRight w:val="0"/>
          <w:marTop w:val="0"/>
          <w:marBottom w:val="0"/>
          <w:divBdr>
            <w:top w:val="none" w:sz="0" w:space="0" w:color="auto"/>
            <w:left w:val="none" w:sz="0" w:space="0" w:color="auto"/>
            <w:bottom w:val="none" w:sz="0" w:space="0" w:color="auto"/>
            <w:right w:val="none" w:sz="0" w:space="0" w:color="auto"/>
          </w:divBdr>
          <w:divsChild>
            <w:div w:id="1610233728">
              <w:marLeft w:val="0"/>
              <w:marRight w:val="0"/>
              <w:marTop w:val="332"/>
              <w:marBottom w:val="332"/>
              <w:divBdr>
                <w:top w:val="none" w:sz="0" w:space="0" w:color="auto"/>
                <w:left w:val="none" w:sz="0" w:space="0" w:color="auto"/>
                <w:bottom w:val="none" w:sz="0" w:space="0" w:color="auto"/>
                <w:right w:val="none" w:sz="0" w:space="0" w:color="auto"/>
              </w:divBdr>
              <w:divsChild>
                <w:div w:id="162623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518">
          <w:marLeft w:val="0"/>
          <w:marRight w:val="0"/>
          <w:marTop w:val="0"/>
          <w:marBottom w:val="0"/>
          <w:divBdr>
            <w:top w:val="none" w:sz="0" w:space="0" w:color="auto"/>
            <w:left w:val="none" w:sz="0" w:space="0" w:color="auto"/>
            <w:bottom w:val="none" w:sz="0" w:space="0" w:color="auto"/>
            <w:right w:val="none" w:sz="0" w:space="0" w:color="auto"/>
          </w:divBdr>
          <w:divsChild>
            <w:div w:id="569579937">
              <w:marLeft w:val="0"/>
              <w:marRight w:val="0"/>
              <w:marTop w:val="0"/>
              <w:marBottom w:val="0"/>
              <w:divBdr>
                <w:top w:val="none" w:sz="0" w:space="0" w:color="auto"/>
                <w:left w:val="none" w:sz="0" w:space="0" w:color="auto"/>
                <w:bottom w:val="none" w:sz="0" w:space="0" w:color="auto"/>
                <w:right w:val="none" w:sz="0" w:space="0" w:color="auto"/>
              </w:divBdr>
            </w:div>
            <w:div w:id="1182282942">
              <w:marLeft w:val="0"/>
              <w:marRight w:val="0"/>
              <w:marTop w:val="0"/>
              <w:marBottom w:val="0"/>
              <w:divBdr>
                <w:top w:val="none" w:sz="0" w:space="0" w:color="auto"/>
                <w:left w:val="none" w:sz="0" w:space="0" w:color="auto"/>
                <w:bottom w:val="none" w:sz="0" w:space="0" w:color="auto"/>
                <w:right w:val="none" w:sz="0" w:space="0" w:color="auto"/>
              </w:divBdr>
            </w:div>
            <w:div w:id="1654018570">
              <w:marLeft w:val="0"/>
              <w:marRight w:val="0"/>
              <w:marTop w:val="0"/>
              <w:marBottom w:val="0"/>
              <w:divBdr>
                <w:top w:val="none" w:sz="0" w:space="0" w:color="auto"/>
                <w:left w:val="none" w:sz="0" w:space="0" w:color="auto"/>
                <w:bottom w:val="none" w:sz="0" w:space="0" w:color="auto"/>
                <w:right w:val="none" w:sz="0" w:space="0" w:color="auto"/>
              </w:divBdr>
            </w:div>
            <w:div w:id="1615861403">
              <w:marLeft w:val="0"/>
              <w:marRight w:val="0"/>
              <w:marTop w:val="0"/>
              <w:marBottom w:val="0"/>
              <w:divBdr>
                <w:top w:val="none" w:sz="0" w:space="0" w:color="auto"/>
                <w:left w:val="none" w:sz="0" w:space="0" w:color="auto"/>
                <w:bottom w:val="none" w:sz="0" w:space="0" w:color="auto"/>
                <w:right w:val="none" w:sz="0" w:space="0" w:color="auto"/>
              </w:divBdr>
            </w:div>
            <w:div w:id="1079793712">
              <w:marLeft w:val="0"/>
              <w:marRight w:val="0"/>
              <w:marTop w:val="0"/>
              <w:marBottom w:val="0"/>
              <w:divBdr>
                <w:top w:val="none" w:sz="0" w:space="0" w:color="auto"/>
                <w:left w:val="none" w:sz="0" w:space="0" w:color="auto"/>
                <w:bottom w:val="none" w:sz="0" w:space="0" w:color="auto"/>
                <w:right w:val="none" w:sz="0" w:space="0" w:color="auto"/>
              </w:divBdr>
            </w:div>
            <w:div w:id="1247105737">
              <w:marLeft w:val="0"/>
              <w:marRight w:val="0"/>
              <w:marTop w:val="0"/>
              <w:marBottom w:val="0"/>
              <w:divBdr>
                <w:top w:val="none" w:sz="0" w:space="0" w:color="auto"/>
                <w:left w:val="none" w:sz="0" w:space="0" w:color="auto"/>
                <w:bottom w:val="none" w:sz="0" w:space="0" w:color="auto"/>
                <w:right w:val="none" w:sz="0" w:space="0" w:color="auto"/>
              </w:divBdr>
            </w:div>
            <w:div w:id="2074572400">
              <w:marLeft w:val="0"/>
              <w:marRight w:val="0"/>
              <w:marTop w:val="0"/>
              <w:marBottom w:val="0"/>
              <w:divBdr>
                <w:top w:val="none" w:sz="0" w:space="0" w:color="auto"/>
                <w:left w:val="none" w:sz="0" w:space="0" w:color="auto"/>
                <w:bottom w:val="none" w:sz="0" w:space="0" w:color="auto"/>
                <w:right w:val="none" w:sz="0" w:space="0" w:color="auto"/>
              </w:divBdr>
            </w:div>
            <w:div w:id="1463763252">
              <w:marLeft w:val="0"/>
              <w:marRight w:val="0"/>
              <w:marTop w:val="0"/>
              <w:marBottom w:val="0"/>
              <w:divBdr>
                <w:top w:val="none" w:sz="0" w:space="0" w:color="auto"/>
                <w:left w:val="none" w:sz="0" w:space="0" w:color="auto"/>
                <w:bottom w:val="none" w:sz="0" w:space="0" w:color="auto"/>
                <w:right w:val="none" w:sz="0" w:space="0" w:color="auto"/>
              </w:divBdr>
            </w:div>
            <w:div w:id="2101024274">
              <w:marLeft w:val="0"/>
              <w:marRight w:val="0"/>
              <w:marTop w:val="0"/>
              <w:marBottom w:val="0"/>
              <w:divBdr>
                <w:top w:val="none" w:sz="0" w:space="0" w:color="auto"/>
                <w:left w:val="none" w:sz="0" w:space="0" w:color="auto"/>
                <w:bottom w:val="none" w:sz="0" w:space="0" w:color="auto"/>
                <w:right w:val="none" w:sz="0" w:space="0" w:color="auto"/>
              </w:divBdr>
            </w:div>
            <w:div w:id="790199587">
              <w:marLeft w:val="0"/>
              <w:marRight w:val="0"/>
              <w:marTop w:val="0"/>
              <w:marBottom w:val="0"/>
              <w:divBdr>
                <w:top w:val="none" w:sz="0" w:space="0" w:color="auto"/>
                <w:left w:val="none" w:sz="0" w:space="0" w:color="auto"/>
                <w:bottom w:val="none" w:sz="0" w:space="0" w:color="auto"/>
                <w:right w:val="none" w:sz="0" w:space="0" w:color="auto"/>
              </w:divBdr>
            </w:div>
            <w:div w:id="1636638135">
              <w:marLeft w:val="0"/>
              <w:marRight w:val="0"/>
              <w:marTop w:val="0"/>
              <w:marBottom w:val="0"/>
              <w:divBdr>
                <w:top w:val="none" w:sz="0" w:space="0" w:color="auto"/>
                <w:left w:val="none" w:sz="0" w:space="0" w:color="auto"/>
                <w:bottom w:val="none" w:sz="0" w:space="0" w:color="auto"/>
                <w:right w:val="none" w:sz="0" w:space="0" w:color="auto"/>
              </w:divBdr>
            </w:div>
            <w:div w:id="55050730">
              <w:marLeft w:val="0"/>
              <w:marRight w:val="0"/>
              <w:marTop w:val="0"/>
              <w:marBottom w:val="0"/>
              <w:divBdr>
                <w:top w:val="none" w:sz="0" w:space="0" w:color="auto"/>
                <w:left w:val="none" w:sz="0" w:space="0" w:color="auto"/>
                <w:bottom w:val="none" w:sz="0" w:space="0" w:color="auto"/>
                <w:right w:val="none" w:sz="0" w:space="0" w:color="auto"/>
              </w:divBdr>
            </w:div>
            <w:div w:id="1853570621">
              <w:marLeft w:val="0"/>
              <w:marRight w:val="0"/>
              <w:marTop w:val="0"/>
              <w:marBottom w:val="0"/>
              <w:divBdr>
                <w:top w:val="none" w:sz="0" w:space="0" w:color="auto"/>
                <w:left w:val="none" w:sz="0" w:space="0" w:color="auto"/>
                <w:bottom w:val="none" w:sz="0" w:space="0" w:color="auto"/>
                <w:right w:val="none" w:sz="0" w:space="0" w:color="auto"/>
              </w:divBdr>
            </w:div>
            <w:div w:id="960189795">
              <w:marLeft w:val="0"/>
              <w:marRight w:val="0"/>
              <w:marTop w:val="0"/>
              <w:marBottom w:val="0"/>
              <w:divBdr>
                <w:top w:val="none" w:sz="0" w:space="0" w:color="auto"/>
                <w:left w:val="none" w:sz="0" w:space="0" w:color="auto"/>
                <w:bottom w:val="none" w:sz="0" w:space="0" w:color="auto"/>
                <w:right w:val="none" w:sz="0" w:space="0" w:color="auto"/>
              </w:divBdr>
            </w:div>
            <w:div w:id="1167017278">
              <w:marLeft w:val="0"/>
              <w:marRight w:val="0"/>
              <w:marTop w:val="0"/>
              <w:marBottom w:val="0"/>
              <w:divBdr>
                <w:top w:val="none" w:sz="0" w:space="0" w:color="auto"/>
                <w:left w:val="none" w:sz="0" w:space="0" w:color="auto"/>
                <w:bottom w:val="none" w:sz="0" w:space="0" w:color="auto"/>
                <w:right w:val="none" w:sz="0" w:space="0" w:color="auto"/>
              </w:divBdr>
            </w:div>
            <w:div w:id="2064211350">
              <w:marLeft w:val="0"/>
              <w:marRight w:val="0"/>
              <w:marTop w:val="0"/>
              <w:marBottom w:val="0"/>
              <w:divBdr>
                <w:top w:val="none" w:sz="0" w:space="0" w:color="auto"/>
                <w:left w:val="none" w:sz="0" w:space="0" w:color="auto"/>
                <w:bottom w:val="none" w:sz="0" w:space="0" w:color="auto"/>
                <w:right w:val="none" w:sz="0" w:space="0" w:color="auto"/>
              </w:divBdr>
            </w:div>
          </w:divsChild>
        </w:div>
        <w:div w:id="1441951541">
          <w:marLeft w:val="0"/>
          <w:marRight w:val="0"/>
          <w:marTop w:val="0"/>
          <w:marBottom w:val="0"/>
          <w:divBdr>
            <w:top w:val="none" w:sz="0" w:space="0" w:color="auto"/>
            <w:left w:val="none" w:sz="0" w:space="0" w:color="auto"/>
            <w:bottom w:val="none" w:sz="0" w:space="0" w:color="auto"/>
            <w:right w:val="none" w:sz="0" w:space="0" w:color="auto"/>
          </w:divBdr>
          <w:divsChild>
            <w:div w:id="12997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759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TotalTime>
  <Pages>9</Pages>
  <Words>3373</Words>
  <Characters>19230</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103</cp:revision>
  <dcterms:created xsi:type="dcterms:W3CDTF">2023-08-01T15:20:00Z</dcterms:created>
  <dcterms:modified xsi:type="dcterms:W3CDTF">2023-08-02T08:53:00Z</dcterms:modified>
</cp:coreProperties>
</file>