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40A5A" w14:textId="3548573F" w:rsidR="00DC4508" w:rsidRPr="004F476D" w:rsidRDefault="00F63173" w:rsidP="00E706B8">
      <w:pPr>
        <w:spacing w:after="0" w:line="240" w:lineRule="auto"/>
        <w:ind w:firstLine="567"/>
        <w:jc w:val="center"/>
        <w:rPr>
          <w:rFonts w:ascii="Times New Roman" w:hAnsi="Times New Roman" w:cs="Times New Roman"/>
          <w:sz w:val="48"/>
          <w:szCs w:val="48"/>
          <w:lang w:val="en-US"/>
        </w:rPr>
      </w:pPr>
      <w:bookmarkStart w:id="0" w:name="_GoBack"/>
      <w:bookmarkEnd w:id="0"/>
      <w:r w:rsidRPr="004F476D">
        <w:rPr>
          <w:rFonts w:ascii="Times New Roman" w:hAnsi="Times New Roman" w:cs="Times New Roman"/>
          <w:sz w:val="48"/>
          <w:szCs w:val="48"/>
          <w:lang w:val="en-US"/>
        </w:rPr>
        <w:t>Platform and sensors for h</w:t>
      </w:r>
      <w:r w:rsidR="00C61D18" w:rsidRPr="004F476D">
        <w:rPr>
          <w:rFonts w:ascii="Times New Roman" w:hAnsi="Times New Roman" w:cs="Times New Roman"/>
          <w:sz w:val="48"/>
          <w:szCs w:val="48"/>
          <w:lang w:val="en-US"/>
        </w:rPr>
        <w:t>igh throughput phenotyping: a rapid and efficient technique</w:t>
      </w:r>
      <w:r w:rsidR="004F476D">
        <w:rPr>
          <w:rFonts w:ascii="Times New Roman" w:hAnsi="Times New Roman" w:cs="Times New Roman"/>
          <w:sz w:val="48"/>
          <w:szCs w:val="48"/>
          <w:lang w:val="en-US"/>
        </w:rPr>
        <w:t xml:space="preserve"> for plant phenotyping</w:t>
      </w:r>
      <w:r w:rsidR="00C61D18" w:rsidRPr="004F476D">
        <w:rPr>
          <w:rFonts w:ascii="Times New Roman" w:hAnsi="Times New Roman" w:cs="Times New Roman"/>
          <w:sz w:val="48"/>
          <w:szCs w:val="48"/>
          <w:lang w:val="en-US"/>
        </w:rPr>
        <w:t xml:space="preserve"> </w:t>
      </w:r>
    </w:p>
    <w:p w14:paraId="426CE76A" w14:textId="7068BBA4" w:rsidR="009718DB" w:rsidRPr="004F476D" w:rsidRDefault="00081536" w:rsidP="00DC4508">
      <w:pPr>
        <w:spacing w:after="0" w:line="240" w:lineRule="auto"/>
        <w:ind w:firstLine="567"/>
        <w:jc w:val="center"/>
        <w:rPr>
          <w:rFonts w:ascii="Times New Roman" w:hAnsi="Times New Roman" w:cs="Times New Roman"/>
          <w:sz w:val="20"/>
          <w:szCs w:val="20"/>
          <w:lang w:val="en-US"/>
        </w:rPr>
      </w:pPr>
      <w:r w:rsidRPr="004F476D">
        <w:rPr>
          <w:rFonts w:ascii="Times New Roman" w:hAnsi="Times New Roman" w:cs="Times New Roman"/>
          <w:sz w:val="48"/>
          <w:szCs w:val="48"/>
          <w:lang w:val="en-US"/>
        </w:rPr>
        <w:t xml:space="preserve"> </w:t>
      </w:r>
    </w:p>
    <w:p w14:paraId="0C010C18" w14:textId="77777777" w:rsidR="00081536" w:rsidRPr="004F476D" w:rsidRDefault="00081536" w:rsidP="00081536">
      <w:pPr>
        <w:spacing w:after="0" w:line="240" w:lineRule="auto"/>
        <w:ind w:firstLine="567"/>
        <w:jc w:val="both"/>
        <w:rPr>
          <w:rFonts w:ascii="Times New Roman" w:hAnsi="Times New Roman" w:cs="Times New Roman"/>
          <w:sz w:val="20"/>
          <w:szCs w:val="20"/>
          <w:lang w:val="en-US"/>
        </w:rPr>
      </w:pPr>
    </w:p>
    <w:p w14:paraId="5E64C50A" w14:textId="77777777" w:rsidR="00081536" w:rsidRPr="004F476D" w:rsidRDefault="00081536" w:rsidP="00081536">
      <w:pPr>
        <w:spacing w:after="0" w:line="240" w:lineRule="auto"/>
        <w:ind w:firstLine="567"/>
        <w:jc w:val="center"/>
        <w:rPr>
          <w:rFonts w:ascii="Times New Roman" w:eastAsia="MS Mincho" w:hAnsi="Times New Roman" w:cs="Times New Roman"/>
          <w:noProof/>
          <w:sz w:val="20"/>
          <w:szCs w:val="20"/>
          <w:lang w:val="en-US"/>
        </w:rPr>
        <w:sectPr w:rsidR="00081536" w:rsidRPr="004F476D" w:rsidSect="00E706B8">
          <w:pgSz w:w="11906" w:h="16838" w:code="9"/>
          <w:pgMar w:top="567" w:right="567" w:bottom="567" w:left="567" w:header="708" w:footer="708" w:gutter="0"/>
          <w:cols w:space="708"/>
          <w:docGrid w:linePitch="360"/>
        </w:sectPr>
      </w:pPr>
    </w:p>
    <w:p w14:paraId="5DB88657" w14:textId="01F75A14" w:rsidR="00081536" w:rsidRPr="004F476D" w:rsidRDefault="00081536" w:rsidP="00081536">
      <w:pPr>
        <w:spacing w:after="0" w:line="240" w:lineRule="auto"/>
        <w:ind w:firstLine="567"/>
        <w:jc w:val="center"/>
        <w:rPr>
          <w:rFonts w:ascii="Times New Roman" w:eastAsia="MS Mincho" w:hAnsi="Times New Roman" w:cs="Times New Roman"/>
          <w:noProof/>
          <w:sz w:val="20"/>
          <w:szCs w:val="20"/>
          <w:lang w:val="en-US"/>
        </w:rPr>
      </w:pPr>
      <w:r w:rsidRPr="004F476D">
        <w:rPr>
          <w:rFonts w:ascii="Times New Roman" w:eastAsia="MS Mincho" w:hAnsi="Times New Roman" w:cs="Times New Roman"/>
          <w:noProof/>
          <w:sz w:val="20"/>
          <w:szCs w:val="20"/>
          <w:lang w:val="en-US"/>
        </w:rPr>
        <w:t>Shreya Gupta</w:t>
      </w:r>
    </w:p>
    <w:p w14:paraId="0B0691E6" w14:textId="1D7BD039" w:rsidR="00081536" w:rsidRPr="004F476D" w:rsidRDefault="00081536" w:rsidP="00081536">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Division of Agricultural Physics</w:t>
      </w:r>
    </w:p>
    <w:p w14:paraId="1617D350" w14:textId="393FE6C9" w:rsidR="00081536" w:rsidRPr="004F476D" w:rsidRDefault="00081536" w:rsidP="00081536">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ICAR-Indian Agricultural Research Institute</w:t>
      </w:r>
    </w:p>
    <w:p w14:paraId="2B1264BA" w14:textId="41480A35" w:rsidR="00081536" w:rsidRPr="004F476D" w:rsidRDefault="00081536" w:rsidP="00081536">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New Delhi, India</w:t>
      </w:r>
    </w:p>
    <w:p w14:paraId="7BAF040A" w14:textId="0BD72906" w:rsidR="00081536" w:rsidRPr="004F476D" w:rsidRDefault="00081536" w:rsidP="00081536">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shreya14146@gmail.com</w:t>
      </w:r>
    </w:p>
    <w:p w14:paraId="043AF6FC" w14:textId="77777777" w:rsidR="00081536" w:rsidRPr="004F476D" w:rsidRDefault="00081536" w:rsidP="00081536">
      <w:pPr>
        <w:spacing w:after="0" w:line="240" w:lineRule="auto"/>
        <w:ind w:firstLine="567"/>
        <w:jc w:val="center"/>
        <w:rPr>
          <w:rFonts w:ascii="Times New Roman" w:eastAsia="MS Mincho" w:hAnsi="Times New Roman" w:cs="Times New Roman"/>
          <w:sz w:val="20"/>
          <w:szCs w:val="20"/>
          <w:lang w:val="en-US"/>
        </w:rPr>
      </w:pPr>
    </w:p>
    <w:p w14:paraId="1B41482D"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369EA798"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 xml:space="preserve">Ananta </w:t>
      </w:r>
      <w:proofErr w:type="spellStart"/>
      <w:r w:rsidRPr="004F476D">
        <w:rPr>
          <w:rFonts w:ascii="Times New Roman" w:eastAsia="MS Mincho" w:hAnsi="Times New Roman" w:cs="Times New Roman"/>
          <w:sz w:val="20"/>
          <w:szCs w:val="20"/>
          <w:lang w:val="en-US"/>
        </w:rPr>
        <w:t>Vashisth</w:t>
      </w:r>
      <w:proofErr w:type="spellEnd"/>
    </w:p>
    <w:p w14:paraId="7F905472"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Division of Agricultural Physics</w:t>
      </w:r>
    </w:p>
    <w:p w14:paraId="5F049EA3"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ICAR-Indian Agricultural Research Institute</w:t>
      </w:r>
    </w:p>
    <w:p w14:paraId="4F46AB8E"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New Delhi, India</w:t>
      </w:r>
    </w:p>
    <w:p w14:paraId="65304658" w14:textId="77777777" w:rsidR="009B7F52" w:rsidRPr="004F476D" w:rsidRDefault="009B7F52" w:rsidP="009B7F52">
      <w:pPr>
        <w:spacing w:after="0" w:line="240" w:lineRule="auto"/>
        <w:ind w:firstLine="567"/>
        <w:jc w:val="center"/>
        <w:rPr>
          <w:rFonts w:ascii="Times New Roman" w:eastAsia="MS Mincho" w:hAnsi="Times New Roman" w:cs="Times New Roman"/>
          <w:noProof/>
          <w:sz w:val="20"/>
          <w:szCs w:val="20"/>
          <w:lang w:val="en-US"/>
        </w:rPr>
      </w:pPr>
      <w:r w:rsidRPr="004F476D">
        <w:rPr>
          <w:rFonts w:ascii="Times New Roman" w:eastAsia="MS Mincho" w:hAnsi="Times New Roman" w:cs="Times New Roman"/>
          <w:noProof/>
          <w:sz w:val="20"/>
          <w:szCs w:val="20"/>
          <w:lang w:val="en-US"/>
        </w:rPr>
        <w:t>ananta.iari@gmail.com</w:t>
      </w:r>
    </w:p>
    <w:p w14:paraId="3F3B001A"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20786997"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5AB18172" w14:textId="77777777" w:rsidR="009B7F52" w:rsidRPr="004F476D" w:rsidRDefault="009B7F52" w:rsidP="009B7F52">
      <w:pPr>
        <w:spacing w:after="0" w:line="240" w:lineRule="auto"/>
        <w:ind w:firstLine="567"/>
        <w:jc w:val="center"/>
        <w:rPr>
          <w:rFonts w:ascii="Times New Roman" w:eastAsia="MS Mincho" w:hAnsi="Times New Roman" w:cs="Times New Roman"/>
          <w:noProof/>
          <w:sz w:val="20"/>
          <w:szCs w:val="20"/>
          <w:lang w:val="en-US"/>
        </w:rPr>
      </w:pPr>
      <w:r w:rsidRPr="004F476D">
        <w:rPr>
          <w:rFonts w:ascii="Times New Roman" w:eastAsia="MS Mincho" w:hAnsi="Times New Roman" w:cs="Times New Roman"/>
          <w:noProof/>
          <w:sz w:val="20"/>
          <w:szCs w:val="20"/>
          <w:lang w:val="en-US"/>
        </w:rPr>
        <w:t>Dipankar Barman</w:t>
      </w:r>
    </w:p>
    <w:p w14:paraId="66BFE414"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Division of Plant Physiology</w:t>
      </w:r>
    </w:p>
    <w:p w14:paraId="6A9DC228"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ICAR-Indian Agricultural Research Institute</w:t>
      </w:r>
    </w:p>
    <w:p w14:paraId="412E7224" w14:textId="77777777" w:rsidR="009B7F52" w:rsidRPr="004F476D" w:rsidRDefault="009B7F52" w:rsidP="009B7F52">
      <w:pPr>
        <w:spacing w:after="0" w:line="240" w:lineRule="auto"/>
        <w:ind w:firstLine="567"/>
        <w:jc w:val="center"/>
        <w:rPr>
          <w:rFonts w:ascii="Times New Roman" w:eastAsia="MS Mincho" w:hAnsi="Times New Roman" w:cs="Times New Roman"/>
          <w:sz w:val="20"/>
          <w:szCs w:val="20"/>
          <w:lang w:val="en-US"/>
        </w:rPr>
      </w:pPr>
      <w:r w:rsidRPr="004F476D">
        <w:rPr>
          <w:rFonts w:ascii="Times New Roman" w:eastAsia="MS Mincho" w:hAnsi="Times New Roman" w:cs="Times New Roman"/>
          <w:sz w:val="20"/>
          <w:szCs w:val="20"/>
          <w:lang w:val="en-US"/>
        </w:rPr>
        <w:t>New Delhi, India</w:t>
      </w:r>
    </w:p>
    <w:p w14:paraId="2DDDA15A" w14:textId="77777777" w:rsidR="009B7F52" w:rsidRPr="004F476D" w:rsidRDefault="009B7F52" w:rsidP="009B7F52">
      <w:pPr>
        <w:spacing w:after="0" w:line="240" w:lineRule="auto"/>
        <w:ind w:firstLine="567"/>
        <w:jc w:val="center"/>
        <w:rPr>
          <w:rFonts w:ascii="Times New Roman" w:hAnsi="Times New Roman" w:cs="Times New Roman"/>
          <w:sz w:val="20"/>
          <w:szCs w:val="20"/>
          <w:lang w:val="en-US"/>
        </w:rPr>
      </w:pPr>
      <w:r w:rsidRPr="004F476D">
        <w:rPr>
          <w:rFonts w:ascii="Times New Roman" w:hAnsi="Times New Roman" w:cs="Times New Roman"/>
          <w:sz w:val="20"/>
          <w:szCs w:val="20"/>
          <w:lang w:val="en-US"/>
        </w:rPr>
        <w:t>barmandipankar1993@gmail.com</w:t>
      </w:r>
    </w:p>
    <w:p w14:paraId="6D970110"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7B61ACE0"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320F31A8" w14:textId="77777777" w:rsidR="009B7F52" w:rsidRDefault="009B7F52" w:rsidP="00A619CD">
      <w:pPr>
        <w:spacing w:after="0" w:line="240" w:lineRule="auto"/>
        <w:ind w:firstLine="567"/>
        <w:jc w:val="center"/>
        <w:rPr>
          <w:rFonts w:ascii="Times New Roman" w:eastAsia="MS Mincho" w:hAnsi="Times New Roman" w:cs="Times New Roman"/>
          <w:sz w:val="20"/>
          <w:szCs w:val="20"/>
          <w:lang w:val="en-US"/>
        </w:rPr>
      </w:pPr>
    </w:p>
    <w:p w14:paraId="7B4E0E7D" w14:textId="77777777" w:rsidR="00081536" w:rsidRPr="004F476D" w:rsidRDefault="00081536" w:rsidP="00E706B8">
      <w:pPr>
        <w:pStyle w:val="Abstract"/>
        <w:spacing w:after="0"/>
        <w:ind w:firstLine="567"/>
        <w:jc w:val="center"/>
        <w:rPr>
          <w:rFonts w:eastAsia="MS Mincho"/>
          <w:iCs/>
          <w:sz w:val="20"/>
          <w:szCs w:val="20"/>
        </w:rPr>
      </w:pPr>
    </w:p>
    <w:p w14:paraId="0E14E579" w14:textId="77777777" w:rsidR="00A619CD" w:rsidRPr="004F476D" w:rsidRDefault="00A619CD" w:rsidP="00E706B8">
      <w:pPr>
        <w:pStyle w:val="Abstract"/>
        <w:spacing w:after="0"/>
        <w:ind w:firstLine="567"/>
        <w:jc w:val="center"/>
        <w:rPr>
          <w:rFonts w:eastAsia="MS Mincho"/>
          <w:iCs/>
          <w:sz w:val="20"/>
          <w:szCs w:val="20"/>
        </w:rPr>
      </w:pPr>
    </w:p>
    <w:p w14:paraId="5F959FED" w14:textId="77777777" w:rsidR="00A619CD" w:rsidRPr="004F476D" w:rsidRDefault="00A619CD" w:rsidP="00E706B8">
      <w:pPr>
        <w:pStyle w:val="Abstract"/>
        <w:spacing w:after="0"/>
        <w:ind w:firstLine="567"/>
        <w:jc w:val="center"/>
        <w:rPr>
          <w:rFonts w:eastAsia="MS Mincho"/>
          <w:iCs/>
          <w:color w:val="FF0000"/>
          <w:sz w:val="20"/>
          <w:szCs w:val="20"/>
        </w:rPr>
      </w:pPr>
    </w:p>
    <w:p w14:paraId="37959C45" w14:textId="77777777" w:rsidR="00A619CD" w:rsidRPr="004F476D" w:rsidRDefault="00A619CD" w:rsidP="00E706B8">
      <w:pPr>
        <w:pStyle w:val="Abstract"/>
        <w:spacing w:after="0"/>
        <w:ind w:firstLine="567"/>
        <w:jc w:val="center"/>
        <w:rPr>
          <w:rFonts w:eastAsia="MS Mincho"/>
          <w:iCs/>
          <w:color w:val="FF0000"/>
          <w:sz w:val="20"/>
          <w:szCs w:val="20"/>
        </w:rPr>
      </w:pPr>
    </w:p>
    <w:p w14:paraId="32DDF612" w14:textId="77777777" w:rsidR="00A619CD" w:rsidRPr="004F476D" w:rsidRDefault="00A619CD" w:rsidP="00E706B8">
      <w:pPr>
        <w:pStyle w:val="Abstract"/>
        <w:spacing w:after="0"/>
        <w:ind w:firstLine="567"/>
        <w:jc w:val="center"/>
        <w:rPr>
          <w:rFonts w:eastAsia="MS Mincho"/>
          <w:iCs/>
          <w:color w:val="FF0000"/>
          <w:sz w:val="20"/>
          <w:szCs w:val="20"/>
        </w:rPr>
      </w:pPr>
    </w:p>
    <w:p w14:paraId="17C39908" w14:textId="77777777" w:rsidR="00A619CD" w:rsidRPr="004F476D" w:rsidRDefault="00A619CD" w:rsidP="00E706B8">
      <w:pPr>
        <w:pStyle w:val="Abstract"/>
        <w:spacing w:after="0"/>
        <w:ind w:firstLine="567"/>
        <w:jc w:val="center"/>
        <w:rPr>
          <w:rFonts w:eastAsia="MS Mincho"/>
          <w:iCs/>
          <w:color w:val="FF0000"/>
          <w:sz w:val="20"/>
          <w:szCs w:val="20"/>
        </w:rPr>
      </w:pPr>
    </w:p>
    <w:p w14:paraId="5AE7F230" w14:textId="77777777" w:rsidR="00A619CD" w:rsidRPr="004F476D" w:rsidRDefault="00A619CD" w:rsidP="00E706B8">
      <w:pPr>
        <w:pStyle w:val="Abstract"/>
        <w:spacing w:after="0"/>
        <w:ind w:firstLine="567"/>
        <w:jc w:val="center"/>
        <w:rPr>
          <w:rFonts w:eastAsia="MS Mincho"/>
          <w:iCs/>
          <w:color w:val="FF0000"/>
          <w:sz w:val="20"/>
          <w:szCs w:val="20"/>
        </w:rPr>
        <w:sectPr w:rsidR="00A619CD" w:rsidRPr="004F476D" w:rsidSect="00081536">
          <w:type w:val="continuous"/>
          <w:pgSz w:w="11906" w:h="16838" w:code="9"/>
          <w:pgMar w:top="567" w:right="567" w:bottom="567" w:left="567" w:header="708" w:footer="708" w:gutter="0"/>
          <w:cols w:num="2" w:space="708"/>
          <w:docGrid w:linePitch="360"/>
        </w:sectPr>
      </w:pPr>
    </w:p>
    <w:p w14:paraId="61D4FF3E" w14:textId="3BBC7E8F" w:rsidR="009718DB" w:rsidRPr="004F476D" w:rsidRDefault="009718DB" w:rsidP="00E706B8">
      <w:pPr>
        <w:pStyle w:val="Abstract"/>
        <w:spacing w:after="0"/>
        <w:ind w:firstLine="567"/>
        <w:jc w:val="center"/>
        <w:rPr>
          <w:rFonts w:eastAsia="MS Mincho"/>
          <w:iCs/>
          <w:color w:val="FF0000"/>
          <w:sz w:val="20"/>
          <w:szCs w:val="20"/>
        </w:rPr>
      </w:pPr>
      <w:r w:rsidRPr="004F476D">
        <w:rPr>
          <w:rFonts w:eastAsia="MS Mincho"/>
          <w:iCs/>
          <w:sz w:val="20"/>
          <w:szCs w:val="20"/>
        </w:rPr>
        <w:t>ABSTRACT</w:t>
      </w:r>
    </w:p>
    <w:p w14:paraId="4C4C77D0" w14:textId="14FCCA7E" w:rsidR="00A63AD7" w:rsidRPr="004F476D" w:rsidRDefault="00BD78CF" w:rsidP="00BD78CF">
      <w:pPr>
        <w:spacing w:after="0" w:line="240" w:lineRule="auto"/>
        <w:ind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Given the challenges posed by global environmental changes, population growth, and shifting demographics, there is a pressing concern regarding global food security. It is crucial to improve crop yields for food and fuel production while optimizing resource usage. Over the next 50 years, the world will need to double its food productivity compared to the current rate, necessitating an urgent need for the next green revolution. There is a critical requirement for methods that can harness the high-production and high-quality potential of food crops with reduced inputs. Next-generation genotyping and phenotyping offer promising solutions to address these needs.</w:t>
      </w:r>
      <w:r w:rsidRPr="004F476D">
        <w:rPr>
          <w:rFonts w:ascii="Times New Roman" w:hAnsi="Times New Roman" w:cs="Times New Roman"/>
        </w:rPr>
        <w:t xml:space="preserve"> </w:t>
      </w:r>
      <w:r w:rsidRPr="004F476D">
        <w:rPr>
          <w:rFonts w:ascii="Times New Roman" w:hAnsi="Times New Roman" w:cs="Times New Roman"/>
          <w:sz w:val="20"/>
          <w:szCs w:val="20"/>
          <w:lang w:val="en-US"/>
        </w:rPr>
        <w:t xml:space="preserve">The development of crop varieties with desired traits has been facilitated by the use of high-throughput genomics tools. With advancements in sequencing and biotechnological tools, a significant portion of the genome is now accessible, and functional analysis has entered the high-throughput stage. However, despite the identification and characterization of numerous key genes controlling important traits, the potential of available genetic information remains untapped due to outdated phenotyping tools. The lag in phenotyping compared to genotyping has become a bottleneck in plant biology and crop breeding programs. To overcome this bottleneck and fully leverage genomic information, high-throughput phenotyping in plant biology has emerged as a solution. This approach integrates technologies such as photonics, biology, computers, and robotics to enable the functional characterization of genes that may not be known for their phenotype. High-throughput phenotyping platforms can facilitate parallel advancements in crop physiology and phenomics alongside genomics. By employing such novel technologies, plant phenomics can provide valuable insights into various aspects of living plants for plant scientists. By embracing high-throughput phenotyping, researchers can bridge the gap between genomics and phenomics, enabling a more comprehensive understanding of plant traits and their interactions. </w:t>
      </w:r>
    </w:p>
    <w:p w14:paraId="5B50E3F3" w14:textId="77777777" w:rsidR="00BD78CF" w:rsidRPr="004F476D" w:rsidRDefault="00BD78CF" w:rsidP="00E706B8">
      <w:pPr>
        <w:spacing w:after="0" w:line="240" w:lineRule="auto"/>
        <w:ind w:firstLine="567"/>
        <w:jc w:val="both"/>
        <w:rPr>
          <w:rFonts w:ascii="Times New Roman" w:hAnsi="Times New Roman" w:cs="Times New Roman"/>
          <w:b/>
          <w:bCs/>
          <w:sz w:val="20"/>
          <w:szCs w:val="20"/>
          <w:lang w:val="en-US"/>
        </w:rPr>
      </w:pPr>
    </w:p>
    <w:p w14:paraId="7202BF73" w14:textId="1103D6B7" w:rsidR="00A63AD7" w:rsidRPr="004F476D" w:rsidRDefault="00A63AD7" w:rsidP="004F476D">
      <w:pPr>
        <w:spacing w:after="0" w:line="240" w:lineRule="auto"/>
        <w:jc w:val="both"/>
        <w:rPr>
          <w:rFonts w:ascii="Times New Roman" w:hAnsi="Times New Roman" w:cs="Times New Roman"/>
          <w:sz w:val="20"/>
          <w:szCs w:val="20"/>
          <w:lang w:val="en-US"/>
        </w:rPr>
      </w:pPr>
      <w:r w:rsidRPr="004F476D">
        <w:rPr>
          <w:rFonts w:ascii="Times New Roman" w:hAnsi="Times New Roman" w:cs="Times New Roman"/>
          <w:b/>
          <w:bCs/>
          <w:sz w:val="20"/>
          <w:szCs w:val="20"/>
          <w:lang w:val="en-US"/>
        </w:rPr>
        <w:t>Keywords</w:t>
      </w:r>
      <w:r w:rsidRPr="004F476D">
        <w:rPr>
          <w:rFonts w:ascii="Times New Roman" w:hAnsi="Times New Roman" w:cs="Times New Roman"/>
          <w:sz w:val="20"/>
          <w:szCs w:val="20"/>
          <w:lang w:val="en-US"/>
        </w:rPr>
        <w:t>—</w:t>
      </w:r>
      <w:r w:rsidR="00C61D18" w:rsidRPr="004F476D">
        <w:rPr>
          <w:rFonts w:ascii="Times New Roman" w:hAnsi="Times New Roman" w:cs="Times New Roman"/>
          <w:sz w:val="20"/>
          <w:szCs w:val="20"/>
          <w:lang w:val="en-US"/>
        </w:rPr>
        <w:t>high throughput phenotyping</w:t>
      </w:r>
      <w:r w:rsidRPr="004F476D">
        <w:rPr>
          <w:rFonts w:ascii="Times New Roman" w:hAnsi="Times New Roman" w:cs="Times New Roman"/>
          <w:sz w:val="20"/>
          <w:szCs w:val="20"/>
          <w:lang w:val="en-US"/>
        </w:rPr>
        <w:t xml:space="preserve">; </w:t>
      </w:r>
      <w:r w:rsidR="00BD78CF" w:rsidRPr="004F476D">
        <w:rPr>
          <w:rFonts w:ascii="Times New Roman" w:hAnsi="Times New Roman" w:cs="Times New Roman"/>
          <w:sz w:val="20"/>
          <w:szCs w:val="20"/>
          <w:lang w:val="en-US"/>
        </w:rPr>
        <w:t xml:space="preserve">productivity; </w:t>
      </w:r>
    </w:p>
    <w:p w14:paraId="6037DE2C" w14:textId="77777777" w:rsidR="00F5180C" w:rsidRPr="004F476D" w:rsidRDefault="00F5180C" w:rsidP="00E706B8">
      <w:pPr>
        <w:spacing w:after="0" w:line="240" w:lineRule="auto"/>
        <w:ind w:firstLine="567"/>
        <w:jc w:val="center"/>
        <w:rPr>
          <w:rFonts w:ascii="Times New Roman" w:hAnsi="Times New Roman" w:cs="Times New Roman"/>
          <w:color w:val="FF0000"/>
          <w:sz w:val="20"/>
          <w:szCs w:val="20"/>
          <w:lang w:val="en-US"/>
        </w:rPr>
      </w:pPr>
    </w:p>
    <w:p w14:paraId="02B0EB38" w14:textId="6316F3B7" w:rsidR="008F09E9" w:rsidRPr="004F476D" w:rsidRDefault="008F09E9" w:rsidP="00E706B8">
      <w:pPr>
        <w:pStyle w:val="ListParagraph"/>
        <w:numPr>
          <w:ilvl w:val="0"/>
          <w:numId w:val="2"/>
        </w:numPr>
        <w:spacing w:after="0" w:line="240" w:lineRule="auto"/>
        <w:ind w:left="0" w:firstLine="567"/>
        <w:jc w:val="center"/>
        <w:rPr>
          <w:rFonts w:ascii="Times New Roman" w:hAnsi="Times New Roman" w:cs="Times New Roman"/>
          <w:b/>
          <w:bCs/>
          <w:sz w:val="20"/>
          <w:szCs w:val="20"/>
        </w:rPr>
      </w:pPr>
      <w:r w:rsidRPr="004F476D">
        <w:rPr>
          <w:rFonts w:ascii="Times New Roman" w:hAnsi="Times New Roman" w:cs="Times New Roman"/>
          <w:b/>
          <w:bCs/>
          <w:sz w:val="20"/>
          <w:szCs w:val="20"/>
        </w:rPr>
        <w:t>INTRODUCTION</w:t>
      </w:r>
    </w:p>
    <w:p w14:paraId="5646F302" w14:textId="589FF50B" w:rsidR="00343D28" w:rsidRPr="004F476D" w:rsidRDefault="00D80C94" w:rsidP="00343D28">
      <w:pPr>
        <w:spacing w:after="0" w:line="240" w:lineRule="auto"/>
        <w:ind w:firstLine="567"/>
        <w:jc w:val="both"/>
        <w:rPr>
          <w:rFonts w:ascii="Times New Roman" w:hAnsi="Times New Roman" w:cs="Times New Roman"/>
          <w:sz w:val="20"/>
          <w:szCs w:val="20"/>
        </w:rPr>
      </w:pPr>
      <w:r w:rsidRPr="004F476D">
        <w:rPr>
          <w:rFonts w:ascii="Times New Roman" w:hAnsi="Times New Roman" w:cs="Times New Roman"/>
          <w:sz w:val="20"/>
          <w:szCs w:val="20"/>
        </w:rPr>
        <w:t>The term "phenotype," derived from the Greek words ‘</w:t>
      </w:r>
      <w:proofErr w:type="spellStart"/>
      <w:r w:rsidRPr="004F476D">
        <w:rPr>
          <w:rFonts w:ascii="Times New Roman" w:hAnsi="Times New Roman" w:cs="Times New Roman"/>
          <w:sz w:val="20"/>
          <w:szCs w:val="20"/>
        </w:rPr>
        <w:t>phainein</w:t>
      </w:r>
      <w:proofErr w:type="spellEnd"/>
      <w:r w:rsidRPr="004F476D">
        <w:rPr>
          <w:rFonts w:ascii="Times New Roman" w:hAnsi="Times New Roman" w:cs="Times New Roman"/>
          <w:sz w:val="20"/>
          <w:szCs w:val="20"/>
        </w:rPr>
        <w:t>’ and ‘typos’, was introduced by Wilhelm Johannsen in 1911. He defined phenotype as the observable characteristics of an organism that can be distinguished through direct observation or more precise methods of measurement and description. Johannsen emphasized that the phenotype encompasses all types of organisms and can be used to differentiate and categorize them based on their visible traits</w:t>
      </w:r>
      <w:r w:rsidR="004F476D">
        <w:rPr>
          <w:rFonts w:ascii="Times New Roman" w:hAnsi="Times New Roman" w:cs="Times New Roman"/>
          <w:sz w:val="20"/>
          <w:szCs w:val="20"/>
        </w:rPr>
        <w:t xml:space="preserve"> [1]</w:t>
      </w:r>
      <w:r w:rsidRPr="004F476D">
        <w:rPr>
          <w:rFonts w:ascii="Times New Roman" w:hAnsi="Times New Roman" w:cs="Times New Roman"/>
          <w:sz w:val="20"/>
          <w:szCs w:val="20"/>
        </w:rPr>
        <w:t>. In 1949, the term "phenome" was first introduced and defined as the collective sum of all extragenic and non-auto reproductive components of the cell</w:t>
      </w:r>
      <w:r w:rsidR="004F476D">
        <w:rPr>
          <w:rFonts w:ascii="Times New Roman" w:hAnsi="Times New Roman" w:cs="Times New Roman"/>
          <w:sz w:val="20"/>
          <w:szCs w:val="20"/>
        </w:rPr>
        <w:t xml:space="preserve"> [2]</w:t>
      </w:r>
      <w:r w:rsidRPr="004F476D">
        <w:rPr>
          <w:rFonts w:ascii="Times New Roman" w:hAnsi="Times New Roman" w:cs="Times New Roman"/>
          <w:sz w:val="20"/>
          <w:szCs w:val="20"/>
        </w:rPr>
        <w:t>. This definition arose as the concept of the genome, which represents the genetic material underlying the genotype, was being established. The phenome, therefore, encompassed the entirety of observable traits or phenotypes displayed by an organism, considering all the factors outside of the genome that contribute to its phenotype. Despite advancements in genomics and other "</w:t>
      </w:r>
      <w:proofErr w:type="spellStart"/>
      <w:r w:rsidRPr="004F476D">
        <w:rPr>
          <w:rFonts w:ascii="Times New Roman" w:hAnsi="Times New Roman" w:cs="Times New Roman"/>
          <w:sz w:val="20"/>
          <w:szCs w:val="20"/>
        </w:rPr>
        <w:t>omic</w:t>
      </w:r>
      <w:proofErr w:type="spellEnd"/>
      <w:r w:rsidRPr="004F476D">
        <w:rPr>
          <w:rFonts w:ascii="Times New Roman" w:hAnsi="Times New Roman" w:cs="Times New Roman"/>
          <w:sz w:val="20"/>
          <w:szCs w:val="20"/>
        </w:rPr>
        <w:t>" technologies, the acquisition of phenotypic data remains a bottleneck in crop breeding and functional genomics studies</w:t>
      </w:r>
      <w:r w:rsidR="004F476D">
        <w:rPr>
          <w:rFonts w:ascii="Times New Roman" w:hAnsi="Times New Roman" w:cs="Times New Roman"/>
          <w:sz w:val="20"/>
          <w:szCs w:val="20"/>
        </w:rPr>
        <w:t xml:space="preserve"> [3]</w:t>
      </w:r>
      <w:r w:rsidRPr="004F476D">
        <w:rPr>
          <w:rFonts w:ascii="Times New Roman" w:hAnsi="Times New Roman" w:cs="Times New Roman"/>
          <w:sz w:val="20"/>
          <w:szCs w:val="20"/>
        </w:rPr>
        <w:t xml:space="preserve">. Traditional methods of crop phenotyping are </w:t>
      </w:r>
      <w:proofErr w:type="spellStart"/>
      <w:r w:rsidRPr="004F476D">
        <w:rPr>
          <w:rFonts w:ascii="Times New Roman" w:hAnsi="Times New Roman" w:cs="Times New Roman"/>
          <w:sz w:val="20"/>
          <w:szCs w:val="20"/>
        </w:rPr>
        <w:t>labor-intensive</w:t>
      </w:r>
      <w:proofErr w:type="spellEnd"/>
      <w:r w:rsidRPr="004F476D">
        <w:rPr>
          <w:rFonts w:ascii="Times New Roman" w:hAnsi="Times New Roman" w:cs="Times New Roman"/>
          <w:sz w:val="20"/>
          <w:szCs w:val="20"/>
        </w:rPr>
        <w:t xml:space="preserve">, time-consuming, subjective, and often result in the destruction of plants </w:t>
      </w:r>
      <w:r w:rsidR="004F476D">
        <w:rPr>
          <w:rFonts w:ascii="Times New Roman" w:hAnsi="Times New Roman" w:cs="Times New Roman"/>
          <w:sz w:val="20"/>
          <w:szCs w:val="20"/>
        </w:rPr>
        <w:t>[4-5]</w:t>
      </w:r>
      <w:r w:rsidRPr="004F476D">
        <w:rPr>
          <w:rFonts w:ascii="Times New Roman" w:hAnsi="Times New Roman" w:cs="Times New Roman"/>
          <w:sz w:val="20"/>
          <w:szCs w:val="20"/>
        </w:rPr>
        <w:t xml:space="preserve">. Moreover, the development of technologies for high-throughput phenotyping has generally lagged behind other </w:t>
      </w:r>
      <w:proofErr w:type="spellStart"/>
      <w:r w:rsidRPr="004F476D">
        <w:rPr>
          <w:rFonts w:ascii="Times New Roman" w:hAnsi="Times New Roman" w:cs="Times New Roman"/>
          <w:sz w:val="20"/>
          <w:szCs w:val="20"/>
        </w:rPr>
        <w:t>omic</w:t>
      </w:r>
      <w:proofErr w:type="spellEnd"/>
      <w:r w:rsidRPr="004F476D">
        <w:rPr>
          <w:rFonts w:ascii="Times New Roman" w:hAnsi="Times New Roman" w:cs="Times New Roman"/>
          <w:sz w:val="20"/>
          <w:szCs w:val="20"/>
        </w:rPr>
        <w:t xml:space="preserve"> technologies and tends to be fragmented.</w:t>
      </w:r>
      <w:r w:rsidR="00D7575A" w:rsidRPr="004F476D">
        <w:rPr>
          <w:rFonts w:ascii="Times New Roman" w:hAnsi="Times New Roman" w:cs="Times New Roman"/>
          <w:sz w:val="20"/>
          <w:szCs w:val="20"/>
        </w:rPr>
        <w:t xml:space="preserve"> </w:t>
      </w:r>
      <w:r w:rsidRPr="004F476D">
        <w:rPr>
          <w:rFonts w:ascii="Times New Roman" w:hAnsi="Times New Roman" w:cs="Times New Roman"/>
          <w:sz w:val="20"/>
          <w:szCs w:val="20"/>
        </w:rPr>
        <w:t>However, in recent years, there has been increasing adoption of advanced sensor technology, machine vision, and automation across the agri-food industry. These technologies have been employed to enhance automation and improve efficiency in various applications, including product quality assessment, sorting, and packaging. This adoption of advanced technologies holds promise for addressing the challenges associated with phenotypic data acquisition, enabling faster, more objective, and non-destructive methods of assessing crop phenotypes</w:t>
      </w:r>
      <w:r w:rsidR="00D7575A" w:rsidRPr="004F476D">
        <w:rPr>
          <w:rFonts w:ascii="Times New Roman" w:hAnsi="Times New Roman" w:cs="Times New Roman"/>
        </w:rPr>
        <w:t xml:space="preserve"> </w:t>
      </w:r>
      <w:r w:rsidR="004F476D">
        <w:rPr>
          <w:rFonts w:ascii="Times New Roman" w:hAnsi="Times New Roman" w:cs="Times New Roman"/>
        </w:rPr>
        <w:t>[6]</w:t>
      </w:r>
      <w:r w:rsidR="00D7575A" w:rsidRPr="004F476D">
        <w:rPr>
          <w:rFonts w:ascii="Times New Roman" w:hAnsi="Times New Roman" w:cs="Times New Roman"/>
          <w:sz w:val="20"/>
          <w:szCs w:val="20"/>
        </w:rPr>
        <w:t>.</w:t>
      </w:r>
      <w:r w:rsidR="00343D28" w:rsidRPr="004F476D">
        <w:rPr>
          <w:rFonts w:ascii="Times New Roman" w:hAnsi="Times New Roman" w:cs="Times New Roman"/>
        </w:rPr>
        <w:t xml:space="preserve"> </w:t>
      </w:r>
      <w:r w:rsidR="00343D28" w:rsidRPr="004F476D">
        <w:rPr>
          <w:rFonts w:ascii="Times New Roman" w:hAnsi="Times New Roman" w:cs="Times New Roman"/>
          <w:sz w:val="20"/>
          <w:szCs w:val="20"/>
        </w:rPr>
        <w:t>Recent advances in various technologies, including sensors, information technology (IT), data extraction, and systems integration, have led to significant progress in non-destructive and repetitive assessment of morphology and physiology across entire populations and throughout the developmental stages of plants. These advancements have been facilitated by decreasing costs and improved capabilities of these technologies. However, it is important to note that these technologies are still in active development and continue to evolve.</w:t>
      </w:r>
    </w:p>
    <w:p w14:paraId="7AE57AD3" w14:textId="77777777" w:rsidR="00343D28" w:rsidRPr="004F476D" w:rsidRDefault="00343D28" w:rsidP="00343D28">
      <w:pPr>
        <w:spacing w:after="0" w:line="240" w:lineRule="auto"/>
        <w:ind w:firstLine="567"/>
        <w:jc w:val="both"/>
        <w:rPr>
          <w:rFonts w:ascii="Times New Roman" w:hAnsi="Times New Roman" w:cs="Times New Roman"/>
          <w:sz w:val="20"/>
          <w:szCs w:val="20"/>
        </w:rPr>
      </w:pPr>
    </w:p>
    <w:p w14:paraId="696162DC" w14:textId="787CC72A" w:rsidR="00564E8F" w:rsidRPr="004F476D" w:rsidRDefault="00343D28" w:rsidP="00BD78CF">
      <w:pPr>
        <w:spacing w:after="0" w:line="240" w:lineRule="auto"/>
        <w:ind w:firstLine="567"/>
        <w:jc w:val="both"/>
        <w:rPr>
          <w:rFonts w:ascii="Times New Roman" w:hAnsi="Times New Roman" w:cs="Times New Roman"/>
          <w:sz w:val="20"/>
          <w:szCs w:val="20"/>
        </w:rPr>
      </w:pPr>
      <w:r w:rsidRPr="004F476D">
        <w:rPr>
          <w:rFonts w:ascii="Times New Roman" w:hAnsi="Times New Roman" w:cs="Times New Roman"/>
          <w:sz w:val="20"/>
          <w:szCs w:val="20"/>
        </w:rPr>
        <w:t xml:space="preserve">In the past decade, considerable efforts have been made to understand the rationale and methodologies for measuring genomics comprehensively. Now, with the advent of technological advancements, the focus is shifting towards answering the question of why and how to measure whole-plant phenotypes. The coming decades hold the promise of leveraging these technological developments to </w:t>
      </w:r>
      <w:r w:rsidRPr="004F476D">
        <w:rPr>
          <w:rFonts w:ascii="Times New Roman" w:hAnsi="Times New Roman" w:cs="Times New Roman"/>
          <w:sz w:val="20"/>
          <w:szCs w:val="20"/>
        </w:rPr>
        <w:lastRenderedPageBreak/>
        <w:t xml:space="preserve">gain a deeper understanding of plant phenotypes at the holistic level, enabling comprehensive and precise measurement of plant traits throughout their life cycle. </w:t>
      </w:r>
      <w:r w:rsidR="00E262C2" w:rsidRPr="004F476D">
        <w:rPr>
          <w:rFonts w:ascii="Times New Roman" w:hAnsi="Times New Roman" w:cs="Times New Roman"/>
          <w:sz w:val="20"/>
          <w:szCs w:val="20"/>
        </w:rPr>
        <w:t xml:space="preserve">Crop functional genomics studies have entered the era of big data and high-throughput analysis with the advent of whole-genome sequencing in many crops. Nevertheless, the collection of extensive phenotypic data poses a significant challenge, impeding progress in crop breeding and functional genomics research. This </w:t>
      </w:r>
      <w:r w:rsidR="00D80C94" w:rsidRPr="004F476D">
        <w:rPr>
          <w:rFonts w:ascii="Times New Roman" w:hAnsi="Times New Roman" w:cs="Times New Roman"/>
          <w:sz w:val="20"/>
          <w:szCs w:val="20"/>
        </w:rPr>
        <w:t>large-scale</w:t>
      </w:r>
      <w:r w:rsidR="00E262C2" w:rsidRPr="004F476D">
        <w:rPr>
          <w:rFonts w:ascii="Times New Roman" w:hAnsi="Times New Roman" w:cs="Times New Roman"/>
          <w:sz w:val="20"/>
          <w:szCs w:val="20"/>
        </w:rPr>
        <w:t xml:space="preserve"> phenotyping being the bottleneck of agricultural development can be solved through the high throughput phenotyping.</w:t>
      </w:r>
      <w:r w:rsidR="00BD78CF" w:rsidRPr="004F476D">
        <w:rPr>
          <w:rFonts w:ascii="Times New Roman" w:hAnsi="Times New Roman" w:cs="Times New Roman"/>
          <w:sz w:val="20"/>
          <w:szCs w:val="20"/>
          <w:lang w:val="en-US"/>
        </w:rPr>
        <w:t xml:space="preserve"> This integration of advanced phenotyping technologies with genomics will enhance the development of crop varieties with desired traits, contributing to the advancement of plant biology and improving crop breeding programs. </w:t>
      </w:r>
      <w:r w:rsidR="00E262C2" w:rsidRPr="004F476D">
        <w:rPr>
          <w:rFonts w:ascii="Times New Roman" w:hAnsi="Times New Roman" w:cs="Times New Roman"/>
          <w:sz w:val="20"/>
          <w:szCs w:val="20"/>
        </w:rPr>
        <w:t xml:space="preserve"> </w:t>
      </w:r>
      <w:r w:rsidRPr="004F476D">
        <w:rPr>
          <w:rFonts w:ascii="Times New Roman" w:hAnsi="Times New Roman" w:cs="Times New Roman"/>
          <w:sz w:val="20"/>
          <w:szCs w:val="20"/>
        </w:rPr>
        <w:t>In this article, we will focus on the major instrumentation and sensors on high throughput phenotyping in controlled environments and field conditions. Also, database of the International Plant Phenotyping Network (IPPN), will be discussed.</w:t>
      </w:r>
    </w:p>
    <w:p w14:paraId="4ED63B34" w14:textId="77777777" w:rsidR="00E262C2" w:rsidRPr="004F476D" w:rsidRDefault="00E262C2" w:rsidP="00E706B8">
      <w:pPr>
        <w:spacing w:after="0" w:line="240" w:lineRule="auto"/>
        <w:ind w:firstLine="567"/>
        <w:jc w:val="both"/>
        <w:rPr>
          <w:rFonts w:ascii="Times New Roman" w:hAnsi="Times New Roman" w:cs="Times New Roman"/>
          <w:color w:val="FF0000"/>
          <w:sz w:val="20"/>
          <w:szCs w:val="20"/>
        </w:rPr>
      </w:pPr>
    </w:p>
    <w:p w14:paraId="120E64EE" w14:textId="5771FAA4" w:rsidR="00564E8F" w:rsidRPr="004F476D" w:rsidRDefault="00BD78CF" w:rsidP="00E706B8">
      <w:pPr>
        <w:pStyle w:val="ListParagraph"/>
        <w:numPr>
          <w:ilvl w:val="0"/>
          <w:numId w:val="2"/>
        </w:numPr>
        <w:spacing w:after="0" w:line="240" w:lineRule="auto"/>
        <w:ind w:left="0" w:firstLine="567"/>
        <w:jc w:val="center"/>
        <w:rPr>
          <w:rFonts w:ascii="Times New Roman" w:hAnsi="Times New Roman" w:cs="Times New Roman"/>
          <w:b/>
          <w:bCs/>
          <w:sz w:val="20"/>
          <w:szCs w:val="20"/>
        </w:rPr>
      </w:pPr>
      <w:r w:rsidRPr="004F476D">
        <w:rPr>
          <w:rFonts w:ascii="Times New Roman" w:hAnsi="Times New Roman" w:cs="Times New Roman"/>
          <w:b/>
          <w:bCs/>
          <w:sz w:val="20"/>
          <w:szCs w:val="20"/>
        </w:rPr>
        <w:t>PLANT PHENOTYPING</w:t>
      </w:r>
    </w:p>
    <w:p w14:paraId="4D42AB44" w14:textId="1CD4D465" w:rsidR="00564E8F" w:rsidRPr="004F476D" w:rsidRDefault="00521F8C" w:rsidP="00636FAF">
      <w:pPr>
        <w:spacing w:after="0" w:line="240" w:lineRule="auto"/>
        <w:ind w:firstLine="567"/>
        <w:jc w:val="both"/>
        <w:rPr>
          <w:rFonts w:ascii="Times New Roman" w:hAnsi="Times New Roman" w:cs="Times New Roman"/>
          <w:sz w:val="20"/>
          <w:szCs w:val="20"/>
        </w:rPr>
      </w:pPr>
      <w:r w:rsidRPr="004F476D">
        <w:rPr>
          <w:rFonts w:ascii="Times New Roman" w:hAnsi="Times New Roman" w:cs="Times New Roman"/>
          <w:sz w:val="20"/>
          <w:szCs w:val="20"/>
        </w:rPr>
        <w:t xml:space="preserve">Johannsen's work in 1903 introduced the concepts of genotype and phenotype. The genotype refers to the genetic makeup of an organism, specifically the set of genes responsible for a particular trait. On the other hand, the phenotype represents the observable physical characteristics resulting from the interaction of genes with the environment. Genes play a vital role in determining a plant's potential productivity, disease resistance, water use efficiency, and other significant agronomic traits. The phenome encompasses the entirety of phenotypes exhibited by cells, tissues, organs, organisms, or species. Phenotyping, in turn, involves the measurement and assessment of an organism's observable traits. It involves the examination and quantification of various characteristics. Recent advancements in gene sequencing technology have facilitated the functional analysis of genomes in a high-throughput manner. This has led to the proposal of effective strategies for developing crop varieties with desired traits using high-throughput genomics tools. Sequencing genes has become an essential requirement in contemporary agriculture. These advanced genomics tools enable researchers to </w:t>
      </w:r>
      <w:proofErr w:type="spellStart"/>
      <w:r w:rsidRPr="004F476D">
        <w:rPr>
          <w:rFonts w:ascii="Times New Roman" w:hAnsi="Times New Roman" w:cs="Times New Roman"/>
          <w:sz w:val="20"/>
          <w:szCs w:val="20"/>
        </w:rPr>
        <w:t>analyze</w:t>
      </w:r>
      <w:proofErr w:type="spellEnd"/>
      <w:r w:rsidRPr="004F476D">
        <w:rPr>
          <w:rFonts w:ascii="Times New Roman" w:hAnsi="Times New Roman" w:cs="Times New Roman"/>
          <w:sz w:val="20"/>
          <w:szCs w:val="20"/>
        </w:rPr>
        <w:t xml:space="preserve"> vast amounts of genetic data rapidly and efficiently. By understanding the functional aspects of the genome, scientists can identify specific genes associated with desirable traits. This knowledge can then be utilized to develop improved crop varieties. To summarize, Johannsen's concepts of genotype and phenotype emphasize the role of genes in determining an organism's traits. The rapid development of gene sequencing technology has revolutionized the functional analysis of genomes, enabling the proposal of strategies for developing desired crop varieties using high-throughput genomics tools.</w:t>
      </w:r>
      <w:r w:rsidRPr="004F476D">
        <w:rPr>
          <w:rFonts w:ascii="Times New Roman" w:hAnsi="Times New Roman" w:cs="Times New Roman"/>
        </w:rPr>
        <w:t xml:space="preserve"> </w:t>
      </w:r>
      <w:r w:rsidRPr="004F476D">
        <w:rPr>
          <w:rFonts w:ascii="Times New Roman" w:hAnsi="Times New Roman" w:cs="Times New Roman"/>
          <w:sz w:val="20"/>
          <w:szCs w:val="20"/>
        </w:rPr>
        <w:t>Multiple genes interact with various environments (</w:t>
      </w:r>
      <w:proofErr w:type="spellStart"/>
      <w:r w:rsidRPr="004F476D">
        <w:rPr>
          <w:rFonts w:ascii="Times New Roman" w:hAnsi="Times New Roman" w:cs="Times New Roman"/>
          <w:sz w:val="20"/>
          <w:szCs w:val="20"/>
        </w:rPr>
        <w:t>GxE</w:t>
      </w:r>
      <w:proofErr w:type="spellEnd"/>
      <w:r w:rsidRPr="004F476D">
        <w:rPr>
          <w:rFonts w:ascii="Times New Roman" w:hAnsi="Times New Roman" w:cs="Times New Roman"/>
          <w:sz w:val="20"/>
          <w:szCs w:val="20"/>
        </w:rPr>
        <w:t xml:space="preserve">) throughout the life cycle, influencing the performance of organisms </w:t>
      </w:r>
      <w:r w:rsidR="00E85425">
        <w:rPr>
          <w:rFonts w:ascii="Times New Roman" w:hAnsi="Times New Roman" w:cs="Times New Roman"/>
          <w:sz w:val="20"/>
          <w:szCs w:val="20"/>
        </w:rPr>
        <w:t>[7]</w:t>
      </w:r>
      <w:r w:rsidRPr="004F476D">
        <w:rPr>
          <w:rFonts w:ascii="Times New Roman" w:hAnsi="Times New Roman" w:cs="Times New Roman"/>
          <w:sz w:val="20"/>
          <w:szCs w:val="20"/>
        </w:rPr>
        <w:t>. The impact of the environment on plants is particularly significant due to their immobile nature, which prevents them from employing avoidance strategies commonly used by animals. However, advancements in sensor technologies now allow for the precise monitoring of the environmental conditions experienced by plants and their dynamic responses. These technologies enable the detailed recording of the environmental history of plants and crops, facilitating a deeper understanding of how they interact with their surroundings.</w:t>
      </w:r>
    </w:p>
    <w:p w14:paraId="717443CB" w14:textId="77777777" w:rsidR="00564E8F" w:rsidRPr="004F476D" w:rsidRDefault="00564E8F" w:rsidP="00E706B8">
      <w:pPr>
        <w:spacing w:after="0" w:line="240" w:lineRule="auto"/>
        <w:ind w:firstLine="567"/>
        <w:jc w:val="both"/>
        <w:rPr>
          <w:rFonts w:ascii="Times New Roman" w:hAnsi="Times New Roman" w:cs="Times New Roman"/>
          <w:sz w:val="20"/>
          <w:szCs w:val="20"/>
        </w:rPr>
      </w:pPr>
    </w:p>
    <w:p w14:paraId="1459AD86" w14:textId="1EB88B5D" w:rsidR="00564E8F" w:rsidRPr="004F476D" w:rsidRDefault="00D668AA" w:rsidP="00636FAF">
      <w:pPr>
        <w:pStyle w:val="ListParagraph"/>
        <w:numPr>
          <w:ilvl w:val="0"/>
          <w:numId w:val="18"/>
        </w:numPr>
        <w:spacing w:after="0" w:line="240" w:lineRule="auto"/>
        <w:ind w:left="284" w:hanging="284"/>
        <w:jc w:val="both"/>
        <w:rPr>
          <w:rFonts w:ascii="Times New Roman" w:hAnsi="Times New Roman" w:cs="Times New Roman"/>
          <w:b/>
          <w:bCs/>
          <w:sz w:val="20"/>
          <w:szCs w:val="20"/>
        </w:rPr>
      </w:pPr>
      <w:r w:rsidRPr="004F476D">
        <w:rPr>
          <w:rFonts w:ascii="Times New Roman" w:hAnsi="Times New Roman" w:cs="Times New Roman"/>
          <w:b/>
          <w:bCs/>
          <w:sz w:val="20"/>
          <w:szCs w:val="20"/>
        </w:rPr>
        <w:t>High Throughput phenotyping</w:t>
      </w:r>
    </w:p>
    <w:p w14:paraId="782BFC18" w14:textId="512F6C58" w:rsidR="00564E8F" w:rsidRPr="004F476D" w:rsidRDefault="00D668AA" w:rsidP="00D668AA">
      <w:pPr>
        <w:spacing w:after="0" w:line="240" w:lineRule="auto"/>
        <w:ind w:firstLine="567"/>
        <w:jc w:val="both"/>
        <w:rPr>
          <w:rFonts w:ascii="Times New Roman" w:hAnsi="Times New Roman" w:cs="Times New Roman"/>
          <w:sz w:val="20"/>
          <w:szCs w:val="20"/>
        </w:rPr>
      </w:pPr>
      <w:r w:rsidRPr="004F476D">
        <w:rPr>
          <w:rFonts w:ascii="Times New Roman" w:hAnsi="Times New Roman" w:cs="Times New Roman"/>
          <w:sz w:val="20"/>
          <w:szCs w:val="20"/>
        </w:rPr>
        <w:t xml:space="preserve">In recent decades, there have been notable advancements in the development of sophisticated and efficient phenotyping platforms for screening plants of different sizes, ranging from small plants to larger plants such as rice and maize. Arabidopsis thaliana, in particular, has emerged as a widely utilized model plant due to its fast life cycle, relatively compact genome, extensive geographic distribution, and its close relationship to crops in the Brassicaceae family </w:t>
      </w:r>
      <w:r w:rsidR="00E85425">
        <w:rPr>
          <w:rFonts w:ascii="Times New Roman" w:hAnsi="Times New Roman" w:cs="Times New Roman"/>
          <w:sz w:val="20"/>
          <w:szCs w:val="20"/>
        </w:rPr>
        <w:t>[8]</w:t>
      </w:r>
      <w:r w:rsidRPr="004F476D">
        <w:rPr>
          <w:rFonts w:ascii="Times New Roman" w:hAnsi="Times New Roman" w:cs="Times New Roman"/>
          <w:sz w:val="20"/>
          <w:szCs w:val="20"/>
        </w:rPr>
        <w:t xml:space="preserve">. The availability of automated and large-scale phenotyping techniques offers great appeal for studying Arabidopsis and similar species under controlled environmental conditions. These approaches are particularly valuable for conducting forward genetics, reverse genetics, and quantitative genetics studies. By employing these high-throughput phenotyping platforms, researchers can gain insights into the genetic basis of various traits, investigate the functions of specific genes, explore gene interactions, and conduct quantitative analyses. Overall, the development and implementation of intelligent and high-throughput phenotyping platforms have significantly advanced research in fields such as forward genetics, reverse genetics, and quantitative genetics, especially when studying model plant species like Arabidopsis thaliana. Plant phenotyping, compared to genotyping, often takes more time and is more expensive due to the need to capture data for traits over different environments and time intervals. Traditional methods for selecting phenotypes are invasive, time-consuming, </w:t>
      </w:r>
      <w:proofErr w:type="spellStart"/>
      <w:r w:rsidRPr="004F476D">
        <w:rPr>
          <w:rFonts w:ascii="Times New Roman" w:hAnsi="Times New Roman" w:cs="Times New Roman"/>
          <w:sz w:val="20"/>
          <w:szCs w:val="20"/>
        </w:rPr>
        <w:t>labor-intensive</w:t>
      </w:r>
      <w:proofErr w:type="spellEnd"/>
      <w:r w:rsidRPr="004F476D">
        <w:rPr>
          <w:rFonts w:ascii="Times New Roman" w:hAnsi="Times New Roman" w:cs="Times New Roman"/>
          <w:sz w:val="20"/>
          <w:szCs w:val="20"/>
        </w:rPr>
        <w:t xml:space="preserve">, and costly. The primary objective of phenomics platforms is to enable plant breeders to detect and evaluate dynamic traits that are difficult or inefficient to measure using conventional phenotyping tools. These tools include manual measurements such as plant height with a scale, manual counting of tillers and leaves, which can be tedious and laborious. High-throughput phenotyping offers a viable alternative to conventional methods as it is non-invasive, less </w:t>
      </w:r>
      <w:proofErr w:type="spellStart"/>
      <w:r w:rsidRPr="004F476D">
        <w:rPr>
          <w:rFonts w:ascii="Times New Roman" w:hAnsi="Times New Roman" w:cs="Times New Roman"/>
          <w:sz w:val="20"/>
          <w:szCs w:val="20"/>
        </w:rPr>
        <w:t>labor-intensive</w:t>
      </w:r>
      <w:proofErr w:type="spellEnd"/>
      <w:r w:rsidRPr="004F476D">
        <w:rPr>
          <w:rFonts w:ascii="Times New Roman" w:hAnsi="Times New Roman" w:cs="Times New Roman"/>
          <w:sz w:val="20"/>
          <w:szCs w:val="20"/>
        </w:rPr>
        <w:t>, and time-efficient. This approach utilizes sensors, imaging systems, software, and robotics to gather data rapidly and accurately. By bridging the gap between genotype and phenotype, high-throughput phenotyping addresses the limitations of outdated phenotyping tools and the rapid advancements in genomics technologies. Automation and robotics further enhance phenotyping accuracy, objectivity, repeatability, and data storage capabilities, allowing for easy retrieval when needed. With its non-destructive and fast nature, high-throughput phenotyping can align phenotypic data with genetic information, enabling the exploration of new traits that were previously overlooked, ultimately benefiting human welfare.</w:t>
      </w:r>
    </w:p>
    <w:p w14:paraId="6D9353C3" w14:textId="77777777" w:rsidR="00D668AA" w:rsidRPr="004F476D" w:rsidRDefault="00D668AA" w:rsidP="00D668AA">
      <w:pPr>
        <w:spacing w:after="0" w:line="240" w:lineRule="auto"/>
        <w:ind w:firstLine="567"/>
        <w:jc w:val="both"/>
        <w:rPr>
          <w:rFonts w:ascii="Times New Roman" w:hAnsi="Times New Roman" w:cs="Times New Roman"/>
          <w:sz w:val="20"/>
          <w:szCs w:val="20"/>
        </w:rPr>
      </w:pPr>
    </w:p>
    <w:p w14:paraId="4A7318B5" w14:textId="7E9D51E8" w:rsidR="00564E8F" w:rsidRPr="004F476D" w:rsidRDefault="00D668AA" w:rsidP="00636FAF">
      <w:pPr>
        <w:pStyle w:val="ListParagraph"/>
        <w:numPr>
          <w:ilvl w:val="0"/>
          <w:numId w:val="18"/>
        </w:numPr>
        <w:spacing w:after="0" w:line="240" w:lineRule="auto"/>
        <w:ind w:left="284" w:hanging="284"/>
        <w:jc w:val="both"/>
        <w:rPr>
          <w:rFonts w:ascii="Times New Roman" w:hAnsi="Times New Roman" w:cs="Times New Roman"/>
          <w:b/>
          <w:bCs/>
          <w:sz w:val="20"/>
          <w:szCs w:val="20"/>
        </w:rPr>
      </w:pPr>
      <w:r w:rsidRPr="004F476D">
        <w:rPr>
          <w:rFonts w:ascii="Times New Roman" w:hAnsi="Times New Roman" w:cs="Times New Roman"/>
          <w:b/>
          <w:bCs/>
          <w:sz w:val="20"/>
          <w:szCs w:val="20"/>
        </w:rPr>
        <w:t xml:space="preserve">Controlled and field </w:t>
      </w:r>
      <w:r w:rsidR="00B745D1" w:rsidRPr="004F476D">
        <w:rPr>
          <w:rFonts w:ascii="Times New Roman" w:hAnsi="Times New Roman" w:cs="Times New Roman"/>
          <w:b/>
          <w:bCs/>
          <w:sz w:val="20"/>
          <w:szCs w:val="20"/>
        </w:rPr>
        <w:t xml:space="preserve">high throughput phenomics </w:t>
      </w:r>
    </w:p>
    <w:p w14:paraId="79EA0AE4" w14:textId="5006BEE3" w:rsidR="00B745D1" w:rsidRPr="004F476D" w:rsidRDefault="00B745D1" w:rsidP="004F476D">
      <w:pPr>
        <w:spacing w:after="0" w:line="240" w:lineRule="auto"/>
        <w:ind w:firstLine="284"/>
        <w:jc w:val="both"/>
        <w:rPr>
          <w:rFonts w:ascii="Times New Roman" w:hAnsi="Times New Roman" w:cs="Times New Roman"/>
          <w:sz w:val="20"/>
          <w:szCs w:val="20"/>
        </w:rPr>
      </w:pPr>
      <w:r w:rsidRPr="004F476D">
        <w:rPr>
          <w:rFonts w:ascii="Times New Roman" w:hAnsi="Times New Roman" w:cs="Times New Roman"/>
          <w:sz w:val="20"/>
          <w:szCs w:val="20"/>
        </w:rPr>
        <w:t>In phenomics there are two approaches for high throughput phenotyping</w:t>
      </w:r>
      <w:r w:rsidR="00F63173" w:rsidRPr="004F476D">
        <w:rPr>
          <w:rFonts w:ascii="Times New Roman" w:hAnsi="Times New Roman" w:cs="Times New Roman"/>
          <w:sz w:val="20"/>
          <w:szCs w:val="20"/>
        </w:rPr>
        <w:t xml:space="preserve"> (figure 1)</w:t>
      </w:r>
      <w:r w:rsidR="004F476D">
        <w:rPr>
          <w:rFonts w:ascii="Times New Roman" w:hAnsi="Times New Roman" w:cs="Times New Roman"/>
          <w:sz w:val="20"/>
          <w:szCs w:val="20"/>
        </w:rPr>
        <w:t xml:space="preserve"> </w:t>
      </w:r>
      <w:r w:rsidRPr="004F476D">
        <w:rPr>
          <w:rFonts w:ascii="Times New Roman" w:hAnsi="Times New Roman" w:cs="Times New Roman"/>
          <w:sz w:val="20"/>
          <w:szCs w:val="20"/>
        </w:rPr>
        <w:t>Controlled condition phenotyping</w:t>
      </w:r>
      <w:r w:rsidR="004F476D">
        <w:rPr>
          <w:rFonts w:ascii="Times New Roman" w:hAnsi="Times New Roman" w:cs="Times New Roman"/>
          <w:sz w:val="20"/>
          <w:szCs w:val="20"/>
        </w:rPr>
        <w:t xml:space="preserve"> and </w:t>
      </w:r>
      <w:r w:rsidRPr="004F476D">
        <w:rPr>
          <w:rFonts w:ascii="Times New Roman" w:hAnsi="Times New Roman" w:cs="Times New Roman"/>
          <w:sz w:val="20"/>
          <w:szCs w:val="20"/>
        </w:rPr>
        <w:t>Field phenotyping</w:t>
      </w:r>
      <w:r w:rsidR="004F476D">
        <w:rPr>
          <w:rFonts w:ascii="Times New Roman" w:hAnsi="Times New Roman" w:cs="Times New Roman"/>
          <w:sz w:val="20"/>
          <w:szCs w:val="20"/>
        </w:rPr>
        <w:t>.  In c</w:t>
      </w:r>
      <w:r w:rsidRPr="004F476D">
        <w:rPr>
          <w:rFonts w:ascii="Times New Roman" w:hAnsi="Times New Roman" w:cs="Times New Roman"/>
          <w:sz w:val="20"/>
          <w:szCs w:val="20"/>
        </w:rPr>
        <w:t xml:space="preserve">ontrolled condition phenotyping involves the plants raised in controlled or regulated environment under the supervision. It mostly involves approaches for a plant to be scanned. Either the plants have to be moved to the sensors or another option is that the sensors </w:t>
      </w:r>
      <w:r w:rsidR="004F476D" w:rsidRPr="004F476D">
        <w:rPr>
          <w:rFonts w:ascii="Times New Roman" w:hAnsi="Times New Roman" w:cs="Times New Roman"/>
          <w:sz w:val="20"/>
          <w:szCs w:val="20"/>
        </w:rPr>
        <w:t>have</w:t>
      </w:r>
      <w:r w:rsidRPr="004F476D">
        <w:rPr>
          <w:rFonts w:ascii="Times New Roman" w:hAnsi="Times New Roman" w:cs="Times New Roman"/>
          <w:sz w:val="20"/>
          <w:szCs w:val="20"/>
        </w:rPr>
        <w:t xml:space="preserve"> to be taken to the plants. Advantages of Controlled condition phenotyping is that it is having much better control of soil moisture and nutrient inputs, offseason phenotyping (as plants can be grown in artificially controlled environment like temperature control, pressure controller, light control units etc.) can be done very easily, also due to desired light, optimum temperature and optimum input given it gives accurate data. Major advantage is that no stress to the plants unless deliberately given. While it also has disadvantages like it cannot imitate natural field conditions. Plant is derived from the natural condition as the phenotype is the product of environment and genotype, it may not give desired result in controlled phenotyping. </w:t>
      </w:r>
      <w:r w:rsidR="004C4B4F" w:rsidRPr="004F476D">
        <w:rPr>
          <w:rFonts w:ascii="Times New Roman" w:hAnsi="Times New Roman" w:cs="Times New Roman"/>
          <w:sz w:val="20"/>
          <w:szCs w:val="20"/>
        </w:rPr>
        <w:t>Also,</w:t>
      </w:r>
      <w:r w:rsidRPr="004F476D">
        <w:rPr>
          <w:rFonts w:ascii="Times New Roman" w:hAnsi="Times New Roman" w:cs="Times New Roman"/>
          <w:sz w:val="20"/>
          <w:szCs w:val="20"/>
        </w:rPr>
        <w:t xml:space="preserve"> there is space constraints: as plant are grown in pots, trays or cardboard they have very limited space this result in nor proper development of root system. So, this may mislead the result.</w:t>
      </w:r>
    </w:p>
    <w:p w14:paraId="18145204" w14:textId="108B7C8B" w:rsidR="00B745D1" w:rsidRPr="004F476D" w:rsidRDefault="00B745D1" w:rsidP="004C4B4F">
      <w:pPr>
        <w:spacing w:after="0" w:line="240" w:lineRule="auto"/>
        <w:ind w:firstLine="567"/>
        <w:jc w:val="both"/>
        <w:rPr>
          <w:rFonts w:ascii="Times New Roman" w:hAnsi="Times New Roman" w:cs="Times New Roman"/>
          <w:sz w:val="20"/>
          <w:szCs w:val="20"/>
        </w:rPr>
      </w:pPr>
      <w:r w:rsidRPr="004F476D">
        <w:rPr>
          <w:rFonts w:ascii="Times New Roman" w:hAnsi="Times New Roman" w:cs="Times New Roman"/>
          <w:sz w:val="20"/>
          <w:szCs w:val="20"/>
        </w:rPr>
        <w:t>Field phenotyping</w:t>
      </w:r>
      <w:r w:rsidR="004C4B4F" w:rsidRPr="004F476D">
        <w:rPr>
          <w:rFonts w:ascii="Times New Roman" w:hAnsi="Times New Roman" w:cs="Times New Roman"/>
          <w:sz w:val="20"/>
          <w:szCs w:val="20"/>
        </w:rPr>
        <w:t xml:space="preserve"> is the growth of plant in natural condition s there is only one </w:t>
      </w:r>
      <w:r w:rsidRPr="004F476D">
        <w:rPr>
          <w:rFonts w:ascii="Times New Roman" w:hAnsi="Times New Roman" w:cs="Times New Roman"/>
          <w:sz w:val="20"/>
          <w:szCs w:val="20"/>
        </w:rPr>
        <w:t xml:space="preserve">way to scan the plants </w:t>
      </w:r>
      <w:r w:rsidR="004F476D" w:rsidRPr="004F476D">
        <w:rPr>
          <w:rFonts w:ascii="Times New Roman" w:hAnsi="Times New Roman" w:cs="Times New Roman"/>
          <w:sz w:val="20"/>
          <w:szCs w:val="20"/>
        </w:rPr>
        <w:t>i.e.,</w:t>
      </w:r>
      <w:r w:rsidRPr="004F476D">
        <w:rPr>
          <w:rFonts w:ascii="Times New Roman" w:hAnsi="Times New Roman" w:cs="Times New Roman"/>
          <w:sz w:val="20"/>
          <w:szCs w:val="20"/>
        </w:rPr>
        <w:t xml:space="preserve"> take the sensor to the crop field.</w:t>
      </w:r>
      <w:r w:rsidR="004C4B4F" w:rsidRPr="004F476D">
        <w:rPr>
          <w:rFonts w:ascii="Times New Roman" w:hAnsi="Times New Roman" w:cs="Times New Roman"/>
          <w:sz w:val="20"/>
          <w:szCs w:val="20"/>
        </w:rPr>
        <w:t xml:space="preserve"> It also has a</w:t>
      </w:r>
      <w:r w:rsidRPr="004F476D">
        <w:rPr>
          <w:rFonts w:ascii="Times New Roman" w:hAnsi="Times New Roman" w:cs="Times New Roman"/>
          <w:sz w:val="20"/>
          <w:szCs w:val="20"/>
        </w:rPr>
        <w:t xml:space="preserve">dvantages </w:t>
      </w:r>
      <w:r w:rsidR="004C4B4F" w:rsidRPr="004F476D">
        <w:rPr>
          <w:rFonts w:ascii="Times New Roman" w:hAnsi="Times New Roman" w:cs="Times New Roman"/>
          <w:sz w:val="20"/>
          <w:szCs w:val="20"/>
        </w:rPr>
        <w:t>of natural</w:t>
      </w:r>
      <w:r w:rsidRPr="004F476D">
        <w:rPr>
          <w:rFonts w:ascii="Times New Roman" w:hAnsi="Times New Roman" w:cs="Times New Roman"/>
          <w:sz w:val="20"/>
          <w:szCs w:val="20"/>
        </w:rPr>
        <w:t xml:space="preserve"> growth environment in the field. </w:t>
      </w:r>
      <w:r w:rsidR="004C4B4F" w:rsidRPr="004F476D">
        <w:rPr>
          <w:rFonts w:ascii="Times New Roman" w:hAnsi="Times New Roman" w:cs="Times New Roman"/>
          <w:sz w:val="20"/>
          <w:szCs w:val="20"/>
        </w:rPr>
        <w:t>Thus,</w:t>
      </w:r>
      <w:r w:rsidRPr="004F476D">
        <w:rPr>
          <w:rFonts w:ascii="Times New Roman" w:hAnsi="Times New Roman" w:cs="Times New Roman"/>
          <w:sz w:val="20"/>
          <w:szCs w:val="20"/>
        </w:rPr>
        <w:t xml:space="preserve"> crop express its interaction with the environment</w:t>
      </w:r>
      <w:r w:rsidR="004C4B4F" w:rsidRPr="004F476D">
        <w:rPr>
          <w:rFonts w:ascii="Times New Roman" w:hAnsi="Times New Roman" w:cs="Times New Roman"/>
          <w:sz w:val="20"/>
          <w:szCs w:val="20"/>
        </w:rPr>
        <w:t xml:space="preserve">, </w:t>
      </w:r>
      <w:r w:rsidR="004C4B4F" w:rsidRPr="004F476D">
        <w:rPr>
          <w:rFonts w:ascii="Times New Roman" w:hAnsi="Times New Roman" w:cs="Times New Roman"/>
          <w:sz w:val="20"/>
          <w:szCs w:val="20"/>
        </w:rPr>
        <w:lastRenderedPageBreak/>
        <w:t>giving accurate results along with n</w:t>
      </w:r>
      <w:r w:rsidRPr="004F476D">
        <w:rPr>
          <w:rFonts w:ascii="Times New Roman" w:hAnsi="Times New Roman" w:cs="Times New Roman"/>
          <w:sz w:val="20"/>
          <w:szCs w:val="20"/>
        </w:rPr>
        <w:t>o space limitation</w:t>
      </w:r>
      <w:r w:rsidR="004C4B4F" w:rsidRPr="004F476D">
        <w:rPr>
          <w:rFonts w:ascii="Times New Roman" w:hAnsi="Times New Roman" w:cs="Times New Roman"/>
          <w:sz w:val="20"/>
          <w:szCs w:val="20"/>
        </w:rPr>
        <w:t xml:space="preserve"> a plant</w:t>
      </w:r>
      <w:r w:rsidRPr="004F476D">
        <w:rPr>
          <w:rFonts w:ascii="Times New Roman" w:hAnsi="Times New Roman" w:cs="Times New Roman"/>
          <w:sz w:val="20"/>
          <w:szCs w:val="20"/>
        </w:rPr>
        <w:t xml:space="preserve"> can be maintained at their natural spacing and utilize the soil profile to their level.</w:t>
      </w:r>
      <w:r w:rsidR="004C4B4F" w:rsidRPr="004F476D">
        <w:rPr>
          <w:rFonts w:ascii="Times New Roman" w:hAnsi="Times New Roman" w:cs="Times New Roman"/>
          <w:sz w:val="20"/>
          <w:szCs w:val="20"/>
        </w:rPr>
        <w:t xml:space="preserve"> But it has the dis</w:t>
      </w:r>
      <w:r w:rsidRPr="004F476D">
        <w:rPr>
          <w:rFonts w:ascii="Times New Roman" w:hAnsi="Times New Roman" w:cs="Times New Roman"/>
          <w:sz w:val="20"/>
          <w:szCs w:val="20"/>
        </w:rPr>
        <w:t xml:space="preserve">advantages </w:t>
      </w:r>
      <w:r w:rsidR="004C4B4F" w:rsidRPr="004F476D">
        <w:rPr>
          <w:rFonts w:ascii="Times New Roman" w:hAnsi="Times New Roman" w:cs="Times New Roman"/>
          <w:sz w:val="20"/>
          <w:szCs w:val="20"/>
        </w:rPr>
        <w:t>of difficulty</w:t>
      </w:r>
      <w:r w:rsidRPr="004F476D">
        <w:rPr>
          <w:rFonts w:ascii="Times New Roman" w:hAnsi="Times New Roman" w:cs="Times New Roman"/>
          <w:sz w:val="20"/>
          <w:szCs w:val="20"/>
        </w:rPr>
        <w:t xml:space="preserve"> to control input application</w:t>
      </w:r>
      <w:r w:rsidR="004C4B4F" w:rsidRPr="004F476D">
        <w:rPr>
          <w:rFonts w:ascii="Times New Roman" w:hAnsi="Times New Roman" w:cs="Times New Roman"/>
          <w:sz w:val="20"/>
          <w:szCs w:val="20"/>
        </w:rPr>
        <w:t xml:space="preserve"> as it is possible that</w:t>
      </w:r>
      <w:r w:rsidRPr="004F476D">
        <w:rPr>
          <w:rFonts w:ascii="Times New Roman" w:hAnsi="Times New Roman" w:cs="Times New Roman"/>
          <w:sz w:val="20"/>
          <w:szCs w:val="20"/>
        </w:rPr>
        <w:t xml:space="preserve"> optimum level if input cannot be given to the crops as soil being porous may leach out the nutrients</w:t>
      </w:r>
      <w:r w:rsidR="004C4B4F" w:rsidRPr="004F476D">
        <w:rPr>
          <w:rFonts w:ascii="Times New Roman" w:hAnsi="Times New Roman" w:cs="Times New Roman"/>
          <w:sz w:val="20"/>
          <w:szCs w:val="20"/>
        </w:rPr>
        <w:t>. Major drawback is that o</w:t>
      </w:r>
      <w:r w:rsidRPr="004F476D">
        <w:rPr>
          <w:rFonts w:ascii="Times New Roman" w:hAnsi="Times New Roman" w:cs="Times New Roman"/>
          <w:sz w:val="20"/>
          <w:szCs w:val="20"/>
        </w:rPr>
        <w:t>ffseason phenotyping not possible</w:t>
      </w:r>
      <w:r w:rsidR="004C4B4F" w:rsidRPr="004F476D">
        <w:rPr>
          <w:rFonts w:ascii="Times New Roman" w:hAnsi="Times New Roman" w:cs="Times New Roman"/>
          <w:sz w:val="20"/>
          <w:szCs w:val="20"/>
        </w:rPr>
        <w:t xml:space="preserve"> thus waiting time is high.</w:t>
      </w:r>
    </w:p>
    <w:p w14:paraId="4D272CF2" w14:textId="4754D319" w:rsidR="00B745D1" w:rsidRPr="004F476D" w:rsidRDefault="00B745D1" w:rsidP="00B745D1">
      <w:pPr>
        <w:spacing w:after="0" w:line="240" w:lineRule="auto"/>
        <w:ind w:firstLine="567"/>
        <w:jc w:val="both"/>
        <w:rPr>
          <w:rFonts w:ascii="Times New Roman" w:hAnsi="Times New Roman" w:cs="Times New Roman"/>
          <w:b/>
          <w:bCs/>
          <w:sz w:val="20"/>
          <w:szCs w:val="20"/>
        </w:rPr>
      </w:pPr>
    </w:p>
    <w:p w14:paraId="013236FD" w14:textId="01DD9BB6" w:rsidR="004C4B4F" w:rsidRPr="004F476D" w:rsidRDefault="00775BFE" w:rsidP="00B745D1">
      <w:pPr>
        <w:spacing w:after="0" w:line="240" w:lineRule="auto"/>
        <w:ind w:firstLine="567"/>
        <w:jc w:val="both"/>
        <w:rPr>
          <w:rFonts w:ascii="Times New Roman" w:hAnsi="Times New Roman" w:cs="Times New Roman"/>
          <w:b/>
          <w:bCs/>
          <w:sz w:val="20"/>
          <w:szCs w:val="20"/>
        </w:rPr>
      </w:pPr>
      <w:r w:rsidRPr="004F476D">
        <w:rPr>
          <w:rFonts w:ascii="Times New Roman" w:hAnsi="Times New Roman" w:cs="Times New Roman"/>
          <w:noProof/>
          <w:lang w:val="en-US" w:bidi="hi-IN"/>
        </w:rPr>
        <w:drawing>
          <wp:anchor distT="0" distB="0" distL="114300" distR="114300" simplePos="0" relativeHeight="251660288" behindDoc="0" locked="0" layoutInCell="1" allowOverlap="1" wp14:anchorId="719E14A5" wp14:editId="4E33786D">
            <wp:simplePos x="0" y="0"/>
            <wp:positionH relativeFrom="column">
              <wp:posOffset>621031</wp:posOffset>
            </wp:positionH>
            <wp:positionV relativeFrom="paragraph">
              <wp:posOffset>71755</wp:posOffset>
            </wp:positionV>
            <wp:extent cx="2886730" cy="2303780"/>
            <wp:effectExtent l="0" t="0" r="8890" b="1270"/>
            <wp:wrapNone/>
            <wp:docPr id="2052" name="Picture 4" descr="A variety of high-throughput phenotyping facilities for photosynthesis following different experimental approaches that may be suitable for performing genetic mapping. (a) A high-throughput phenotyping facility located at IPK Gatersleben with phenotyping sensors to measure photosynthesis-related traits from all sides of plants the size of regular crop species (Tschiersch et al., 2017). (b) A close-up of the phenotyping module for small plants at the IPK phenotyping station. (c) The Dynamic Environmental Phenoyping Imaging system developed by Cruz et al. (2016) at Michigan State University. (d) Phenovator, developed at Wageningen University and Research (Flood et al., 2016b). Photographs are used at courtesy of Henning Tschiersch, Thomas Altmann and Astrid Junker from IPK Gatersleben (a, b), Jeffry Cruz, David Hall and David M. Kramer from Michigan State University (c) and Tom Theeuwen from Wageningen University and Research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 variety of high-throughput phenotyping facilities for photosynthesis following different experimental approaches that may be suitable for performing genetic mapping. (a) A high-throughput phenotyping facility located at IPK Gatersleben with phenotyping sensors to measure photosynthesis-related traits from all sides of plants the size of regular crop species (Tschiersch et al., 2017). (b) A close-up of the phenotyping module for small plants at the IPK phenotyping station. (c) The Dynamic Environmental Phenoyping Imaging system developed by Cruz et al. (2016) at Michigan State University. (d) Phenovator, developed at Wageningen University and Research (Flood et al., 2016b). Photographs are used at courtesy of Henning Tschiersch, Thomas Altmann and Astrid Junker from IPK Gatersleben (a, b), Jeffry Cruz, David Hall and David M. Kramer from Michigan State University (c) and Tom Theeuwen from Wageningen University and Research (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4388" t="52401" r="-216" b="1869"/>
                    <a:stretch/>
                  </pic:blipFill>
                  <pic:spPr bwMode="auto">
                    <a:xfrm>
                      <a:off x="0" y="0"/>
                      <a:ext cx="2890002" cy="23063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B4F" w:rsidRPr="004F476D">
        <w:rPr>
          <w:rFonts w:ascii="Times New Roman" w:hAnsi="Times New Roman" w:cs="Times New Roman"/>
          <w:noProof/>
          <w:lang w:val="en-US" w:bidi="hi-IN"/>
        </w:rPr>
        <w:drawing>
          <wp:anchor distT="0" distB="0" distL="114300" distR="114300" simplePos="0" relativeHeight="251659264" behindDoc="0" locked="0" layoutInCell="1" allowOverlap="1" wp14:anchorId="75FB91E0" wp14:editId="2500335C">
            <wp:simplePos x="0" y="0"/>
            <wp:positionH relativeFrom="column">
              <wp:posOffset>3507105</wp:posOffset>
            </wp:positionH>
            <wp:positionV relativeFrom="paragraph">
              <wp:posOffset>71755</wp:posOffset>
            </wp:positionV>
            <wp:extent cx="2689860" cy="2304415"/>
            <wp:effectExtent l="0" t="0" r="0" b="63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
                    <a:srcRect/>
                    <a:stretch>
                      <a:fillRect/>
                    </a:stretch>
                  </pic:blipFill>
                  <pic:spPr bwMode="auto">
                    <a:xfrm>
                      <a:off x="0" y="0"/>
                      <a:ext cx="2689860" cy="230441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4AA72731" w14:textId="34D908C8"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0F034EAB" w14:textId="588EAC2D"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13A46EDD" w14:textId="18D36BDC"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29FA62F7" w14:textId="7445D884"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4C2AE552" w14:textId="1BDA0A4A"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033FEA44" w14:textId="7A7F9A7D"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2BC87D67" w14:textId="75912C73"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4DAD0DBF" w14:textId="19D8270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11D720CA"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12CE0E4F"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713086A2"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29F1C571"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45BF367D"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5C038310"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45DBDDD7" w14:textId="1FC1DC23" w:rsidR="004C4B4F" w:rsidRPr="004F476D" w:rsidRDefault="00F63173" w:rsidP="00B745D1">
      <w:pPr>
        <w:spacing w:after="0" w:line="240" w:lineRule="auto"/>
        <w:ind w:firstLine="567"/>
        <w:jc w:val="both"/>
        <w:rPr>
          <w:rFonts w:ascii="Times New Roman" w:hAnsi="Times New Roman" w:cs="Times New Roman"/>
          <w:b/>
          <w:bCs/>
          <w:sz w:val="20"/>
          <w:szCs w:val="20"/>
        </w:rPr>
      </w:pPr>
      <w:r w:rsidRPr="004F476D">
        <w:rPr>
          <w:rFonts w:ascii="Times New Roman" w:hAnsi="Times New Roman" w:cs="Times New Roman"/>
          <w:b/>
          <w:bCs/>
          <w:sz w:val="20"/>
          <w:szCs w:val="20"/>
        </w:rPr>
        <w:t xml:space="preserve">             </w:t>
      </w:r>
    </w:p>
    <w:p w14:paraId="3B21B91A" w14:textId="77777777" w:rsidR="004C4B4F" w:rsidRPr="004F476D" w:rsidRDefault="004C4B4F" w:rsidP="00B745D1">
      <w:pPr>
        <w:spacing w:after="0" w:line="240" w:lineRule="auto"/>
        <w:ind w:firstLine="567"/>
        <w:jc w:val="both"/>
        <w:rPr>
          <w:rFonts w:ascii="Times New Roman" w:hAnsi="Times New Roman" w:cs="Times New Roman"/>
          <w:b/>
          <w:bCs/>
          <w:sz w:val="20"/>
          <w:szCs w:val="20"/>
        </w:rPr>
      </w:pPr>
    </w:p>
    <w:p w14:paraId="1564F296" w14:textId="41DA9320" w:rsidR="004C4B4F" w:rsidRPr="004F476D" w:rsidRDefault="004C4B4F" w:rsidP="004C4B4F">
      <w:pPr>
        <w:spacing w:after="0" w:line="240" w:lineRule="auto"/>
        <w:ind w:firstLine="567"/>
        <w:jc w:val="center"/>
        <w:rPr>
          <w:rFonts w:ascii="Times New Roman" w:eastAsia="MS Mincho" w:hAnsi="Times New Roman" w:cs="Times New Roman"/>
          <w:b/>
          <w:sz w:val="20"/>
          <w:szCs w:val="20"/>
        </w:rPr>
      </w:pPr>
      <w:r w:rsidRPr="004F476D">
        <w:rPr>
          <w:rFonts w:ascii="Times New Roman" w:eastAsia="MS Mincho" w:hAnsi="Times New Roman" w:cs="Times New Roman"/>
          <w:b/>
          <w:sz w:val="20"/>
          <w:szCs w:val="20"/>
        </w:rPr>
        <w:t>Figure 1: Controlled</w:t>
      </w:r>
      <w:r w:rsidR="00775BFE" w:rsidRPr="004F476D">
        <w:rPr>
          <w:rFonts w:ascii="Times New Roman" w:eastAsia="MS Mincho" w:hAnsi="Times New Roman" w:cs="Times New Roman"/>
          <w:b/>
          <w:sz w:val="20"/>
          <w:szCs w:val="20"/>
        </w:rPr>
        <w:t xml:space="preserve"> condition </w:t>
      </w:r>
      <w:r w:rsidR="009E1E67" w:rsidRPr="004F476D">
        <w:rPr>
          <w:rFonts w:ascii="Times New Roman" w:eastAsia="MS Mincho" w:hAnsi="Times New Roman" w:cs="Times New Roman"/>
          <w:b/>
          <w:sz w:val="20"/>
          <w:szCs w:val="20"/>
        </w:rPr>
        <w:t xml:space="preserve">phenotyping </w:t>
      </w:r>
      <w:r w:rsidRPr="004F476D">
        <w:rPr>
          <w:rFonts w:ascii="Times New Roman" w:eastAsia="MS Mincho" w:hAnsi="Times New Roman" w:cs="Times New Roman"/>
          <w:b/>
          <w:sz w:val="20"/>
          <w:szCs w:val="20"/>
        </w:rPr>
        <w:t>(</w:t>
      </w:r>
      <w:r w:rsidR="00F63173" w:rsidRPr="004F476D">
        <w:rPr>
          <w:rFonts w:ascii="Times New Roman" w:eastAsia="MS Mincho" w:hAnsi="Times New Roman" w:cs="Times New Roman"/>
          <w:b/>
          <w:sz w:val="20"/>
          <w:szCs w:val="20"/>
        </w:rPr>
        <w:t>left</w:t>
      </w:r>
      <w:r w:rsidRPr="004F476D">
        <w:rPr>
          <w:rFonts w:ascii="Times New Roman" w:eastAsia="MS Mincho" w:hAnsi="Times New Roman" w:cs="Times New Roman"/>
          <w:b/>
          <w:sz w:val="20"/>
          <w:szCs w:val="20"/>
        </w:rPr>
        <w:t>) and field phenotyping</w:t>
      </w:r>
      <w:r w:rsidR="009E1E67" w:rsidRPr="004F476D">
        <w:rPr>
          <w:rFonts w:ascii="Times New Roman" w:eastAsia="MS Mincho" w:hAnsi="Times New Roman" w:cs="Times New Roman"/>
          <w:b/>
          <w:sz w:val="20"/>
          <w:szCs w:val="20"/>
        </w:rPr>
        <w:t xml:space="preserve"> </w:t>
      </w:r>
      <w:r w:rsidRPr="004F476D">
        <w:rPr>
          <w:rFonts w:ascii="Times New Roman" w:eastAsia="MS Mincho" w:hAnsi="Times New Roman" w:cs="Times New Roman"/>
          <w:b/>
          <w:sz w:val="20"/>
          <w:szCs w:val="20"/>
        </w:rPr>
        <w:t>(</w:t>
      </w:r>
      <w:r w:rsidR="00F63173" w:rsidRPr="004F476D">
        <w:rPr>
          <w:rFonts w:ascii="Times New Roman" w:eastAsia="MS Mincho" w:hAnsi="Times New Roman" w:cs="Times New Roman"/>
          <w:b/>
          <w:sz w:val="20"/>
          <w:szCs w:val="20"/>
        </w:rPr>
        <w:t>right</w:t>
      </w:r>
      <w:r w:rsidRPr="004F476D">
        <w:rPr>
          <w:rFonts w:ascii="Times New Roman" w:eastAsia="MS Mincho" w:hAnsi="Times New Roman" w:cs="Times New Roman"/>
          <w:b/>
          <w:sz w:val="20"/>
          <w:szCs w:val="20"/>
        </w:rPr>
        <w:t>)</w:t>
      </w:r>
    </w:p>
    <w:p w14:paraId="5A967807" w14:textId="77777777" w:rsidR="00564E8F" w:rsidRPr="004F476D" w:rsidRDefault="00564E8F" w:rsidP="00E706B8">
      <w:pPr>
        <w:pStyle w:val="ListParagraph"/>
        <w:spacing w:after="0" w:line="240" w:lineRule="auto"/>
        <w:ind w:left="0" w:firstLine="567"/>
        <w:jc w:val="both"/>
        <w:rPr>
          <w:rFonts w:ascii="Times New Roman" w:hAnsi="Times New Roman" w:cs="Times New Roman"/>
          <w:b/>
          <w:bCs/>
          <w:color w:val="FF0000"/>
          <w:sz w:val="20"/>
          <w:szCs w:val="20"/>
        </w:rPr>
      </w:pPr>
    </w:p>
    <w:p w14:paraId="777F32CC" w14:textId="00F873A6" w:rsidR="002E615C" w:rsidRPr="004F476D" w:rsidRDefault="002E615C" w:rsidP="002E615C">
      <w:pPr>
        <w:pStyle w:val="ListParagraph"/>
        <w:numPr>
          <w:ilvl w:val="0"/>
          <w:numId w:val="2"/>
        </w:numPr>
        <w:shd w:val="clear" w:color="auto" w:fill="FFFFFF"/>
        <w:spacing w:after="0" w:line="240" w:lineRule="auto"/>
        <w:ind w:left="0" w:firstLine="567"/>
        <w:jc w:val="center"/>
        <w:rPr>
          <w:rFonts w:ascii="Times New Roman" w:hAnsi="Times New Roman" w:cs="Times New Roman"/>
          <w:b/>
          <w:color w:val="000000" w:themeColor="text1"/>
        </w:rPr>
      </w:pPr>
      <w:r w:rsidRPr="004F476D">
        <w:rPr>
          <w:rFonts w:ascii="Times New Roman" w:hAnsi="Times New Roman" w:cs="Times New Roman"/>
          <w:b/>
          <w:bCs/>
          <w:iCs/>
          <w:color w:val="000000" w:themeColor="text1"/>
          <w:lang w:val="en-US"/>
        </w:rPr>
        <w:t xml:space="preserve">PLATFORMS FOR </w:t>
      </w:r>
      <w:r w:rsidR="00636FAF" w:rsidRPr="004F476D">
        <w:rPr>
          <w:rFonts w:ascii="Times New Roman" w:hAnsi="Times New Roman" w:cs="Times New Roman"/>
          <w:b/>
          <w:bCs/>
          <w:iCs/>
          <w:color w:val="000000" w:themeColor="text1"/>
          <w:lang w:val="en-US"/>
        </w:rPr>
        <w:t>CONTROLLED CONDITION</w:t>
      </w:r>
      <w:r w:rsidRPr="004F476D">
        <w:rPr>
          <w:rFonts w:ascii="Times New Roman" w:hAnsi="Times New Roman" w:cs="Times New Roman"/>
          <w:b/>
          <w:bCs/>
          <w:iCs/>
          <w:color w:val="000000" w:themeColor="text1"/>
          <w:lang w:val="en-US"/>
        </w:rPr>
        <w:t xml:space="preserve"> PHENOMICS</w:t>
      </w:r>
    </w:p>
    <w:p w14:paraId="33BDFE8A" w14:textId="77777777" w:rsidR="002E615C" w:rsidRPr="004F476D" w:rsidRDefault="002E615C" w:rsidP="00636FAF">
      <w:pPr>
        <w:shd w:val="clear" w:color="auto" w:fill="FFFFFF"/>
        <w:spacing w:after="0" w:line="240" w:lineRule="auto"/>
        <w:ind w:firstLine="567"/>
        <w:jc w:val="both"/>
        <w:rPr>
          <w:rFonts w:ascii="Times New Roman" w:hAnsi="Times New Roman" w:cs="Times New Roman"/>
          <w:bCs/>
          <w:color w:val="000000" w:themeColor="text1"/>
        </w:rPr>
      </w:pPr>
    </w:p>
    <w:p w14:paraId="066635CF" w14:textId="6C88EFDB" w:rsidR="00636FAF" w:rsidRPr="004F476D" w:rsidRDefault="00636FAF" w:rsidP="00636FAF">
      <w:pPr>
        <w:shd w:val="clear" w:color="auto" w:fill="FFFFFF"/>
        <w:spacing w:after="0" w:line="240" w:lineRule="auto"/>
        <w:ind w:firstLine="567"/>
        <w:jc w:val="both"/>
        <w:rPr>
          <w:rFonts w:ascii="Times New Roman" w:hAnsi="Times New Roman" w:cs="Times New Roman"/>
          <w:bCs/>
          <w:color w:val="000000" w:themeColor="text1"/>
        </w:rPr>
      </w:pPr>
      <w:r w:rsidRPr="004F476D">
        <w:rPr>
          <w:rFonts w:ascii="Times New Roman" w:hAnsi="Times New Roman" w:cs="Times New Roman"/>
          <w:bCs/>
          <w:color w:val="000000" w:themeColor="text1"/>
          <w:sz w:val="20"/>
          <w:szCs w:val="20"/>
        </w:rPr>
        <w:t xml:space="preserve">The initial development of automated red-green-blue (RGB) imaging and weighing systems for studying Arabidopsis responses to water deficit led to the creation of PHENOPSIS in 2003 </w:t>
      </w:r>
      <w:r w:rsidR="00E85425">
        <w:rPr>
          <w:rFonts w:ascii="Times New Roman" w:hAnsi="Times New Roman" w:cs="Times New Roman"/>
          <w:bCs/>
          <w:color w:val="000000" w:themeColor="text1"/>
          <w:sz w:val="20"/>
          <w:szCs w:val="20"/>
        </w:rPr>
        <w:t>[9]</w:t>
      </w:r>
      <w:r w:rsidRPr="004F476D">
        <w:rPr>
          <w:rFonts w:ascii="Times New Roman" w:hAnsi="Times New Roman" w:cs="Times New Roman"/>
          <w:bCs/>
          <w:color w:val="000000" w:themeColor="text1"/>
          <w:sz w:val="20"/>
          <w:szCs w:val="20"/>
        </w:rPr>
        <w:t>. However, this system had certain limitations, such as the absence of integrated data management and relatively basic environmental controls. In 2011, the PHENOPSIS platforms and growth chambers underwent expansion, and a database called PHENOPSIS DB was established to store large amounts of image and metadata, as well as to provide data and image analysis modules. This database served as a model for other research groups in developing similar data management systems</w:t>
      </w:r>
      <w:r w:rsidR="00E85425">
        <w:rPr>
          <w:rFonts w:ascii="Times New Roman" w:hAnsi="Times New Roman" w:cs="Times New Roman"/>
          <w:bCs/>
          <w:color w:val="000000" w:themeColor="text1"/>
          <w:sz w:val="20"/>
          <w:szCs w:val="20"/>
        </w:rPr>
        <w:t xml:space="preserve"> [10]</w:t>
      </w:r>
      <w:r w:rsidRPr="004F476D">
        <w:rPr>
          <w:rFonts w:ascii="Times New Roman" w:hAnsi="Times New Roman" w:cs="Times New Roman"/>
          <w:bCs/>
          <w:color w:val="000000" w:themeColor="text1"/>
          <w:sz w:val="20"/>
          <w:szCs w:val="20"/>
        </w:rPr>
        <w:t>. Another platform called GROWSCREEN was designed to assess the dynamics of seedling growth acclimation, including parameters such as total leaf area, relative growth rate, and root area, under different light conditions</w:t>
      </w:r>
      <w:r w:rsidR="00E85425">
        <w:rPr>
          <w:rFonts w:ascii="Times New Roman" w:hAnsi="Times New Roman" w:cs="Times New Roman"/>
          <w:bCs/>
          <w:color w:val="000000" w:themeColor="text1"/>
          <w:sz w:val="20"/>
          <w:szCs w:val="20"/>
        </w:rPr>
        <w:t xml:space="preserve"> [11]</w:t>
      </w:r>
      <w:r w:rsidRPr="004F476D">
        <w:rPr>
          <w:rFonts w:ascii="Times New Roman" w:hAnsi="Times New Roman" w:cs="Times New Roman"/>
          <w:bCs/>
          <w:color w:val="000000" w:themeColor="text1"/>
          <w:sz w:val="20"/>
          <w:szCs w:val="20"/>
        </w:rPr>
        <w:t xml:space="preserve">. By utilizing linear displacement stages, the </w:t>
      </w:r>
      <w:proofErr w:type="spellStart"/>
      <w:r w:rsidRPr="004F476D">
        <w:rPr>
          <w:rFonts w:ascii="Times New Roman" w:hAnsi="Times New Roman" w:cs="Times New Roman"/>
          <w:bCs/>
          <w:color w:val="000000" w:themeColor="text1"/>
          <w:sz w:val="20"/>
          <w:szCs w:val="20"/>
        </w:rPr>
        <w:t>color</w:t>
      </w:r>
      <w:proofErr w:type="spellEnd"/>
      <w:r w:rsidRPr="004F476D">
        <w:rPr>
          <w:rFonts w:ascii="Times New Roman" w:hAnsi="Times New Roman" w:cs="Times New Roman"/>
          <w:bCs/>
          <w:color w:val="000000" w:themeColor="text1"/>
          <w:sz w:val="20"/>
          <w:szCs w:val="20"/>
        </w:rPr>
        <w:t xml:space="preserve"> imaging device of GROWSCREEN could be substituted with a chlorophyll fluorescence imaging system known as GROWSCREEN FLUORO. This innovative system allowed for the simultaneous phenotyping of leaf growth and chlorophyll fluorescence in Arabidopsis thaliana and Nicotiana tabacum, with a throughput of approximately 60 plants per hour </w:t>
      </w:r>
      <w:r w:rsidR="00E85425">
        <w:rPr>
          <w:rFonts w:ascii="Times New Roman" w:hAnsi="Times New Roman" w:cs="Times New Roman"/>
          <w:bCs/>
          <w:color w:val="000000" w:themeColor="text1"/>
          <w:sz w:val="20"/>
          <w:szCs w:val="20"/>
        </w:rPr>
        <w:t>[12]</w:t>
      </w:r>
      <w:r w:rsidRPr="004F476D">
        <w:rPr>
          <w:rFonts w:ascii="Times New Roman" w:hAnsi="Times New Roman" w:cs="Times New Roman"/>
          <w:bCs/>
          <w:color w:val="000000" w:themeColor="text1"/>
          <w:sz w:val="20"/>
          <w:szCs w:val="20"/>
        </w:rPr>
        <w:t>. However, it is worth noting that GROWSCREEN has a relatively limited capacity, accommodating only 200-500 plants. Additionally, the presence of microenvironmental heterogeneity across the platform can potentially diminish the mapping power for quantitative trait loci (QTL) analyses or genome-wide association studies (GWAS).</w:t>
      </w:r>
      <w:r w:rsidRPr="004F476D">
        <w:rPr>
          <w:rFonts w:ascii="Times New Roman" w:hAnsi="Times New Roman" w:cs="Times New Roman"/>
        </w:rPr>
        <w:t xml:space="preserve"> </w:t>
      </w:r>
      <w:proofErr w:type="spellStart"/>
      <w:r w:rsidRPr="004F476D">
        <w:rPr>
          <w:rFonts w:ascii="Times New Roman" w:hAnsi="Times New Roman" w:cs="Times New Roman"/>
          <w:bCs/>
          <w:color w:val="000000" w:themeColor="text1"/>
          <w:sz w:val="20"/>
          <w:szCs w:val="20"/>
        </w:rPr>
        <w:t>Phenovator</w:t>
      </w:r>
      <w:proofErr w:type="spellEnd"/>
      <w:r w:rsidRPr="004F476D">
        <w:rPr>
          <w:rFonts w:ascii="Times New Roman" w:hAnsi="Times New Roman" w:cs="Times New Roman"/>
          <w:bCs/>
          <w:color w:val="000000" w:themeColor="text1"/>
          <w:sz w:val="20"/>
          <w:szCs w:val="20"/>
        </w:rPr>
        <w:t xml:space="preserve"> developed a high-speed x-y moving rail system that allowed a monochrome camera with eight specific band-pass filters to be moved above a platform carrying up to 1440 plants. This setup was used to collect data on photosynthesis (FPSII - light-use efficiency of photosystem II electron transport) and plant growth traits (projected leaf area accumulation). The system had a fast acquisition speed, enabling leaf area measurements to be obtained in 20 minutes and PSII efficiency measurements in less than an hour </w:t>
      </w:r>
      <w:r w:rsidR="00E85425">
        <w:rPr>
          <w:rFonts w:ascii="Times New Roman" w:hAnsi="Times New Roman" w:cs="Times New Roman"/>
          <w:bCs/>
          <w:color w:val="000000" w:themeColor="text1"/>
          <w:sz w:val="20"/>
          <w:szCs w:val="20"/>
        </w:rPr>
        <w:t>[13]</w:t>
      </w:r>
      <w:r w:rsidRPr="004F476D">
        <w:rPr>
          <w:rFonts w:ascii="Times New Roman" w:hAnsi="Times New Roman" w:cs="Times New Roman"/>
          <w:bCs/>
          <w:color w:val="000000" w:themeColor="text1"/>
          <w:sz w:val="20"/>
          <w:szCs w:val="20"/>
        </w:rPr>
        <w:t xml:space="preserve">. A commercially available system called </w:t>
      </w:r>
      <w:proofErr w:type="spellStart"/>
      <w:r w:rsidRPr="004F476D">
        <w:rPr>
          <w:rFonts w:ascii="Times New Roman" w:hAnsi="Times New Roman" w:cs="Times New Roman"/>
          <w:bCs/>
          <w:color w:val="000000" w:themeColor="text1"/>
          <w:sz w:val="20"/>
          <w:szCs w:val="20"/>
        </w:rPr>
        <w:t>PlantScreen</w:t>
      </w:r>
      <w:proofErr w:type="spellEnd"/>
      <w:r w:rsidRPr="004F476D">
        <w:rPr>
          <w:rFonts w:ascii="Times New Roman" w:hAnsi="Times New Roman" w:cs="Times New Roman"/>
          <w:bCs/>
          <w:color w:val="000000" w:themeColor="text1"/>
          <w:sz w:val="20"/>
          <w:szCs w:val="20"/>
        </w:rPr>
        <w:t xml:space="preserve"> utilized conveyor belts to transport trays containing 20 pots each from the growing area to a dark acclimation chamber and imaging cabinets for chlorophyll fluorescence (</w:t>
      </w:r>
      <w:proofErr w:type="spellStart"/>
      <w:r w:rsidRPr="004F476D">
        <w:rPr>
          <w:rFonts w:ascii="Times New Roman" w:hAnsi="Times New Roman" w:cs="Times New Roman"/>
          <w:bCs/>
          <w:color w:val="000000" w:themeColor="text1"/>
          <w:sz w:val="20"/>
          <w:szCs w:val="20"/>
        </w:rPr>
        <w:t>ChIF</w:t>
      </w:r>
      <w:proofErr w:type="spellEnd"/>
      <w:r w:rsidRPr="004F476D">
        <w:rPr>
          <w:rFonts w:ascii="Times New Roman" w:hAnsi="Times New Roman" w:cs="Times New Roman"/>
          <w:bCs/>
          <w:color w:val="000000" w:themeColor="text1"/>
          <w:sz w:val="20"/>
          <w:szCs w:val="20"/>
        </w:rPr>
        <w:t xml:space="preserve">) and RGB imaging. It also included automated weighing and watering features </w:t>
      </w:r>
      <w:r w:rsidR="00E85425">
        <w:rPr>
          <w:rFonts w:ascii="Times New Roman" w:hAnsi="Times New Roman" w:cs="Times New Roman"/>
          <w:bCs/>
          <w:color w:val="000000" w:themeColor="text1"/>
          <w:sz w:val="20"/>
          <w:szCs w:val="20"/>
        </w:rPr>
        <w:t>[14]</w:t>
      </w:r>
      <w:r w:rsidRPr="004F476D">
        <w:rPr>
          <w:rFonts w:ascii="Times New Roman" w:hAnsi="Times New Roman" w:cs="Times New Roman"/>
          <w:bCs/>
          <w:color w:val="000000" w:themeColor="text1"/>
          <w:sz w:val="20"/>
          <w:szCs w:val="20"/>
        </w:rPr>
        <w:t xml:space="preserve">. Studies using this system found that certain photosynthetic parameters, such as FV/Fm, were effective indicators of severe salt stress, while other parameters (FNPQ, </w:t>
      </w:r>
      <w:proofErr w:type="spellStart"/>
      <w:r w:rsidRPr="004F476D">
        <w:rPr>
          <w:rFonts w:ascii="Times New Roman" w:hAnsi="Times New Roman" w:cs="Times New Roman"/>
          <w:bCs/>
          <w:color w:val="000000" w:themeColor="text1"/>
          <w:sz w:val="20"/>
          <w:szCs w:val="20"/>
        </w:rPr>
        <w:t>qP</w:t>
      </w:r>
      <w:proofErr w:type="spellEnd"/>
      <w:r w:rsidRPr="004F476D">
        <w:rPr>
          <w:rFonts w:ascii="Times New Roman" w:hAnsi="Times New Roman" w:cs="Times New Roman"/>
          <w:bCs/>
          <w:color w:val="000000" w:themeColor="text1"/>
          <w:sz w:val="20"/>
          <w:szCs w:val="20"/>
        </w:rPr>
        <w:t>, and FP) reflected early salt stress. However, it should be noted that the movement of potted plants and variations in environmental conditions (e.g., wind, temperature, microclimate) within a greenhouse can potentially affect the measurement of chlorophyll fluorescence parameters</w:t>
      </w:r>
      <w:r w:rsidR="00E85425">
        <w:rPr>
          <w:rFonts w:ascii="Times New Roman" w:hAnsi="Times New Roman" w:cs="Times New Roman"/>
          <w:bCs/>
          <w:color w:val="000000" w:themeColor="text1"/>
          <w:sz w:val="20"/>
          <w:szCs w:val="20"/>
        </w:rPr>
        <w:t xml:space="preserve"> [15]</w:t>
      </w:r>
      <w:r w:rsidRPr="004F476D">
        <w:rPr>
          <w:rFonts w:ascii="Times New Roman" w:hAnsi="Times New Roman" w:cs="Times New Roman"/>
          <w:bCs/>
          <w:color w:val="000000" w:themeColor="text1"/>
          <w:sz w:val="20"/>
          <w:szCs w:val="20"/>
        </w:rPr>
        <w:t xml:space="preserve"> (Haworth et al., 2018).</w:t>
      </w:r>
    </w:p>
    <w:p w14:paraId="5987947C" w14:textId="52C03BAB" w:rsidR="00564E8F" w:rsidRPr="004F476D" w:rsidRDefault="004C4B4F" w:rsidP="004C4B4F">
      <w:pPr>
        <w:pStyle w:val="ListParagraph"/>
        <w:numPr>
          <w:ilvl w:val="0"/>
          <w:numId w:val="2"/>
        </w:numPr>
        <w:shd w:val="clear" w:color="auto" w:fill="FFFFFF"/>
        <w:spacing w:after="0" w:line="240" w:lineRule="auto"/>
        <w:ind w:left="0" w:firstLine="567"/>
        <w:jc w:val="center"/>
        <w:rPr>
          <w:rFonts w:ascii="Times New Roman" w:hAnsi="Times New Roman" w:cs="Times New Roman"/>
          <w:b/>
          <w:color w:val="000000" w:themeColor="text1"/>
        </w:rPr>
      </w:pPr>
      <w:r w:rsidRPr="004F476D">
        <w:rPr>
          <w:rFonts w:ascii="Times New Roman" w:hAnsi="Times New Roman" w:cs="Times New Roman"/>
          <w:b/>
          <w:bCs/>
          <w:iCs/>
          <w:color w:val="000000" w:themeColor="text1"/>
          <w:lang w:val="en-US"/>
        </w:rPr>
        <w:t>PLATFORMS FOR FIELD PHENOMICS</w:t>
      </w:r>
    </w:p>
    <w:p w14:paraId="2A3EA020" w14:textId="77777777" w:rsidR="00F63173" w:rsidRPr="004F476D" w:rsidRDefault="00F63173" w:rsidP="00F63173">
      <w:pPr>
        <w:spacing w:after="0" w:line="240" w:lineRule="auto"/>
        <w:ind w:firstLine="567"/>
        <w:rPr>
          <w:rFonts w:ascii="Times New Roman" w:hAnsi="Times New Roman" w:cs="Times New Roman"/>
          <w:color w:val="FF0000"/>
          <w:sz w:val="20"/>
          <w:szCs w:val="20"/>
          <w:lang w:val="en-US"/>
        </w:rPr>
      </w:pPr>
    </w:p>
    <w:p w14:paraId="7DBDCCA8" w14:textId="025BF7FD" w:rsidR="00F63173" w:rsidRPr="004F476D" w:rsidRDefault="00F3663A" w:rsidP="00F3663A">
      <w:pPr>
        <w:spacing w:after="0" w:line="240" w:lineRule="auto"/>
        <w:ind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 xml:space="preserve">Field-based phenotyping methods are of critical importance in plant breeding research and there is a pressing need for their development. While laboratory-based phenotyping platforms for assessing individual plants in model species have made significant progress, the advancement of field-based phenotyping approaches has been relatively slow. Currently, camera-based methods mounted on ground-based vehicles like tractors have shown some progress in field-based phenotyping. However, the utilization of aerial platforms, such as drones, for this purpose has been limited, despite their increasing popularity for aerial photography. Challenges such as payload limitations of drones when equipped with high-quality camera systems, as well as difficulties in automating data processing and extracting meaningful parameters, have hindered the rapid advancement of aerial phenotyping. Additionally, conventional carrier systems like airplanes flying at high altitudes may produce blurry images, further restricting methodological advances. Nevertheless, airborne phenotyping approaches offer several inherent advantages over ground-based methods. These include a wider viewing angle from the air, the potential for higher travel speeds, no physical contact with the crop, minimizing mechanical disturbances, and independence from wet soil conditions that impede ground-based operations. Overcoming the challenges associated with aerial phenotyping could significantly increase the throughput and efficiency of phenotypic data collection in agricultural </w:t>
      </w:r>
      <w:proofErr w:type="spellStart"/>
      <w:proofErr w:type="gramStart"/>
      <w:r w:rsidRPr="004F476D">
        <w:rPr>
          <w:rFonts w:ascii="Times New Roman" w:hAnsi="Times New Roman" w:cs="Times New Roman"/>
          <w:sz w:val="20"/>
          <w:szCs w:val="20"/>
          <w:lang w:val="en-US"/>
        </w:rPr>
        <w:t>research.</w:t>
      </w:r>
      <w:r w:rsidR="00F63173" w:rsidRPr="004F476D">
        <w:rPr>
          <w:rFonts w:ascii="Times New Roman" w:hAnsi="Times New Roman" w:cs="Times New Roman"/>
          <w:sz w:val="20"/>
          <w:szCs w:val="20"/>
          <w:lang w:val="en-US"/>
        </w:rPr>
        <w:t>A</w:t>
      </w:r>
      <w:proofErr w:type="spellEnd"/>
      <w:proofErr w:type="gramEnd"/>
      <w:r w:rsidR="00F63173" w:rsidRPr="004F476D">
        <w:rPr>
          <w:rFonts w:ascii="Times New Roman" w:hAnsi="Times New Roman" w:cs="Times New Roman"/>
          <w:sz w:val="20"/>
          <w:szCs w:val="20"/>
          <w:lang w:val="en-US"/>
        </w:rPr>
        <w:t xml:space="preserve"> field-based platform requires 3 main components first being platform (tractor, UAV), second is Sensor/camera and the last but the important one being the Images processing software (Figure 2)</w:t>
      </w:r>
    </w:p>
    <w:p w14:paraId="141EE722" w14:textId="77777777" w:rsidR="00F63173" w:rsidRPr="004F476D" w:rsidRDefault="00F63173" w:rsidP="00F3663A">
      <w:pPr>
        <w:spacing w:after="0" w:line="240" w:lineRule="auto"/>
        <w:ind w:firstLine="567"/>
        <w:jc w:val="both"/>
        <w:rPr>
          <w:rFonts w:ascii="Times New Roman" w:hAnsi="Times New Roman" w:cs="Times New Roman"/>
          <w:sz w:val="20"/>
          <w:szCs w:val="20"/>
          <w:lang w:val="en-US"/>
        </w:rPr>
      </w:pPr>
    </w:p>
    <w:p w14:paraId="6C6073A6" w14:textId="7D02B7D8" w:rsidR="00F63173" w:rsidRPr="004F476D" w:rsidRDefault="00F63173" w:rsidP="00F63173">
      <w:pPr>
        <w:spacing w:after="0" w:line="240" w:lineRule="auto"/>
        <w:ind w:firstLine="567"/>
        <w:jc w:val="center"/>
        <w:rPr>
          <w:rFonts w:ascii="Times New Roman" w:hAnsi="Times New Roman" w:cs="Times New Roman"/>
          <w:sz w:val="20"/>
          <w:szCs w:val="20"/>
          <w:lang w:val="en-US"/>
        </w:rPr>
      </w:pPr>
      <w:r w:rsidRPr="004F476D">
        <w:rPr>
          <w:rFonts w:ascii="Times New Roman" w:hAnsi="Times New Roman" w:cs="Times New Roman"/>
          <w:noProof/>
          <w:color w:val="FF0000"/>
          <w:sz w:val="20"/>
          <w:szCs w:val="20"/>
          <w:lang w:val="en-US" w:bidi="hi-IN"/>
        </w:rPr>
        <w:lastRenderedPageBreak/>
        <w:drawing>
          <wp:inline distT="0" distB="0" distL="0" distR="0" wp14:anchorId="6C53C7FC" wp14:editId="7C8DE640">
            <wp:extent cx="3286125" cy="2055916"/>
            <wp:effectExtent l="0" t="0" r="0" b="1905"/>
            <wp:docPr id="189137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520" cy="2074307"/>
                    </a:xfrm>
                    <a:prstGeom prst="rect">
                      <a:avLst/>
                    </a:prstGeom>
                    <a:noFill/>
                  </pic:spPr>
                </pic:pic>
              </a:graphicData>
            </a:graphic>
          </wp:inline>
        </w:drawing>
      </w:r>
    </w:p>
    <w:p w14:paraId="2076D70B" w14:textId="4BB87C08" w:rsidR="00F63173" w:rsidRPr="004F476D" w:rsidRDefault="00F63173" w:rsidP="00F63173">
      <w:pPr>
        <w:spacing w:after="0" w:line="240" w:lineRule="auto"/>
        <w:ind w:firstLine="567"/>
        <w:jc w:val="center"/>
        <w:rPr>
          <w:rFonts w:ascii="Times New Roman" w:hAnsi="Times New Roman" w:cs="Times New Roman"/>
          <w:b/>
          <w:sz w:val="20"/>
          <w:szCs w:val="20"/>
          <w:lang w:val="en-US"/>
        </w:rPr>
      </w:pPr>
      <w:r w:rsidRPr="004F476D">
        <w:rPr>
          <w:rFonts w:ascii="Times New Roman" w:eastAsia="MS Mincho" w:hAnsi="Times New Roman" w:cs="Times New Roman"/>
          <w:b/>
          <w:sz w:val="20"/>
          <w:szCs w:val="20"/>
        </w:rPr>
        <w:t xml:space="preserve">Figure 2: Three </w:t>
      </w:r>
      <w:r w:rsidRPr="004F476D">
        <w:rPr>
          <w:rFonts w:ascii="Times New Roman" w:hAnsi="Times New Roman" w:cs="Times New Roman"/>
          <w:b/>
          <w:sz w:val="20"/>
          <w:szCs w:val="20"/>
          <w:lang w:val="en-US"/>
        </w:rPr>
        <w:t>main components of field phenotyping</w:t>
      </w:r>
    </w:p>
    <w:p w14:paraId="32BFDE9C" w14:textId="77777777" w:rsidR="004D2F40" w:rsidRPr="004F476D" w:rsidRDefault="004D2F40" w:rsidP="00F63173">
      <w:pPr>
        <w:spacing w:after="0" w:line="240" w:lineRule="auto"/>
        <w:ind w:firstLine="567"/>
        <w:jc w:val="center"/>
        <w:rPr>
          <w:rFonts w:ascii="Times New Roman" w:hAnsi="Times New Roman" w:cs="Times New Roman"/>
          <w:sz w:val="20"/>
          <w:szCs w:val="20"/>
          <w:lang w:val="en-US"/>
        </w:rPr>
      </w:pPr>
    </w:p>
    <w:p w14:paraId="1B9DBCA0" w14:textId="14D59A3F" w:rsidR="00F3663A" w:rsidRPr="004F476D" w:rsidRDefault="004D2F40" w:rsidP="004D2F40">
      <w:pPr>
        <w:pStyle w:val="ListParagraph"/>
        <w:numPr>
          <w:ilvl w:val="0"/>
          <w:numId w:val="19"/>
        </w:numPr>
        <w:tabs>
          <w:tab w:val="left" w:pos="1276"/>
        </w:tabs>
        <w:spacing w:after="0" w:line="240" w:lineRule="auto"/>
        <w:ind w:left="284" w:hanging="284"/>
        <w:jc w:val="both"/>
        <w:rPr>
          <w:rFonts w:ascii="Times New Roman" w:eastAsia="Times New Roman" w:hAnsi="Times New Roman" w:cs="Times New Roman"/>
          <w:b/>
          <w:bCs/>
          <w:sz w:val="20"/>
          <w:szCs w:val="20"/>
          <w:lang w:eastAsia="en-IN"/>
        </w:rPr>
      </w:pPr>
      <w:r w:rsidRPr="004F476D">
        <w:rPr>
          <w:rFonts w:ascii="Times New Roman" w:eastAsia="Times New Roman" w:hAnsi="Times New Roman" w:cs="Times New Roman"/>
          <w:b/>
          <w:bCs/>
          <w:sz w:val="20"/>
          <w:szCs w:val="20"/>
          <w:lang w:eastAsia="en-IN"/>
        </w:rPr>
        <w:t>Flying platform</w:t>
      </w:r>
    </w:p>
    <w:p w14:paraId="3C1CF9AA" w14:textId="6EBBBAE8" w:rsidR="00F3663A" w:rsidRPr="004F476D" w:rsidRDefault="00F3663A" w:rsidP="004D2F40">
      <w:pPr>
        <w:tabs>
          <w:tab w:val="left" w:pos="1276"/>
        </w:tabs>
        <w:spacing w:after="0" w:line="240" w:lineRule="auto"/>
        <w:ind w:firstLine="567"/>
        <w:jc w:val="both"/>
        <w:rPr>
          <w:rFonts w:ascii="Times New Roman" w:eastAsia="Times New Roman" w:hAnsi="Times New Roman" w:cs="Times New Roman"/>
          <w:sz w:val="20"/>
          <w:szCs w:val="20"/>
          <w:lang w:eastAsia="en-IN"/>
        </w:rPr>
      </w:pPr>
      <w:r w:rsidRPr="004F476D">
        <w:rPr>
          <w:rFonts w:ascii="Times New Roman" w:eastAsia="Times New Roman" w:hAnsi="Times New Roman" w:cs="Times New Roman"/>
          <w:sz w:val="20"/>
          <w:szCs w:val="20"/>
          <w:lang w:eastAsia="en-IN"/>
        </w:rPr>
        <w:t xml:space="preserve">For high throughput phenotyping various platforms or instruments are widely used </w:t>
      </w:r>
      <w:proofErr w:type="spellStart"/>
      <w:r w:rsidRPr="004F476D">
        <w:rPr>
          <w:rFonts w:ascii="Times New Roman" w:eastAsia="Times New Roman" w:hAnsi="Times New Roman" w:cs="Times New Roman"/>
          <w:sz w:val="20"/>
          <w:szCs w:val="20"/>
          <w:lang w:eastAsia="en-IN"/>
        </w:rPr>
        <w:t>seme</w:t>
      </w:r>
      <w:proofErr w:type="spellEnd"/>
      <w:r w:rsidRPr="004F476D">
        <w:rPr>
          <w:rFonts w:ascii="Times New Roman" w:eastAsia="Times New Roman" w:hAnsi="Times New Roman" w:cs="Times New Roman"/>
          <w:sz w:val="20"/>
          <w:szCs w:val="20"/>
          <w:lang w:eastAsia="en-IN"/>
        </w:rPr>
        <w:t xml:space="preserve"> examples are zeppelin which carry </w:t>
      </w:r>
      <w:r w:rsidR="001C436C" w:rsidRPr="004F476D">
        <w:rPr>
          <w:rFonts w:ascii="Times New Roman" w:eastAsia="Times New Roman" w:hAnsi="Times New Roman" w:cs="Times New Roman"/>
          <w:sz w:val="20"/>
          <w:szCs w:val="20"/>
          <w:lang w:eastAsia="en-IN"/>
        </w:rPr>
        <w:t>p</w:t>
      </w:r>
      <w:r w:rsidRPr="004F476D">
        <w:rPr>
          <w:rFonts w:ascii="Times New Roman" w:eastAsia="Times New Roman" w:hAnsi="Times New Roman" w:cs="Times New Roman"/>
          <w:sz w:val="20"/>
          <w:szCs w:val="20"/>
          <w:lang w:eastAsia="en-IN"/>
        </w:rPr>
        <w:t>ayload up to 5 kg</w:t>
      </w:r>
      <w:r w:rsidR="001C436C" w:rsidRPr="004F476D">
        <w:rPr>
          <w:rFonts w:ascii="Times New Roman" w:eastAsia="Times New Roman" w:hAnsi="Times New Roman" w:cs="Times New Roman"/>
          <w:sz w:val="20"/>
          <w:szCs w:val="20"/>
          <w:lang w:eastAsia="en-IN"/>
        </w:rPr>
        <w:t xml:space="preserve"> and have a</w:t>
      </w:r>
      <w:r w:rsidRPr="004F476D">
        <w:rPr>
          <w:rFonts w:ascii="Times New Roman" w:eastAsia="Times New Roman" w:hAnsi="Times New Roman" w:cs="Times New Roman"/>
          <w:sz w:val="20"/>
          <w:szCs w:val="20"/>
          <w:lang w:eastAsia="en-IN"/>
        </w:rPr>
        <w:t xml:space="preserve"> long flying time</w:t>
      </w:r>
      <w:r w:rsidR="001C436C" w:rsidRPr="004F476D">
        <w:rPr>
          <w:rFonts w:ascii="Times New Roman" w:eastAsia="Times New Roman" w:hAnsi="Times New Roman" w:cs="Times New Roman"/>
          <w:sz w:val="20"/>
          <w:szCs w:val="20"/>
          <w:lang w:eastAsia="en-IN"/>
        </w:rPr>
        <w:t>. It is e</w:t>
      </w:r>
      <w:r w:rsidRPr="004F476D">
        <w:rPr>
          <w:rFonts w:ascii="Times New Roman" w:eastAsia="Times New Roman" w:hAnsi="Times New Roman" w:cs="Times New Roman"/>
          <w:sz w:val="20"/>
          <w:szCs w:val="20"/>
          <w:lang w:eastAsia="en-IN"/>
        </w:rPr>
        <w:t xml:space="preserve">quipped with RGB-camera, thermography </w:t>
      </w:r>
      <w:r w:rsidR="001C436C" w:rsidRPr="004F476D">
        <w:rPr>
          <w:rFonts w:ascii="Times New Roman" w:eastAsia="Times New Roman" w:hAnsi="Times New Roman" w:cs="Times New Roman"/>
          <w:sz w:val="20"/>
          <w:szCs w:val="20"/>
          <w:lang w:eastAsia="en-IN"/>
        </w:rPr>
        <w:t>camera, stereo</w:t>
      </w:r>
      <w:r w:rsidRPr="004F476D">
        <w:rPr>
          <w:rFonts w:ascii="Times New Roman" w:eastAsia="Times New Roman" w:hAnsi="Times New Roman" w:cs="Times New Roman"/>
          <w:sz w:val="20"/>
          <w:szCs w:val="20"/>
          <w:lang w:eastAsia="en-IN"/>
        </w:rPr>
        <w:t xml:space="preserve"> camera setup hyperspectral camera etc.</w:t>
      </w:r>
      <w:r w:rsidR="001C436C" w:rsidRPr="004F476D">
        <w:rPr>
          <w:rFonts w:ascii="Times New Roman" w:eastAsia="Times New Roman" w:hAnsi="Times New Roman" w:cs="Times New Roman"/>
          <w:sz w:val="20"/>
          <w:szCs w:val="20"/>
          <w:lang w:eastAsia="en-IN"/>
        </w:rPr>
        <w:t xml:space="preserve"> being a flying platform it is s</w:t>
      </w:r>
      <w:r w:rsidRPr="004F476D">
        <w:rPr>
          <w:rFonts w:ascii="Times New Roman" w:eastAsia="Times New Roman" w:hAnsi="Times New Roman" w:cs="Times New Roman"/>
          <w:sz w:val="20"/>
          <w:szCs w:val="20"/>
          <w:lang w:eastAsia="en-IN"/>
        </w:rPr>
        <w:t xml:space="preserve">ensitive to </w:t>
      </w:r>
      <w:r w:rsidR="00E85425" w:rsidRPr="004F476D">
        <w:rPr>
          <w:rFonts w:ascii="Times New Roman" w:eastAsia="Times New Roman" w:hAnsi="Times New Roman" w:cs="Times New Roman"/>
          <w:sz w:val="20"/>
          <w:szCs w:val="20"/>
          <w:lang w:eastAsia="en-IN"/>
        </w:rPr>
        <w:t>wind</w:t>
      </w:r>
      <w:r w:rsidR="00E85425">
        <w:rPr>
          <w:rFonts w:ascii="Times New Roman" w:eastAsia="Times New Roman" w:hAnsi="Times New Roman" w:cs="Times New Roman"/>
          <w:sz w:val="20"/>
          <w:szCs w:val="20"/>
          <w:lang w:eastAsia="en-IN"/>
        </w:rPr>
        <w:t xml:space="preserve"> [16</w:t>
      </w:r>
      <w:r w:rsidR="001C436C" w:rsidRPr="004F476D">
        <w:rPr>
          <w:rFonts w:ascii="Times New Roman" w:eastAsia="Times New Roman" w:hAnsi="Times New Roman" w:cs="Times New Roman"/>
          <w:sz w:val="20"/>
          <w:szCs w:val="20"/>
          <w:lang w:eastAsia="en-IN"/>
        </w:rPr>
        <w:t xml:space="preserve">]. Other flying platforms include drones and octocopter or </w:t>
      </w:r>
      <w:proofErr w:type="spellStart"/>
      <w:r w:rsidR="001C436C" w:rsidRPr="004F476D">
        <w:rPr>
          <w:rFonts w:ascii="Times New Roman" w:eastAsia="Times New Roman" w:hAnsi="Times New Roman" w:cs="Times New Roman"/>
          <w:sz w:val="20"/>
          <w:szCs w:val="20"/>
          <w:lang w:eastAsia="en-IN"/>
        </w:rPr>
        <w:t>phenocopter</w:t>
      </w:r>
      <w:proofErr w:type="spellEnd"/>
      <w:r w:rsidR="001C436C" w:rsidRPr="004F476D">
        <w:rPr>
          <w:rFonts w:ascii="Times New Roman" w:eastAsia="Times New Roman" w:hAnsi="Times New Roman" w:cs="Times New Roman"/>
          <w:sz w:val="20"/>
          <w:szCs w:val="20"/>
          <w:lang w:eastAsia="en-IN"/>
        </w:rPr>
        <w:t xml:space="preserve"> having properties similar to zeppelin. It can carry payload up to 1 -20 kg with minimum flying time depending on the type used. It can be equipped with RGB-camera, thermography camera, high -performance, spectrometer etc. It is highly flexible in operation. </w:t>
      </w:r>
      <w:proofErr w:type="spellStart"/>
      <w:r w:rsidR="001C436C" w:rsidRPr="004F476D">
        <w:rPr>
          <w:rFonts w:ascii="Times New Roman" w:eastAsia="Times New Roman" w:hAnsi="Times New Roman" w:cs="Times New Roman"/>
          <w:sz w:val="20"/>
          <w:szCs w:val="20"/>
          <w:lang w:eastAsia="en-IN"/>
        </w:rPr>
        <w:t>Pheno</w:t>
      </w:r>
      <w:proofErr w:type="spellEnd"/>
      <w:r w:rsidR="001C436C" w:rsidRPr="004F476D">
        <w:rPr>
          <w:rFonts w:ascii="Times New Roman" w:eastAsia="Times New Roman" w:hAnsi="Times New Roman" w:cs="Times New Roman"/>
          <w:sz w:val="20"/>
          <w:szCs w:val="20"/>
          <w:lang w:eastAsia="en-IN"/>
        </w:rPr>
        <w:t>-Copter is a low-altitude, autonomous remote-sensing robotic helicopter for high-throughput field-based phenotyping</w:t>
      </w:r>
      <w:r w:rsidR="00E85425">
        <w:rPr>
          <w:rFonts w:ascii="Times New Roman" w:eastAsia="Times New Roman" w:hAnsi="Times New Roman" w:cs="Times New Roman"/>
          <w:sz w:val="20"/>
          <w:szCs w:val="20"/>
          <w:lang w:eastAsia="en-IN"/>
        </w:rPr>
        <w:t xml:space="preserve"> </w:t>
      </w:r>
      <w:r w:rsidR="001C436C" w:rsidRPr="004F476D">
        <w:rPr>
          <w:rFonts w:ascii="Times New Roman" w:eastAsia="Times New Roman" w:hAnsi="Times New Roman" w:cs="Times New Roman"/>
          <w:sz w:val="20"/>
          <w:szCs w:val="20"/>
          <w:lang w:eastAsia="en-IN"/>
        </w:rPr>
        <w:t>[</w:t>
      </w:r>
      <w:r w:rsidR="00E85425">
        <w:rPr>
          <w:rFonts w:ascii="Times New Roman" w:eastAsia="Times New Roman" w:hAnsi="Times New Roman" w:cs="Times New Roman"/>
          <w:sz w:val="20"/>
          <w:szCs w:val="20"/>
          <w:lang w:eastAsia="en-IN"/>
        </w:rPr>
        <w:t>17</w:t>
      </w:r>
      <w:r w:rsidR="001C436C" w:rsidRPr="004F476D">
        <w:rPr>
          <w:rFonts w:ascii="Times New Roman" w:eastAsia="Times New Roman" w:hAnsi="Times New Roman" w:cs="Times New Roman"/>
          <w:sz w:val="20"/>
          <w:szCs w:val="20"/>
          <w:lang w:eastAsia="en-IN"/>
        </w:rPr>
        <w:t>].</w:t>
      </w:r>
      <w:r w:rsidR="004D2F40" w:rsidRPr="004F476D">
        <w:rPr>
          <w:rFonts w:ascii="Times New Roman" w:eastAsia="Times New Roman" w:hAnsi="Times New Roman" w:cs="Times New Roman"/>
          <w:sz w:val="20"/>
          <w:szCs w:val="20"/>
          <w:lang w:eastAsia="en-IN"/>
        </w:rPr>
        <w:t xml:space="preserve"> These platforms have challenges of having small payload capacity mostly up to 20 kg</w:t>
      </w:r>
      <w:r w:rsidR="00532E0A" w:rsidRPr="004F476D">
        <w:rPr>
          <w:rFonts w:ascii="Times New Roman" w:eastAsia="Times New Roman" w:hAnsi="Times New Roman" w:cs="Times New Roman"/>
          <w:sz w:val="20"/>
          <w:szCs w:val="20"/>
          <w:lang w:eastAsia="en-IN"/>
        </w:rPr>
        <w:t>,</w:t>
      </w:r>
      <w:r w:rsidR="004D2F40" w:rsidRPr="004F476D">
        <w:rPr>
          <w:rFonts w:ascii="Times New Roman" w:eastAsia="Times New Roman" w:hAnsi="Times New Roman" w:cs="Times New Roman"/>
          <w:sz w:val="20"/>
          <w:szCs w:val="20"/>
          <w:lang w:eastAsia="en-IN"/>
        </w:rPr>
        <w:t xml:space="preserve"> </w:t>
      </w:r>
      <w:r w:rsidR="00532E0A" w:rsidRPr="004F476D">
        <w:rPr>
          <w:rFonts w:ascii="Times New Roman" w:eastAsia="Times New Roman" w:hAnsi="Times New Roman" w:cs="Times New Roman"/>
          <w:sz w:val="20"/>
          <w:szCs w:val="20"/>
          <w:lang w:eastAsia="en-IN"/>
        </w:rPr>
        <w:t>need a p</w:t>
      </w:r>
      <w:r w:rsidR="004D2F40" w:rsidRPr="004F476D">
        <w:rPr>
          <w:rFonts w:ascii="Times New Roman" w:eastAsia="Times New Roman" w:hAnsi="Times New Roman" w:cs="Times New Roman"/>
          <w:sz w:val="20"/>
          <w:szCs w:val="20"/>
          <w:lang w:eastAsia="en-IN"/>
        </w:rPr>
        <w:t>roximity to airport/take-off sites</w:t>
      </w:r>
      <w:r w:rsidR="00532E0A" w:rsidRPr="004F476D">
        <w:rPr>
          <w:rFonts w:ascii="Times New Roman" w:eastAsia="Times New Roman" w:hAnsi="Times New Roman" w:cs="Times New Roman"/>
          <w:sz w:val="20"/>
          <w:szCs w:val="20"/>
          <w:lang w:eastAsia="en-IN"/>
        </w:rPr>
        <w:t xml:space="preserve"> to fly. It is highly recommended to have licence to fly from appropriate authority, laws</w:t>
      </w:r>
      <w:r w:rsidR="004D2F40" w:rsidRPr="004F476D">
        <w:rPr>
          <w:rFonts w:ascii="Times New Roman" w:eastAsia="Times New Roman" w:hAnsi="Times New Roman" w:cs="Times New Roman"/>
          <w:sz w:val="20"/>
          <w:szCs w:val="20"/>
          <w:lang w:eastAsia="en-IN"/>
        </w:rPr>
        <w:t xml:space="preserve"> involving licensing for UAV operation</w:t>
      </w:r>
      <w:r w:rsidR="00532E0A" w:rsidRPr="004F476D">
        <w:rPr>
          <w:rFonts w:ascii="Times New Roman" w:eastAsia="Times New Roman" w:hAnsi="Times New Roman" w:cs="Times New Roman"/>
          <w:sz w:val="20"/>
          <w:szCs w:val="20"/>
          <w:lang w:eastAsia="en-IN"/>
        </w:rPr>
        <w:t xml:space="preserve"> have to be taken care of as</w:t>
      </w:r>
      <w:r w:rsidR="004D2F40" w:rsidRPr="004F476D">
        <w:rPr>
          <w:rFonts w:ascii="Times New Roman" w:eastAsia="Times New Roman" w:hAnsi="Times New Roman" w:cs="Times New Roman"/>
          <w:sz w:val="20"/>
          <w:szCs w:val="20"/>
          <w:lang w:eastAsia="en-IN"/>
        </w:rPr>
        <w:t xml:space="preserve"> licensing is required from the authorities to fly the drones, UAVs etc. All drones except those in the Nano category must be registered and issued a Unique Identification Number (UIN)</w:t>
      </w:r>
      <w:r w:rsidR="00532E0A" w:rsidRPr="004F476D">
        <w:rPr>
          <w:rFonts w:ascii="Times New Roman" w:eastAsia="Times New Roman" w:hAnsi="Times New Roman" w:cs="Times New Roman"/>
          <w:sz w:val="20"/>
          <w:szCs w:val="20"/>
          <w:lang w:eastAsia="en-IN"/>
        </w:rPr>
        <w:t>. Moat challenging is that w</w:t>
      </w:r>
      <w:r w:rsidR="004D2F40" w:rsidRPr="004F476D">
        <w:rPr>
          <w:rFonts w:ascii="Times New Roman" w:eastAsia="Times New Roman" w:hAnsi="Times New Roman" w:cs="Times New Roman"/>
          <w:sz w:val="20"/>
          <w:szCs w:val="20"/>
          <w:lang w:eastAsia="en-IN"/>
        </w:rPr>
        <w:t xml:space="preserve">ind conditions </w:t>
      </w:r>
      <w:r w:rsidR="00E85425" w:rsidRPr="004F476D">
        <w:rPr>
          <w:rFonts w:ascii="Times New Roman" w:eastAsia="Times New Roman" w:hAnsi="Times New Roman" w:cs="Times New Roman"/>
          <w:sz w:val="20"/>
          <w:szCs w:val="20"/>
          <w:lang w:eastAsia="en-IN"/>
        </w:rPr>
        <w:t>affect</w:t>
      </w:r>
      <w:r w:rsidR="004D2F40" w:rsidRPr="004F476D">
        <w:rPr>
          <w:rFonts w:ascii="Times New Roman" w:eastAsia="Times New Roman" w:hAnsi="Times New Roman" w:cs="Times New Roman"/>
          <w:sz w:val="20"/>
          <w:szCs w:val="20"/>
          <w:lang w:eastAsia="en-IN"/>
        </w:rPr>
        <w:t xml:space="preserve"> the motion of</w:t>
      </w:r>
      <w:r w:rsidR="00532E0A" w:rsidRPr="004F476D">
        <w:rPr>
          <w:rFonts w:ascii="Times New Roman" w:eastAsia="Times New Roman" w:hAnsi="Times New Roman" w:cs="Times New Roman"/>
          <w:sz w:val="20"/>
          <w:szCs w:val="20"/>
          <w:lang w:eastAsia="en-IN"/>
        </w:rPr>
        <w:t xml:space="preserve"> such platforms</w:t>
      </w:r>
      <w:r w:rsidR="004D2F40" w:rsidRPr="004F476D">
        <w:rPr>
          <w:rFonts w:ascii="Times New Roman" w:eastAsia="Times New Roman" w:hAnsi="Times New Roman" w:cs="Times New Roman"/>
          <w:sz w:val="20"/>
          <w:szCs w:val="20"/>
          <w:lang w:eastAsia="en-IN"/>
        </w:rPr>
        <w:t xml:space="preserve"> thus disturbing the scanning motion, increasing the chance of errors.</w:t>
      </w:r>
      <w:r w:rsidR="009500EE">
        <w:rPr>
          <w:rFonts w:ascii="Times New Roman" w:eastAsia="Times New Roman" w:hAnsi="Times New Roman" w:cs="Times New Roman"/>
          <w:sz w:val="20"/>
          <w:szCs w:val="20"/>
          <w:lang w:eastAsia="en-IN"/>
        </w:rPr>
        <w:t>[18]</w:t>
      </w:r>
    </w:p>
    <w:p w14:paraId="5338F30B" w14:textId="77777777" w:rsidR="00F3663A" w:rsidRPr="004F476D" w:rsidRDefault="00F3663A" w:rsidP="00F3663A">
      <w:pPr>
        <w:tabs>
          <w:tab w:val="left" w:pos="1276"/>
        </w:tabs>
        <w:spacing w:after="0" w:line="240" w:lineRule="auto"/>
        <w:jc w:val="both"/>
        <w:rPr>
          <w:rFonts w:ascii="Times New Roman" w:eastAsia="Times New Roman" w:hAnsi="Times New Roman" w:cs="Times New Roman"/>
          <w:b/>
          <w:bCs/>
          <w:sz w:val="20"/>
          <w:szCs w:val="20"/>
          <w:lang w:eastAsia="en-IN"/>
        </w:rPr>
      </w:pPr>
    </w:p>
    <w:p w14:paraId="471549A8" w14:textId="673613AD" w:rsidR="00F3663A" w:rsidRPr="004F476D" w:rsidRDefault="00F72451" w:rsidP="00F72451">
      <w:pPr>
        <w:tabs>
          <w:tab w:val="left" w:pos="1276"/>
        </w:tabs>
        <w:spacing w:after="0" w:line="240" w:lineRule="auto"/>
        <w:jc w:val="center"/>
        <w:rPr>
          <w:rFonts w:ascii="Times New Roman" w:eastAsia="Times New Roman" w:hAnsi="Times New Roman" w:cs="Times New Roman"/>
          <w:b/>
          <w:bCs/>
          <w:sz w:val="20"/>
          <w:szCs w:val="20"/>
          <w:lang w:eastAsia="en-IN"/>
        </w:rPr>
      </w:pPr>
      <w:r w:rsidRPr="004F476D">
        <w:rPr>
          <w:rFonts w:ascii="Times New Roman" w:eastAsia="Times New Roman" w:hAnsi="Times New Roman" w:cs="Times New Roman"/>
          <w:b/>
          <w:bCs/>
          <w:noProof/>
          <w:sz w:val="20"/>
          <w:szCs w:val="20"/>
          <w:lang w:val="en-US" w:bidi="hi-IN"/>
        </w:rPr>
        <w:drawing>
          <wp:inline distT="0" distB="0" distL="0" distR="0" wp14:anchorId="3152D0C2" wp14:editId="242313F6">
            <wp:extent cx="4057650" cy="3022250"/>
            <wp:effectExtent l="0" t="0" r="0" b="6985"/>
            <wp:docPr id="404910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1353" cy="3039905"/>
                    </a:xfrm>
                    <a:prstGeom prst="rect">
                      <a:avLst/>
                    </a:prstGeom>
                    <a:noFill/>
                  </pic:spPr>
                </pic:pic>
              </a:graphicData>
            </a:graphic>
          </wp:inline>
        </w:drawing>
      </w:r>
    </w:p>
    <w:p w14:paraId="00AB3C8B" w14:textId="1CBBF3C0" w:rsidR="00F72451" w:rsidRPr="004F476D" w:rsidRDefault="00F72451" w:rsidP="00F72451">
      <w:pPr>
        <w:spacing w:after="0" w:line="240" w:lineRule="auto"/>
        <w:jc w:val="center"/>
        <w:rPr>
          <w:rFonts w:ascii="Times New Roman" w:eastAsia="MS Mincho" w:hAnsi="Times New Roman" w:cs="Times New Roman"/>
          <w:b/>
          <w:sz w:val="20"/>
          <w:szCs w:val="20"/>
        </w:rPr>
      </w:pPr>
      <w:r w:rsidRPr="004F476D">
        <w:rPr>
          <w:rFonts w:ascii="Times New Roman" w:eastAsia="MS Mincho" w:hAnsi="Times New Roman" w:cs="Times New Roman"/>
          <w:b/>
          <w:sz w:val="20"/>
          <w:szCs w:val="20"/>
        </w:rPr>
        <w:t xml:space="preserve">Figure 3: Flying </w:t>
      </w:r>
      <w:r w:rsidR="004D2F40" w:rsidRPr="004F476D">
        <w:rPr>
          <w:rFonts w:ascii="Times New Roman" w:eastAsia="MS Mincho" w:hAnsi="Times New Roman" w:cs="Times New Roman"/>
          <w:b/>
          <w:sz w:val="20"/>
          <w:szCs w:val="20"/>
        </w:rPr>
        <w:t>field-based</w:t>
      </w:r>
      <w:r w:rsidRPr="004F476D">
        <w:rPr>
          <w:rFonts w:ascii="Times New Roman" w:eastAsia="MS Mincho" w:hAnsi="Times New Roman" w:cs="Times New Roman"/>
          <w:b/>
          <w:sz w:val="20"/>
          <w:szCs w:val="20"/>
        </w:rPr>
        <w:t xml:space="preserve"> phenotyping platform. (a) Zeppelin </w:t>
      </w:r>
      <w:r w:rsidR="00E85425">
        <w:rPr>
          <w:rFonts w:ascii="Times New Roman" w:eastAsia="MS Mincho" w:hAnsi="Times New Roman" w:cs="Times New Roman"/>
          <w:b/>
          <w:sz w:val="20"/>
          <w:szCs w:val="20"/>
        </w:rPr>
        <w:t>[</w:t>
      </w:r>
      <w:r w:rsidR="0060218E">
        <w:rPr>
          <w:rFonts w:ascii="Times New Roman" w:eastAsia="MS Mincho" w:hAnsi="Times New Roman" w:cs="Times New Roman"/>
          <w:b/>
          <w:sz w:val="20"/>
          <w:szCs w:val="20"/>
        </w:rPr>
        <w:t xml:space="preserve">16] </w:t>
      </w:r>
      <w:r w:rsidRPr="004F476D">
        <w:rPr>
          <w:rFonts w:ascii="Times New Roman" w:eastAsia="MS Mincho" w:hAnsi="Times New Roman" w:cs="Times New Roman"/>
          <w:b/>
          <w:sz w:val="20"/>
          <w:szCs w:val="20"/>
        </w:rPr>
        <w:t>(b) Drone</w:t>
      </w:r>
      <w:r w:rsidR="009500EE">
        <w:rPr>
          <w:rFonts w:ascii="Times New Roman" w:eastAsia="MS Mincho" w:hAnsi="Times New Roman" w:cs="Times New Roman"/>
          <w:b/>
          <w:sz w:val="20"/>
          <w:szCs w:val="20"/>
        </w:rPr>
        <w:t xml:space="preserve"> </w:t>
      </w:r>
      <w:r w:rsidRPr="004F476D">
        <w:rPr>
          <w:rFonts w:ascii="Times New Roman" w:eastAsia="MS Mincho" w:hAnsi="Times New Roman" w:cs="Times New Roman"/>
          <w:b/>
          <w:sz w:val="20"/>
          <w:szCs w:val="20"/>
        </w:rPr>
        <w:t xml:space="preserve">(c) </w:t>
      </w:r>
      <w:proofErr w:type="spellStart"/>
      <w:r w:rsidRPr="004F476D">
        <w:rPr>
          <w:rFonts w:ascii="Times New Roman" w:eastAsia="MS Mincho" w:hAnsi="Times New Roman" w:cs="Times New Roman"/>
          <w:b/>
          <w:sz w:val="20"/>
          <w:szCs w:val="20"/>
        </w:rPr>
        <w:t>Phenocopter</w:t>
      </w:r>
      <w:proofErr w:type="spellEnd"/>
      <w:r w:rsidR="00E85425">
        <w:rPr>
          <w:rFonts w:ascii="Times New Roman" w:eastAsia="MS Mincho" w:hAnsi="Times New Roman" w:cs="Times New Roman"/>
          <w:b/>
          <w:sz w:val="20"/>
          <w:szCs w:val="20"/>
        </w:rPr>
        <w:t xml:space="preserve"> [17]</w:t>
      </w:r>
    </w:p>
    <w:p w14:paraId="2723D7E2" w14:textId="77777777" w:rsidR="004D2F40" w:rsidRPr="004F476D" w:rsidRDefault="004D2F40" w:rsidP="00F72451">
      <w:pPr>
        <w:spacing w:after="0" w:line="240" w:lineRule="auto"/>
        <w:jc w:val="center"/>
        <w:rPr>
          <w:rFonts w:ascii="Times New Roman" w:hAnsi="Times New Roman" w:cs="Times New Roman"/>
          <w:sz w:val="20"/>
          <w:szCs w:val="20"/>
          <w:lang w:val="en-US"/>
        </w:rPr>
      </w:pPr>
    </w:p>
    <w:p w14:paraId="5D4D2BD8" w14:textId="77777777" w:rsidR="004D2F40" w:rsidRPr="004F476D" w:rsidRDefault="004D2F40" w:rsidP="004D2F40">
      <w:pPr>
        <w:numPr>
          <w:ilvl w:val="0"/>
          <w:numId w:val="20"/>
        </w:numPr>
        <w:shd w:val="clear" w:color="auto" w:fill="FFFFFF"/>
        <w:spacing w:line="240" w:lineRule="auto"/>
        <w:ind w:left="284" w:hanging="284"/>
        <w:rPr>
          <w:rFonts w:ascii="Times New Roman" w:hAnsi="Times New Roman" w:cs="Times New Roman"/>
          <w:b/>
          <w:bCs/>
          <w:color w:val="000000" w:themeColor="text1"/>
          <w:sz w:val="20"/>
          <w:szCs w:val="20"/>
        </w:rPr>
      </w:pPr>
      <w:r w:rsidRPr="004F476D">
        <w:rPr>
          <w:rFonts w:ascii="Times New Roman" w:hAnsi="Times New Roman" w:cs="Times New Roman"/>
          <w:b/>
          <w:bCs/>
          <w:color w:val="000000" w:themeColor="text1"/>
          <w:sz w:val="20"/>
          <w:szCs w:val="20"/>
          <w:lang w:val="en-US"/>
        </w:rPr>
        <w:t>Ground-based Plant Phenotyping Platforms</w:t>
      </w:r>
    </w:p>
    <w:p w14:paraId="79A2B772" w14:textId="4E0552A0" w:rsidR="008606DD" w:rsidRPr="004F476D" w:rsidRDefault="002E3649" w:rsidP="004047AF">
      <w:pPr>
        <w:tabs>
          <w:tab w:val="left" w:pos="1276"/>
        </w:tabs>
        <w:spacing w:after="0" w:line="240" w:lineRule="auto"/>
        <w:ind w:firstLine="567"/>
        <w:jc w:val="both"/>
        <w:rPr>
          <w:rFonts w:ascii="Times New Roman" w:eastAsia="Times New Roman" w:hAnsi="Times New Roman" w:cs="Times New Roman"/>
          <w:sz w:val="20"/>
          <w:szCs w:val="20"/>
          <w:lang w:eastAsia="en-IN"/>
        </w:rPr>
      </w:pPr>
      <w:r w:rsidRPr="004F476D">
        <w:rPr>
          <w:rFonts w:ascii="Times New Roman" w:eastAsia="Times New Roman" w:hAnsi="Times New Roman" w:cs="Times New Roman"/>
          <w:sz w:val="20"/>
          <w:szCs w:val="20"/>
          <w:lang w:eastAsia="en-IN"/>
        </w:rPr>
        <w:t xml:space="preserve">Such platforms move along the rows, crop rows can be detected in the camera view sight and row spacing. This kind of methods can detect several row spacing values for each run. Plant height can be detected with both top-view and side-view </w:t>
      </w:r>
      <w:r w:rsidR="009500EE">
        <w:rPr>
          <w:rFonts w:ascii="Times New Roman" w:eastAsia="Times New Roman" w:hAnsi="Times New Roman" w:cs="Times New Roman"/>
          <w:sz w:val="20"/>
          <w:szCs w:val="20"/>
          <w:lang w:eastAsia="en-IN"/>
        </w:rPr>
        <w:t>[18].</w:t>
      </w:r>
      <w:r w:rsidRPr="004F476D">
        <w:rPr>
          <w:rFonts w:ascii="Times New Roman" w:eastAsia="Times New Roman" w:hAnsi="Times New Roman" w:cs="Times New Roman"/>
          <w:sz w:val="20"/>
          <w:szCs w:val="20"/>
          <w:lang w:eastAsia="en-IN"/>
        </w:rPr>
        <w:t xml:space="preserve"> An effective approach to achieve high-throughput phenotyping involves using a platform equipped with LiDAR/camera sensors that can move in parallel with crop rows. This setup enables the generation of point clouds or 3D models for individual plants, allowing accurate measurement of plant heights. The speed at which the platform moves plays a crucial role in the efficiency of phenotyping for plant height and row spacing. While current methods acquire parameters on a per-row or per-plant basis, there is a lack of reported solutions for fast phenotyping at the parcel level, where groups of plants are assessed simultaneously</w:t>
      </w:r>
      <w:r w:rsidR="008606DD" w:rsidRPr="004F476D">
        <w:rPr>
          <w:rFonts w:ascii="Times New Roman" w:eastAsia="Times New Roman" w:hAnsi="Times New Roman" w:cs="Times New Roman"/>
          <w:sz w:val="20"/>
          <w:szCs w:val="20"/>
          <w:lang w:eastAsia="en-IN"/>
        </w:rPr>
        <w:t xml:space="preserve"> (Figure 4)</w:t>
      </w:r>
      <w:r w:rsidRPr="004F476D">
        <w:rPr>
          <w:rFonts w:ascii="Times New Roman" w:eastAsia="Times New Roman" w:hAnsi="Times New Roman" w:cs="Times New Roman"/>
          <w:sz w:val="20"/>
          <w:szCs w:val="20"/>
          <w:lang w:eastAsia="en-IN"/>
        </w:rPr>
        <w:t xml:space="preserve">. </w:t>
      </w:r>
      <w:proofErr w:type="spellStart"/>
      <w:proofErr w:type="gramStart"/>
      <w:r w:rsidR="007E3935" w:rsidRPr="004F476D">
        <w:rPr>
          <w:rFonts w:ascii="Times New Roman" w:eastAsia="Times New Roman" w:hAnsi="Times New Roman" w:cs="Times New Roman"/>
          <w:sz w:val="20"/>
          <w:szCs w:val="20"/>
          <w:lang w:eastAsia="en-IN"/>
        </w:rPr>
        <w:t>PhenoMobile</w:t>
      </w:r>
      <w:proofErr w:type="spellEnd"/>
      <w:r w:rsidR="007E3935" w:rsidRPr="004F476D">
        <w:rPr>
          <w:rFonts w:ascii="Times New Roman" w:eastAsia="Times New Roman" w:hAnsi="Times New Roman" w:cs="Times New Roman"/>
          <w:sz w:val="20"/>
          <w:szCs w:val="20"/>
          <w:lang w:eastAsia="en-IN"/>
        </w:rPr>
        <w:t xml:space="preserve">  is</w:t>
      </w:r>
      <w:proofErr w:type="gramEnd"/>
      <w:r w:rsidR="007E3935" w:rsidRPr="004F476D">
        <w:rPr>
          <w:rFonts w:ascii="Times New Roman" w:eastAsia="Times New Roman" w:hAnsi="Times New Roman" w:cs="Times New Roman"/>
          <w:sz w:val="20"/>
          <w:szCs w:val="20"/>
          <w:lang w:eastAsia="en-IN"/>
        </w:rPr>
        <w:t xml:space="preserve"> an advanced phenotyping buggy that is rugged, mobile, highly adaptable, and easy. It is electronically adjustable for heights and widths, offers sensing equipment for efficient non-destructive monitoring and characterization of plant canopies such as LiDAR etc.</w:t>
      </w:r>
      <w:r w:rsidRPr="004F476D">
        <w:rPr>
          <w:rFonts w:ascii="Times New Roman" w:eastAsia="Times New Roman" w:hAnsi="Times New Roman" w:cs="Times New Roman"/>
          <w:sz w:val="20"/>
          <w:szCs w:val="20"/>
          <w:lang w:eastAsia="en-IN"/>
        </w:rPr>
        <w:t xml:space="preserve"> [</w:t>
      </w:r>
      <w:r w:rsidR="009500EE">
        <w:rPr>
          <w:rFonts w:ascii="Times New Roman" w:eastAsia="Times New Roman" w:hAnsi="Times New Roman" w:cs="Times New Roman"/>
          <w:sz w:val="20"/>
          <w:szCs w:val="20"/>
          <w:lang w:eastAsia="en-IN"/>
        </w:rPr>
        <w:t>19</w:t>
      </w:r>
      <w:r w:rsidRPr="004F476D">
        <w:rPr>
          <w:rFonts w:ascii="Times New Roman" w:eastAsia="Times New Roman" w:hAnsi="Times New Roman" w:cs="Times New Roman"/>
          <w:sz w:val="20"/>
          <w:szCs w:val="20"/>
          <w:lang w:eastAsia="en-IN"/>
        </w:rPr>
        <w:t>]</w:t>
      </w:r>
      <w:r w:rsidR="00CF6171" w:rsidRPr="004F476D">
        <w:rPr>
          <w:rFonts w:ascii="Times New Roman" w:eastAsia="Times New Roman" w:hAnsi="Times New Roman" w:cs="Times New Roman"/>
          <w:sz w:val="20"/>
          <w:szCs w:val="20"/>
          <w:lang w:eastAsia="en-IN"/>
        </w:rPr>
        <w:t>.</w:t>
      </w:r>
      <w:r w:rsidR="00CF6171" w:rsidRPr="004F476D">
        <w:rPr>
          <w:rFonts w:ascii="Times New Roman" w:hAnsi="Times New Roman" w:cs="Times New Roman"/>
        </w:rPr>
        <w:t xml:space="preserve"> </w:t>
      </w:r>
      <w:proofErr w:type="spellStart"/>
      <w:r w:rsidR="00CF6171" w:rsidRPr="004F476D">
        <w:rPr>
          <w:rFonts w:ascii="Times New Roman" w:eastAsia="Times New Roman" w:hAnsi="Times New Roman" w:cs="Times New Roman"/>
          <w:sz w:val="20"/>
          <w:szCs w:val="20"/>
          <w:lang w:eastAsia="en-IN"/>
        </w:rPr>
        <w:t>Phenofield</w:t>
      </w:r>
      <w:proofErr w:type="spellEnd"/>
      <w:r w:rsidR="00CF6171" w:rsidRPr="004F476D">
        <w:rPr>
          <w:rFonts w:ascii="Times New Roman" w:eastAsia="Times New Roman" w:hAnsi="Times New Roman" w:cs="Times New Roman"/>
          <w:sz w:val="20"/>
          <w:szCs w:val="20"/>
          <w:lang w:eastAsia="en-IN"/>
        </w:rPr>
        <w:t xml:space="preserve"> is the fully automated high throughput plant phenotyping platform on rails</w:t>
      </w:r>
      <w:r w:rsidR="00CF6171" w:rsidRPr="004F476D">
        <w:rPr>
          <w:rFonts w:ascii="Times New Roman" w:hAnsi="Times New Roman" w:cs="Times New Roman"/>
        </w:rPr>
        <w:t xml:space="preserve"> [</w:t>
      </w:r>
      <w:r w:rsidR="009500EE">
        <w:rPr>
          <w:rFonts w:ascii="Times New Roman" w:eastAsia="Times New Roman" w:hAnsi="Times New Roman" w:cs="Times New Roman"/>
          <w:sz w:val="20"/>
          <w:szCs w:val="20"/>
          <w:lang w:eastAsia="en-IN"/>
        </w:rPr>
        <w:t>20</w:t>
      </w:r>
      <w:r w:rsidR="00CF6171" w:rsidRPr="004F476D">
        <w:rPr>
          <w:rFonts w:ascii="Times New Roman" w:eastAsia="Times New Roman" w:hAnsi="Times New Roman" w:cs="Times New Roman"/>
          <w:sz w:val="20"/>
          <w:szCs w:val="20"/>
          <w:lang w:eastAsia="en-IN"/>
        </w:rPr>
        <w:t>].</w:t>
      </w:r>
      <w:r w:rsidR="00CF6171" w:rsidRPr="004F476D">
        <w:rPr>
          <w:rFonts w:ascii="Times New Roman" w:hAnsi="Times New Roman" w:cs="Times New Roman"/>
        </w:rPr>
        <w:t xml:space="preserve"> </w:t>
      </w:r>
      <w:r w:rsidR="00CF6171" w:rsidRPr="004F476D">
        <w:rPr>
          <w:rFonts w:ascii="Times New Roman" w:hAnsi="Times New Roman" w:cs="Times New Roman"/>
          <w:sz w:val="20"/>
          <w:szCs w:val="20"/>
        </w:rPr>
        <w:t xml:space="preserve">This platform is </w:t>
      </w:r>
      <w:r w:rsidR="00CF6171" w:rsidRPr="004F476D">
        <w:rPr>
          <w:rFonts w:ascii="Times New Roman" w:eastAsia="Times New Roman" w:hAnsi="Times New Roman" w:cs="Times New Roman"/>
          <w:sz w:val="20"/>
          <w:szCs w:val="20"/>
          <w:lang w:eastAsia="en-IN"/>
        </w:rPr>
        <w:t xml:space="preserve">operated by ARVALIS, an applied research institute, is an innovative field phenotyping platform that forms part of the PHENOME-EMPHASIS/France project. It facilitates the design of diverse drought and nutrient availability scenarios, enabling a thorough investigation of crop performance under these abiotic stresses. This platform plays a critical role in accurately monitoring both the environmental conditions and crop growth in the field. Such comprehensive monitoring is essential for enhancing the analysis of interactions between genetics and the environment, </w:t>
      </w:r>
      <w:r w:rsidR="00CF6171" w:rsidRPr="004F476D">
        <w:rPr>
          <w:rFonts w:ascii="Times New Roman" w:eastAsia="Times New Roman" w:hAnsi="Times New Roman" w:cs="Times New Roman"/>
          <w:sz w:val="20"/>
          <w:szCs w:val="20"/>
          <w:lang w:eastAsia="en-IN"/>
        </w:rPr>
        <w:lastRenderedPageBreak/>
        <w:t xml:space="preserve">as well as for identifying genetic markers associated with </w:t>
      </w:r>
      <w:proofErr w:type="spellStart"/>
      <w:r w:rsidR="00CF6171" w:rsidRPr="004F476D">
        <w:rPr>
          <w:rFonts w:ascii="Times New Roman" w:eastAsia="Times New Roman" w:hAnsi="Times New Roman" w:cs="Times New Roman"/>
          <w:sz w:val="20"/>
          <w:szCs w:val="20"/>
          <w:lang w:eastAsia="en-IN"/>
        </w:rPr>
        <w:t>favorable</w:t>
      </w:r>
      <w:proofErr w:type="spellEnd"/>
      <w:r w:rsidR="00CF6171" w:rsidRPr="004F476D">
        <w:rPr>
          <w:rFonts w:ascii="Times New Roman" w:eastAsia="Times New Roman" w:hAnsi="Times New Roman" w:cs="Times New Roman"/>
          <w:sz w:val="20"/>
          <w:szCs w:val="20"/>
          <w:lang w:eastAsia="en-IN"/>
        </w:rPr>
        <w:t xml:space="preserve"> crop responses. This platform incorporates a mobile rainout shelter and irrigation systems, allowing for the controlled imposition of different drought conditions in the field, thereby facilitating precise experimental studies.</w:t>
      </w:r>
      <w:r w:rsidR="00CF6171" w:rsidRPr="004F476D">
        <w:rPr>
          <w:rFonts w:ascii="Times New Roman" w:hAnsi="Times New Roman" w:cs="Times New Roman"/>
        </w:rPr>
        <w:t xml:space="preserve"> </w:t>
      </w:r>
      <w:proofErr w:type="spellStart"/>
      <w:r w:rsidR="00CF6171" w:rsidRPr="004F476D">
        <w:rPr>
          <w:rFonts w:ascii="Times New Roman" w:eastAsia="Times New Roman" w:hAnsi="Times New Roman" w:cs="Times New Roman"/>
          <w:sz w:val="20"/>
          <w:szCs w:val="20"/>
          <w:lang w:eastAsia="en-IN"/>
        </w:rPr>
        <w:t>Alphi</w:t>
      </w:r>
      <w:proofErr w:type="spellEnd"/>
      <w:r w:rsidR="00CF6171" w:rsidRPr="004F476D">
        <w:rPr>
          <w:rFonts w:ascii="Times New Roman" w:eastAsia="Times New Roman" w:hAnsi="Times New Roman" w:cs="Times New Roman"/>
          <w:sz w:val="20"/>
          <w:szCs w:val="20"/>
          <w:lang w:eastAsia="en-IN"/>
        </w:rPr>
        <w:t xml:space="preserve"> is a high throughput phenotyping arch carried by a tractor. </w:t>
      </w:r>
    </w:p>
    <w:p w14:paraId="17DD19F3" w14:textId="5ED63FC4" w:rsidR="00F3663A" w:rsidRPr="004F476D" w:rsidRDefault="004047AF" w:rsidP="001449A6">
      <w:pPr>
        <w:tabs>
          <w:tab w:val="left" w:pos="1276"/>
        </w:tabs>
        <w:spacing w:after="0" w:line="240" w:lineRule="auto"/>
        <w:ind w:firstLine="567"/>
        <w:jc w:val="both"/>
        <w:rPr>
          <w:rFonts w:ascii="Times New Roman" w:eastAsia="Times New Roman" w:hAnsi="Times New Roman" w:cs="Times New Roman"/>
          <w:sz w:val="20"/>
          <w:szCs w:val="20"/>
          <w:lang w:eastAsia="en-IN"/>
        </w:rPr>
      </w:pPr>
      <w:r w:rsidRPr="004F476D">
        <w:rPr>
          <w:rFonts w:ascii="Times New Roman" w:eastAsia="Times New Roman" w:hAnsi="Times New Roman" w:cs="Times New Roman"/>
          <w:sz w:val="20"/>
          <w:szCs w:val="20"/>
          <w:lang w:eastAsia="en-IN"/>
        </w:rPr>
        <w:t xml:space="preserve">The </w:t>
      </w:r>
      <w:bookmarkStart w:id="1" w:name="_Hlk138715421"/>
      <w:r w:rsidRPr="004F476D">
        <w:rPr>
          <w:rFonts w:ascii="Times New Roman" w:eastAsia="Times New Roman" w:hAnsi="Times New Roman" w:cs="Times New Roman"/>
          <w:sz w:val="20"/>
          <w:szCs w:val="20"/>
          <w:lang w:eastAsia="en-IN"/>
        </w:rPr>
        <w:t xml:space="preserve">D. </w:t>
      </w:r>
      <w:proofErr w:type="spellStart"/>
      <w:r w:rsidRPr="004F476D">
        <w:rPr>
          <w:rFonts w:ascii="Times New Roman" w:eastAsia="Times New Roman" w:hAnsi="Times New Roman" w:cs="Times New Roman"/>
          <w:sz w:val="20"/>
          <w:szCs w:val="20"/>
          <w:lang w:eastAsia="en-IN"/>
        </w:rPr>
        <w:t>Rothamsted's</w:t>
      </w:r>
      <w:proofErr w:type="spellEnd"/>
      <w:r w:rsidRPr="004F476D">
        <w:rPr>
          <w:rFonts w:ascii="Times New Roman" w:eastAsia="Times New Roman" w:hAnsi="Times New Roman" w:cs="Times New Roman"/>
          <w:sz w:val="20"/>
          <w:szCs w:val="20"/>
          <w:lang w:eastAsia="en-IN"/>
        </w:rPr>
        <w:t xml:space="preserve"> Field </w:t>
      </w:r>
      <w:proofErr w:type="spellStart"/>
      <w:r w:rsidRPr="004F476D">
        <w:rPr>
          <w:rFonts w:ascii="Times New Roman" w:eastAsia="Times New Roman" w:hAnsi="Times New Roman" w:cs="Times New Roman"/>
          <w:sz w:val="20"/>
          <w:szCs w:val="20"/>
          <w:lang w:eastAsia="en-IN"/>
        </w:rPr>
        <w:t>Scanalyzer</w:t>
      </w:r>
      <w:proofErr w:type="spellEnd"/>
      <w:r w:rsidRPr="004F476D">
        <w:rPr>
          <w:rFonts w:ascii="Times New Roman" w:eastAsia="Times New Roman" w:hAnsi="Times New Roman" w:cs="Times New Roman"/>
          <w:sz w:val="20"/>
          <w:szCs w:val="20"/>
          <w:lang w:eastAsia="en-IN"/>
        </w:rPr>
        <w:t xml:space="preserve"> </w:t>
      </w:r>
      <w:bookmarkEnd w:id="1"/>
      <w:r w:rsidRPr="004F476D">
        <w:rPr>
          <w:rFonts w:ascii="Times New Roman" w:eastAsia="Times New Roman" w:hAnsi="Times New Roman" w:cs="Times New Roman"/>
          <w:sz w:val="20"/>
          <w:szCs w:val="20"/>
          <w:lang w:eastAsia="en-IN"/>
        </w:rPr>
        <w:t>is a sophisticated platform equipped with an overhead gantry, camera box, and 8 sensors. It is capable of moving in three axes and utilizes specialized software and hardware. Designed to withstand harsh environmental conditions, the system offers high sampling frequency and greenhouse-level accuracy. The platform itself has dimensions of 125m x 15m x 6m, allowing for monitoring of crops within a specific area (x = 115.8m, y = 11.3m, z = 4.1m) throughout the entire growing season</w:t>
      </w:r>
      <w:r w:rsidR="00F77A22" w:rsidRPr="004F476D">
        <w:rPr>
          <w:rFonts w:ascii="Times New Roman" w:eastAsia="Times New Roman" w:hAnsi="Times New Roman" w:cs="Times New Roman"/>
          <w:sz w:val="20"/>
          <w:szCs w:val="20"/>
          <w:lang w:eastAsia="en-IN"/>
        </w:rPr>
        <w:t xml:space="preserve"> [</w:t>
      </w:r>
      <w:r w:rsidR="009500EE">
        <w:rPr>
          <w:rFonts w:ascii="Times New Roman" w:eastAsia="Times New Roman" w:hAnsi="Times New Roman" w:cs="Times New Roman"/>
          <w:sz w:val="20"/>
          <w:szCs w:val="20"/>
          <w:lang w:eastAsia="en-IN"/>
        </w:rPr>
        <w:t>21</w:t>
      </w:r>
      <w:r w:rsidR="00F77A22" w:rsidRPr="004F476D">
        <w:rPr>
          <w:rFonts w:ascii="Times New Roman" w:eastAsia="Times New Roman" w:hAnsi="Times New Roman" w:cs="Times New Roman"/>
          <w:sz w:val="20"/>
          <w:szCs w:val="20"/>
          <w:lang w:eastAsia="en-IN"/>
        </w:rPr>
        <w:t>]</w:t>
      </w:r>
      <w:r w:rsidRPr="004F476D">
        <w:rPr>
          <w:rFonts w:ascii="Times New Roman" w:eastAsia="Times New Roman" w:hAnsi="Times New Roman" w:cs="Times New Roman"/>
          <w:sz w:val="20"/>
          <w:szCs w:val="20"/>
          <w:lang w:eastAsia="en-IN"/>
        </w:rPr>
        <w:t xml:space="preserve">. The operation of the gantry is managed by </w:t>
      </w:r>
      <w:proofErr w:type="spellStart"/>
      <w:r w:rsidRPr="004F476D">
        <w:rPr>
          <w:rFonts w:ascii="Times New Roman" w:eastAsia="Times New Roman" w:hAnsi="Times New Roman" w:cs="Times New Roman"/>
          <w:sz w:val="20"/>
          <w:szCs w:val="20"/>
          <w:lang w:eastAsia="en-IN"/>
        </w:rPr>
        <w:t>LemnaTec</w:t>
      </w:r>
      <w:proofErr w:type="spellEnd"/>
      <w:r w:rsidRPr="004F476D">
        <w:rPr>
          <w:rFonts w:ascii="Times New Roman" w:eastAsia="Times New Roman" w:hAnsi="Times New Roman" w:cs="Times New Roman"/>
          <w:sz w:val="20"/>
          <w:szCs w:val="20"/>
          <w:lang w:eastAsia="en-IN"/>
        </w:rPr>
        <w:t xml:space="preserve"> control software, which is installed on a master computer. This software enables the selection and configuration of various cameras and illumination settings tailored to specific applications. Once the platform is programmed, it can operate autonomously 24 hours a day, 7 days a week, with minimal human supervision. Additionally, remote control is possible in manual mode. The combination of high-resolution sensors and precise positioning ensures the reproducibility of measurements. Data and meta-information for each plot are acquired and automatically transferred from the Field </w:t>
      </w:r>
      <w:proofErr w:type="spellStart"/>
      <w:r w:rsidRPr="004F476D">
        <w:rPr>
          <w:rFonts w:ascii="Times New Roman" w:eastAsia="Times New Roman" w:hAnsi="Times New Roman" w:cs="Times New Roman"/>
          <w:sz w:val="20"/>
          <w:szCs w:val="20"/>
          <w:lang w:eastAsia="en-IN"/>
        </w:rPr>
        <w:t>Scanalyzer</w:t>
      </w:r>
      <w:proofErr w:type="spellEnd"/>
      <w:r w:rsidRPr="004F476D">
        <w:rPr>
          <w:rFonts w:ascii="Times New Roman" w:eastAsia="Times New Roman" w:hAnsi="Times New Roman" w:cs="Times New Roman"/>
          <w:sz w:val="20"/>
          <w:szCs w:val="20"/>
          <w:lang w:eastAsia="en-IN"/>
        </w:rPr>
        <w:t xml:space="preserve"> to a database using optical cables. The meta-information includes a plot ID tag, timestamp, plot position, and corresponding images. </w:t>
      </w:r>
      <w:r w:rsidR="008606DD" w:rsidRPr="004F476D">
        <w:rPr>
          <w:rFonts w:ascii="Times New Roman" w:eastAsia="Times New Roman" w:hAnsi="Times New Roman" w:cs="Times New Roman"/>
          <w:sz w:val="20"/>
          <w:szCs w:val="20"/>
          <w:lang w:eastAsia="en-IN"/>
        </w:rPr>
        <w:t xml:space="preserve">The system operates on rails, preventing soil compaction caused by frequent measurements. It has a payload capacity of 500 kg in the camera bay, although currently only around 300 kg of the payload is utilized </w:t>
      </w:r>
      <w:proofErr w:type="spellStart"/>
      <w:r w:rsidR="008606DD" w:rsidRPr="004F476D">
        <w:rPr>
          <w:rFonts w:ascii="Times New Roman" w:eastAsia="Times New Roman" w:hAnsi="Times New Roman" w:cs="Times New Roman"/>
          <w:sz w:val="20"/>
          <w:szCs w:val="20"/>
          <w:lang w:eastAsia="en-IN"/>
        </w:rPr>
        <w:t>n</w:t>
      </w:r>
      <w:proofErr w:type="spellEnd"/>
      <w:r w:rsidR="008606DD" w:rsidRPr="004F476D">
        <w:rPr>
          <w:rFonts w:ascii="Times New Roman" w:eastAsia="Times New Roman" w:hAnsi="Times New Roman" w:cs="Times New Roman"/>
          <w:sz w:val="20"/>
          <w:szCs w:val="20"/>
          <w:lang w:eastAsia="en-IN"/>
        </w:rPr>
        <w:t xml:space="preserve"> many of the studies. The platform enables high spatial resolution phenotyping by conducting screenings at a height of approximately 2-3 meters above the crop canopy. Data acquisition from all sensors in the camera bay for a single plot is completed within 7 minutes, resulting in the generation of 800 MB of data.</w:t>
      </w:r>
      <w:r w:rsidR="001449A6" w:rsidRPr="004F476D">
        <w:rPr>
          <w:rFonts w:ascii="Times New Roman" w:hAnsi="Times New Roman" w:cs="Times New Roman"/>
        </w:rPr>
        <w:t xml:space="preserve"> </w:t>
      </w:r>
      <w:r w:rsidR="001449A6" w:rsidRPr="004F476D">
        <w:rPr>
          <w:rFonts w:ascii="Times New Roman" w:eastAsia="Times New Roman" w:hAnsi="Times New Roman" w:cs="Times New Roman"/>
          <w:sz w:val="20"/>
          <w:szCs w:val="20"/>
          <w:lang w:eastAsia="en-IN"/>
        </w:rPr>
        <w:t xml:space="preserve">The </w:t>
      </w:r>
      <w:proofErr w:type="spellStart"/>
      <w:r w:rsidR="001449A6" w:rsidRPr="004F476D">
        <w:rPr>
          <w:rFonts w:ascii="Times New Roman" w:eastAsia="Times New Roman" w:hAnsi="Times New Roman" w:cs="Times New Roman"/>
          <w:sz w:val="20"/>
          <w:szCs w:val="20"/>
          <w:lang w:eastAsia="en-IN"/>
        </w:rPr>
        <w:t>Robotanist</w:t>
      </w:r>
      <w:proofErr w:type="spellEnd"/>
      <w:r w:rsidR="001449A6" w:rsidRPr="004F476D">
        <w:rPr>
          <w:rFonts w:ascii="Times New Roman" w:eastAsia="Times New Roman" w:hAnsi="Times New Roman" w:cs="Times New Roman"/>
          <w:sz w:val="20"/>
          <w:szCs w:val="20"/>
          <w:lang w:eastAsia="en-IN"/>
        </w:rPr>
        <w:t xml:space="preserve"> is an electrically powered, wheeled skid-steer robot designed to navigate autonomously crop rows is another platform for high throughput phenotyping. It is equipped with LiDAR, GPS, RGB cameras, an IMU, and real-time computing power and localization algorithms. Additionally, it features a custom stereo camera with Point Grey Flea3 cameras and fish-eye lenses for measuring canopy light penetration. The mobile platform has dimensions of 1.34 meters in length, 0.56 meters in width, and 1.83 meters in height, with a total weight of 140 kg. It can operate within temperature ranges of 5°C to 45°C and has the capability to traverse 3 hectares per day, with a maximum sensor payload of 50 kg.</w:t>
      </w:r>
      <w:r w:rsidR="001449A6" w:rsidRPr="004F476D">
        <w:rPr>
          <w:rFonts w:ascii="Times New Roman" w:hAnsi="Times New Roman" w:cs="Times New Roman"/>
        </w:rPr>
        <w:t xml:space="preserve"> various c</w:t>
      </w:r>
      <w:r w:rsidR="001449A6" w:rsidRPr="004F476D">
        <w:rPr>
          <w:rFonts w:ascii="Times New Roman" w:eastAsia="Times New Roman" w:hAnsi="Times New Roman" w:cs="Times New Roman"/>
          <w:sz w:val="20"/>
          <w:szCs w:val="20"/>
          <w:lang w:eastAsia="en-IN"/>
        </w:rPr>
        <w:t xml:space="preserve">hallenges on ground platforms are that platforms have variable speed at different field terrain conditions so, stability of the sensors during motion may get hampered. Since it is in field which can have different light condition at differ time of day hour so the effects of lighting conditions can affect the quality of the acquired images </w:t>
      </w:r>
      <w:proofErr w:type="gramStart"/>
      <w:r w:rsidR="001449A6" w:rsidRPr="004F476D">
        <w:rPr>
          <w:rFonts w:ascii="Times New Roman" w:eastAsia="Times New Roman" w:hAnsi="Times New Roman" w:cs="Times New Roman"/>
          <w:sz w:val="20"/>
          <w:szCs w:val="20"/>
          <w:lang w:eastAsia="en-IN"/>
        </w:rPr>
        <w:t>an</w:t>
      </w:r>
      <w:proofErr w:type="gramEnd"/>
      <w:r w:rsidR="001449A6" w:rsidRPr="004F476D">
        <w:rPr>
          <w:rFonts w:ascii="Times New Roman" w:eastAsia="Times New Roman" w:hAnsi="Times New Roman" w:cs="Times New Roman"/>
          <w:sz w:val="20"/>
          <w:szCs w:val="20"/>
          <w:lang w:eastAsia="en-IN"/>
        </w:rPr>
        <w:t xml:space="preserve"> data. Also converting sensory data into phenotypes is the most tedious work on field.</w:t>
      </w:r>
    </w:p>
    <w:p w14:paraId="6614DF82" w14:textId="77777777" w:rsidR="00F3663A" w:rsidRPr="004F476D" w:rsidRDefault="00F3663A" w:rsidP="00F3663A">
      <w:pPr>
        <w:tabs>
          <w:tab w:val="left" w:pos="1276"/>
        </w:tabs>
        <w:spacing w:after="0" w:line="240" w:lineRule="auto"/>
        <w:jc w:val="both"/>
        <w:rPr>
          <w:rFonts w:ascii="Times New Roman" w:eastAsia="Times New Roman" w:hAnsi="Times New Roman" w:cs="Times New Roman"/>
          <w:sz w:val="20"/>
          <w:szCs w:val="20"/>
          <w:lang w:eastAsia="en-IN"/>
        </w:rPr>
      </w:pPr>
    </w:p>
    <w:p w14:paraId="33190E59" w14:textId="1A35EC06" w:rsidR="00F3663A" w:rsidRPr="004F476D" w:rsidRDefault="0003775A" w:rsidP="0003775A">
      <w:pPr>
        <w:tabs>
          <w:tab w:val="left" w:pos="1276"/>
        </w:tabs>
        <w:spacing w:after="0" w:line="240" w:lineRule="auto"/>
        <w:jc w:val="center"/>
        <w:rPr>
          <w:rFonts w:ascii="Times New Roman" w:eastAsia="Times New Roman" w:hAnsi="Times New Roman" w:cs="Times New Roman"/>
          <w:b/>
          <w:bCs/>
          <w:sz w:val="20"/>
          <w:szCs w:val="20"/>
          <w:lang w:eastAsia="en-IN"/>
        </w:rPr>
      </w:pPr>
      <w:r w:rsidRPr="004F476D">
        <w:rPr>
          <w:rFonts w:ascii="Times New Roman" w:eastAsia="Times New Roman" w:hAnsi="Times New Roman" w:cs="Times New Roman"/>
          <w:b/>
          <w:bCs/>
          <w:noProof/>
          <w:sz w:val="20"/>
          <w:szCs w:val="20"/>
          <w:lang w:val="en-US" w:bidi="hi-IN"/>
        </w:rPr>
        <w:drawing>
          <wp:inline distT="0" distB="0" distL="0" distR="0" wp14:anchorId="53F0471A" wp14:editId="06562B54">
            <wp:extent cx="4814826" cy="2923819"/>
            <wp:effectExtent l="0" t="0" r="5080" b="0"/>
            <wp:docPr id="464402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5556" cy="2954625"/>
                    </a:xfrm>
                    <a:prstGeom prst="rect">
                      <a:avLst/>
                    </a:prstGeom>
                    <a:noFill/>
                  </pic:spPr>
                </pic:pic>
              </a:graphicData>
            </a:graphic>
          </wp:inline>
        </w:drawing>
      </w:r>
    </w:p>
    <w:p w14:paraId="1FEC73EB" w14:textId="4C5FF05B" w:rsidR="004047AF" w:rsidRPr="004F476D" w:rsidRDefault="004047AF" w:rsidP="0003775A">
      <w:pPr>
        <w:tabs>
          <w:tab w:val="left" w:pos="1276"/>
        </w:tabs>
        <w:spacing w:after="0" w:line="240" w:lineRule="auto"/>
        <w:jc w:val="center"/>
        <w:rPr>
          <w:rFonts w:ascii="Times New Roman" w:eastAsia="Times New Roman" w:hAnsi="Times New Roman" w:cs="Times New Roman"/>
          <w:b/>
          <w:bCs/>
          <w:sz w:val="20"/>
          <w:szCs w:val="20"/>
          <w:lang w:eastAsia="en-IN"/>
        </w:rPr>
      </w:pPr>
      <w:r w:rsidRPr="004F476D">
        <w:rPr>
          <w:rFonts w:ascii="Times New Roman" w:eastAsia="Times New Roman" w:hAnsi="Times New Roman" w:cs="Times New Roman"/>
          <w:sz w:val="20"/>
          <w:szCs w:val="20"/>
          <w:lang w:eastAsia="en-IN"/>
        </w:rPr>
        <w:t>e.</w:t>
      </w:r>
      <w:r w:rsidRPr="004F476D">
        <w:rPr>
          <w:rFonts w:ascii="Times New Roman" w:hAnsi="Times New Roman" w:cs="Times New Roman"/>
          <w:noProof/>
          <w:lang w:val="en-US" w:bidi="hi-IN"/>
        </w:rPr>
        <w:drawing>
          <wp:inline distT="0" distB="0" distL="0" distR="0" wp14:anchorId="4FE9B607" wp14:editId="0D8B99FF">
            <wp:extent cx="4509770" cy="2632075"/>
            <wp:effectExtent l="0" t="0" r="5080" b="0"/>
            <wp:docPr id="133831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16995" name=""/>
                    <pic:cNvPicPr/>
                  </pic:nvPicPr>
                  <pic:blipFill>
                    <a:blip r:embed="rId10"/>
                    <a:stretch>
                      <a:fillRect/>
                    </a:stretch>
                  </pic:blipFill>
                  <pic:spPr>
                    <a:xfrm>
                      <a:off x="0" y="0"/>
                      <a:ext cx="4578429" cy="2672147"/>
                    </a:xfrm>
                    <a:prstGeom prst="rect">
                      <a:avLst/>
                    </a:prstGeom>
                  </pic:spPr>
                </pic:pic>
              </a:graphicData>
            </a:graphic>
          </wp:inline>
        </w:drawing>
      </w:r>
    </w:p>
    <w:p w14:paraId="655467B1" w14:textId="2E2ABD70" w:rsidR="00F3663A" w:rsidRPr="004F476D" w:rsidRDefault="00CF6171" w:rsidP="00632867">
      <w:pPr>
        <w:spacing w:after="0" w:line="240" w:lineRule="auto"/>
        <w:jc w:val="center"/>
        <w:rPr>
          <w:rFonts w:ascii="Times New Roman" w:eastAsia="Times New Roman" w:hAnsi="Times New Roman" w:cs="Times New Roman"/>
          <w:b/>
          <w:bCs/>
          <w:sz w:val="20"/>
          <w:szCs w:val="20"/>
          <w:lang w:eastAsia="en-IN"/>
        </w:rPr>
      </w:pPr>
      <w:r w:rsidRPr="004F476D">
        <w:rPr>
          <w:rFonts w:ascii="Times New Roman" w:eastAsia="MS Mincho" w:hAnsi="Times New Roman" w:cs="Times New Roman"/>
          <w:b/>
          <w:sz w:val="20"/>
          <w:szCs w:val="20"/>
        </w:rPr>
        <w:t xml:space="preserve">Figure </w:t>
      </w:r>
      <w:r w:rsidR="00632867" w:rsidRPr="004F476D">
        <w:rPr>
          <w:rFonts w:ascii="Times New Roman" w:eastAsia="MS Mincho" w:hAnsi="Times New Roman" w:cs="Times New Roman"/>
          <w:b/>
          <w:sz w:val="20"/>
          <w:szCs w:val="20"/>
        </w:rPr>
        <w:t>4: Ground</w:t>
      </w:r>
      <w:r w:rsidRPr="004F476D">
        <w:rPr>
          <w:rFonts w:ascii="Times New Roman" w:eastAsia="MS Mincho" w:hAnsi="Times New Roman" w:cs="Times New Roman"/>
          <w:b/>
          <w:sz w:val="20"/>
          <w:szCs w:val="20"/>
        </w:rPr>
        <w:t xml:space="preserve">-based phenotyping platform. (a) </w:t>
      </w:r>
      <w:proofErr w:type="spellStart"/>
      <w:r w:rsidR="00632867" w:rsidRPr="004F476D">
        <w:rPr>
          <w:rFonts w:ascii="Times New Roman" w:eastAsia="MS Mincho" w:hAnsi="Times New Roman" w:cs="Times New Roman"/>
          <w:b/>
          <w:sz w:val="20"/>
          <w:szCs w:val="20"/>
        </w:rPr>
        <w:t>Phenomobile</w:t>
      </w:r>
      <w:proofErr w:type="spellEnd"/>
      <w:r w:rsidR="00632867" w:rsidRPr="004F476D">
        <w:rPr>
          <w:rFonts w:ascii="Times New Roman" w:eastAsia="MS Mincho" w:hAnsi="Times New Roman" w:cs="Times New Roman"/>
          <w:b/>
          <w:sz w:val="20"/>
          <w:szCs w:val="20"/>
        </w:rPr>
        <w:t xml:space="preserve"> for tall plant</w:t>
      </w:r>
      <w:r w:rsidRPr="004F476D">
        <w:rPr>
          <w:rFonts w:ascii="Times New Roman" w:eastAsia="MS Mincho" w:hAnsi="Times New Roman" w:cs="Times New Roman"/>
          <w:b/>
          <w:sz w:val="20"/>
          <w:szCs w:val="20"/>
        </w:rPr>
        <w:t xml:space="preserve"> (b) </w:t>
      </w:r>
      <w:proofErr w:type="spellStart"/>
      <w:r w:rsidR="00632867" w:rsidRPr="004F476D">
        <w:rPr>
          <w:rFonts w:ascii="Times New Roman" w:eastAsia="MS Mincho" w:hAnsi="Times New Roman" w:cs="Times New Roman"/>
          <w:b/>
          <w:sz w:val="20"/>
          <w:szCs w:val="20"/>
        </w:rPr>
        <w:t>Phenomobile</w:t>
      </w:r>
      <w:proofErr w:type="spellEnd"/>
      <w:r w:rsidR="00632867" w:rsidRPr="004F476D">
        <w:rPr>
          <w:rFonts w:ascii="Times New Roman" w:eastAsia="MS Mincho" w:hAnsi="Times New Roman" w:cs="Times New Roman"/>
          <w:b/>
          <w:sz w:val="20"/>
          <w:szCs w:val="20"/>
        </w:rPr>
        <w:t xml:space="preserve"> for short plant</w:t>
      </w:r>
      <w:r w:rsidRPr="004F476D">
        <w:rPr>
          <w:rFonts w:ascii="Times New Roman" w:eastAsia="MS Mincho" w:hAnsi="Times New Roman" w:cs="Times New Roman"/>
          <w:b/>
          <w:sz w:val="20"/>
          <w:szCs w:val="20"/>
        </w:rPr>
        <w:t xml:space="preserve"> (c) </w:t>
      </w:r>
      <w:proofErr w:type="spellStart"/>
      <w:r w:rsidRPr="004F476D">
        <w:rPr>
          <w:rFonts w:ascii="Times New Roman" w:eastAsia="MS Mincho" w:hAnsi="Times New Roman" w:cs="Times New Roman"/>
          <w:b/>
          <w:sz w:val="20"/>
          <w:szCs w:val="20"/>
        </w:rPr>
        <w:t>Pheno</w:t>
      </w:r>
      <w:r w:rsidR="00632867" w:rsidRPr="004F476D">
        <w:rPr>
          <w:rFonts w:ascii="Times New Roman" w:eastAsia="MS Mincho" w:hAnsi="Times New Roman" w:cs="Times New Roman"/>
          <w:b/>
          <w:sz w:val="20"/>
          <w:szCs w:val="20"/>
        </w:rPr>
        <w:t>field</w:t>
      </w:r>
      <w:proofErr w:type="spellEnd"/>
      <w:r w:rsidR="00632867" w:rsidRPr="004F476D">
        <w:rPr>
          <w:rFonts w:ascii="Times New Roman" w:eastAsia="MS Mincho" w:hAnsi="Times New Roman" w:cs="Times New Roman"/>
          <w:b/>
          <w:sz w:val="20"/>
          <w:szCs w:val="20"/>
        </w:rPr>
        <w:t xml:space="preserve"> (d) </w:t>
      </w:r>
      <w:proofErr w:type="spellStart"/>
      <w:r w:rsidR="00632867" w:rsidRPr="004F476D">
        <w:rPr>
          <w:rFonts w:ascii="Times New Roman" w:eastAsia="MS Mincho" w:hAnsi="Times New Roman" w:cs="Times New Roman"/>
          <w:b/>
          <w:sz w:val="20"/>
          <w:szCs w:val="20"/>
        </w:rPr>
        <w:t>Alphi</w:t>
      </w:r>
      <w:proofErr w:type="spellEnd"/>
      <w:r w:rsidR="004047AF" w:rsidRPr="004F476D">
        <w:rPr>
          <w:rFonts w:ascii="Times New Roman" w:eastAsia="MS Mincho" w:hAnsi="Times New Roman" w:cs="Times New Roman"/>
          <w:b/>
          <w:sz w:val="20"/>
          <w:szCs w:val="20"/>
        </w:rPr>
        <w:t xml:space="preserve"> (e) Camera Bay of D. </w:t>
      </w:r>
      <w:proofErr w:type="spellStart"/>
      <w:r w:rsidR="004047AF" w:rsidRPr="004F476D">
        <w:rPr>
          <w:rFonts w:ascii="Times New Roman" w:eastAsia="MS Mincho" w:hAnsi="Times New Roman" w:cs="Times New Roman"/>
          <w:b/>
          <w:sz w:val="20"/>
          <w:szCs w:val="20"/>
        </w:rPr>
        <w:t>Rothamsted's</w:t>
      </w:r>
      <w:proofErr w:type="spellEnd"/>
      <w:r w:rsidR="004047AF" w:rsidRPr="004F476D">
        <w:rPr>
          <w:rFonts w:ascii="Times New Roman" w:eastAsia="MS Mincho" w:hAnsi="Times New Roman" w:cs="Times New Roman"/>
          <w:b/>
          <w:sz w:val="20"/>
          <w:szCs w:val="20"/>
        </w:rPr>
        <w:t xml:space="preserve"> Field </w:t>
      </w:r>
      <w:proofErr w:type="spellStart"/>
      <w:r w:rsidR="004047AF" w:rsidRPr="004F476D">
        <w:rPr>
          <w:rFonts w:ascii="Times New Roman" w:eastAsia="MS Mincho" w:hAnsi="Times New Roman" w:cs="Times New Roman"/>
          <w:b/>
          <w:sz w:val="20"/>
          <w:szCs w:val="20"/>
        </w:rPr>
        <w:t>Scanalyzer</w:t>
      </w:r>
      <w:proofErr w:type="spellEnd"/>
      <w:r w:rsidR="009500EE">
        <w:rPr>
          <w:rFonts w:ascii="Times New Roman" w:eastAsia="MS Mincho" w:hAnsi="Times New Roman" w:cs="Times New Roman"/>
          <w:b/>
          <w:sz w:val="20"/>
          <w:szCs w:val="20"/>
        </w:rPr>
        <w:t xml:space="preserve"> [21]</w:t>
      </w:r>
      <w:r w:rsidR="00CE453D">
        <w:rPr>
          <w:rFonts w:ascii="Times New Roman" w:eastAsia="MS Mincho" w:hAnsi="Times New Roman" w:cs="Times New Roman"/>
          <w:b/>
          <w:sz w:val="20"/>
          <w:szCs w:val="20"/>
        </w:rPr>
        <w:t>.</w:t>
      </w:r>
    </w:p>
    <w:p w14:paraId="0AB62152" w14:textId="77777777" w:rsidR="00F3663A" w:rsidRPr="004F476D" w:rsidRDefault="00F3663A" w:rsidP="00F3663A">
      <w:pPr>
        <w:tabs>
          <w:tab w:val="left" w:pos="1276"/>
        </w:tabs>
        <w:spacing w:after="0" w:line="240" w:lineRule="auto"/>
        <w:jc w:val="both"/>
        <w:rPr>
          <w:rFonts w:ascii="Times New Roman" w:eastAsia="Times New Roman" w:hAnsi="Times New Roman" w:cs="Times New Roman"/>
          <w:b/>
          <w:bCs/>
          <w:sz w:val="20"/>
          <w:szCs w:val="20"/>
          <w:lang w:eastAsia="en-IN"/>
        </w:rPr>
      </w:pPr>
    </w:p>
    <w:p w14:paraId="27295A2A" w14:textId="0CD5B1EF" w:rsidR="00564E8F" w:rsidRPr="004F476D" w:rsidRDefault="009569D7" w:rsidP="00E706B8">
      <w:pPr>
        <w:pStyle w:val="ListParagraph"/>
        <w:numPr>
          <w:ilvl w:val="0"/>
          <w:numId w:val="2"/>
        </w:numPr>
        <w:spacing w:after="0" w:line="240" w:lineRule="auto"/>
        <w:ind w:left="0" w:firstLine="567"/>
        <w:jc w:val="center"/>
        <w:rPr>
          <w:rFonts w:ascii="Times New Roman" w:hAnsi="Times New Roman" w:cs="Times New Roman"/>
          <w:b/>
          <w:bCs/>
          <w:sz w:val="20"/>
          <w:szCs w:val="20"/>
          <w:lang w:val="en-US"/>
        </w:rPr>
      </w:pPr>
      <w:r w:rsidRPr="004F476D">
        <w:rPr>
          <w:rFonts w:ascii="Times New Roman" w:hAnsi="Times New Roman" w:cs="Times New Roman"/>
          <w:b/>
          <w:bCs/>
          <w:sz w:val="20"/>
          <w:szCs w:val="20"/>
          <w:lang w:val="en-US"/>
        </w:rPr>
        <w:t>SENSORS FOR HIGH THROUGHPUT PHENOTYPING</w:t>
      </w:r>
    </w:p>
    <w:p w14:paraId="18B666C4" w14:textId="77777777" w:rsidR="009569D7" w:rsidRPr="004F476D" w:rsidRDefault="009569D7" w:rsidP="006D5610">
      <w:pPr>
        <w:pStyle w:val="ListParagraph"/>
        <w:spacing w:after="0" w:line="240" w:lineRule="auto"/>
        <w:ind w:left="567"/>
        <w:jc w:val="both"/>
        <w:rPr>
          <w:rFonts w:ascii="Times New Roman" w:hAnsi="Times New Roman" w:cs="Times New Roman"/>
          <w:b/>
          <w:bCs/>
          <w:sz w:val="20"/>
          <w:szCs w:val="20"/>
          <w:lang w:val="en-US"/>
        </w:rPr>
      </w:pPr>
    </w:p>
    <w:p w14:paraId="652EB273" w14:textId="3C4FFF86" w:rsidR="009718DB" w:rsidRPr="004F476D" w:rsidRDefault="006D5610" w:rsidP="006322B4">
      <w:pPr>
        <w:pStyle w:val="ListParagraph"/>
        <w:spacing w:after="0" w:line="240" w:lineRule="auto"/>
        <w:ind w:left="0"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 xml:space="preserve">Various sensors used for field phenotyping are RGB Color imaging (2D and 3D), infrared imaging, thermal imaging, chlorophyll Fluorescence imaging, hyperspectral imaging, </w:t>
      </w:r>
      <w:r w:rsidR="007C6A75" w:rsidRPr="004F476D">
        <w:rPr>
          <w:rFonts w:ascii="Times New Roman" w:hAnsi="Times New Roman" w:cs="Times New Roman"/>
          <w:sz w:val="20"/>
          <w:szCs w:val="20"/>
          <w:lang w:val="en-US"/>
        </w:rPr>
        <w:t>sonar, lidar, r</w:t>
      </w:r>
      <w:r w:rsidRPr="004F476D">
        <w:rPr>
          <w:rFonts w:ascii="Times New Roman" w:hAnsi="Times New Roman" w:cs="Times New Roman"/>
          <w:sz w:val="20"/>
          <w:szCs w:val="20"/>
          <w:lang w:val="en-US"/>
        </w:rPr>
        <w:t>adar</w:t>
      </w:r>
      <w:r w:rsidR="007C6A75" w:rsidRPr="004F476D">
        <w:rPr>
          <w:rFonts w:ascii="Times New Roman" w:hAnsi="Times New Roman" w:cs="Times New Roman"/>
          <w:sz w:val="20"/>
          <w:szCs w:val="20"/>
          <w:lang w:val="en-US"/>
        </w:rPr>
        <w:t xml:space="preserve"> etc. </w:t>
      </w:r>
      <w:r w:rsidR="006322B4" w:rsidRPr="004F476D">
        <w:rPr>
          <w:rFonts w:ascii="Times New Roman" w:hAnsi="Times New Roman" w:cs="Times New Roman"/>
          <w:sz w:val="20"/>
          <w:szCs w:val="20"/>
          <w:lang w:val="en-US"/>
        </w:rPr>
        <w:t>When considering specific applications, it is important to consider the characteristics of the sensors, such as spectral resolution, spatial resolution, and cost.</w:t>
      </w:r>
      <w:r w:rsidR="006322B4" w:rsidRPr="004F476D">
        <w:rPr>
          <w:rFonts w:ascii="Times New Roman" w:hAnsi="Times New Roman" w:cs="Times New Roman"/>
        </w:rPr>
        <w:t xml:space="preserve"> </w:t>
      </w:r>
      <w:r w:rsidR="006322B4" w:rsidRPr="004F476D">
        <w:rPr>
          <w:rFonts w:ascii="Times New Roman" w:hAnsi="Times New Roman" w:cs="Times New Roman"/>
          <w:sz w:val="20"/>
          <w:szCs w:val="20"/>
          <w:lang w:val="en-US"/>
        </w:rPr>
        <w:t>RGB images consist of three wavebands, namely Red, Green, and Blue. On the other hand, multispectral images include multiple wavebands typically within the visible and near-infrared (NIR) spectrum. In contrast, hyperspectral images encompass hundreds or even thousands of continuous wavebands within the visible and NIR range. Sensors of different types exhibit diverse features and functionalities. Hence, it is valuable to explore the potential effects of employing different sensors in plant high-throughput phenotyping research.</w:t>
      </w:r>
      <w:r w:rsidR="006322B4" w:rsidRPr="004F476D">
        <w:rPr>
          <w:rFonts w:ascii="Times New Roman" w:hAnsi="Times New Roman" w:cs="Times New Roman"/>
        </w:rPr>
        <w:t xml:space="preserve"> </w:t>
      </w:r>
      <w:r w:rsidR="006322B4" w:rsidRPr="004F476D">
        <w:rPr>
          <w:rFonts w:ascii="Times New Roman" w:hAnsi="Times New Roman" w:cs="Times New Roman"/>
          <w:sz w:val="20"/>
          <w:szCs w:val="20"/>
          <w:lang w:val="en-US"/>
        </w:rPr>
        <w:t xml:space="preserve">To achieve accurate prediction results, it is recommended to utilize suitable sensors for specific traits and develop robust models employing appropriate algorithms. There are numerous methods available to enhance detection accuracy. Image resolution is a crucial factor to consider, and increasing the resolution can significantly enhance the accuracy of the model's detection capabilities </w:t>
      </w:r>
      <w:r w:rsidR="009500EE">
        <w:rPr>
          <w:rFonts w:ascii="Times New Roman" w:hAnsi="Times New Roman" w:cs="Times New Roman"/>
          <w:sz w:val="20"/>
          <w:szCs w:val="20"/>
          <w:lang w:val="en-US"/>
        </w:rPr>
        <w:t>[22]</w:t>
      </w:r>
      <w:r w:rsidR="006322B4" w:rsidRPr="004F476D">
        <w:rPr>
          <w:rFonts w:ascii="Times New Roman" w:hAnsi="Times New Roman" w:cs="Times New Roman"/>
          <w:sz w:val="20"/>
          <w:szCs w:val="20"/>
          <w:lang w:val="en-US"/>
        </w:rPr>
        <w:t xml:space="preserve">. The study conducted by </w:t>
      </w:r>
      <w:r w:rsidR="009500EE">
        <w:rPr>
          <w:rFonts w:ascii="Times New Roman" w:hAnsi="Times New Roman" w:cs="Times New Roman"/>
          <w:sz w:val="20"/>
          <w:szCs w:val="20"/>
          <w:lang w:val="en-US"/>
        </w:rPr>
        <w:t>reference [23]</w:t>
      </w:r>
      <w:r w:rsidR="006322B4" w:rsidRPr="004F476D">
        <w:rPr>
          <w:rFonts w:ascii="Times New Roman" w:hAnsi="Times New Roman" w:cs="Times New Roman"/>
          <w:sz w:val="20"/>
          <w:szCs w:val="20"/>
          <w:lang w:val="en-US"/>
        </w:rPr>
        <w:t xml:space="preserve"> revealed that integrating oblique images with nadir images can enhance the accuracy of 3D model detection.</w:t>
      </w:r>
    </w:p>
    <w:p w14:paraId="2FE687B5" w14:textId="77777777" w:rsidR="00815927" w:rsidRPr="004F476D" w:rsidRDefault="00815927" w:rsidP="006322B4">
      <w:pPr>
        <w:pStyle w:val="ListParagraph"/>
        <w:spacing w:after="0" w:line="240" w:lineRule="auto"/>
        <w:ind w:left="0" w:firstLine="567"/>
        <w:jc w:val="both"/>
        <w:rPr>
          <w:rFonts w:ascii="Times New Roman" w:hAnsi="Times New Roman" w:cs="Times New Roman"/>
          <w:sz w:val="20"/>
          <w:szCs w:val="20"/>
          <w:lang w:val="en-US"/>
        </w:rPr>
      </w:pPr>
    </w:p>
    <w:p w14:paraId="3CD70F3B" w14:textId="5533E687" w:rsidR="00815927" w:rsidRPr="004F476D" w:rsidRDefault="00815927" w:rsidP="00815927">
      <w:pPr>
        <w:pStyle w:val="ListParagraph"/>
        <w:numPr>
          <w:ilvl w:val="0"/>
          <w:numId w:val="22"/>
        </w:numPr>
        <w:spacing w:after="0" w:line="240" w:lineRule="auto"/>
        <w:ind w:left="284" w:hanging="284"/>
        <w:jc w:val="both"/>
        <w:rPr>
          <w:rFonts w:ascii="Times New Roman" w:hAnsi="Times New Roman" w:cs="Times New Roman"/>
          <w:b/>
          <w:bCs/>
          <w:sz w:val="20"/>
          <w:szCs w:val="20"/>
          <w:lang w:val="en-US"/>
        </w:rPr>
      </w:pPr>
      <w:bookmarkStart w:id="2" w:name="_Hlk138757950"/>
      <w:r w:rsidRPr="004F476D">
        <w:rPr>
          <w:rFonts w:ascii="Times New Roman" w:hAnsi="Times New Roman" w:cs="Times New Roman"/>
          <w:b/>
          <w:bCs/>
          <w:sz w:val="20"/>
          <w:szCs w:val="20"/>
          <w:lang w:val="en-US"/>
        </w:rPr>
        <w:t>RGB, Multispectral and Hyperspectral camera</w:t>
      </w:r>
    </w:p>
    <w:bookmarkEnd w:id="2"/>
    <w:p w14:paraId="382F9D74" w14:textId="4F1E2C5C" w:rsidR="006322B4" w:rsidRPr="004F476D" w:rsidRDefault="006322B4" w:rsidP="006322B4">
      <w:pPr>
        <w:pStyle w:val="ListParagraph"/>
        <w:spacing w:after="0" w:line="240" w:lineRule="auto"/>
        <w:ind w:left="0"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 xml:space="preserve">The RGB camera, also known as a digital camera, regular camera, or color camera, is capable of capturing true color images within the visible spectrum. In Figure </w:t>
      </w:r>
      <w:r w:rsidR="005E6C09" w:rsidRPr="004F476D">
        <w:rPr>
          <w:rFonts w:ascii="Times New Roman" w:hAnsi="Times New Roman" w:cs="Times New Roman"/>
          <w:sz w:val="20"/>
          <w:szCs w:val="20"/>
          <w:lang w:val="en-US"/>
        </w:rPr>
        <w:t>5</w:t>
      </w:r>
      <w:r w:rsidRPr="004F476D">
        <w:rPr>
          <w:rFonts w:ascii="Times New Roman" w:hAnsi="Times New Roman" w:cs="Times New Roman"/>
          <w:sz w:val="20"/>
          <w:szCs w:val="20"/>
          <w:lang w:val="en-US"/>
        </w:rPr>
        <w:t xml:space="preserve"> (a), the three channels of RGB images are depicted. This type of camera is inexpensive, lightweight, and easily mounted on unmanned aerial vehicles (UAVs) for data collection. Utilizing RGB images, a crop surface model (CSM) can be generated by leveraging the 3D geometry </w:t>
      </w:r>
      <w:r w:rsidR="009500EE">
        <w:rPr>
          <w:rFonts w:ascii="Times New Roman" w:hAnsi="Times New Roman" w:cs="Times New Roman"/>
          <w:sz w:val="20"/>
          <w:szCs w:val="20"/>
          <w:lang w:val="en-US"/>
        </w:rPr>
        <w:t>[24]</w:t>
      </w:r>
      <w:r w:rsidRPr="004F476D">
        <w:rPr>
          <w:rFonts w:ascii="Times New Roman" w:hAnsi="Times New Roman" w:cs="Times New Roman"/>
          <w:sz w:val="20"/>
          <w:szCs w:val="20"/>
          <w:lang w:val="en-US"/>
        </w:rPr>
        <w:t>, enabling the detection of plant height. However, it should be noted that RGB cameras only provide information at three wavebands (Red, Green, and Blue), which is limited compared to other sensors. Additionally, they do not offer continuous spectrum information. In plant phenotyping, RGB images are commonly employed for calculating parameters such as leaf area index (LAI), height, biomass, yield, and more.</w:t>
      </w:r>
      <w:r w:rsidR="005E6C09" w:rsidRPr="004F476D">
        <w:rPr>
          <w:rFonts w:ascii="Times New Roman" w:hAnsi="Times New Roman" w:cs="Times New Roman"/>
          <w:sz w:val="20"/>
          <w:szCs w:val="20"/>
          <w:lang w:val="en-US"/>
        </w:rPr>
        <w:t xml:space="preserve"> A multispectral imaging camera can be created using an interference filter placed in front of the camera lens to selectively block or transmit specific wavelengths of light. In comparison to an RGB camera, a multispectral imaging sensor can offer a greater range of useful wavebands within both the visible and near-infrared (NIR) spectral regions. This makes it suitable for predicting parameters such as yield, biomass, nitrogen content, and more. In Figure 5 (b), an example of multispectral imaging with six wavebands is depicted (the number of wavebands can vary depending on the specific sensors used). Multispectral imaging sensors are typically compact, lightweight, and well-suited for integration with UAVs. They are also reasonably priced. However, it's important to note that multispectral imaging does not provide continuous spectrum information since it operates with discrete wavebands. Additionally, the number of available wavebands is limited, which implies that the spectrum information it captures has certain limitations. </w:t>
      </w:r>
      <w:r w:rsidR="00815927" w:rsidRPr="004F476D">
        <w:rPr>
          <w:rFonts w:ascii="Times New Roman" w:hAnsi="Times New Roman" w:cs="Times New Roman"/>
          <w:sz w:val="20"/>
          <w:szCs w:val="20"/>
          <w:lang w:val="en-US"/>
        </w:rPr>
        <w:t xml:space="preserve"> Hyperspectral imaging offers a significant increase in the number of wavebands, allowing for the acquisition of more comprehensive and valuable information. While it is a costly sensor, hyperspectral imaging can provide hundreds to even thousands of wavebands within the visible and NIR spectral ranges (Figure 5 (c)). Moreover, it offers both imaging and continuous spectrum data. Each pixel in a hyperspectral image contains spatial and spectral features, making it highly significant and applicable in various research fields </w:t>
      </w:r>
      <w:r w:rsidR="009500EE">
        <w:rPr>
          <w:rFonts w:ascii="Times New Roman" w:hAnsi="Times New Roman" w:cs="Times New Roman"/>
          <w:sz w:val="20"/>
          <w:szCs w:val="20"/>
          <w:lang w:val="en-US"/>
        </w:rPr>
        <w:t>[25]</w:t>
      </w:r>
      <w:r w:rsidR="00815927" w:rsidRPr="004F476D">
        <w:rPr>
          <w:rFonts w:ascii="Times New Roman" w:hAnsi="Times New Roman" w:cs="Times New Roman"/>
          <w:sz w:val="20"/>
          <w:szCs w:val="20"/>
          <w:lang w:val="en-US"/>
        </w:rPr>
        <w:t xml:space="preserve">. Hyperspectral imaging cameras typically fall into four categories: point scanning, line scanning, area scanning, and single-shot scanning </w:t>
      </w:r>
      <w:r w:rsidR="009500EE">
        <w:rPr>
          <w:rFonts w:ascii="Times New Roman" w:hAnsi="Times New Roman" w:cs="Times New Roman"/>
          <w:sz w:val="20"/>
          <w:szCs w:val="20"/>
          <w:lang w:val="en-US"/>
        </w:rPr>
        <w:t>[26]</w:t>
      </w:r>
      <w:r w:rsidR="00815927" w:rsidRPr="004F476D">
        <w:rPr>
          <w:rFonts w:ascii="Times New Roman" w:hAnsi="Times New Roman" w:cs="Times New Roman"/>
          <w:sz w:val="20"/>
          <w:szCs w:val="20"/>
          <w:lang w:val="en-US"/>
        </w:rPr>
        <w:t>. Hyperspectral imaging is commonly employed to predict plant phenotyping traits such as biomass, height, chlorophyll content, and stress resistance.</w:t>
      </w:r>
    </w:p>
    <w:p w14:paraId="5185A7BE" w14:textId="77777777" w:rsidR="009E1E67" w:rsidRPr="004F476D" w:rsidRDefault="009E1E67" w:rsidP="00E706B8">
      <w:pPr>
        <w:spacing w:after="0" w:line="240" w:lineRule="auto"/>
        <w:ind w:firstLine="567"/>
        <w:jc w:val="both"/>
        <w:rPr>
          <w:rFonts w:ascii="Times New Roman" w:hAnsi="Times New Roman" w:cs="Times New Roman"/>
          <w:sz w:val="20"/>
          <w:szCs w:val="20"/>
          <w:lang w:val="en-US"/>
        </w:rPr>
      </w:pPr>
    </w:p>
    <w:p w14:paraId="65103C81" w14:textId="054A7E2C" w:rsidR="009E1E67" w:rsidRPr="004F476D" w:rsidRDefault="00815927" w:rsidP="00E706B8">
      <w:pPr>
        <w:spacing w:after="0" w:line="240" w:lineRule="auto"/>
        <w:ind w:firstLine="567"/>
        <w:jc w:val="both"/>
        <w:rPr>
          <w:rFonts w:ascii="Times New Roman" w:hAnsi="Times New Roman" w:cs="Times New Roman"/>
          <w:sz w:val="20"/>
          <w:szCs w:val="20"/>
          <w:lang w:val="en-US"/>
        </w:rPr>
      </w:pPr>
      <w:r w:rsidRPr="004F476D">
        <w:rPr>
          <w:rFonts w:ascii="Times New Roman" w:hAnsi="Times New Roman" w:cs="Times New Roman"/>
          <w:noProof/>
          <w:sz w:val="20"/>
          <w:szCs w:val="20"/>
          <w:lang w:val="en-US" w:bidi="hi-IN"/>
        </w:rPr>
        <w:drawing>
          <wp:inline distT="0" distB="0" distL="0" distR="0" wp14:anchorId="3E21DD51" wp14:editId="40F2BFC2">
            <wp:extent cx="5961448" cy="2190750"/>
            <wp:effectExtent l="0" t="0" r="1270" b="0"/>
            <wp:docPr id="75160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4628" cy="2199268"/>
                    </a:xfrm>
                    <a:prstGeom prst="rect">
                      <a:avLst/>
                    </a:prstGeom>
                    <a:noFill/>
                    <a:ln>
                      <a:noFill/>
                    </a:ln>
                  </pic:spPr>
                </pic:pic>
              </a:graphicData>
            </a:graphic>
          </wp:inline>
        </w:drawing>
      </w:r>
    </w:p>
    <w:p w14:paraId="665DEA97" w14:textId="77777777" w:rsidR="005D3384" w:rsidRPr="004F476D" w:rsidRDefault="005D3384" w:rsidP="00815927">
      <w:pPr>
        <w:spacing w:after="0" w:line="240" w:lineRule="auto"/>
        <w:jc w:val="center"/>
        <w:rPr>
          <w:rFonts w:ascii="Times New Roman" w:eastAsia="MS Mincho" w:hAnsi="Times New Roman" w:cs="Times New Roman"/>
          <w:b/>
          <w:sz w:val="20"/>
          <w:szCs w:val="20"/>
        </w:rPr>
      </w:pPr>
    </w:p>
    <w:p w14:paraId="055688BF" w14:textId="1B4D6AB8" w:rsidR="00815927" w:rsidRPr="004F476D" w:rsidRDefault="00815927" w:rsidP="00815927">
      <w:pPr>
        <w:spacing w:after="0" w:line="240" w:lineRule="auto"/>
        <w:jc w:val="center"/>
        <w:rPr>
          <w:rFonts w:ascii="Times New Roman" w:eastAsia="Times New Roman" w:hAnsi="Times New Roman" w:cs="Times New Roman"/>
          <w:b/>
          <w:bCs/>
          <w:sz w:val="20"/>
          <w:szCs w:val="20"/>
          <w:lang w:eastAsia="en-IN"/>
        </w:rPr>
      </w:pPr>
      <w:bookmarkStart w:id="3" w:name="_Hlk138759264"/>
      <w:r w:rsidRPr="004F476D">
        <w:rPr>
          <w:rFonts w:ascii="Times New Roman" w:eastAsia="MS Mincho" w:hAnsi="Times New Roman" w:cs="Times New Roman"/>
          <w:b/>
          <w:sz w:val="20"/>
          <w:szCs w:val="20"/>
        </w:rPr>
        <w:t xml:space="preserve">Figure </w:t>
      </w:r>
      <w:r w:rsidR="00A062ED" w:rsidRPr="004F476D">
        <w:rPr>
          <w:rFonts w:ascii="Times New Roman" w:eastAsia="MS Mincho" w:hAnsi="Times New Roman" w:cs="Times New Roman"/>
          <w:b/>
          <w:sz w:val="20"/>
          <w:szCs w:val="20"/>
        </w:rPr>
        <w:t>5</w:t>
      </w:r>
      <w:r w:rsidRPr="004F476D">
        <w:rPr>
          <w:rFonts w:ascii="Times New Roman" w:eastAsia="MS Mincho" w:hAnsi="Times New Roman" w:cs="Times New Roman"/>
          <w:b/>
          <w:sz w:val="20"/>
          <w:szCs w:val="20"/>
        </w:rPr>
        <w:t xml:space="preserve">: (a) </w:t>
      </w:r>
      <w:r w:rsidR="005D3384" w:rsidRPr="004F476D">
        <w:rPr>
          <w:rFonts w:ascii="Times New Roman" w:eastAsia="MS Mincho" w:hAnsi="Times New Roman" w:cs="Times New Roman"/>
          <w:b/>
          <w:sz w:val="20"/>
          <w:szCs w:val="20"/>
        </w:rPr>
        <w:t>RGB imaging</w:t>
      </w:r>
      <w:r w:rsidRPr="004F476D">
        <w:rPr>
          <w:rFonts w:ascii="Times New Roman" w:eastAsia="MS Mincho" w:hAnsi="Times New Roman" w:cs="Times New Roman"/>
          <w:b/>
          <w:sz w:val="20"/>
          <w:szCs w:val="20"/>
        </w:rPr>
        <w:t xml:space="preserve"> (b) </w:t>
      </w:r>
      <w:r w:rsidR="005D3384" w:rsidRPr="004F476D">
        <w:rPr>
          <w:rFonts w:ascii="Times New Roman" w:eastAsia="MS Mincho" w:hAnsi="Times New Roman" w:cs="Times New Roman"/>
          <w:b/>
          <w:sz w:val="20"/>
          <w:szCs w:val="20"/>
        </w:rPr>
        <w:t xml:space="preserve">Multispectral imaging with six wavebands </w:t>
      </w:r>
      <w:r w:rsidRPr="004F476D">
        <w:rPr>
          <w:rFonts w:ascii="Times New Roman" w:eastAsia="MS Mincho" w:hAnsi="Times New Roman" w:cs="Times New Roman"/>
          <w:b/>
          <w:sz w:val="20"/>
          <w:szCs w:val="20"/>
        </w:rPr>
        <w:t xml:space="preserve">(c) </w:t>
      </w:r>
      <w:r w:rsidR="005D3384" w:rsidRPr="004F476D">
        <w:rPr>
          <w:rFonts w:ascii="Times New Roman" w:eastAsia="MS Mincho" w:hAnsi="Times New Roman" w:cs="Times New Roman"/>
          <w:b/>
          <w:sz w:val="20"/>
          <w:szCs w:val="20"/>
        </w:rPr>
        <w:t>Hyperspectral imaging</w:t>
      </w:r>
      <w:r w:rsidRPr="004F476D">
        <w:rPr>
          <w:rFonts w:ascii="Times New Roman" w:eastAsia="MS Mincho" w:hAnsi="Times New Roman" w:cs="Times New Roman"/>
          <w:b/>
          <w:sz w:val="20"/>
          <w:szCs w:val="20"/>
        </w:rPr>
        <w:t xml:space="preserve"> </w:t>
      </w:r>
      <w:r w:rsidR="005D3384" w:rsidRPr="004F476D">
        <w:rPr>
          <w:rFonts w:ascii="Times New Roman" w:eastAsia="MS Mincho" w:hAnsi="Times New Roman" w:cs="Times New Roman"/>
          <w:b/>
          <w:sz w:val="20"/>
          <w:szCs w:val="20"/>
        </w:rPr>
        <w:t>with hundreds of wavebands [</w:t>
      </w:r>
      <w:r w:rsidR="009500EE">
        <w:rPr>
          <w:rFonts w:ascii="Times New Roman" w:eastAsia="MS Mincho" w:hAnsi="Times New Roman" w:cs="Times New Roman"/>
          <w:b/>
          <w:sz w:val="20"/>
          <w:szCs w:val="20"/>
        </w:rPr>
        <w:t>27]</w:t>
      </w:r>
      <w:r w:rsidR="00CE453D">
        <w:rPr>
          <w:rFonts w:ascii="Times New Roman" w:eastAsia="MS Mincho" w:hAnsi="Times New Roman" w:cs="Times New Roman"/>
          <w:b/>
          <w:sz w:val="20"/>
          <w:szCs w:val="20"/>
        </w:rPr>
        <w:t>.</w:t>
      </w:r>
    </w:p>
    <w:bookmarkEnd w:id="3"/>
    <w:p w14:paraId="4E77A96D" w14:textId="77777777" w:rsidR="00815927" w:rsidRPr="004F476D" w:rsidRDefault="00815927" w:rsidP="00E706B8">
      <w:pPr>
        <w:spacing w:after="0" w:line="240" w:lineRule="auto"/>
        <w:ind w:firstLine="567"/>
        <w:jc w:val="both"/>
        <w:rPr>
          <w:rFonts w:ascii="Times New Roman" w:hAnsi="Times New Roman" w:cs="Times New Roman"/>
          <w:sz w:val="20"/>
          <w:szCs w:val="20"/>
          <w:lang w:val="en-US"/>
        </w:rPr>
      </w:pPr>
    </w:p>
    <w:p w14:paraId="58E03C6B" w14:textId="198E5A3F" w:rsidR="005D3384" w:rsidRPr="004F476D" w:rsidRDefault="005D3384" w:rsidP="005D3384">
      <w:pPr>
        <w:pStyle w:val="ListParagraph"/>
        <w:numPr>
          <w:ilvl w:val="0"/>
          <w:numId w:val="22"/>
        </w:numPr>
        <w:spacing w:after="0" w:line="240" w:lineRule="auto"/>
        <w:ind w:left="284" w:hanging="284"/>
        <w:jc w:val="both"/>
        <w:rPr>
          <w:rFonts w:ascii="Times New Roman" w:hAnsi="Times New Roman" w:cs="Times New Roman"/>
          <w:b/>
          <w:bCs/>
          <w:sz w:val="20"/>
          <w:szCs w:val="20"/>
          <w:lang w:val="en-US"/>
        </w:rPr>
      </w:pPr>
      <w:r w:rsidRPr="004F476D">
        <w:rPr>
          <w:rFonts w:ascii="Times New Roman" w:hAnsi="Times New Roman" w:cs="Times New Roman"/>
          <w:b/>
          <w:bCs/>
          <w:sz w:val="20"/>
          <w:szCs w:val="20"/>
          <w:lang w:val="en-US"/>
        </w:rPr>
        <w:t>Thermal imaging camera, Lidar and sonar</w:t>
      </w:r>
    </w:p>
    <w:p w14:paraId="21C23289" w14:textId="04C94824" w:rsidR="005D3384" w:rsidRPr="004F476D" w:rsidRDefault="00D4560F" w:rsidP="002869CB">
      <w:pPr>
        <w:spacing w:after="0" w:line="240" w:lineRule="auto"/>
        <w:ind w:firstLine="284"/>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The plant's water status is closely linked to stomatal conductance. This connection arises from the fact that the leaf temperature is regulated by the rate of transpiration occurring on the leaf surface. Transpiration is an ongoing process whereby water from the leaf evaporates. During transpiration, a significant amount of energy is consumed to convert liquid water into vapor. As a result, this energy is extracted from the leaf, leading to a cooling effect. This phenomenon can be utilized as a means of phenotyping water stress in plants. The</w:t>
      </w:r>
      <w:r w:rsidR="005D3384" w:rsidRPr="004F476D">
        <w:rPr>
          <w:rFonts w:ascii="Times New Roman" w:hAnsi="Times New Roman" w:cs="Times New Roman"/>
          <w:sz w:val="20"/>
          <w:szCs w:val="20"/>
          <w:lang w:val="en-US"/>
        </w:rPr>
        <w:t xml:space="preserve"> thermal infrared imaging camera is commonly utilized for detecting crop water stress due to its ability to provide temperature information of crops [</w:t>
      </w:r>
      <w:r w:rsidR="009500EE">
        <w:rPr>
          <w:rFonts w:ascii="Times New Roman" w:hAnsi="Times New Roman" w:cs="Times New Roman"/>
          <w:sz w:val="20"/>
          <w:szCs w:val="20"/>
          <w:lang w:val="en-US"/>
        </w:rPr>
        <w:t>28</w:t>
      </w:r>
      <w:r w:rsidR="005D3384" w:rsidRPr="004F476D">
        <w:rPr>
          <w:rFonts w:ascii="Times New Roman" w:hAnsi="Times New Roman" w:cs="Times New Roman"/>
          <w:sz w:val="20"/>
          <w:szCs w:val="20"/>
          <w:lang w:val="en-US"/>
        </w:rPr>
        <w:t>]. Thermal infrared imaging enables the estimation of canopy temperature, which is closely associated with plant transpiration and water status. With thermal images, the crop water stress index (CWSI) can be calculated to assess the level of water stress in crops</w:t>
      </w:r>
      <w:r w:rsidRPr="004F476D">
        <w:rPr>
          <w:rFonts w:ascii="Times New Roman" w:hAnsi="Times New Roman" w:cs="Times New Roman"/>
          <w:sz w:val="20"/>
          <w:szCs w:val="20"/>
          <w:lang w:val="en-US"/>
        </w:rPr>
        <w:t>. Thermal remote sensing takes advantage of the principle that all objects above absolute zero (0 K or −273.15˚C or −459˚F) emit radiation within the infrared range, specifically in the wavelength range of 8-14nm.</w:t>
      </w:r>
      <w:r w:rsidR="002869CB" w:rsidRPr="004F476D">
        <w:rPr>
          <w:rFonts w:ascii="Times New Roman" w:hAnsi="Times New Roman" w:cs="Times New Roman"/>
        </w:rPr>
        <w:t xml:space="preserve"> </w:t>
      </w:r>
      <w:r w:rsidR="002869CB" w:rsidRPr="004F476D">
        <w:rPr>
          <w:rFonts w:ascii="Times New Roman" w:hAnsi="Times New Roman" w:cs="Times New Roman"/>
          <w:sz w:val="20"/>
          <w:szCs w:val="20"/>
          <w:lang w:val="en-US"/>
        </w:rPr>
        <w:t xml:space="preserve">LIDAR instruments utilize pulsed laser light to measure variable distances. They typically consist of a laser, a scanner, and GPS for accurate positioning. Airplanes and </w:t>
      </w:r>
      <w:r w:rsidR="002869CB" w:rsidRPr="004F476D">
        <w:rPr>
          <w:rFonts w:ascii="Times New Roman" w:hAnsi="Times New Roman" w:cs="Times New Roman"/>
          <w:sz w:val="20"/>
          <w:szCs w:val="20"/>
          <w:lang w:val="en-US"/>
        </w:rPr>
        <w:lastRenderedPageBreak/>
        <w:t xml:space="preserve">helicopters are frequently employed as platforms for collecting LIDAR data over large geographical areas. There are two main types of LIDAR first one being topographic LIDAR, which employs near-infrared light to measure surface elevations and another one is the bathymetric LIDAR, which uses green light to measure not only surface elevations but also seafloor and riverbed elevations.  This technology can be utilized to assess vegetation height across extensive regions. Sonar can be used for phenotyping this ultrasonic technology enables distance measurement by emitting a sequence of ultrasonic pulses from an ultrasonic transducer towards an object at the speed of sound, and then recording the echo as it returns from the object. The distance between the sensor and the object can be determined by calculating the elapsed time between pulse transmission and echo reception, taking into account the speed of sound. Ultrasonic sensors have been created and assessed for their ability to measure various plant morphological attributes, including plant height, structure, and biomass. </w:t>
      </w:r>
    </w:p>
    <w:p w14:paraId="6997D54E" w14:textId="77777777" w:rsidR="00A062ED" w:rsidRPr="004F476D" w:rsidRDefault="00A062ED" w:rsidP="002869CB">
      <w:pPr>
        <w:spacing w:after="0" w:line="240" w:lineRule="auto"/>
        <w:ind w:firstLine="284"/>
        <w:jc w:val="both"/>
        <w:rPr>
          <w:rFonts w:ascii="Times New Roman" w:hAnsi="Times New Roman" w:cs="Times New Roman"/>
          <w:sz w:val="20"/>
          <w:szCs w:val="20"/>
          <w:lang w:val="en-US"/>
        </w:rPr>
      </w:pPr>
    </w:p>
    <w:p w14:paraId="1644D16B" w14:textId="101AFC96" w:rsidR="005D3384" w:rsidRPr="004F476D" w:rsidRDefault="004A174B" w:rsidP="00A062ED">
      <w:pPr>
        <w:pStyle w:val="ListParagraph"/>
        <w:spacing w:after="0" w:line="240" w:lineRule="auto"/>
        <w:ind w:left="0"/>
        <w:jc w:val="center"/>
        <w:rPr>
          <w:rFonts w:ascii="Times New Roman" w:hAnsi="Times New Roman" w:cs="Times New Roman"/>
          <w:sz w:val="20"/>
          <w:szCs w:val="20"/>
          <w:lang w:val="en-US"/>
        </w:rPr>
      </w:pPr>
      <w:r w:rsidRPr="004F476D">
        <w:rPr>
          <w:rFonts w:ascii="Times New Roman" w:hAnsi="Times New Roman" w:cs="Times New Roman"/>
          <w:noProof/>
          <w:sz w:val="20"/>
          <w:szCs w:val="20"/>
          <w:lang w:val="en-US" w:bidi="hi-IN"/>
        </w:rPr>
        <w:drawing>
          <wp:inline distT="0" distB="0" distL="0" distR="0" wp14:anchorId="7467E3CB" wp14:editId="23257B46">
            <wp:extent cx="4429125" cy="2780907"/>
            <wp:effectExtent l="0" t="0" r="0" b="635"/>
            <wp:docPr id="116604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4363" cy="2796753"/>
                    </a:xfrm>
                    <a:prstGeom prst="rect">
                      <a:avLst/>
                    </a:prstGeom>
                    <a:noFill/>
                  </pic:spPr>
                </pic:pic>
              </a:graphicData>
            </a:graphic>
          </wp:inline>
        </w:drawing>
      </w:r>
    </w:p>
    <w:p w14:paraId="18D89CF7" w14:textId="77777777" w:rsidR="00A062ED" w:rsidRPr="004F476D" w:rsidRDefault="00A062ED" w:rsidP="005D3384">
      <w:pPr>
        <w:pStyle w:val="ListParagraph"/>
        <w:spacing w:after="0" w:line="240" w:lineRule="auto"/>
        <w:ind w:left="284"/>
        <w:jc w:val="both"/>
        <w:rPr>
          <w:rFonts w:ascii="Times New Roman" w:hAnsi="Times New Roman" w:cs="Times New Roman"/>
          <w:sz w:val="20"/>
          <w:szCs w:val="20"/>
          <w:lang w:val="en-US"/>
        </w:rPr>
      </w:pPr>
    </w:p>
    <w:p w14:paraId="1CCC2191" w14:textId="239A0779" w:rsidR="00A062ED" w:rsidRPr="004F476D" w:rsidRDefault="00A062ED" w:rsidP="00A062ED">
      <w:pPr>
        <w:spacing w:after="0" w:line="240" w:lineRule="auto"/>
        <w:jc w:val="center"/>
        <w:rPr>
          <w:rFonts w:ascii="Times New Roman" w:eastAsia="Times New Roman" w:hAnsi="Times New Roman" w:cs="Times New Roman"/>
          <w:b/>
          <w:bCs/>
          <w:sz w:val="20"/>
          <w:szCs w:val="20"/>
          <w:lang w:eastAsia="en-IN"/>
        </w:rPr>
      </w:pPr>
      <w:r w:rsidRPr="004F476D">
        <w:rPr>
          <w:rFonts w:ascii="Times New Roman" w:eastAsia="MS Mincho" w:hAnsi="Times New Roman" w:cs="Times New Roman"/>
          <w:b/>
          <w:sz w:val="20"/>
          <w:szCs w:val="20"/>
        </w:rPr>
        <w:t>Figure 6: (a) thermal imaging (b) lidar scanner (c)</w:t>
      </w:r>
      <w:r w:rsidRPr="004F476D">
        <w:rPr>
          <w:rFonts w:ascii="Times New Roman" w:hAnsi="Times New Roman" w:cs="Times New Roman"/>
        </w:rPr>
        <w:t xml:space="preserve"> </w:t>
      </w:r>
      <w:r w:rsidRPr="004F476D">
        <w:rPr>
          <w:rFonts w:ascii="Times New Roman" w:eastAsia="MS Mincho" w:hAnsi="Times New Roman" w:cs="Times New Roman"/>
          <w:b/>
          <w:sz w:val="20"/>
          <w:szCs w:val="20"/>
        </w:rPr>
        <w:t>lidar point cloud [</w:t>
      </w:r>
      <w:r w:rsidR="009500EE">
        <w:rPr>
          <w:rFonts w:ascii="Times New Roman" w:eastAsia="MS Mincho" w:hAnsi="Times New Roman" w:cs="Times New Roman"/>
          <w:b/>
          <w:sz w:val="20"/>
          <w:szCs w:val="20"/>
        </w:rPr>
        <w:t>29</w:t>
      </w:r>
      <w:r w:rsidRPr="004F476D">
        <w:rPr>
          <w:rFonts w:ascii="Times New Roman" w:eastAsia="MS Mincho" w:hAnsi="Times New Roman" w:cs="Times New Roman"/>
          <w:b/>
          <w:sz w:val="20"/>
          <w:szCs w:val="20"/>
        </w:rPr>
        <w:t>].</w:t>
      </w:r>
    </w:p>
    <w:p w14:paraId="2E350DDF" w14:textId="77777777" w:rsidR="00A062ED" w:rsidRPr="004F476D" w:rsidRDefault="00A062ED" w:rsidP="005D3384">
      <w:pPr>
        <w:pStyle w:val="ListParagraph"/>
        <w:spacing w:after="0" w:line="240" w:lineRule="auto"/>
        <w:ind w:left="284"/>
        <w:jc w:val="both"/>
        <w:rPr>
          <w:rFonts w:ascii="Times New Roman" w:hAnsi="Times New Roman" w:cs="Times New Roman"/>
          <w:sz w:val="20"/>
          <w:szCs w:val="20"/>
          <w:lang w:val="en-US"/>
        </w:rPr>
      </w:pPr>
    </w:p>
    <w:p w14:paraId="2CBCEC98" w14:textId="77777777" w:rsidR="00641889" w:rsidRPr="004F476D" w:rsidRDefault="00641889" w:rsidP="00E706B8">
      <w:pPr>
        <w:spacing w:after="0" w:line="240" w:lineRule="auto"/>
        <w:ind w:firstLine="567"/>
        <w:jc w:val="both"/>
        <w:rPr>
          <w:rFonts w:ascii="Times New Roman" w:hAnsi="Times New Roman" w:cs="Times New Roman"/>
          <w:sz w:val="20"/>
          <w:szCs w:val="20"/>
          <w:lang w:val="en-US"/>
        </w:rPr>
      </w:pPr>
    </w:p>
    <w:p w14:paraId="24029D30" w14:textId="2360C4D0" w:rsidR="004A174B" w:rsidRPr="004F476D" w:rsidRDefault="00A96C99" w:rsidP="00A96C99">
      <w:pPr>
        <w:pStyle w:val="ListParagraph"/>
        <w:spacing w:after="0" w:line="240" w:lineRule="auto"/>
        <w:ind w:left="0"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 xml:space="preserve">International phenomics facility are available at </w:t>
      </w:r>
      <w:proofErr w:type="spellStart"/>
      <w:r w:rsidRPr="004F476D">
        <w:rPr>
          <w:rFonts w:ascii="Times New Roman" w:hAnsi="Times New Roman" w:cs="Times New Roman"/>
          <w:sz w:val="20"/>
          <w:szCs w:val="20"/>
          <w:lang w:val="en-US"/>
        </w:rPr>
        <w:t>Biotron</w:t>
      </w:r>
      <w:proofErr w:type="spellEnd"/>
      <w:r w:rsidRPr="004F476D">
        <w:rPr>
          <w:rFonts w:ascii="Times New Roman" w:hAnsi="Times New Roman" w:cs="Times New Roman"/>
          <w:sz w:val="20"/>
          <w:szCs w:val="20"/>
          <w:lang w:val="en-US"/>
        </w:rPr>
        <w:t xml:space="preserve"> (Canada), </w:t>
      </w:r>
      <w:proofErr w:type="spellStart"/>
      <w:r w:rsidRPr="004F476D">
        <w:rPr>
          <w:rFonts w:ascii="Times New Roman" w:hAnsi="Times New Roman" w:cs="Times New Roman"/>
          <w:sz w:val="20"/>
          <w:szCs w:val="20"/>
          <w:lang w:val="en-US"/>
        </w:rPr>
        <w:t>Juelich</w:t>
      </w:r>
      <w:proofErr w:type="spellEnd"/>
      <w:r w:rsidRPr="004F476D">
        <w:rPr>
          <w:rFonts w:ascii="Times New Roman" w:hAnsi="Times New Roman" w:cs="Times New Roman"/>
          <w:sz w:val="20"/>
          <w:szCs w:val="20"/>
          <w:lang w:val="en-US"/>
        </w:rPr>
        <w:t xml:space="preserve"> Plant Phenotyping Centre (Germany), National Plant Phenomics Centre (UK), New European </w:t>
      </w:r>
      <w:proofErr w:type="spellStart"/>
      <w:r w:rsidRPr="004F476D">
        <w:rPr>
          <w:rFonts w:ascii="Times New Roman" w:hAnsi="Times New Roman" w:cs="Times New Roman"/>
          <w:sz w:val="20"/>
          <w:szCs w:val="20"/>
          <w:lang w:val="en-US"/>
        </w:rPr>
        <w:t>Ecotron</w:t>
      </w:r>
      <w:proofErr w:type="spellEnd"/>
      <w:r w:rsidRPr="004F476D">
        <w:rPr>
          <w:rFonts w:ascii="Times New Roman" w:hAnsi="Times New Roman" w:cs="Times New Roman"/>
          <w:sz w:val="20"/>
          <w:szCs w:val="20"/>
          <w:lang w:val="en-US"/>
        </w:rPr>
        <w:t xml:space="preserve"> of Montpellier, </w:t>
      </w:r>
      <w:proofErr w:type="spellStart"/>
      <w:r w:rsidRPr="004F476D">
        <w:rPr>
          <w:rFonts w:ascii="Times New Roman" w:hAnsi="Times New Roman" w:cs="Times New Roman"/>
          <w:sz w:val="20"/>
          <w:szCs w:val="20"/>
          <w:lang w:val="en-US"/>
        </w:rPr>
        <w:t>Phenophyte</w:t>
      </w:r>
      <w:proofErr w:type="spellEnd"/>
      <w:r w:rsidRPr="004F476D">
        <w:rPr>
          <w:rFonts w:ascii="Times New Roman" w:hAnsi="Times New Roman" w:cs="Times New Roman"/>
          <w:sz w:val="20"/>
          <w:szCs w:val="20"/>
          <w:lang w:val="en-US"/>
        </w:rPr>
        <w:t xml:space="preserve">; The Australian Plant </w:t>
      </w:r>
      <w:proofErr w:type="spellStart"/>
      <w:r w:rsidRPr="004F476D">
        <w:rPr>
          <w:rFonts w:ascii="Times New Roman" w:hAnsi="Times New Roman" w:cs="Times New Roman"/>
          <w:sz w:val="20"/>
          <w:szCs w:val="20"/>
          <w:lang w:val="en-US"/>
        </w:rPr>
        <w:t>Phenomics</w:t>
      </w:r>
      <w:proofErr w:type="spellEnd"/>
      <w:r w:rsidRPr="004F476D">
        <w:rPr>
          <w:rFonts w:ascii="Times New Roman" w:hAnsi="Times New Roman" w:cs="Times New Roman"/>
          <w:sz w:val="20"/>
          <w:szCs w:val="20"/>
          <w:lang w:val="en-US"/>
        </w:rPr>
        <w:t xml:space="preserve"> Facility, </w:t>
      </w:r>
      <w:proofErr w:type="spellStart"/>
      <w:r w:rsidRPr="004F476D">
        <w:rPr>
          <w:rFonts w:ascii="Times New Roman" w:hAnsi="Times New Roman" w:cs="Times New Roman"/>
          <w:sz w:val="20"/>
          <w:szCs w:val="20"/>
          <w:lang w:val="en-US"/>
        </w:rPr>
        <w:t>eningen</w:t>
      </w:r>
      <w:proofErr w:type="spellEnd"/>
      <w:r w:rsidRPr="004F476D">
        <w:rPr>
          <w:rFonts w:ascii="Times New Roman" w:hAnsi="Times New Roman" w:cs="Times New Roman"/>
          <w:sz w:val="20"/>
          <w:szCs w:val="20"/>
          <w:lang w:val="en-US"/>
        </w:rPr>
        <w:t xml:space="preserve"> University Phenotyping etc. There </w:t>
      </w:r>
      <w:proofErr w:type="gramStart"/>
      <w:r w:rsidRPr="004F476D">
        <w:rPr>
          <w:rFonts w:ascii="Times New Roman" w:hAnsi="Times New Roman" w:cs="Times New Roman"/>
          <w:sz w:val="20"/>
          <w:szCs w:val="20"/>
          <w:lang w:val="en-US"/>
        </w:rPr>
        <w:t>are</w:t>
      </w:r>
      <w:proofErr w:type="gramEnd"/>
      <w:r w:rsidRPr="004F476D">
        <w:rPr>
          <w:rFonts w:ascii="Times New Roman" w:hAnsi="Times New Roman" w:cs="Times New Roman"/>
          <w:sz w:val="20"/>
          <w:szCs w:val="20"/>
          <w:lang w:val="en-US"/>
        </w:rPr>
        <w:t xml:space="preserve"> various Plant phenotyping network available internationally some examples are The International Plant Phenotyping Network (IPPN), The Nordic Plant Phenotyping Network (NPPN), The European Plant Phenotyping Network (EPPN), The German Plant Phenotyping Network (DPPN), The UK Plant Phenomics Network (UK-PPN), The </w:t>
      </w:r>
      <w:proofErr w:type="spellStart"/>
      <w:r w:rsidRPr="004F476D">
        <w:rPr>
          <w:rFonts w:ascii="Times New Roman" w:hAnsi="Times New Roman" w:cs="Times New Roman"/>
          <w:sz w:val="20"/>
          <w:szCs w:val="20"/>
          <w:lang w:val="en-US"/>
        </w:rPr>
        <w:t>Austrain</w:t>
      </w:r>
      <w:proofErr w:type="spellEnd"/>
      <w:r w:rsidRPr="004F476D">
        <w:rPr>
          <w:rFonts w:ascii="Times New Roman" w:hAnsi="Times New Roman" w:cs="Times New Roman"/>
          <w:sz w:val="20"/>
          <w:szCs w:val="20"/>
          <w:lang w:val="en-US"/>
        </w:rPr>
        <w:t xml:space="preserve"> Plant Phenotyping Network (APPN) etc. </w:t>
      </w:r>
    </w:p>
    <w:p w14:paraId="0F9A9802" w14:textId="77777777" w:rsidR="00A96C99" w:rsidRPr="004F476D" w:rsidRDefault="00A96C99" w:rsidP="00A96C99">
      <w:pPr>
        <w:pStyle w:val="ListParagraph"/>
        <w:spacing w:after="0" w:line="240" w:lineRule="auto"/>
        <w:ind w:left="0" w:firstLine="567"/>
        <w:jc w:val="both"/>
        <w:rPr>
          <w:rFonts w:ascii="Times New Roman" w:hAnsi="Times New Roman" w:cs="Times New Roman"/>
          <w:sz w:val="20"/>
          <w:szCs w:val="20"/>
          <w:lang w:val="en-US"/>
        </w:rPr>
      </w:pPr>
    </w:p>
    <w:p w14:paraId="6D24D4E4" w14:textId="5035336C" w:rsidR="00641889" w:rsidRPr="004F476D" w:rsidRDefault="00641889" w:rsidP="00E706B8">
      <w:pPr>
        <w:pStyle w:val="ListParagraph"/>
        <w:numPr>
          <w:ilvl w:val="0"/>
          <w:numId w:val="2"/>
        </w:numPr>
        <w:spacing w:after="0" w:line="240" w:lineRule="auto"/>
        <w:ind w:left="0" w:firstLine="567"/>
        <w:jc w:val="center"/>
        <w:rPr>
          <w:rFonts w:ascii="Times New Roman" w:hAnsi="Times New Roman" w:cs="Times New Roman"/>
          <w:b/>
          <w:bCs/>
          <w:sz w:val="20"/>
          <w:szCs w:val="20"/>
          <w:lang w:val="en-US"/>
        </w:rPr>
      </w:pPr>
      <w:r w:rsidRPr="004F476D">
        <w:rPr>
          <w:rFonts w:ascii="Times New Roman" w:hAnsi="Times New Roman" w:cs="Times New Roman"/>
          <w:b/>
          <w:bCs/>
          <w:sz w:val="20"/>
          <w:szCs w:val="20"/>
          <w:lang w:val="en-US"/>
        </w:rPr>
        <w:t>CONCLUSION</w:t>
      </w:r>
    </w:p>
    <w:p w14:paraId="4B23ABC2" w14:textId="77777777" w:rsidR="007D0F70" w:rsidRPr="004F476D" w:rsidRDefault="007D0F70" w:rsidP="00E706B8">
      <w:pPr>
        <w:spacing w:after="0" w:line="240" w:lineRule="auto"/>
        <w:ind w:firstLine="567"/>
        <w:jc w:val="both"/>
        <w:rPr>
          <w:rFonts w:ascii="Times New Roman" w:hAnsi="Times New Roman" w:cs="Times New Roman"/>
          <w:sz w:val="20"/>
          <w:szCs w:val="20"/>
          <w:lang w:val="en-US"/>
        </w:rPr>
      </w:pPr>
    </w:p>
    <w:p w14:paraId="497668B6" w14:textId="6BC65558" w:rsidR="00B84C77" w:rsidRPr="004F476D" w:rsidRDefault="004A174B" w:rsidP="004A174B">
      <w:pPr>
        <w:spacing w:after="0" w:line="240" w:lineRule="auto"/>
        <w:ind w:firstLine="567"/>
        <w:jc w:val="both"/>
        <w:rPr>
          <w:rFonts w:ascii="Times New Roman" w:hAnsi="Times New Roman" w:cs="Times New Roman"/>
          <w:sz w:val="20"/>
          <w:szCs w:val="20"/>
          <w:lang w:val="en-US"/>
        </w:rPr>
      </w:pPr>
      <w:r w:rsidRPr="004F476D">
        <w:rPr>
          <w:rFonts w:ascii="Times New Roman" w:hAnsi="Times New Roman" w:cs="Times New Roman"/>
          <w:sz w:val="20"/>
          <w:szCs w:val="20"/>
          <w:lang w:val="en-US"/>
        </w:rPr>
        <w:t>Advancements in crop improvement, particularly the first green revolution, resulted in a remarkable doubling of crop yields within a span of less than 50 years. To achieve a similar doubling of yield over the next 50 years, Next Generation Genotyping and Next Generation Phenotyping approaches are necessary. Field-based phenotyping has the potential to double productivity, but certain requirements must be addressed to meet the demands of high-throughput phenotyping. In terms of research needs, experts suggest that the current application of high-throughput sensing technologies in crop phenotyping is in the "discovery phase." Extensive research is needed to further develop this field and ensure that technological tools can be practically implemented for high-throughput crop phenotyping. Additionally, different crops are at varying stages of readiness to adopt phenotyping technologies, indicating the need for tailored approaches for different crop species. Regarding communication needs, the scientific and engineering communities involved in high-throughput crop phenotyping are diverse and affiliated with various organizations such as the American Society of Plant Biologists (ASPB), National Association of Plant Breeders (NAPB), American Society of Agronomy (ASA), Crop Science Society of America (CSSA), Institute of Electrical and Electronics Engineers (IEEE), American Society of Agricultural and Biological Engineers (ASABE), International Society of Precision Agriculture (ISPA), and American Society for Horticultural Science (ASHS), among others. Effective communication and collaboration among these organizations are crucial for advancing high-throughput crop phenotyping</w:t>
      </w:r>
    </w:p>
    <w:p w14:paraId="1BD48877" w14:textId="3A9E9FEE" w:rsidR="00641889" w:rsidRDefault="00641889" w:rsidP="00E706B8">
      <w:pPr>
        <w:spacing w:after="0" w:line="240" w:lineRule="auto"/>
        <w:ind w:firstLine="567"/>
        <w:jc w:val="center"/>
        <w:rPr>
          <w:rFonts w:ascii="Times New Roman" w:eastAsia="MS Mincho" w:hAnsi="Times New Roman" w:cs="Times New Roman"/>
          <w:b/>
          <w:bCs/>
          <w:sz w:val="20"/>
          <w:szCs w:val="20"/>
        </w:rPr>
      </w:pPr>
      <w:r w:rsidRPr="004F476D">
        <w:rPr>
          <w:rFonts w:ascii="Times New Roman" w:eastAsia="MS Mincho" w:hAnsi="Times New Roman" w:cs="Times New Roman"/>
          <w:b/>
          <w:bCs/>
          <w:sz w:val="20"/>
          <w:szCs w:val="20"/>
        </w:rPr>
        <w:t>REFERENCES</w:t>
      </w:r>
    </w:p>
    <w:p w14:paraId="15BB0A78" w14:textId="77777777" w:rsidR="009500EE" w:rsidRDefault="009500EE" w:rsidP="00E706B8">
      <w:pPr>
        <w:spacing w:after="0" w:line="240" w:lineRule="auto"/>
        <w:ind w:firstLine="567"/>
        <w:jc w:val="center"/>
        <w:rPr>
          <w:rFonts w:ascii="Times New Roman" w:eastAsia="MS Mincho" w:hAnsi="Times New Roman" w:cs="Times New Roman"/>
          <w:b/>
          <w:bCs/>
          <w:sz w:val="20"/>
          <w:szCs w:val="20"/>
        </w:rPr>
      </w:pPr>
    </w:p>
    <w:p w14:paraId="4C1A4064" w14:textId="77777777" w:rsidR="009500EE" w:rsidRDefault="009500EE" w:rsidP="009500EE">
      <w:pPr>
        <w:pStyle w:val="references"/>
        <w:numPr>
          <w:ilvl w:val="0"/>
          <w:numId w:val="14"/>
        </w:numPr>
        <w:spacing w:after="0" w:line="240" w:lineRule="auto"/>
      </w:pPr>
      <w:bookmarkStart w:id="4" w:name="_Hlk138519655"/>
      <w:r>
        <w:t>Johannsen, W. (1911). The genotype conception of heredity. Am. Nat. 45:129–159.</w:t>
      </w:r>
    </w:p>
    <w:p w14:paraId="262522C2" w14:textId="77777777" w:rsidR="009500EE" w:rsidRDefault="009500EE" w:rsidP="009500EE">
      <w:pPr>
        <w:pStyle w:val="references"/>
        <w:numPr>
          <w:ilvl w:val="0"/>
          <w:numId w:val="14"/>
        </w:numPr>
        <w:spacing w:after="0" w:line="240" w:lineRule="auto"/>
      </w:pPr>
      <w:r>
        <w:t>Davis, B.D. (1949). The isolation of biochemically deficient mutants of bacteria by means of penicillin. Proc. Natl. Acad. Sci. U S A 35:1–10.</w:t>
      </w:r>
    </w:p>
    <w:p w14:paraId="79B32B90" w14:textId="77777777" w:rsidR="009500EE" w:rsidRDefault="009500EE" w:rsidP="009500EE">
      <w:pPr>
        <w:pStyle w:val="references"/>
        <w:numPr>
          <w:ilvl w:val="0"/>
          <w:numId w:val="14"/>
        </w:numPr>
        <w:spacing w:after="0" w:line="240" w:lineRule="auto"/>
      </w:pPr>
      <w:r>
        <w:t>Deery, D.M., Rebetzke, G.J., Jimenez-Berni, J.A., James, R.A., Condon, A.G., Bovill, W.D., Hutchinson, P., Scarrow, J., Davy, R., and Furbank, R.T. (2016). Methodology for high-throughput field phenotyping of canopy temperature using airborne thermography. Front. Plant Sci. 7:1808.</w:t>
      </w:r>
    </w:p>
    <w:p w14:paraId="699B3144" w14:textId="77777777" w:rsidR="009500EE" w:rsidRDefault="009500EE" w:rsidP="009500EE">
      <w:pPr>
        <w:pStyle w:val="references"/>
        <w:numPr>
          <w:ilvl w:val="0"/>
          <w:numId w:val="14"/>
        </w:numPr>
        <w:spacing w:after="0" w:line="240" w:lineRule="auto"/>
      </w:pPr>
      <w:r>
        <w:t>Furbank, R.T., and Tester, M. (2011). Phenomics-technologies to relieve the phenotyping bottleneck. Trends Plant Sci. 16:635–644.</w:t>
      </w:r>
    </w:p>
    <w:p w14:paraId="01BDE495" w14:textId="77777777" w:rsidR="009500EE" w:rsidRDefault="009500EE" w:rsidP="009500EE">
      <w:pPr>
        <w:pStyle w:val="references"/>
        <w:numPr>
          <w:ilvl w:val="0"/>
          <w:numId w:val="14"/>
        </w:numPr>
        <w:spacing w:after="0" w:line="240" w:lineRule="auto"/>
      </w:pPr>
      <w:r>
        <w:t>Chen, D., Neumann, K., Friedel, S., Kilian, B., Chen, M., Altmann, T., and Klukas, C. (2014). Dissecting the phenotypic components of crop plant growth and drought responses based on high-throughput image analysis. Plant Cell 26:4636–4655.\</w:t>
      </w:r>
    </w:p>
    <w:p w14:paraId="6CF6EAAA" w14:textId="77777777" w:rsidR="009500EE" w:rsidRDefault="009500EE" w:rsidP="009500EE">
      <w:pPr>
        <w:pStyle w:val="references"/>
        <w:numPr>
          <w:ilvl w:val="0"/>
          <w:numId w:val="14"/>
        </w:numPr>
        <w:spacing w:after="0" w:line="240" w:lineRule="auto"/>
      </w:pPr>
      <w:r>
        <w:t>Ruiz-Garcia, L., Lunadei, L., Barreiro, P., and Robla, J.I. (2009). A review of wireless sensor technologies and applications in agriculture and food industry: state of the art and current trends. Sensors 9:4728–4750.</w:t>
      </w:r>
    </w:p>
    <w:p w14:paraId="579560FD" w14:textId="77777777" w:rsidR="009500EE" w:rsidRDefault="009500EE" w:rsidP="009500EE">
      <w:pPr>
        <w:pStyle w:val="references"/>
        <w:numPr>
          <w:ilvl w:val="0"/>
          <w:numId w:val="14"/>
        </w:numPr>
        <w:spacing w:after="0" w:line="240" w:lineRule="auto"/>
      </w:pPr>
      <w:r>
        <w:t>Orgogozo, V., Morizot, B., and Martin, A. (2015). The differential view of genotype–phenotype relationships. Front. Genet. 6:179.</w:t>
      </w:r>
    </w:p>
    <w:p w14:paraId="18B6A39A" w14:textId="77777777" w:rsidR="009500EE" w:rsidRDefault="009500EE" w:rsidP="009500EE">
      <w:pPr>
        <w:pStyle w:val="references"/>
        <w:numPr>
          <w:ilvl w:val="0"/>
          <w:numId w:val="14"/>
        </w:numPr>
        <w:spacing w:after="0" w:line="240" w:lineRule="auto"/>
      </w:pPr>
      <w:r>
        <w:t>Kaul, S., Koo, H.L., Jenkins, J., Rizzo, M., Rooney, T., Tallon, L.J., Feldblyum, T., Nierman, W., Benito, M.I., Lin, X.Y., et al. (2000). Analysis of the genome sequence of the flowering plant Arabidopsis thaliana. Nature 408:796–815.</w:t>
      </w:r>
    </w:p>
    <w:p w14:paraId="31AF0EAF" w14:textId="77777777" w:rsidR="009500EE" w:rsidRDefault="009500EE" w:rsidP="009500EE">
      <w:pPr>
        <w:pStyle w:val="references"/>
        <w:numPr>
          <w:ilvl w:val="0"/>
          <w:numId w:val="14"/>
        </w:numPr>
        <w:spacing w:after="0" w:line="240" w:lineRule="auto"/>
      </w:pPr>
      <w:r>
        <w:lastRenderedPageBreak/>
        <w:t>Granier, C., Aguirrezabal, L., Chenu, K., Cookson, S. J., Dauzat, M., Hamard, P., ... &amp; Tardieu, F. (2006). PHENOPSIS, an automated platform for reproducible phenotyping of plant responses to soil water deficit in Arabidopsis thaliana permitted the identification of an accession with low sensitivity to soil water deficit. New phytologist, 169(3), 623-635.</w:t>
      </w:r>
    </w:p>
    <w:p w14:paraId="23D30AD8" w14:textId="77777777" w:rsidR="009500EE" w:rsidRDefault="009500EE" w:rsidP="009500EE">
      <w:pPr>
        <w:pStyle w:val="references"/>
        <w:numPr>
          <w:ilvl w:val="0"/>
          <w:numId w:val="14"/>
        </w:numPr>
        <w:spacing w:after="0" w:line="240" w:lineRule="auto"/>
      </w:pPr>
      <w:r>
        <w:t>Fabre, J., Dauzat, M., Negre, V., Wuyts, N., Tireau, A., Gennari, E., Neveu, P., Tisne´ , S., Massonnet, C., Hummel, I., et al. (2011). PHENOPSIS DB: an information system for Arabidopsis thaliana phenotypic data in an environmental context. BMC Plant Biol. 11:77.</w:t>
      </w:r>
    </w:p>
    <w:p w14:paraId="7253CDF1" w14:textId="77777777" w:rsidR="009500EE" w:rsidRDefault="009500EE" w:rsidP="009500EE">
      <w:pPr>
        <w:pStyle w:val="references"/>
        <w:numPr>
          <w:ilvl w:val="0"/>
          <w:numId w:val="14"/>
        </w:numPr>
        <w:spacing w:after="0" w:line="240" w:lineRule="auto"/>
      </w:pPr>
      <w:r>
        <w:t>Walter, A., Scharr, H., Gilmer, F., Zierer, R., Nagel, K.A., Ernst, M., Wiese, A., Virnich, O., Christ, M.M., Uhlig, B., et al. (2007). Dynamics of seedling growth acclimation towards altered light conditions can be quantified via GROWSCREEN: a setup and procedure designed for rapid optical phenotyping of different plant species. New Phytol. 174:447–455.</w:t>
      </w:r>
    </w:p>
    <w:p w14:paraId="14108FB6" w14:textId="77777777" w:rsidR="009500EE" w:rsidRDefault="009500EE" w:rsidP="009500EE">
      <w:pPr>
        <w:pStyle w:val="references"/>
        <w:numPr>
          <w:ilvl w:val="0"/>
          <w:numId w:val="14"/>
        </w:numPr>
        <w:spacing w:after="0" w:line="240" w:lineRule="auto"/>
      </w:pPr>
      <w:r>
        <w:t>Jansen, M., Gilmer, F., Biskup, B., Nagel, K.A., Rascher, U., Fischbach, A., Briem, S., Dreissen, G., Tittmann, S., Braun, S., et al. (2009). Simultaneous phenotyping of leaf growth and chlorophyll fluorescence via GROWSCREEN FLUORO allows detection of stress tolerance in Arabidopsis thaliana and other rosette plants. Funct. Plant Biol. 36:902–914.</w:t>
      </w:r>
    </w:p>
    <w:p w14:paraId="5A660804" w14:textId="77777777" w:rsidR="009500EE" w:rsidRDefault="009500EE" w:rsidP="009500EE">
      <w:pPr>
        <w:pStyle w:val="references"/>
        <w:numPr>
          <w:ilvl w:val="0"/>
          <w:numId w:val="14"/>
        </w:numPr>
        <w:spacing w:after="0" w:line="240" w:lineRule="auto"/>
      </w:pPr>
      <w:r>
        <w:t>Flood, P.J., Kruijer, W., Schnabel, S.K., van der Schoor, R., Jalink, H., Snel, J.F., Harbinson, J., and Aarts, M.G. (2016). Phenomics for photosynthesis, growth and reflectance in Arabidopsis thaliana reveals circadian and long-term fluctuations in heritability. Plant Methods 12:14.</w:t>
      </w:r>
    </w:p>
    <w:p w14:paraId="174E658F" w14:textId="77777777" w:rsidR="009500EE" w:rsidRDefault="009500EE" w:rsidP="009500EE">
      <w:pPr>
        <w:pStyle w:val="references"/>
        <w:numPr>
          <w:ilvl w:val="0"/>
          <w:numId w:val="14"/>
        </w:numPr>
        <w:spacing w:after="0" w:line="240" w:lineRule="auto"/>
      </w:pPr>
      <w:r>
        <w:t>Awlia, M., Nigro, A., Fajkus, J., Schmoeckel, S.M., Negrao, S., Santelia, D., Trtilek, M., Tester, M., Julkowska, M.M., and Panzarova, K. (2016). High-throughput non-destructive phenotyping of traits that contribute to salinity tolerance in Arabidopsis thaliana. Front. Plant Sci. 7:1414.</w:t>
      </w:r>
    </w:p>
    <w:p w14:paraId="359AEC34" w14:textId="77777777" w:rsidR="009500EE" w:rsidRDefault="009500EE" w:rsidP="009500EE">
      <w:pPr>
        <w:pStyle w:val="references"/>
        <w:numPr>
          <w:ilvl w:val="0"/>
          <w:numId w:val="14"/>
        </w:numPr>
        <w:spacing w:after="0" w:line="240" w:lineRule="auto"/>
      </w:pPr>
      <w:r>
        <w:t>Haworth, M., Marino, G., and Centritto, M. (2018). An introductory guide to gas exchange analysis of photosynthesis and its application to plant phenotyping and precision irrigation to enhance water use efficiency. J. Water Clim. Change 9:786–808.</w:t>
      </w:r>
    </w:p>
    <w:p w14:paraId="136444C9" w14:textId="77777777" w:rsidR="009500EE" w:rsidRDefault="009500EE" w:rsidP="009500EE">
      <w:pPr>
        <w:pStyle w:val="references"/>
        <w:numPr>
          <w:ilvl w:val="0"/>
          <w:numId w:val="14"/>
        </w:numPr>
        <w:spacing w:after="0" w:line="240" w:lineRule="auto"/>
        <w:rPr>
          <w:shd w:val="clear" w:color="auto" w:fill="FFFFFF"/>
        </w:rPr>
      </w:pPr>
      <w:r>
        <w:rPr>
          <w:shd w:val="clear" w:color="auto" w:fill="FFFFFF"/>
        </w:rPr>
        <w:t>Liebisch, F., Kirchgessner, N., Schneider, D., Walter, A., &amp; Hund, A. (2015). Remote, aerial phenotyping of maize traits with a mobile multi-sensor approach. </w:t>
      </w:r>
      <w:r>
        <w:rPr>
          <w:i/>
          <w:iCs/>
          <w:shd w:val="clear" w:color="auto" w:fill="FFFFFF"/>
        </w:rPr>
        <w:t>Plant methods</w:t>
      </w:r>
      <w:r>
        <w:rPr>
          <w:shd w:val="clear" w:color="auto" w:fill="FFFFFF"/>
        </w:rPr>
        <w:t>, </w:t>
      </w:r>
      <w:r>
        <w:rPr>
          <w:i/>
          <w:iCs/>
          <w:shd w:val="clear" w:color="auto" w:fill="FFFFFF"/>
        </w:rPr>
        <w:t>11</w:t>
      </w:r>
      <w:r>
        <w:rPr>
          <w:shd w:val="clear" w:color="auto" w:fill="FFFFFF"/>
        </w:rPr>
        <w:t>(1), 1-20.</w:t>
      </w:r>
    </w:p>
    <w:p w14:paraId="08AF87D9" w14:textId="77777777" w:rsidR="009500EE" w:rsidRDefault="009500EE" w:rsidP="009500EE">
      <w:pPr>
        <w:pStyle w:val="references"/>
        <w:numPr>
          <w:ilvl w:val="0"/>
          <w:numId w:val="14"/>
        </w:numPr>
        <w:spacing w:after="0" w:line="240" w:lineRule="auto"/>
        <w:rPr>
          <w:shd w:val="clear" w:color="auto" w:fill="FFFFFF"/>
        </w:rPr>
      </w:pPr>
      <w:r>
        <w:rPr>
          <w:shd w:val="clear" w:color="auto" w:fill="FFFFFF"/>
        </w:rPr>
        <w:t>Chapman, S. C., Merz, T., Chan, A., Jackway, P., Hrabar, S., Dreccer, M. F., ... &amp; Jimenez-Berni, J. (2014). Pheno-copter: a low-altitude, autonomous remote-sensing robotic helicopter for high-throughput field-based phenotyping. </w:t>
      </w:r>
      <w:r>
        <w:rPr>
          <w:i/>
          <w:iCs/>
          <w:shd w:val="clear" w:color="auto" w:fill="FFFFFF"/>
        </w:rPr>
        <w:t>Agronomy</w:t>
      </w:r>
      <w:r>
        <w:rPr>
          <w:shd w:val="clear" w:color="auto" w:fill="FFFFFF"/>
        </w:rPr>
        <w:t>, </w:t>
      </w:r>
      <w:r>
        <w:rPr>
          <w:i/>
          <w:iCs/>
          <w:shd w:val="clear" w:color="auto" w:fill="FFFFFF"/>
        </w:rPr>
        <w:t>4</w:t>
      </w:r>
      <w:r>
        <w:rPr>
          <w:shd w:val="clear" w:color="auto" w:fill="FFFFFF"/>
        </w:rPr>
        <w:t>(2), 279-301.</w:t>
      </w:r>
    </w:p>
    <w:p w14:paraId="23D8F595" w14:textId="77777777" w:rsidR="009500EE" w:rsidRPr="009500EE" w:rsidRDefault="009500EE" w:rsidP="009500EE">
      <w:pPr>
        <w:pStyle w:val="references"/>
        <w:numPr>
          <w:ilvl w:val="0"/>
          <w:numId w:val="14"/>
        </w:numPr>
        <w:rPr>
          <w:shd w:val="clear" w:color="auto" w:fill="FFFFFF"/>
        </w:rPr>
      </w:pPr>
      <w:r w:rsidRPr="009500EE">
        <w:rPr>
          <w:shd w:val="clear" w:color="auto" w:fill="FFFFFF"/>
        </w:rPr>
        <w:t>Colaço, A. F., Molin, J. P., Rosell-Polo, J. R., and Escolà, A. (2018). Application of light detection and ranging and ultrasonic sensors to high-throughput phenotyping and precision horticulture: current status and challenges. Hortic. Res. 5:35. doi: 10.1038/s41438-018-0043-0</w:t>
      </w:r>
    </w:p>
    <w:p w14:paraId="52A55B9F" w14:textId="77777777" w:rsidR="009500EE" w:rsidRDefault="009500EE" w:rsidP="009500EE">
      <w:pPr>
        <w:pStyle w:val="references"/>
        <w:numPr>
          <w:ilvl w:val="0"/>
          <w:numId w:val="14"/>
        </w:numPr>
        <w:spacing w:after="0" w:line="240" w:lineRule="auto"/>
        <w:rPr>
          <w:shd w:val="clear" w:color="auto" w:fill="FFFFFF"/>
        </w:rPr>
      </w:pPr>
      <w:bookmarkStart w:id="5" w:name="_Hlk138714496"/>
      <w:r>
        <w:rPr>
          <w:shd w:val="clear" w:color="auto" w:fill="FFFFFF"/>
        </w:rPr>
        <w:t>Qiu, Q., Sun, N., Bai, H., Wang, N., Fan, Z., Wang, Y., ... &amp; Cong, Y. (2019). Field-based high-throughput phenotyping for maize plant using 3D LiDAR point cloud generated with a “Phenomobile”. </w:t>
      </w:r>
      <w:r>
        <w:rPr>
          <w:i/>
          <w:iCs/>
          <w:shd w:val="clear" w:color="auto" w:fill="FFFFFF"/>
        </w:rPr>
        <w:t>Frontiers in plant science</w:t>
      </w:r>
      <w:r>
        <w:rPr>
          <w:shd w:val="clear" w:color="auto" w:fill="FFFFFF"/>
        </w:rPr>
        <w:t>, </w:t>
      </w:r>
      <w:r>
        <w:rPr>
          <w:i/>
          <w:iCs/>
          <w:shd w:val="clear" w:color="auto" w:fill="FFFFFF"/>
        </w:rPr>
        <w:t>10</w:t>
      </w:r>
      <w:r>
        <w:rPr>
          <w:shd w:val="clear" w:color="auto" w:fill="FFFFFF"/>
        </w:rPr>
        <w:t>, 554.</w:t>
      </w:r>
    </w:p>
    <w:p w14:paraId="2CB8B7BB" w14:textId="77777777" w:rsidR="009500EE" w:rsidRDefault="009500EE" w:rsidP="009500EE">
      <w:pPr>
        <w:pStyle w:val="references"/>
        <w:numPr>
          <w:ilvl w:val="0"/>
          <w:numId w:val="14"/>
        </w:numPr>
        <w:spacing w:after="0" w:line="240" w:lineRule="auto"/>
        <w:rPr>
          <w:shd w:val="clear" w:color="auto" w:fill="FFFFFF"/>
        </w:rPr>
      </w:pPr>
      <w:r>
        <w:rPr>
          <w:shd w:val="clear" w:color="auto" w:fill="FFFFFF"/>
        </w:rPr>
        <w:t>Beauchên</w:t>
      </w:r>
      <w:bookmarkEnd w:id="5"/>
      <w:r>
        <w:rPr>
          <w:shd w:val="clear" w:color="auto" w:fill="FFFFFF"/>
        </w:rPr>
        <w:t>e, K., Leroy, F., Fournier, A., Huet, C., Bonnefoy, M., Lorgeou, J., ... &amp; Cohan, J. P. (2019). Management and characterization of abiotic stress via PhénoField®, a high-throughput field phenotyping platform. </w:t>
      </w:r>
      <w:r>
        <w:rPr>
          <w:i/>
          <w:iCs/>
          <w:shd w:val="clear" w:color="auto" w:fill="FFFFFF"/>
        </w:rPr>
        <w:t>Frontiers in plant science</w:t>
      </w:r>
      <w:r>
        <w:rPr>
          <w:shd w:val="clear" w:color="auto" w:fill="FFFFFF"/>
        </w:rPr>
        <w:t>, </w:t>
      </w:r>
      <w:r>
        <w:rPr>
          <w:i/>
          <w:iCs/>
          <w:shd w:val="clear" w:color="auto" w:fill="FFFFFF"/>
        </w:rPr>
        <w:t>10</w:t>
      </w:r>
      <w:r>
        <w:rPr>
          <w:shd w:val="clear" w:color="auto" w:fill="FFFFFF"/>
        </w:rPr>
        <w:t>, 904.</w:t>
      </w:r>
    </w:p>
    <w:p w14:paraId="456D5A06" w14:textId="77777777" w:rsidR="009500EE" w:rsidRDefault="009500EE" w:rsidP="009500EE">
      <w:pPr>
        <w:pStyle w:val="references"/>
        <w:numPr>
          <w:ilvl w:val="0"/>
          <w:numId w:val="14"/>
        </w:numPr>
        <w:spacing w:after="0" w:line="240" w:lineRule="auto"/>
        <w:rPr>
          <w:shd w:val="clear" w:color="auto" w:fill="FFFFFF"/>
        </w:rPr>
      </w:pPr>
      <w:r>
        <w:rPr>
          <w:shd w:val="clear" w:color="auto" w:fill="FFFFFF"/>
        </w:rPr>
        <w:t>Virlet, N., Sabermanesh, K., Sadeghi-Tehran, P., &amp; Hawkesford, M. J. (2016). Field Scanalyzer: An automated robotic field phenotyping platform for detailed crop monitoring. </w:t>
      </w:r>
      <w:r>
        <w:rPr>
          <w:i/>
          <w:iCs/>
          <w:shd w:val="clear" w:color="auto" w:fill="FFFFFF"/>
        </w:rPr>
        <w:t>Functional Plant Biology</w:t>
      </w:r>
      <w:r>
        <w:rPr>
          <w:shd w:val="clear" w:color="auto" w:fill="FFFFFF"/>
        </w:rPr>
        <w:t>, </w:t>
      </w:r>
      <w:r>
        <w:rPr>
          <w:i/>
          <w:iCs/>
          <w:shd w:val="clear" w:color="auto" w:fill="FFFFFF"/>
        </w:rPr>
        <w:t>44</w:t>
      </w:r>
      <w:r>
        <w:rPr>
          <w:shd w:val="clear" w:color="auto" w:fill="FFFFFF"/>
        </w:rPr>
        <w:t>(1), 143-153.</w:t>
      </w:r>
    </w:p>
    <w:p w14:paraId="0F2370E6" w14:textId="77777777" w:rsidR="009500EE" w:rsidRDefault="009500EE" w:rsidP="009500EE">
      <w:pPr>
        <w:pStyle w:val="references"/>
        <w:numPr>
          <w:ilvl w:val="0"/>
          <w:numId w:val="14"/>
        </w:numPr>
        <w:spacing w:after="0" w:line="240" w:lineRule="auto"/>
      </w:pPr>
      <w:r>
        <w:t>Holman, F.H., Riche, A.B., Michalski, A., Castle, M., Wooster, M.J., Hawkesford, M.J., 2016. High throughput field phenotyping of wheat plant height and growth rate in field plot trials using UAV based remote sensing. Remote Sens. 8 (12), 1031.</w:t>
      </w:r>
    </w:p>
    <w:p w14:paraId="5DAEDD6D" w14:textId="77777777" w:rsidR="009500EE" w:rsidRDefault="009500EE" w:rsidP="009500EE">
      <w:pPr>
        <w:pStyle w:val="references"/>
        <w:numPr>
          <w:ilvl w:val="0"/>
          <w:numId w:val="14"/>
        </w:numPr>
        <w:spacing w:after="0" w:line="240" w:lineRule="auto"/>
      </w:pPr>
      <w:r>
        <w:t>James, M.R., Robson, S., 2014. Mitigating systematic error in topographic models derived from UAV and ground-based image networks. Earth Surf. Proc. Land. 39 (10),1413–1420.</w:t>
      </w:r>
    </w:p>
    <w:p w14:paraId="18718F71" w14:textId="77777777" w:rsidR="009500EE" w:rsidRDefault="009500EE" w:rsidP="009500EE">
      <w:pPr>
        <w:pStyle w:val="references"/>
        <w:numPr>
          <w:ilvl w:val="0"/>
          <w:numId w:val="14"/>
        </w:numPr>
        <w:spacing w:after="0" w:line="240" w:lineRule="auto"/>
      </w:pPr>
      <w:r>
        <w:t>Bendig, J., Bolten, A., Bennertz, S., Broscheit, J., Eichfuss, S., Bareth, G., 2014. Estimating biomass of barley using Crop Surface Models (CSMs) derived from UAV-based RGB imaging. Remote Sens. 6 (11), 10395–10412.</w:t>
      </w:r>
    </w:p>
    <w:p w14:paraId="5798AAA8" w14:textId="77777777" w:rsidR="009500EE" w:rsidRDefault="009500EE" w:rsidP="009500EE">
      <w:pPr>
        <w:pStyle w:val="references"/>
        <w:numPr>
          <w:ilvl w:val="0"/>
          <w:numId w:val="14"/>
        </w:numPr>
        <w:spacing w:after="0" w:line="240" w:lineRule="auto"/>
      </w:pPr>
      <w:r>
        <w:t>Xie, C.Q., Yang, C., He, Y., 2017. Hyperspectral imaging for classification of healthy and gray mold diseased tomato leaves with different infection severities. Comput. Electron. Agric. 135, 154–162.</w:t>
      </w:r>
    </w:p>
    <w:p w14:paraId="16D7C93F" w14:textId="77777777" w:rsidR="009500EE" w:rsidRDefault="009500EE" w:rsidP="009500EE">
      <w:pPr>
        <w:pStyle w:val="references"/>
        <w:numPr>
          <w:ilvl w:val="0"/>
          <w:numId w:val="14"/>
        </w:numPr>
        <w:spacing w:after="0" w:line="240" w:lineRule="auto"/>
      </w:pPr>
      <w:r>
        <w:t>Wu, D., Sun, D.W., 2013. Advanced applications of hyperspectral imaging technology for food quality and safety analysis and assessment: A review-Part I: Fundamentals. Innovative Food Sci. Emerg. Technol. 19, 1–14.</w:t>
      </w:r>
    </w:p>
    <w:p w14:paraId="6F504409" w14:textId="77777777" w:rsidR="009500EE" w:rsidRDefault="009500EE" w:rsidP="009500EE">
      <w:pPr>
        <w:pStyle w:val="references"/>
        <w:numPr>
          <w:ilvl w:val="0"/>
          <w:numId w:val="14"/>
        </w:numPr>
        <w:spacing w:after="0" w:line="240" w:lineRule="auto"/>
      </w:pPr>
      <w:bookmarkStart w:id="6" w:name="_Hlk138757845"/>
      <w:r>
        <w:t xml:space="preserve">Xie, C., &amp; Yang, C. (2020). </w:t>
      </w:r>
      <w:bookmarkEnd w:id="6"/>
      <w:r>
        <w:t>A review on plant high-throughput phenotyping traits using UAV-based sensors. Computers and Electronics in Agriculture, 178, 105731.</w:t>
      </w:r>
    </w:p>
    <w:p w14:paraId="754EF86A" w14:textId="77777777" w:rsidR="009500EE" w:rsidRDefault="009500EE" w:rsidP="009500EE">
      <w:pPr>
        <w:pStyle w:val="references"/>
        <w:numPr>
          <w:ilvl w:val="0"/>
          <w:numId w:val="14"/>
        </w:numPr>
        <w:spacing w:after="0" w:line="240" w:lineRule="auto"/>
      </w:pPr>
      <w:r>
        <w:t>Zarco-Tejada, P.J., González-Dugo, V., Berni, J.A.J., 2012. Fluorescence, temperature and narrow-band indices acquired from a UAV platform for water stress detection using a micro-hyperspectral imager and a thermal camera. Remote Sens. Environ. 117, 322–337.</w:t>
      </w:r>
    </w:p>
    <w:p w14:paraId="719CF11E" w14:textId="77777777" w:rsidR="009500EE" w:rsidRDefault="009500EE" w:rsidP="009500EE">
      <w:pPr>
        <w:pStyle w:val="references"/>
        <w:numPr>
          <w:ilvl w:val="0"/>
          <w:numId w:val="14"/>
        </w:numPr>
        <w:spacing w:after="0" w:line="240" w:lineRule="auto"/>
      </w:pPr>
      <w:r>
        <w:t xml:space="preserve">Su, Y., Wu, F., Ao, Z., Jin, S., Qin, F., Liu, B., ... &amp; Guo, Q. (2019). Evaluating maize phenotype dynamics under drought stress using terrestrial lidar. Plant methods, 15, 1-16. </w:t>
      </w:r>
      <w:bookmarkEnd w:id="4"/>
    </w:p>
    <w:p w14:paraId="6F4DF9DF" w14:textId="77777777" w:rsidR="009500EE" w:rsidRPr="004F476D" w:rsidRDefault="009500EE" w:rsidP="009500EE">
      <w:pPr>
        <w:spacing w:after="0" w:line="240" w:lineRule="auto"/>
        <w:ind w:firstLine="567"/>
        <w:jc w:val="both"/>
        <w:rPr>
          <w:rFonts w:ascii="Times New Roman" w:eastAsia="MS Mincho" w:hAnsi="Times New Roman" w:cs="Times New Roman"/>
          <w:b/>
          <w:bCs/>
          <w:sz w:val="20"/>
          <w:szCs w:val="20"/>
        </w:rPr>
      </w:pPr>
    </w:p>
    <w:sectPr w:rsidR="009500EE" w:rsidRPr="004F476D" w:rsidSect="00081536">
      <w:type w:val="continuous"/>
      <w:pgSz w:w="11906" w:h="16838" w:code="9"/>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0CDD"/>
    <w:multiLevelType w:val="hybridMultilevel"/>
    <w:tmpl w:val="42C61338"/>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31E39CF"/>
    <w:multiLevelType w:val="hybridMultilevel"/>
    <w:tmpl w:val="10B2FFFA"/>
    <w:lvl w:ilvl="0" w:tplc="40090015">
      <w:start w:val="1"/>
      <w:numFmt w:val="upp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 w15:restartNumberingAfterBreak="0">
    <w:nsid w:val="10681E98"/>
    <w:multiLevelType w:val="hybridMultilevel"/>
    <w:tmpl w:val="4770F75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A07F24"/>
    <w:multiLevelType w:val="hybridMultilevel"/>
    <w:tmpl w:val="89B2D38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B272F5"/>
    <w:multiLevelType w:val="hybridMultilevel"/>
    <w:tmpl w:val="DD8A8402"/>
    <w:lvl w:ilvl="0" w:tplc="40090015">
      <w:start w:val="1"/>
      <w:numFmt w:val="upp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5" w15:restartNumberingAfterBreak="0">
    <w:nsid w:val="20631FB9"/>
    <w:multiLevelType w:val="hybridMultilevel"/>
    <w:tmpl w:val="75001EBE"/>
    <w:lvl w:ilvl="0" w:tplc="0384544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7D0EDE"/>
    <w:multiLevelType w:val="hybridMultilevel"/>
    <w:tmpl w:val="48B6D0F0"/>
    <w:lvl w:ilvl="0" w:tplc="1988BFD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EA79B4"/>
    <w:multiLevelType w:val="hybridMultilevel"/>
    <w:tmpl w:val="F95E20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CD441C"/>
    <w:multiLevelType w:val="hybridMultilevel"/>
    <w:tmpl w:val="A14A2F4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F720CB"/>
    <w:multiLevelType w:val="hybridMultilevel"/>
    <w:tmpl w:val="751AF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335E22"/>
    <w:multiLevelType w:val="hybridMultilevel"/>
    <w:tmpl w:val="1B8AC858"/>
    <w:lvl w:ilvl="0" w:tplc="43103A50">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D77A1E"/>
    <w:multiLevelType w:val="hybridMultilevel"/>
    <w:tmpl w:val="75D85EF6"/>
    <w:lvl w:ilvl="0" w:tplc="FFFFFFFF">
      <w:start w:val="1"/>
      <w:numFmt w:val="upp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2" w15:restartNumberingAfterBreak="0">
    <w:nsid w:val="420B70D1"/>
    <w:multiLevelType w:val="hybridMultilevel"/>
    <w:tmpl w:val="EF5C2D2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C522705"/>
    <w:multiLevelType w:val="hybridMultilevel"/>
    <w:tmpl w:val="753AA53C"/>
    <w:lvl w:ilvl="0" w:tplc="40090015">
      <w:start w:val="1"/>
      <w:numFmt w:val="upperLetter"/>
      <w:lvlText w:val="%1."/>
      <w:lvlJc w:val="left"/>
      <w:pPr>
        <w:ind w:left="1335" w:hanging="360"/>
      </w:pPr>
    </w:lvl>
    <w:lvl w:ilvl="1" w:tplc="40090019" w:tentative="1">
      <w:start w:val="1"/>
      <w:numFmt w:val="lowerLetter"/>
      <w:lvlText w:val="%2."/>
      <w:lvlJc w:val="left"/>
      <w:pPr>
        <w:ind w:left="2055" w:hanging="360"/>
      </w:pPr>
    </w:lvl>
    <w:lvl w:ilvl="2" w:tplc="4009001B" w:tentative="1">
      <w:start w:val="1"/>
      <w:numFmt w:val="lowerRoman"/>
      <w:lvlText w:val="%3."/>
      <w:lvlJc w:val="right"/>
      <w:pPr>
        <w:ind w:left="2775" w:hanging="180"/>
      </w:pPr>
    </w:lvl>
    <w:lvl w:ilvl="3" w:tplc="4009000F" w:tentative="1">
      <w:start w:val="1"/>
      <w:numFmt w:val="decimal"/>
      <w:lvlText w:val="%4."/>
      <w:lvlJc w:val="left"/>
      <w:pPr>
        <w:ind w:left="3495" w:hanging="360"/>
      </w:pPr>
    </w:lvl>
    <w:lvl w:ilvl="4" w:tplc="40090019" w:tentative="1">
      <w:start w:val="1"/>
      <w:numFmt w:val="lowerLetter"/>
      <w:lvlText w:val="%5."/>
      <w:lvlJc w:val="left"/>
      <w:pPr>
        <w:ind w:left="4215" w:hanging="360"/>
      </w:pPr>
    </w:lvl>
    <w:lvl w:ilvl="5" w:tplc="4009001B" w:tentative="1">
      <w:start w:val="1"/>
      <w:numFmt w:val="lowerRoman"/>
      <w:lvlText w:val="%6."/>
      <w:lvlJc w:val="right"/>
      <w:pPr>
        <w:ind w:left="4935" w:hanging="180"/>
      </w:pPr>
    </w:lvl>
    <w:lvl w:ilvl="6" w:tplc="4009000F" w:tentative="1">
      <w:start w:val="1"/>
      <w:numFmt w:val="decimal"/>
      <w:lvlText w:val="%7."/>
      <w:lvlJc w:val="left"/>
      <w:pPr>
        <w:ind w:left="5655" w:hanging="360"/>
      </w:pPr>
    </w:lvl>
    <w:lvl w:ilvl="7" w:tplc="40090019" w:tentative="1">
      <w:start w:val="1"/>
      <w:numFmt w:val="lowerLetter"/>
      <w:lvlText w:val="%8."/>
      <w:lvlJc w:val="left"/>
      <w:pPr>
        <w:ind w:left="6375" w:hanging="360"/>
      </w:pPr>
    </w:lvl>
    <w:lvl w:ilvl="8" w:tplc="4009001B" w:tentative="1">
      <w:start w:val="1"/>
      <w:numFmt w:val="lowerRoman"/>
      <w:lvlText w:val="%9."/>
      <w:lvlJc w:val="right"/>
      <w:pPr>
        <w:ind w:left="7095" w:hanging="180"/>
      </w:pPr>
    </w:lvl>
  </w:abstractNum>
  <w:abstractNum w:abstractNumId="14" w15:restartNumberingAfterBreak="0">
    <w:nsid w:val="4F0379FE"/>
    <w:multiLevelType w:val="hybridMultilevel"/>
    <w:tmpl w:val="3188A38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1555F69"/>
    <w:multiLevelType w:val="hybridMultilevel"/>
    <w:tmpl w:val="3F4CD00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8B172A"/>
    <w:multiLevelType w:val="hybridMultilevel"/>
    <w:tmpl w:val="9F48278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7FE7A2C"/>
    <w:multiLevelType w:val="hybridMultilevel"/>
    <w:tmpl w:val="D0B6862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F76F75"/>
    <w:multiLevelType w:val="hybridMultilevel"/>
    <w:tmpl w:val="C4E4071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D575FD1"/>
    <w:multiLevelType w:val="hybridMultilevel"/>
    <w:tmpl w:val="217C135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2"/>
  </w:num>
  <w:num w:numId="2">
    <w:abstractNumId w:val="7"/>
  </w:num>
  <w:num w:numId="3">
    <w:abstractNumId w:val="0"/>
  </w:num>
  <w:num w:numId="4">
    <w:abstractNumId w:val="3"/>
  </w:num>
  <w:num w:numId="5">
    <w:abstractNumId w:val="13"/>
  </w:num>
  <w:num w:numId="6">
    <w:abstractNumId w:val="15"/>
  </w:num>
  <w:num w:numId="7">
    <w:abstractNumId w:val="11"/>
  </w:num>
  <w:num w:numId="8">
    <w:abstractNumId w:val="8"/>
  </w:num>
  <w:num w:numId="9">
    <w:abstractNumId w:val="9"/>
  </w:num>
  <w:num w:numId="10">
    <w:abstractNumId w:val="19"/>
  </w:num>
  <w:num w:numId="11">
    <w:abstractNumId w:val="1"/>
  </w:num>
  <w:num w:numId="12">
    <w:abstractNumId w:val="4"/>
  </w:num>
  <w:num w:numId="13">
    <w:abstractNumId w:val="17"/>
  </w:num>
  <w:num w:numId="14">
    <w:abstractNumId w:val="17"/>
    <w:lvlOverride w:ilvl="0">
      <w:startOverride w:val="1"/>
    </w:lvlOverride>
  </w:num>
  <w:num w:numId="15">
    <w:abstractNumId w:val="16"/>
  </w:num>
  <w:num w:numId="16">
    <w:abstractNumId w:val="6"/>
  </w:num>
  <w:num w:numId="17">
    <w:abstractNumId w:val="20"/>
  </w:num>
  <w:num w:numId="18">
    <w:abstractNumId w:val="14"/>
  </w:num>
  <w:num w:numId="19">
    <w:abstractNumId w:val="18"/>
  </w:num>
  <w:num w:numId="20">
    <w:abstractNumId w:val="10"/>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39"/>
    <w:rsid w:val="000034EB"/>
    <w:rsid w:val="00022C1B"/>
    <w:rsid w:val="0003775A"/>
    <w:rsid w:val="000447C8"/>
    <w:rsid w:val="00063595"/>
    <w:rsid w:val="00063AAB"/>
    <w:rsid w:val="00067A78"/>
    <w:rsid w:val="000708C1"/>
    <w:rsid w:val="00081536"/>
    <w:rsid w:val="000B4EA6"/>
    <w:rsid w:val="000D1E72"/>
    <w:rsid w:val="000E11FE"/>
    <w:rsid w:val="001053FE"/>
    <w:rsid w:val="00134985"/>
    <w:rsid w:val="001449A6"/>
    <w:rsid w:val="00150FC3"/>
    <w:rsid w:val="001523A2"/>
    <w:rsid w:val="0016726E"/>
    <w:rsid w:val="00194F5C"/>
    <w:rsid w:val="001A4454"/>
    <w:rsid w:val="001C436C"/>
    <w:rsid w:val="001C6F8F"/>
    <w:rsid w:val="001E4C91"/>
    <w:rsid w:val="001E5376"/>
    <w:rsid w:val="001E6F44"/>
    <w:rsid w:val="00217DB2"/>
    <w:rsid w:val="00226FE7"/>
    <w:rsid w:val="00232E6B"/>
    <w:rsid w:val="0024098F"/>
    <w:rsid w:val="002869CB"/>
    <w:rsid w:val="002A6FC1"/>
    <w:rsid w:val="002B7FD4"/>
    <w:rsid w:val="002E3649"/>
    <w:rsid w:val="002E615C"/>
    <w:rsid w:val="002E7624"/>
    <w:rsid w:val="003033D8"/>
    <w:rsid w:val="00331589"/>
    <w:rsid w:val="00343D28"/>
    <w:rsid w:val="003808E2"/>
    <w:rsid w:val="003D4221"/>
    <w:rsid w:val="003D632D"/>
    <w:rsid w:val="003F4EE4"/>
    <w:rsid w:val="004047AF"/>
    <w:rsid w:val="004746BD"/>
    <w:rsid w:val="00490ECA"/>
    <w:rsid w:val="00494A73"/>
    <w:rsid w:val="00495F19"/>
    <w:rsid w:val="004A174B"/>
    <w:rsid w:val="004A3CE1"/>
    <w:rsid w:val="004A699A"/>
    <w:rsid w:val="004C39A9"/>
    <w:rsid w:val="004C4B4F"/>
    <w:rsid w:val="004D2444"/>
    <w:rsid w:val="004D2F40"/>
    <w:rsid w:val="004D552C"/>
    <w:rsid w:val="004F476D"/>
    <w:rsid w:val="004F6A87"/>
    <w:rsid w:val="00521F5F"/>
    <w:rsid w:val="00521F8C"/>
    <w:rsid w:val="00532E0A"/>
    <w:rsid w:val="00564E8F"/>
    <w:rsid w:val="005D3384"/>
    <w:rsid w:val="005E6C09"/>
    <w:rsid w:val="005F0D3A"/>
    <w:rsid w:val="005F72A0"/>
    <w:rsid w:val="0060218E"/>
    <w:rsid w:val="00615582"/>
    <w:rsid w:val="00625C50"/>
    <w:rsid w:val="006322B4"/>
    <w:rsid w:val="00632867"/>
    <w:rsid w:val="00633AF1"/>
    <w:rsid w:val="006361A8"/>
    <w:rsid w:val="00636FAF"/>
    <w:rsid w:val="00641889"/>
    <w:rsid w:val="00674FBA"/>
    <w:rsid w:val="006A1B0D"/>
    <w:rsid w:val="006D5610"/>
    <w:rsid w:val="006E4495"/>
    <w:rsid w:val="006F0366"/>
    <w:rsid w:val="006F131A"/>
    <w:rsid w:val="006F3306"/>
    <w:rsid w:val="00717026"/>
    <w:rsid w:val="00724205"/>
    <w:rsid w:val="007336AB"/>
    <w:rsid w:val="0074039E"/>
    <w:rsid w:val="00752039"/>
    <w:rsid w:val="00767F78"/>
    <w:rsid w:val="00775BFE"/>
    <w:rsid w:val="00791AD6"/>
    <w:rsid w:val="00796710"/>
    <w:rsid w:val="007C6A75"/>
    <w:rsid w:val="007D0F70"/>
    <w:rsid w:val="007E3935"/>
    <w:rsid w:val="007E522E"/>
    <w:rsid w:val="007F57FD"/>
    <w:rsid w:val="00804C5B"/>
    <w:rsid w:val="00815927"/>
    <w:rsid w:val="008606DD"/>
    <w:rsid w:val="008D0B21"/>
    <w:rsid w:val="008F09E9"/>
    <w:rsid w:val="009500EE"/>
    <w:rsid w:val="00952259"/>
    <w:rsid w:val="009569D7"/>
    <w:rsid w:val="009708AB"/>
    <w:rsid w:val="009718DB"/>
    <w:rsid w:val="00987299"/>
    <w:rsid w:val="009B305F"/>
    <w:rsid w:val="009B7F52"/>
    <w:rsid w:val="009C7A3D"/>
    <w:rsid w:val="009E1E67"/>
    <w:rsid w:val="00A062ED"/>
    <w:rsid w:val="00A51014"/>
    <w:rsid w:val="00A619CD"/>
    <w:rsid w:val="00A63AD7"/>
    <w:rsid w:val="00A96C99"/>
    <w:rsid w:val="00AA47AC"/>
    <w:rsid w:val="00AA70F6"/>
    <w:rsid w:val="00AC2ED6"/>
    <w:rsid w:val="00AD6AD4"/>
    <w:rsid w:val="00AF66A1"/>
    <w:rsid w:val="00B469FE"/>
    <w:rsid w:val="00B61AA4"/>
    <w:rsid w:val="00B745D1"/>
    <w:rsid w:val="00B77A4A"/>
    <w:rsid w:val="00B84C77"/>
    <w:rsid w:val="00B962F0"/>
    <w:rsid w:val="00B972BF"/>
    <w:rsid w:val="00BB7EAA"/>
    <w:rsid w:val="00BD17A9"/>
    <w:rsid w:val="00BD2E69"/>
    <w:rsid w:val="00BD78CF"/>
    <w:rsid w:val="00BF4775"/>
    <w:rsid w:val="00C111AB"/>
    <w:rsid w:val="00C317AF"/>
    <w:rsid w:val="00C61D18"/>
    <w:rsid w:val="00C67990"/>
    <w:rsid w:val="00C81449"/>
    <w:rsid w:val="00CB69C2"/>
    <w:rsid w:val="00CE453D"/>
    <w:rsid w:val="00CE5960"/>
    <w:rsid w:val="00CE733A"/>
    <w:rsid w:val="00CF0176"/>
    <w:rsid w:val="00CF0B5D"/>
    <w:rsid w:val="00CF6171"/>
    <w:rsid w:val="00D078C0"/>
    <w:rsid w:val="00D4560F"/>
    <w:rsid w:val="00D56C5E"/>
    <w:rsid w:val="00D668AA"/>
    <w:rsid w:val="00D7575A"/>
    <w:rsid w:val="00D80C94"/>
    <w:rsid w:val="00D94BFB"/>
    <w:rsid w:val="00DB102D"/>
    <w:rsid w:val="00DB6F9E"/>
    <w:rsid w:val="00DC4508"/>
    <w:rsid w:val="00E262C2"/>
    <w:rsid w:val="00E459A4"/>
    <w:rsid w:val="00E502B8"/>
    <w:rsid w:val="00E706B8"/>
    <w:rsid w:val="00E70F56"/>
    <w:rsid w:val="00E842F0"/>
    <w:rsid w:val="00E85425"/>
    <w:rsid w:val="00EC6E90"/>
    <w:rsid w:val="00ED534B"/>
    <w:rsid w:val="00EE22AD"/>
    <w:rsid w:val="00EE3C8F"/>
    <w:rsid w:val="00F10A90"/>
    <w:rsid w:val="00F11617"/>
    <w:rsid w:val="00F32397"/>
    <w:rsid w:val="00F3663A"/>
    <w:rsid w:val="00F5180C"/>
    <w:rsid w:val="00F63173"/>
    <w:rsid w:val="00F65994"/>
    <w:rsid w:val="00F719C8"/>
    <w:rsid w:val="00F72451"/>
    <w:rsid w:val="00F77A22"/>
    <w:rsid w:val="00FB31E6"/>
    <w:rsid w:val="00FB4EB2"/>
    <w:rsid w:val="00FE37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BE4BD"/>
  <w15:chartTrackingRefBased/>
  <w15:docId w15:val="{F4ABA371-39D9-4AAD-B920-0038DDDD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062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9E9"/>
    <w:pPr>
      <w:ind w:left="720"/>
      <w:contextualSpacing/>
    </w:pPr>
  </w:style>
  <w:style w:type="character" w:styleId="PlaceholderText">
    <w:name w:val="Placeholder Text"/>
    <w:basedOn w:val="DefaultParagraphFont"/>
    <w:uiPriority w:val="99"/>
    <w:semiHidden/>
    <w:rsid w:val="00E459A4"/>
    <w:rPr>
      <w:color w:val="808080"/>
    </w:rPr>
  </w:style>
  <w:style w:type="character" w:styleId="CommentReference">
    <w:name w:val="annotation reference"/>
    <w:basedOn w:val="DefaultParagraphFont"/>
    <w:uiPriority w:val="99"/>
    <w:semiHidden/>
    <w:unhideWhenUsed/>
    <w:rsid w:val="00FB31E6"/>
    <w:rPr>
      <w:sz w:val="16"/>
      <w:szCs w:val="16"/>
    </w:rPr>
  </w:style>
  <w:style w:type="paragraph" w:styleId="CommentText">
    <w:name w:val="annotation text"/>
    <w:basedOn w:val="Normal"/>
    <w:link w:val="CommentTextChar"/>
    <w:uiPriority w:val="99"/>
    <w:semiHidden/>
    <w:unhideWhenUsed/>
    <w:rsid w:val="00FB31E6"/>
    <w:pPr>
      <w:spacing w:line="240" w:lineRule="auto"/>
    </w:pPr>
    <w:rPr>
      <w:sz w:val="20"/>
      <w:szCs w:val="20"/>
    </w:rPr>
  </w:style>
  <w:style w:type="character" w:customStyle="1" w:styleId="CommentTextChar">
    <w:name w:val="Comment Text Char"/>
    <w:basedOn w:val="DefaultParagraphFont"/>
    <w:link w:val="CommentText"/>
    <w:uiPriority w:val="99"/>
    <w:semiHidden/>
    <w:rsid w:val="00FB31E6"/>
    <w:rPr>
      <w:sz w:val="20"/>
      <w:szCs w:val="20"/>
    </w:rPr>
  </w:style>
  <w:style w:type="paragraph" w:styleId="CommentSubject">
    <w:name w:val="annotation subject"/>
    <w:basedOn w:val="CommentText"/>
    <w:next w:val="CommentText"/>
    <w:link w:val="CommentSubjectChar"/>
    <w:uiPriority w:val="99"/>
    <w:semiHidden/>
    <w:unhideWhenUsed/>
    <w:rsid w:val="00FB31E6"/>
    <w:rPr>
      <w:b/>
      <w:bCs/>
    </w:rPr>
  </w:style>
  <w:style w:type="character" w:customStyle="1" w:styleId="CommentSubjectChar">
    <w:name w:val="Comment Subject Char"/>
    <w:basedOn w:val="CommentTextChar"/>
    <w:link w:val="CommentSubject"/>
    <w:uiPriority w:val="99"/>
    <w:semiHidden/>
    <w:rsid w:val="00FB31E6"/>
    <w:rPr>
      <w:b/>
      <w:bCs/>
      <w:sz w:val="20"/>
      <w:szCs w:val="20"/>
    </w:rPr>
  </w:style>
  <w:style w:type="table" w:styleId="TableGrid">
    <w:name w:val="Table Grid"/>
    <w:basedOn w:val="TableNormal"/>
    <w:uiPriority w:val="39"/>
    <w:rsid w:val="004A3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9718DB"/>
    <w:pPr>
      <w:spacing w:after="200" w:line="240" w:lineRule="auto"/>
      <w:ind w:firstLine="274"/>
      <w:jc w:val="both"/>
    </w:pPr>
    <w:rPr>
      <w:rFonts w:ascii="Times New Roman" w:eastAsia="Times New Roman" w:hAnsi="Times New Roman" w:cs="Times New Roman"/>
      <w:b/>
      <w:bCs/>
      <w:sz w:val="18"/>
      <w:szCs w:val="18"/>
      <w:lang w:val="en-US"/>
    </w:rPr>
  </w:style>
  <w:style w:type="paragraph" w:customStyle="1" w:styleId="references">
    <w:name w:val="references"/>
    <w:uiPriority w:val="99"/>
    <w:rsid w:val="00C317AF"/>
    <w:pPr>
      <w:numPr>
        <w:numId w:val="13"/>
      </w:numPr>
      <w:spacing w:after="50" w:line="180" w:lineRule="exact"/>
      <w:jc w:val="both"/>
    </w:pPr>
    <w:rPr>
      <w:rFonts w:ascii="Times New Roman" w:eastAsia="Times New Roman" w:hAnsi="Times New Roman" w:cs="Times New Roman"/>
      <w:noProof/>
      <w:sz w:val="16"/>
      <w:szCs w:val="16"/>
      <w:lang w:val="en-US"/>
    </w:rPr>
  </w:style>
  <w:style w:type="character" w:styleId="Hyperlink">
    <w:name w:val="Hyperlink"/>
    <w:basedOn w:val="DefaultParagraphFont"/>
    <w:uiPriority w:val="99"/>
    <w:unhideWhenUsed/>
    <w:rsid w:val="00A619CD"/>
    <w:rPr>
      <w:color w:val="0563C1" w:themeColor="hyperlink"/>
      <w:u w:val="single"/>
    </w:rPr>
  </w:style>
  <w:style w:type="character" w:customStyle="1" w:styleId="UnresolvedMention">
    <w:name w:val="Unresolved Mention"/>
    <w:basedOn w:val="DefaultParagraphFont"/>
    <w:uiPriority w:val="99"/>
    <w:semiHidden/>
    <w:unhideWhenUsed/>
    <w:rsid w:val="00A6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55508">
      <w:bodyDiv w:val="1"/>
      <w:marLeft w:val="0"/>
      <w:marRight w:val="0"/>
      <w:marTop w:val="0"/>
      <w:marBottom w:val="0"/>
      <w:divBdr>
        <w:top w:val="none" w:sz="0" w:space="0" w:color="auto"/>
        <w:left w:val="none" w:sz="0" w:space="0" w:color="auto"/>
        <w:bottom w:val="none" w:sz="0" w:space="0" w:color="auto"/>
        <w:right w:val="none" w:sz="0" w:space="0" w:color="auto"/>
      </w:divBdr>
      <w:divsChild>
        <w:div w:id="652610528">
          <w:marLeft w:val="0"/>
          <w:marRight w:val="0"/>
          <w:marTop w:val="0"/>
          <w:marBottom w:val="0"/>
          <w:divBdr>
            <w:top w:val="none" w:sz="0" w:space="0" w:color="auto"/>
            <w:left w:val="none" w:sz="0" w:space="0" w:color="auto"/>
            <w:bottom w:val="none" w:sz="0" w:space="0" w:color="auto"/>
            <w:right w:val="none" w:sz="0" w:space="0" w:color="auto"/>
          </w:divBdr>
        </w:div>
        <w:div w:id="528027733">
          <w:marLeft w:val="0"/>
          <w:marRight w:val="0"/>
          <w:marTop w:val="0"/>
          <w:marBottom w:val="0"/>
          <w:divBdr>
            <w:top w:val="none" w:sz="0" w:space="0" w:color="auto"/>
            <w:left w:val="none" w:sz="0" w:space="0" w:color="auto"/>
            <w:bottom w:val="none" w:sz="0" w:space="0" w:color="auto"/>
            <w:right w:val="none" w:sz="0" w:space="0" w:color="auto"/>
          </w:divBdr>
        </w:div>
      </w:divsChild>
    </w:div>
    <w:div w:id="527724164">
      <w:bodyDiv w:val="1"/>
      <w:marLeft w:val="0"/>
      <w:marRight w:val="0"/>
      <w:marTop w:val="0"/>
      <w:marBottom w:val="0"/>
      <w:divBdr>
        <w:top w:val="none" w:sz="0" w:space="0" w:color="auto"/>
        <w:left w:val="none" w:sz="0" w:space="0" w:color="auto"/>
        <w:bottom w:val="none" w:sz="0" w:space="0" w:color="auto"/>
        <w:right w:val="none" w:sz="0" w:space="0" w:color="auto"/>
      </w:divBdr>
    </w:div>
    <w:div w:id="923227501">
      <w:bodyDiv w:val="1"/>
      <w:marLeft w:val="0"/>
      <w:marRight w:val="0"/>
      <w:marTop w:val="0"/>
      <w:marBottom w:val="0"/>
      <w:divBdr>
        <w:top w:val="none" w:sz="0" w:space="0" w:color="auto"/>
        <w:left w:val="none" w:sz="0" w:space="0" w:color="auto"/>
        <w:bottom w:val="none" w:sz="0" w:space="0" w:color="auto"/>
        <w:right w:val="none" w:sz="0" w:space="0" w:color="auto"/>
      </w:divBdr>
    </w:div>
    <w:div w:id="1159805099">
      <w:bodyDiv w:val="1"/>
      <w:marLeft w:val="0"/>
      <w:marRight w:val="0"/>
      <w:marTop w:val="0"/>
      <w:marBottom w:val="0"/>
      <w:divBdr>
        <w:top w:val="none" w:sz="0" w:space="0" w:color="auto"/>
        <w:left w:val="none" w:sz="0" w:space="0" w:color="auto"/>
        <w:bottom w:val="none" w:sz="0" w:space="0" w:color="auto"/>
        <w:right w:val="none" w:sz="0" w:space="0" w:color="auto"/>
      </w:divBdr>
    </w:div>
    <w:div w:id="1588880698">
      <w:bodyDiv w:val="1"/>
      <w:marLeft w:val="0"/>
      <w:marRight w:val="0"/>
      <w:marTop w:val="0"/>
      <w:marBottom w:val="0"/>
      <w:divBdr>
        <w:top w:val="none" w:sz="0" w:space="0" w:color="auto"/>
        <w:left w:val="none" w:sz="0" w:space="0" w:color="auto"/>
        <w:bottom w:val="none" w:sz="0" w:space="0" w:color="auto"/>
        <w:right w:val="none" w:sz="0" w:space="0" w:color="auto"/>
      </w:divBdr>
    </w:div>
    <w:div w:id="1870684072">
      <w:bodyDiv w:val="1"/>
      <w:marLeft w:val="0"/>
      <w:marRight w:val="0"/>
      <w:marTop w:val="0"/>
      <w:marBottom w:val="0"/>
      <w:divBdr>
        <w:top w:val="none" w:sz="0" w:space="0" w:color="auto"/>
        <w:left w:val="none" w:sz="0" w:space="0" w:color="auto"/>
        <w:bottom w:val="none" w:sz="0" w:space="0" w:color="auto"/>
        <w:right w:val="none" w:sz="0" w:space="0" w:color="auto"/>
      </w:divBdr>
    </w:div>
    <w:div w:id="1959024193">
      <w:bodyDiv w:val="1"/>
      <w:marLeft w:val="0"/>
      <w:marRight w:val="0"/>
      <w:marTop w:val="0"/>
      <w:marBottom w:val="0"/>
      <w:divBdr>
        <w:top w:val="none" w:sz="0" w:space="0" w:color="auto"/>
        <w:left w:val="none" w:sz="0" w:space="0" w:color="auto"/>
        <w:bottom w:val="none" w:sz="0" w:space="0" w:color="auto"/>
        <w:right w:val="none" w:sz="0" w:space="0" w:color="auto"/>
      </w:divBdr>
    </w:div>
    <w:div w:id="213498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6249</Words>
  <Characters>35621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 Gupta</dc:creator>
  <cp:keywords/>
  <dc:description/>
  <cp:lastModifiedBy>Dr Anata</cp:lastModifiedBy>
  <cp:revision>2</cp:revision>
  <dcterms:created xsi:type="dcterms:W3CDTF">2023-07-17T11:50:00Z</dcterms:created>
  <dcterms:modified xsi:type="dcterms:W3CDTF">2023-07-17T11:50:00Z</dcterms:modified>
</cp:coreProperties>
</file>