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F95B" w14:textId="2510F75F" w:rsidR="00575230" w:rsidRDefault="00575230" w:rsidP="008C456A">
      <w:pPr>
        <w:pStyle w:val="Heading1"/>
        <w:tabs>
          <w:tab w:val="left" w:pos="464"/>
        </w:tabs>
        <w:ind w:left="0" w:firstLine="0"/>
        <w:jc w:val="center"/>
        <w:rPr>
          <w:rFonts w:asciiTheme="minorHAnsi" w:hAnsiTheme="minorHAnsi" w:cstheme="minorHAnsi"/>
          <w:sz w:val="28"/>
        </w:rPr>
      </w:pPr>
      <w:r>
        <w:rPr>
          <w:rFonts w:asciiTheme="minorHAnsi" w:hAnsiTheme="minorHAnsi" w:cstheme="minorHAnsi"/>
          <w:sz w:val="28"/>
        </w:rPr>
        <w:t>CHAPTER NAME: RECENT TRENDS TO DETECT ENDODONTIC MICROBES</w:t>
      </w:r>
    </w:p>
    <w:p w14:paraId="5DDA754E" w14:textId="77777777" w:rsidR="00575230" w:rsidRDefault="00575230" w:rsidP="008C456A">
      <w:pPr>
        <w:pStyle w:val="Heading1"/>
        <w:tabs>
          <w:tab w:val="left" w:pos="464"/>
        </w:tabs>
        <w:ind w:left="0" w:firstLine="0"/>
        <w:jc w:val="center"/>
        <w:rPr>
          <w:rFonts w:asciiTheme="minorHAnsi" w:hAnsiTheme="minorHAnsi" w:cstheme="minorHAnsi"/>
          <w:sz w:val="28"/>
        </w:rPr>
      </w:pPr>
    </w:p>
    <w:p w14:paraId="5C074784" w14:textId="27827BFD" w:rsidR="00575230" w:rsidRDefault="00575230" w:rsidP="000F07A4">
      <w:pPr>
        <w:pStyle w:val="Heading1"/>
        <w:tabs>
          <w:tab w:val="left" w:pos="464"/>
        </w:tabs>
        <w:ind w:left="0" w:firstLine="0"/>
        <w:rPr>
          <w:rFonts w:asciiTheme="minorHAnsi" w:hAnsiTheme="minorHAnsi" w:cstheme="minorHAnsi"/>
          <w:sz w:val="28"/>
        </w:rPr>
      </w:pPr>
      <w:r>
        <w:rPr>
          <w:rFonts w:asciiTheme="minorHAnsi" w:hAnsiTheme="minorHAnsi" w:cstheme="minorHAnsi"/>
          <w:sz w:val="28"/>
        </w:rPr>
        <w:t xml:space="preserve">AUTHORS: </w:t>
      </w:r>
      <w:r w:rsidR="00BF5333">
        <w:rPr>
          <w:rFonts w:asciiTheme="minorHAnsi" w:hAnsiTheme="minorHAnsi" w:cstheme="minorHAnsi"/>
          <w:sz w:val="28"/>
        </w:rPr>
        <w:t>Dr</w:t>
      </w:r>
      <w:r w:rsidR="00197B9E">
        <w:rPr>
          <w:rFonts w:asciiTheme="minorHAnsi" w:hAnsiTheme="minorHAnsi" w:cstheme="minorHAnsi"/>
          <w:sz w:val="28"/>
        </w:rPr>
        <w:t xml:space="preserve"> K SATHYA</w:t>
      </w:r>
      <w:r w:rsidR="00BF5333">
        <w:rPr>
          <w:rFonts w:asciiTheme="minorHAnsi" w:hAnsiTheme="minorHAnsi" w:cstheme="minorHAnsi"/>
          <w:sz w:val="28"/>
        </w:rPr>
        <w:t xml:space="preserve"> </w:t>
      </w:r>
      <w:r w:rsidR="00197B9E">
        <w:rPr>
          <w:rFonts w:asciiTheme="minorHAnsi" w:hAnsiTheme="minorHAnsi" w:cstheme="minorHAnsi"/>
          <w:sz w:val="28"/>
        </w:rPr>
        <w:t>NARAYAN</w:t>
      </w:r>
      <w:r w:rsidR="00BF5333">
        <w:rPr>
          <w:rFonts w:asciiTheme="minorHAnsi" w:hAnsiTheme="minorHAnsi" w:cstheme="minorHAnsi"/>
          <w:sz w:val="28"/>
        </w:rPr>
        <w:t>AN</w:t>
      </w:r>
      <w:r w:rsidR="00197B9E">
        <w:rPr>
          <w:rFonts w:asciiTheme="minorHAnsi" w:hAnsiTheme="minorHAnsi" w:cstheme="minorHAnsi"/>
          <w:sz w:val="28"/>
        </w:rPr>
        <w:t xml:space="preserve">, </w:t>
      </w:r>
      <w:r w:rsidR="00BF5333">
        <w:rPr>
          <w:rFonts w:asciiTheme="minorHAnsi" w:hAnsiTheme="minorHAnsi" w:cstheme="minorHAnsi"/>
          <w:sz w:val="28"/>
        </w:rPr>
        <w:t>Dr</w:t>
      </w:r>
      <w:r>
        <w:rPr>
          <w:rFonts w:asciiTheme="minorHAnsi" w:hAnsiTheme="minorHAnsi" w:cstheme="minorHAnsi"/>
          <w:sz w:val="28"/>
        </w:rPr>
        <w:t xml:space="preserve"> ANGEL MARIYAM JOHN, </w:t>
      </w:r>
      <w:r w:rsidR="00BF5333">
        <w:rPr>
          <w:rFonts w:asciiTheme="minorHAnsi" w:hAnsiTheme="minorHAnsi" w:cstheme="minorHAnsi"/>
          <w:sz w:val="28"/>
        </w:rPr>
        <w:t>Dr</w:t>
      </w:r>
      <w:r>
        <w:rPr>
          <w:rFonts w:asciiTheme="minorHAnsi" w:hAnsiTheme="minorHAnsi" w:cstheme="minorHAnsi"/>
          <w:sz w:val="28"/>
        </w:rPr>
        <w:t xml:space="preserve"> NEELA SHIVA TARUN</w:t>
      </w:r>
    </w:p>
    <w:p w14:paraId="0E963B6E" w14:textId="77777777" w:rsidR="00575230" w:rsidRDefault="00575230" w:rsidP="000F07A4">
      <w:pPr>
        <w:pStyle w:val="Heading1"/>
        <w:tabs>
          <w:tab w:val="left" w:pos="464"/>
        </w:tabs>
        <w:ind w:left="0" w:firstLine="0"/>
        <w:rPr>
          <w:rFonts w:asciiTheme="minorHAnsi" w:hAnsiTheme="minorHAnsi" w:cstheme="minorHAnsi"/>
          <w:sz w:val="28"/>
        </w:rPr>
      </w:pPr>
    </w:p>
    <w:p w14:paraId="2FD296B8" w14:textId="785960C3" w:rsidR="00575230" w:rsidRDefault="00575230" w:rsidP="000F07A4">
      <w:pPr>
        <w:pStyle w:val="Heading1"/>
        <w:tabs>
          <w:tab w:val="left" w:pos="464"/>
        </w:tabs>
        <w:ind w:left="0" w:firstLine="0"/>
        <w:rPr>
          <w:rFonts w:asciiTheme="minorHAnsi" w:hAnsiTheme="minorHAnsi" w:cstheme="minorHAnsi"/>
          <w:sz w:val="28"/>
        </w:rPr>
      </w:pPr>
      <w:r>
        <w:rPr>
          <w:rFonts w:asciiTheme="minorHAnsi" w:hAnsiTheme="minorHAnsi" w:cstheme="minorHAnsi"/>
          <w:sz w:val="28"/>
        </w:rPr>
        <w:t>ORGANIZATION NAME: SATHYABAMA DENTAL COLLEGE AND HOSPITAL, CHENNAI</w:t>
      </w:r>
    </w:p>
    <w:p w14:paraId="54D3F02D" w14:textId="77777777" w:rsidR="00575230" w:rsidRDefault="00575230" w:rsidP="000F07A4">
      <w:pPr>
        <w:pStyle w:val="Heading1"/>
        <w:tabs>
          <w:tab w:val="left" w:pos="464"/>
        </w:tabs>
        <w:ind w:left="0" w:firstLine="0"/>
        <w:rPr>
          <w:rFonts w:asciiTheme="minorHAnsi" w:hAnsiTheme="minorHAnsi" w:cstheme="minorHAnsi"/>
          <w:sz w:val="28"/>
        </w:rPr>
      </w:pPr>
    </w:p>
    <w:p w14:paraId="7FD1E325" w14:textId="1D50EED4" w:rsidR="00575230" w:rsidRDefault="00575230" w:rsidP="000F07A4">
      <w:pPr>
        <w:pStyle w:val="Heading1"/>
        <w:tabs>
          <w:tab w:val="left" w:pos="464"/>
        </w:tabs>
        <w:ind w:left="0" w:firstLine="0"/>
        <w:rPr>
          <w:rFonts w:asciiTheme="minorHAnsi" w:hAnsiTheme="minorHAnsi" w:cstheme="minorHAnsi"/>
          <w:sz w:val="28"/>
        </w:rPr>
      </w:pPr>
      <w:r>
        <w:rPr>
          <w:rFonts w:asciiTheme="minorHAnsi" w:hAnsiTheme="minorHAnsi" w:cstheme="minorHAnsi"/>
          <w:sz w:val="28"/>
        </w:rPr>
        <w:t>CONTENTS</w:t>
      </w:r>
    </w:p>
    <w:p w14:paraId="6C497312" w14:textId="0218F1AD" w:rsidR="00575230" w:rsidRDefault="00575230" w:rsidP="00575230">
      <w:pPr>
        <w:pStyle w:val="Heading1"/>
        <w:numPr>
          <w:ilvl w:val="0"/>
          <w:numId w:val="15"/>
        </w:numPr>
        <w:tabs>
          <w:tab w:val="left" w:pos="464"/>
        </w:tabs>
        <w:rPr>
          <w:rFonts w:asciiTheme="minorHAnsi" w:hAnsiTheme="minorHAnsi" w:cstheme="minorHAnsi"/>
          <w:sz w:val="28"/>
        </w:rPr>
      </w:pPr>
      <w:r>
        <w:rPr>
          <w:rFonts w:asciiTheme="minorHAnsi" w:hAnsiTheme="minorHAnsi" w:cstheme="minorHAnsi"/>
          <w:sz w:val="28"/>
        </w:rPr>
        <w:t>INTRODUCTION</w:t>
      </w:r>
    </w:p>
    <w:p w14:paraId="2C600C81" w14:textId="3055370D" w:rsidR="00575230" w:rsidRDefault="00575230" w:rsidP="00575230">
      <w:pPr>
        <w:pStyle w:val="Heading1"/>
        <w:numPr>
          <w:ilvl w:val="0"/>
          <w:numId w:val="15"/>
        </w:numPr>
        <w:tabs>
          <w:tab w:val="left" w:pos="464"/>
        </w:tabs>
        <w:rPr>
          <w:rFonts w:asciiTheme="minorHAnsi" w:hAnsiTheme="minorHAnsi" w:cstheme="minorHAnsi"/>
          <w:sz w:val="28"/>
        </w:rPr>
      </w:pPr>
      <w:r>
        <w:rPr>
          <w:rFonts w:asciiTheme="minorHAnsi" w:hAnsiTheme="minorHAnsi" w:cstheme="minorHAnsi"/>
          <w:sz w:val="28"/>
        </w:rPr>
        <w:t xml:space="preserve">TRADITIONAL METHODS </w:t>
      </w:r>
    </w:p>
    <w:p w14:paraId="050ECADA" w14:textId="6DBF5593" w:rsidR="00575230" w:rsidRDefault="00575230" w:rsidP="00575230">
      <w:pPr>
        <w:pStyle w:val="Heading1"/>
        <w:numPr>
          <w:ilvl w:val="0"/>
          <w:numId w:val="15"/>
        </w:numPr>
        <w:tabs>
          <w:tab w:val="left" w:pos="464"/>
        </w:tabs>
        <w:rPr>
          <w:rFonts w:asciiTheme="minorHAnsi" w:hAnsiTheme="minorHAnsi" w:cstheme="minorHAnsi"/>
          <w:sz w:val="28"/>
        </w:rPr>
      </w:pPr>
      <w:r>
        <w:rPr>
          <w:rFonts w:asciiTheme="minorHAnsi" w:hAnsiTheme="minorHAnsi" w:cstheme="minorHAnsi"/>
          <w:sz w:val="28"/>
        </w:rPr>
        <w:t>LIMITATIONS OF CULTURING METHODS</w:t>
      </w:r>
    </w:p>
    <w:p w14:paraId="2338CED0" w14:textId="0901ABE5" w:rsidR="00575230" w:rsidRDefault="00575230" w:rsidP="00575230">
      <w:pPr>
        <w:pStyle w:val="Heading1"/>
        <w:numPr>
          <w:ilvl w:val="0"/>
          <w:numId w:val="15"/>
        </w:numPr>
        <w:tabs>
          <w:tab w:val="left" w:pos="464"/>
        </w:tabs>
        <w:rPr>
          <w:rFonts w:asciiTheme="minorHAnsi" w:hAnsiTheme="minorHAnsi" w:cstheme="minorHAnsi"/>
          <w:sz w:val="28"/>
        </w:rPr>
      </w:pPr>
      <w:r>
        <w:rPr>
          <w:rFonts w:asciiTheme="minorHAnsi" w:hAnsiTheme="minorHAnsi" w:cstheme="minorHAnsi"/>
          <w:sz w:val="28"/>
        </w:rPr>
        <w:t>MOLECULAR BIOLOGY TECHNIQUE</w:t>
      </w:r>
    </w:p>
    <w:p w14:paraId="58A625B0" w14:textId="142CA644" w:rsidR="00575230" w:rsidRDefault="00575230" w:rsidP="00575230">
      <w:pPr>
        <w:pStyle w:val="Heading1"/>
        <w:numPr>
          <w:ilvl w:val="0"/>
          <w:numId w:val="15"/>
        </w:numPr>
        <w:tabs>
          <w:tab w:val="left" w:pos="464"/>
        </w:tabs>
        <w:rPr>
          <w:rFonts w:asciiTheme="minorHAnsi" w:hAnsiTheme="minorHAnsi" w:cstheme="minorHAnsi"/>
          <w:sz w:val="28"/>
        </w:rPr>
      </w:pPr>
      <w:r>
        <w:rPr>
          <w:rFonts w:asciiTheme="minorHAnsi" w:hAnsiTheme="minorHAnsi" w:cstheme="minorHAnsi"/>
          <w:sz w:val="28"/>
        </w:rPr>
        <w:t>DNA-DNA HYBRIDIZATION</w:t>
      </w:r>
    </w:p>
    <w:p w14:paraId="44B14513" w14:textId="21F3ABB8" w:rsidR="00575230" w:rsidRDefault="00575230" w:rsidP="00575230">
      <w:pPr>
        <w:pStyle w:val="Heading1"/>
        <w:numPr>
          <w:ilvl w:val="0"/>
          <w:numId w:val="15"/>
        </w:numPr>
        <w:tabs>
          <w:tab w:val="left" w:pos="464"/>
        </w:tabs>
        <w:rPr>
          <w:rFonts w:asciiTheme="minorHAnsi" w:hAnsiTheme="minorHAnsi" w:cstheme="minorHAnsi"/>
          <w:sz w:val="28"/>
        </w:rPr>
      </w:pPr>
      <w:r>
        <w:rPr>
          <w:rFonts w:asciiTheme="minorHAnsi" w:hAnsiTheme="minorHAnsi" w:cstheme="minorHAnsi"/>
          <w:sz w:val="28"/>
        </w:rPr>
        <w:t>FLOURSCENCE INSITU HYBRIDIZATION</w:t>
      </w:r>
    </w:p>
    <w:p w14:paraId="18B9C96B" w14:textId="2C59464F" w:rsidR="00575230" w:rsidRDefault="00575230" w:rsidP="00575230">
      <w:pPr>
        <w:pStyle w:val="Heading1"/>
        <w:numPr>
          <w:ilvl w:val="0"/>
          <w:numId w:val="15"/>
        </w:numPr>
        <w:tabs>
          <w:tab w:val="left" w:pos="464"/>
        </w:tabs>
        <w:rPr>
          <w:rFonts w:asciiTheme="minorHAnsi" w:hAnsiTheme="minorHAnsi" w:cstheme="minorHAnsi"/>
          <w:sz w:val="28"/>
        </w:rPr>
      </w:pPr>
      <w:r>
        <w:rPr>
          <w:rFonts w:asciiTheme="minorHAnsi" w:hAnsiTheme="minorHAnsi" w:cstheme="minorHAnsi"/>
          <w:sz w:val="28"/>
        </w:rPr>
        <w:t>ADVANTAGES AND DISADVANTAGES OF MOLECULAR METHODS</w:t>
      </w:r>
    </w:p>
    <w:p w14:paraId="0DA9D7BA" w14:textId="13EEB078" w:rsidR="00575230" w:rsidRDefault="00D1119B" w:rsidP="00575230">
      <w:pPr>
        <w:pStyle w:val="Heading1"/>
        <w:numPr>
          <w:ilvl w:val="0"/>
          <w:numId w:val="15"/>
        </w:numPr>
        <w:tabs>
          <w:tab w:val="left" w:pos="464"/>
        </w:tabs>
        <w:rPr>
          <w:rFonts w:asciiTheme="minorHAnsi" w:hAnsiTheme="minorHAnsi" w:cstheme="minorHAnsi"/>
          <w:sz w:val="28"/>
        </w:rPr>
      </w:pPr>
      <w:r>
        <w:rPr>
          <w:rFonts w:asciiTheme="minorHAnsi" w:hAnsiTheme="minorHAnsi" w:cstheme="minorHAnsi"/>
          <w:sz w:val="28"/>
        </w:rPr>
        <w:t>CONCLUSION</w:t>
      </w:r>
    </w:p>
    <w:p w14:paraId="2BDBA810" w14:textId="5E0A1B92" w:rsidR="00575230" w:rsidRDefault="00BF5333" w:rsidP="00575230">
      <w:pPr>
        <w:pStyle w:val="Heading1"/>
        <w:numPr>
          <w:ilvl w:val="0"/>
          <w:numId w:val="15"/>
        </w:numPr>
        <w:tabs>
          <w:tab w:val="left" w:pos="464"/>
        </w:tabs>
        <w:rPr>
          <w:rFonts w:asciiTheme="minorHAnsi" w:hAnsiTheme="minorHAnsi" w:cstheme="minorHAnsi"/>
          <w:sz w:val="28"/>
        </w:rPr>
      </w:pPr>
      <w:r>
        <w:rPr>
          <w:rFonts w:asciiTheme="minorHAnsi" w:hAnsiTheme="minorHAnsi" w:cstheme="minorHAnsi"/>
          <w:sz w:val="28"/>
        </w:rPr>
        <w:t>REFERENCES</w:t>
      </w:r>
    </w:p>
    <w:p w14:paraId="04D66848" w14:textId="20329434" w:rsidR="00575230" w:rsidRPr="00575230" w:rsidRDefault="00575230" w:rsidP="00575230">
      <w:pPr>
        <w:pStyle w:val="Heading1"/>
        <w:tabs>
          <w:tab w:val="left" w:pos="464"/>
        </w:tabs>
        <w:ind w:left="720" w:firstLine="0"/>
        <w:rPr>
          <w:rFonts w:asciiTheme="minorHAnsi" w:hAnsiTheme="minorHAnsi" w:cstheme="minorHAnsi"/>
          <w:sz w:val="28"/>
        </w:rPr>
      </w:pPr>
      <w:r w:rsidRPr="00575230">
        <w:rPr>
          <w:rFonts w:asciiTheme="minorHAnsi" w:hAnsiTheme="minorHAnsi" w:cstheme="minorHAnsi"/>
          <w:sz w:val="28"/>
        </w:rPr>
        <w:br w:type="page"/>
      </w:r>
    </w:p>
    <w:p w14:paraId="63CCBF44" w14:textId="4F4AD4E6" w:rsidR="001B3ED2" w:rsidRPr="000F07A4" w:rsidRDefault="000F07A4" w:rsidP="000F07A4">
      <w:pPr>
        <w:pStyle w:val="Heading1"/>
        <w:tabs>
          <w:tab w:val="left" w:pos="464"/>
        </w:tabs>
        <w:ind w:left="0" w:firstLine="0"/>
        <w:rPr>
          <w:rFonts w:asciiTheme="minorHAnsi" w:hAnsiTheme="minorHAnsi" w:cstheme="minorHAnsi"/>
          <w:sz w:val="28"/>
        </w:rPr>
      </w:pPr>
      <w:r w:rsidRPr="000F07A4">
        <w:rPr>
          <w:rFonts w:asciiTheme="minorHAnsi" w:hAnsiTheme="minorHAnsi" w:cstheme="minorHAnsi"/>
          <w:sz w:val="28"/>
        </w:rPr>
        <w:lastRenderedPageBreak/>
        <w:t>INTRODUCTION</w:t>
      </w:r>
    </w:p>
    <w:p w14:paraId="40D27675" w14:textId="77777777" w:rsidR="001B3ED2" w:rsidRPr="000F07A4" w:rsidRDefault="001B3ED2">
      <w:pPr>
        <w:pStyle w:val="BodyText"/>
        <w:spacing w:before="12"/>
        <w:ind w:left="0"/>
        <w:jc w:val="left"/>
        <w:rPr>
          <w:rFonts w:asciiTheme="minorHAnsi" w:hAnsiTheme="minorHAnsi" w:cstheme="minorHAnsi"/>
          <w:b/>
          <w:sz w:val="20"/>
        </w:rPr>
      </w:pPr>
    </w:p>
    <w:p w14:paraId="65174FC7" w14:textId="142F8A79" w:rsidR="001B3ED2" w:rsidRPr="000F07A4" w:rsidRDefault="00F12B67" w:rsidP="00AF5EBE">
      <w:pPr>
        <w:pStyle w:val="BodyText"/>
        <w:spacing w:before="75" w:line="381" w:lineRule="auto"/>
        <w:ind w:right="495" w:firstLine="719"/>
        <w:rPr>
          <w:rFonts w:asciiTheme="minorHAnsi" w:hAnsiTheme="minorHAnsi" w:cstheme="minorHAnsi"/>
          <w:sz w:val="24"/>
        </w:rPr>
      </w:pPr>
      <w:r w:rsidRPr="000F07A4">
        <w:rPr>
          <w:rFonts w:asciiTheme="minorHAnsi" w:hAnsiTheme="minorHAnsi" w:cstheme="minorHAnsi"/>
          <w:w w:val="105"/>
          <w:sz w:val="24"/>
        </w:rPr>
        <w:t>Multispecies</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biofilms</w:t>
      </w:r>
      <w:r w:rsidRPr="000F07A4">
        <w:rPr>
          <w:rFonts w:asciiTheme="minorHAnsi" w:hAnsiTheme="minorHAnsi" w:cstheme="minorHAnsi"/>
          <w:spacing w:val="-10"/>
          <w:w w:val="105"/>
          <w:sz w:val="24"/>
        </w:rPr>
        <w:t xml:space="preserve"> </w:t>
      </w:r>
      <w:r w:rsidRPr="000F07A4">
        <w:rPr>
          <w:rFonts w:asciiTheme="minorHAnsi" w:hAnsiTheme="minorHAnsi" w:cstheme="minorHAnsi"/>
          <w:w w:val="105"/>
          <w:sz w:val="24"/>
        </w:rPr>
        <w:t>are</w:t>
      </w:r>
      <w:r w:rsidRPr="000F07A4">
        <w:rPr>
          <w:rFonts w:asciiTheme="minorHAnsi" w:hAnsiTheme="minorHAnsi" w:cstheme="minorHAnsi"/>
          <w:spacing w:val="-6"/>
          <w:w w:val="105"/>
          <w:sz w:val="24"/>
        </w:rPr>
        <w:t xml:space="preserve"> </w:t>
      </w:r>
      <w:r w:rsidRPr="000F07A4">
        <w:rPr>
          <w:rFonts w:asciiTheme="minorHAnsi" w:hAnsiTheme="minorHAnsi" w:cstheme="minorHAnsi"/>
          <w:w w:val="105"/>
          <w:sz w:val="24"/>
        </w:rPr>
        <w:t>the</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major</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form</w:t>
      </w:r>
      <w:r w:rsidRPr="000F07A4">
        <w:rPr>
          <w:rFonts w:asciiTheme="minorHAnsi" w:hAnsiTheme="minorHAnsi" w:cstheme="minorHAnsi"/>
          <w:spacing w:val="-10"/>
          <w:w w:val="105"/>
          <w:sz w:val="24"/>
        </w:rPr>
        <w:t xml:space="preserve"> </w:t>
      </w:r>
      <w:r w:rsidRPr="000F07A4">
        <w:rPr>
          <w:rFonts w:asciiTheme="minorHAnsi" w:hAnsiTheme="minorHAnsi" w:cstheme="minorHAnsi"/>
          <w:w w:val="105"/>
          <w:sz w:val="24"/>
        </w:rPr>
        <w:t>of</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bacterial</w:t>
      </w:r>
      <w:r w:rsidRPr="000F07A4">
        <w:rPr>
          <w:rFonts w:asciiTheme="minorHAnsi" w:hAnsiTheme="minorHAnsi" w:cstheme="minorHAnsi"/>
          <w:spacing w:val="-10"/>
          <w:w w:val="105"/>
          <w:sz w:val="24"/>
        </w:rPr>
        <w:t xml:space="preserve"> </w:t>
      </w:r>
      <w:r w:rsidRPr="000F07A4">
        <w:rPr>
          <w:rFonts w:asciiTheme="minorHAnsi" w:hAnsiTheme="minorHAnsi" w:cstheme="minorHAnsi"/>
          <w:w w:val="105"/>
          <w:sz w:val="24"/>
        </w:rPr>
        <w:t>organization</w:t>
      </w:r>
      <w:r w:rsidRPr="000F07A4">
        <w:rPr>
          <w:rFonts w:asciiTheme="minorHAnsi" w:hAnsiTheme="minorHAnsi" w:cstheme="minorHAnsi"/>
          <w:spacing w:val="-8"/>
          <w:w w:val="105"/>
          <w:sz w:val="24"/>
        </w:rPr>
        <w:t xml:space="preserve"> </w:t>
      </w:r>
      <w:r w:rsidRPr="000F07A4">
        <w:rPr>
          <w:rFonts w:asciiTheme="minorHAnsi" w:hAnsiTheme="minorHAnsi" w:cstheme="minorHAnsi"/>
          <w:w w:val="105"/>
          <w:sz w:val="24"/>
        </w:rPr>
        <w:t>in</w:t>
      </w:r>
      <w:r w:rsidRPr="000F07A4">
        <w:rPr>
          <w:rFonts w:asciiTheme="minorHAnsi" w:hAnsiTheme="minorHAnsi" w:cstheme="minorHAnsi"/>
          <w:spacing w:val="-7"/>
          <w:w w:val="105"/>
          <w:sz w:val="24"/>
        </w:rPr>
        <w:t xml:space="preserve"> </w:t>
      </w:r>
      <w:r w:rsidRPr="000F07A4">
        <w:rPr>
          <w:rFonts w:asciiTheme="minorHAnsi" w:hAnsiTheme="minorHAnsi" w:cstheme="minorHAnsi"/>
          <w:w w:val="105"/>
          <w:sz w:val="24"/>
        </w:rPr>
        <w:t>infected</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root</w:t>
      </w:r>
      <w:r w:rsidRPr="000F07A4">
        <w:rPr>
          <w:rFonts w:asciiTheme="minorHAnsi" w:hAnsiTheme="minorHAnsi" w:cstheme="minorHAnsi"/>
          <w:spacing w:val="-10"/>
          <w:w w:val="105"/>
          <w:sz w:val="24"/>
        </w:rPr>
        <w:t xml:space="preserve"> </w:t>
      </w:r>
      <w:r w:rsidRPr="000F07A4">
        <w:rPr>
          <w:rFonts w:asciiTheme="minorHAnsi" w:hAnsiTheme="minorHAnsi" w:cstheme="minorHAnsi"/>
          <w:w w:val="105"/>
          <w:sz w:val="24"/>
        </w:rPr>
        <w:t>canals.</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In</w:t>
      </w:r>
      <w:r w:rsidR="004114FD">
        <w:rPr>
          <w:rFonts w:asciiTheme="minorHAnsi" w:hAnsiTheme="minorHAnsi" w:cstheme="minorHAnsi"/>
          <w:spacing w:val="-58"/>
          <w:w w:val="105"/>
          <w:sz w:val="24"/>
        </w:rPr>
        <w:t xml:space="preserve"> </w:t>
      </w:r>
      <w:r w:rsidRPr="000F07A4">
        <w:rPr>
          <w:rFonts w:asciiTheme="minorHAnsi" w:hAnsiTheme="minorHAnsi" w:cstheme="minorHAnsi"/>
          <w:w w:val="105"/>
          <w:sz w:val="24"/>
        </w:rPr>
        <w:t xml:space="preserve">these structures, different bacterial species are </w:t>
      </w:r>
      <w:r w:rsidR="004754F6">
        <w:rPr>
          <w:rFonts w:asciiTheme="minorHAnsi" w:hAnsiTheme="minorHAnsi" w:cstheme="minorHAnsi"/>
          <w:w w:val="105"/>
          <w:sz w:val="24"/>
        </w:rPr>
        <w:t>near</w:t>
      </w:r>
      <w:r w:rsidRPr="000F07A4">
        <w:rPr>
          <w:rFonts w:asciiTheme="minorHAnsi" w:hAnsiTheme="minorHAnsi" w:cstheme="minorHAnsi"/>
          <w:w w:val="105"/>
          <w:sz w:val="24"/>
        </w:rPr>
        <w:t xml:space="preserve"> one</w:t>
      </w:r>
      <w:r w:rsidRPr="000F07A4">
        <w:rPr>
          <w:rFonts w:asciiTheme="minorHAnsi" w:hAnsiTheme="minorHAnsi" w:cstheme="minorHAnsi"/>
          <w:spacing w:val="1"/>
          <w:w w:val="105"/>
          <w:sz w:val="24"/>
        </w:rPr>
        <w:t xml:space="preserve"> </w:t>
      </w:r>
      <w:r w:rsidRPr="000F07A4">
        <w:rPr>
          <w:rFonts w:asciiTheme="minorHAnsi" w:hAnsiTheme="minorHAnsi" w:cstheme="minorHAnsi"/>
          <w:sz w:val="24"/>
        </w:rPr>
        <w:t xml:space="preserve">another and interact with other species. </w:t>
      </w:r>
      <w:r w:rsidR="00661B36">
        <w:rPr>
          <w:rFonts w:asciiTheme="minorHAnsi" w:hAnsiTheme="minorHAnsi" w:cstheme="minorHAnsi"/>
          <w:w w:val="105"/>
          <w:sz w:val="24"/>
        </w:rPr>
        <w:t>The prevalence</w:t>
      </w:r>
      <w:r w:rsidRPr="000F07A4">
        <w:rPr>
          <w:rFonts w:asciiTheme="minorHAnsi" w:hAnsiTheme="minorHAnsi" w:cstheme="minorHAnsi"/>
          <w:spacing w:val="-4"/>
          <w:w w:val="105"/>
          <w:sz w:val="24"/>
        </w:rPr>
        <w:t xml:space="preserve"> </w:t>
      </w:r>
      <w:r w:rsidRPr="000F07A4">
        <w:rPr>
          <w:rFonts w:asciiTheme="minorHAnsi" w:hAnsiTheme="minorHAnsi" w:cstheme="minorHAnsi"/>
          <w:w w:val="105"/>
          <w:sz w:val="24"/>
        </w:rPr>
        <w:t>of</w:t>
      </w:r>
      <w:r w:rsidRPr="000F07A4">
        <w:rPr>
          <w:rFonts w:asciiTheme="minorHAnsi" w:hAnsiTheme="minorHAnsi" w:cstheme="minorHAnsi"/>
          <w:spacing w:val="-57"/>
          <w:w w:val="105"/>
          <w:sz w:val="24"/>
        </w:rPr>
        <w:t xml:space="preserve"> </w:t>
      </w:r>
      <w:r w:rsidRPr="000F07A4">
        <w:rPr>
          <w:rFonts w:asciiTheme="minorHAnsi" w:hAnsiTheme="minorHAnsi" w:cstheme="minorHAnsi"/>
          <w:sz w:val="24"/>
        </w:rPr>
        <w:t>biofilms and their association with diverse presentations of apical periodontitis</w:t>
      </w:r>
      <w:r w:rsidRPr="000F07A4">
        <w:rPr>
          <w:rFonts w:asciiTheme="minorHAnsi" w:hAnsiTheme="minorHAnsi" w:cstheme="minorHAnsi"/>
          <w:spacing w:val="1"/>
          <w:sz w:val="24"/>
        </w:rPr>
        <w:t xml:space="preserve"> </w:t>
      </w:r>
      <w:r w:rsidRPr="000F07A4">
        <w:rPr>
          <w:rFonts w:asciiTheme="minorHAnsi" w:hAnsiTheme="minorHAnsi" w:cstheme="minorHAnsi"/>
          <w:sz w:val="24"/>
        </w:rPr>
        <w:t xml:space="preserve">were only recently disclosed in a study by Ricucci and Siqueira (2010). </w:t>
      </w:r>
    </w:p>
    <w:p w14:paraId="4A5C6700" w14:textId="69D207D1" w:rsidR="00D32849" w:rsidRDefault="00F12B67" w:rsidP="00D32849">
      <w:pPr>
        <w:pStyle w:val="BodyText"/>
        <w:spacing w:before="1" w:line="381" w:lineRule="auto"/>
        <w:ind w:right="496" w:firstLine="719"/>
        <w:rPr>
          <w:rFonts w:asciiTheme="minorHAnsi" w:hAnsiTheme="minorHAnsi" w:cstheme="minorHAnsi"/>
          <w:w w:val="105"/>
          <w:sz w:val="24"/>
        </w:rPr>
      </w:pPr>
      <w:r w:rsidRPr="000F07A4">
        <w:rPr>
          <w:rFonts w:asciiTheme="minorHAnsi" w:hAnsiTheme="minorHAnsi" w:cstheme="minorHAnsi"/>
          <w:w w:val="105"/>
          <w:sz w:val="24"/>
        </w:rPr>
        <w:t>The</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endodontic</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microbiota</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has</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been</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traditionally</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investigated</w:t>
      </w:r>
      <w:r w:rsidR="00661B36">
        <w:rPr>
          <w:rFonts w:asciiTheme="minorHAnsi" w:hAnsiTheme="minorHAnsi" w:cstheme="minorHAnsi"/>
          <w:spacing w:val="1"/>
          <w:w w:val="105"/>
          <w:sz w:val="24"/>
        </w:rPr>
        <w:t xml:space="preserve"> </w:t>
      </w:r>
      <w:r w:rsidRPr="000F07A4">
        <w:rPr>
          <w:rFonts w:asciiTheme="minorHAnsi" w:hAnsiTheme="minorHAnsi" w:cstheme="minorHAnsi"/>
          <w:w w:val="105"/>
          <w:sz w:val="24"/>
        </w:rPr>
        <w:t>by</w:t>
      </w:r>
      <w:r w:rsidR="00661B36">
        <w:rPr>
          <w:rFonts w:asciiTheme="minorHAnsi" w:hAnsiTheme="minorHAnsi" w:cstheme="minorHAnsi"/>
          <w:spacing w:val="1"/>
          <w:w w:val="105"/>
          <w:sz w:val="24"/>
        </w:rPr>
        <w:t xml:space="preserve"> the </w:t>
      </w:r>
      <w:r w:rsidRPr="000F07A4">
        <w:rPr>
          <w:rFonts w:asciiTheme="minorHAnsi" w:hAnsiTheme="minorHAnsi" w:cstheme="minorHAnsi"/>
          <w:w w:val="105"/>
          <w:sz w:val="24"/>
        </w:rPr>
        <w:t>microbiologic</w:t>
      </w:r>
      <w:r w:rsidRPr="000F07A4">
        <w:rPr>
          <w:rFonts w:asciiTheme="minorHAnsi" w:hAnsiTheme="minorHAnsi" w:cstheme="minorHAnsi"/>
          <w:spacing w:val="-8"/>
          <w:w w:val="105"/>
          <w:sz w:val="24"/>
        </w:rPr>
        <w:t xml:space="preserve"> </w:t>
      </w:r>
      <w:r w:rsidRPr="000F07A4">
        <w:rPr>
          <w:rFonts w:asciiTheme="minorHAnsi" w:hAnsiTheme="minorHAnsi" w:cstheme="minorHAnsi"/>
          <w:w w:val="105"/>
          <w:sz w:val="24"/>
        </w:rPr>
        <w:t>culture</w:t>
      </w:r>
      <w:r w:rsidRPr="000F07A4">
        <w:rPr>
          <w:rFonts w:asciiTheme="minorHAnsi" w:hAnsiTheme="minorHAnsi" w:cstheme="minorHAnsi"/>
          <w:spacing w:val="-10"/>
          <w:w w:val="105"/>
          <w:sz w:val="24"/>
        </w:rPr>
        <w:t xml:space="preserve"> </w:t>
      </w:r>
      <w:r w:rsidRPr="000F07A4">
        <w:rPr>
          <w:rFonts w:asciiTheme="minorHAnsi" w:hAnsiTheme="minorHAnsi" w:cstheme="minorHAnsi"/>
          <w:w w:val="105"/>
          <w:sz w:val="24"/>
        </w:rPr>
        <w:t>method.</w:t>
      </w:r>
      <w:r w:rsidRPr="000F07A4">
        <w:rPr>
          <w:rFonts w:asciiTheme="minorHAnsi" w:hAnsiTheme="minorHAnsi" w:cstheme="minorHAnsi"/>
          <w:spacing w:val="-10"/>
          <w:w w:val="105"/>
          <w:sz w:val="24"/>
        </w:rPr>
        <w:t xml:space="preserve"> </w:t>
      </w:r>
      <w:r w:rsidRPr="000F07A4">
        <w:rPr>
          <w:rFonts w:asciiTheme="minorHAnsi" w:hAnsiTheme="minorHAnsi" w:cstheme="minorHAnsi"/>
          <w:sz w:val="24"/>
        </w:rPr>
        <w:t>Unfortunately, not all microorganisms</w:t>
      </w:r>
      <w:r w:rsidRPr="000F07A4">
        <w:rPr>
          <w:rFonts w:asciiTheme="minorHAnsi" w:hAnsiTheme="minorHAnsi" w:cstheme="minorHAnsi"/>
          <w:spacing w:val="1"/>
          <w:sz w:val="24"/>
        </w:rPr>
        <w:t xml:space="preserve"> </w:t>
      </w:r>
      <w:r w:rsidRPr="000F07A4">
        <w:rPr>
          <w:rFonts w:asciiTheme="minorHAnsi" w:hAnsiTheme="minorHAnsi" w:cstheme="minorHAnsi"/>
          <w:w w:val="105"/>
          <w:sz w:val="24"/>
        </w:rPr>
        <w:t>can be cultivated under artificial conditions, and this is simply because the</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nutritional and physiologic needs of most microorganisms are still unknown.</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To</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sidestep</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the</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limitations</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of</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culturing,</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tools</w:t>
      </w:r>
      <w:r w:rsidR="00177AC8">
        <w:rPr>
          <w:rFonts w:asciiTheme="minorHAnsi" w:hAnsiTheme="minorHAnsi" w:cstheme="minorHAnsi"/>
          <w:w w:val="105"/>
          <w:sz w:val="24"/>
        </w:rPr>
        <w:t>,</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and</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procedures</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based</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on</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molecular</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biology</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have</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become</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available</w:t>
      </w:r>
      <w:r w:rsidRPr="000F07A4">
        <w:rPr>
          <w:rFonts w:asciiTheme="minorHAnsi" w:hAnsiTheme="minorHAnsi" w:cstheme="minorHAnsi"/>
          <w:spacing w:val="-7"/>
          <w:w w:val="105"/>
          <w:sz w:val="24"/>
        </w:rPr>
        <w:t xml:space="preserve"> </w:t>
      </w:r>
      <w:r w:rsidRPr="000F07A4">
        <w:rPr>
          <w:rFonts w:asciiTheme="minorHAnsi" w:hAnsiTheme="minorHAnsi" w:cstheme="minorHAnsi"/>
          <w:w w:val="105"/>
          <w:sz w:val="24"/>
        </w:rPr>
        <w:t>and</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have</w:t>
      </w:r>
      <w:r w:rsidRPr="000F07A4">
        <w:rPr>
          <w:rFonts w:asciiTheme="minorHAnsi" w:hAnsiTheme="minorHAnsi" w:cstheme="minorHAnsi"/>
          <w:spacing w:val="-8"/>
          <w:w w:val="105"/>
          <w:sz w:val="24"/>
        </w:rPr>
        <w:t xml:space="preserve"> </w:t>
      </w:r>
      <w:r w:rsidRPr="000F07A4">
        <w:rPr>
          <w:rFonts w:asciiTheme="minorHAnsi" w:hAnsiTheme="minorHAnsi" w:cstheme="minorHAnsi"/>
          <w:w w:val="105"/>
          <w:sz w:val="24"/>
        </w:rPr>
        <w:t>substantially</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improved</w:t>
      </w:r>
      <w:r w:rsidRPr="000F07A4">
        <w:rPr>
          <w:rFonts w:asciiTheme="minorHAnsi" w:hAnsiTheme="minorHAnsi" w:cstheme="minorHAnsi"/>
          <w:spacing w:val="-9"/>
          <w:w w:val="105"/>
          <w:sz w:val="24"/>
        </w:rPr>
        <w:t xml:space="preserve"> </w:t>
      </w:r>
      <w:r w:rsidRPr="000F07A4">
        <w:rPr>
          <w:rFonts w:asciiTheme="minorHAnsi" w:hAnsiTheme="minorHAnsi" w:cstheme="minorHAnsi"/>
          <w:w w:val="105"/>
          <w:sz w:val="24"/>
        </w:rPr>
        <w:t>the</w:t>
      </w:r>
      <w:r w:rsidRPr="000F07A4">
        <w:rPr>
          <w:rFonts w:asciiTheme="minorHAnsi" w:hAnsiTheme="minorHAnsi" w:cstheme="minorHAnsi"/>
          <w:spacing w:val="-58"/>
          <w:w w:val="105"/>
          <w:sz w:val="24"/>
        </w:rPr>
        <w:t xml:space="preserve"> </w:t>
      </w:r>
      <w:r w:rsidRPr="000F07A4">
        <w:rPr>
          <w:rFonts w:asciiTheme="minorHAnsi" w:hAnsiTheme="minorHAnsi" w:cstheme="minorHAnsi"/>
          <w:sz w:val="24"/>
        </w:rPr>
        <w:t>ability to achieve a more realistic description of the microbial world without the</w:t>
      </w:r>
      <w:r w:rsidRPr="000F07A4">
        <w:rPr>
          <w:rFonts w:asciiTheme="minorHAnsi" w:hAnsiTheme="minorHAnsi" w:cstheme="minorHAnsi"/>
          <w:spacing w:val="1"/>
          <w:sz w:val="24"/>
        </w:rPr>
        <w:t xml:space="preserve"> </w:t>
      </w:r>
      <w:r w:rsidRPr="000F07A4">
        <w:rPr>
          <w:rFonts w:asciiTheme="minorHAnsi" w:hAnsiTheme="minorHAnsi" w:cstheme="minorHAnsi"/>
          <w:sz w:val="24"/>
        </w:rPr>
        <w:t xml:space="preserve">need for cultivation. </w:t>
      </w:r>
      <w:r w:rsidRPr="000F07A4">
        <w:rPr>
          <w:rFonts w:asciiTheme="minorHAnsi" w:hAnsiTheme="minorHAnsi" w:cstheme="minorHAnsi"/>
          <w:w w:val="105"/>
          <w:sz w:val="24"/>
        </w:rPr>
        <w:t>Bacterial</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community</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structures</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can</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be</w:t>
      </w:r>
      <w:r w:rsidRPr="000F07A4">
        <w:rPr>
          <w:rFonts w:asciiTheme="minorHAnsi" w:hAnsiTheme="minorHAnsi" w:cstheme="minorHAnsi"/>
          <w:spacing w:val="1"/>
          <w:w w:val="105"/>
          <w:sz w:val="24"/>
        </w:rPr>
        <w:t xml:space="preserve"> </w:t>
      </w:r>
      <w:r w:rsidR="00177AC8">
        <w:rPr>
          <w:rFonts w:asciiTheme="minorHAnsi" w:hAnsiTheme="minorHAnsi" w:cstheme="minorHAnsi"/>
          <w:w w:val="105"/>
          <w:sz w:val="24"/>
        </w:rPr>
        <w:t>analyzed</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via</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pyrosequencing</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technology</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and</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by</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fingerprinting</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techniques</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such</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as</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denaturing</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gradient</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gel</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electrophoresis</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(DGGE)</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and</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terminal</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restriction</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fragment length polymorphism (T-RFLP). Fluorescence in situ hybridization</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(FISH) can measure the abundance of target species and provide information</w:t>
      </w:r>
      <w:r w:rsidRPr="000F07A4">
        <w:rPr>
          <w:rFonts w:asciiTheme="minorHAnsi" w:hAnsiTheme="minorHAnsi" w:cstheme="minorHAnsi"/>
          <w:spacing w:val="1"/>
          <w:w w:val="105"/>
          <w:sz w:val="24"/>
        </w:rPr>
        <w:t xml:space="preserve"> </w:t>
      </w:r>
      <w:r w:rsidRPr="000F07A4">
        <w:rPr>
          <w:rFonts w:asciiTheme="minorHAnsi" w:hAnsiTheme="minorHAnsi" w:cstheme="minorHAnsi"/>
          <w:w w:val="105"/>
          <w:sz w:val="24"/>
        </w:rPr>
        <w:t>on their spatial distribution in tissues. Variations</w:t>
      </w:r>
      <w:r w:rsidRPr="000F07A4">
        <w:rPr>
          <w:rFonts w:asciiTheme="minorHAnsi" w:hAnsiTheme="minorHAnsi" w:cstheme="minorHAnsi"/>
          <w:spacing w:val="-7"/>
          <w:w w:val="105"/>
          <w:sz w:val="24"/>
        </w:rPr>
        <w:t xml:space="preserve"> </w:t>
      </w:r>
      <w:r w:rsidRPr="000F07A4">
        <w:rPr>
          <w:rFonts w:asciiTheme="minorHAnsi" w:hAnsiTheme="minorHAnsi" w:cstheme="minorHAnsi"/>
          <w:w w:val="105"/>
          <w:sz w:val="24"/>
        </w:rPr>
        <w:t>in</w:t>
      </w:r>
      <w:r w:rsidRPr="000F07A4">
        <w:rPr>
          <w:rFonts w:asciiTheme="minorHAnsi" w:hAnsiTheme="minorHAnsi" w:cstheme="minorHAnsi"/>
          <w:spacing w:val="-7"/>
          <w:w w:val="105"/>
          <w:sz w:val="24"/>
        </w:rPr>
        <w:t xml:space="preserve"> </w:t>
      </w:r>
      <w:r w:rsidRPr="000F07A4">
        <w:rPr>
          <w:rFonts w:asciiTheme="minorHAnsi" w:hAnsiTheme="minorHAnsi" w:cstheme="minorHAnsi"/>
          <w:w w:val="105"/>
          <w:sz w:val="24"/>
        </w:rPr>
        <w:t>PCR</w:t>
      </w:r>
      <w:r w:rsidRPr="000F07A4">
        <w:rPr>
          <w:rFonts w:asciiTheme="minorHAnsi" w:hAnsiTheme="minorHAnsi" w:cstheme="minorHAnsi"/>
          <w:spacing w:val="-8"/>
          <w:w w:val="105"/>
          <w:sz w:val="24"/>
        </w:rPr>
        <w:t xml:space="preserve"> </w:t>
      </w:r>
      <w:r w:rsidRPr="000F07A4">
        <w:rPr>
          <w:rFonts w:asciiTheme="minorHAnsi" w:hAnsiTheme="minorHAnsi" w:cstheme="minorHAnsi"/>
          <w:w w:val="105"/>
          <w:sz w:val="24"/>
        </w:rPr>
        <w:t>technology</w:t>
      </w:r>
      <w:r w:rsidRPr="000F07A4">
        <w:rPr>
          <w:rFonts w:asciiTheme="minorHAnsi" w:hAnsiTheme="minorHAnsi" w:cstheme="minorHAnsi"/>
          <w:spacing w:val="-10"/>
          <w:w w:val="105"/>
          <w:sz w:val="24"/>
        </w:rPr>
        <w:t xml:space="preserve"> </w:t>
      </w:r>
      <w:r w:rsidRPr="000F07A4">
        <w:rPr>
          <w:rFonts w:asciiTheme="minorHAnsi" w:hAnsiTheme="minorHAnsi" w:cstheme="minorHAnsi"/>
          <w:w w:val="105"/>
          <w:sz w:val="24"/>
        </w:rPr>
        <w:t>can</w:t>
      </w:r>
      <w:r w:rsidRPr="000F07A4">
        <w:rPr>
          <w:rFonts w:asciiTheme="minorHAnsi" w:hAnsiTheme="minorHAnsi" w:cstheme="minorHAnsi"/>
          <w:spacing w:val="-8"/>
          <w:w w:val="105"/>
          <w:sz w:val="24"/>
        </w:rPr>
        <w:t xml:space="preserve"> </w:t>
      </w:r>
      <w:r w:rsidRPr="000F07A4">
        <w:rPr>
          <w:rFonts w:asciiTheme="minorHAnsi" w:hAnsiTheme="minorHAnsi" w:cstheme="minorHAnsi"/>
          <w:w w:val="105"/>
          <w:sz w:val="24"/>
        </w:rPr>
        <w:t>also</w:t>
      </w:r>
      <w:r w:rsidRPr="000F07A4">
        <w:rPr>
          <w:rFonts w:asciiTheme="minorHAnsi" w:hAnsiTheme="minorHAnsi" w:cstheme="minorHAnsi"/>
          <w:spacing w:val="-10"/>
          <w:w w:val="105"/>
          <w:sz w:val="24"/>
        </w:rPr>
        <w:t xml:space="preserve"> </w:t>
      </w:r>
      <w:r w:rsidRPr="000F07A4">
        <w:rPr>
          <w:rFonts w:asciiTheme="minorHAnsi" w:hAnsiTheme="minorHAnsi" w:cstheme="minorHAnsi"/>
          <w:w w:val="105"/>
          <w:sz w:val="24"/>
        </w:rPr>
        <w:t>be</w:t>
      </w:r>
      <w:r w:rsidRPr="000F07A4">
        <w:rPr>
          <w:rFonts w:asciiTheme="minorHAnsi" w:hAnsiTheme="minorHAnsi" w:cstheme="minorHAnsi"/>
          <w:spacing w:val="-7"/>
          <w:w w:val="105"/>
          <w:sz w:val="24"/>
        </w:rPr>
        <w:t xml:space="preserve"> </w:t>
      </w:r>
      <w:r w:rsidRPr="000F07A4">
        <w:rPr>
          <w:rFonts w:asciiTheme="minorHAnsi" w:hAnsiTheme="minorHAnsi" w:cstheme="minorHAnsi"/>
          <w:w w:val="105"/>
          <w:sz w:val="24"/>
        </w:rPr>
        <w:t>used</w:t>
      </w:r>
      <w:r w:rsidRPr="000F07A4">
        <w:rPr>
          <w:rFonts w:asciiTheme="minorHAnsi" w:hAnsiTheme="minorHAnsi" w:cstheme="minorHAnsi"/>
          <w:spacing w:val="-7"/>
          <w:w w:val="105"/>
          <w:sz w:val="24"/>
        </w:rPr>
        <w:t xml:space="preserve"> </w:t>
      </w:r>
      <w:r w:rsidRPr="000F07A4">
        <w:rPr>
          <w:rFonts w:asciiTheme="minorHAnsi" w:hAnsiTheme="minorHAnsi" w:cstheme="minorHAnsi"/>
          <w:w w:val="105"/>
          <w:sz w:val="24"/>
        </w:rPr>
        <w:t>to</w:t>
      </w:r>
      <w:r w:rsidRPr="000F07A4">
        <w:rPr>
          <w:rFonts w:asciiTheme="minorHAnsi" w:hAnsiTheme="minorHAnsi" w:cstheme="minorHAnsi"/>
          <w:spacing w:val="-10"/>
          <w:w w:val="105"/>
          <w:sz w:val="24"/>
        </w:rPr>
        <w:t xml:space="preserve"> </w:t>
      </w:r>
      <w:r w:rsidRPr="000F07A4">
        <w:rPr>
          <w:rFonts w:asciiTheme="minorHAnsi" w:hAnsiTheme="minorHAnsi" w:cstheme="minorHAnsi"/>
          <w:w w:val="105"/>
          <w:sz w:val="24"/>
        </w:rPr>
        <w:t>type</w:t>
      </w:r>
      <w:r w:rsidRPr="000F07A4">
        <w:rPr>
          <w:rFonts w:asciiTheme="minorHAnsi" w:hAnsiTheme="minorHAnsi" w:cstheme="minorHAnsi"/>
          <w:spacing w:val="-8"/>
          <w:w w:val="105"/>
          <w:sz w:val="24"/>
        </w:rPr>
        <w:t xml:space="preserve"> </w:t>
      </w:r>
      <w:r w:rsidRPr="000F07A4">
        <w:rPr>
          <w:rFonts w:asciiTheme="minorHAnsi" w:hAnsiTheme="minorHAnsi" w:cstheme="minorHAnsi"/>
          <w:w w:val="105"/>
          <w:sz w:val="24"/>
        </w:rPr>
        <w:t>microbial</w:t>
      </w:r>
      <w:r w:rsidRPr="000F07A4">
        <w:rPr>
          <w:rFonts w:asciiTheme="minorHAnsi" w:hAnsiTheme="minorHAnsi" w:cstheme="minorHAnsi"/>
          <w:spacing w:val="-57"/>
          <w:w w:val="105"/>
          <w:sz w:val="24"/>
        </w:rPr>
        <w:t xml:space="preserve"> </w:t>
      </w:r>
      <w:r w:rsidRPr="000F07A4">
        <w:rPr>
          <w:rFonts w:asciiTheme="minorHAnsi" w:hAnsiTheme="minorHAnsi" w:cstheme="minorHAnsi"/>
          <w:w w:val="105"/>
          <w:sz w:val="24"/>
        </w:rPr>
        <w:t>strains</w:t>
      </w:r>
      <w:r w:rsidRPr="000F07A4">
        <w:rPr>
          <w:rFonts w:asciiTheme="minorHAnsi" w:hAnsiTheme="minorHAnsi" w:cstheme="minorHAnsi"/>
          <w:spacing w:val="2"/>
          <w:w w:val="105"/>
          <w:sz w:val="24"/>
        </w:rPr>
        <w:t xml:space="preserve"> </w:t>
      </w:r>
      <w:r w:rsidRPr="000F07A4">
        <w:rPr>
          <w:rFonts w:asciiTheme="minorHAnsi" w:hAnsiTheme="minorHAnsi" w:cstheme="minorHAnsi"/>
          <w:w w:val="105"/>
          <w:sz w:val="24"/>
        </w:rPr>
        <w:t>(</w:t>
      </w:r>
      <w:proofErr w:type="spellStart"/>
      <w:r w:rsidRPr="000F07A4">
        <w:rPr>
          <w:rFonts w:asciiTheme="minorHAnsi" w:hAnsiTheme="minorHAnsi" w:cstheme="minorHAnsi"/>
          <w:w w:val="105"/>
          <w:sz w:val="24"/>
        </w:rPr>
        <w:t>Siquiera</w:t>
      </w:r>
      <w:proofErr w:type="spellEnd"/>
      <w:r w:rsidRPr="000F07A4">
        <w:rPr>
          <w:rFonts w:asciiTheme="minorHAnsi" w:hAnsiTheme="minorHAnsi" w:cstheme="minorHAnsi"/>
          <w:spacing w:val="2"/>
          <w:w w:val="105"/>
          <w:sz w:val="24"/>
        </w:rPr>
        <w:t xml:space="preserve"> </w:t>
      </w:r>
      <w:r w:rsidRPr="000F07A4">
        <w:rPr>
          <w:rFonts w:asciiTheme="minorHAnsi" w:hAnsiTheme="minorHAnsi" w:cstheme="minorHAnsi"/>
          <w:w w:val="105"/>
          <w:sz w:val="24"/>
        </w:rPr>
        <w:t>and</w:t>
      </w:r>
      <w:r w:rsidRPr="000F07A4">
        <w:rPr>
          <w:rFonts w:asciiTheme="minorHAnsi" w:hAnsiTheme="minorHAnsi" w:cstheme="minorHAnsi"/>
          <w:spacing w:val="5"/>
          <w:w w:val="105"/>
          <w:sz w:val="24"/>
        </w:rPr>
        <w:t xml:space="preserve"> </w:t>
      </w:r>
      <w:proofErr w:type="spellStart"/>
      <w:r w:rsidRPr="000F07A4">
        <w:rPr>
          <w:rFonts w:asciiTheme="minorHAnsi" w:hAnsiTheme="minorHAnsi" w:cstheme="minorHAnsi"/>
          <w:w w:val="105"/>
          <w:sz w:val="24"/>
        </w:rPr>
        <w:t>Rocas</w:t>
      </w:r>
      <w:proofErr w:type="spellEnd"/>
      <w:r w:rsidRPr="000F07A4">
        <w:rPr>
          <w:rFonts w:asciiTheme="minorHAnsi" w:hAnsiTheme="minorHAnsi" w:cstheme="minorHAnsi"/>
          <w:w w:val="105"/>
          <w:sz w:val="24"/>
        </w:rPr>
        <w:t>,</w:t>
      </w:r>
      <w:r w:rsidRPr="000F07A4">
        <w:rPr>
          <w:rFonts w:asciiTheme="minorHAnsi" w:hAnsiTheme="minorHAnsi" w:cstheme="minorHAnsi"/>
          <w:spacing w:val="4"/>
          <w:w w:val="105"/>
          <w:sz w:val="24"/>
        </w:rPr>
        <w:t xml:space="preserve"> </w:t>
      </w:r>
      <w:r w:rsidRPr="000F07A4">
        <w:rPr>
          <w:rFonts w:asciiTheme="minorHAnsi" w:hAnsiTheme="minorHAnsi" w:cstheme="minorHAnsi"/>
          <w:w w:val="105"/>
          <w:sz w:val="24"/>
        </w:rPr>
        <w:t>2004).</w:t>
      </w:r>
      <w:r w:rsidR="00D32849">
        <w:rPr>
          <w:rFonts w:asciiTheme="minorHAnsi" w:hAnsiTheme="minorHAnsi" w:cstheme="minorHAnsi"/>
          <w:w w:val="105"/>
          <w:sz w:val="24"/>
        </w:rPr>
        <w:t xml:space="preserve"> </w:t>
      </w:r>
    </w:p>
    <w:p w14:paraId="55E83F71" w14:textId="77777777" w:rsidR="001B3ED2" w:rsidRPr="00D32849" w:rsidRDefault="00D32849" w:rsidP="00D32849">
      <w:pPr>
        <w:pStyle w:val="Heading1"/>
        <w:tabs>
          <w:tab w:val="left" w:pos="464"/>
        </w:tabs>
        <w:spacing w:before="132"/>
        <w:ind w:left="0" w:firstLine="0"/>
        <w:rPr>
          <w:rFonts w:asciiTheme="minorHAnsi" w:eastAsia="Cambria" w:hAnsiTheme="minorHAnsi" w:cstheme="minorHAnsi"/>
          <w:bCs w:val="0"/>
          <w:w w:val="105"/>
          <w:sz w:val="28"/>
        </w:rPr>
      </w:pPr>
      <w:r w:rsidRPr="00D32849">
        <w:rPr>
          <w:rFonts w:asciiTheme="minorHAnsi" w:eastAsia="Cambria" w:hAnsiTheme="minorHAnsi" w:cstheme="minorHAnsi"/>
          <w:bCs w:val="0"/>
          <w:w w:val="105"/>
          <w:sz w:val="28"/>
        </w:rPr>
        <w:t>METHODS FOR BACTERIAL IDENTIFICATION</w:t>
      </w:r>
    </w:p>
    <w:p w14:paraId="49D6C717" w14:textId="77777777" w:rsidR="001B3ED2" w:rsidRPr="00D32849" w:rsidRDefault="001B3ED2">
      <w:pPr>
        <w:pStyle w:val="BodyText"/>
        <w:ind w:left="0"/>
        <w:jc w:val="left"/>
        <w:rPr>
          <w:rFonts w:asciiTheme="minorHAnsi" w:hAnsiTheme="minorHAnsi" w:cstheme="minorHAnsi"/>
          <w:w w:val="105"/>
          <w:sz w:val="24"/>
        </w:rPr>
      </w:pPr>
    </w:p>
    <w:p w14:paraId="4FA08C8E" w14:textId="7EE008D0" w:rsidR="001B3ED2" w:rsidRDefault="00F12B67" w:rsidP="00D32849">
      <w:pPr>
        <w:pStyle w:val="BodyText"/>
        <w:spacing w:line="381" w:lineRule="auto"/>
        <w:ind w:right="496" w:firstLine="719"/>
        <w:rPr>
          <w:rFonts w:asciiTheme="minorHAnsi" w:hAnsiTheme="minorHAnsi" w:cstheme="minorHAnsi"/>
          <w:w w:val="105"/>
          <w:sz w:val="24"/>
        </w:rPr>
      </w:pPr>
      <w:r w:rsidRPr="00D32849">
        <w:rPr>
          <w:rFonts w:asciiTheme="minorHAnsi" w:hAnsiTheme="minorHAnsi" w:cstheme="minorHAnsi"/>
          <w:w w:val="105"/>
          <w:sz w:val="24"/>
        </w:rPr>
        <w:t xml:space="preserve">Microscopies, Transmission electron microscopy, scanning electron microscopy, </w:t>
      </w:r>
      <w:r w:rsidR="00177AC8">
        <w:rPr>
          <w:rFonts w:asciiTheme="minorHAnsi" w:hAnsiTheme="minorHAnsi" w:cstheme="minorHAnsi"/>
          <w:w w:val="105"/>
          <w:sz w:val="24"/>
        </w:rPr>
        <w:t xml:space="preserve">and </w:t>
      </w:r>
      <w:r w:rsidRPr="00D32849">
        <w:rPr>
          <w:rFonts w:asciiTheme="minorHAnsi" w:hAnsiTheme="minorHAnsi" w:cstheme="minorHAnsi"/>
          <w:w w:val="105"/>
          <w:sz w:val="24"/>
        </w:rPr>
        <w:t xml:space="preserve">newer techniques </w:t>
      </w:r>
      <w:r w:rsidR="00177AC8">
        <w:rPr>
          <w:rFonts w:asciiTheme="minorHAnsi" w:hAnsiTheme="minorHAnsi" w:cstheme="minorHAnsi"/>
          <w:w w:val="105"/>
          <w:sz w:val="24"/>
        </w:rPr>
        <w:t>in</w:t>
      </w:r>
      <w:r w:rsidRPr="00D32849">
        <w:rPr>
          <w:rFonts w:asciiTheme="minorHAnsi" w:hAnsiTheme="minorHAnsi" w:cstheme="minorHAnsi"/>
          <w:w w:val="105"/>
          <w:sz w:val="24"/>
        </w:rPr>
        <w:t xml:space="preserve"> molecular biology have also been developed through </w:t>
      </w:r>
      <w:r w:rsidR="004754F6">
        <w:rPr>
          <w:rFonts w:asciiTheme="minorHAnsi" w:hAnsiTheme="minorHAnsi" w:cstheme="minorHAnsi"/>
          <w:w w:val="105"/>
          <w:sz w:val="24"/>
        </w:rPr>
        <w:t xml:space="preserve">the </w:t>
      </w:r>
      <w:r w:rsidRPr="00D32849">
        <w:rPr>
          <w:rFonts w:asciiTheme="minorHAnsi" w:hAnsiTheme="minorHAnsi" w:cstheme="minorHAnsi"/>
          <w:w w:val="105"/>
          <w:sz w:val="24"/>
        </w:rPr>
        <w:t xml:space="preserve">years aimed </w:t>
      </w:r>
      <w:r w:rsidR="00177AC8">
        <w:rPr>
          <w:rFonts w:asciiTheme="minorHAnsi" w:hAnsiTheme="minorHAnsi" w:cstheme="minorHAnsi"/>
          <w:w w:val="105"/>
          <w:sz w:val="24"/>
        </w:rPr>
        <w:t>at giving</w:t>
      </w:r>
      <w:r w:rsidRPr="00D32849">
        <w:rPr>
          <w:rFonts w:asciiTheme="minorHAnsi" w:hAnsiTheme="minorHAnsi" w:cstheme="minorHAnsi"/>
          <w:w w:val="105"/>
          <w:sz w:val="24"/>
        </w:rPr>
        <w:t xml:space="preserve"> a detailed understanding of the microbial composition of the root canal flora. Newer techniques will complement or even change our future opinions on the natural history and complexity of the root canal flora (Woo et al., 2008).</w:t>
      </w:r>
    </w:p>
    <w:p w14:paraId="5D3CFD33" w14:textId="77777777" w:rsidR="00D32849" w:rsidRDefault="00D32849" w:rsidP="00A7204A">
      <w:pPr>
        <w:pStyle w:val="BodyText"/>
        <w:spacing w:line="381" w:lineRule="auto"/>
        <w:ind w:left="0" w:right="496" w:firstLine="719"/>
        <w:rPr>
          <w:rFonts w:asciiTheme="minorHAnsi" w:hAnsiTheme="minorHAnsi" w:cstheme="minorHAnsi"/>
          <w:w w:val="105"/>
          <w:sz w:val="24"/>
        </w:rPr>
      </w:pPr>
    </w:p>
    <w:p w14:paraId="37259A7F" w14:textId="77777777" w:rsidR="00A7204A" w:rsidRDefault="00A7204A" w:rsidP="00A7204A">
      <w:pPr>
        <w:pStyle w:val="Heading1"/>
        <w:tabs>
          <w:tab w:val="left" w:pos="464"/>
        </w:tabs>
        <w:ind w:left="0" w:firstLine="0"/>
        <w:rPr>
          <w:rFonts w:asciiTheme="minorHAnsi" w:hAnsiTheme="minorHAnsi" w:cstheme="minorHAnsi"/>
          <w:sz w:val="28"/>
        </w:rPr>
      </w:pPr>
      <w:r w:rsidRPr="00661B36">
        <w:rPr>
          <w:rFonts w:asciiTheme="minorHAnsi" w:hAnsiTheme="minorHAnsi" w:cstheme="minorHAnsi"/>
          <w:sz w:val="28"/>
        </w:rPr>
        <w:t>FIVE GENERATIONS OF ENDODONTIC MICROBIOLOGY STUDIES</w:t>
      </w:r>
    </w:p>
    <w:p w14:paraId="5221730C" w14:textId="77777777" w:rsidR="00A7204A" w:rsidRPr="004B34E3" w:rsidRDefault="00A7204A" w:rsidP="00A7204A">
      <w:pPr>
        <w:pStyle w:val="Heading1"/>
        <w:tabs>
          <w:tab w:val="left" w:pos="464"/>
        </w:tabs>
        <w:ind w:left="0" w:firstLine="0"/>
        <w:rPr>
          <w:rFonts w:asciiTheme="minorHAnsi" w:hAnsiTheme="minorHAnsi" w:cstheme="minorHAnsi"/>
          <w:w w:val="105"/>
          <w:sz w:val="24"/>
        </w:rPr>
      </w:pPr>
    </w:p>
    <w:p w14:paraId="6016AA28" w14:textId="77777777" w:rsidR="00A7204A" w:rsidRDefault="00A7204A" w:rsidP="00A7204A">
      <w:pPr>
        <w:pStyle w:val="BodyText"/>
        <w:numPr>
          <w:ilvl w:val="0"/>
          <w:numId w:val="13"/>
        </w:numPr>
        <w:spacing w:before="1" w:line="360" w:lineRule="auto"/>
        <w:rPr>
          <w:rFonts w:asciiTheme="minorHAnsi" w:hAnsiTheme="minorHAnsi" w:cstheme="minorHAnsi"/>
          <w:w w:val="105"/>
          <w:sz w:val="24"/>
        </w:rPr>
      </w:pPr>
      <w:r>
        <w:rPr>
          <w:rFonts w:asciiTheme="minorHAnsi" w:hAnsiTheme="minorHAnsi" w:cstheme="minorHAnsi"/>
          <w:w w:val="105"/>
          <w:sz w:val="24"/>
        </w:rPr>
        <w:t>First-generation</w:t>
      </w:r>
      <w:r w:rsidRPr="004B34E3">
        <w:rPr>
          <w:rFonts w:asciiTheme="minorHAnsi" w:hAnsiTheme="minorHAnsi" w:cstheme="minorHAnsi"/>
          <w:w w:val="105"/>
          <w:sz w:val="24"/>
        </w:rPr>
        <w:t xml:space="preserve"> studies were </w:t>
      </w:r>
      <w:r>
        <w:rPr>
          <w:rFonts w:asciiTheme="minorHAnsi" w:hAnsiTheme="minorHAnsi" w:cstheme="minorHAnsi"/>
          <w:w w:val="105"/>
          <w:sz w:val="24"/>
        </w:rPr>
        <w:t>Culture-dependent</w:t>
      </w:r>
      <w:r w:rsidRPr="004B34E3">
        <w:rPr>
          <w:rFonts w:asciiTheme="minorHAnsi" w:hAnsiTheme="minorHAnsi" w:cstheme="minorHAnsi"/>
          <w:w w:val="105"/>
          <w:sz w:val="24"/>
        </w:rPr>
        <w:t xml:space="preserve"> (broad range) </w:t>
      </w:r>
      <w:r>
        <w:rPr>
          <w:rFonts w:asciiTheme="minorHAnsi" w:hAnsiTheme="minorHAnsi" w:cstheme="minorHAnsi"/>
          <w:w w:val="105"/>
          <w:sz w:val="24"/>
        </w:rPr>
        <w:t xml:space="preserve">and </w:t>
      </w:r>
      <w:r w:rsidRPr="004B34E3">
        <w:rPr>
          <w:rFonts w:asciiTheme="minorHAnsi" w:hAnsiTheme="minorHAnsi" w:cstheme="minorHAnsi"/>
          <w:w w:val="105"/>
          <w:sz w:val="24"/>
        </w:rPr>
        <w:t xml:space="preserve">revealed many cultivable species in association with apical periodontitis. </w:t>
      </w:r>
    </w:p>
    <w:p w14:paraId="5D51913B" w14:textId="77777777" w:rsidR="00A7204A" w:rsidRDefault="00A7204A" w:rsidP="00A7204A">
      <w:pPr>
        <w:pStyle w:val="BodyText"/>
        <w:numPr>
          <w:ilvl w:val="0"/>
          <w:numId w:val="13"/>
        </w:numPr>
        <w:spacing w:before="1" w:line="360" w:lineRule="auto"/>
        <w:ind w:left="540"/>
        <w:rPr>
          <w:rFonts w:asciiTheme="minorHAnsi" w:hAnsiTheme="minorHAnsi" w:cstheme="minorHAnsi"/>
          <w:w w:val="105"/>
          <w:sz w:val="24"/>
        </w:rPr>
      </w:pPr>
      <w:r w:rsidRPr="00A7204A">
        <w:rPr>
          <w:rFonts w:asciiTheme="minorHAnsi" w:hAnsiTheme="minorHAnsi" w:cstheme="minorHAnsi"/>
          <w:w w:val="105"/>
          <w:sz w:val="24"/>
        </w:rPr>
        <w:lastRenderedPageBreak/>
        <w:t xml:space="preserve">Second Molecular methods (e.g., PCR and its derivatives, original checkerboard assay) Closed-ended (species-specific). Target cultivable bacteria confirmed and strengthened data from the first generation allowed the inclusion of some culture-difficult species in the set of candidate endodontic pathogens. </w:t>
      </w:r>
    </w:p>
    <w:p w14:paraId="150D4E1F" w14:textId="77777777" w:rsidR="00A7204A" w:rsidRDefault="00A7204A" w:rsidP="00A7204A">
      <w:pPr>
        <w:pStyle w:val="BodyText"/>
        <w:numPr>
          <w:ilvl w:val="0"/>
          <w:numId w:val="13"/>
        </w:numPr>
        <w:spacing w:before="1" w:line="360" w:lineRule="auto"/>
        <w:ind w:left="540"/>
        <w:rPr>
          <w:rFonts w:asciiTheme="minorHAnsi" w:hAnsiTheme="minorHAnsi" w:cstheme="minorHAnsi"/>
          <w:w w:val="105"/>
          <w:sz w:val="24"/>
        </w:rPr>
      </w:pPr>
      <w:r w:rsidRPr="00A7204A">
        <w:rPr>
          <w:rFonts w:asciiTheme="minorHAnsi" w:hAnsiTheme="minorHAnsi" w:cstheme="minorHAnsi"/>
          <w:w w:val="105"/>
          <w:sz w:val="24"/>
        </w:rPr>
        <w:t xml:space="preserve">Third Molecular methods (e.g., PCR-cloning-sequencing, T-RFLP) Open-ended (broad range) allowed a more comprehensive investigation of the bacterial diversity in endodontic infections. Not only cultivable species but also as-yet-uncultivated and uncharacterized bacteria were identified. </w:t>
      </w:r>
    </w:p>
    <w:p w14:paraId="0F4F1D2E" w14:textId="77777777" w:rsidR="00A7204A" w:rsidRDefault="00A7204A" w:rsidP="00A7204A">
      <w:pPr>
        <w:pStyle w:val="BodyText"/>
        <w:numPr>
          <w:ilvl w:val="0"/>
          <w:numId w:val="13"/>
        </w:numPr>
        <w:spacing w:before="1" w:line="360" w:lineRule="auto"/>
        <w:ind w:left="540"/>
        <w:rPr>
          <w:rFonts w:asciiTheme="minorHAnsi" w:hAnsiTheme="minorHAnsi" w:cstheme="minorHAnsi"/>
          <w:w w:val="105"/>
          <w:sz w:val="24"/>
        </w:rPr>
      </w:pPr>
      <w:r w:rsidRPr="00A7204A">
        <w:rPr>
          <w:rFonts w:asciiTheme="minorHAnsi" w:hAnsiTheme="minorHAnsi" w:cstheme="minorHAnsi"/>
          <w:w w:val="105"/>
          <w:sz w:val="24"/>
        </w:rPr>
        <w:t xml:space="preserve">Fourth Molecular methods (e.g., PCR, microarrays, reverse-capture checkerboard) were species-specific and targeted cultivable and as-yet- uncultivated bacteria. Large-scale clinical studies to investigate the prevalence and association of species/phylotypes with endodontic infections. </w:t>
      </w:r>
    </w:p>
    <w:p w14:paraId="54752328" w14:textId="3A7AAD17" w:rsidR="00A7204A" w:rsidRPr="00A7204A" w:rsidRDefault="00A7204A" w:rsidP="00A7204A">
      <w:pPr>
        <w:pStyle w:val="BodyText"/>
        <w:numPr>
          <w:ilvl w:val="0"/>
          <w:numId w:val="13"/>
        </w:numPr>
        <w:spacing w:before="1" w:line="360" w:lineRule="auto"/>
        <w:ind w:left="540"/>
        <w:rPr>
          <w:rFonts w:asciiTheme="minorHAnsi" w:hAnsiTheme="minorHAnsi" w:cstheme="minorHAnsi"/>
          <w:w w:val="105"/>
          <w:sz w:val="24"/>
        </w:rPr>
      </w:pPr>
      <w:r w:rsidRPr="00A7204A">
        <w:rPr>
          <w:rFonts w:asciiTheme="minorHAnsi" w:hAnsiTheme="minorHAnsi" w:cstheme="minorHAnsi"/>
          <w:w w:val="105"/>
          <w:sz w:val="24"/>
        </w:rPr>
        <w:t>Fifth Molecular methods (e.g., pyrosequencing) are a broad range that permits a deep-coverage and more comprehensive analysis of the diversity of endodontic infections. (Grossman L et al,1967)</w:t>
      </w:r>
    </w:p>
    <w:p w14:paraId="1BFEF692" w14:textId="77777777" w:rsidR="00A7204A" w:rsidRDefault="00A7204A" w:rsidP="00A7204A">
      <w:pPr>
        <w:pStyle w:val="BodyText"/>
        <w:spacing w:line="381" w:lineRule="auto"/>
        <w:ind w:left="0" w:right="496" w:firstLine="719"/>
        <w:rPr>
          <w:rFonts w:asciiTheme="minorHAnsi" w:hAnsiTheme="minorHAnsi" w:cstheme="minorHAnsi"/>
          <w:w w:val="105"/>
          <w:sz w:val="24"/>
        </w:rPr>
      </w:pPr>
    </w:p>
    <w:p w14:paraId="07CA70A9" w14:textId="67202992" w:rsidR="001B3ED2" w:rsidRPr="00D32849" w:rsidRDefault="00177AC8" w:rsidP="004B34E3">
      <w:pPr>
        <w:pStyle w:val="Heading1"/>
        <w:tabs>
          <w:tab w:val="left" w:pos="464"/>
        </w:tabs>
        <w:ind w:left="0" w:firstLine="0"/>
        <w:rPr>
          <w:rFonts w:asciiTheme="minorHAnsi" w:hAnsiTheme="minorHAnsi" w:cstheme="minorHAnsi"/>
          <w:sz w:val="28"/>
        </w:rPr>
      </w:pPr>
      <w:r>
        <w:rPr>
          <w:rFonts w:asciiTheme="minorHAnsi" w:hAnsiTheme="minorHAnsi" w:cstheme="minorHAnsi"/>
          <w:sz w:val="28"/>
        </w:rPr>
        <w:t>CULTURE-BASED</w:t>
      </w:r>
      <w:r w:rsidR="00D32849" w:rsidRPr="004B34E3">
        <w:rPr>
          <w:rFonts w:asciiTheme="minorHAnsi" w:hAnsiTheme="minorHAnsi" w:cstheme="minorHAnsi"/>
          <w:sz w:val="28"/>
        </w:rPr>
        <w:t xml:space="preserve"> </w:t>
      </w:r>
      <w:r w:rsidR="00D32849" w:rsidRPr="00D32849">
        <w:rPr>
          <w:rFonts w:asciiTheme="minorHAnsi" w:hAnsiTheme="minorHAnsi" w:cstheme="minorHAnsi"/>
          <w:sz w:val="28"/>
        </w:rPr>
        <w:t>ANALYSIS</w:t>
      </w:r>
    </w:p>
    <w:p w14:paraId="7C50C2C8" w14:textId="77777777" w:rsidR="001B3ED2" w:rsidRDefault="001B3ED2">
      <w:pPr>
        <w:pStyle w:val="BodyText"/>
        <w:spacing w:before="12"/>
        <w:ind w:left="0"/>
        <w:jc w:val="left"/>
        <w:rPr>
          <w:rFonts w:ascii="Palatino Linotype"/>
          <w:b/>
          <w:sz w:val="22"/>
        </w:rPr>
      </w:pPr>
    </w:p>
    <w:p w14:paraId="414D661F" w14:textId="03FBBCD0" w:rsidR="00D32849" w:rsidRDefault="00F12B67" w:rsidP="00D32849">
      <w:pPr>
        <w:pStyle w:val="BodyText"/>
        <w:spacing w:before="1" w:line="381" w:lineRule="auto"/>
        <w:ind w:right="504" w:firstLine="719"/>
        <w:rPr>
          <w:rFonts w:asciiTheme="minorHAnsi" w:hAnsiTheme="minorHAnsi" w:cstheme="minorHAnsi"/>
          <w:w w:val="105"/>
          <w:sz w:val="24"/>
        </w:rPr>
      </w:pPr>
      <w:r w:rsidRPr="00D32849">
        <w:rPr>
          <w:rFonts w:asciiTheme="minorHAnsi" w:hAnsiTheme="minorHAnsi" w:cstheme="minorHAnsi"/>
          <w:w w:val="105"/>
          <w:sz w:val="24"/>
        </w:rPr>
        <w:t>Culture is the process of propagating microorganisms in the laboratory</w:t>
      </w:r>
      <w:r w:rsidRPr="00D32849">
        <w:rPr>
          <w:rFonts w:asciiTheme="minorHAnsi" w:hAnsiTheme="minorHAnsi" w:cstheme="minorHAnsi"/>
          <w:spacing w:val="-58"/>
          <w:w w:val="105"/>
          <w:sz w:val="24"/>
        </w:rPr>
        <w:t xml:space="preserve"> </w:t>
      </w:r>
      <w:r w:rsidRPr="00D32849">
        <w:rPr>
          <w:rFonts w:asciiTheme="minorHAnsi" w:hAnsiTheme="minorHAnsi" w:cstheme="minorHAnsi"/>
          <w:w w:val="105"/>
          <w:sz w:val="24"/>
        </w:rPr>
        <w:t>by providing them with the required nutrients and proper physicochemical</w:t>
      </w:r>
      <w:r w:rsidRPr="00D32849">
        <w:rPr>
          <w:rFonts w:asciiTheme="minorHAnsi" w:hAnsiTheme="minorHAnsi" w:cstheme="minorHAnsi"/>
          <w:spacing w:val="1"/>
          <w:w w:val="105"/>
          <w:sz w:val="24"/>
        </w:rPr>
        <w:t xml:space="preserve"> </w:t>
      </w:r>
      <w:r w:rsidRPr="00D32849">
        <w:rPr>
          <w:rFonts w:asciiTheme="minorHAnsi" w:hAnsiTheme="minorHAnsi" w:cstheme="minorHAnsi"/>
          <w:w w:val="105"/>
          <w:sz w:val="24"/>
        </w:rPr>
        <w:t>conditions, including temperature, moisture, atmosphere, salt concentration,</w:t>
      </w:r>
      <w:r w:rsidRPr="00D32849">
        <w:rPr>
          <w:rFonts w:asciiTheme="minorHAnsi" w:hAnsiTheme="minorHAnsi" w:cstheme="minorHAnsi"/>
          <w:spacing w:val="1"/>
          <w:w w:val="105"/>
          <w:sz w:val="24"/>
        </w:rPr>
        <w:t xml:space="preserve"> </w:t>
      </w:r>
      <w:r w:rsidRPr="00D32849">
        <w:rPr>
          <w:rFonts w:asciiTheme="minorHAnsi" w:hAnsiTheme="minorHAnsi" w:cstheme="minorHAnsi"/>
          <w:w w:val="105"/>
          <w:sz w:val="24"/>
        </w:rPr>
        <w:t>and</w:t>
      </w:r>
      <w:r w:rsidRPr="00D32849">
        <w:rPr>
          <w:rFonts w:asciiTheme="minorHAnsi" w:hAnsiTheme="minorHAnsi" w:cstheme="minorHAnsi"/>
          <w:spacing w:val="-2"/>
          <w:w w:val="105"/>
          <w:sz w:val="24"/>
        </w:rPr>
        <w:t xml:space="preserve"> </w:t>
      </w:r>
      <w:r w:rsidRPr="00D32849">
        <w:rPr>
          <w:rFonts w:asciiTheme="minorHAnsi" w:hAnsiTheme="minorHAnsi" w:cstheme="minorHAnsi"/>
          <w:w w:val="105"/>
          <w:sz w:val="24"/>
        </w:rPr>
        <w:t>pH</w:t>
      </w:r>
      <w:r w:rsidRPr="00D32849">
        <w:rPr>
          <w:rFonts w:asciiTheme="minorHAnsi" w:hAnsiTheme="minorHAnsi" w:cstheme="minorHAnsi"/>
          <w:spacing w:val="-2"/>
          <w:w w:val="105"/>
          <w:sz w:val="24"/>
        </w:rPr>
        <w:t xml:space="preserve"> </w:t>
      </w:r>
      <w:r w:rsidRPr="00D32849">
        <w:rPr>
          <w:rFonts w:asciiTheme="minorHAnsi" w:hAnsiTheme="minorHAnsi" w:cstheme="minorHAnsi"/>
          <w:w w:val="105"/>
          <w:sz w:val="24"/>
        </w:rPr>
        <w:t>(Slots,</w:t>
      </w:r>
      <w:r w:rsidRPr="00D32849">
        <w:rPr>
          <w:rFonts w:asciiTheme="minorHAnsi" w:hAnsiTheme="minorHAnsi" w:cstheme="minorHAnsi"/>
          <w:spacing w:val="-1"/>
          <w:w w:val="105"/>
          <w:sz w:val="24"/>
        </w:rPr>
        <w:t xml:space="preserve"> </w:t>
      </w:r>
      <w:r w:rsidRPr="00D32849">
        <w:rPr>
          <w:rFonts w:asciiTheme="minorHAnsi" w:hAnsiTheme="minorHAnsi" w:cstheme="minorHAnsi"/>
          <w:w w:val="105"/>
          <w:sz w:val="24"/>
        </w:rPr>
        <w:t>1986).</w:t>
      </w:r>
      <w:r w:rsidRPr="00D32849">
        <w:rPr>
          <w:rFonts w:asciiTheme="minorHAnsi" w:hAnsiTheme="minorHAnsi" w:cstheme="minorHAnsi"/>
          <w:spacing w:val="1"/>
          <w:w w:val="105"/>
          <w:sz w:val="24"/>
        </w:rPr>
        <w:t xml:space="preserve"> </w:t>
      </w:r>
      <w:r w:rsidR="004754F6">
        <w:rPr>
          <w:rFonts w:asciiTheme="minorHAnsi" w:hAnsiTheme="minorHAnsi" w:cstheme="minorHAnsi"/>
          <w:w w:val="105"/>
          <w:sz w:val="24"/>
        </w:rPr>
        <w:t>The steps</w:t>
      </w:r>
      <w:r w:rsidRPr="00D32849">
        <w:rPr>
          <w:rFonts w:asciiTheme="minorHAnsi" w:hAnsiTheme="minorHAnsi" w:cstheme="minorHAnsi"/>
          <w:spacing w:val="-1"/>
          <w:w w:val="105"/>
          <w:sz w:val="24"/>
        </w:rPr>
        <w:t xml:space="preserve"> </w:t>
      </w:r>
      <w:r w:rsidRPr="00D32849">
        <w:rPr>
          <w:rFonts w:asciiTheme="minorHAnsi" w:hAnsiTheme="minorHAnsi" w:cstheme="minorHAnsi"/>
          <w:w w:val="105"/>
          <w:sz w:val="24"/>
        </w:rPr>
        <w:t>involved</w:t>
      </w:r>
      <w:r w:rsidRPr="00D32849">
        <w:rPr>
          <w:rFonts w:asciiTheme="minorHAnsi" w:hAnsiTheme="minorHAnsi" w:cstheme="minorHAnsi"/>
          <w:spacing w:val="1"/>
          <w:w w:val="105"/>
          <w:sz w:val="24"/>
        </w:rPr>
        <w:t xml:space="preserve"> </w:t>
      </w:r>
      <w:r w:rsidRPr="00D32849">
        <w:rPr>
          <w:rFonts w:asciiTheme="minorHAnsi" w:hAnsiTheme="minorHAnsi" w:cstheme="minorHAnsi"/>
          <w:w w:val="105"/>
          <w:sz w:val="24"/>
        </w:rPr>
        <w:t>in</w:t>
      </w:r>
      <w:r w:rsidRPr="00D32849">
        <w:rPr>
          <w:rFonts w:asciiTheme="minorHAnsi" w:hAnsiTheme="minorHAnsi" w:cstheme="minorHAnsi"/>
          <w:spacing w:val="-1"/>
          <w:w w:val="105"/>
          <w:sz w:val="24"/>
        </w:rPr>
        <w:t xml:space="preserve"> </w:t>
      </w:r>
      <w:r w:rsidRPr="00D32849">
        <w:rPr>
          <w:rFonts w:asciiTheme="minorHAnsi" w:hAnsiTheme="minorHAnsi" w:cstheme="minorHAnsi"/>
          <w:w w:val="105"/>
          <w:sz w:val="24"/>
        </w:rPr>
        <w:t>culture-based studies</w:t>
      </w:r>
      <w:r w:rsidRPr="00D32849">
        <w:rPr>
          <w:rFonts w:asciiTheme="minorHAnsi" w:hAnsiTheme="minorHAnsi" w:cstheme="minorHAnsi"/>
          <w:spacing w:val="-1"/>
          <w:w w:val="105"/>
          <w:sz w:val="24"/>
        </w:rPr>
        <w:t xml:space="preserve"> </w:t>
      </w:r>
      <w:r w:rsidRPr="00D32849">
        <w:rPr>
          <w:rFonts w:asciiTheme="minorHAnsi" w:hAnsiTheme="minorHAnsi" w:cstheme="minorHAnsi"/>
          <w:w w:val="105"/>
          <w:sz w:val="24"/>
        </w:rPr>
        <w:t>are;</w:t>
      </w:r>
    </w:p>
    <w:p w14:paraId="515389A7" w14:textId="77777777" w:rsidR="00D32849" w:rsidRPr="00D32849" w:rsidRDefault="00F12B67" w:rsidP="00D448CE">
      <w:pPr>
        <w:pStyle w:val="ListParagraph"/>
        <w:numPr>
          <w:ilvl w:val="2"/>
          <w:numId w:val="4"/>
        </w:numPr>
        <w:tabs>
          <w:tab w:val="left" w:pos="901"/>
        </w:tabs>
        <w:spacing w:before="178"/>
        <w:ind w:hanging="361"/>
        <w:rPr>
          <w:rFonts w:asciiTheme="minorHAnsi" w:hAnsiTheme="minorHAnsi" w:cstheme="minorHAnsi"/>
          <w:sz w:val="24"/>
        </w:rPr>
      </w:pPr>
      <w:r w:rsidRPr="00D32849">
        <w:rPr>
          <w:rFonts w:asciiTheme="minorHAnsi" w:hAnsiTheme="minorHAnsi" w:cstheme="minorHAnsi"/>
          <w:w w:val="105"/>
          <w:sz w:val="24"/>
        </w:rPr>
        <w:t>Sample</w:t>
      </w:r>
      <w:r w:rsidRPr="00D32849">
        <w:rPr>
          <w:rFonts w:asciiTheme="minorHAnsi" w:hAnsiTheme="minorHAnsi" w:cstheme="minorHAnsi"/>
          <w:spacing w:val="-15"/>
          <w:w w:val="105"/>
          <w:sz w:val="24"/>
        </w:rPr>
        <w:t xml:space="preserve"> </w:t>
      </w:r>
      <w:r w:rsidRPr="00D32849">
        <w:rPr>
          <w:rFonts w:asciiTheme="minorHAnsi" w:hAnsiTheme="minorHAnsi" w:cstheme="minorHAnsi"/>
          <w:w w:val="105"/>
          <w:sz w:val="24"/>
        </w:rPr>
        <w:t>collection</w:t>
      </w:r>
      <w:r w:rsidRPr="00D32849">
        <w:rPr>
          <w:rFonts w:asciiTheme="minorHAnsi" w:hAnsiTheme="minorHAnsi" w:cstheme="minorHAnsi"/>
          <w:spacing w:val="-15"/>
          <w:w w:val="105"/>
          <w:sz w:val="24"/>
        </w:rPr>
        <w:t xml:space="preserve"> </w:t>
      </w:r>
      <w:r w:rsidRPr="00D32849">
        <w:rPr>
          <w:rFonts w:asciiTheme="minorHAnsi" w:hAnsiTheme="minorHAnsi" w:cstheme="minorHAnsi"/>
          <w:w w:val="105"/>
          <w:sz w:val="24"/>
        </w:rPr>
        <w:t>and</w:t>
      </w:r>
      <w:r w:rsidRPr="00D32849">
        <w:rPr>
          <w:rFonts w:asciiTheme="minorHAnsi" w:hAnsiTheme="minorHAnsi" w:cstheme="minorHAnsi"/>
          <w:spacing w:val="-15"/>
          <w:w w:val="105"/>
          <w:sz w:val="24"/>
        </w:rPr>
        <w:t xml:space="preserve"> </w:t>
      </w:r>
      <w:r w:rsidRPr="00D32849">
        <w:rPr>
          <w:rFonts w:asciiTheme="minorHAnsi" w:hAnsiTheme="minorHAnsi" w:cstheme="minorHAnsi"/>
          <w:w w:val="105"/>
          <w:sz w:val="24"/>
        </w:rPr>
        <w:t>transport,</w:t>
      </w:r>
      <w:r w:rsidR="00D32849" w:rsidRPr="00D32849">
        <w:rPr>
          <w:rFonts w:asciiTheme="minorHAnsi" w:hAnsiTheme="minorHAnsi" w:cstheme="minorHAnsi"/>
          <w:w w:val="105"/>
          <w:sz w:val="24"/>
        </w:rPr>
        <w:t xml:space="preserve"> </w:t>
      </w:r>
    </w:p>
    <w:p w14:paraId="0CD4B612" w14:textId="77777777" w:rsidR="00D32849" w:rsidRPr="00D32849" w:rsidRDefault="00D32849" w:rsidP="00D448CE">
      <w:pPr>
        <w:pStyle w:val="ListParagraph"/>
        <w:numPr>
          <w:ilvl w:val="2"/>
          <w:numId w:val="4"/>
        </w:numPr>
        <w:tabs>
          <w:tab w:val="left" w:pos="901"/>
        </w:tabs>
        <w:spacing w:before="178"/>
        <w:ind w:hanging="361"/>
        <w:rPr>
          <w:rFonts w:asciiTheme="minorHAnsi" w:hAnsiTheme="minorHAnsi" w:cstheme="minorHAnsi"/>
          <w:sz w:val="24"/>
        </w:rPr>
      </w:pPr>
      <w:r w:rsidRPr="00D32849">
        <w:rPr>
          <w:rFonts w:asciiTheme="minorHAnsi" w:hAnsiTheme="minorHAnsi" w:cstheme="minorHAnsi"/>
          <w:w w:val="105"/>
          <w:sz w:val="24"/>
        </w:rPr>
        <w:t>Dispersion</w:t>
      </w:r>
    </w:p>
    <w:p w14:paraId="57598151" w14:textId="77777777" w:rsidR="00D32849" w:rsidRPr="00D32849" w:rsidRDefault="00D32849" w:rsidP="00D448CE">
      <w:pPr>
        <w:pStyle w:val="ListParagraph"/>
        <w:numPr>
          <w:ilvl w:val="2"/>
          <w:numId w:val="4"/>
        </w:numPr>
        <w:tabs>
          <w:tab w:val="left" w:pos="901"/>
        </w:tabs>
        <w:spacing w:before="176"/>
        <w:ind w:hanging="361"/>
        <w:rPr>
          <w:rFonts w:asciiTheme="minorHAnsi" w:hAnsiTheme="minorHAnsi" w:cstheme="minorHAnsi"/>
          <w:sz w:val="24"/>
        </w:rPr>
      </w:pPr>
      <w:r w:rsidRPr="00D32849">
        <w:rPr>
          <w:rFonts w:asciiTheme="minorHAnsi" w:hAnsiTheme="minorHAnsi" w:cstheme="minorHAnsi"/>
          <w:w w:val="105"/>
          <w:sz w:val="24"/>
        </w:rPr>
        <w:t>Dilution</w:t>
      </w:r>
    </w:p>
    <w:p w14:paraId="1FC2E3C8" w14:textId="77777777" w:rsidR="00D32849" w:rsidRPr="00D32849" w:rsidRDefault="00D32849" w:rsidP="00D448CE">
      <w:pPr>
        <w:pStyle w:val="ListParagraph"/>
        <w:numPr>
          <w:ilvl w:val="2"/>
          <w:numId w:val="4"/>
        </w:numPr>
        <w:tabs>
          <w:tab w:val="left" w:pos="901"/>
        </w:tabs>
        <w:spacing w:before="175"/>
        <w:ind w:hanging="361"/>
        <w:rPr>
          <w:rFonts w:asciiTheme="minorHAnsi" w:hAnsiTheme="minorHAnsi" w:cstheme="minorHAnsi"/>
          <w:sz w:val="24"/>
        </w:rPr>
      </w:pPr>
      <w:r w:rsidRPr="00D32849">
        <w:rPr>
          <w:rFonts w:asciiTheme="minorHAnsi" w:hAnsiTheme="minorHAnsi" w:cstheme="minorHAnsi"/>
          <w:w w:val="105"/>
          <w:sz w:val="24"/>
        </w:rPr>
        <w:t>Cultivation</w:t>
      </w:r>
    </w:p>
    <w:p w14:paraId="12A943F4" w14:textId="77777777" w:rsidR="00D32849" w:rsidRPr="00D32849" w:rsidRDefault="00D32849" w:rsidP="00D448CE">
      <w:pPr>
        <w:pStyle w:val="ListParagraph"/>
        <w:numPr>
          <w:ilvl w:val="2"/>
          <w:numId w:val="4"/>
        </w:numPr>
        <w:tabs>
          <w:tab w:val="left" w:pos="901"/>
        </w:tabs>
        <w:spacing w:before="175"/>
        <w:ind w:hanging="361"/>
        <w:rPr>
          <w:rFonts w:asciiTheme="minorHAnsi" w:hAnsiTheme="minorHAnsi" w:cstheme="minorHAnsi"/>
          <w:sz w:val="24"/>
        </w:rPr>
      </w:pPr>
      <w:r w:rsidRPr="00D32849">
        <w:rPr>
          <w:rFonts w:asciiTheme="minorHAnsi" w:hAnsiTheme="minorHAnsi" w:cstheme="minorHAnsi"/>
          <w:sz w:val="24"/>
        </w:rPr>
        <w:t>Isolation</w:t>
      </w:r>
    </w:p>
    <w:p w14:paraId="02A0A862" w14:textId="77777777" w:rsidR="00D32849" w:rsidRPr="00D32849" w:rsidRDefault="00D32849" w:rsidP="00D448CE">
      <w:pPr>
        <w:pStyle w:val="ListParagraph"/>
        <w:numPr>
          <w:ilvl w:val="2"/>
          <w:numId w:val="4"/>
        </w:numPr>
        <w:tabs>
          <w:tab w:val="left" w:pos="901"/>
        </w:tabs>
        <w:spacing w:before="176"/>
        <w:ind w:hanging="361"/>
        <w:rPr>
          <w:rFonts w:asciiTheme="minorHAnsi" w:hAnsiTheme="minorHAnsi" w:cstheme="minorHAnsi"/>
          <w:sz w:val="24"/>
        </w:rPr>
      </w:pPr>
      <w:r w:rsidRPr="00D32849">
        <w:rPr>
          <w:rFonts w:asciiTheme="minorHAnsi" w:hAnsiTheme="minorHAnsi" w:cstheme="minorHAnsi"/>
          <w:w w:val="105"/>
          <w:sz w:val="24"/>
        </w:rPr>
        <w:t>Identification</w:t>
      </w:r>
    </w:p>
    <w:p w14:paraId="686868AD" w14:textId="3D6DDA94" w:rsidR="001B3ED2" w:rsidRPr="00D32849" w:rsidRDefault="00D32849" w:rsidP="00D448CE">
      <w:pPr>
        <w:pStyle w:val="ListParagraph"/>
        <w:numPr>
          <w:ilvl w:val="2"/>
          <w:numId w:val="4"/>
        </w:numPr>
        <w:tabs>
          <w:tab w:val="left" w:pos="901"/>
        </w:tabs>
        <w:spacing w:before="175"/>
        <w:ind w:hanging="361"/>
        <w:rPr>
          <w:rFonts w:asciiTheme="minorHAnsi" w:hAnsiTheme="minorHAnsi" w:cstheme="minorHAnsi"/>
          <w:sz w:val="24"/>
        </w:rPr>
      </w:pPr>
      <w:r w:rsidRPr="00D32849">
        <w:rPr>
          <w:rFonts w:asciiTheme="minorHAnsi" w:hAnsiTheme="minorHAnsi" w:cstheme="minorHAnsi"/>
          <w:w w:val="105"/>
          <w:sz w:val="24"/>
        </w:rPr>
        <w:t>identified</w:t>
      </w:r>
      <w:r w:rsidRPr="00D32849">
        <w:rPr>
          <w:rFonts w:asciiTheme="minorHAnsi" w:hAnsiTheme="minorHAnsi" w:cstheme="minorHAnsi"/>
          <w:spacing w:val="-14"/>
          <w:w w:val="105"/>
          <w:sz w:val="24"/>
        </w:rPr>
        <w:t xml:space="preserve"> </w:t>
      </w:r>
      <w:r w:rsidR="004754F6">
        <w:rPr>
          <w:rFonts w:asciiTheme="minorHAnsi" w:hAnsiTheme="minorHAnsi" w:cstheme="minorHAnsi"/>
          <w:w w:val="105"/>
          <w:sz w:val="24"/>
        </w:rPr>
        <w:t>based on</w:t>
      </w:r>
      <w:r w:rsidRPr="00D32849">
        <w:rPr>
          <w:rFonts w:asciiTheme="minorHAnsi" w:hAnsiTheme="minorHAnsi" w:cstheme="minorHAnsi"/>
          <w:spacing w:val="-13"/>
          <w:w w:val="105"/>
          <w:sz w:val="24"/>
        </w:rPr>
        <w:t xml:space="preserve"> </w:t>
      </w:r>
      <w:r w:rsidRPr="00D32849">
        <w:rPr>
          <w:rFonts w:asciiTheme="minorHAnsi" w:hAnsiTheme="minorHAnsi" w:cstheme="minorHAnsi"/>
          <w:w w:val="105"/>
          <w:sz w:val="24"/>
        </w:rPr>
        <w:t>multiple</w:t>
      </w:r>
      <w:r w:rsidRPr="00D32849">
        <w:rPr>
          <w:rFonts w:asciiTheme="minorHAnsi" w:hAnsiTheme="minorHAnsi" w:cstheme="minorHAnsi"/>
          <w:spacing w:val="-13"/>
          <w:w w:val="105"/>
          <w:sz w:val="24"/>
        </w:rPr>
        <w:t xml:space="preserve"> </w:t>
      </w:r>
      <w:r w:rsidRPr="00D32849">
        <w:rPr>
          <w:rFonts w:asciiTheme="minorHAnsi" w:hAnsiTheme="minorHAnsi" w:cstheme="minorHAnsi"/>
          <w:w w:val="105"/>
          <w:sz w:val="24"/>
        </w:rPr>
        <w:t>phenotype-based</w:t>
      </w:r>
      <w:r w:rsidRPr="00D32849">
        <w:rPr>
          <w:rFonts w:asciiTheme="minorHAnsi" w:hAnsiTheme="minorHAnsi" w:cstheme="minorHAnsi"/>
          <w:spacing w:val="-13"/>
          <w:w w:val="105"/>
          <w:sz w:val="24"/>
        </w:rPr>
        <w:t xml:space="preserve"> </w:t>
      </w:r>
      <w:r w:rsidRPr="00D32849">
        <w:rPr>
          <w:rFonts w:asciiTheme="minorHAnsi" w:hAnsiTheme="minorHAnsi" w:cstheme="minorHAnsi"/>
          <w:w w:val="105"/>
          <w:sz w:val="24"/>
        </w:rPr>
        <w:t>aspects</w:t>
      </w:r>
    </w:p>
    <w:p w14:paraId="0884B415" w14:textId="740A5B4E" w:rsidR="002C4742" w:rsidRDefault="002C4742" w:rsidP="002C4742">
      <w:pPr>
        <w:pStyle w:val="BodyText"/>
        <w:spacing w:before="180" w:line="381" w:lineRule="auto"/>
        <w:ind w:right="311" w:firstLine="719"/>
        <w:rPr>
          <w:rFonts w:asciiTheme="minorHAnsi" w:hAnsiTheme="minorHAnsi" w:cstheme="minorHAnsi"/>
          <w:w w:val="105"/>
          <w:sz w:val="24"/>
        </w:rPr>
      </w:pPr>
      <w:r>
        <w:rPr>
          <w:noProof/>
        </w:rPr>
        <w:lastRenderedPageBreak/>
        <w:drawing>
          <wp:anchor distT="0" distB="0" distL="0" distR="0" simplePos="0" relativeHeight="251667456" behindDoc="0" locked="0" layoutInCell="1" allowOverlap="1" wp14:anchorId="1490D80B" wp14:editId="6859FE7C">
            <wp:simplePos x="0" y="0"/>
            <wp:positionH relativeFrom="page">
              <wp:posOffset>1334085</wp:posOffset>
            </wp:positionH>
            <wp:positionV relativeFrom="paragraph">
              <wp:posOffset>2040577</wp:posOffset>
            </wp:positionV>
            <wp:extent cx="5276850" cy="3998595"/>
            <wp:effectExtent l="0" t="0" r="0" b="1905"/>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8" cstate="print"/>
                    <a:stretch>
                      <a:fillRect/>
                    </a:stretch>
                  </pic:blipFill>
                  <pic:spPr>
                    <a:xfrm>
                      <a:off x="0" y="0"/>
                      <a:ext cx="5276850" cy="3998595"/>
                    </a:xfrm>
                    <a:prstGeom prst="rect">
                      <a:avLst/>
                    </a:prstGeom>
                  </pic:spPr>
                </pic:pic>
              </a:graphicData>
            </a:graphic>
            <wp14:sizeRelH relativeFrom="margin">
              <wp14:pctWidth>0</wp14:pctWidth>
            </wp14:sizeRelH>
            <wp14:sizeRelV relativeFrom="margin">
              <wp14:pctHeight>0</wp14:pctHeight>
            </wp14:sizeRelV>
          </wp:anchor>
        </w:drawing>
      </w:r>
      <w:r w:rsidR="00F12B67" w:rsidRPr="00D32849">
        <w:rPr>
          <w:rFonts w:asciiTheme="minorHAnsi" w:hAnsiTheme="minorHAnsi" w:cstheme="minorHAnsi"/>
          <w:w w:val="105"/>
          <w:sz w:val="24"/>
        </w:rPr>
        <w:t>Endodontic samples are collected and transported to the laboratory in a</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viability-preserving,</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non-supportive,</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anaerobic</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medium.</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Followed</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by</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dispersing</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the</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sample</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using</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various</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techniques,</w:t>
      </w:r>
      <w:r w:rsidR="00F12B67" w:rsidRPr="00D32849">
        <w:rPr>
          <w:rFonts w:asciiTheme="minorHAnsi" w:hAnsiTheme="minorHAnsi" w:cstheme="minorHAnsi"/>
          <w:spacing w:val="1"/>
          <w:w w:val="105"/>
          <w:sz w:val="24"/>
        </w:rPr>
        <w:t xml:space="preserve"> </w:t>
      </w:r>
      <w:r w:rsidR="004754F6">
        <w:rPr>
          <w:rFonts w:asciiTheme="minorHAnsi" w:hAnsiTheme="minorHAnsi" w:cstheme="minorHAnsi"/>
          <w:w w:val="105"/>
          <w:sz w:val="24"/>
        </w:rPr>
        <w:t>diluting,</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and</w:t>
      </w:r>
      <w:r w:rsidR="00F12B67" w:rsidRPr="00D32849">
        <w:rPr>
          <w:rFonts w:asciiTheme="minorHAnsi" w:hAnsiTheme="minorHAnsi" w:cstheme="minorHAnsi"/>
          <w:spacing w:val="1"/>
          <w:w w:val="105"/>
          <w:sz w:val="24"/>
        </w:rPr>
        <w:t xml:space="preserve"> </w:t>
      </w:r>
      <w:r w:rsidR="004754F6">
        <w:rPr>
          <w:rFonts w:asciiTheme="minorHAnsi" w:hAnsiTheme="minorHAnsi" w:cstheme="minorHAnsi"/>
          <w:w w:val="105"/>
          <w:sz w:val="24"/>
        </w:rPr>
        <w:t>cultivating</w:t>
      </w:r>
      <w:r w:rsidR="00F12B67" w:rsidRPr="00D32849">
        <w:rPr>
          <w:rFonts w:asciiTheme="minorHAnsi" w:hAnsiTheme="minorHAnsi" w:cstheme="minorHAnsi"/>
          <w:spacing w:val="1"/>
          <w:w w:val="105"/>
          <w:sz w:val="24"/>
        </w:rPr>
        <w:t xml:space="preserve"> </w:t>
      </w:r>
      <w:r w:rsidR="004754F6">
        <w:rPr>
          <w:rFonts w:asciiTheme="minorHAnsi" w:hAnsiTheme="minorHAnsi" w:cstheme="minorHAnsi"/>
          <w:spacing w:val="1"/>
          <w:w w:val="105"/>
          <w:sz w:val="24"/>
        </w:rPr>
        <w:t xml:space="preserve">it </w:t>
      </w:r>
      <w:r w:rsidR="00F12B67" w:rsidRPr="00D32849">
        <w:rPr>
          <w:rFonts w:asciiTheme="minorHAnsi" w:hAnsiTheme="minorHAnsi" w:cstheme="minorHAnsi"/>
          <w:w w:val="105"/>
          <w:sz w:val="24"/>
        </w:rPr>
        <w:t>in</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 xml:space="preserve">suitable culture </w:t>
      </w:r>
      <w:r w:rsidR="004754F6">
        <w:rPr>
          <w:rFonts w:asciiTheme="minorHAnsi" w:hAnsiTheme="minorHAnsi" w:cstheme="minorHAnsi"/>
          <w:w w:val="105"/>
          <w:sz w:val="24"/>
        </w:rPr>
        <w:t>media</w:t>
      </w:r>
      <w:r w:rsidR="00F12B67" w:rsidRPr="00D32849">
        <w:rPr>
          <w:rFonts w:asciiTheme="minorHAnsi" w:hAnsiTheme="minorHAnsi" w:cstheme="minorHAnsi"/>
          <w:w w:val="105"/>
          <w:sz w:val="24"/>
        </w:rPr>
        <w:t xml:space="preserve">. Then the identification of microbes </w:t>
      </w:r>
      <w:r w:rsidR="004754F6">
        <w:rPr>
          <w:rFonts w:asciiTheme="minorHAnsi" w:hAnsiTheme="minorHAnsi" w:cstheme="minorHAnsi"/>
          <w:w w:val="105"/>
          <w:sz w:val="24"/>
        </w:rPr>
        <w:t>is</w:t>
      </w:r>
      <w:r w:rsidR="00F12B67" w:rsidRPr="00D32849">
        <w:rPr>
          <w:rFonts w:asciiTheme="minorHAnsi" w:hAnsiTheme="minorHAnsi" w:cstheme="minorHAnsi"/>
          <w:w w:val="105"/>
          <w:sz w:val="24"/>
        </w:rPr>
        <w:t xml:space="preserve"> made using</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various</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methods</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like</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gram-staining,</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gas-liquid</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chromatography,</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w w:val="105"/>
          <w:sz w:val="24"/>
        </w:rPr>
        <w:t>gel</w:t>
      </w:r>
      <w:r w:rsidR="00F12B67" w:rsidRPr="00D32849">
        <w:rPr>
          <w:rFonts w:asciiTheme="minorHAnsi" w:hAnsiTheme="minorHAnsi" w:cstheme="minorHAnsi"/>
          <w:spacing w:val="1"/>
          <w:w w:val="105"/>
          <w:sz w:val="24"/>
        </w:rPr>
        <w:t xml:space="preserve"> </w:t>
      </w:r>
      <w:r w:rsidR="00F12B67" w:rsidRPr="00D32849">
        <w:rPr>
          <w:rFonts w:asciiTheme="minorHAnsi" w:hAnsiTheme="minorHAnsi" w:cstheme="minorHAnsi"/>
          <w:spacing w:val="-1"/>
          <w:w w:val="105"/>
          <w:sz w:val="24"/>
        </w:rPr>
        <w:t>electrophoresis,</w:t>
      </w:r>
      <w:r w:rsidR="00F12B67" w:rsidRPr="00D32849">
        <w:rPr>
          <w:rFonts w:asciiTheme="minorHAnsi" w:hAnsiTheme="minorHAnsi" w:cstheme="minorHAnsi"/>
          <w:spacing w:val="-11"/>
          <w:w w:val="105"/>
          <w:sz w:val="24"/>
        </w:rPr>
        <w:t xml:space="preserve"> </w:t>
      </w:r>
      <w:r w:rsidR="00F12B67" w:rsidRPr="00D32849">
        <w:rPr>
          <w:rFonts w:asciiTheme="minorHAnsi" w:hAnsiTheme="minorHAnsi" w:cstheme="minorHAnsi"/>
          <w:spacing w:val="-1"/>
          <w:w w:val="105"/>
          <w:sz w:val="24"/>
        </w:rPr>
        <w:t>fluorescence</w:t>
      </w:r>
      <w:r w:rsidR="00F12B67" w:rsidRPr="00D32849">
        <w:rPr>
          <w:rFonts w:asciiTheme="minorHAnsi" w:hAnsiTheme="minorHAnsi" w:cstheme="minorHAnsi"/>
          <w:spacing w:val="-10"/>
          <w:w w:val="105"/>
          <w:sz w:val="24"/>
        </w:rPr>
        <w:t xml:space="preserve"> </w:t>
      </w:r>
      <w:r w:rsidR="00F12B67" w:rsidRPr="00D32849">
        <w:rPr>
          <w:rFonts w:asciiTheme="minorHAnsi" w:hAnsiTheme="minorHAnsi" w:cstheme="minorHAnsi"/>
          <w:spacing w:val="-1"/>
          <w:w w:val="105"/>
          <w:sz w:val="24"/>
        </w:rPr>
        <w:t>under</w:t>
      </w:r>
      <w:r w:rsidR="00F12B67" w:rsidRPr="00D32849">
        <w:rPr>
          <w:rFonts w:asciiTheme="minorHAnsi" w:hAnsiTheme="minorHAnsi" w:cstheme="minorHAnsi"/>
          <w:spacing w:val="-10"/>
          <w:w w:val="105"/>
          <w:sz w:val="24"/>
        </w:rPr>
        <w:t xml:space="preserve"> </w:t>
      </w:r>
      <w:r w:rsidR="00F12B67" w:rsidRPr="00D32849">
        <w:rPr>
          <w:rFonts w:asciiTheme="minorHAnsi" w:hAnsiTheme="minorHAnsi" w:cstheme="minorHAnsi"/>
          <w:spacing w:val="-1"/>
          <w:w w:val="105"/>
          <w:sz w:val="24"/>
        </w:rPr>
        <w:t>ultraviolet</w:t>
      </w:r>
      <w:r w:rsidR="00F12B67" w:rsidRPr="00D32849">
        <w:rPr>
          <w:rFonts w:asciiTheme="minorHAnsi" w:hAnsiTheme="minorHAnsi" w:cstheme="minorHAnsi"/>
          <w:spacing w:val="-9"/>
          <w:w w:val="105"/>
          <w:sz w:val="24"/>
        </w:rPr>
        <w:t xml:space="preserve"> </w:t>
      </w:r>
      <w:r w:rsidR="00F12B67" w:rsidRPr="00D32849">
        <w:rPr>
          <w:rFonts w:asciiTheme="minorHAnsi" w:hAnsiTheme="minorHAnsi" w:cstheme="minorHAnsi"/>
          <w:w w:val="105"/>
          <w:sz w:val="24"/>
        </w:rPr>
        <w:t>light,</w:t>
      </w:r>
      <w:r w:rsidR="00F12B67" w:rsidRPr="00D32849">
        <w:rPr>
          <w:rFonts w:asciiTheme="minorHAnsi" w:hAnsiTheme="minorHAnsi" w:cstheme="minorHAnsi"/>
          <w:spacing w:val="-10"/>
          <w:w w:val="105"/>
          <w:sz w:val="24"/>
        </w:rPr>
        <w:t xml:space="preserve"> </w:t>
      </w:r>
      <w:r w:rsidR="00F12B67" w:rsidRPr="00D32849">
        <w:rPr>
          <w:rFonts w:asciiTheme="minorHAnsi" w:hAnsiTheme="minorHAnsi" w:cstheme="minorHAnsi"/>
          <w:w w:val="105"/>
          <w:sz w:val="24"/>
        </w:rPr>
        <w:t>microscopic</w:t>
      </w:r>
      <w:r w:rsidR="00F12B67" w:rsidRPr="00D32849">
        <w:rPr>
          <w:rFonts w:asciiTheme="minorHAnsi" w:hAnsiTheme="minorHAnsi" w:cstheme="minorHAnsi"/>
          <w:spacing w:val="-10"/>
          <w:w w:val="105"/>
          <w:sz w:val="24"/>
        </w:rPr>
        <w:t xml:space="preserve"> </w:t>
      </w:r>
      <w:r w:rsidR="00F12B67" w:rsidRPr="00D32849">
        <w:rPr>
          <w:rFonts w:asciiTheme="minorHAnsi" w:hAnsiTheme="minorHAnsi" w:cstheme="minorHAnsi"/>
          <w:w w:val="105"/>
          <w:sz w:val="24"/>
        </w:rPr>
        <w:t>techniques</w:t>
      </w:r>
      <w:r w:rsidR="004754F6">
        <w:rPr>
          <w:rFonts w:asciiTheme="minorHAnsi" w:hAnsiTheme="minorHAnsi" w:cstheme="minorHAnsi"/>
          <w:w w:val="105"/>
          <w:sz w:val="24"/>
        </w:rPr>
        <w:t>,</w:t>
      </w:r>
      <w:r w:rsidR="00F12B67" w:rsidRPr="00D32849">
        <w:rPr>
          <w:rFonts w:asciiTheme="minorHAnsi" w:hAnsiTheme="minorHAnsi" w:cstheme="minorHAnsi"/>
          <w:spacing w:val="-11"/>
          <w:w w:val="105"/>
          <w:sz w:val="24"/>
        </w:rPr>
        <w:t xml:space="preserve"> </w:t>
      </w:r>
      <w:r w:rsidR="001F7A91" w:rsidRPr="00D32849">
        <w:rPr>
          <w:rFonts w:asciiTheme="minorHAnsi" w:hAnsiTheme="minorHAnsi" w:cstheme="minorHAnsi"/>
          <w:w w:val="105"/>
          <w:sz w:val="24"/>
        </w:rPr>
        <w:t>etc.</w:t>
      </w:r>
      <w:r w:rsidR="00D32849">
        <w:rPr>
          <w:rFonts w:asciiTheme="minorHAnsi" w:hAnsiTheme="minorHAnsi" w:cstheme="minorHAnsi"/>
          <w:w w:val="105"/>
          <w:sz w:val="24"/>
        </w:rPr>
        <w:t xml:space="preserve"> </w:t>
      </w:r>
      <w:r w:rsidR="00F12B67" w:rsidRPr="00D32849">
        <w:rPr>
          <w:rFonts w:asciiTheme="minorHAnsi" w:hAnsiTheme="minorHAnsi" w:cstheme="minorHAnsi"/>
          <w:spacing w:val="-58"/>
          <w:w w:val="105"/>
          <w:sz w:val="24"/>
        </w:rPr>
        <w:t xml:space="preserve"> </w:t>
      </w:r>
      <w:r w:rsidR="00F12B67" w:rsidRPr="00D32849">
        <w:rPr>
          <w:rFonts w:asciiTheme="minorHAnsi" w:hAnsiTheme="minorHAnsi" w:cstheme="minorHAnsi"/>
          <w:w w:val="105"/>
          <w:sz w:val="24"/>
        </w:rPr>
        <w:t>(</w:t>
      </w:r>
      <w:proofErr w:type="spellStart"/>
      <w:r w:rsidR="00F12B67" w:rsidRPr="00D32849">
        <w:rPr>
          <w:rFonts w:asciiTheme="minorHAnsi" w:hAnsiTheme="minorHAnsi" w:cstheme="minorHAnsi"/>
          <w:w w:val="105"/>
          <w:sz w:val="24"/>
        </w:rPr>
        <w:t>Keijser</w:t>
      </w:r>
      <w:proofErr w:type="spellEnd"/>
      <w:r w:rsidR="00F12B67" w:rsidRPr="00D32849">
        <w:rPr>
          <w:rFonts w:asciiTheme="minorHAnsi" w:hAnsiTheme="minorHAnsi" w:cstheme="minorHAnsi"/>
          <w:spacing w:val="3"/>
          <w:w w:val="105"/>
          <w:sz w:val="24"/>
        </w:rPr>
        <w:t xml:space="preserve"> </w:t>
      </w:r>
      <w:r w:rsidR="004754F6">
        <w:rPr>
          <w:rFonts w:asciiTheme="minorHAnsi" w:hAnsiTheme="minorHAnsi" w:cstheme="minorHAnsi"/>
          <w:w w:val="105"/>
          <w:sz w:val="24"/>
        </w:rPr>
        <w:t>et</w:t>
      </w:r>
      <w:r w:rsidR="00F12B67" w:rsidRPr="00D32849">
        <w:rPr>
          <w:rFonts w:asciiTheme="minorHAnsi" w:hAnsiTheme="minorHAnsi" w:cstheme="minorHAnsi"/>
          <w:spacing w:val="3"/>
          <w:w w:val="105"/>
          <w:sz w:val="24"/>
        </w:rPr>
        <w:t xml:space="preserve"> </w:t>
      </w:r>
      <w:r w:rsidR="00F12B67" w:rsidRPr="00D32849">
        <w:rPr>
          <w:rFonts w:asciiTheme="minorHAnsi" w:hAnsiTheme="minorHAnsi" w:cstheme="minorHAnsi"/>
          <w:w w:val="105"/>
          <w:sz w:val="24"/>
        </w:rPr>
        <w:t>al.,</w:t>
      </w:r>
      <w:r w:rsidR="00F12B67" w:rsidRPr="00D32849">
        <w:rPr>
          <w:rFonts w:asciiTheme="minorHAnsi" w:hAnsiTheme="minorHAnsi" w:cstheme="minorHAnsi"/>
          <w:spacing w:val="3"/>
          <w:w w:val="105"/>
          <w:sz w:val="24"/>
        </w:rPr>
        <w:t xml:space="preserve"> </w:t>
      </w:r>
      <w:r w:rsidR="00F12B67" w:rsidRPr="00D32849">
        <w:rPr>
          <w:rFonts w:asciiTheme="minorHAnsi" w:hAnsiTheme="minorHAnsi" w:cstheme="minorHAnsi"/>
          <w:w w:val="105"/>
          <w:sz w:val="24"/>
        </w:rPr>
        <w:t>2008).</w:t>
      </w:r>
      <w:r>
        <w:rPr>
          <w:rFonts w:asciiTheme="minorHAnsi" w:hAnsiTheme="minorHAnsi" w:cstheme="minorHAnsi"/>
          <w:w w:val="105"/>
          <w:sz w:val="24"/>
        </w:rPr>
        <w:t xml:space="preserve">       </w:t>
      </w:r>
    </w:p>
    <w:p w14:paraId="65FD3E14" w14:textId="77777777" w:rsidR="001B3ED2" w:rsidRDefault="002C4742" w:rsidP="002C4742">
      <w:pPr>
        <w:pStyle w:val="BodyText"/>
        <w:spacing w:before="180" w:line="381" w:lineRule="auto"/>
        <w:ind w:right="311" w:firstLine="719"/>
        <w:jc w:val="left"/>
      </w:pPr>
      <w:r>
        <w:rPr>
          <w:noProof/>
          <w:sz w:val="20"/>
        </w:rPr>
        <w:lastRenderedPageBreak/>
        <w:drawing>
          <wp:inline distT="0" distB="0" distL="0" distR="0" wp14:anchorId="4DE7FEB0" wp14:editId="551DB53C">
            <wp:extent cx="5128313" cy="5030939"/>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9" cstate="print"/>
                    <a:stretch>
                      <a:fillRect/>
                    </a:stretch>
                  </pic:blipFill>
                  <pic:spPr>
                    <a:xfrm>
                      <a:off x="0" y="0"/>
                      <a:ext cx="5251496" cy="5151783"/>
                    </a:xfrm>
                    <a:prstGeom prst="rect">
                      <a:avLst/>
                    </a:prstGeom>
                  </pic:spPr>
                </pic:pic>
              </a:graphicData>
            </a:graphic>
          </wp:inline>
        </w:drawing>
      </w:r>
    </w:p>
    <w:p w14:paraId="3F4364CD" w14:textId="77777777" w:rsidR="001B3ED2" w:rsidRPr="002C4742" w:rsidRDefault="002C4742" w:rsidP="004B34E3">
      <w:pPr>
        <w:pStyle w:val="Heading1"/>
        <w:tabs>
          <w:tab w:val="left" w:pos="464"/>
        </w:tabs>
        <w:ind w:left="0" w:firstLine="0"/>
        <w:rPr>
          <w:rFonts w:asciiTheme="minorHAnsi" w:hAnsiTheme="minorHAnsi" w:cstheme="minorHAnsi"/>
          <w:sz w:val="28"/>
        </w:rPr>
      </w:pPr>
      <w:r w:rsidRPr="002C4742">
        <w:rPr>
          <w:rFonts w:asciiTheme="minorHAnsi" w:hAnsiTheme="minorHAnsi" w:cstheme="minorHAnsi"/>
          <w:sz w:val="28"/>
        </w:rPr>
        <w:t>LABORATORY</w:t>
      </w:r>
      <w:r w:rsidRPr="004B34E3">
        <w:rPr>
          <w:rFonts w:asciiTheme="minorHAnsi" w:hAnsiTheme="minorHAnsi" w:cstheme="minorHAnsi"/>
          <w:sz w:val="28"/>
        </w:rPr>
        <w:t xml:space="preserve"> </w:t>
      </w:r>
      <w:r w:rsidRPr="002C4742">
        <w:rPr>
          <w:rFonts w:asciiTheme="minorHAnsi" w:hAnsiTheme="minorHAnsi" w:cstheme="minorHAnsi"/>
          <w:sz w:val="28"/>
        </w:rPr>
        <w:t>CONSIDERATIONS</w:t>
      </w:r>
    </w:p>
    <w:p w14:paraId="177ED6A8" w14:textId="77777777" w:rsidR="001B3ED2" w:rsidRPr="004B34E3" w:rsidRDefault="001B3ED2" w:rsidP="004B34E3">
      <w:pPr>
        <w:pStyle w:val="Heading1"/>
        <w:tabs>
          <w:tab w:val="left" w:pos="464"/>
        </w:tabs>
        <w:ind w:left="0" w:firstLine="0"/>
        <w:rPr>
          <w:rFonts w:asciiTheme="minorHAnsi" w:hAnsiTheme="minorHAnsi" w:cstheme="minorHAnsi"/>
          <w:sz w:val="28"/>
        </w:rPr>
      </w:pPr>
    </w:p>
    <w:p w14:paraId="77FD97C3" w14:textId="77777777" w:rsidR="001B3ED2" w:rsidRPr="004B34E3" w:rsidRDefault="00F12B67">
      <w:pPr>
        <w:pStyle w:val="BodyText"/>
        <w:spacing w:before="1"/>
        <w:ind w:left="540"/>
        <w:jc w:val="left"/>
        <w:rPr>
          <w:rFonts w:asciiTheme="minorHAnsi" w:hAnsiTheme="minorHAnsi" w:cstheme="minorHAnsi"/>
          <w:w w:val="105"/>
          <w:sz w:val="24"/>
        </w:rPr>
      </w:pPr>
      <w:r w:rsidRPr="004B34E3">
        <w:rPr>
          <w:rFonts w:asciiTheme="minorHAnsi" w:hAnsiTheme="minorHAnsi" w:cstheme="minorHAnsi"/>
          <w:w w:val="105"/>
          <w:sz w:val="24"/>
        </w:rPr>
        <w:t>The objectives are;</w:t>
      </w:r>
    </w:p>
    <w:p w14:paraId="56B3FE89" w14:textId="77777777" w:rsidR="001B3ED2" w:rsidRPr="004B34E3" w:rsidRDefault="001B3ED2">
      <w:pPr>
        <w:pStyle w:val="BodyText"/>
        <w:spacing w:before="10"/>
        <w:ind w:left="0"/>
        <w:jc w:val="left"/>
        <w:rPr>
          <w:rFonts w:asciiTheme="minorHAnsi" w:hAnsiTheme="minorHAnsi" w:cstheme="minorHAnsi"/>
          <w:w w:val="105"/>
          <w:sz w:val="24"/>
        </w:rPr>
      </w:pPr>
    </w:p>
    <w:p w14:paraId="5238C0C9" w14:textId="77777777" w:rsidR="001B3ED2" w:rsidRPr="004B34E3" w:rsidRDefault="00F12B67" w:rsidP="00D448CE">
      <w:pPr>
        <w:pStyle w:val="ListParagraph"/>
        <w:numPr>
          <w:ilvl w:val="1"/>
          <w:numId w:val="3"/>
        </w:numPr>
        <w:tabs>
          <w:tab w:val="left" w:pos="900"/>
          <w:tab w:val="left" w:pos="901"/>
        </w:tabs>
        <w:ind w:hanging="361"/>
        <w:jc w:val="left"/>
        <w:rPr>
          <w:rFonts w:asciiTheme="minorHAnsi" w:hAnsiTheme="minorHAnsi" w:cstheme="minorHAnsi"/>
          <w:w w:val="105"/>
          <w:sz w:val="24"/>
          <w:szCs w:val="26"/>
        </w:rPr>
      </w:pPr>
      <w:r w:rsidRPr="004B34E3">
        <w:rPr>
          <w:rFonts w:asciiTheme="minorHAnsi" w:hAnsiTheme="minorHAnsi" w:cstheme="minorHAnsi"/>
          <w:w w:val="105"/>
          <w:sz w:val="24"/>
          <w:szCs w:val="26"/>
        </w:rPr>
        <w:t>To identify the presence of viable bacteria in the sample</w:t>
      </w:r>
    </w:p>
    <w:p w14:paraId="6648B1E3" w14:textId="77777777" w:rsidR="001B3ED2" w:rsidRPr="004B34E3" w:rsidRDefault="001B3ED2">
      <w:pPr>
        <w:pStyle w:val="BodyText"/>
        <w:spacing w:before="8"/>
        <w:ind w:left="0"/>
        <w:jc w:val="left"/>
        <w:rPr>
          <w:rFonts w:asciiTheme="minorHAnsi" w:hAnsiTheme="minorHAnsi" w:cstheme="minorHAnsi"/>
          <w:w w:val="105"/>
          <w:sz w:val="24"/>
        </w:rPr>
      </w:pPr>
    </w:p>
    <w:p w14:paraId="0DDD4DA0" w14:textId="77777777" w:rsidR="001B3ED2" w:rsidRPr="004B34E3" w:rsidRDefault="00F12B67" w:rsidP="00D448CE">
      <w:pPr>
        <w:pStyle w:val="ListParagraph"/>
        <w:numPr>
          <w:ilvl w:val="1"/>
          <w:numId w:val="3"/>
        </w:numPr>
        <w:tabs>
          <w:tab w:val="left" w:pos="900"/>
          <w:tab w:val="left" w:pos="901"/>
        </w:tabs>
        <w:ind w:hanging="361"/>
        <w:jc w:val="left"/>
        <w:rPr>
          <w:rFonts w:asciiTheme="minorHAnsi" w:hAnsiTheme="minorHAnsi" w:cstheme="minorHAnsi"/>
          <w:w w:val="105"/>
          <w:sz w:val="24"/>
          <w:szCs w:val="26"/>
        </w:rPr>
      </w:pPr>
      <w:r w:rsidRPr="004B34E3">
        <w:rPr>
          <w:rFonts w:asciiTheme="minorHAnsi" w:hAnsiTheme="minorHAnsi" w:cstheme="minorHAnsi"/>
          <w:w w:val="105"/>
          <w:sz w:val="24"/>
          <w:szCs w:val="26"/>
        </w:rPr>
        <w:t>To determine the bacterial genus or species present in the sample</w:t>
      </w:r>
    </w:p>
    <w:p w14:paraId="7DF7A5C6" w14:textId="77777777" w:rsidR="001B3ED2" w:rsidRPr="004B34E3" w:rsidRDefault="001B3ED2">
      <w:pPr>
        <w:pStyle w:val="BodyText"/>
        <w:spacing w:before="10"/>
        <w:ind w:left="0"/>
        <w:jc w:val="left"/>
        <w:rPr>
          <w:rFonts w:asciiTheme="minorHAnsi" w:hAnsiTheme="minorHAnsi" w:cstheme="minorHAnsi"/>
          <w:w w:val="105"/>
          <w:sz w:val="24"/>
        </w:rPr>
      </w:pPr>
    </w:p>
    <w:p w14:paraId="209F950B" w14:textId="77777777" w:rsidR="001B3ED2" w:rsidRPr="004B34E3" w:rsidRDefault="00F12B67" w:rsidP="00D448CE">
      <w:pPr>
        <w:pStyle w:val="ListParagraph"/>
        <w:numPr>
          <w:ilvl w:val="1"/>
          <w:numId w:val="3"/>
        </w:numPr>
        <w:tabs>
          <w:tab w:val="left" w:pos="900"/>
          <w:tab w:val="left" w:pos="901"/>
        </w:tabs>
        <w:ind w:hanging="361"/>
        <w:jc w:val="left"/>
        <w:rPr>
          <w:rFonts w:asciiTheme="minorHAnsi" w:hAnsiTheme="minorHAnsi" w:cstheme="minorHAnsi"/>
          <w:w w:val="105"/>
          <w:sz w:val="24"/>
          <w:szCs w:val="26"/>
        </w:rPr>
      </w:pPr>
      <w:r w:rsidRPr="004B34E3">
        <w:rPr>
          <w:rFonts w:asciiTheme="minorHAnsi" w:hAnsiTheme="minorHAnsi" w:cstheme="minorHAnsi"/>
          <w:w w:val="105"/>
          <w:sz w:val="24"/>
          <w:szCs w:val="26"/>
        </w:rPr>
        <w:t>To obtain a semi-quantitative measure of the bacterial load</w:t>
      </w:r>
    </w:p>
    <w:p w14:paraId="25258111" w14:textId="77777777" w:rsidR="001B3ED2" w:rsidRPr="004B34E3" w:rsidRDefault="001B3ED2">
      <w:pPr>
        <w:pStyle w:val="BodyText"/>
        <w:spacing w:before="10"/>
        <w:ind w:left="0"/>
        <w:jc w:val="left"/>
        <w:rPr>
          <w:rFonts w:asciiTheme="minorHAnsi" w:hAnsiTheme="minorHAnsi" w:cstheme="minorHAnsi"/>
          <w:w w:val="105"/>
          <w:sz w:val="24"/>
        </w:rPr>
      </w:pPr>
    </w:p>
    <w:p w14:paraId="2AD53A40" w14:textId="51B0F4A9" w:rsidR="001B3ED2" w:rsidRPr="002C4742" w:rsidRDefault="00F12B67">
      <w:pPr>
        <w:pStyle w:val="BodyText"/>
        <w:spacing w:line="381" w:lineRule="auto"/>
        <w:ind w:right="309" w:firstLine="719"/>
        <w:rPr>
          <w:rFonts w:asciiTheme="minorHAnsi" w:hAnsiTheme="minorHAnsi" w:cstheme="minorHAnsi"/>
          <w:sz w:val="24"/>
        </w:rPr>
      </w:pPr>
      <w:r w:rsidRPr="002C4742">
        <w:rPr>
          <w:rFonts w:asciiTheme="minorHAnsi" w:hAnsiTheme="minorHAnsi" w:cstheme="minorHAnsi"/>
          <w:w w:val="105"/>
          <w:sz w:val="24"/>
        </w:rPr>
        <w:t>Liquid</w:t>
      </w:r>
      <w:r w:rsidRPr="004B34E3">
        <w:rPr>
          <w:rFonts w:asciiTheme="minorHAnsi" w:hAnsiTheme="minorHAnsi" w:cstheme="minorHAnsi"/>
          <w:w w:val="105"/>
          <w:sz w:val="24"/>
        </w:rPr>
        <w:t xml:space="preserve"> </w:t>
      </w:r>
      <w:r w:rsidR="004754F6">
        <w:rPr>
          <w:rFonts w:asciiTheme="minorHAnsi" w:hAnsiTheme="minorHAnsi" w:cstheme="minorHAnsi"/>
          <w:w w:val="105"/>
          <w:sz w:val="24"/>
        </w:rPr>
        <w:t>media</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are</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mostly</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preferred</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in</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laboratories.</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One</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of</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the</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advantages</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 xml:space="preserve">of using liquid </w:t>
      </w:r>
      <w:r w:rsidR="004754F6">
        <w:rPr>
          <w:rFonts w:asciiTheme="minorHAnsi" w:hAnsiTheme="minorHAnsi" w:cstheme="minorHAnsi"/>
          <w:w w:val="105"/>
          <w:sz w:val="24"/>
        </w:rPr>
        <w:t>media</w:t>
      </w:r>
      <w:r w:rsidRPr="002C4742">
        <w:rPr>
          <w:rFonts w:asciiTheme="minorHAnsi" w:hAnsiTheme="minorHAnsi" w:cstheme="minorHAnsi"/>
          <w:w w:val="105"/>
          <w:sz w:val="24"/>
        </w:rPr>
        <w:t xml:space="preserve"> is that it allows the growth of fastidious and dormant</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microbe</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cells.</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There</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is</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no</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need</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for</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extra</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equipment</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for</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the</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anaerobic</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bacteria</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to</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grow,</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if</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tubes</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are</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filled</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with</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nitrogen</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gas</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during</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inoculation.</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If</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bacterial</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 xml:space="preserve">inoculation is done under anaerobic conditions and </w:t>
      </w:r>
      <w:r w:rsidR="004754F6">
        <w:rPr>
          <w:rFonts w:asciiTheme="minorHAnsi" w:hAnsiTheme="minorHAnsi" w:cstheme="minorHAnsi"/>
          <w:w w:val="105"/>
          <w:sz w:val="24"/>
        </w:rPr>
        <w:t xml:space="preserve">the </w:t>
      </w:r>
      <w:r w:rsidRPr="002C4742">
        <w:rPr>
          <w:rFonts w:asciiTheme="minorHAnsi" w:hAnsiTheme="minorHAnsi" w:cstheme="minorHAnsi"/>
          <w:w w:val="105"/>
          <w:sz w:val="24"/>
        </w:rPr>
        <w:t>bottom part of the tube is</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 xml:space="preserve">filled with bacteria, the tubes are capped tightly (rubber stopper), </w:t>
      </w:r>
      <w:r w:rsidR="004754F6">
        <w:rPr>
          <w:rFonts w:asciiTheme="minorHAnsi" w:hAnsiTheme="minorHAnsi" w:cstheme="minorHAnsi"/>
          <w:w w:val="105"/>
          <w:sz w:val="24"/>
        </w:rPr>
        <w:t xml:space="preserve">and </w:t>
      </w:r>
      <w:r w:rsidRPr="002C4742">
        <w:rPr>
          <w:rFonts w:asciiTheme="minorHAnsi" w:hAnsiTheme="minorHAnsi" w:cstheme="minorHAnsi"/>
          <w:w w:val="105"/>
          <w:sz w:val="24"/>
        </w:rPr>
        <w:t>the medium</w:t>
      </w:r>
      <w:r w:rsidRPr="004B34E3">
        <w:rPr>
          <w:rFonts w:asciiTheme="minorHAnsi" w:hAnsiTheme="minorHAnsi" w:cstheme="minorHAnsi"/>
          <w:w w:val="105"/>
          <w:sz w:val="24"/>
        </w:rPr>
        <w:t xml:space="preserve"> </w:t>
      </w:r>
      <w:r w:rsidRPr="002C4742">
        <w:rPr>
          <w:rFonts w:asciiTheme="minorHAnsi" w:hAnsiTheme="minorHAnsi" w:cstheme="minorHAnsi"/>
          <w:w w:val="105"/>
          <w:sz w:val="24"/>
        </w:rPr>
        <w:t>itself will ascertain anaerobic conditions even</w:t>
      </w:r>
      <w:r w:rsidRPr="004B34E3">
        <w:rPr>
          <w:rFonts w:asciiTheme="minorHAnsi" w:hAnsiTheme="minorHAnsi" w:cstheme="minorHAnsi"/>
          <w:w w:val="105"/>
          <w:sz w:val="24"/>
        </w:rPr>
        <w:t xml:space="preserve"> </w:t>
      </w:r>
      <w:r w:rsidRPr="002C4742">
        <w:rPr>
          <w:rFonts w:asciiTheme="minorHAnsi" w:hAnsiTheme="minorHAnsi" w:cstheme="minorHAnsi"/>
          <w:w w:val="105"/>
          <w:sz w:val="24"/>
        </w:rPr>
        <w:lastRenderedPageBreak/>
        <w:t>for the most oxygen-sensitive</w:t>
      </w:r>
      <w:r w:rsidRPr="002C4742">
        <w:rPr>
          <w:rFonts w:asciiTheme="minorHAnsi" w:hAnsiTheme="minorHAnsi" w:cstheme="minorHAnsi"/>
          <w:spacing w:val="1"/>
          <w:w w:val="105"/>
          <w:sz w:val="24"/>
        </w:rPr>
        <w:t xml:space="preserve"> </w:t>
      </w:r>
      <w:r w:rsidRPr="002C4742">
        <w:rPr>
          <w:rFonts w:asciiTheme="minorHAnsi" w:hAnsiTheme="minorHAnsi" w:cstheme="minorHAnsi"/>
          <w:w w:val="105"/>
          <w:sz w:val="24"/>
        </w:rPr>
        <w:t>bacterial</w:t>
      </w:r>
      <w:r w:rsidRPr="002C4742">
        <w:rPr>
          <w:rFonts w:asciiTheme="minorHAnsi" w:hAnsiTheme="minorHAnsi" w:cstheme="minorHAnsi"/>
          <w:spacing w:val="4"/>
          <w:w w:val="105"/>
          <w:sz w:val="24"/>
        </w:rPr>
        <w:t xml:space="preserve"> </w:t>
      </w:r>
      <w:r w:rsidRPr="002C4742">
        <w:rPr>
          <w:rFonts w:asciiTheme="minorHAnsi" w:hAnsiTheme="minorHAnsi" w:cstheme="minorHAnsi"/>
          <w:w w:val="105"/>
          <w:sz w:val="24"/>
        </w:rPr>
        <w:t>species.</w:t>
      </w:r>
    </w:p>
    <w:p w14:paraId="51287141" w14:textId="22B8D696" w:rsidR="001B3ED2" w:rsidRDefault="00F12B67" w:rsidP="00EA1134">
      <w:pPr>
        <w:pStyle w:val="BodyText"/>
        <w:spacing w:before="160" w:line="381" w:lineRule="auto"/>
        <w:ind w:right="311" w:firstLine="719"/>
        <w:rPr>
          <w:sz w:val="12"/>
        </w:rPr>
      </w:pPr>
      <w:r w:rsidRPr="002C4742">
        <w:rPr>
          <w:rFonts w:asciiTheme="minorHAnsi" w:hAnsiTheme="minorHAnsi" w:cstheme="minorHAnsi"/>
          <w:w w:val="105"/>
          <w:sz w:val="24"/>
        </w:rPr>
        <w:t>Solid media (brucella agar plate, blood agar plate) to complement the</w:t>
      </w:r>
      <w:r w:rsidRPr="002C4742">
        <w:rPr>
          <w:rFonts w:asciiTheme="minorHAnsi" w:hAnsiTheme="minorHAnsi" w:cstheme="minorHAnsi"/>
          <w:spacing w:val="1"/>
          <w:w w:val="105"/>
          <w:sz w:val="24"/>
        </w:rPr>
        <w:t xml:space="preserve"> </w:t>
      </w:r>
      <w:r w:rsidRPr="002C4742">
        <w:rPr>
          <w:rFonts w:asciiTheme="minorHAnsi" w:hAnsiTheme="minorHAnsi" w:cstheme="minorHAnsi"/>
          <w:sz w:val="24"/>
        </w:rPr>
        <w:t xml:space="preserve">liquid </w:t>
      </w:r>
      <w:r w:rsidR="004754F6">
        <w:rPr>
          <w:rFonts w:asciiTheme="minorHAnsi" w:hAnsiTheme="minorHAnsi" w:cstheme="minorHAnsi"/>
          <w:sz w:val="24"/>
        </w:rPr>
        <w:t>media</w:t>
      </w:r>
      <w:r w:rsidRPr="002C4742">
        <w:rPr>
          <w:rFonts w:asciiTheme="minorHAnsi" w:hAnsiTheme="minorHAnsi" w:cstheme="minorHAnsi"/>
          <w:sz w:val="24"/>
        </w:rPr>
        <w:t>, separate aerobic incubation</w:t>
      </w:r>
      <w:r w:rsidR="004754F6">
        <w:rPr>
          <w:rFonts w:asciiTheme="minorHAnsi" w:hAnsiTheme="minorHAnsi" w:cstheme="minorHAnsi"/>
          <w:sz w:val="24"/>
        </w:rPr>
        <w:t>,</w:t>
      </w:r>
      <w:r w:rsidRPr="002C4742">
        <w:rPr>
          <w:rFonts w:asciiTheme="minorHAnsi" w:hAnsiTheme="minorHAnsi" w:cstheme="minorHAnsi"/>
          <w:sz w:val="24"/>
        </w:rPr>
        <w:t xml:space="preserve"> and anaerobic incubation jars are used</w:t>
      </w:r>
      <w:r w:rsidRPr="002C4742">
        <w:rPr>
          <w:rFonts w:asciiTheme="minorHAnsi" w:hAnsiTheme="minorHAnsi" w:cstheme="minorHAnsi"/>
          <w:spacing w:val="1"/>
          <w:sz w:val="24"/>
        </w:rPr>
        <w:t xml:space="preserve"> </w:t>
      </w:r>
      <w:r w:rsidRPr="002C4742">
        <w:rPr>
          <w:rFonts w:asciiTheme="minorHAnsi" w:hAnsiTheme="minorHAnsi" w:cstheme="minorHAnsi"/>
          <w:w w:val="105"/>
          <w:sz w:val="24"/>
        </w:rPr>
        <w:t>to disclose the diverse microbial species and for the quantification of microbes</w:t>
      </w:r>
      <w:r w:rsidRPr="002C4742">
        <w:rPr>
          <w:rFonts w:asciiTheme="minorHAnsi" w:hAnsiTheme="minorHAnsi" w:cstheme="minorHAnsi"/>
          <w:spacing w:val="1"/>
          <w:w w:val="105"/>
          <w:sz w:val="24"/>
        </w:rPr>
        <w:t xml:space="preserve"> </w:t>
      </w:r>
      <w:r w:rsidRPr="002C4742">
        <w:rPr>
          <w:rFonts w:asciiTheme="minorHAnsi" w:hAnsiTheme="minorHAnsi" w:cstheme="minorHAnsi"/>
          <w:w w:val="105"/>
          <w:sz w:val="24"/>
        </w:rPr>
        <w:t xml:space="preserve">grown in the liquid media. For the identification of microbial species and </w:t>
      </w:r>
      <w:r w:rsidR="004754F6">
        <w:rPr>
          <w:rFonts w:asciiTheme="minorHAnsi" w:hAnsiTheme="minorHAnsi" w:cstheme="minorHAnsi"/>
          <w:w w:val="105"/>
          <w:sz w:val="24"/>
        </w:rPr>
        <w:t>genera</w:t>
      </w:r>
      <w:r w:rsidRPr="002C4742">
        <w:rPr>
          <w:rFonts w:asciiTheme="minorHAnsi" w:hAnsiTheme="minorHAnsi" w:cstheme="minorHAnsi"/>
          <w:spacing w:val="-58"/>
          <w:w w:val="105"/>
          <w:sz w:val="24"/>
        </w:rPr>
        <w:t xml:space="preserve"> </w:t>
      </w:r>
      <w:r w:rsidRPr="002C4742">
        <w:rPr>
          <w:rFonts w:asciiTheme="minorHAnsi" w:hAnsiTheme="minorHAnsi" w:cstheme="minorHAnsi"/>
          <w:sz w:val="24"/>
        </w:rPr>
        <w:t xml:space="preserve">further biochemical tests, selective </w:t>
      </w:r>
      <w:r w:rsidR="004754F6">
        <w:rPr>
          <w:rFonts w:asciiTheme="minorHAnsi" w:hAnsiTheme="minorHAnsi" w:cstheme="minorHAnsi"/>
          <w:sz w:val="24"/>
        </w:rPr>
        <w:t>media,</w:t>
      </w:r>
      <w:r w:rsidRPr="002C4742">
        <w:rPr>
          <w:rFonts w:asciiTheme="minorHAnsi" w:hAnsiTheme="minorHAnsi" w:cstheme="minorHAnsi"/>
          <w:sz w:val="24"/>
        </w:rPr>
        <w:t xml:space="preserve"> or gram staining should be carried out.</w:t>
      </w:r>
      <w:r w:rsidRPr="002C4742">
        <w:rPr>
          <w:rFonts w:asciiTheme="minorHAnsi" w:hAnsiTheme="minorHAnsi" w:cstheme="minorHAnsi"/>
          <w:spacing w:val="1"/>
          <w:sz w:val="24"/>
        </w:rPr>
        <w:t xml:space="preserve"> </w:t>
      </w:r>
      <w:r w:rsidRPr="002C4742">
        <w:rPr>
          <w:rFonts w:asciiTheme="minorHAnsi" w:hAnsiTheme="minorHAnsi" w:cstheme="minorHAnsi"/>
          <w:w w:val="105"/>
          <w:sz w:val="24"/>
        </w:rPr>
        <w:t>(Fouad</w:t>
      </w:r>
      <w:r w:rsidRPr="002C4742">
        <w:rPr>
          <w:rFonts w:asciiTheme="minorHAnsi" w:hAnsiTheme="minorHAnsi" w:cstheme="minorHAnsi"/>
          <w:spacing w:val="3"/>
          <w:w w:val="105"/>
          <w:sz w:val="24"/>
        </w:rPr>
        <w:t xml:space="preserve"> </w:t>
      </w:r>
      <w:r w:rsidRPr="002C4742">
        <w:rPr>
          <w:rFonts w:asciiTheme="minorHAnsi" w:hAnsiTheme="minorHAnsi" w:cstheme="minorHAnsi"/>
          <w:w w:val="105"/>
          <w:sz w:val="24"/>
        </w:rPr>
        <w:t>2009)</w:t>
      </w:r>
      <w:r w:rsidR="00EA1134">
        <w:rPr>
          <w:rFonts w:asciiTheme="minorHAnsi" w:hAnsiTheme="minorHAnsi" w:cstheme="minorHAnsi"/>
          <w:w w:val="105"/>
          <w:sz w:val="24"/>
        </w:rPr>
        <w:t xml:space="preserve">. </w:t>
      </w:r>
    </w:p>
    <w:p w14:paraId="178DB9CF" w14:textId="77777777" w:rsidR="001B3ED2" w:rsidRDefault="00F12B67" w:rsidP="00EA1134">
      <w:pPr>
        <w:pStyle w:val="BodyText"/>
        <w:jc w:val="center"/>
        <w:rPr>
          <w:sz w:val="20"/>
        </w:rPr>
      </w:pPr>
      <w:r>
        <w:rPr>
          <w:noProof/>
          <w:sz w:val="20"/>
        </w:rPr>
        <w:drawing>
          <wp:inline distT="0" distB="0" distL="0" distR="0" wp14:anchorId="40B78E01" wp14:editId="5CCFA004">
            <wp:extent cx="5991052" cy="370274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0" cstate="print"/>
                    <a:stretch>
                      <a:fillRect/>
                    </a:stretch>
                  </pic:blipFill>
                  <pic:spPr>
                    <a:xfrm>
                      <a:off x="0" y="0"/>
                      <a:ext cx="5991052" cy="3702748"/>
                    </a:xfrm>
                    <a:prstGeom prst="rect">
                      <a:avLst/>
                    </a:prstGeom>
                  </pic:spPr>
                </pic:pic>
              </a:graphicData>
            </a:graphic>
          </wp:inline>
        </w:drawing>
      </w:r>
    </w:p>
    <w:p w14:paraId="331E02F5" w14:textId="77777777" w:rsidR="001B3ED2" w:rsidRDefault="001B3ED2">
      <w:pPr>
        <w:pStyle w:val="BodyText"/>
        <w:ind w:left="0"/>
        <w:jc w:val="left"/>
        <w:rPr>
          <w:sz w:val="20"/>
        </w:rPr>
      </w:pPr>
    </w:p>
    <w:p w14:paraId="216432CB" w14:textId="77777777" w:rsidR="001B3ED2" w:rsidRDefault="001B3ED2">
      <w:pPr>
        <w:pStyle w:val="BodyText"/>
        <w:spacing w:before="11"/>
        <w:ind w:left="0"/>
        <w:jc w:val="left"/>
        <w:rPr>
          <w:sz w:val="12"/>
        </w:rPr>
      </w:pPr>
    </w:p>
    <w:p w14:paraId="1BFD5BA8" w14:textId="4BC079B6" w:rsidR="001B3ED2" w:rsidRDefault="00F12B67">
      <w:pPr>
        <w:pStyle w:val="BodyText"/>
        <w:spacing w:before="92" w:line="381" w:lineRule="auto"/>
        <w:ind w:right="308" w:firstLine="719"/>
        <w:rPr>
          <w:rFonts w:asciiTheme="minorHAnsi" w:hAnsiTheme="minorHAnsi" w:cstheme="minorHAnsi"/>
          <w:w w:val="105"/>
          <w:sz w:val="24"/>
        </w:rPr>
      </w:pPr>
      <w:r w:rsidRPr="00EA1134">
        <w:rPr>
          <w:rFonts w:asciiTheme="minorHAnsi" w:hAnsiTheme="minorHAnsi" w:cstheme="minorHAnsi"/>
          <w:w w:val="105"/>
          <w:sz w:val="24"/>
        </w:rPr>
        <w:t>Culture media detect both cultivable and as-yet-uncultivated species and</w:t>
      </w:r>
      <w:r w:rsidRPr="00EA1134">
        <w:rPr>
          <w:rFonts w:asciiTheme="minorHAnsi" w:hAnsiTheme="minorHAnsi" w:cstheme="minorHAnsi"/>
          <w:spacing w:val="-58"/>
          <w:w w:val="105"/>
          <w:sz w:val="24"/>
        </w:rPr>
        <w:t xml:space="preserve"> </w:t>
      </w:r>
      <w:r w:rsidRPr="00EA1134">
        <w:rPr>
          <w:rFonts w:asciiTheme="minorHAnsi" w:hAnsiTheme="minorHAnsi" w:cstheme="minorHAnsi"/>
          <w:w w:val="105"/>
          <w:sz w:val="24"/>
        </w:rPr>
        <w:t>strains.</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High</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specificity</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and</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accurate</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identification</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of</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strains</w:t>
      </w:r>
      <w:r w:rsidRPr="00EA1134">
        <w:rPr>
          <w:rFonts w:asciiTheme="minorHAnsi" w:hAnsiTheme="minorHAnsi" w:cstheme="minorHAnsi"/>
          <w:spacing w:val="-9"/>
          <w:w w:val="105"/>
          <w:sz w:val="24"/>
        </w:rPr>
        <w:t xml:space="preserve"> </w:t>
      </w:r>
      <w:r w:rsidRPr="00EA1134">
        <w:rPr>
          <w:rFonts w:asciiTheme="minorHAnsi" w:hAnsiTheme="minorHAnsi" w:cstheme="minorHAnsi"/>
          <w:w w:val="105"/>
          <w:sz w:val="24"/>
        </w:rPr>
        <w:t>with</w:t>
      </w:r>
      <w:r w:rsidRPr="00EA1134">
        <w:rPr>
          <w:rFonts w:asciiTheme="minorHAnsi" w:hAnsiTheme="minorHAnsi" w:cstheme="minorHAnsi"/>
          <w:spacing w:val="-6"/>
          <w:w w:val="105"/>
          <w:sz w:val="24"/>
        </w:rPr>
        <w:t xml:space="preserve"> </w:t>
      </w:r>
      <w:r w:rsidRPr="00EA1134">
        <w:rPr>
          <w:rFonts w:asciiTheme="minorHAnsi" w:hAnsiTheme="minorHAnsi" w:cstheme="minorHAnsi"/>
          <w:w w:val="105"/>
          <w:sz w:val="24"/>
        </w:rPr>
        <w:t>ambiguous</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or</w:t>
      </w:r>
      <w:r w:rsidRPr="00EA1134">
        <w:rPr>
          <w:rFonts w:asciiTheme="minorHAnsi" w:hAnsiTheme="minorHAnsi" w:cstheme="minorHAnsi"/>
          <w:spacing w:val="-58"/>
          <w:w w:val="105"/>
          <w:sz w:val="24"/>
        </w:rPr>
        <w:t xml:space="preserve"> </w:t>
      </w:r>
      <w:r w:rsidRPr="00EA1134">
        <w:rPr>
          <w:rFonts w:asciiTheme="minorHAnsi" w:hAnsiTheme="minorHAnsi" w:cstheme="minorHAnsi"/>
          <w:sz w:val="24"/>
        </w:rPr>
        <w:t xml:space="preserve">aberrant phenotypic </w:t>
      </w:r>
      <w:proofErr w:type="spellStart"/>
      <w:r w:rsidR="001F7A91">
        <w:rPr>
          <w:rFonts w:asciiTheme="minorHAnsi" w:hAnsiTheme="minorHAnsi" w:cstheme="minorHAnsi"/>
          <w:sz w:val="24"/>
        </w:rPr>
        <w:t>behaviour</w:t>
      </w:r>
      <w:proofErr w:type="spellEnd"/>
      <w:r w:rsidRPr="00EA1134">
        <w:rPr>
          <w:rFonts w:asciiTheme="minorHAnsi" w:hAnsiTheme="minorHAnsi" w:cstheme="minorHAnsi"/>
          <w:sz w:val="24"/>
        </w:rPr>
        <w:t xml:space="preserve"> is an advantage of culture media. It </w:t>
      </w:r>
      <w:r w:rsidR="004754F6">
        <w:rPr>
          <w:rFonts w:asciiTheme="minorHAnsi" w:hAnsiTheme="minorHAnsi" w:cstheme="minorHAnsi"/>
          <w:sz w:val="24"/>
        </w:rPr>
        <w:t>has</w:t>
      </w:r>
      <w:r w:rsidRPr="00EA1134">
        <w:rPr>
          <w:rFonts w:asciiTheme="minorHAnsi" w:hAnsiTheme="minorHAnsi" w:cstheme="minorHAnsi"/>
          <w:sz w:val="24"/>
        </w:rPr>
        <w:t xml:space="preserve"> high</w:t>
      </w:r>
      <w:r w:rsidRPr="00EA1134">
        <w:rPr>
          <w:rFonts w:asciiTheme="minorHAnsi" w:hAnsiTheme="minorHAnsi" w:cstheme="minorHAnsi"/>
          <w:spacing w:val="1"/>
          <w:sz w:val="24"/>
        </w:rPr>
        <w:t xml:space="preserve"> </w:t>
      </w:r>
      <w:r w:rsidRPr="00EA1134">
        <w:rPr>
          <w:rFonts w:asciiTheme="minorHAnsi" w:hAnsiTheme="minorHAnsi" w:cstheme="minorHAnsi"/>
          <w:sz w:val="24"/>
        </w:rPr>
        <w:t>sensitivity and detects species directly in clinical samples. Culture media is found</w:t>
      </w:r>
      <w:r w:rsidRPr="00EA1134">
        <w:rPr>
          <w:rFonts w:asciiTheme="minorHAnsi" w:hAnsiTheme="minorHAnsi" w:cstheme="minorHAnsi"/>
          <w:spacing w:val="1"/>
          <w:sz w:val="24"/>
        </w:rPr>
        <w:t xml:space="preserve"> </w:t>
      </w:r>
      <w:r w:rsidRPr="00EA1134">
        <w:rPr>
          <w:rFonts w:asciiTheme="minorHAnsi" w:hAnsiTheme="minorHAnsi" w:cstheme="minorHAnsi"/>
          <w:w w:val="105"/>
          <w:sz w:val="24"/>
        </w:rPr>
        <w:t>rapid and most assays take no more than minutes to a few hours to identify a</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microbial</w:t>
      </w:r>
      <w:r w:rsidRPr="00EA1134">
        <w:rPr>
          <w:rFonts w:asciiTheme="minorHAnsi" w:hAnsiTheme="minorHAnsi" w:cstheme="minorHAnsi"/>
          <w:spacing w:val="-12"/>
          <w:w w:val="105"/>
          <w:sz w:val="24"/>
        </w:rPr>
        <w:t xml:space="preserve"> </w:t>
      </w:r>
      <w:r w:rsidRPr="00EA1134">
        <w:rPr>
          <w:rFonts w:asciiTheme="minorHAnsi" w:hAnsiTheme="minorHAnsi" w:cstheme="minorHAnsi"/>
          <w:w w:val="105"/>
          <w:sz w:val="24"/>
        </w:rPr>
        <w:t>species.</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There</w:t>
      </w:r>
      <w:r w:rsidRPr="00EA1134">
        <w:rPr>
          <w:rFonts w:asciiTheme="minorHAnsi" w:hAnsiTheme="minorHAnsi" w:cstheme="minorHAnsi"/>
          <w:spacing w:val="-12"/>
          <w:w w:val="105"/>
          <w:sz w:val="24"/>
        </w:rPr>
        <w:t xml:space="preserve"> </w:t>
      </w:r>
      <w:r w:rsidRPr="00EA1134">
        <w:rPr>
          <w:rFonts w:asciiTheme="minorHAnsi" w:hAnsiTheme="minorHAnsi" w:cstheme="minorHAnsi"/>
          <w:w w:val="105"/>
          <w:sz w:val="24"/>
        </w:rPr>
        <w:t>is</w:t>
      </w:r>
      <w:r w:rsidRPr="00EA1134">
        <w:rPr>
          <w:rFonts w:asciiTheme="minorHAnsi" w:hAnsiTheme="minorHAnsi" w:cstheme="minorHAnsi"/>
          <w:spacing w:val="-12"/>
          <w:w w:val="105"/>
          <w:sz w:val="24"/>
        </w:rPr>
        <w:t xml:space="preserve"> </w:t>
      </w:r>
      <w:r w:rsidRPr="00EA1134">
        <w:rPr>
          <w:rFonts w:asciiTheme="minorHAnsi" w:hAnsiTheme="minorHAnsi" w:cstheme="minorHAnsi"/>
          <w:w w:val="105"/>
          <w:sz w:val="24"/>
        </w:rPr>
        <w:t>no</w:t>
      </w:r>
      <w:r w:rsidRPr="00EA1134">
        <w:rPr>
          <w:rFonts w:asciiTheme="minorHAnsi" w:hAnsiTheme="minorHAnsi" w:cstheme="minorHAnsi"/>
          <w:spacing w:val="-12"/>
          <w:w w:val="105"/>
          <w:sz w:val="24"/>
        </w:rPr>
        <w:t xml:space="preserve"> </w:t>
      </w:r>
      <w:r w:rsidRPr="00EA1134">
        <w:rPr>
          <w:rFonts w:asciiTheme="minorHAnsi" w:hAnsiTheme="minorHAnsi" w:cstheme="minorHAnsi"/>
          <w:w w:val="105"/>
          <w:sz w:val="24"/>
        </w:rPr>
        <w:t>need</w:t>
      </w:r>
      <w:r w:rsidRPr="00EA1134">
        <w:rPr>
          <w:rFonts w:asciiTheme="minorHAnsi" w:hAnsiTheme="minorHAnsi" w:cstheme="minorHAnsi"/>
          <w:spacing w:val="-12"/>
          <w:w w:val="105"/>
          <w:sz w:val="24"/>
        </w:rPr>
        <w:t xml:space="preserve"> </w:t>
      </w:r>
      <w:r w:rsidRPr="00EA1134">
        <w:rPr>
          <w:rFonts w:asciiTheme="minorHAnsi" w:hAnsiTheme="minorHAnsi" w:cstheme="minorHAnsi"/>
          <w:w w:val="105"/>
          <w:sz w:val="24"/>
        </w:rPr>
        <w:t>for</w:t>
      </w:r>
      <w:r w:rsidRPr="00EA1134">
        <w:rPr>
          <w:rFonts w:asciiTheme="minorHAnsi" w:hAnsiTheme="minorHAnsi" w:cstheme="minorHAnsi"/>
          <w:spacing w:val="-10"/>
          <w:w w:val="105"/>
          <w:sz w:val="24"/>
        </w:rPr>
        <w:t xml:space="preserve"> </w:t>
      </w:r>
      <w:r w:rsidRPr="00EA1134">
        <w:rPr>
          <w:rFonts w:asciiTheme="minorHAnsi" w:hAnsiTheme="minorHAnsi" w:cstheme="minorHAnsi"/>
          <w:w w:val="105"/>
          <w:sz w:val="24"/>
        </w:rPr>
        <w:t>carefully</w:t>
      </w:r>
      <w:r w:rsidRPr="00EA1134">
        <w:rPr>
          <w:rFonts w:asciiTheme="minorHAnsi" w:hAnsiTheme="minorHAnsi" w:cstheme="minorHAnsi"/>
          <w:spacing w:val="-12"/>
          <w:w w:val="105"/>
          <w:sz w:val="24"/>
        </w:rPr>
        <w:t xml:space="preserve"> </w:t>
      </w:r>
      <w:r w:rsidRPr="00EA1134">
        <w:rPr>
          <w:rFonts w:asciiTheme="minorHAnsi" w:hAnsiTheme="minorHAnsi" w:cstheme="minorHAnsi"/>
          <w:w w:val="105"/>
          <w:sz w:val="24"/>
        </w:rPr>
        <w:t>controlled</w:t>
      </w:r>
      <w:r w:rsidRPr="00EA1134">
        <w:rPr>
          <w:rFonts w:asciiTheme="minorHAnsi" w:hAnsiTheme="minorHAnsi" w:cstheme="minorHAnsi"/>
          <w:spacing w:val="-12"/>
          <w:w w:val="105"/>
          <w:sz w:val="24"/>
        </w:rPr>
        <w:t xml:space="preserve"> </w:t>
      </w:r>
      <w:r w:rsidRPr="00EA1134">
        <w:rPr>
          <w:rFonts w:asciiTheme="minorHAnsi" w:hAnsiTheme="minorHAnsi" w:cstheme="minorHAnsi"/>
          <w:w w:val="105"/>
          <w:sz w:val="24"/>
        </w:rPr>
        <w:t>anaerobic</w:t>
      </w:r>
      <w:r w:rsidRPr="00EA1134">
        <w:rPr>
          <w:rFonts w:asciiTheme="minorHAnsi" w:hAnsiTheme="minorHAnsi" w:cstheme="minorHAnsi"/>
          <w:spacing w:val="-12"/>
          <w:w w:val="105"/>
          <w:sz w:val="24"/>
        </w:rPr>
        <w:t xml:space="preserve"> </w:t>
      </w:r>
      <w:r w:rsidRPr="00EA1134">
        <w:rPr>
          <w:rFonts w:asciiTheme="minorHAnsi" w:hAnsiTheme="minorHAnsi" w:cstheme="minorHAnsi"/>
          <w:w w:val="105"/>
          <w:sz w:val="24"/>
        </w:rPr>
        <w:t>conditions</w:t>
      </w:r>
      <w:r w:rsidRPr="00EA1134">
        <w:rPr>
          <w:rFonts w:asciiTheme="minorHAnsi" w:hAnsiTheme="minorHAnsi" w:cstheme="minorHAnsi"/>
          <w:spacing w:val="-58"/>
          <w:w w:val="105"/>
          <w:sz w:val="24"/>
        </w:rPr>
        <w:t xml:space="preserve"> </w:t>
      </w:r>
      <w:r w:rsidRPr="00EA1134">
        <w:rPr>
          <w:rFonts w:asciiTheme="minorHAnsi" w:hAnsiTheme="minorHAnsi" w:cstheme="minorHAnsi"/>
          <w:w w:val="105"/>
          <w:sz w:val="24"/>
        </w:rPr>
        <w:t>during</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sampling</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and</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transportation.</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Culture</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media</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can</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be</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used</w:t>
      </w:r>
      <w:r w:rsidRPr="00EA1134">
        <w:rPr>
          <w:rFonts w:asciiTheme="minorHAnsi" w:hAnsiTheme="minorHAnsi" w:cstheme="minorHAnsi"/>
          <w:spacing w:val="1"/>
          <w:w w:val="105"/>
          <w:sz w:val="24"/>
        </w:rPr>
        <w:t xml:space="preserve"> </w:t>
      </w:r>
      <w:r w:rsidRPr="00EA1134">
        <w:rPr>
          <w:rFonts w:asciiTheme="minorHAnsi" w:hAnsiTheme="minorHAnsi" w:cstheme="minorHAnsi"/>
          <w:w w:val="105"/>
          <w:sz w:val="24"/>
        </w:rPr>
        <w:t>during</w:t>
      </w:r>
      <w:r w:rsidRPr="00EA1134">
        <w:rPr>
          <w:rFonts w:asciiTheme="minorHAnsi" w:hAnsiTheme="minorHAnsi" w:cstheme="minorHAnsi"/>
          <w:spacing w:val="1"/>
          <w:w w:val="105"/>
          <w:sz w:val="24"/>
        </w:rPr>
        <w:t xml:space="preserve"> </w:t>
      </w:r>
      <w:r w:rsidRPr="00EA1134">
        <w:rPr>
          <w:rFonts w:asciiTheme="minorHAnsi" w:hAnsiTheme="minorHAnsi" w:cstheme="minorHAnsi"/>
          <w:sz w:val="24"/>
        </w:rPr>
        <w:t>antimicrobial treatment. The samples can be stored frozen for later analysis. The</w:t>
      </w:r>
      <w:r w:rsidRPr="00EA1134">
        <w:rPr>
          <w:rFonts w:asciiTheme="minorHAnsi" w:hAnsiTheme="minorHAnsi" w:cstheme="minorHAnsi"/>
          <w:spacing w:val="1"/>
          <w:sz w:val="24"/>
        </w:rPr>
        <w:t xml:space="preserve"> </w:t>
      </w:r>
      <w:r w:rsidRPr="00EA1134">
        <w:rPr>
          <w:rFonts w:asciiTheme="minorHAnsi" w:hAnsiTheme="minorHAnsi" w:cstheme="minorHAnsi"/>
          <w:w w:val="105"/>
          <w:sz w:val="24"/>
        </w:rPr>
        <w:t>DNA can be transported easily between laboratories while using culture media.</w:t>
      </w:r>
      <w:r w:rsidRPr="00EA1134">
        <w:rPr>
          <w:rFonts w:asciiTheme="minorHAnsi" w:hAnsiTheme="minorHAnsi" w:cstheme="minorHAnsi"/>
          <w:spacing w:val="-58"/>
          <w:w w:val="105"/>
          <w:sz w:val="24"/>
        </w:rPr>
        <w:t xml:space="preserve"> </w:t>
      </w:r>
      <w:r w:rsidRPr="00EA1134">
        <w:rPr>
          <w:rFonts w:asciiTheme="minorHAnsi" w:hAnsiTheme="minorHAnsi" w:cstheme="minorHAnsi"/>
          <w:w w:val="105"/>
          <w:sz w:val="24"/>
        </w:rPr>
        <w:t>(</w:t>
      </w:r>
      <w:proofErr w:type="spellStart"/>
      <w:r w:rsidRPr="00EA1134">
        <w:rPr>
          <w:rFonts w:asciiTheme="minorHAnsi" w:hAnsiTheme="minorHAnsi" w:cstheme="minorHAnsi"/>
          <w:w w:val="105"/>
          <w:sz w:val="24"/>
        </w:rPr>
        <w:t>Engelkirk</w:t>
      </w:r>
      <w:proofErr w:type="spellEnd"/>
      <w:r w:rsidRPr="00EA1134">
        <w:rPr>
          <w:rFonts w:asciiTheme="minorHAnsi" w:hAnsiTheme="minorHAnsi" w:cstheme="minorHAnsi"/>
          <w:spacing w:val="3"/>
          <w:w w:val="105"/>
          <w:sz w:val="24"/>
        </w:rPr>
        <w:t xml:space="preserve"> </w:t>
      </w:r>
      <w:r w:rsidRPr="00EA1134">
        <w:rPr>
          <w:rFonts w:asciiTheme="minorHAnsi" w:hAnsiTheme="minorHAnsi" w:cstheme="minorHAnsi"/>
          <w:w w:val="105"/>
          <w:sz w:val="24"/>
        </w:rPr>
        <w:t>PG</w:t>
      </w:r>
      <w:r w:rsidRPr="00EA1134">
        <w:rPr>
          <w:rFonts w:asciiTheme="minorHAnsi" w:hAnsiTheme="minorHAnsi" w:cstheme="minorHAnsi"/>
          <w:spacing w:val="2"/>
          <w:w w:val="105"/>
          <w:sz w:val="24"/>
        </w:rPr>
        <w:t xml:space="preserve"> </w:t>
      </w:r>
      <w:r w:rsidRPr="00EA1134">
        <w:rPr>
          <w:rFonts w:asciiTheme="minorHAnsi" w:hAnsiTheme="minorHAnsi" w:cstheme="minorHAnsi"/>
          <w:w w:val="105"/>
          <w:sz w:val="24"/>
        </w:rPr>
        <w:t>et</w:t>
      </w:r>
      <w:r w:rsidRPr="00EA1134">
        <w:rPr>
          <w:rFonts w:asciiTheme="minorHAnsi" w:hAnsiTheme="minorHAnsi" w:cstheme="minorHAnsi"/>
          <w:spacing w:val="5"/>
          <w:w w:val="105"/>
          <w:sz w:val="24"/>
        </w:rPr>
        <w:t xml:space="preserve"> </w:t>
      </w:r>
      <w:r w:rsidRPr="00EA1134">
        <w:rPr>
          <w:rFonts w:asciiTheme="minorHAnsi" w:hAnsiTheme="minorHAnsi" w:cstheme="minorHAnsi"/>
          <w:w w:val="105"/>
          <w:sz w:val="24"/>
        </w:rPr>
        <w:t>al,</w:t>
      </w:r>
      <w:r w:rsidRPr="00EA1134">
        <w:rPr>
          <w:rFonts w:asciiTheme="minorHAnsi" w:hAnsiTheme="minorHAnsi" w:cstheme="minorHAnsi"/>
          <w:spacing w:val="3"/>
          <w:w w:val="105"/>
          <w:sz w:val="24"/>
        </w:rPr>
        <w:t xml:space="preserve"> </w:t>
      </w:r>
      <w:r w:rsidRPr="00EA1134">
        <w:rPr>
          <w:rFonts w:asciiTheme="minorHAnsi" w:hAnsiTheme="minorHAnsi" w:cstheme="minorHAnsi"/>
          <w:w w:val="105"/>
          <w:sz w:val="24"/>
        </w:rPr>
        <w:t>1992)</w:t>
      </w:r>
    </w:p>
    <w:p w14:paraId="61B20190" w14:textId="77777777" w:rsidR="00EA1134" w:rsidRDefault="00EA1134" w:rsidP="00EA1134">
      <w:pPr>
        <w:pStyle w:val="BodyText"/>
        <w:spacing w:before="92" w:line="381" w:lineRule="auto"/>
        <w:ind w:left="0" w:right="308" w:firstLine="719"/>
        <w:rPr>
          <w:rFonts w:asciiTheme="minorHAnsi" w:hAnsiTheme="minorHAnsi" w:cstheme="minorHAnsi"/>
          <w:w w:val="105"/>
          <w:sz w:val="24"/>
        </w:rPr>
      </w:pPr>
    </w:p>
    <w:p w14:paraId="04F2E0BC" w14:textId="77777777" w:rsidR="00EA1134" w:rsidRPr="004B34E3" w:rsidRDefault="00EA1134" w:rsidP="004B34E3">
      <w:pPr>
        <w:pStyle w:val="Heading1"/>
        <w:tabs>
          <w:tab w:val="left" w:pos="464"/>
        </w:tabs>
        <w:ind w:left="0" w:firstLine="0"/>
        <w:rPr>
          <w:rFonts w:asciiTheme="minorHAnsi" w:hAnsiTheme="minorHAnsi" w:cstheme="minorHAnsi"/>
          <w:sz w:val="28"/>
        </w:rPr>
      </w:pPr>
      <w:r w:rsidRPr="004B34E3">
        <w:rPr>
          <w:rFonts w:asciiTheme="minorHAnsi" w:hAnsiTheme="minorHAnsi" w:cstheme="minorHAnsi"/>
          <w:sz w:val="28"/>
        </w:rPr>
        <w:lastRenderedPageBreak/>
        <w:t>LIMITATIONS</w:t>
      </w:r>
    </w:p>
    <w:p w14:paraId="74A44397" w14:textId="1CC99E6A" w:rsidR="00661B36" w:rsidRDefault="004754F6" w:rsidP="004B34E3">
      <w:pPr>
        <w:pStyle w:val="BodyText"/>
        <w:spacing w:before="161" w:line="381" w:lineRule="auto"/>
        <w:ind w:right="499" w:firstLine="719"/>
        <w:rPr>
          <w:rFonts w:asciiTheme="minorHAnsi" w:hAnsiTheme="minorHAnsi" w:cstheme="minorHAnsi"/>
          <w:sz w:val="24"/>
        </w:rPr>
      </w:pPr>
      <w:r>
        <w:rPr>
          <w:noProof/>
        </w:rPr>
        <w:drawing>
          <wp:anchor distT="0" distB="0" distL="0" distR="0" simplePos="0" relativeHeight="251661312" behindDoc="0" locked="0" layoutInCell="1" allowOverlap="1" wp14:anchorId="243AA99F" wp14:editId="245B5D25">
            <wp:simplePos x="0" y="0"/>
            <wp:positionH relativeFrom="page">
              <wp:posOffset>926745</wp:posOffset>
            </wp:positionH>
            <wp:positionV relativeFrom="paragraph">
              <wp:posOffset>1937607</wp:posOffset>
            </wp:positionV>
            <wp:extent cx="5772482" cy="298751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1" cstate="print"/>
                    <a:stretch>
                      <a:fillRect/>
                    </a:stretch>
                  </pic:blipFill>
                  <pic:spPr>
                    <a:xfrm>
                      <a:off x="0" y="0"/>
                      <a:ext cx="5772482" cy="2987516"/>
                    </a:xfrm>
                    <a:prstGeom prst="rect">
                      <a:avLst/>
                    </a:prstGeom>
                  </pic:spPr>
                </pic:pic>
              </a:graphicData>
            </a:graphic>
          </wp:anchor>
        </w:drawing>
      </w:r>
      <w:r w:rsidR="00F12B67" w:rsidRPr="00EA1134">
        <w:rPr>
          <w:rFonts w:asciiTheme="minorHAnsi" w:hAnsiTheme="minorHAnsi" w:cstheme="minorHAnsi"/>
          <w:sz w:val="24"/>
        </w:rPr>
        <w:t xml:space="preserve">The limitations of culture media include </w:t>
      </w:r>
      <w:r>
        <w:rPr>
          <w:rFonts w:asciiTheme="minorHAnsi" w:hAnsiTheme="minorHAnsi" w:cstheme="minorHAnsi"/>
          <w:sz w:val="24"/>
        </w:rPr>
        <w:t xml:space="preserve">the </w:t>
      </w:r>
      <w:r w:rsidR="00F12B67" w:rsidRPr="00EA1134">
        <w:rPr>
          <w:rFonts w:asciiTheme="minorHAnsi" w:hAnsiTheme="minorHAnsi" w:cstheme="minorHAnsi"/>
          <w:sz w:val="24"/>
        </w:rPr>
        <w:t>impossibility of culturing a large</w:t>
      </w:r>
      <w:r w:rsidR="00F12B67" w:rsidRPr="00EA1134">
        <w:rPr>
          <w:rFonts w:asciiTheme="minorHAnsi" w:hAnsiTheme="minorHAnsi" w:cstheme="minorHAnsi"/>
          <w:spacing w:val="1"/>
          <w:sz w:val="24"/>
        </w:rPr>
        <w:t xml:space="preserve"> </w:t>
      </w:r>
      <w:r w:rsidR="00F12B67" w:rsidRPr="00EA1134">
        <w:rPr>
          <w:rFonts w:asciiTheme="minorHAnsi" w:hAnsiTheme="minorHAnsi" w:cstheme="minorHAnsi"/>
          <w:w w:val="105"/>
          <w:sz w:val="24"/>
        </w:rPr>
        <w:t>number</w:t>
      </w:r>
      <w:r w:rsidR="00F12B67" w:rsidRPr="00EA1134">
        <w:rPr>
          <w:rFonts w:asciiTheme="minorHAnsi" w:hAnsiTheme="minorHAnsi" w:cstheme="minorHAnsi"/>
          <w:spacing w:val="-10"/>
          <w:w w:val="105"/>
          <w:sz w:val="24"/>
        </w:rPr>
        <w:t xml:space="preserve"> </w:t>
      </w:r>
      <w:r w:rsidR="00F12B67" w:rsidRPr="00EA1134">
        <w:rPr>
          <w:rFonts w:asciiTheme="minorHAnsi" w:hAnsiTheme="minorHAnsi" w:cstheme="minorHAnsi"/>
          <w:w w:val="105"/>
          <w:sz w:val="24"/>
        </w:rPr>
        <w:t>of</w:t>
      </w:r>
      <w:r w:rsidR="00F12B67" w:rsidRPr="00EA1134">
        <w:rPr>
          <w:rFonts w:asciiTheme="minorHAnsi" w:hAnsiTheme="minorHAnsi" w:cstheme="minorHAnsi"/>
          <w:spacing w:val="-10"/>
          <w:w w:val="105"/>
          <w:sz w:val="24"/>
        </w:rPr>
        <w:t xml:space="preserve"> </w:t>
      </w:r>
      <w:r w:rsidR="00F12B67" w:rsidRPr="00EA1134">
        <w:rPr>
          <w:rFonts w:asciiTheme="minorHAnsi" w:hAnsiTheme="minorHAnsi" w:cstheme="minorHAnsi"/>
          <w:w w:val="105"/>
          <w:sz w:val="24"/>
        </w:rPr>
        <w:t>ext</w:t>
      </w:r>
      <w:r>
        <w:rPr>
          <w:rFonts w:asciiTheme="minorHAnsi" w:hAnsiTheme="minorHAnsi" w:cstheme="minorHAnsi"/>
          <w:w w:val="105"/>
          <w:sz w:val="24"/>
        </w:rPr>
        <w:t>a</w:t>
      </w:r>
      <w:r w:rsidR="00F12B67" w:rsidRPr="00EA1134">
        <w:rPr>
          <w:rFonts w:asciiTheme="minorHAnsi" w:hAnsiTheme="minorHAnsi" w:cstheme="minorHAnsi"/>
          <w:w w:val="105"/>
          <w:sz w:val="24"/>
        </w:rPr>
        <w:t>nt</w:t>
      </w:r>
      <w:r w:rsidR="00F12B67" w:rsidRPr="00EA1134">
        <w:rPr>
          <w:rFonts w:asciiTheme="minorHAnsi" w:hAnsiTheme="minorHAnsi" w:cstheme="minorHAnsi"/>
          <w:spacing w:val="-11"/>
          <w:w w:val="105"/>
          <w:sz w:val="24"/>
        </w:rPr>
        <w:t xml:space="preserve"> </w:t>
      </w:r>
      <w:r w:rsidR="00F12B67" w:rsidRPr="00EA1134">
        <w:rPr>
          <w:rFonts w:asciiTheme="minorHAnsi" w:hAnsiTheme="minorHAnsi" w:cstheme="minorHAnsi"/>
          <w:w w:val="105"/>
          <w:sz w:val="24"/>
        </w:rPr>
        <w:t>bacterial</w:t>
      </w:r>
      <w:r w:rsidR="00F12B67" w:rsidRPr="00EA1134">
        <w:rPr>
          <w:rFonts w:asciiTheme="minorHAnsi" w:hAnsiTheme="minorHAnsi" w:cstheme="minorHAnsi"/>
          <w:spacing w:val="-11"/>
          <w:w w:val="105"/>
          <w:sz w:val="24"/>
        </w:rPr>
        <w:t xml:space="preserve"> </w:t>
      </w:r>
      <w:r w:rsidR="00F12B67" w:rsidRPr="00EA1134">
        <w:rPr>
          <w:rFonts w:asciiTheme="minorHAnsi" w:hAnsiTheme="minorHAnsi" w:cstheme="minorHAnsi"/>
          <w:w w:val="105"/>
          <w:sz w:val="24"/>
        </w:rPr>
        <w:t>species,</w:t>
      </w:r>
      <w:r w:rsidR="00F12B67" w:rsidRPr="00EA1134">
        <w:rPr>
          <w:rFonts w:asciiTheme="minorHAnsi" w:hAnsiTheme="minorHAnsi" w:cstheme="minorHAnsi"/>
          <w:spacing w:val="-10"/>
          <w:w w:val="105"/>
          <w:sz w:val="24"/>
        </w:rPr>
        <w:t xml:space="preserve"> </w:t>
      </w:r>
      <w:r w:rsidR="00F12B67" w:rsidRPr="00EA1134">
        <w:rPr>
          <w:rFonts w:asciiTheme="minorHAnsi" w:hAnsiTheme="minorHAnsi" w:cstheme="minorHAnsi"/>
          <w:w w:val="105"/>
          <w:sz w:val="24"/>
        </w:rPr>
        <w:t>and</w:t>
      </w:r>
      <w:r w:rsidR="00F12B67" w:rsidRPr="00EA1134">
        <w:rPr>
          <w:rFonts w:asciiTheme="minorHAnsi" w:hAnsiTheme="minorHAnsi" w:cstheme="minorHAnsi"/>
          <w:spacing w:val="-8"/>
          <w:w w:val="105"/>
          <w:sz w:val="24"/>
        </w:rPr>
        <w:t xml:space="preserve"> </w:t>
      </w:r>
      <w:r w:rsidR="00F12B67" w:rsidRPr="00EA1134">
        <w:rPr>
          <w:rFonts w:asciiTheme="minorHAnsi" w:hAnsiTheme="minorHAnsi" w:cstheme="minorHAnsi"/>
          <w:w w:val="105"/>
          <w:sz w:val="24"/>
        </w:rPr>
        <w:t>the</w:t>
      </w:r>
      <w:r w:rsidR="00F12B67" w:rsidRPr="00EA1134">
        <w:rPr>
          <w:rFonts w:asciiTheme="minorHAnsi" w:hAnsiTheme="minorHAnsi" w:cstheme="minorHAnsi"/>
          <w:spacing w:val="-9"/>
          <w:w w:val="105"/>
          <w:sz w:val="24"/>
        </w:rPr>
        <w:t xml:space="preserve"> </w:t>
      </w:r>
      <w:r w:rsidR="00F12B67" w:rsidRPr="00EA1134">
        <w:rPr>
          <w:rFonts w:asciiTheme="minorHAnsi" w:hAnsiTheme="minorHAnsi" w:cstheme="minorHAnsi"/>
          <w:w w:val="105"/>
          <w:sz w:val="24"/>
        </w:rPr>
        <w:t>recovery</w:t>
      </w:r>
      <w:r w:rsidR="00F12B67" w:rsidRPr="00EA1134">
        <w:rPr>
          <w:rFonts w:asciiTheme="minorHAnsi" w:hAnsiTheme="minorHAnsi" w:cstheme="minorHAnsi"/>
          <w:spacing w:val="-10"/>
          <w:w w:val="105"/>
          <w:sz w:val="24"/>
        </w:rPr>
        <w:t xml:space="preserve"> </w:t>
      </w:r>
      <w:r w:rsidR="00F12B67" w:rsidRPr="00EA1134">
        <w:rPr>
          <w:rFonts w:asciiTheme="minorHAnsi" w:hAnsiTheme="minorHAnsi" w:cstheme="minorHAnsi"/>
          <w:w w:val="105"/>
          <w:sz w:val="24"/>
        </w:rPr>
        <w:t>of</w:t>
      </w:r>
      <w:r w:rsidR="00F12B67" w:rsidRPr="00EA1134">
        <w:rPr>
          <w:rFonts w:asciiTheme="minorHAnsi" w:hAnsiTheme="minorHAnsi" w:cstheme="minorHAnsi"/>
          <w:spacing w:val="-10"/>
          <w:w w:val="105"/>
          <w:sz w:val="24"/>
        </w:rPr>
        <w:t xml:space="preserve"> </w:t>
      </w:r>
      <w:r w:rsidR="00F12B67" w:rsidRPr="00EA1134">
        <w:rPr>
          <w:rFonts w:asciiTheme="minorHAnsi" w:hAnsiTheme="minorHAnsi" w:cstheme="minorHAnsi"/>
          <w:w w:val="105"/>
          <w:sz w:val="24"/>
        </w:rPr>
        <w:t>viable</w:t>
      </w:r>
      <w:r w:rsidR="00F12B67" w:rsidRPr="00EA1134">
        <w:rPr>
          <w:rFonts w:asciiTheme="minorHAnsi" w:hAnsiTheme="minorHAnsi" w:cstheme="minorHAnsi"/>
          <w:spacing w:val="-3"/>
          <w:w w:val="105"/>
          <w:sz w:val="24"/>
        </w:rPr>
        <w:t xml:space="preserve"> </w:t>
      </w:r>
      <w:r w:rsidR="00F12B67" w:rsidRPr="00EA1134">
        <w:rPr>
          <w:rFonts w:asciiTheme="minorHAnsi" w:hAnsiTheme="minorHAnsi" w:cstheme="minorHAnsi"/>
          <w:w w:val="105"/>
          <w:sz w:val="24"/>
        </w:rPr>
        <w:t>bacteria</w:t>
      </w:r>
      <w:r w:rsidR="00F12B67" w:rsidRPr="00EA1134">
        <w:rPr>
          <w:rFonts w:asciiTheme="minorHAnsi" w:hAnsiTheme="minorHAnsi" w:cstheme="minorHAnsi"/>
          <w:spacing w:val="-8"/>
          <w:w w:val="105"/>
          <w:sz w:val="24"/>
        </w:rPr>
        <w:t xml:space="preserve"> </w:t>
      </w:r>
      <w:r>
        <w:rPr>
          <w:rFonts w:asciiTheme="minorHAnsi" w:hAnsiTheme="minorHAnsi" w:cstheme="minorHAnsi"/>
          <w:w w:val="105"/>
          <w:sz w:val="24"/>
        </w:rPr>
        <w:t>is</w:t>
      </w:r>
      <w:r w:rsidR="00F12B67" w:rsidRPr="00EA1134">
        <w:rPr>
          <w:rFonts w:asciiTheme="minorHAnsi" w:hAnsiTheme="minorHAnsi" w:cstheme="minorHAnsi"/>
          <w:spacing w:val="-10"/>
          <w:w w:val="105"/>
          <w:sz w:val="24"/>
        </w:rPr>
        <w:t xml:space="preserve"> </w:t>
      </w:r>
      <w:r w:rsidR="00F12B67" w:rsidRPr="00EA1134">
        <w:rPr>
          <w:rFonts w:asciiTheme="minorHAnsi" w:hAnsiTheme="minorHAnsi" w:cstheme="minorHAnsi"/>
          <w:w w:val="105"/>
          <w:sz w:val="24"/>
        </w:rPr>
        <w:t>also</w:t>
      </w:r>
      <w:r w:rsidR="00B91EF4">
        <w:rPr>
          <w:rFonts w:asciiTheme="minorHAnsi" w:hAnsiTheme="minorHAnsi" w:cstheme="minorHAnsi"/>
          <w:sz w:val="24"/>
        </w:rPr>
        <w:t xml:space="preserve"> </w:t>
      </w:r>
      <w:r w:rsidR="00F12B67" w:rsidRPr="00B91EF4">
        <w:rPr>
          <w:rFonts w:asciiTheme="minorHAnsi" w:hAnsiTheme="minorHAnsi" w:cstheme="minorHAnsi"/>
          <w:w w:val="105"/>
          <w:sz w:val="24"/>
        </w:rPr>
        <w:t>limited.</w:t>
      </w:r>
      <w:r w:rsidR="00F12B67" w:rsidRPr="00B91EF4">
        <w:rPr>
          <w:spacing w:val="-12"/>
          <w:w w:val="105"/>
          <w:sz w:val="24"/>
        </w:rPr>
        <w:t xml:space="preserve"> </w:t>
      </w:r>
      <w:r w:rsidR="00F12B67" w:rsidRPr="00B91EF4">
        <w:rPr>
          <w:rFonts w:asciiTheme="minorHAnsi" w:hAnsiTheme="minorHAnsi" w:cstheme="minorHAnsi"/>
          <w:sz w:val="24"/>
        </w:rPr>
        <w:t xml:space="preserve">It has a low sensitivity and specificity is dependent on the experience of </w:t>
      </w:r>
      <w:r>
        <w:rPr>
          <w:rFonts w:asciiTheme="minorHAnsi" w:hAnsiTheme="minorHAnsi" w:cstheme="minorHAnsi"/>
          <w:sz w:val="24"/>
        </w:rPr>
        <w:t xml:space="preserve">the </w:t>
      </w:r>
      <w:r w:rsidR="00F12B67" w:rsidRPr="00B91EF4">
        <w:rPr>
          <w:rFonts w:asciiTheme="minorHAnsi" w:hAnsiTheme="minorHAnsi" w:cstheme="minorHAnsi"/>
          <w:sz w:val="24"/>
        </w:rPr>
        <w:t xml:space="preserve">microbiologist. Extensive expertise and specialized equipment </w:t>
      </w:r>
      <w:r>
        <w:rPr>
          <w:rFonts w:asciiTheme="minorHAnsi" w:hAnsiTheme="minorHAnsi" w:cstheme="minorHAnsi"/>
          <w:sz w:val="24"/>
        </w:rPr>
        <w:t xml:space="preserve">are </w:t>
      </w:r>
      <w:r w:rsidR="00F12B67" w:rsidRPr="00B91EF4">
        <w:rPr>
          <w:rFonts w:asciiTheme="minorHAnsi" w:hAnsiTheme="minorHAnsi" w:cstheme="minorHAnsi"/>
          <w:sz w:val="24"/>
        </w:rPr>
        <w:t xml:space="preserve">needed to isolate anaerobes. Rather it takes several days to weeks to identify most anaerobes. The mode of sample transport is also of utmost importance. </w:t>
      </w:r>
      <w:r>
        <w:rPr>
          <w:rFonts w:asciiTheme="minorHAnsi" w:hAnsiTheme="minorHAnsi" w:cstheme="minorHAnsi"/>
          <w:sz w:val="24"/>
        </w:rPr>
        <w:t>The</w:t>
      </w:r>
      <w:r w:rsidR="00F12B67" w:rsidRPr="00B91EF4">
        <w:rPr>
          <w:rFonts w:asciiTheme="minorHAnsi" w:hAnsiTheme="minorHAnsi" w:cstheme="minorHAnsi"/>
          <w:sz w:val="24"/>
        </w:rPr>
        <w:t xml:space="preserve"> sample requires immediate processing. It is costly, </w:t>
      </w:r>
      <w:r>
        <w:rPr>
          <w:rFonts w:asciiTheme="minorHAnsi" w:hAnsiTheme="minorHAnsi" w:cstheme="minorHAnsi"/>
          <w:sz w:val="24"/>
        </w:rPr>
        <w:t>time-consuming</w:t>
      </w:r>
      <w:r w:rsidR="00F12B67" w:rsidRPr="00B91EF4">
        <w:rPr>
          <w:rFonts w:asciiTheme="minorHAnsi" w:hAnsiTheme="minorHAnsi" w:cstheme="minorHAnsi"/>
          <w:sz w:val="24"/>
        </w:rPr>
        <w:t xml:space="preserve"> </w:t>
      </w:r>
    </w:p>
    <w:p w14:paraId="5CC1FA01" w14:textId="75F23764" w:rsidR="001B3ED2" w:rsidRDefault="004B34E3" w:rsidP="004B34E3">
      <w:pPr>
        <w:pStyle w:val="BodyText"/>
        <w:spacing w:before="161" w:line="381" w:lineRule="auto"/>
        <w:ind w:right="499" w:firstLine="719"/>
        <w:rPr>
          <w:rFonts w:asciiTheme="minorHAnsi" w:hAnsiTheme="minorHAnsi" w:cstheme="minorHAnsi"/>
          <w:sz w:val="24"/>
        </w:rPr>
      </w:pPr>
      <w:r>
        <w:rPr>
          <w:rFonts w:asciiTheme="minorHAnsi" w:hAnsiTheme="minorHAnsi" w:cstheme="minorHAnsi"/>
          <w:sz w:val="24"/>
        </w:rPr>
        <w:t xml:space="preserve">  </w:t>
      </w:r>
    </w:p>
    <w:p w14:paraId="18A0E5D6" w14:textId="18C3E312" w:rsidR="001B3ED2" w:rsidRDefault="00B91EF4" w:rsidP="004B34E3">
      <w:pPr>
        <w:pStyle w:val="Heading1"/>
        <w:tabs>
          <w:tab w:val="left" w:pos="464"/>
        </w:tabs>
        <w:ind w:left="0" w:firstLine="0"/>
        <w:rPr>
          <w:rFonts w:asciiTheme="minorHAnsi" w:hAnsiTheme="minorHAnsi" w:cstheme="minorHAnsi"/>
          <w:sz w:val="28"/>
        </w:rPr>
      </w:pPr>
      <w:r w:rsidRPr="00B91EF4">
        <w:rPr>
          <w:rFonts w:asciiTheme="minorHAnsi" w:hAnsiTheme="minorHAnsi" w:cstheme="minorHAnsi"/>
          <w:sz w:val="28"/>
        </w:rPr>
        <w:t>MOLECULAR</w:t>
      </w:r>
      <w:r w:rsidRPr="004B34E3">
        <w:rPr>
          <w:rFonts w:asciiTheme="minorHAnsi" w:hAnsiTheme="minorHAnsi" w:cstheme="minorHAnsi"/>
          <w:sz w:val="28"/>
        </w:rPr>
        <w:t xml:space="preserve"> </w:t>
      </w:r>
      <w:r w:rsidRPr="00B91EF4">
        <w:rPr>
          <w:rFonts w:asciiTheme="minorHAnsi" w:hAnsiTheme="minorHAnsi" w:cstheme="minorHAnsi"/>
          <w:sz w:val="28"/>
        </w:rPr>
        <w:t>METHODS</w:t>
      </w:r>
    </w:p>
    <w:p w14:paraId="0166F6C7" w14:textId="77777777" w:rsidR="00FA5649" w:rsidRPr="004B34E3" w:rsidRDefault="00FA5649" w:rsidP="004B34E3">
      <w:pPr>
        <w:pStyle w:val="Heading1"/>
        <w:tabs>
          <w:tab w:val="left" w:pos="464"/>
        </w:tabs>
        <w:ind w:left="0" w:firstLine="0"/>
        <w:rPr>
          <w:rFonts w:asciiTheme="minorHAnsi" w:hAnsiTheme="minorHAnsi" w:cstheme="minorHAnsi"/>
          <w:sz w:val="28"/>
        </w:rPr>
      </w:pPr>
    </w:p>
    <w:p w14:paraId="1C265B0F" w14:textId="53FAACF0" w:rsidR="001B3ED2" w:rsidRPr="004B34E3" w:rsidRDefault="00F12B67" w:rsidP="001F7A91">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Molecular methods are based on the identification of certain genes that are unique to specific bacterial species (</w:t>
      </w:r>
      <w:proofErr w:type="spellStart"/>
      <w:r w:rsidRPr="004B34E3">
        <w:rPr>
          <w:rFonts w:asciiTheme="minorHAnsi" w:hAnsiTheme="minorHAnsi" w:cstheme="minorHAnsi"/>
          <w:w w:val="105"/>
          <w:sz w:val="24"/>
        </w:rPr>
        <w:t>Woese</w:t>
      </w:r>
      <w:proofErr w:type="spellEnd"/>
      <w:r w:rsidRPr="004B34E3">
        <w:rPr>
          <w:rFonts w:asciiTheme="minorHAnsi" w:hAnsiTheme="minorHAnsi" w:cstheme="minorHAnsi"/>
          <w:w w:val="105"/>
          <w:sz w:val="24"/>
        </w:rPr>
        <w:t xml:space="preserve">; 2000; Wade; 2004). 16S and 23S rRNA genes are the genes mainly used for microbial identification in molecular biology techniques. The advantages of using the small subunit rRNA genes for microbial identification </w:t>
      </w:r>
      <w:r w:rsidR="004754F6">
        <w:rPr>
          <w:rFonts w:asciiTheme="minorHAnsi" w:hAnsiTheme="minorHAnsi" w:cstheme="minorHAnsi"/>
          <w:w w:val="105"/>
          <w:sz w:val="24"/>
        </w:rPr>
        <w:t>are</w:t>
      </w:r>
      <w:r w:rsidRPr="004B34E3">
        <w:rPr>
          <w:rFonts w:asciiTheme="minorHAnsi" w:hAnsiTheme="minorHAnsi" w:cstheme="minorHAnsi"/>
          <w:w w:val="105"/>
          <w:sz w:val="24"/>
        </w:rPr>
        <w:t xml:space="preserve"> that it is found in all organisms and it is long enough to be highly informative and short enough to be easily sequenced (particularly with the advent of automated DNA sequencers) and </w:t>
      </w:r>
      <w:r w:rsidR="004754F6">
        <w:rPr>
          <w:rFonts w:asciiTheme="minorHAnsi" w:hAnsiTheme="minorHAnsi" w:cstheme="minorHAnsi"/>
          <w:w w:val="105"/>
          <w:sz w:val="24"/>
        </w:rPr>
        <w:t>afford</w:t>
      </w:r>
      <w:r w:rsidRPr="004B34E3">
        <w:rPr>
          <w:rFonts w:asciiTheme="minorHAnsi" w:hAnsiTheme="minorHAnsi" w:cstheme="minorHAnsi"/>
          <w:w w:val="105"/>
          <w:sz w:val="24"/>
        </w:rPr>
        <w:t xml:space="preserve"> reliability for inferring phylogenetic relationships (Woese;1987).</w:t>
      </w:r>
    </w:p>
    <w:p w14:paraId="06800BD2" w14:textId="777B870C"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Thus, the 16S rRNA gene (or 16S rDNA) of bacteria and archaea and the 18S rRNA gene (or 18S rDNA) of fungi and other eukaryotes have been extensively examined and used for identification. Some regions are virtually identical in all representative of a given </w:t>
      </w:r>
      <w:r w:rsidRPr="004B34E3">
        <w:rPr>
          <w:rFonts w:asciiTheme="minorHAnsi" w:hAnsiTheme="minorHAnsi" w:cstheme="minorHAnsi"/>
          <w:w w:val="105"/>
          <w:sz w:val="24"/>
        </w:rPr>
        <w:lastRenderedPageBreak/>
        <w:t xml:space="preserve">domain (conserved regions) and other regions vary in sequence from one species to another (variable regions). Conserved and variable regions of genes are used in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case of </w:t>
      </w:r>
      <w:r w:rsidR="004754F6">
        <w:rPr>
          <w:rFonts w:asciiTheme="minorHAnsi" w:hAnsiTheme="minorHAnsi" w:cstheme="minorHAnsi"/>
          <w:w w:val="105"/>
          <w:sz w:val="24"/>
        </w:rPr>
        <w:t>broad-range</w:t>
      </w:r>
      <w:r w:rsidRPr="004B34E3">
        <w:rPr>
          <w:rFonts w:asciiTheme="minorHAnsi" w:hAnsiTheme="minorHAnsi" w:cstheme="minorHAnsi"/>
          <w:w w:val="105"/>
          <w:sz w:val="24"/>
        </w:rPr>
        <w:t xml:space="preserve"> and species-specific identification methods respectively. Variable regions contain the most information about the genus and species of the bacterium, with unique signatures that allow specific identification.</w:t>
      </w:r>
    </w:p>
    <w:p w14:paraId="795221B2" w14:textId="77777777" w:rsidR="001B3ED2" w:rsidRDefault="00F12B67" w:rsidP="004B34E3">
      <w:pPr>
        <w:pStyle w:val="BodyText"/>
        <w:ind w:left="478"/>
        <w:jc w:val="center"/>
        <w:rPr>
          <w:sz w:val="20"/>
        </w:rPr>
      </w:pPr>
      <w:r>
        <w:rPr>
          <w:noProof/>
          <w:sz w:val="20"/>
        </w:rPr>
        <w:drawing>
          <wp:inline distT="0" distB="0" distL="0" distR="0" wp14:anchorId="407CD52E" wp14:editId="100B1091">
            <wp:extent cx="5235429" cy="2593943"/>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2" cstate="print"/>
                    <a:stretch>
                      <a:fillRect/>
                    </a:stretch>
                  </pic:blipFill>
                  <pic:spPr>
                    <a:xfrm>
                      <a:off x="0" y="0"/>
                      <a:ext cx="5235429" cy="2593943"/>
                    </a:xfrm>
                    <a:prstGeom prst="rect">
                      <a:avLst/>
                    </a:prstGeom>
                  </pic:spPr>
                </pic:pic>
              </a:graphicData>
            </a:graphic>
          </wp:inline>
        </w:drawing>
      </w:r>
    </w:p>
    <w:p w14:paraId="5EE3A286" w14:textId="77777777" w:rsidR="001B3ED2" w:rsidRDefault="00F73260">
      <w:pPr>
        <w:pStyle w:val="BodyText"/>
        <w:spacing w:before="8"/>
        <w:ind w:left="0"/>
        <w:jc w:val="left"/>
        <w:rPr>
          <w:sz w:val="12"/>
        </w:rPr>
      </w:pPr>
      <w:r>
        <w:pict w14:anchorId="13874FC3">
          <v:shapetype id="_x0000_t202" coordsize="21600,21600" o:spt="202" path="m,l,21600r21600,l21600,xe">
            <v:stroke joinstyle="miter"/>
            <v:path gradientshapeok="t" o:connecttype="rect"/>
          </v:shapetype>
          <v:shape id="_x0000_s1076" type="#_x0000_t202" style="position:absolute;margin-left:130.65pt;margin-top:9.85pt;width:389.25pt;height:51.25pt;z-index:-15717888;mso-wrap-distance-left:0;mso-wrap-distance-right:0;mso-position-horizontal-relative:page" filled="f">
            <v:textbox inset="0,0,0,0">
              <w:txbxContent>
                <w:p w14:paraId="709A19BA" w14:textId="77777777" w:rsidR="004114FD" w:rsidRDefault="004114FD" w:rsidP="004B34E3">
                  <w:pPr>
                    <w:spacing w:before="74" w:line="273" w:lineRule="auto"/>
                    <w:ind w:left="143" w:right="44"/>
                    <w:jc w:val="center"/>
                    <w:rPr>
                      <w:sz w:val="20"/>
                    </w:rPr>
                  </w:pPr>
                  <w:r>
                    <w:rPr>
                      <w:w w:val="105"/>
                      <w:sz w:val="20"/>
                    </w:rPr>
                    <w:t>FIG</w:t>
                  </w:r>
                  <w:r>
                    <w:rPr>
                      <w:spacing w:val="-1"/>
                      <w:w w:val="105"/>
                      <w:sz w:val="20"/>
                    </w:rPr>
                    <w:t xml:space="preserve"> </w:t>
                  </w:r>
                  <w:r>
                    <w:rPr>
                      <w:w w:val="105"/>
                      <w:sz w:val="20"/>
                    </w:rPr>
                    <w:t>14:</w:t>
                  </w:r>
                  <w:r>
                    <w:rPr>
                      <w:spacing w:val="2"/>
                      <w:w w:val="105"/>
                      <w:sz w:val="20"/>
                    </w:rPr>
                    <w:t xml:space="preserve"> </w:t>
                  </w:r>
                  <w:r>
                    <w:rPr>
                      <w:w w:val="105"/>
                      <w:sz w:val="20"/>
                    </w:rPr>
                    <w:t>16S</w:t>
                  </w:r>
                  <w:r>
                    <w:rPr>
                      <w:spacing w:val="1"/>
                      <w:w w:val="105"/>
                      <w:sz w:val="20"/>
                    </w:rPr>
                    <w:t xml:space="preserve"> </w:t>
                  </w:r>
                  <w:r>
                    <w:rPr>
                      <w:w w:val="105"/>
                      <w:sz w:val="20"/>
                    </w:rPr>
                    <w:t>rRNA gene</w:t>
                  </w:r>
                  <w:r>
                    <w:rPr>
                      <w:spacing w:val="1"/>
                      <w:w w:val="105"/>
                      <w:sz w:val="20"/>
                    </w:rPr>
                    <w:t xml:space="preserve"> </w:t>
                  </w:r>
                  <w:r>
                    <w:rPr>
                      <w:w w:val="105"/>
                      <w:sz w:val="20"/>
                    </w:rPr>
                    <w:t>(rDNA).</w:t>
                  </w:r>
                  <w:r>
                    <w:rPr>
                      <w:spacing w:val="1"/>
                      <w:w w:val="105"/>
                      <w:sz w:val="20"/>
                    </w:rPr>
                    <w:t xml:space="preserve"> </w:t>
                  </w:r>
                  <w:r>
                    <w:rPr>
                      <w:w w:val="105"/>
                      <w:sz w:val="20"/>
                    </w:rPr>
                    <w:t>Areas in yellow</w:t>
                  </w:r>
                  <w:r>
                    <w:rPr>
                      <w:spacing w:val="-1"/>
                      <w:w w:val="105"/>
                      <w:sz w:val="20"/>
                    </w:rPr>
                    <w:t xml:space="preserve"> </w:t>
                  </w:r>
                  <w:r>
                    <w:rPr>
                      <w:w w:val="105"/>
                      <w:sz w:val="20"/>
                    </w:rPr>
                    <w:t>correspond</w:t>
                  </w:r>
                  <w:r>
                    <w:rPr>
                      <w:spacing w:val="1"/>
                      <w:w w:val="105"/>
                      <w:sz w:val="20"/>
                    </w:rPr>
                    <w:t xml:space="preserve"> </w:t>
                  </w:r>
                  <w:r>
                    <w:rPr>
                      <w:w w:val="105"/>
                      <w:sz w:val="20"/>
                    </w:rPr>
                    <w:t>to variable</w:t>
                  </w:r>
                  <w:r>
                    <w:rPr>
                      <w:spacing w:val="1"/>
                      <w:w w:val="105"/>
                      <w:sz w:val="20"/>
                    </w:rPr>
                    <w:t xml:space="preserve"> </w:t>
                  </w:r>
                  <w:r>
                    <w:rPr>
                      <w:w w:val="105"/>
                      <w:sz w:val="20"/>
                    </w:rPr>
                    <w:t>regions,</w:t>
                  </w:r>
                  <w:r>
                    <w:rPr>
                      <w:spacing w:val="1"/>
                      <w:w w:val="105"/>
                      <w:sz w:val="20"/>
                    </w:rPr>
                    <w:t xml:space="preserve"> </w:t>
                  </w:r>
                  <w:r>
                    <w:rPr>
                      <w:w w:val="105"/>
                      <w:sz w:val="20"/>
                    </w:rPr>
                    <w:t>which</w:t>
                  </w:r>
                  <w:r>
                    <w:rPr>
                      <w:spacing w:val="-11"/>
                      <w:w w:val="105"/>
                      <w:sz w:val="20"/>
                    </w:rPr>
                    <w:t xml:space="preserve"> </w:t>
                  </w:r>
                  <w:r>
                    <w:rPr>
                      <w:w w:val="105"/>
                      <w:sz w:val="20"/>
                    </w:rPr>
                    <w:t>contain</w:t>
                  </w:r>
                  <w:r>
                    <w:rPr>
                      <w:spacing w:val="-10"/>
                      <w:w w:val="105"/>
                      <w:sz w:val="20"/>
                    </w:rPr>
                    <w:t xml:space="preserve"> </w:t>
                  </w:r>
                  <w:r>
                    <w:rPr>
                      <w:w w:val="105"/>
                      <w:sz w:val="20"/>
                    </w:rPr>
                    <w:t>information</w:t>
                  </w:r>
                  <w:r>
                    <w:rPr>
                      <w:spacing w:val="-11"/>
                      <w:w w:val="105"/>
                      <w:sz w:val="20"/>
                    </w:rPr>
                    <w:t xml:space="preserve"> </w:t>
                  </w:r>
                  <w:r>
                    <w:rPr>
                      <w:w w:val="105"/>
                      <w:sz w:val="20"/>
                    </w:rPr>
                    <w:t>about</w:t>
                  </w:r>
                  <w:r>
                    <w:rPr>
                      <w:spacing w:val="-11"/>
                      <w:w w:val="105"/>
                      <w:sz w:val="20"/>
                    </w:rPr>
                    <w:t xml:space="preserve"> </w:t>
                  </w:r>
                  <w:r>
                    <w:rPr>
                      <w:w w:val="105"/>
                      <w:sz w:val="20"/>
                    </w:rPr>
                    <w:t>the</w:t>
                  </w:r>
                  <w:r>
                    <w:rPr>
                      <w:spacing w:val="-10"/>
                      <w:w w:val="105"/>
                      <w:sz w:val="20"/>
                    </w:rPr>
                    <w:t xml:space="preserve"> </w:t>
                  </w:r>
                  <w:r>
                    <w:rPr>
                      <w:w w:val="105"/>
                      <w:sz w:val="20"/>
                    </w:rPr>
                    <w:t>genus</w:t>
                  </w:r>
                  <w:r>
                    <w:rPr>
                      <w:spacing w:val="-11"/>
                      <w:w w:val="105"/>
                      <w:sz w:val="20"/>
                    </w:rPr>
                    <w:t xml:space="preserve"> </w:t>
                  </w:r>
                  <w:r>
                    <w:rPr>
                      <w:w w:val="105"/>
                      <w:sz w:val="20"/>
                    </w:rPr>
                    <w:t>and</w:t>
                  </w:r>
                  <w:r>
                    <w:rPr>
                      <w:spacing w:val="-10"/>
                      <w:w w:val="105"/>
                      <w:sz w:val="20"/>
                    </w:rPr>
                    <w:t xml:space="preserve"> </w:t>
                  </w:r>
                  <w:r>
                    <w:rPr>
                      <w:w w:val="105"/>
                      <w:sz w:val="20"/>
                    </w:rPr>
                    <w:t>the</w:t>
                  </w:r>
                  <w:r>
                    <w:rPr>
                      <w:spacing w:val="-11"/>
                      <w:w w:val="105"/>
                      <w:sz w:val="20"/>
                    </w:rPr>
                    <w:t xml:space="preserve"> </w:t>
                  </w:r>
                  <w:r>
                    <w:rPr>
                      <w:w w:val="105"/>
                      <w:sz w:val="20"/>
                    </w:rPr>
                    <w:t>species.</w:t>
                  </w:r>
                  <w:r>
                    <w:rPr>
                      <w:spacing w:val="-10"/>
                      <w:w w:val="105"/>
                      <w:sz w:val="20"/>
                    </w:rPr>
                    <w:t xml:space="preserve"> </w:t>
                  </w:r>
                  <w:r>
                    <w:rPr>
                      <w:w w:val="105"/>
                      <w:sz w:val="20"/>
                    </w:rPr>
                    <w:t>Red</w:t>
                  </w:r>
                  <w:r>
                    <w:rPr>
                      <w:spacing w:val="-9"/>
                      <w:w w:val="105"/>
                      <w:sz w:val="20"/>
                    </w:rPr>
                    <w:t xml:space="preserve"> </w:t>
                  </w:r>
                  <w:r>
                    <w:rPr>
                      <w:w w:val="105"/>
                      <w:sz w:val="20"/>
                    </w:rPr>
                    <w:t>areas</w:t>
                  </w:r>
                  <w:r>
                    <w:rPr>
                      <w:spacing w:val="-11"/>
                      <w:w w:val="105"/>
                      <w:sz w:val="20"/>
                    </w:rPr>
                    <w:t xml:space="preserve"> </w:t>
                  </w:r>
                  <w:r>
                    <w:rPr>
                      <w:w w:val="105"/>
                      <w:sz w:val="20"/>
                    </w:rPr>
                    <w:t>correspond</w:t>
                  </w:r>
                  <w:r>
                    <w:rPr>
                      <w:spacing w:val="-8"/>
                      <w:w w:val="105"/>
                      <w:sz w:val="20"/>
                    </w:rPr>
                    <w:t xml:space="preserve"> </w:t>
                  </w:r>
                  <w:r>
                    <w:rPr>
                      <w:w w:val="105"/>
                      <w:sz w:val="20"/>
                    </w:rPr>
                    <w:t>to</w:t>
                  </w:r>
                  <w:r>
                    <w:rPr>
                      <w:spacing w:val="-43"/>
                      <w:w w:val="105"/>
                      <w:sz w:val="20"/>
                    </w:rPr>
                    <w:t xml:space="preserve"> </w:t>
                  </w:r>
                  <w:r>
                    <w:rPr>
                      <w:w w:val="105"/>
                      <w:sz w:val="20"/>
                    </w:rPr>
                    <w:t>conserved</w:t>
                  </w:r>
                  <w:r>
                    <w:rPr>
                      <w:spacing w:val="-7"/>
                      <w:w w:val="105"/>
                      <w:sz w:val="20"/>
                    </w:rPr>
                    <w:t xml:space="preserve"> </w:t>
                  </w:r>
                  <w:r>
                    <w:rPr>
                      <w:w w:val="105"/>
                      <w:sz w:val="20"/>
                    </w:rPr>
                    <w:t>regions</w:t>
                  </w:r>
                  <w:r>
                    <w:rPr>
                      <w:spacing w:val="-7"/>
                      <w:w w:val="105"/>
                      <w:sz w:val="20"/>
                    </w:rPr>
                    <w:t xml:space="preserve"> </w:t>
                  </w:r>
                  <w:r>
                    <w:rPr>
                      <w:w w:val="105"/>
                      <w:sz w:val="20"/>
                    </w:rPr>
                    <w:t>of</w:t>
                  </w:r>
                  <w:r>
                    <w:rPr>
                      <w:spacing w:val="-6"/>
                      <w:w w:val="105"/>
                      <w:sz w:val="20"/>
                    </w:rPr>
                    <w:t xml:space="preserve"> </w:t>
                  </w:r>
                  <w:r>
                    <w:rPr>
                      <w:w w:val="105"/>
                      <w:sz w:val="20"/>
                    </w:rPr>
                    <w:t>the</w:t>
                  </w:r>
                  <w:r>
                    <w:rPr>
                      <w:spacing w:val="-6"/>
                      <w:w w:val="105"/>
                      <w:sz w:val="20"/>
                    </w:rPr>
                    <w:t xml:space="preserve"> </w:t>
                  </w:r>
                  <w:r>
                    <w:rPr>
                      <w:w w:val="105"/>
                      <w:sz w:val="20"/>
                    </w:rPr>
                    <w:t>gene.</w:t>
                  </w:r>
                  <w:r>
                    <w:rPr>
                      <w:spacing w:val="-6"/>
                      <w:w w:val="105"/>
                      <w:sz w:val="20"/>
                    </w:rPr>
                    <w:t xml:space="preserve"> </w:t>
                  </w:r>
                  <w:r>
                    <w:rPr>
                      <w:w w:val="105"/>
                      <w:sz w:val="20"/>
                    </w:rPr>
                    <w:t>Primers</w:t>
                  </w:r>
                  <w:r>
                    <w:rPr>
                      <w:spacing w:val="-7"/>
                      <w:w w:val="105"/>
                      <w:sz w:val="20"/>
                    </w:rPr>
                    <w:t xml:space="preserve"> </w:t>
                  </w:r>
                  <w:r>
                    <w:rPr>
                      <w:w w:val="105"/>
                      <w:sz w:val="20"/>
                    </w:rPr>
                    <w:t>designed</w:t>
                  </w:r>
                  <w:r>
                    <w:rPr>
                      <w:spacing w:val="-4"/>
                      <w:w w:val="105"/>
                      <w:sz w:val="20"/>
                    </w:rPr>
                    <w:t xml:space="preserve"> </w:t>
                  </w:r>
                  <w:r>
                    <w:rPr>
                      <w:w w:val="105"/>
                      <w:sz w:val="20"/>
                    </w:rPr>
                    <w:t>on</w:t>
                  </w:r>
                  <w:r>
                    <w:rPr>
                      <w:spacing w:val="-7"/>
                      <w:w w:val="105"/>
                      <w:sz w:val="20"/>
                    </w:rPr>
                    <w:t xml:space="preserve"> </w:t>
                  </w:r>
                  <w:r>
                    <w:rPr>
                      <w:w w:val="105"/>
                      <w:sz w:val="20"/>
                    </w:rPr>
                    <w:t>these</w:t>
                  </w:r>
                  <w:r>
                    <w:rPr>
                      <w:spacing w:val="-6"/>
                      <w:w w:val="105"/>
                      <w:sz w:val="20"/>
                    </w:rPr>
                    <w:t xml:space="preserve"> </w:t>
                  </w:r>
                  <w:r>
                    <w:rPr>
                      <w:w w:val="105"/>
                      <w:sz w:val="20"/>
                    </w:rPr>
                    <w:t>areas</w:t>
                  </w:r>
                  <w:r>
                    <w:rPr>
                      <w:spacing w:val="-7"/>
                      <w:w w:val="105"/>
                      <w:sz w:val="20"/>
                    </w:rPr>
                    <w:t xml:space="preserve"> </w:t>
                  </w:r>
                  <w:r>
                    <w:rPr>
                      <w:w w:val="105"/>
                      <w:sz w:val="20"/>
                    </w:rPr>
                    <w:t>are</w:t>
                  </w:r>
                  <w:r>
                    <w:rPr>
                      <w:spacing w:val="-5"/>
                      <w:w w:val="105"/>
                      <w:sz w:val="20"/>
                    </w:rPr>
                    <w:t xml:space="preserve"> </w:t>
                  </w:r>
                  <w:r>
                    <w:rPr>
                      <w:w w:val="105"/>
                      <w:sz w:val="20"/>
                    </w:rPr>
                    <w:t>used</w:t>
                  </w:r>
                  <w:r>
                    <w:rPr>
                      <w:spacing w:val="-6"/>
                      <w:w w:val="105"/>
                      <w:sz w:val="20"/>
                    </w:rPr>
                    <w:t xml:space="preserve"> </w:t>
                  </w:r>
                  <w:r>
                    <w:rPr>
                      <w:w w:val="105"/>
                      <w:sz w:val="20"/>
                    </w:rPr>
                    <w:t>in</w:t>
                  </w:r>
                  <w:r>
                    <w:rPr>
                      <w:spacing w:val="-8"/>
                      <w:w w:val="105"/>
                      <w:sz w:val="20"/>
                    </w:rPr>
                    <w:t xml:space="preserve"> </w:t>
                  </w:r>
                  <w:r>
                    <w:rPr>
                      <w:w w:val="105"/>
                      <w:sz w:val="20"/>
                    </w:rPr>
                    <w:t>broad-</w:t>
                  </w:r>
                </w:p>
              </w:txbxContent>
            </v:textbox>
            <w10:wrap type="topAndBottom" anchorx="page"/>
          </v:shape>
        </w:pict>
      </w:r>
    </w:p>
    <w:p w14:paraId="5DDEC811" w14:textId="77777777" w:rsidR="001B3ED2" w:rsidRDefault="001B3ED2" w:rsidP="004B34E3">
      <w:pPr>
        <w:pStyle w:val="BodyText"/>
        <w:spacing w:before="2"/>
        <w:ind w:left="0" w:firstLine="720"/>
        <w:jc w:val="left"/>
        <w:rPr>
          <w:sz w:val="7"/>
        </w:rPr>
      </w:pPr>
    </w:p>
    <w:p w14:paraId="46AE28C4" w14:textId="77777777" w:rsidR="001B3ED2" w:rsidRDefault="004B34E3">
      <w:pPr>
        <w:pStyle w:val="BodyText"/>
        <w:ind w:left="1147"/>
        <w:jc w:val="left"/>
        <w:rPr>
          <w:sz w:val="20"/>
        </w:rPr>
      </w:pPr>
      <w:r>
        <w:rPr>
          <w:sz w:val="20"/>
        </w:rPr>
        <w:t xml:space="preserve">                            </w:t>
      </w:r>
      <w:r w:rsidR="00F73260">
        <w:rPr>
          <w:sz w:val="20"/>
        </w:rPr>
      </w:r>
      <w:r w:rsidR="00F73260">
        <w:rPr>
          <w:sz w:val="20"/>
        </w:rPr>
        <w:pict w14:anchorId="60A358CD">
          <v:group id="_x0000_s1073" style="width:276.85pt;height:250.2pt;mso-position-horizontal-relative:char;mso-position-vertical-relative:line" coordsize="7076,6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115;top:4;width:6956;height:6741">
              <v:imagedata r:id="rId13" o:title=""/>
            </v:shape>
            <v:rect id="_x0000_s1074" style="position:absolute;left:2;top:2;width:7071;height:6746" filled="f" strokeweight=".25pt"/>
            <w10:anchorlock/>
          </v:group>
        </w:pict>
      </w:r>
    </w:p>
    <w:p w14:paraId="26042CFC" w14:textId="31AAD98E" w:rsidR="001B3ED2" w:rsidRDefault="00F73260" w:rsidP="00A7204A">
      <w:pPr>
        <w:pStyle w:val="BodyText"/>
        <w:spacing w:before="3"/>
        <w:ind w:left="0"/>
        <w:jc w:val="left"/>
        <w:rPr>
          <w:sz w:val="20"/>
        </w:rPr>
        <w:sectPr w:rsidR="001B3ED2">
          <w:footerReference w:type="default" r:id="rId14"/>
          <w:pgSz w:w="11910" w:h="16840"/>
          <w:pgMar w:top="1520" w:right="940" w:bottom="1200" w:left="1260" w:header="0" w:footer="920" w:gutter="0"/>
          <w:cols w:space="720"/>
        </w:sectPr>
      </w:pPr>
      <w:r>
        <w:pict w14:anchorId="75928A02">
          <v:shape id="_x0000_s1072" type="#_x0000_t202" style="position:absolute;margin-left:117.15pt;margin-top:14.2pt;width:362.25pt;height:51.3pt;z-index:-15716864;mso-wrap-distance-left:0;mso-wrap-distance-right:0;mso-position-horizontal-relative:page" filled="f">
            <v:textbox inset="0,0,0,0">
              <w:txbxContent>
                <w:p w14:paraId="5D70AE9C" w14:textId="1393A6B1" w:rsidR="004114FD" w:rsidRDefault="004114FD">
                  <w:pPr>
                    <w:spacing w:before="74" w:line="276" w:lineRule="auto"/>
                    <w:ind w:left="143" w:right="147"/>
                    <w:jc w:val="both"/>
                    <w:rPr>
                      <w:sz w:val="20"/>
                    </w:rPr>
                  </w:pPr>
                  <w:r>
                    <w:rPr>
                      <w:w w:val="105"/>
                      <w:sz w:val="20"/>
                    </w:rPr>
                    <w:t>FIG15: Molecular biology methods used in the study of endodontic infections.</w:t>
                  </w:r>
                  <w:r>
                    <w:rPr>
                      <w:spacing w:val="-44"/>
                      <w:w w:val="105"/>
                      <w:sz w:val="20"/>
                    </w:rPr>
                    <w:t xml:space="preserve"> </w:t>
                  </w:r>
                  <w:r>
                    <w:rPr>
                      <w:w w:val="105"/>
                      <w:sz w:val="20"/>
                    </w:rPr>
                    <w:t>The choice for a particular technique will</w:t>
                  </w:r>
                  <w:r w:rsidR="001F7A91">
                    <w:rPr>
                      <w:w w:val="105"/>
                      <w:sz w:val="20"/>
                    </w:rPr>
                    <w:t xml:space="preserve"> </w:t>
                  </w:r>
                  <w:r>
                    <w:rPr>
                      <w:w w:val="105"/>
                      <w:sz w:val="20"/>
                    </w:rPr>
                    <w:t>depend on the type of analysis to be</w:t>
                  </w:r>
                  <w:r>
                    <w:rPr>
                      <w:spacing w:val="1"/>
                      <w:w w:val="105"/>
                      <w:sz w:val="20"/>
                    </w:rPr>
                    <w:t xml:space="preserve"> </w:t>
                  </w:r>
                  <w:r>
                    <w:rPr>
                      <w:w w:val="105"/>
                      <w:sz w:val="20"/>
                    </w:rPr>
                    <w:t>performed</w:t>
                  </w:r>
                </w:p>
              </w:txbxContent>
            </v:textbox>
            <w10:wrap type="topAndBottom" anchorx="page"/>
          </v:shape>
        </w:pict>
      </w:r>
    </w:p>
    <w:p w14:paraId="093E7A12" w14:textId="7F2C0173" w:rsidR="001B3ED2" w:rsidRDefault="00F12B67" w:rsidP="008E371E">
      <w:pPr>
        <w:pStyle w:val="Heading1"/>
        <w:numPr>
          <w:ilvl w:val="0"/>
          <w:numId w:val="11"/>
        </w:numPr>
        <w:tabs>
          <w:tab w:val="left" w:pos="464"/>
        </w:tabs>
        <w:rPr>
          <w:rFonts w:asciiTheme="minorHAnsi" w:hAnsiTheme="minorHAnsi" w:cstheme="minorHAnsi"/>
          <w:sz w:val="28"/>
        </w:rPr>
      </w:pPr>
      <w:r w:rsidRPr="004B34E3">
        <w:rPr>
          <w:rFonts w:asciiTheme="minorHAnsi" w:hAnsiTheme="minorHAnsi" w:cstheme="minorHAnsi"/>
          <w:sz w:val="28"/>
        </w:rPr>
        <w:lastRenderedPageBreak/>
        <w:t>PCR- Polymerase Chain Reaction</w:t>
      </w:r>
    </w:p>
    <w:p w14:paraId="495477C1" w14:textId="77777777" w:rsidR="00FA5649" w:rsidRPr="004B34E3" w:rsidRDefault="00FA5649" w:rsidP="00FA5649">
      <w:pPr>
        <w:pStyle w:val="Heading1"/>
        <w:tabs>
          <w:tab w:val="left" w:pos="464"/>
        </w:tabs>
        <w:ind w:left="360" w:firstLine="0"/>
        <w:rPr>
          <w:rFonts w:asciiTheme="minorHAnsi" w:hAnsiTheme="minorHAnsi" w:cstheme="minorHAnsi"/>
          <w:sz w:val="28"/>
        </w:rPr>
      </w:pPr>
    </w:p>
    <w:p w14:paraId="201D2C4F" w14:textId="52C94B74" w:rsidR="001B3ED2" w:rsidRPr="004B34E3" w:rsidRDefault="004754F6" w:rsidP="00FA5649">
      <w:pPr>
        <w:pStyle w:val="BodyText"/>
        <w:spacing w:before="1" w:line="360" w:lineRule="auto"/>
        <w:ind w:left="360"/>
        <w:rPr>
          <w:rFonts w:asciiTheme="minorHAnsi" w:hAnsiTheme="minorHAnsi" w:cstheme="minorHAnsi"/>
          <w:w w:val="105"/>
          <w:sz w:val="24"/>
        </w:rPr>
      </w:pPr>
      <w:r>
        <w:rPr>
          <w:rFonts w:asciiTheme="minorHAnsi" w:hAnsiTheme="minorHAnsi" w:cstheme="minorHAnsi"/>
          <w:w w:val="105"/>
          <w:sz w:val="24"/>
        </w:rPr>
        <w:t>The invention</w:t>
      </w:r>
      <w:r w:rsidR="00F12B67" w:rsidRPr="004B34E3">
        <w:rPr>
          <w:rFonts w:asciiTheme="minorHAnsi" w:hAnsiTheme="minorHAnsi" w:cstheme="minorHAnsi"/>
          <w:w w:val="105"/>
          <w:sz w:val="24"/>
        </w:rPr>
        <w:t xml:space="preserve"> of PCR (Kary Mullis, 1983) </w:t>
      </w:r>
      <w:r>
        <w:rPr>
          <w:rFonts w:asciiTheme="minorHAnsi" w:hAnsiTheme="minorHAnsi" w:cstheme="minorHAnsi"/>
          <w:w w:val="105"/>
          <w:sz w:val="24"/>
        </w:rPr>
        <w:t>revolutionized</w:t>
      </w:r>
      <w:r w:rsidR="00F12B67" w:rsidRPr="004B34E3">
        <w:rPr>
          <w:rFonts w:asciiTheme="minorHAnsi" w:hAnsiTheme="minorHAnsi" w:cstheme="minorHAnsi"/>
          <w:w w:val="105"/>
          <w:sz w:val="24"/>
        </w:rPr>
        <w:t xml:space="preserve"> the branch of molecular biology. In modern days, it is possible to isolate any gene from any organism and can be used for genome sequencing studies. It amplifies as few as one copy of a gene into millions to billions of copies. The basic steps involved in PCR include;</w:t>
      </w:r>
    </w:p>
    <w:p w14:paraId="1A399DC8" w14:textId="3B05D9AF" w:rsidR="001B3ED2" w:rsidRPr="004B34E3" w:rsidRDefault="00F12B67" w:rsidP="00FA5649">
      <w:pPr>
        <w:pStyle w:val="BodyText"/>
        <w:numPr>
          <w:ilvl w:val="0"/>
          <w:numId w:val="14"/>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 xml:space="preserve">The target DNA serving as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template is denatured (melted) at temperatures high enough to break the hydrogen bonds holding the strands together, thus liberating single strands of DNA.</w:t>
      </w:r>
    </w:p>
    <w:p w14:paraId="2F66B548" w14:textId="77777777" w:rsidR="001B3ED2" w:rsidRPr="004B34E3" w:rsidRDefault="00F12B67" w:rsidP="00FA5649">
      <w:pPr>
        <w:pStyle w:val="BodyText"/>
        <w:numPr>
          <w:ilvl w:val="0"/>
          <w:numId w:val="14"/>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Two short oligonucleotides (primers) anneal to complementary sequences on opposite strands of the target DNA. Primers define the two ends of the amplified stretch of DNA.</w:t>
      </w:r>
    </w:p>
    <w:p w14:paraId="12456AC5" w14:textId="77777777" w:rsidR="0061285A" w:rsidRDefault="00F12B67" w:rsidP="00FA5649">
      <w:pPr>
        <w:pStyle w:val="BodyText"/>
        <w:numPr>
          <w:ilvl w:val="0"/>
          <w:numId w:val="14"/>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 xml:space="preserve">A complementary second strand of new DNA is synthesized through the extension of each annealed primer by a thermostable DNA polymerase in the presence of excess deoxyribonucleoside triphosphates. </w:t>
      </w:r>
    </w:p>
    <w:p w14:paraId="0C1DB25B" w14:textId="77777777" w:rsidR="001B3ED2" w:rsidRPr="004B34E3" w:rsidRDefault="00F12B67" w:rsidP="00FA5649">
      <w:pPr>
        <w:pStyle w:val="BodyText"/>
        <w:numPr>
          <w:ilvl w:val="0"/>
          <w:numId w:val="14"/>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All previously synthesized products act as templates for new primer extension reactions in each ensuing cycle. The result is the exponential amplification of new products.</w:t>
      </w:r>
    </w:p>
    <w:p w14:paraId="6A4FF5AB"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noProof/>
          <w:w w:val="105"/>
          <w:sz w:val="24"/>
        </w:rPr>
        <w:drawing>
          <wp:anchor distT="0" distB="0" distL="0" distR="0" simplePos="0" relativeHeight="251654144" behindDoc="0" locked="0" layoutInCell="1" allowOverlap="1" wp14:anchorId="11C57141" wp14:editId="5E968E46">
            <wp:simplePos x="0" y="0"/>
            <wp:positionH relativeFrom="page">
              <wp:posOffset>991751</wp:posOffset>
            </wp:positionH>
            <wp:positionV relativeFrom="paragraph">
              <wp:posOffset>144242</wp:posOffset>
            </wp:positionV>
            <wp:extent cx="5305406" cy="206168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15" cstate="print"/>
                    <a:stretch>
                      <a:fillRect/>
                    </a:stretch>
                  </pic:blipFill>
                  <pic:spPr>
                    <a:xfrm>
                      <a:off x="0" y="0"/>
                      <a:ext cx="5305406" cy="2061686"/>
                    </a:xfrm>
                    <a:prstGeom prst="rect">
                      <a:avLst/>
                    </a:prstGeom>
                  </pic:spPr>
                </pic:pic>
              </a:graphicData>
            </a:graphic>
          </wp:anchor>
        </w:drawing>
      </w:r>
    </w:p>
    <w:p w14:paraId="18908C32"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7C5F234A"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FIG 16.</w:t>
      </w:r>
    </w:p>
    <w:p w14:paraId="68D9D8DF" w14:textId="77777777" w:rsidR="001B3ED2" w:rsidRPr="004B34E3" w:rsidRDefault="001B3ED2" w:rsidP="004B34E3">
      <w:pPr>
        <w:pStyle w:val="BodyText"/>
        <w:spacing w:before="1" w:line="360" w:lineRule="auto"/>
        <w:ind w:left="540"/>
        <w:rPr>
          <w:rFonts w:asciiTheme="minorHAnsi" w:hAnsiTheme="minorHAnsi" w:cstheme="minorHAnsi"/>
          <w:w w:val="105"/>
          <w:sz w:val="24"/>
        </w:rPr>
        <w:sectPr w:rsidR="001B3ED2" w:rsidRPr="004B34E3">
          <w:pgSz w:w="11910" w:h="16840"/>
          <w:pgMar w:top="1440" w:right="940" w:bottom="1200" w:left="1260" w:header="0" w:footer="920" w:gutter="0"/>
          <w:cols w:space="720"/>
        </w:sectPr>
      </w:pPr>
    </w:p>
    <w:p w14:paraId="0861E11F" w14:textId="77777777" w:rsidR="001B3ED2"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lastRenderedPageBreak/>
        <w:t>There are several methods to check if the intended PCR product was generated. The most commonly used method for detecting PCR products is electrophoresis in an agarose gel.</w:t>
      </w:r>
    </w:p>
    <w:p w14:paraId="0126398C" w14:textId="77777777" w:rsidR="008E371E" w:rsidRPr="004B34E3" w:rsidRDefault="008E371E" w:rsidP="004B34E3">
      <w:pPr>
        <w:pStyle w:val="BodyText"/>
        <w:spacing w:before="1" w:line="360" w:lineRule="auto"/>
        <w:ind w:left="540"/>
        <w:rPr>
          <w:rFonts w:asciiTheme="minorHAnsi" w:hAnsiTheme="minorHAnsi" w:cstheme="minorHAnsi"/>
          <w:w w:val="105"/>
          <w:sz w:val="24"/>
        </w:rPr>
      </w:pPr>
    </w:p>
    <w:p w14:paraId="2E060A46" w14:textId="77777777" w:rsidR="001B3ED2" w:rsidRPr="00FA5649" w:rsidRDefault="00F12B67" w:rsidP="008E371E">
      <w:pPr>
        <w:pStyle w:val="Heading1"/>
        <w:numPr>
          <w:ilvl w:val="0"/>
          <w:numId w:val="12"/>
        </w:numPr>
        <w:tabs>
          <w:tab w:val="left" w:pos="464"/>
        </w:tabs>
        <w:rPr>
          <w:rFonts w:asciiTheme="minorHAnsi" w:hAnsiTheme="minorHAnsi" w:cstheme="minorHAnsi"/>
          <w:w w:val="105"/>
          <w:sz w:val="24"/>
        </w:rPr>
      </w:pPr>
      <w:r w:rsidRPr="00661B36">
        <w:rPr>
          <w:rFonts w:asciiTheme="minorHAnsi" w:hAnsiTheme="minorHAnsi" w:cstheme="minorHAnsi"/>
          <w:sz w:val="28"/>
        </w:rPr>
        <w:t>Agarose Ge</w:t>
      </w:r>
      <w:r w:rsidRPr="004B34E3">
        <w:rPr>
          <w:rFonts w:asciiTheme="minorHAnsi" w:hAnsiTheme="minorHAnsi" w:cstheme="minorHAnsi"/>
          <w:w w:val="105"/>
          <w:sz w:val="24"/>
        </w:rPr>
        <w:t xml:space="preserve">l </w:t>
      </w:r>
      <w:r w:rsidRPr="00661B36">
        <w:rPr>
          <w:rFonts w:asciiTheme="minorHAnsi" w:hAnsiTheme="minorHAnsi" w:cstheme="minorHAnsi"/>
          <w:sz w:val="28"/>
        </w:rPr>
        <w:t>Electrophoresis</w:t>
      </w:r>
    </w:p>
    <w:p w14:paraId="3E6094FA" w14:textId="77777777" w:rsidR="00FA5649" w:rsidRPr="004B34E3" w:rsidRDefault="00FA5649" w:rsidP="00FA5649">
      <w:pPr>
        <w:pStyle w:val="Heading1"/>
        <w:tabs>
          <w:tab w:val="left" w:pos="464"/>
        </w:tabs>
        <w:ind w:left="720" w:firstLine="0"/>
        <w:rPr>
          <w:rFonts w:asciiTheme="minorHAnsi" w:hAnsiTheme="minorHAnsi" w:cstheme="minorHAnsi"/>
          <w:w w:val="105"/>
          <w:sz w:val="24"/>
        </w:rPr>
      </w:pPr>
    </w:p>
    <w:p w14:paraId="7795DDFE" w14:textId="033282AC"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A small portion of the PCR reaction sample was taken </w:t>
      </w:r>
      <w:r w:rsidR="004754F6">
        <w:rPr>
          <w:rFonts w:asciiTheme="minorHAnsi" w:hAnsiTheme="minorHAnsi" w:cstheme="minorHAnsi"/>
          <w:w w:val="105"/>
          <w:sz w:val="24"/>
        </w:rPr>
        <w:t>into</w:t>
      </w:r>
      <w:r w:rsidRPr="004B34E3">
        <w:rPr>
          <w:rFonts w:asciiTheme="minorHAnsi" w:hAnsiTheme="minorHAnsi" w:cstheme="minorHAnsi"/>
          <w:w w:val="105"/>
          <w:sz w:val="24"/>
        </w:rPr>
        <w:t xml:space="preserve"> the gel and an electrical gradient </w:t>
      </w:r>
      <w:r w:rsidR="004754F6">
        <w:rPr>
          <w:rFonts w:asciiTheme="minorHAnsi" w:hAnsiTheme="minorHAnsi" w:cstheme="minorHAnsi"/>
          <w:w w:val="105"/>
          <w:sz w:val="24"/>
        </w:rPr>
        <w:t>was</w:t>
      </w:r>
      <w:r w:rsidRPr="004B34E3">
        <w:rPr>
          <w:rFonts w:asciiTheme="minorHAnsi" w:hAnsiTheme="minorHAnsi" w:cstheme="minorHAnsi"/>
          <w:w w:val="105"/>
          <w:sz w:val="24"/>
        </w:rPr>
        <w:t xml:space="preserve"> applied through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buffer solution. Based on the size of the products, </w:t>
      </w:r>
      <w:r w:rsidR="004754F6">
        <w:rPr>
          <w:rFonts w:asciiTheme="minorHAnsi" w:hAnsiTheme="minorHAnsi" w:cstheme="minorHAnsi"/>
          <w:w w:val="105"/>
          <w:sz w:val="24"/>
        </w:rPr>
        <w:t>they</w:t>
      </w:r>
      <w:r w:rsidRPr="004B34E3">
        <w:rPr>
          <w:rFonts w:asciiTheme="minorHAnsi" w:hAnsiTheme="minorHAnsi" w:cstheme="minorHAnsi"/>
          <w:w w:val="105"/>
          <w:sz w:val="24"/>
        </w:rPr>
        <w:t xml:space="preserve"> </w:t>
      </w:r>
      <w:r w:rsidR="00F73260">
        <w:rPr>
          <w:rFonts w:asciiTheme="minorHAnsi" w:hAnsiTheme="minorHAnsi" w:cstheme="minorHAnsi"/>
          <w:w w:val="105"/>
          <w:sz w:val="24"/>
        </w:rPr>
        <w:t>migrate</w:t>
      </w:r>
      <w:r w:rsidRPr="004B34E3">
        <w:rPr>
          <w:rFonts w:asciiTheme="minorHAnsi" w:hAnsiTheme="minorHAnsi" w:cstheme="minorHAnsi"/>
          <w:w w:val="105"/>
          <w:sz w:val="24"/>
        </w:rPr>
        <w:t xml:space="preserve"> through the gel and the larger products </w:t>
      </w:r>
      <w:r w:rsidR="004754F6">
        <w:rPr>
          <w:rFonts w:asciiTheme="minorHAnsi" w:hAnsiTheme="minorHAnsi" w:cstheme="minorHAnsi"/>
          <w:w w:val="105"/>
          <w:sz w:val="24"/>
        </w:rPr>
        <w:t>run</w:t>
      </w:r>
      <w:r w:rsidRPr="004B34E3">
        <w:rPr>
          <w:rFonts w:asciiTheme="minorHAnsi" w:hAnsiTheme="minorHAnsi" w:cstheme="minorHAnsi"/>
          <w:w w:val="105"/>
          <w:sz w:val="24"/>
        </w:rPr>
        <w:t xml:space="preserve"> a shorter distance in the gel, experiencing more resistance in the gel matrix. DNA ladder digests represent DNA fragments of known size and are run in the same gel to serve as molecular size </w:t>
      </w:r>
      <w:r w:rsidR="004754F6">
        <w:rPr>
          <w:rFonts w:asciiTheme="minorHAnsi" w:hAnsiTheme="minorHAnsi" w:cstheme="minorHAnsi"/>
          <w:w w:val="105"/>
          <w:sz w:val="24"/>
        </w:rPr>
        <w:t>standards</w:t>
      </w:r>
      <w:r w:rsidRPr="004B34E3">
        <w:rPr>
          <w:rFonts w:asciiTheme="minorHAnsi" w:hAnsiTheme="minorHAnsi" w:cstheme="minorHAnsi"/>
          <w:w w:val="105"/>
          <w:sz w:val="24"/>
        </w:rPr>
        <w:t>, based on which the size of the PCR products will be estimated. The gel is usually visualized using ethidium bromide staining and ultraviolet transillumination. Designed primers are expected to generate a PCR product of a given size and observation of a band of the predicted size in the electrophoretic gel is consistent with a positive PCR result.</w:t>
      </w:r>
    </w:p>
    <w:p w14:paraId="4B726145"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noProof/>
          <w:w w:val="105"/>
          <w:sz w:val="24"/>
        </w:rPr>
        <w:drawing>
          <wp:anchor distT="0" distB="0" distL="0" distR="0" simplePos="0" relativeHeight="251655168" behindDoc="0" locked="0" layoutInCell="1" allowOverlap="1" wp14:anchorId="50DCEE18" wp14:editId="46A6E051">
            <wp:simplePos x="0" y="0"/>
            <wp:positionH relativeFrom="page">
              <wp:posOffset>1266444</wp:posOffset>
            </wp:positionH>
            <wp:positionV relativeFrom="paragraph">
              <wp:posOffset>201756</wp:posOffset>
            </wp:positionV>
            <wp:extent cx="5040061" cy="3063240"/>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16" cstate="print"/>
                    <a:stretch>
                      <a:fillRect/>
                    </a:stretch>
                  </pic:blipFill>
                  <pic:spPr>
                    <a:xfrm>
                      <a:off x="0" y="0"/>
                      <a:ext cx="5040061" cy="3063240"/>
                    </a:xfrm>
                    <a:prstGeom prst="rect">
                      <a:avLst/>
                    </a:prstGeom>
                  </pic:spPr>
                </pic:pic>
              </a:graphicData>
            </a:graphic>
          </wp:anchor>
        </w:drawing>
      </w:r>
    </w:p>
    <w:p w14:paraId="7E0A619D"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6F4FC429"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FIG 17.</w:t>
      </w:r>
    </w:p>
    <w:p w14:paraId="62254A1C" w14:textId="77777777" w:rsidR="001B3ED2" w:rsidRPr="004B34E3" w:rsidRDefault="001B3ED2" w:rsidP="004B34E3">
      <w:pPr>
        <w:pStyle w:val="BodyText"/>
        <w:spacing w:before="1" w:line="360" w:lineRule="auto"/>
        <w:ind w:left="540"/>
        <w:rPr>
          <w:rFonts w:asciiTheme="minorHAnsi" w:hAnsiTheme="minorHAnsi" w:cstheme="minorHAnsi"/>
          <w:w w:val="105"/>
          <w:sz w:val="24"/>
        </w:rPr>
        <w:sectPr w:rsidR="001B3ED2" w:rsidRPr="004B34E3">
          <w:pgSz w:w="11910" w:h="16840"/>
          <w:pgMar w:top="1440" w:right="940" w:bottom="1200" w:left="1260" w:header="0" w:footer="920" w:gutter="0"/>
          <w:cols w:space="720"/>
        </w:sectPr>
      </w:pPr>
    </w:p>
    <w:p w14:paraId="4B98FFB2" w14:textId="066F535C" w:rsidR="001B3ED2" w:rsidRPr="004B34E3" w:rsidRDefault="004754F6" w:rsidP="004B34E3">
      <w:pPr>
        <w:pStyle w:val="BodyText"/>
        <w:spacing w:before="1" w:line="360" w:lineRule="auto"/>
        <w:ind w:left="540"/>
        <w:rPr>
          <w:rFonts w:asciiTheme="minorHAnsi" w:hAnsiTheme="minorHAnsi" w:cstheme="minorHAnsi"/>
          <w:w w:val="105"/>
          <w:sz w:val="24"/>
        </w:rPr>
      </w:pPr>
      <w:r>
        <w:rPr>
          <w:rFonts w:asciiTheme="minorHAnsi" w:hAnsiTheme="minorHAnsi" w:cstheme="minorHAnsi"/>
          <w:w w:val="105"/>
          <w:sz w:val="24"/>
        </w:rPr>
        <w:lastRenderedPageBreak/>
        <w:t>The identity</w:t>
      </w:r>
      <w:r w:rsidR="00F12B67" w:rsidRPr="004B34E3">
        <w:rPr>
          <w:rFonts w:asciiTheme="minorHAnsi" w:hAnsiTheme="minorHAnsi" w:cstheme="minorHAnsi"/>
          <w:w w:val="105"/>
          <w:sz w:val="24"/>
        </w:rPr>
        <w:t xml:space="preserve"> of PCR products should be confirmed by one of the following methods:</w:t>
      </w:r>
    </w:p>
    <w:p w14:paraId="47961C3E"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64C6426D" w14:textId="77777777" w:rsidR="001B3ED2" w:rsidRPr="00661B36" w:rsidRDefault="00F12B67" w:rsidP="00D448CE">
      <w:pPr>
        <w:pStyle w:val="Heading1"/>
        <w:numPr>
          <w:ilvl w:val="0"/>
          <w:numId w:val="6"/>
        </w:numPr>
        <w:tabs>
          <w:tab w:val="left" w:pos="464"/>
        </w:tabs>
        <w:rPr>
          <w:rFonts w:asciiTheme="minorHAnsi" w:hAnsiTheme="minorHAnsi" w:cstheme="minorHAnsi"/>
          <w:sz w:val="28"/>
        </w:rPr>
      </w:pPr>
      <w:r w:rsidRPr="00661B36">
        <w:rPr>
          <w:rFonts w:asciiTheme="minorHAnsi" w:hAnsiTheme="minorHAnsi" w:cstheme="minorHAnsi"/>
          <w:sz w:val="28"/>
        </w:rPr>
        <w:t>Sequencing of the PCR product</w:t>
      </w:r>
    </w:p>
    <w:p w14:paraId="24EF2983"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06185F3C"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Hybridization of a specific oligonucleotide probe to a region of the PCR product that is internal to the priming sites</w:t>
      </w:r>
    </w:p>
    <w:p w14:paraId="51D4DAFD" w14:textId="1A3A9609" w:rsidR="001B3ED2" w:rsidRPr="004B34E3" w:rsidRDefault="00F12B67" w:rsidP="00FA5649">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Amplification</w:t>
      </w:r>
    </w:p>
    <w:p w14:paraId="6DE20A94" w14:textId="77777777" w:rsidR="001B3ED2"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Restriction enzyme cleavage of the PCR product using an enzyme that is known to cut a specific sequence within the product (restriction fragment length polymorphism—RFLP).</w:t>
      </w:r>
    </w:p>
    <w:p w14:paraId="3024170C" w14:textId="77777777" w:rsidR="00FA5649" w:rsidRPr="004B34E3" w:rsidRDefault="00FA5649" w:rsidP="004B34E3">
      <w:pPr>
        <w:pStyle w:val="BodyText"/>
        <w:spacing w:before="1" w:line="360" w:lineRule="auto"/>
        <w:ind w:left="540"/>
        <w:rPr>
          <w:rFonts w:asciiTheme="minorHAnsi" w:hAnsiTheme="minorHAnsi" w:cstheme="minorHAnsi"/>
          <w:w w:val="105"/>
          <w:sz w:val="24"/>
        </w:rPr>
      </w:pPr>
    </w:p>
    <w:p w14:paraId="13BCB479" w14:textId="77777777" w:rsidR="001B3ED2" w:rsidRPr="004B34E3" w:rsidRDefault="00F12B67" w:rsidP="00D448CE">
      <w:pPr>
        <w:pStyle w:val="Heading1"/>
        <w:numPr>
          <w:ilvl w:val="0"/>
          <w:numId w:val="6"/>
        </w:numPr>
        <w:tabs>
          <w:tab w:val="left" w:pos="464"/>
        </w:tabs>
        <w:rPr>
          <w:rFonts w:asciiTheme="minorHAnsi" w:hAnsiTheme="minorHAnsi" w:cstheme="minorHAnsi"/>
          <w:sz w:val="28"/>
        </w:rPr>
      </w:pPr>
      <w:r w:rsidRPr="004B34E3">
        <w:rPr>
          <w:rFonts w:asciiTheme="minorHAnsi" w:hAnsiTheme="minorHAnsi" w:cstheme="minorHAnsi"/>
          <w:sz w:val="28"/>
        </w:rPr>
        <w:t>PCR and its derivatives</w:t>
      </w:r>
    </w:p>
    <w:p w14:paraId="49643E3A" w14:textId="77777777" w:rsidR="001B3ED2" w:rsidRDefault="001B3ED2">
      <w:pPr>
        <w:pStyle w:val="BodyText"/>
        <w:spacing w:before="8"/>
        <w:ind w:left="0"/>
        <w:jc w:val="left"/>
        <w:rPr>
          <w:rFonts w:ascii="Palatino Linotype"/>
          <w:b/>
          <w:sz w:val="20"/>
        </w:rPr>
      </w:pPr>
    </w:p>
    <w:p w14:paraId="25B420B9" w14:textId="77777777" w:rsidR="001B3ED2" w:rsidRPr="004B34E3" w:rsidRDefault="00F12B67" w:rsidP="00D448CE">
      <w:pPr>
        <w:pStyle w:val="Heading1"/>
        <w:numPr>
          <w:ilvl w:val="0"/>
          <w:numId w:val="7"/>
        </w:numPr>
        <w:tabs>
          <w:tab w:val="left" w:pos="464"/>
        </w:tabs>
        <w:rPr>
          <w:rFonts w:asciiTheme="minorHAnsi" w:hAnsiTheme="minorHAnsi" w:cstheme="minorHAnsi"/>
          <w:sz w:val="28"/>
        </w:rPr>
      </w:pPr>
      <w:r w:rsidRPr="004B34E3">
        <w:rPr>
          <w:rFonts w:asciiTheme="minorHAnsi" w:hAnsiTheme="minorHAnsi" w:cstheme="minorHAnsi"/>
          <w:sz w:val="28"/>
        </w:rPr>
        <w:t>Species-specific</w:t>
      </w:r>
    </w:p>
    <w:p w14:paraId="0A581108" w14:textId="77777777" w:rsidR="001B3ED2" w:rsidRDefault="001B3ED2">
      <w:pPr>
        <w:pStyle w:val="BodyText"/>
        <w:ind w:left="0"/>
        <w:jc w:val="left"/>
        <w:rPr>
          <w:rFonts w:ascii="Palatino Linotype"/>
          <w:b/>
          <w:sz w:val="23"/>
        </w:rPr>
      </w:pPr>
    </w:p>
    <w:p w14:paraId="6F921FBE" w14:textId="0CB69553"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By this method, the variable regions of the 16S rRNA gene are most commonly used to detect and design primers specific </w:t>
      </w:r>
      <w:r w:rsidR="004754F6">
        <w:rPr>
          <w:rFonts w:asciiTheme="minorHAnsi" w:hAnsiTheme="minorHAnsi" w:cstheme="minorHAnsi"/>
          <w:w w:val="105"/>
          <w:sz w:val="24"/>
        </w:rPr>
        <w:t>to</w:t>
      </w:r>
      <w:r w:rsidRPr="004B34E3">
        <w:rPr>
          <w:rFonts w:asciiTheme="minorHAnsi" w:hAnsiTheme="minorHAnsi" w:cstheme="minorHAnsi"/>
          <w:w w:val="105"/>
          <w:sz w:val="24"/>
        </w:rPr>
        <w:t xml:space="preserve"> bacterial species. Using public databases that contain the 16S rRNA gene sequences from a vast number of oral bacteria, primers can be designed to specifically detect virtually every cultivable and as-yet-uncultivated oral species. Further with the help of agarose gel electrophoresis,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PCR product of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predicted size is determined and shows the occurrence of the target species in the sample. The best way to check the specificity of the assay is by sequencing the PCR product.</w:t>
      </w:r>
    </w:p>
    <w:p w14:paraId="53D8B2EF" w14:textId="212B6220" w:rsidR="001B3ED2" w:rsidRPr="004B34E3" w:rsidRDefault="004754F6" w:rsidP="004B34E3">
      <w:pPr>
        <w:pStyle w:val="BodyText"/>
        <w:spacing w:before="1" w:line="360" w:lineRule="auto"/>
        <w:ind w:left="540"/>
        <w:rPr>
          <w:rFonts w:asciiTheme="minorHAnsi" w:hAnsiTheme="minorHAnsi" w:cstheme="minorHAnsi"/>
          <w:w w:val="105"/>
          <w:sz w:val="24"/>
        </w:rPr>
      </w:pPr>
      <w:r>
        <w:rPr>
          <w:rFonts w:asciiTheme="minorHAnsi" w:hAnsiTheme="minorHAnsi" w:cstheme="minorHAnsi"/>
          <w:w w:val="105"/>
          <w:sz w:val="24"/>
        </w:rPr>
        <w:t>The specificity</w:t>
      </w:r>
      <w:r w:rsidR="00F12B67" w:rsidRPr="004B34E3">
        <w:rPr>
          <w:rFonts w:asciiTheme="minorHAnsi" w:hAnsiTheme="minorHAnsi" w:cstheme="minorHAnsi"/>
          <w:w w:val="105"/>
          <w:sz w:val="24"/>
        </w:rPr>
        <w:t xml:space="preserve"> of the PCR assay can be increased by using a touchdown procedure. By this approach, the annealing temperature in the initial PCR cycle is set several degrees above the calculated melting temperature (Tm) of the primers. In succeeding cycles, the annealing temperature is decreased by 0.5– 2◦Cper cycle until a temperature is equal to, or 2–5◦C below, the Tm of the primers has reached. This technique </w:t>
      </w:r>
      <w:r>
        <w:rPr>
          <w:rFonts w:asciiTheme="minorHAnsi" w:hAnsiTheme="minorHAnsi" w:cstheme="minorHAnsi"/>
          <w:w w:val="105"/>
          <w:sz w:val="24"/>
        </w:rPr>
        <w:t>has</w:t>
      </w:r>
      <w:r w:rsidR="00F12B67" w:rsidRPr="004B34E3">
        <w:rPr>
          <w:rFonts w:asciiTheme="minorHAnsi" w:hAnsiTheme="minorHAnsi" w:cstheme="minorHAnsi"/>
          <w:w w:val="105"/>
          <w:sz w:val="24"/>
        </w:rPr>
        <w:t xml:space="preserve"> been considered useful </w:t>
      </w:r>
      <w:r>
        <w:rPr>
          <w:rFonts w:asciiTheme="minorHAnsi" w:hAnsiTheme="minorHAnsi" w:cstheme="minorHAnsi"/>
          <w:w w:val="105"/>
          <w:sz w:val="24"/>
        </w:rPr>
        <w:t>in avoiding</w:t>
      </w:r>
      <w:r w:rsidR="00F12B67" w:rsidRPr="004B34E3">
        <w:rPr>
          <w:rFonts w:asciiTheme="minorHAnsi" w:hAnsiTheme="minorHAnsi" w:cstheme="minorHAnsi"/>
          <w:w w:val="105"/>
          <w:sz w:val="24"/>
        </w:rPr>
        <w:t xml:space="preserve"> the</w:t>
      </w:r>
    </w:p>
    <w:p w14:paraId="3B555EDB" w14:textId="77777777" w:rsidR="001B3ED2" w:rsidRPr="004B34E3" w:rsidRDefault="001B3ED2" w:rsidP="004B34E3">
      <w:pPr>
        <w:pStyle w:val="BodyText"/>
        <w:spacing w:before="1" w:line="360" w:lineRule="auto"/>
        <w:ind w:left="540"/>
        <w:rPr>
          <w:rFonts w:asciiTheme="minorHAnsi" w:hAnsiTheme="minorHAnsi" w:cstheme="minorHAnsi"/>
          <w:w w:val="105"/>
          <w:sz w:val="24"/>
        </w:rPr>
        <w:sectPr w:rsidR="001B3ED2" w:rsidRPr="004B34E3">
          <w:pgSz w:w="11910" w:h="16840"/>
          <w:pgMar w:top="1440" w:right="940" w:bottom="1200" w:left="1260" w:header="0" w:footer="920" w:gutter="0"/>
          <w:cols w:space="720"/>
        </w:sectPr>
      </w:pPr>
    </w:p>
    <w:p w14:paraId="5524BDD7" w14:textId="77777777" w:rsidR="001B3ED2"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lastRenderedPageBreak/>
        <w:t xml:space="preserve">amplification of spurious DNA fragments (non-rRNA gene fragments and/or fragments with improper </w:t>
      </w:r>
      <w:proofErr w:type="gramStart"/>
      <w:r w:rsidRPr="004B34E3">
        <w:rPr>
          <w:rFonts w:asciiTheme="minorHAnsi" w:hAnsiTheme="minorHAnsi" w:cstheme="minorHAnsi"/>
          <w:w w:val="105"/>
          <w:sz w:val="24"/>
        </w:rPr>
        <w:t>sizes)(</w:t>
      </w:r>
      <w:proofErr w:type="gramEnd"/>
      <w:r w:rsidRPr="004B34E3">
        <w:rPr>
          <w:rFonts w:asciiTheme="minorHAnsi" w:hAnsiTheme="minorHAnsi" w:cstheme="minorHAnsi"/>
          <w:w w:val="105"/>
          <w:sz w:val="24"/>
        </w:rPr>
        <w:t>Don et al., 1991).</w:t>
      </w:r>
    </w:p>
    <w:p w14:paraId="4760E3E9" w14:textId="77777777" w:rsidR="00FA5649" w:rsidRPr="004B34E3" w:rsidRDefault="00FA5649" w:rsidP="004B34E3">
      <w:pPr>
        <w:pStyle w:val="BodyText"/>
        <w:spacing w:before="1" w:line="360" w:lineRule="auto"/>
        <w:ind w:left="540"/>
        <w:rPr>
          <w:rFonts w:asciiTheme="minorHAnsi" w:hAnsiTheme="minorHAnsi" w:cstheme="minorHAnsi"/>
          <w:w w:val="105"/>
          <w:sz w:val="24"/>
        </w:rPr>
      </w:pPr>
    </w:p>
    <w:p w14:paraId="7D93C97A" w14:textId="77777777" w:rsidR="001B3ED2" w:rsidRPr="00661B36" w:rsidRDefault="00F12B67" w:rsidP="00D448CE">
      <w:pPr>
        <w:pStyle w:val="Heading1"/>
        <w:numPr>
          <w:ilvl w:val="0"/>
          <w:numId w:val="7"/>
        </w:numPr>
        <w:tabs>
          <w:tab w:val="left" w:pos="464"/>
        </w:tabs>
        <w:rPr>
          <w:rFonts w:asciiTheme="minorHAnsi" w:hAnsiTheme="minorHAnsi" w:cstheme="minorHAnsi"/>
          <w:sz w:val="28"/>
        </w:rPr>
      </w:pPr>
      <w:r w:rsidRPr="00661B36">
        <w:rPr>
          <w:rFonts w:asciiTheme="minorHAnsi" w:hAnsiTheme="minorHAnsi" w:cstheme="minorHAnsi"/>
          <w:sz w:val="28"/>
        </w:rPr>
        <w:t>Multiplex PCR</w:t>
      </w:r>
    </w:p>
    <w:p w14:paraId="29A54E80"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45C13DAC" w14:textId="61EFBE86"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James et al. (2003) introduced multiplex PCR for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detection of GM </w:t>
      </w:r>
      <w:r w:rsidR="004754F6">
        <w:rPr>
          <w:rFonts w:asciiTheme="minorHAnsi" w:hAnsiTheme="minorHAnsi" w:cstheme="minorHAnsi"/>
          <w:w w:val="105"/>
          <w:sz w:val="24"/>
        </w:rPr>
        <w:t>soybeans</w:t>
      </w:r>
      <w:r w:rsidRPr="004B34E3">
        <w:rPr>
          <w:rFonts w:asciiTheme="minorHAnsi" w:hAnsiTheme="minorHAnsi" w:cstheme="minorHAnsi"/>
          <w:w w:val="105"/>
          <w:sz w:val="24"/>
        </w:rPr>
        <w:t xml:space="preserve">. Multiplex PCR is a process where multiple primer pairs are used to simultaneously amplify several sequences in a single reaction (Chamberlain et al., </w:t>
      </w:r>
      <w:proofErr w:type="gramStart"/>
      <w:r w:rsidRPr="004B34E3">
        <w:rPr>
          <w:rFonts w:asciiTheme="minorHAnsi" w:hAnsiTheme="minorHAnsi" w:cstheme="minorHAnsi"/>
          <w:w w:val="105"/>
          <w:sz w:val="24"/>
        </w:rPr>
        <w:t>1988)(</w:t>
      </w:r>
      <w:proofErr w:type="gramEnd"/>
      <w:r w:rsidRPr="004B34E3">
        <w:rPr>
          <w:rFonts w:asciiTheme="minorHAnsi" w:hAnsiTheme="minorHAnsi" w:cstheme="minorHAnsi"/>
          <w:w w:val="105"/>
          <w:sz w:val="24"/>
        </w:rPr>
        <w:t xml:space="preserve">while common assays </w:t>
      </w:r>
      <w:r w:rsidR="004754F6">
        <w:rPr>
          <w:rFonts w:asciiTheme="minorHAnsi" w:hAnsiTheme="minorHAnsi" w:cstheme="minorHAnsi"/>
          <w:w w:val="105"/>
          <w:sz w:val="24"/>
        </w:rPr>
        <w:t>detect</w:t>
      </w:r>
      <w:r w:rsidRPr="004B34E3">
        <w:rPr>
          <w:rFonts w:asciiTheme="minorHAnsi" w:hAnsiTheme="minorHAnsi" w:cstheme="minorHAnsi"/>
          <w:w w:val="105"/>
          <w:sz w:val="24"/>
        </w:rPr>
        <w:t xml:space="preserve"> single species).</w:t>
      </w:r>
      <w:r w:rsidR="004754F6">
        <w:rPr>
          <w:rFonts w:asciiTheme="minorHAnsi" w:hAnsiTheme="minorHAnsi" w:cstheme="minorHAnsi"/>
          <w:w w:val="105"/>
          <w:sz w:val="24"/>
        </w:rPr>
        <w:t xml:space="preserve"> </w:t>
      </w:r>
      <w:r w:rsidRPr="004B34E3">
        <w:rPr>
          <w:rFonts w:asciiTheme="minorHAnsi" w:hAnsiTheme="minorHAnsi" w:cstheme="minorHAnsi"/>
          <w:w w:val="105"/>
          <w:sz w:val="24"/>
        </w:rPr>
        <w:t xml:space="preserve">Since more than one unique target sequence in a clinical specimen can be amplified at the same time, multiplex PCR assays permit the concomitant detection of different species. Multiplex PCR assays </w:t>
      </w:r>
      <w:r w:rsidR="004754F6">
        <w:rPr>
          <w:rFonts w:asciiTheme="minorHAnsi" w:hAnsiTheme="minorHAnsi" w:cstheme="minorHAnsi"/>
          <w:w w:val="105"/>
          <w:sz w:val="24"/>
        </w:rPr>
        <w:t>help</w:t>
      </w:r>
      <w:r w:rsidRPr="004B34E3">
        <w:rPr>
          <w:rFonts w:asciiTheme="minorHAnsi" w:hAnsiTheme="minorHAnsi" w:cstheme="minorHAnsi"/>
          <w:w w:val="105"/>
          <w:sz w:val="24"/>
        </w:rPr>
        <w:t xml:space="preserve"> to minimize the time and expenditure needed for detection approaches. Primers used in multiplex assays must be designed carefully to have similar annealing temperatures and avoid complementarity among them (</w:t>
      </w:r>
      <w:proofErr w:type="spellStart"/>
      <w:r w:rsidRPr="004B34E3">
        <w:rPr>
          <w:rFonts w:asciiTheme="minorHAnsi" w:hAnsiTheme="minorHAnsi" w:cstheme="minorHAnsi"/>
          <w:w w:val="105"/>
          <w:sz w:val="24"/>
        </w:rPr>
        <w:t>Siqueirajr</w:t>
      </w:r>
      <w:proofErr w:type="spellEnd"/>
      <w:r w:rsidRPr="004B34E3">
        <w:rPr>
          <w:rFonts w:asciiTheme="minorHAnsi" w:hAnsiTheme="minorHAnsi" w:cstheme="minorHAnsi"/>
          <w:w w:val="105"/>
          <w:sz w:val="24"/>
        </w:rPr>
        <w:t xml:space="preserve"> &amp; </w:t>
      </w:r>
      <w:proofErr w:type="spellStart"/>
      <w:r w:rsidRPr="004B34E3">
        <w:rPr>
          <w:rFonts w:asciiTheme="minorHAnsi" w:hAnsiTheme="minorHAnsi" w:cstheme="minorHAnsi"/>
          <w:w w:val="105"/>
          <w:sz w:val="24"/>
        </w:rPr>
        <w:t>Rocas</w:t>
      </w:r>
      <w:proofErr w:type="spellEnd"/>
      <w:r w:rsidRPr="004B34E3">
        <w:rPr>
          <w:rFonts w:asciiTheme="minorHAnsi" w:hAnsiTheme="minorHAnsi" w:cstheme="minorHAnsi"/>
          <w:w w:val="105"/>
          <w:sz w:val="24"/>
        </w:rPr>
        <w:t>, 2005).</w:t>
      </w:r>
    </w:p>
    <w:p w14:paraId="2167B9AA"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noProof/>
          <w:w w:val="105"/>
          <w:sz w:val="24"/>
        </w:rPr>
        <w:drawing>
          <wp:anchor distT="0" distB="0" distL="0" distR="0" simplePos="0" relativeHeight="251656192" behindDoc="0" locked="0" layoutInCell="1" allowOverlap="1" wp14:anchorId="0AF855DA" wp14:editId="7402382D">
            <wp:simplePos x="0" y="0"/>
            <wp:positionH relativeFrom="page">
              <wp:posOffset>2223770</wp:posOffset>
            </wp:positionH>
            <wp:positionV relativeFrom="paragraph">
              <wp:posOffset>100055</wp:posOffset>
            </wp:positionV>
            <wp:extent cx="2906091" cy="3726941"/>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17" cstate="print"/>
                    <a:stretch>
                      <a:fillRect/>
                    </a:stretch>
                  </pic:blipFill>
                  <pic:spPr>
                    <a:xfrm>
                      <a:off x="0" y="0"/>
                      <a:ext cx="2906091" cy="3726941"/>
                    </a:xfrm>
                    <a:prstGeom prst="rect">
                      <a:avLst/>
                    </a:prstGeom>
                  </pic:spPr>
                </pic:pic>
              </a:graphicData>
            </a:graphic>
          </wp:anchor>
        </w:drawing>
      </w:r>
    </w:p>
    <w:p w14:paraId="234A81DB"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7C6472E4"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FIG. 17</w:t>
      </w:r>
    </w:p>
    <w:p w14:paraId="349887D8" w14:textId="77777777" w:rsidR="001B3ED2" w:rsidRPr="004B34E3" w:rsidRDefault="001B3ED2" w:rsidP="004B34E3">
      <w:pPr>
        <w:pStyle w:val="BodyText"/>
        <w:spacing w:before="1" w:line="360" w:lineRule="auto"/>
        <w:ind w:left="540"/>
        <w:rPr>
          <w:rFonts w:asciiTheme="minorHAnsi" w:hAnsiTheme="minorHAnsi" w:cstheme="minorHAnsi"/>
          <w:w w:val="105"/>
          <w:sz w:val="24"/>
        </w:rPr>
        <w:sectPr w:rsidR="001B3ED2" w:rsidRPr="004B34E3">
          <w:pgSz w:w="11910" w:h="16840"/>
          <w:pgMar w:top="1440" w:right="940" w:bottom="1200" w:left="1260" w:header="0" w:footer="920" w:gutter="0"/>
          <w:cols w:space="720"/>
        </w:sectPr>
      </w:pPr>
    </w:p>
    <w:p w14:paraId="5AA03C6A" w14:textId="77777777" w:rsidR="001B3ED2" w:rsidRPr="004B34E3" w:rsidRDefault="00F12B67" w:rsidP="00D448CE">
      <w:pPr>
        <w:pStyle w:val="Heading1"/>
        <w:numPr>
          <w:ilvl w:val="0"/>
          <w:numId w:val="7"/>
        </w:numPr>
        <w:tabs>
          <w:tab w:val="left" w:pos="464"/>
        </w:tabs>
        <w:rPr>
          <w:rFonts w:asciiTheme="minorHAnsi" w:hAnsiTheme="minorHAnsi" w:cstheme="minorHAnsi"/>
          <w:sz w:val="28"/>
        </w:rPr>
      </w:pPr>
      <w:r w:rsidRPr="004B34E3">
        <w:rPr>
          <w:rFonts w:asciiTheme="minorHAnsi" w:hAnsiTheme="minorHAnsi" w:cstheme="minorHAnsi"/>
          <w:sz w:val="28"/>
        </w:rPr>
        <w:lastRenderedPageBreak/>
        <w:t>Nested PCR</w:t>
      </w:r>
    </w:p>
    <w:p w14:paraId="503A8B45"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70FDAAF5" w14:textId="00F2F839"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Nested PCR (</w:t>
      </w:r>
      <w:proofErr w:type="spellStart"/>
      <w:r w:rsidRPr="004B34E3">
        <w:rPr>
          <w:rFonts w:asciiTheme="minorHAnsi" w:hAnsiTheme="minorHAnsi" w:cstheme="minorHAnsi"/>
          <w:w w:val="105"/>
          <w:sz w:val="24"/>
        </w:rPr>
        <w:t>nPCR</w:t>
      </w:r>
      <w:proofErr w:type="spellEnd"/>
      <w:r w:rsidRPr="004B34E3">
        <w:rPr>
          <w:rFonts w:asciiTheme="minorHAnsi" w:hAnsiTheme="minorHAnsi" w:cstheme="minorHAnsi"/>
          <w:w w:val="105"/>
          <w:sz w:val="24"/>
        </w:rPr>
        <w:t xml:space="preserve">) is a conventional PCR method that involves two separate reactions for amplifying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target region of DNA. In the first reaction</w:t>
      </w:r>
      <w:r w:rsidR="004754F6">
        <w:rPr>
          <w:rFonts w:asciiTheme="minorHAnsi" w:hAnsiTheme="minorHAnsi" w:cstheme="minorHAnsi"/>
          <w:w w:val="105"/>
          <w:sz w:val="24"/>
        </w:rPr>
        <w:t>,</w:t>
      </w:r>
      <w:r w:rsidRPr="004B34E3">
        <w:rPr>
          <w:rFonts w:asciiTheme="minorHAnsi" w:hAnsiTheme="minorHAnsi" w:cstheme="minorHAnsi"/>
          <w:w w:val="105"/>
          <w:sz w:val="24"/>
        </w:rPr>
        <w:t xml:space="preserve">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outer primer pair is amplified and in the second reaction</w:t>
      </w:r>
      <w:r w:rsidR="004754F6">
        <w:rPr>
          <w:rFonts w:asciiTheme="minorHAnsi" w:hAnsiTheme="minorHAnsi" w:cstheme="minorHAnsi"/>
          <w:w w:val="105"/>
          <w:sz w:val="24"/>
        </w:rPr>
        <w:t>,</w:t>
      </w:r>
      <w:r w:rsidRPr="004B34E3">
        <w:rPr>
          <w:rFonts w:asciiTheme="minorHAnsi" w:hAnsiTheme="minorHAnsi" w:cstheme="minorHAnsi"/>
          <w:w w:val="105"/>
          <w:sz w:val="24"/>
        </w:rPr>
        <w:t xml:space="preserve">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internal primer pair is amplified. The first PCR products are used as </w:t>
      </w:r>
      <w:r w:rsidR="004754F6">
        <w:rPr>
          <w:rFonts w:asciiTheme="minorHAnsi" w:hAnsiTheme="minorHAnsi" w:cstheme="minorHAnsi"/>
          <w:w w:val="105"/>
          <w:sz w:val="24"/>
        </w:rPr>
        <w:t>templates</w:t>
      </w:r>
      <w:r w:rsidRPr="004B34E3">
        <w:rPr>
          <w:rFonts w:asciiTheme="minorHAnsi" w:hAnsiTheme="minorHAnsi" w:cstheme="minorHAnsi"/>
          <w:w w:val="105"/>
          <w:sz w:val="24"/>
        </w:rPr>
        <w:t xml:space="preserve"> in the second round of amplification with a separate primer set, which anneals internally to the first products and generates a shorter amplified fragment (</w:t>
      </w:r>
      <w:proofErr w:type="spellStart"/>
      <w:r w:rsidRPr="004B34E3">
        <w:rPr>
          <w:rFonts w:asciiTheme="minorHAnsi" w:hAnsiTheme="minorHAnsi" w:cstheme="minorHAnsi"/>
          <w:w w:val="105"/>
          <w:sz w:val="24"/>
        </w:rPr>
        <w:t>Haqqiet</w:t>
      </w:r>
      <w:proofErr w:type="spellEnd"/>
      <w:r w:rsidRPr="004B34E3">
        <w:rPr>
          <w:rFonts w:asciiTheme="minorHAnsi" w:hAnsiTheme="minorHAnsi" w:cstheme="minorHAnsi"/>
          <w:w w:val="105"/>
          <w:sz w:val="24"/>
        </w:rPr>
        <w:t xml:space="preserve"> al. 1988).</w:t>
      </w:r>
    </w:p>
    <w:p w14:paraId="4E94717D" w14:textId="04295E5B" w:rsidR="001B3ED2"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It is </w:t>
      </w:r>
      <w:r w:rsidR="004754F6">
        <w:rPr>
          <w:rFonts w:asciiTheme="minorHAnsi" w:hAnsiTheme="minorHAnsi" w:cstheme="minorHAnsi"/>
          <w:w w:val="105"/>
          <w:sz w:val="24"/>
        </w:rPr>
        <w:t xml:space="preserve">a </w:t>
      </w:r>
      <w:r w:rsidRPr="004B34E3">
        <w:rPr>
          <w:rFonts w:asciiTheme="minorHAnsi" w:hAnsiTheme="minorHAnsi" w:cstheme="minorHAnsi"/>
          <w:w w:val="105"/>
          <w:sz w:val="24"/>
        </w:rPr>
        <w:t xml:space="preserve">highly sensitive technique that detects target DNA several folds lower than conventional PCR. </w:t>
      </w:r>
      <w:r w:rsidR="004754F6">
        <w:rPr>
          <w:rFonts w:asciiTheme="minorHAnsi" w:hAnsiTheme="minorHAnsi" w:cstheme="minorHAnsi"/>
          <w:w w:val="105"/>
          <w:sz w:val="24"/>
        </w:rPr>
        <w:t>It</w:t>
      </w:r>
      <w:r w:rsidRPr="004B34E3">
        <w:rPr>
          <w:rFonts w:asciiTheme="minorHAnsi" w:hAnsiTheme="minorHAnsi" w:cstheme="minorHAnsi"/>
          <w:w w:val="105"/>
          <w:sz w:val="24"/>
        </w:rPr>
        <w:t xml:space="preserve"> involves </w:t>
      </w:r>
      <w:r w:rsidR="004754F6">
        <w:rPr>
          <w:rFonts w:asciiTheme="minorHAnsi" w:hAnsiTheme="minorHAnsi" w:cstheme="minorHAnsi"/>
          <w:w w:val="105"/>
          <w:sz w:val="24"/>
        </w:rPr>
        <w:t xml:space="preserve">a </w:t>
      </w:r>
      <w:r w:rsidRPr="004B34E3">
        <w:rPr>
          <w:rFonts w:asciiTheme="minorHAnsi" w:hAnsiTheme="minorHAnsi" w:cstheme="minorHAnsi"/>
          <w:w w:val="105"/>
          <w:sz w:val="24"/>
        </w:rPr>
        <w:t xml:space="preserve">large number of cycles that add complexity to the procedure. It shows reduced background of eukaryotic DNA and other regions of the bacterial DNA making it difficult to distinguish with the target. The major drawback of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nested-PCR protocol is the high probability of contamination during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transfer of the first-round amplification products to a second reaction tube (</w:t>
      </w:r>
      <w:proofErr w:type="spellStart"/>
      <w:r w:rsidRPr="004B34E3">
        <w:rPr>
          <w:rFonts w:asciiTheme="minorHAnsi" w:hAnsiTheme="minorHAnsi" w:cstheme="minorHAnsi"/>
          <w:w w:val="105"/>
          <w:sz w:val="24"/>
        </w:rPr>
        <w:t>Siqueirajr</w:t>
      </w:r>
      <w:proofErr w:type="spellEnd"/>
      <w:r w:rsidRPr="004B34E3">
        <w:rPr>
          <w:rFonts w:asciiTheme="minorHAnsi" w:hAnsiTheme="minorHAnsi" w:cstheme="minorHAnsi"/>
          <w:w w:val="105"/>
          <w:sz w:val="24"/>
        </w:rPr>
        <w:t xml:space="preserve"> &amp; </w:t>
      </w:r>
      <w:proofErr w:type="spellStart"/>
      <w:r w:rsidRPr="004B34E3">
        <w:rPr>
          <w:rFonts w:asciiTheme="minorHAnsi" w:hAnsiTheme="minorHAnsi" w:cstheme="minorHAnsi"/>
          <w:w w:val="105"/>
          <w:sz w:val="24"/>
        </w:rPr>
        <w:t>Rocas</w:t>
      </w:r>
      <w:proofErr w:type="spellEnd"/>
      <w:r w:rsidRPr="004B34E3">
        <w:rPr>
          <w:rFonts w:asciiTheme="minorHAnsi" w:hAnsiTheme="minorHAnsi" w:cstheme="minorHAnsi"/>
          <w:w w:val="105"/>
          <w:sz w:val="24"/>
        </w:rPr>
        <w:t>, 2005).</w:t>
      </w:r>
    </w:p>
    <w:p w14:paraId="03154BE5" w14:textId="77777777" w:rsidR="00FA5649" w:rsidRPr="004B34E3" w:rsidRDefault="00FA5649" w:rsidP="004B34E3">
      <w:pPr>
        <w:pStyle w:val="BodyText"/>
        <w:spacing w:before="1" w:line="360" w:lineRule="auto"/>
        <w:ind w:left="540"/>
        <w:rPr>
          <w:rFonts w:asciiTheme="minorHAnsi" w:hAnsiTheme="minorHAnsi" w:cstheme="minorHAnsi"/>
          <w:w w:val="105"/>
          <w:sz w:val="24"/>
        </w:rPr>
      </w:pPr>
    </w:p>
    <w:p w14:paraId="2FD2A53F" w14:textId="77777777" w:rsidR="001B3ED2" w:rsidRPr="00661B36" w:rsidRDefault="00F12B67" w:rsidP="001F7A91">
      <w:pPr>
        <w:pStyle w:val="Heading1"/>
        <w:numPr>
          <w:ilvl w:val="0"/>
          <w:numId w:val="7"/>
        </w:numPr>
        <w:tabs>
          <w:tab w:val="left" w:pos="464"/>
        </w:tabs>
        <w:rPr>
          <w:rFonts w:asciiTheme="minorHAnsi" w:hAnsiTheme="minorHAnsi" w:cstheme="minorHAnsi"/>
          <w:sz w:val="28"/>
        </w:rPr>
      </w:pPr>
      <w:r w:rsidRPr="00661B36">
        <w:rPr>
          <w:rFonts w:asciiTheme="minorHAnsi" w:hAnsiTheme="minorHAnsi" w:cstheme="minorHAnsi"/>
          <w:sz w:val="28"/>
        </w:rPr>
        <w:t>Reverse transcriptase-PCR</w:t>
      </w:r>
    </w:p>
    <w:p w14:paraId="3F1A3DC0"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6CBFBCBF" w14:textId="4F256F14"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Reverse transcriptase-PCR (RT-PCR) was developed to amplify RNA targets with the aid of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enzyme reverse transcriptase, which can produce a strand of complementary DNA (cDNA) from an RNA pattern. Most RT-PCR assays employ a two-step approach. In the first step, reverse transcriptase changes RNA into single-stranded cDNA. In the second step, PCR primers, DNA polymerase, and nucleotides are added to create another strand of cDNA. Once the double-stranded DNA is formed, it can be used as </w:t>
      </w:r>
      <w:r w:rsidR="004754F6">
        <w:rPr>
          <w:rFonts w:asciiTheme="minorHAnsi" w:hAnsiTheme="minorHAnsi" w:cstheme="minorHAnsi"/>
          <w:w w:val="105"/>
          <w:sz w:val="24"/>
        </w:rPr>
        <w:t xml:space="preserve">a </w:t>
      </w:r>
      <w:r w:rsidRPr="004B34E3">
        <w:rPr>
          <w:rFonts w:asciiTheme="minorHAnsi" w:hAnsiTheme="minorHAnsi" w:cstheme="minorHAnsi"/>
          <w:w w:val="105"/>
          <w:sz w:val="24"/>
        </w:rPr>
        <w:t xml:space="preserve">template for amplification as in conventional PCR. This process can be modified into a </w:t>
      </w:r>
      <w:r w:rsidR="004754F6">
        <w:rPr>
          <w:rFonts w:asciiTheme="minorHAnsi" w:hAnsiTheme="minorHAnsi" w:cstheme="minorHAnsi"/>
          <w:w w:val="105"/>
          <w:sz w:val="24"/>
        </w:rPr>
        <w:t>one-step</w:t>
      </w:r>
      <w:r w:rsidRPr="004B34E3">
        <w:rPr>
          <w:rFonts w:asciiTheme="minorHAnsi" w:hAnsiTheme="minorHAnsi" w:cstheme="minorHAnsi"/>
          <w:w w:val="105"/>
          <w:sz w:val="24"/>
        </w:rPr>
        <w:t xml:space="preserve"> method by using it directly with RNA as the template. In this approach, an enzyme with both reverse transcriptase and DNA polymerase actions </w:t>
      </w:r>
      <w:r w:rsidR="004754F6">
        <w:rPr>
          <w:rFonts w:asciiTheme="minorHAnsi" w:hAnsiTheme="minorHAnsi" w:cstheme="minorHAnsi"/>
          <w:w w:val="105"/>
          <w:sz w:val="24"/>
        </w:rPr>
        <w:t>is</w:t>
      </w:r>
      <w:r w:rsidRPr="004B34E3">
        <w:rPr>
          <w:rFonts w:asciiTheme="minorHAnsi" w:hAnsiTheme="minorHAnsi" w:cstheme="minorHAnsi"/>
          <w:w w:val="105"/>
          <w:sz w:val="24"/>
        </w:rPr>
        <w:t xml:space="preserve"> used, (such as that from the bacteria Thermus thermophilus (Klara </w:t>
      </w:r>
      <w:proofErr w:type="spellStart"/>
      <w:r w:rsidRPr="004B34E3">
        <w:rPr>
          <w:rFonts w:asciiTheme="minorHAnsi" w:hAnsiTheme="minorHAnsi" w:cstheme="minorHAnsi"/>
          <w:w w:val="105"/>
          <w:sz w:val="24"/>
        </w:rPr>
        <w:t>Abravaya</w:t>
      </w:r>
      <w:proofErr w:type="spellEnd"/>
      <w:r w:rsidRPr="004B34E3">
        <w:rPr>
          <w:rFonts w:asciiTheme="minorHAnsi" w:hAnsiTheme="minorHAnsi" w:cstheme="minorHAnsi"/>
          <w:w w:val="105"/>
          <w:sz w:val="24"/>
        </w:rPr>
        <w:t xml:space="preserve">, 2011; </w:t>
      </w:r>
      <w:proofErr w:type="spellStart"/>
      <w:r w:rsidRPr="004B34E3">
        <w:rPr>
          <w:rFonts w:asciiTheme="minorHAnsi" w:hAnsiTheme="minorHAnsi" w:cstheme="minorHAnsi"/>
          <w:w w:val="105"/>
          <w:sz w:val="24"/>
        </w:rPr>
        <w:t>Siqueirajr</w:t>
      </w:r>
      <w:proofErr w:type="spellEnd"/>
      <w:r w:rsidRPr="004B34E3">
        <w:rPr>
          <w:rFonts w:asciiTheme="minorHAnsi" w:hAnsiTheme="minorHAnsi" w:cstheme="minorHAnsi"/>
          <w:w w:val="105"/>
          <w:sz w:val="24"/>
        </w:rPr>
        <w:t xml:space="preserve"> &amp; </w:t>
      </w:r>
      <w:proofErr w:type="spellStart"/>
      <w:r w:rsidRPr="004B34E3">
        <w:rPr>
          <w:rFonts w:asciiTheme="minorHAnsi" w:hAnsiTheme="minorHAnsi" w:cstheme="minorHAnsi"/>
          <w:w w:val="105"/>
          <w:sz w:val="24"/>
        </w:rPr>
        <w:t>Rocas</w:t>
      </w:r>
      <w:proofErr w:type="spellEnd"/>
      <w:r w:rsidRPr="004B34E3">
        <w:rPr>
          <w:rFonts w:asciiTheme="minorHAnsi" w:hAnsiTheme="minorHAnsi" w:cstheme="minorHAnsi"/>
          <w:w w:val="105"/>
          <w:sz w:val="24"/>
        </w:rPr>
        <w:t>, 2005).</w:t>
      </w:r>
    </w:p>
    <w:p w14:paraId="12B8EEF7" w14:textId="77777777" w:rsidR="001B3ED2" w:rsidRPr="004B34E3" w:rsidRDefault="001B3ED2" w:rsidP="004B34E3">
      <w:pPr>
        <w:pStyle w:val="BodyText"/>
        <w:spacing w:before="1" w:line="360" w:lineRule="auto"/>
        <w:ind w:left="540"/>
        <w:rPr>
          <w:rFonts w:asciiTheme="minorHAnsi" w:hAnsiTheme="minorHAnsi" w:cstheme="minorHAnsi"/>
          <w:w w:val="105"/>
          <w:sz w:val="24"/>
        </w:rPr>
        <w:sectPr w:rsidR="001B3ED2" w:rsidRPr="004B34E3">
          <w:pgSz w:w="11910" w:h="16840"/>
          <w:pgMar w:top="1440" w:right="940" w:bottom="1200" w:left="1260" w:header="0" w:footer="920" w:gutter="0"/>
          <w:cols w:space="720"/>
        </w:sectPr>
      </w:pPr>
    </w:p>
    <w:p w14:paraId="5BB42BB5" w14:textId="77777777" w:rsidR="001B3ED2" w:rsidRDefault="00F12B67" w:rsidP="001F7A91">
      <w:pPr>
        <w:pStyle w:val="Heading1"/>
        <w:numPr>
          <w:ilvl w:val="0"/>
          <w:numId w:val="7"/>
        </w:numPr>
        <w:tabs>
          <w:tab w:val="left" w:pos="464"/>
        </w:tabs>
        <w:rPr>
          <w:rFonts w:asciiTheme="minorHAnsi" w:hAnsiTheme="minorHAnsi" w:cstheme="minorHAnsi"/>
          <w:sz w:val="28"/>
        </w:rPr>
      </w:pPr>
      <w:r w:rsidRPr="004B34E3">
        <w:rPr>
          <w:rFonts w:asciiTheme="minorHAnsi" w:hAnsiTheme="minorHAnsi" w:cstheme="minorHAnsi"/>
          <w:sz w:val="28"/>
        </w:rPr>
        <w:lastRenderedPageBreak/>
        <w:t>Quantitative PCR</w:t>
      </w:r>
    </w:p>
    <w:p w14:paraId="6B3AE1D9" w14:textId="77777777" w:rsidR="00FA5649" w:rsidRPr="004B34E3" w:rsidRDefault="00FA5649" w:rsidP="00FA5649">
      <w:pPr>
        <w:pStyle w:val="Heading1"/>
        <w:tabs>
          <w:tab w:val="left" w:pos="464"/>
        </w:tabs>
        <w:ind w:left="720" w:firstLine="0"/>
        <w:rPr>
          <w:rFonts w:asciiTheme="minorHAnsi" w:hAnsiTheme="minorHAnsi" w:cstheme="minorHAnsi"/>
          <w:sz w:val="28"/>
        </w:rPr>
      </w:pPr>
    </w:p>
    <w:p w14:paraId="01B6E6AE" w14:textId="4AF60C5B"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Quantitative PCR (</w:t>
      </w:r>
      <w:r w:rsidR="004754F6">
        <w:rPr>
          <w:rFonts w:asciiTheme="minorHAnsi" w:hAnsiTheme="minorHAnsi" w:cstheme="minorHAnsi"/>
          <w:w w:val="105"/>
          <w:sz w:val="24"/>
        </w:rPr>
        <w:t>Q-PCR</w:t>
      </w:r>
      <w:r w:rsidRPr="004B34E3">
        <w:rPr>
          <w:rFonts w:asciiTheme="minorHAnsi" w:hAnsiTheme="minorHAnsi" w:cstheme="minorHAnsi"/>
          <w:w w:val="105"/>
          <w:sz w:val="24"/>
        </w:rPr>
        <w:t>) can be performed using three distinct assays: most probable number (MPN)-PCR, competitive PCR, and real-time PCR. Of these, the real-time PCR method has been the most widely used approach, mostly because it is a high-throughput technique that is more accurate and precise than the other q-PCR assays, and requires no post-PCR manipulation steps, reducing the risks of contamination.</w:t>
      </w:r>
    </w:p>
    <w:p w14:paraId="60BC4194" w14:textId="7C690BBA"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Recently, </w:t>
      </w:r>
      <w:r w:rsidR="004754F6">
        <w:rPr>
          <w:rFonts w:asciiTheme="minorHAnsi" w:hAnsiTheme="minorHAnsi" w:cstheme="minorHAnsi"/>
          <w:w w:val="105"/>
          <w:sz w:val="24"/>
        </w:rPr>
        <w:t>several</w:t>
      </w:r>
      <w:r w:rsidRPr="004B34E3">
        <w:rPr>
          <w:rFonts w:asciiTheme="minorHAnsi" w:hAnsiTheme="minorHAnsi" w:cstheme="minorHAnsi"/>
          <w:w w:val="105"/>
          <w:sz w:val="24"/>
        </w:rPr>
        <w:t xml:space="preserve"> commercially available systems have been developed that are capable of detecting the presence of a target within 30 to 120 minutes using PCR; this process is referred to as “</w:t>
      </w:r>
      <w:r w:rsidR="004754F6">
        <w:rPr>
          <w:rFonts w:asciiTheme="minorHAnsi" w:hAnsiTheme="minorHAnsi" w:cstheme="minorHAnsi"/>
          <w:w w:val="105"/>
          <w:sz w:val="24"/>
        </w:rPr>
        <w:t>real-time</w:t>
      </w:r>
      <w:r w:rsidRPr="004B34E3">
        <w:rPr>
          <w:rFonts w:asciiTheme="minorHAnsi" w:hAnsiTheme="minorHAnsi" w:cstheme="minorHAnsi"/>
          <w:w w:val="105"/>
          <w:sz w:val="24"/>
        </w:rPr>
        <w:t xml:space="preserve">” PCR. </w:t>
      </w:r>
      <w:r w:rsidR="004754F6">
        <w:rPr>
          <w:rFonts w:asciiTheme="minorHAnsi" w:hAnsiTheme="minorHAnsi" w:cstheme="minorHAnsi"/>
          <w:w w:val="105"/>
          <w:sz w:val="24"/>
        </w:rPr>
        <w:t>Real-time</w:t>
      </w:r>
      <w:r w:rsidRPr="004B34E3">
        <w:rPr>
          <w:rFonts w:asciiTheme="minorHAnsi" w:hAnsiTheme="minorHAnsi" w:cstheme="minorHAnsi"/>
          <w:w w:val="105"/>
          <w:sz w:val="24"/>
        </w:rPr>
        <w:t xml:space="preserve"> PCR indirectly measures the production of DNA which is proportional to the fluorescence emitted and detected by closed tube format by a fluorimeter combined </w:t>
      </w:r>
      <w:r w:rsidR="004754F6">
        <w:rPr>
          <w:rFonts w:asciiTheme="minorHAnsi" w:hAnsiTheme="minorHAnsi" w:cstheme="minorHAnsi"/>
          <w:w w:val="105"/>
          <w:sz w:val="24"/>
        </w:rPr>
        <w:t>with</w:t>
      </w:r>
      <w:r w:rsidRPr="004B34E3">
        <w:rPr>
          <w:rFonts w:asciiTheme="minorHAnsi" w:hAnsiTheme="minorHAnsi" w:cstheme="minorHAnsi"/>
          <w:w w:val="105"/>
          <w:sz w:val="24"/>
        </w:rPr>
        <w:t xml:space="preserve"> the PCR thermocycler. This technology allows for high throughput of samples, multiplexing reactions, quantitation of target, and </w:t>
      </w:r>
      <w:r w:rsidR="004754F6">
        <w:rPr>
          <w:rFonts w:asciiTheme="minorHAnsi" w:hAnsiTheme="minorHAnsi" w:cstheme="minorHAnsi"/>
          <w:w w:val="105"/>
          <w:sz w:val="24"/>
        </w:rPr>
        <w:t>online</w:t>
      </w:r>
      <w:r w:rsidRPr="004B34E3">
        <w:rPr>
          <w:rFonts w:asciiTheme="minorHAnsi" w:hAnsiTheme="minorHAnsi" w:cstheme="minorHAnsi"/>
          <w:w w:val="105"/>
          <w:sz w:val="24"/>
        </w:rPr>
        <w:t xml:space="preserve"> monitoring. It is the most commonly employed method of PCR for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identification of </w:t>
      </w:r>
      <w:r w:rsidR="004754F6">
        <w:rPr>
          <w:rFonts w:asciiTheme="minorHAnsi" w:hAnsiTheme="minorHAnsi" w:cstheme="minorHAnsi"/>
          <w:w w:val="105"/>
          <w:sz w:val="24"/>
        </w:rPr>
        <w:t>microorganisms</w:t>
      </w:r>
      <w:r w:rsidRPr="004B34E3">
        <w:rPr>
          <w:rFonts w:asciiTheme="minorHAnsi" w:hAnsiTheme="minorHAnsi" w:cstheme="minorHAnsi"/>
          <w:w w:val="105"/>
          <w:sz w:val="24"/>
        </w:rPr>
        <w:t xml:space="preserve"> in which the PCR product is detected in </w:t>
      </w:r>
      <w:r w:rsidR="004754F6">
        <w:rPr>
          <w:rFonts w:asciiTheme="minorHAnsi" w:hAnsiTheme="minorHAnsi" w:cstheme="minorHAnsi"/>
          <w:w w:val="105"/>
          <w:sz w:val="24"/>
        </w:rPr>
        <w:t>real-time</w:t>
      </w:r>
      <w:r w:rsidRPr="004B34E3">
        <w:rPr>
          <w:rFonts w:asciiTheme="minorHAnsi" w:hAnsiTheme="minorHAnsi" w:cstheme="minorHAnsi"/>
          <w:w w:val="105"/>
          <w:sz w:val="24"/>
        </w:rPr>
        <w:t xml:space="preserve">, by using </w:t>
      </w:r>
      <w:r w:rsidR="004754F6">
        <w:rPr>
          <w:rFonts w:asciiTheme="minorHAnsi" w:hAnsiTheme="minorHAnsi" w:cstheme="minorHAnsi"/>
          <w:w w:val="105"/>
          <w:sz w:val="24"/>
        </w:rPr>
        <w:t>a fluorescently</w:t>
      </w:r>
      <w:r w:rsidRPr="004B34E3">
        <w:rPr>
          <w:rFonts w:asciiTheme="minorHAnsi" w:hAnsiTheme="minorHAnsi" w:cstheme="minorHAnsi"/>
          <w:w w:val="105"/>
          <w:sz w:val="24"/>
        </w:rPr>
        <w:t xml:space="preserve"> </w:t>
      </w:r>
      <w:r w:rsidR="001F7A91">
        <w:rPr>
          <w:rFonts w:asciiTheme="minorHAnsi" w:hAnsiTheme="minorHAnsi" w:cstheme="minorHAnsi"/>
          <w:w w:val="105"/>
          <w:sz w:val="24"/>
        </w:rPr>
        <w:t>labelled</w:t>
      </w:r>
      <w:r w:rsidRPr="004B34E3">
        <w:rPr>
          <w:rFonts w:asciiTheme="minorHAnsi" w:hAnsiTheme="minorHAnsi" w:cstheme="minorHAnsi"/>
          <w:w w:val="105"/>
          <w:sz w:val="24"/>
        </w:rPr>
        <w:t xml:space="preserve"> probe:</w:t>
      </w:r>
    </w:p>
    <w:p w14:paraId="312CB697" w14:textId="77777777" w:rsidR="001B3ED2" w:rsidRPr="004B34E3" w:rsidRDefault="00F12B67" w:rsidP="001F7A91">
      <w:pPr>
        <w:pStyle w:val="BodyText"/>
        <w:numPr>
          <w:ilvl w:val="1"/>
          <w:numId w:val="7"/>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SYBR Green</w:t>
      </w:r>
    </w:p>
    <w:p w14:paraId="1B6597F3" w14:textId="77777777" w:rsidR="001B3ED2" w:rsidRPr="004B34E3" w:rsidRDefault="00F12B67" w:rsidP="001F7A91">
      <w:pPr>
        <w:pStyle w:val="BodyText"/>
        <w:numPr>
          <w:ilvl w:val="1"/>
          <w:numId w:val="7"/>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Taq Man probe</w:t>
      </w:r>
    </w:p>
    <w:p w14:paraId="2382F7A2" w14:textId="583BC6F3" w:rsidR="001B3ED2" w:rsidRPr="004B34E3" w:rsidRDefault="00F12B67" w:rsidP="001F7A91">
      <w:pPr>
        <w:pStyle w:val="BodyText"/>
        <w:numPr>
          <w:ilvl w:val="1"/>
          <w:numId w:val="7"/>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 xml:space="preserve">Molecular </w:t>
      </w:r>
      <w:r w:rsidR="004754F6">
        <w:rPr>
          <w:rFonts w:asciiTheme="minorHAnsi" w:hAnsiTheme="minorHAnsi" w:cstheme="minorHAnsi"/>
          <w:w w:val="105"/>
          <w:sz w:val="24"/>
        </w:rPr>
        <w:t>beacon</w:t>
      </w:r>
    </w:p>
    <w:p w14:paraId="7262B7B9" w14:textId="77777777" w:rsidR="001B3ED2"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Real-time PCR assays allow the quantification of individual target species as well as total bacteria in clinical samples (Klara </w:t>
      </w:r>
      <w:proofErr w:type="spellStart"/>
      <w:r w:rsidRPr="004B34E3">
        <w:rPr>
          <w:rFonts w:asciiTheme="minorHAnsi" w:hAnsiTheme="minorHAnsi" w:cstheme="minorHAnsi"/>
          <w:w w:val="105"/>
          <w:sz w:val="24"/>
        </w:rPr>
        <w:t>Abravaya</w:t>
      </w:r>
      <w:proofErr w:type="spellEnd"/>
      <w:r w:rsidRPr="004B34E3">
        <w:rPr>
          <w:rFonts w:asciiTheme="minorHAnsi" w:hAnsiTheme="minorHAnsi" w:cstheme="minorHAnsi"/>
          <w:w w:val="105"/>
          <w:sz w:val="24"/>
        </w:rPr>
        <w:t>, 2011).</w:t>
      </w:r>
    </w:p>
    <w:p w14:paraId="2936CBCA" w14:textId="77777777" w:rsidR="001F7A91" w:rsidRPr="004B34E3" w:rsidRDefault="001F7A91" w:rsidP="004B34E3">
      <w:pPr>
        <w:pStyle w:val="BodyText"/>
        <w:spacing w:before="1" w:line="360" w:lineRule="auto"/>
        <w:ind w:left="540"/>
        <w:rPr>
          <w:rFonts w:asciiTheme="minorHAnsi" w:hAnsiTheme="minorHAnsi" w:cstheme="minorHAnsi"/>
          <w:w w:val="105"/>
          <w:sz w:val="24"/>
        </w:rPr>
      </w:pPr>
    </w:p>
    <w:p w14:paraId="502F250C" w14:textId="77777777" w:rsidR="001B3ED2" w:rsidRPr="00661B36" w:rsidRDefault="00F12B67" w:rsidP="001F7A91">
      <w:pPr>
        <w:pStyle w:val="Heading1"/>
        <w:numPr>
          <w:ilvl w:val="0"/>
          <w:numId w:val="8"/>
        </w:numPr>
        <w:tabs>
          <w:tab w:val="left" w:pos="464"/>
        </w:tabs>
        <w:rPr>
          <w:rFonts w:asciiTheme="minorHAnsi" w:hAnsiTheme="minorHAnsi" w:cstheme="minorHAnsi"/>
          <w:sz w:val="28"/>
        </w:rPr>
      </w:pPr>
      <w:r w:rsidRPr="00661B36">
        <w:rPr>
          <w:rFonts w:asciiTheme="minorHAnsi" w:hAnsiTheme="minorHAnsi" w:cstheme="minorHAnsi"/>
          <w:sz w:val="28"/>
        </w:rPr>
        <w:t>SYBR Green</w:t>
      </w:r>
    </w:p>
    <w:p w14:paraId="66608141" w14:textId="492287F0" w:rsidR="001B3ED2" w:rsidRDefault="00F12B67" w:rsidP="00A96508">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It is the simplest and most affordable method of RT-PCR. It consists of a fluorescent dye that binds to </w:t>
      </w:r>
      <w:r w:rsidR="004754F6">
        <w:rPr>
          <w:rFonts w:asciiTheme="minorHAnsi" w:hAnsiTheme="minorHAnsi" w:cstheme="minorHAnsi"/>
          <w:w w:val="105"/>
          <w:sz w:val="24"/>
        </w:rPr>
        <w:t>double-stranded</w:t>
      </w:r>
      <w:r w:rsidRPr="004B34E3">
        <w:rPr>
          <w:rFonts w:asciiTheme="minorHAnsi" w:hAnsiTheme="minorHAnsi" w:cstheme="minorHAnsi"/>
          <w:w w:val="105"/>
          <w:sz w:val="24"/>
        </w:rPr>
        <w:t xml:space="preserve"> DNA. During extension, increasing amounts of dye bind to the increasing amount of newly formed</w:t>
      </w:r>
      <w:r w:rsidR="00A96508">
        <w:rPr>
          <w:rFonts w:asciiTheme="minorHAnsi" w:hAnsiTheme="minorHAnsi" w:cstheme="minorHAnsi"/>
          <w:w w:val="105"/>
          <w:sz w:val="24"/>
        </w:rPr>
        <w:t xml:space="preserve"> </w:t>
      </w:r>
      <w:r w:rsidRPr="004B34E3">
        <w:rPr>
          <w:rFonts w:asciiTheme="minorHAnsi" w:hAnsiTheme="minorHAnsi" w:cstheme="minorHAnsi"/>
          <w:w w:val="105"/>
          <w:sz w:val="24"/>
        </w:rPr>
        <w:t>double-stranded DNA. Dye that remains unbound exhibits little fluorescence in solution. The SYBR Green assay is very sensitive but has diminished specificity, as the dye binds to all double-stranded DNA present, and primer dimer may result in a false reading.</w:t>
      </w:r>
    </w:p>
    <w:p w14:paraId="23A2F4E0" w14:textId="77777777" w:rsidR="001F7A91" w:rsidRPr="004B34E3" w:rsidRDefault="001F7A91" w:rsidP="004B34E3">
      <w:pPr>
        <w:pStyle w:val="BodyText"/>
        <w:spacing w:before="1" w:line="360" w:lineRule="auto"/>
        <w:ind w:left="540"/>
        <w:rPr>
          <w:rFonts w:asciiTheme="minorHAnsi" w:hAnsiTheme="minorHAnsi" w:cstheme="minorHAnsi"/>
          <w:w w:val="105"/>
          <w:sz w:val="24"/>
        </w:rPr>
      </w:pPr>
    </w:p>
    <w:p w14:paraId="1F4B9101" w14:textId="77777777" w:rsidR="001B3ED2" w:rsidRPr="004B34E3" w:rsidRDefault="00F12B67" w:rsidP="001F7A91">
      <w:pPr>
        <w:pStyle w:val="Heading1"/>
        <w:numPr>
          <w:ilvl w:val="0"/>
          <w:numId w:val="8"/>
        </w:numPr>
        <w:tabs>
          <w:tab w:val="left" w:pos="464"/>
        </w:tabs>
        <w:rPr>
          <w:rFonts w:asciiTheme="minorHAnsi" w:hAnsiTheme="minorHAnsi" w:cstheme="minorHAnsi"/>
          <w:sz w:val="28"/>
        </w:rPr>
      </w:pPr>
      <w:r w:rsidRPr="004B34E3">
        <w:rPr>
          <w:rFonts w:asciiTheme="minorHAnsi" w:hAnsiTheme="minorHAnsi" w:cstheme="minorHAnsi"/>
          <w:sz w:val="28"/>
        </w:rPr>
        <w:t>TaqMan method</w:t>
      </w:r>
    </w:p>
    <w:p w14:paraId="6264384B" w14:textId="75D857AA"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This is another method of RT-PCR that uses a specific </w:t>
      </w:r>
      <w:r w:rsidR="00F73260">
        <w:rPr>
          <w:rFonts w:asciiTheme="minorHAnsi" w:hAnsiTheme="minorHAnsi" w:cstheme="minorHAnsi"/>
          <w:w w:val="105"/>
          <w:sz w:val="24"/>
        </w:rPr>
        <w:t>labelled</w:t>
      </w:r>
      <w:r w:rsidRPr="004B34E3">
        <w:rPr>
          <w:rFonts w:asciiTheme="minorHAnsi" w:hAnsiTheme="minorHAnsi" w:cstheme="minorHAnsi"/>
          <w:w w:val="105"/>
          <w:sz w:val="24"/>
        </w:rPr>
        <w:t xml:space="preserve"> oligonucleotide probe </w:t>
      </w:r>
      <w:r w:rsidRPr="004B34E3">
        <w:rPr>
          <w:rFonts w:asciiTheme="minorHAnsi" w:hAnsiTheme="minorHAnsi" w:cstheme="minorHAnsi"/>
          <w:w w:val="105"/>
          <w:sz w:val="24"/>
        </w:rPr>
        <w:lastRenderedPageBreak/>
        <w:t xml:space="preserve">along with the primers. </w:t>
      </w:r>
      <w:r w:rsidR="004754F6">
        <w:rPr>
          <w:rFonts w:asciiTheme="minorHAnsi" w:hAnsiTheme="minorHAnsi" w:cstheme="minorHAnsi"/>
          <w:w w:val="105"/>
          <w:sz w:val="24"/>
        </w:rPr>
        <w:t>The TaqMan</w:t>
      </w:r>
      <w:r w:rsidRPr="004B34E3">
        <w:rPr>
          <w:rFonts w:asciiTheme="minorHAnsi" w:hAnsiTheme="minorHAnsi" w:cstheme="minorHAnsi"/>
          <w:w w:val="105"/>
          <w:sz w:val="24"/>
        </w:rPr>
        <w:t xml:space="preserve"> probe is a </w:t>
      </w:r>
      <w:r w:rsidR="004754F6">
        <w:rPr>
          <w:rFonts w:asciiTheme="minorHAnsi" w:hAnsiTheme="minorHAnsi" w:cstheme="minorHAnsi"/>
          <w:w w:val="105"/>
          <w:sz w:val="24"/>
        </w:rPr>
        <w:t>20-to-30base-long</w:t>
      </w:r>
      <w:r w:rsidRPr="004B34E3">
        <w:rPr>
          <w:rFonts w:asciiTheme="minorHAnsi" w:hAnsiTheme="minorHAnsi" w:cstheme="minorHAnsi"/>
          <w:w w:val="105"/>
          <w:sz w:val="24"/>
        </w:rPr>
        <w:t xml:space="preserve"> oligonucleotide sequence that precisely anneals </w:t>
      </w:r>
      <w:r w:rsidR="004754F6">
        <w:rPr>
          <w:rFonts w:asciiTheme="minorHAnsi" w:hAnsiTheme="minorHAnsi" w:cstheme="minorHAnsi"/>
          <w:w w:val="105"/>
          <w:sz w:val="24"/>
        </w:rPr>
        <w:t>to a</w:t>
      </w:r>
      <w:r w:rsidRPr="004B34E3">
        <w:rPr>
          <w:rFonts w:asciiTheme="minorHAnsi" w:hAnsiTheme="minorHAnsi" w:cstheme="minorHAnsi"/>
          <w:w w:val="105"/>
          <w:sz w:val="24"/>
        </w:rPr>
        <w:t xml:space="preserve"> sequence lined by the two primers. The probe contains a reporter fluorescent dye at the 5’end and a quencher dye at the 3’end that quenches the emission spectrum of the reporter dye. As long as the probe remains bounded, it is intact and no signal is generated. During the extension step of real-time PCR, the </w:t>
      </w:r>
      <w:proofErr w:type="spellStart"/>
      <w:r w:rsidRPr="004B34E3">
        <w:rPr>
          <w:rFonts w:asciiTheme="minorHAnsi" w:hAnsiTheme="minorHAnsi" w:cstheme="minorHAnsi"/>
          <w:w w:val="105"/>
          <w:sz w:val="24"/>
        </w:rPr>
        <w:t>Thermusaquaticus</w:t>
      </w:r>
      <w:proofErr w:type="spellEnd"/>
      <w:r w:rsidRPr="004B34E3">
        <w:rPr>
          <w:rFonts w:asciiTheme="minorHAnsi" w:hAnsiTheme="minorHAnsi" w:cstheme="minorHAnsi"/>
          <w:w w:val="105"/>
          <w:sz w:val="24"/>
        </w:rPr>
        <w:t xml:space="preserve"> (Taq) DNA polymerase enzyme cleaves the TaqMan probe, resulting in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separation of the reporter dye from the quencher and increased fluorescence emission.</w:t>
      </w:r>
    </w:p>
    <w:p w14:paraId="39D07F1F" w14:textId="028F8AD0" w:rsidR="001B3ED2"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Maeda et al. (2003) reported no significant difference between the TaqMan and SYBR Green chemistry </w:t>
      </w:r>
      <w:r w:rsidR="004754F6">
        <w:rPr>
          <w:rFonts w:asciiTheme="minorHAnsi" w:hAnsiTheme="minorHAnsi" w:cstheme="minorHAnsi"/>
          <w:w w:val="105"/>
          <w:sz w:val="24"/>
        </w:rPr>
        <w:t>regarding</w:t>
      </w:r>
      <w:r w:rsidRPr="004B34E3">
        <w:rPr>
          <w:rFonts w:asciiTheme="minorHAnsi" w:hAnsiTheme="minorHAnsi" w:cstheme="minorHAnsi"/>
          <w:w w:val="105"/>
          <w:sz w:val="24"/>
        </w:rPr>
        <w:t xml:space="preserve"> specificity, </w:t>
      </w:r>
      <w:proofErr w:type="spellStart"/>
      <w:r w:rsidRPr="004B34E3">
        <w:rPr>
          <w:rFonts w:asciiTheme="minorHAnsi" w:hAnsiTheme="minorHAnsi" w:cstheme="minorHAnsi"/>
          <w:w w:val="105"/>
          <w:sz w:val="24"/>
        </w:rPr>
        <w:t>quantitativity</w:t>
      </w:r>
      <w:proofErr w:type="spellEnd"/>
      <w:r w:rsidRPr="004B34E3">
        <w:rPr>
          <w:rFonts w:asciiTheme="minorHAnsi" w:hAnsiTheme="minorHAnsi" w:cstheme="minorHAnsi"/>
          <w:w w:val="105"/>
          <w:sz w:val="24"/>
        </w:rPr>
        <w:t xml:space="preserve">, and sensitivity for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detection of oral bacteria. The protocol used for the SYBR Green assay is usually simpler and less expensive than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TaqMan method.</w:t>
      </w:r>
    </w:p>
    <w:p w14:paraId="302C4DB8" w14:textId="77777777" w:rsidR="001F7A91" w:rsidRPr="004B34E3" w:rsidRDefault="001F7A91" w:rsidP="004B34E3">
      <w:pPr>
        <w:pStyle w:val="BodyText"/>
        <w:spacing w:before="1" w:line="360" w:lineRule="auto"/>
        <w:ind w:left="540"/>
        <w:rPr>
          <w:rFonts w:asciiTheme="minorHAnsi" w:hAnsiTheme="minorHAnsi" w:cstheme="minorHAnsi"/>
          <w:w w:val="105"/>
          <w:sz w:val="24"/>
        </w:rPr>
      </w:pPr>
    </w:p>
    <w:p w14:paraId="0EA994FE" w14:textId="77777777" w:rsidR="001B3ED2" w:rsidRPr="00661B36" w:rsidRDefault="00F12B67" w:rsidP="001F7A91">
      <w:pPr>
        <w:pStyle w:val="Heading1"/>
        <w:numPr>
          <w:ilvl w:val="0"/>
          <w:numId w:val="8"/>
        </w:numPr>
        <w:tabs>
          <w:tab w:val="left" w:pos="464"/>
        </w:tabs>
        <w:rPr>
          <w:rFonts w:asciiTheme="minorHAnsi" w:hAnsiTheme="minorHAnsi" w:cstheme="minorHAnsi"/>
          <w:sz w:val="28"/>
        </w:rPr>
      </w:pPr>
      <w:r w:rsidRPr="00661B36">
        <w:rPr>
          <w:rFonts w:asciiTheme="minorHAnsi" w:hAnsiTheme="minorHAnsi" w:cstheme="minorHAnsi"/>
          <w:sz w:val="28"/>
        </w:rPr>
        <w:t>Molecular beacons</w:t>
      </w:r>
    </w:p>
    <w:p w14:paraId="1156E25A" w14:textId="5372F2FB" w:rsidR="001B3ED2" w:rsidRPr="004B34E3" w:rsidRDefault="00F12B67" w:rsidP="00FA5649">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Another real-time PCR assay uses molecular beacons, which are </w:t>
      </w:r>
      <w:r w:rsidR="004754F6">
        <w:rPr>
          <w:rFonts w:asciiTheme="minorHAnsi" w:hAnsiTheme="minorHAnsi" w:cstheme="minorHAnsi"/>
          <w:w w:val="105"/>
          <w:sz w:val="24"/>
        </w:rPr>
        <w:t>single-stranded</w:t>
      </w:r>
      <w:r w:rsidRPr="004B34E3">
        <w:rPr>
          <w:rFonts w:asciiTheme="minorHAnsi" w:hAnsiTheme="minorHAnsi" w:cstheme="minorHAnsi"/>
          <w:w w:val="105"/>
          <w:sz w:val="24"/>
        </w:rPr>
        <w:t xml:space="preserve"> </w:t>
      </w:r>
      <w:r w:rsidR="004754F6">
        <w:rPr>
          <w:rFonts w:asciiTheme="minorHAnsi" w:hAnsiTheme="minorHAnsi" w:cstheme="minorHAnsi"/>
          <w:w w:val="105"/>
          <w:sz w:val="24"/>
        </w:rPr>
        <w:t>oligonucleotides</w:t>
      </w:r>
      <w:r w:rsidRPr="004B34E3">
        <w:rPr>
          <w:rFonts w:asciiTheme="minorHAnsi" w:hAnsiTheme="minorHAnsi" w:cstheme="minorHAnsi"/>
          <w:w w:val="105"/>
          <w:sz w:val="24"/>
        </w:rPr>
        <w:t xml:space="preserve"> with a stem-and-loop structure. The loop sequence is complementary to a target sequence and is flanked by short complementary arms that form a stem. The oligonucleotide is </w:t>
      </w:r>
      <w:r w:rsidR="00F73260">
        <w:rPr>
          <w:rFonts w:asciiTheme="minorHAnsi" w:hAnsiTheme="minorHAnsi" w:cstheme="minorHAnsi"/>
          <w:w w:val="105"/>
          <w:sz w:val="24"/>
        </w:rPr>
        <w:t>labelled</w:t>
      </w:r>
      <w:r w:rsidRPr="004B34E3">
        <w:rPr>
          <w:rFonts w:asciiTheme="minorHAnsi" w:hAnsiTheme="minorHAnsi" w:cstheme="minorHAnsi"/>
          <w:w w:val="105"/>
          <w:sz w:val="24"/>
        </w:rPr>
        <w:t xml:space="preserve"> at one end with a fluorophore and at the other end with a quencher molecule. Free molecular beacons acquire a hairpin structure when in solution, and the stem keeps the</w:t>
      </w:r>
      <w:r w:rsidR="00FA5649">
        <w:rPr>
          <w:rFonts w:asciiTheme="minorHAnsi" w:hAnsiTheme="minorHAnsi" w:cstheme="minorHAnsi"/>
          <w:w w:val="105"/>
          <w:sz w:val="24"/>
        </w:rPr>
        <w:t xml:space="preserve"> </w:t>
      </w:r>
      <w:r w:rsidRPr="004B34E3">
        <w:rPr>
          <w:rFonts w:asciiTheme="minorHAnsi" w:hAnsiTheme="minorHAnsi" w:cstheme="minorHAnsi"/>
          <w:w w:val="105"/>
          <w:sz w:val="24"/>
        </w:rPr>
        <w:t xml:space="preserve">arm </w:t>
      </w:r>
      <w:r w:rsidR="004754F6">
        <w:rPr>
          <w:rFonts w:asciiTheme="minorHAnsi" w:hAnsiTheme="minorHAnsi" w:cstheme="minorHAnsi"/>
          <w:w w:val="105"/>
          <w:sz w:val="24"/>
        </w:rPr>
        <w:t>nearby</w:t>
      </w:r>
      <w:r w:rsidRPr="004B34E3">
        <w:rPr>
          <w:rFonts w:asciiTheme="minorHAnsi" w:hAnsiTheme="minorHAnsi" w:cstheme="minorHAnsi"/>
          <w:w w:val="105"/>
          <w:sz w:val="24"/>
        </w:rPr>
        <w:t xml:space="preserve">. This results in efficient quenching of the fluorescent dye </w:t>
      </w:r>
      <w:proofErr w:type="gramStart"/>
      <w:r w:rsidRPr="004B34E3">
        <w:rPr>
          <w:rFonts w:asciiTheme="minorHAnsi" w:hAnsiTheme="minorHAnsi" w:cstheme="minorHAnsi"/>
          <w:w w:val="105"/>
          <w:sz w:val="24"/>
        </w:rPr>
        <w:t>In</w:t>
      </w:r>
      <w:proofErr w:type="gramEnd"/>
      <w:r w:rsidRPr="004B34E3">
        <w:rPr>
          <w:rFonts w:asciiTheme="minorHAnsi" w:hAnsiTheme="minorHAnsi" w:cstheme="minorHAnsi"/>
          <w:w w:val="105"/>
          <w:sz w:val="24"/>
        </w:rPr>
        <w:t xml:space="preserve"> the stem-loop conformation, energy from the excited fluorophore is transferred to the quencher and released as heat instead of light, and after hybridization two ends will be separated and the energy from the excited fluorophore is emitted as light, generating a detectable signal (Klara </w:t>
      </w:r>
      <w:proofErr w:type="spellStart"/>
      <w:r w:rsidRPr="004B34E3">
        <w:rPr>
          <w:rFonts w:asciiTheme="minorHAnsi" w:hAnsiTheme="minorHAnsi" w:cstheme="minorHAnsi"/>
          <w:w w:val="105"/>
          <w:sz w:val="24"/>
        </w:rPr>
        <w:t>Abravaya</w:t>
      </w:r>
      <w:proofErr w:type="spellEnd"/>
      <w:r w:rsidRPr="004B34E3">
        <w:rPr>
          <w:rFonts w:asciiTheme="minorHAnsi" w:hAnsiTheme="minorHAnsi" w:cstheme="minorHAnsi"/>
          <w:w w:val="105"/>
          <w:sz w:val="24"/>
        </w:rPr>
        <w:t>, 2011).</w:t>
      </w:r>
    </w:p>
    <w:p w14:paraId="4D366273" w14:textId="77777777" w:rsidR="001B3ED2" w:rsidRPr="004B34E3" w:rsidRDefault="00F12B67" w:rsidP="00FA5649">
      <w:pPr>
        <w:pStyle w:val="BodyText"/>
        <w:spacing w:before="1" w:line="360" w:lineRule="auto"/>
        <w:ind w:left="540"/>
        <w:jc w:val="center"/>
        <w:rPr>
          <w:rFonts w:asciiTheme="minorHAnsi" w:hAnsiTheme="minorHAnsi" w:cstheme="minorHAnsi"/>
          <w:w w:val="105"/>
          <w:sz w:val="24"/>
        </w:rPr>
      </w:pPr>
      <w:r w:rsidRPr="004B34E3">
        <w:rPr>
          <w:rFonts w:asciiTheme="minorHAnsi" w:hAnsiTheme="minorHAnsi" w:cstheme="minorHAnsi"/>
          <w:noProof/>
          <w:w w:val="105"/>
          <w:sz w:val="24"/>
        </w:rPr>
        <w:lastRenderedPageBreak/>
        <w:drawing>
          <wp:inline distT="0" distB="0" distL="0" distR="0" wp14:anchorId="14320818" wp14:editId="7826A5D6">
            <wp:extent cx="3026094" cy="3289465"/>
            <wp:effectExtent l="0" t="0" r="3175" b="635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18" cstate="print"/>
                    <a:stretch>
                      <a:fillRect/>
                    </a:stretch>
                  </pic:blipFill>
                  <pic:spPr>
                    <a:xfrm>
                      <a:off x="0" y="0"/>
                      <a:ext cx="3028545" cy="3292130"/>
                    </a:xfrm>
                    <a:prstGeom prst="rect">
                      <a:avLst/>
                    </a:prstGeom>
                  </pic:spPr>
                </pic:pic>
              </a:graphicData>
            </a:graphic>
          </wp:inline>
        </w:drawing>
      </w:r>
    </w:p>
    <w:p w14:paraId="3A6BA1C1"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4E2949FF" w14:textId="1DF5B48C" w:rsidR="001B3ED2" w:rsidRPr="004B34E3" w:rsidRDefault="001B3ED2" w:rsidP="004B34E3">
      <w:pPr>
        <w:pStyle w:val="BodyText"/>
        <w:spacing w:before="1" w:line="360" w:lineRule="auto"/>
        <w:ind w:left="540"/>
        <w:rPr>
          <w:rFonts w:asciiTheme="minorHAnsi" w:hAnsiTheme="minorHAnsi" w:cstheme="minorHAnsi"/>
          <w:w w:val="105"/>
          <w:sz w:val="24"/>
        </w:rPr>
      </w:pPr>
    </w:p>
    <w:p w14:paraId="21089028"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608F242C"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6E6B9D6C" w14:textId="77777777" w:rsidR="001B3ED2" w:rsidRDefault="00F12B67" w:rsidP="001F7A91">
      <w:pPr>
        <w:pStyle w:val="Heading1"/>
        <w:numPr>
          <w:ilvl w:val="0"/>
          <w:numId w:val="7"/>
        </w:numPr>
        <w:tabs>
          <w:tab w:val="left" w:pos="464"/>
        </w:tabs>
        <w:rPr>
          <w:rFonts w:asciiTheme="minorHAnsi" w:hAnsiTheme="minorHAnsi" w:cstheme="minorHAnsi"/>
          <w:sz w:val="28"/>
        </w:rPr>
      </w:pPr>
      <w:r w:rsidRPr="004B34E3">
        <w:rPr>
          <w:rFonts w:asciiTheme="minorHAnsi" w:hAnsiTheme="minorHAnsi" w:cstheme="minorHAnsi"/>
          <w:sz w:val="28"/>
        </w:rPr>
        <w:t>PCR-based microbial typing</w:t>
      </w:r>
    </w:p>
    <w:p w14:paraId="64A47A78" w14:textId="77777777" w:rsidR="00A96508" w:rsidRPr="004B34E3" w:rsidRDefault="00A96508" w:rsidP="00A96508">
      <w:pPr>
        <w:pStyle w:val="Heading1"/>
        <w:tabs>
          <w:tab w:val="left" w:pos="464"/>
        </w:tabs>
        <w:ind w:left="720" w:firstLine="0"/>
        <w:rPr>
          <w:rFonts w:asciiTheme="minorHAnsi" w:hAnsiTheme="minorHAnsi" w:cstheme="minorHAnsi"/>
          <w:sz w:val="28"/>
        </w:rPr>
      </w:pPr>
    </w:p>
    <w:p w14:paraId="0B03E016" w14:textId="6EAD3C63" w:rsidR="001B3ED2" w:rsidRPr="004B34E3" w:rsidRDefault="00F12B67" w:rsidP="00FA5649">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PCR technology can also be used for clonal analysis of microorganisms. An example of the PCR techniques used for this purpose includes the arbitrarily primed PCR (AP-PCR), also referred to as random amplified polymorphic</w:t>
      </w:r>
      <w:r w:rsidR="00FA5649">
        <w:rPr>
          <w:rFonts w:asciiTheme="minorHAnsi" w:hAnsiTheme="minorHAnsi" w:cstheme="minorHAnsi"/>
          <w:w w:val="105"/>
          <w:sz w:val="24"/>
        </w:rPr>
        <w:t xml:space="preserve"> </w:t>
      </w:r>
      <w:r w:rsidRPr="004B34E3">
        <w:rPr>
          <w:rFonts w:asciiTheme="minorHAnsi" w:hAnsiTheme="minorHAnsi" w:cstheme="minorHAnsi"/>
          <w:w w:val="105"/>
          <w:sz w:val="24"/>
        </w:rPr>
        <w:t xml:space="preserve">DNA.AP-PCR is a relatively rapid tool to determine whether two isolates of the same species are related. This method is based on the use of a single 10- to 20- </w:t>
      </w:r>
      <w:r w:rsidR="004754F6">
        <w:rPr>
          <w:rFonts w:asciiTheme="minorHAnsi" w:hAnsiTheme="minorHAnsi" w:cstheme="minorHAnsi"/>
          <w:w w:val="105"/>
          <w:sz w:val="24"/>
        </w:rPr>
        <w:t>20-base-long</w:t>
      </w:r>
      <w:r w:rsidRPr="004B34E3">
        <w:rPr>
          <w:rFonts w:asciiTheme="minorHAnsi" w:hAnsiTheme="minorHAnsi" w:cstheme="minorHAnsi"/>
          <w:w w:val="105"/>
          <w:sz w:val="24"/>
        </w:rPr>
        <w:t xml:space="preserve"> random sequence primer that anneals to unspecified DNA target sites under conditions that allow for mismatched base pairing. The use of a random sequence primer at low stringency allows for priming at sites with imperfect matches.</w:t>
      </w:r>
    </w:p>
    <w:p w14:paraId="2EB87114" w14:textId="5362BD34"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Amplification will only occur when two primers anneal close enough to one another, in the proper forward and reverse directions necessary for the product to be formed. Genetic variations between two DNA templates result in discriminative DNA fingerprints because of the differences in the priming sites. The amplicons generated form a strain-specific pattern of about 5–15 bands per species in the electrophoretic gel (Spiegelman et al. 2005). The advantage of </w:t>
      </w:r>
      <w:r w:rsidR="004754F6">
        <w:rPr>
          <w:rFonts w:asciiTheme="minorHAnsi" w:hAnsiTheme="minorHAnsi" w:cstheme="minorHAnsi"/>
          <w:w w:val="105"/>
          <w:sz w:val="24"/>
        </w:rPr>
        <w:t>AP-PCR</w:t>
      </w:r>
      <w:r w:rsidRPr="004B34E3">
        <w:rPr>
          <w:rFonts w:asciiTheme="minorHAnsi" w:hAnsiTheme="minorHAnsi" w:cstheme="minorHAnsi"/>
          <w:w w:val="105"/>
          <w:sz w:val="24"/>
        </w:rPr>
        <w:t xml:space="preserve"> is its ability to furnish highly specific DNA profiles </w:t>
      </w:r>
      <w:r w:rsidRPr="004B34E3">
        <w:rPr>
          <w:rFonts w:asciiTheme="minorHAnsi" w:hAnsiTheme="minorHAnsi" w:cstheme="minorHAnsi"/>
          <w:w w:val="105"/>
          <w:sz w:val="24"/>
        </w:rPr>
        <w:lastRenderedPageBreak/>
        <w:t>with no prerequisite for knowing the DNA sequences. Primers may also be designed to target known genetic elements, such as enterobacterial repetitive intergenic consensus sequences (ERIC-PCR) and repetitive extragenic palindromic sequences (REP- PCR. Clonal analysis may help elucidate whether certain strains of a given species are more associated with signs or symptoms of a given disease.</w:t>
      </w:r>
    </w:p>
    <w:p w14:paraId="74D6D1DF" w14:textId="62DC12EE"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Clonal analysis may also help to track the origin of microorganisms infecting a given site. For instance, by comparing bacterial strains isolated from the root canal and the gingival sulcus or other oral sites, one can have information as to where bacteria present in the root canal system came from. Clonal analysis can also track the origin of the microorganisms present in a suspected focal disease by comparing the isolates found in </w:t>
      </w:r>
      <w:r w:rsidR="004754F6">
        <w:rPr>
          <w:rFonts w:asciiTheme="minorHAnsi" w:hAnsiTheme="minorHAnsi" w:cstheme="minorHAnsi"/>
          <w:w w:val="105"/>
          <w:sz w:val="24"/>
        </w:rPr>
        <w:t>this contrarily infected site</w:t>
      </w:r>
      <w:r w:rsidRPr="004B34E3">
        <w:rPr>
          <w:rFonts w:asciiTheme="minorHAnsi" w:hAnsiTheme="minorHAnsi" w:cstheme="minorHAnsi"/>
          <w:w w:val="105"/>
          <w:sz w:val="24"/>
        </w:rPr>
        <w:t xml:space="preserve"> with others present in the suspected original focus of infection (</w:t>
      </w:r>
      <w:proofErr w:type="spellStart"/>
      <w:r w:rsidRPr="004B34E3">
        <w:rPr>
          <w:rFonts w:asciiTheme="minorHAnsi" w:hAnsiTheme="minorHAnsi" w:cstheme="minorHAnsi"/>
          <w:w w:val="105"/>
          <w:sz w:val="24"/>
        </w:rPr>
        <w:t>Siqueirajr</w:t>
      </w:r>
      <w:proofErr w:type="spellEnd"/>
      <w:r w:rsidRPr="004B34E3">
        <w:rPr>
          <w:rFonts w:asciiTheme="minorHAnsi" w:hAnsiTheme="minorHAnsi" w:cstheme="minorHAnsi"/>
          <w:w w:val="105"/>
          <w:sz w:val="24"/>
        </w:rPr>
        <w:t xml:space="preserve"> &amp; </w:t>
      </w:r>
      <w:proofErr w:type="spellStart"/>
      <w:r w:rsidRPr="004B34E3">
        <w:rPr>
          <w:rFonts w:asciiTheme="minorHAnsi" w:hAnsiTheme="minorHAnsi" w:cstheme="minorHAnsi"/>
          <w:w w:val="105"/>
          <w:sz w:val="24"/>
        </w:rPr>
        <w:t>Rocas</w:t>
      </w:r>
      <w:proofErr w:type="spellEnd"/>
      <w:r w:rsidRPr="004B34E3">
        <w:rPr>
          <w:rFonts w:asciiTheme="minorHAnsi" w:hAnsiTheme="minorHAnsi" w:cstheme="minorHAnsi"/>
          <w:w w:val="105"/>
          <w:sz w:val="24"/>
        </w:rPr>
        <w:t>, 2005).</w:t>
      </w:r>
    </w:p>
    <w:p w14:paraId="1E9BE0C6" w14:textId="77777777" w:rsidR="00FA5649" w:rsidRDefault="00FA5649" w:rsidP="00FA5649">
      <w:pPr>
        <w:pStyle w:val="Heading1"/>
        <w:tabs>
          <w:tab w:val="left" w:pos="464"/>
        </w:tabs>
        <w:ind w:left="720" w:firstLine="0"/>
        <w:rPr>
          <w:rFonts w:asciiTheme="minorHAnsi" w:hAnsiTheme="minorHAnsi" w:cstheme="minorHAnsi"/>
          <w:sz w:val="28"/>
        </w:rPr>
      </w:pPr>
    </w:p>
    <w:p w14:paraId="21527899" w14:textId="21965086" w:rsidR="001B3ED2" w:rsidRDefault="00F12B67" w:rsidP="001F7A91">
      <w:pPr>
        <w:pStyle w:val="Heading1"/>
        <w:numPr>
          <w:ilvl w:val="0"/>
          <w:numId w:val="7"/>
        </w:numPr>
        <w:tabs>
          <w:tab w:val="left" w:pos="464"/>
        </w:tabs>
        <w:rPr>
          <w:rFonts w:asciiTheme="minorHAnsi" w:hAnsiTheme="minorHAnsi" w:cstheme="minorHAnsi"/>
          <w:sz w:val="28"/>
        </w:rPr>
      </w:pPr>
      <w:r w:rsidRPr="004B34E3">
        <w:rPr>
          <w:rFonts w:asciiTheme="minorHAnsi" w:hAnsiTheme="minorHAnsi" w:cstheme="minorHAnsi"/>
          <w:sz w:val="28"/>
        </w:rPr>
        <w:t>Broad range PCR</w:t>
      </w:r>
    </w:p>
    <w:p w14:paraId="208CD3B0" w14:textId="77777777" w:rsidR="00A96508" w:rsidRPr="004B34E3" w:rsidRDefault="00A96508" w:rsidP="00A96508">
      <w:pPr>
        <w:pStyle w:val="Heading1"/>
        <w:tabs>
          <w:tab w:val="left" w:pos="464"/>
        </w:tabs>
        <w:ind w:left="720" w:firstLine="0"/>
        <w:rPr>
          <w:rFonts w:asciiTheme="minorHAnsi" w:hAnsiTheme="minorHAnsi" w:cstheme="minorHAnsi"/>
          <w:sz w:val="28"/>
        </w:rPr>
      </w:pPr>
    </w:p>
    <w:p w14:paraId="559AC1FB" w14:textId="370C94DF"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Broad-range PCR has identified various fastidious, as-yet-uncultivated bacterial pathogens from different human sites. In broad-range PCR, primers are designed </w:t>
      </w:r>
      <w:r w:rsidR="004754F6">
        <w:rPr>
          <w:rFonts w:asciiTheme="minorHAnsi" w:hAnsiTheme="minorHAnsi" w:cstheme="minorHAnsi"/>
          <w:w w:val="105"/>
          <w:sz w:val="24"/>
        </w:rPr>
        <w:t>that</w:t>
      </w:r>
      <w:r w:rsidRPr="004B34E3">
        <w:rPr>
          <w:rFonts w:asciiTheme="minorHAnsi" w:hAnsiTheme="minorHAnsi" w:cstheme="minorHAnsi"/>
          <w:w w:val="105"/>
          <w:sz w:val="24"/>
        </w:rPr>
        <w:t xml:space="preserve"> are complementary to conserved regions of a particular gene (mostly 16S rRNA gene) shared by a group of microorganisms. By using broad-range PCR and 16S rRNA gene clone library construction, one can identify virtually every bacterial species present in a sample (Conrads et al., 1997).</w:t>
      </w:r>
    </w:p>
    <w:p w14:paraId="2D10A94E" w14:textId="65D5C269"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In this type of PCR, initially, bulk DNA is extracted directly from samples. Then 16S rRNA gene is isolated from the bulk DNA via PCR using specifically designed primers for conserved regions of the gene. Amplification with broad-range primers results in a mixture of the 16S rRNA gene amplified from nearly all bacteria in the sample. Hence there is a high risk for DNA from microbial contaminants to be amplified. For that</w:t>
      </w:r>
      <w:r w:rsidR="004754F6">
        <w:rPr>
          <w:rFonts w:asciiTheme="minorHAnsi" w:hAnsiTheme="minorHAnsi" w:cstheme="minorHAnsi"/>
          <w:w w:val="105"/>
          <w:sz w:val="24"/>
        </w:rPr>
        <w:t>,</w:t>
      </w:r>
      <w:r w:rsidRPr="004B34E3">
        <w:rPr>
          <w:rFonts w:asciiTheme="minorHAnsi" w:hAnsiTheme="minorHAnsi" w:cstheme="minorHAnsi"/>
          <w:w w:val="105"/>
          <w:sz w:val="24"/>
        </w:rPr>
        <w:t xml:space="preserve"> a wide range of precautions is necessary to avoid contamination, including separate </w:t>
      </w:r>
      <w:r w:rsidR="004754F6">
        <w:rPr>
          <w:rFonts w:asciiTheme="minorHAnsi" w:hAnsiTheme="minorHAnsi" w:cstheme="minorHAnsi"/>
          <w:w w:val="105"/>
          <w:sz w:val="24"/>
        </w:rPr>
        <w:t>rooms</w:t>
      </w:r>
      <w:r w:rsidRPr="004B34E3">
        <w:rPr>
          <w:rFonts w:asciiTheme="minorHAnsi" w:hAnsiTheme="minorHAnsi" w:cstheme="minorHAnsi"/>
          <w:w w:val="105"/>
          <w:sz w:val="24"/>
        </w:rPr>
        <w:t xml:space="preserve"> for pre- and </w:t>
      </w:r>
      <w:r w:rsidR="004754F6">
        <w:rPr>
          <w:rFonts w:asciiTheme="minorHAnsi" w:hAnsiTheme="minorHAnsi" w:cstheme="minorHAnsi"/>
          <w:w w:val="105"/>
          <w:sz w:val="24"/>
        </w:rPr>
        <w:t>post-PCR</w:t>
      </w:r>
      <w:r w:rsidRPr="004B34E3">
        <w:rPr>
          <w:rFonts w:asciiTheme="minorHAnsi" w:hAnsiTheme="minorHAnsi" w:cstheme="minorHAnsi"/>
          <w:w w:val="105"/>
          <w:sz w:val="24"/>
        </w:rPr>
        <w:t xml:space="preserve"> work, UV decontamination of surface areas, use of high-quality reagents, and adequate sampling techniques and vials for clinical </w:t>
      </w:r>
      <w:r w:rsidR="004754F6">
        <w:rPr>
          <w:rFonts w:asciiTheme="minorHAnsi" w:hAnsiTheme="minorHAnsi" w:cstheme="minorHAnsi"/>
          <w:w w:val="105"/>
          <w:sz w:val="24"/>
        </w:rPr>
        <w:t>specimens</w:t>
      </w:r>
      <w:r w:rsidRPr="004B34E3">
        <w:rPr>
          <w:rFonts w:asciiTheme="minorHAnsi" w:hAnsiTheme="minorHAnsi" w:cstheme="minorHAnsi"/>
          <w:w w:val="105"/>
          <w:sz w:val="24"/>
        </w:rPr>
        <w:t xml:space="preserve">. Amplification with broad-range primers results in a mixture of the 16S rRNA gene amplified from nearly all bacteria in the sample. In mixed infections, direct sequencing of PCR products is not done because there are mixed products from the different species </w:t>
      </w:r>
      <w:r w:rsidRPr="004B34E3">
        <w:rPr>
          <w:rFonts w:asciiTheme="minorHAnsi" w:hAnsiTheme="minorHAnsi" w:cstheme="minorHAnsi"/>
          <w:w w:val="105"/>
          <w:sz w:val="24"/>
        </w:rPr>
        <w:lastRenderedPageBreak/>
        <w:t xml:space="preserve">composing the consortium. Due to </w:t>
      </w:r>
      <w:r w:rsidR="004754F6">
        <w:rPr>
          <w:rFonts w:asciiTheme="minorHAnsi" w:hAnsiTheme="minorHAnsi" w:cstheme="minorHAnsi"/>
          <w:w w:val="105"/>
          <w:sz w:val="24"/>
        </w:rPr>
        <w:t>this,</w:t>
      </w:r>
      <w:r w:rsidRPr="004B34E3">
        <w:rPr>
          <w:rFonts w:asciiTheme="minorHAnsi" w:hAnsiTheme="minorHAnsi" w:cstheme="minorHAnsi"/>
          <w:w w:val="105"/>
          <w:sz w:val="24"/>
        </w:rPr>
        <w:t xml:space="preserve"> the products are cloned into a plasmid vector, which is used to transform Escherichia coli cells, establishing a library of 16S rRNA genes from the sample. The cloning procedure separates the sequences so that they can be characterized individually by sequencing. After the cloned genes are individually sequenced, the results are submitted for identification to databases.</w:t>
      </w:r>
    </w:p>
    <w:p w14:paraId="59B8AC88" w14:textId="3B579ACA" w:rsidR="001B3ED2"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A 98.5–99%identity in 16S rRNA gene sequence has been the most accepted criterion used to identify a bacterium to the species level. If a sequence exhibits low similarity scores (98.5–99%) to the other sequences from defined species in the databases, it potentially represents a new species. These new species are usually considered uncultivated and hitherto unknown bacterial taxa and an unofficial name is assigned (</w:t>
      </w:r>
      <w:proofErr w:type="spellStart"/>
      <w:r w:rsidRPr="004B34E3">
        <w:rPr>
          <w:rFonts w:asciiTheme="minorHAnsi" w:hAnsiTheme="minorHAnsi" w:cstheme="minorHAnsi"/>
          <w:w w:val="105"/>
          <w:sz w:val="24"/>
        </w:rPr>
        <w:t>Drancourt</w:t>
      </w:r>
      <w:proofErr w:type="spellEnd"/>
      <w:r w:rsidRPr="004B34E3">
        <w:rPr>
          <w:rFonts w:asciiTheme="minorHAnsi" w:hAnsiTheme="minorHAnsi" w:cstheme="minorHAnsi"/>
          <w:w w:val="105"/>
          <w:sz w:val="24"/>
        </w:rPr>
        <w:t xml:space="preserve"> et al., 2000; Woo et al., 2008).</w:t>
      </w:r>
    </w:p>
    <w:p w14:paraId="52F7B85B" w14:textId="77777777" w:rsidR="001F7A91" w:rsidRPr="004B34E3" w:rsidRDefault="001F7A91" w:rsidP="004B34E3">
      <w:pPr>
        <w:pStyle w:val="BodyText"/>
        <w:spacing w:before="1" w:line="360" w:lineRule="auto"/>
        <w:ind w:left="540"/>
        <w:rPr>
          <w:rFonts w:asciiTheme="minorHAnsi" w:hAnsiTheme="minorHAnsi" w:cstheme="minorHAnsi"/>
          <w:w w:val="105"/>
          <w:sz w:val="24"/>
        </w:rPr>
      </w:pPr>
    </w:p>
    <w:p w14:paraId="1CBFC961"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Bulk nucleic acids are extracted directly from samples</w:t>
      </w:r>
    </w:p>
    <w:p w14:paraId="049D5E44"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w:t>
      </w:r>
    </w:p>
    <w:p w14:paraId="243609E2"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16S rDNA isolated via PCR with primers specific for conserved regions of the gene (universal or broad-range primers)</w:t>
      </w:r>
    </w:p>
    <w:p w14:paraId="4825D8E6"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w:t>
      </w:r>
    </w:p>
    <w:p w14:paraId="6EFED96D"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Amplification of 16S rRNA gene</w:t>
      </w:r>
    </w:p>
    <w:p w14:paraId="41E81DB0"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w:t>
      </w:r>
    </w:p>
    <w:p w14:paraId="00C7C2C8"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In case of mixed infections, separate sequencing is done</w:t>
      </w:r>
    </w:p>
    <w:p w14:paraId="0A881DF8"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w:t>
      </w:r>
    </w:p>
    <w:p w14:paraId="22F26620"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For that, PCR products are cloned into a plasmid vector</w:t>
      </w:r>
    </w:p>
    <w:p w14:paraId="48448CFD"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w:t>
      </w:r>
    </w:p>
    <w:p w14:paraId="08E1A051" w14:textId="2ADA169E"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 xml:space="preserve">Transforms Escherichia coli cells forming </w:t>
      </w:r>
      <w:r w:rsidR="004754F6" w:rsidRPr="00FA5649">
        <w:rPr>
          <w:rFonts w:asciiTheme="minorHAnsi" w:hAnsiTheme="minorHAnsi" w:cstheme="minorHAnsi"/>
          <w:b w:val="0"/>
          <w:bCs w:val="0"/>
          <w:sz w:val="24"/>
          <w:szCs w:val="24"/>
        </w:rPr>
        <w:t xml:space="preserve">a </w:t>
      </w:r>
      <w:r w:rsidRPr="00FA5649">
        <w:rPr>
          <w:rFonts w:asciiTheme="minorHAnsi" w:hAnsiTheme="minorHAnsi" w:cstheme="minorHAnsi"/>
          <w:b w:val="0"/>
          <w:bCs w:val="0"/>
          <w:sz w:val="24"/>
          <w:szCs w:val="24"/>
        </w:rPr>
        <w:t>cloning library of 16S rDNA</w:t>
      </w:r>
    </w:p>
    <w:p w14:paraId="52CFE97D"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w:t>
      </w:r>
    </w:p>
    <w:p w14:paraId="0D3D44BE"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Submitted for identification of bacterial species to the databases</w:t>
      </w:r>
    </w:p>
    <w:p w14:paraId="0282E8D2"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w:t>
      </w:r>
    </w:p>
    <w:p w14:paraId="732A71D0" w14:textId="77777777" w:rsidR="001B3ED2" w:rsidRPr="00FA5649" w:rsidRDefault="00F12B67" w:rsidP="001F7A91">
      <w:pPr>
        <w:pStyle w:val="Heading1"/>
        <w:tabs>
          <w:tab w:val="left" w:pos="464"/>
        </w:tabs>
        <w:ind w:left="0" w:firstLine="0"/>
        <w:jc w:val="center"/>
        <w:rPr>
          <w:rFonts w:asciiTheme="minorHAnsi" w:hAnsiTheme="minorHAnsi" w:cstheme="minorHAnsi"/>
          <w:b w:val="0"/>
          <w:bCs w:val="0"/>
          <w:sz w:val="24"/>
          <w:szCs w:val="24"/>
        </w:rPr>
      </w:pPr>
      <w:r w:rsidRPr="00FA5649">
        <w:rPr>
          <w:rFonts w:asciiTheme="minorHAnsi" w:hAnsiTheme="minorHAnsi" w:cstheme="minorHAnsi"/>
          <w:b w:val="0"/>
          <w:bCs w:val="0"/>
          <w:sz w:val="24"/>
          <w:szCs w:val="24"/>
        </w:rPr>
        <w:t>Sequenced individually</w:t>
      </w:r>
    </w:p>
    <w:p w14:paraId="19B67BB0"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08B3D154" w14:textId="5226DFCD"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To improve the accuracy of the similarity method of broad range PCR phylogenetic method has also been developed. In this method, based on the dissimilarities in the variable regions of gene sequencing, computations are done to develop </w:t>
      </w:r>
      <w:r w:rsidR="004754F6">
        <w:rPr>
          <w:rFonts w:asciiTheme="minorHAnsi" w:hAnsiTheme="minorHAnsi" w:cstheme="minorHAnsi"/>
          <w:w w:val="105"/>
          <w:sz w:val="24"/>
        </w:rPr>
        <w:t xml:space="preserve">a </w:t>
      </w:r>
      <w:r w:rsidRPr="004B34E3">
        <w:rPr>
          <w:rFonts w:asciiTheme="minorHAnsi" w:hAnsiTheme="minorHAnsi" w:cstheme="minorHAnsi"/>
          <w:w w:val="105"/>
          <w:sz w:val="24"/>
        </w:rPr>
        <w:t xml:space="preserve">phylogenetic tree (Leys et al. 2006). The relationships among various bacterial phylotypes (or taxa) are </w:t>
      </w:r>
      <w:r w:rsidR="004754F6">
        <w:rPr>
          <w:rFonts w:asciiTheme="minorHAnsi" w:hAnsiTheme="minorHAnsi" w:cstheme="minorHAnsi"/>
          <w:w w:val="105"/>
          <w:sz w:val="24"/>
        </w:rPr>
        <w:t>analyzed</w:t>
      </w:r>
      <w:r w:rsidRPr="004B34E3">
        <w:rPr>
          <w:rFonts w:asciiTheme="minorHAnsi" w:hAnsiTheme="minorHAnsi" w:cstheme="minorHAnsi"/>
          <w:w w:val="105"/>
          <w:sz w:val="24"/>
        </w:rPr>
        <w:t xml:space="preserve"> by special bioinformatic software and the results are shown in dendrograms or phylogenetic trees. The 16S rRNA gene can be used to establish phylogenetic relationships among bacteria even when sequences are derived from previously </w:t>
      </w:r>
      <w:r w:rsidRPr="004B34E3">
        <w:rPr>
          <w:rFonts w:asciiTheme="minorHAnsi" w:hAnsiTheme="minorHAnsi" w:cstheme="minorHAnsi"/>
          <w:w w:val="105"/>
          <w:sz w:val="24"/>
        </w:rPr>
        <w:lastRenderedPageBreak/>
        <w:t>uncultivated and uncharacterized bacteria.</w:t>
      </w:r>
    </w:p>
    <w:p w14:paraId="3952C458"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noProof/>
          <w:w w:val="105"/>
          <w:sz w:val="24"/>
        </w:rPr>
        <w:drawing>
          <wp:inline distT="0" distB="0" distL="0" distR="0" wp14:anchorId="1CF1456D" wp14:editId="6F013100">
            <wp:extent cx="5330268" cy="7265193"/>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19" cstate="print"/>
                    <a:stretch>
                      <a:fillRect/>
                    </a:stretch>
                  </pic:blipFill>
                  <pic:spPr>
                    <a:xfrm>
                      <a:off x="0" y="0"/>
                      <a:ext cx="5330268" cy="7265193"/>
                    </a:xfrm>
                    <a:prstGeom prst="rect">
                      <a:avLst/>
                    </a:prstGeom>
                  </pic:spPr>
                </pic:pic>
              </a:graphicData>
            </a:graphic>
          </wp:inline>
        </w:drawing>
      </w:r>
    </w:p>
    <w:p w14:paraId="37433006"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279617AB" w14:textId="48D26F25" w:rsidR="001B3ED2" w:rsidRPr="004B34E3" w:rsidRDefault="00F73260" w:rsidP="004B34E3">
      <w:pPr>
        <w:pStyle w:val="BodyText"/>
        <w:spacing w:before="1" w:line="360" w:lineRule="auto"/>
        <w:ind w:left="540"/>
        <w:rPr>
          <w:rFonts w:asciiTheme="minorHAnsi" w:hAnsiTheme="minorHAnsi" w:cstheme="minorHAnsi"/>
          <w:w w:val="105"/>
          <w:sz w:val="24"/>
        </w:rPr>
      </w:pPr>
      <w:r>
        <w:rPr>
          <w:rFonts w:asciiTheme="minorHAnsi" w:hAnsiTheme="minorHAnsi" w:cstheme="minorHAnsi"/>
          <w:w w:val="105"/>
          <w:sz w:val="24"/>
        </w:rPr>
        <w:pict w14:anchorId="1BC1B501">
          <v:shape id="_x0000_s1071" type="#_x0000_t202" style="position:absolute;left:0;text-align:left;margin-left:122.25pt;margin-top:-7.9pt;width:372.25pt;height:55.5pt;z-index:15742464;mso-position-horizontal-relative:page" filled="f">
            <v:textbox inset="0,0,0,0">
              <w:txbxContent>
                <w:p w14:paraId="3752C915" w14:textId="77777777" w:rsidR="004114FD" w:rsidRDefault="004114FD">
                  <w:pPr>
                    <w:spacing w:before="77" w:line="273" w:lineRule="auto"/>
                    <w:ind w:left="144" w:right="138"/>
                    <w:jc w:val="both"/>
                    <w:rPr>
                      <w:sz w:val="18"/>
                    </w:rPr>
                  </w:pPr>
                  <w:r>
                    <w:rPr>
                      <w:sz w:val="18"/>
                    </w:rPr>
                    <w:t>Bacterial</w:t>
                  </w:r>
                  <w:r>
                    <w:rPr>
                      <w:spacing w:val="1"/>
                      <w:sz w:val="18"/>
                    </w:rPr>
                    <w:t xml:space="preserve"> </w:t>
                  </w:r>
                  <w:r>
                    <w:rPr>
                      <w:sz w:val="18"/>
                    </w:rPr>
                    <w:t>flora</w:t>
                  </w:r>
                  <w:r>
                    <w:rPr>
                      <w:spacing w:val="1"/>
                      <w:sz w:val="18"/>
                    </w:rPr>
                    <w:t xml:space="preserve"> </w:t>
                  </w:r>
                  <w:r>
                    <w:rPr>
                      <w:sz w:val="18"/>
                    </w:rPr>
                    <w:t>in</w:t>
                  </w:r>
                  <w:r>
                    <w:rPr>
                      <w:spacing w:val="1"/>
                      <w:sz w:val="18"/>
                    </w:rPr>
                    <w:t xml:space="preserve"> </w:t>
                  </w:r>
                  <w:r>
                    <w:rPr>
                      <w:sz w:val="18"/>
                    </w:rPr>
                    <w:t>endodontic</w:t>
                  </w:r>
                  <w:r>
                    <w:rPr>
                      <w:spacing w:val="1"/>
                      <w:sz w:val="18"/>
                    </w:rPr>
                    <w:t xml:space="preserve"> </w:t>
                  </w:r>
                  <w:r>
                    <w:rPr>
                      <w:sz w:val="18"/>
                    </w:rPr>
                    <w:t>infections.</w:t>
                  </w:r>
                  <w:r>
                    <w:rPr>
                      <w:spacing w:val="1"/>
                      <w:sz w:val="18"/>
                    </w:rPr>
                    <w:t xml:space="preserve"> </w:t>
                  </w:r>
                  <w:r>
                    <w:rPr>
                      <w:sz w:val="18"/>
                    </w:rPr>
                    <w:t>Phylogenetic</w:t>
                  </w:r>
                  <w:r>
                    <w:rPr>
                      <w:spacing w:val="1"/>
                      <w:sz w:val="18"/>
                    </w:rPr>
                    <w:t xml:space="preserve"> </w:t>
                  </w:r>
                  <w:r>
                    <w:rPr>
                      <w:sz w:val="18"/>
                    </w:rPr>
                    <w:t>tree</w:t>
                  </w:r>
                  <w:r>
                    <w:rPr>
                      <w:spacing w:val="1"/>
                      <w:sz w:val="18"/>
                    </w:rPr>
                    <w:t xml:space="preserve"> </w:t>
                  </w:r>
                  <w:r>
                    <w:rPr>
                      <w:sz w:val="18"/>
                    </w:rPr>
                    <w:t>based</w:t>
                  </w:r>
                  <w:r>
                    <w:rPr>
                      <w:spacing w:val="1"/>
                      <w:sz w:val="18"/>
                    </w:rPr>
                    <w:t xml:space="preserve"> </w:t>
                  </w:r>
                  <w:r>
                    <w:rPr>
                      <w:sz w:val="18"/>
                    </w:rPr>
                    <w:t>on</w:t>
                  </w:r>
                  <w:r>
                    <w:rPr>
                      <w:spacing w:val="1"/>
                      <w:sz w:val="18"/>
                    </w:rPr>
                    <w:t xml:space="preserve"> </w:t>
                  </w:r>
                  <w:r>
                    <w:rPr>
                      <w:sz w:val="18"/>
                    </w:rPr>
                    <w:t>16S</w:t>
                  </w:r>
                  <w:r>
                    <w:rPr>
                      <w:spacing w:val="1"/>
                      <w:sz w:val="18"/>
                    </w:rPr>
                    <w:t xml:space="preserve"> </w:t>
                  </w:r>
                  <w:r>
                    <w:rPr>
                      <w:sz w:val="18"/>
                    </w:rPr>
                    <w:t>rRNA</w:t>
                  </w:r>
                  <w:r>
                    <w:rPr>
                      <w:spacing w:val="1"/>
                      <w:sz w:val="18"/>
                    </w:rPr>
                    <w:t xml:space="preserve"> </w:t>
                  </w:r>
                  <w:r>
                    <w:rPr>
                      <w:sz w:val="18"/>
                    </w:rPr>
                    <w:t>gene</w:t>
                  </w:r>
                  <w:r>
                    <w:rPr>
                      <w:spacing w:val="1"/>
                      <w:sz w:val="18"/>
                    </w:rPr>
                    <w:t xml:space="preserve"> </w:t>
                  </w:r>
                  <w:r>
                    <w:rPr>
                      <w:sz w:val="18"/>
                    </w:rPr>
                    <w:t>comparisons</w:t>
                  </w:r>
                  <w:r>
                    <w:rPr>
                      <w:spacing w:val="1"/>
                      <w:sz w:val="18"/>
                    </w:rPr>
                    <w:t xml:space="preserve"> </w:t>
                  </w:r>
                  <w:r>
                    <w:rPr>
                      <w:sz w:val="18"/>
                    </w:rPr>
                    <w:t>showing</w:t>
                  </w:r>
                  <w:r>
                    <w:rPr>
                      <w:spacing w:val="1"/>
                      <w:sz w:val="18"/>
                    </w:rPr>
                    <w:t xml:space="preserve"> </w:t>
                  </w:r>
                  <w:r>
                    <w:rPr>
                      <w:sz w:val="18"/>
                    </w:rPr>
                    <w:t>several</w:t>
                  </w:r>
                  <w:r>
                    <w:rPr>
                      <w:spacing w:val="1"/>
                      <w:sz w:val="18"/>
                    </w:rPr>
                    <w:t xml:space="preserve"> </w:t>
                  </w:r>
                  <w:r>
                    <w:rPr>
                      <w:sz w:val="18"/>
                    </w:rPr>
                    <w:t>endodontic</w:t>
                  </w:r>
                  <w:r>
                    <w:rPr>
                      <w:spacing w:val="1"/>
                      <w:sz w:val="18"/>
                    </w:rPr>
                    <w:t xml:space="preserve"> </w:t>
                  </w:r>
                  <w:r>
                    <w:rPr>
                      <w:sz w:val="18"/>
                    </w:rPr>
                    <w:t>pathogens,</w:t>
                  </w:r>
                  <w:r>
                    <w:rPr>
                      <w:spacing w:val="40"/>
                      <w:sz w:val="18"/>
                    </w:rPr>
                    <w:t xml:space="preserve"> </w:t>
                  </w:r>
                  <w:r>
                    <w:rPr>
                      <w:sz w:val="18"/>
                    </w:rPr>
                    <w:t>their</w:t>
                  </w:r>
                  <w:r>
                    <w:rPr>
                      <w:spacing w:val="40"/>
                      <w:sz w:val="18"/>
                    </w:rPr>
                    <w:t xml:space="preserve"> </w:t>
                  </w:r>
                  <w:r>
                    <w:rPr>
                      <w:sz w:val="18"/>
                    </w:rPr>
                    <w:t>respective</w:t>
                  </w:r>
                  <w:r>
                    <w:rPr>
                      <w:spacing w:val="39"/>
                      <w:sz w:val="18"/>
                    </w:rPr>
                    <w:t xml:space="preserve"> </w:t>
                  </w:r>
                  <w:r>
                    <w:rPr>
                      <w:sz w:val="18"/>
                    </w:rPr>
                    <w:t>phyla,</w:t>
                  </w:r>
                  <w:r>
                    <w:rPr>
                      <w:spacing w:val="40"/>
                      <w:sz w:val="18"/>
                    </w:rPr>
                    <w:t xml:space="preserve"> </w:t>
                  </w:r>
                  <w:r>
                    <w:rPr>
                      <w:sz w:val="18"/>
                    </w:rPr>
                    <w:t>and</w:t>
                  </w:r>
                  <w:r>
                    <w:rPr>
                      <w:spacing w:val="40"/>
                      <w:sz w:val="18"/>
                    </w:rPr>
                    <w:t xml:space="preserve"> </w:t>
                  </w:r>
                  <w:r>
                    <w:rPr>
                      <w:sz w:val="18"/>
                    </w:rPr>
                    <w:t>the</w:t>
                  </w:r>
                  <w:r>
                    <w:rPr>
                      <w:spacing w:val="1"/>
                      <w:sz w:val="18"/>
                    </w:rPr>
                    <w:t xml:space="preserve"> </w:t>
                  </w:r>
                  <w:r>
                    <w:rPr>
                      <w:sz w:val="18"/>
                    </w:rPr>
                    <w:t>clinical conditions they have been associated with. Scale bar shows number of nucleotide</w:t>
                  </w:r>
                  <w:r>
                    <w:rPr>
                      <w:spacing w:val="1"/>
                      <w:sz w:val="18"/>
                    </w:rPr>
                    <w:t xml:space="preserve"> </w:t>
                  </w:r>
                  <w:r>
                    <w:rPr>
                      <w:sz w:val="18"/>
                    </w:rPr>
                    <w:t>substitutions</w:t>
                  </w:r>
                  <w:r>
                    <w:rPr>
                      <w:spacing w:val="6"/>
                      <w:sz w:val="18"/>
                    </w:rPr>
                    <w:t xml:space="preserve"> </w:t>
                  </w:r>
                  <w:r>
                    <w:rPr>
                      <w:sz w:val="18"/>
                    </w:rPr>
                    <w:t>per</w:t>
                  </w:r>
                  <w:r>
                    <w:rPr>
                      <w:spacing w:val="6"/>
                      <w:sz w:val="18"/>
                    </w:rPr>
                    <w:t xml:space="preserve"> </w:t>
                  </w:r>
                  <w:r>
                    <w:rPr>
                      <w:sz w:val="18"/>
                    </w:rPr>
                    <w:t>site</w:t>
                  </w:r>
                </w:p>
              </w:txbxContent>
            </v:textbox>
            <w10:wrap anchorx="page"/>
          </v:shape>
        </w:pict>
      </w:r>
    </w:p>
    <w:p w14:paraId="4416CB85" w14:textId="77777777" w:rsidR="001B3ED2" w:rsidRPr="004B34E3" w:rsidRDefault="001B3ED2" w:rsidP="004B34E3">
      <w:pPr>
        <w:pStyle w:val="BodyText"/>
        <w:spacing w:before="1" w:line="360" w:lineRule="auto"/>
        <w:ind w:left="540"/>
        <w:rPr>
          <w:rFonts w:asciiTheme="minorHAnsi" w:hAnsiTheme="minorHAnsi" w:cstheme="minorHAnsi"/>
          <w:w w:val="105"/>
          <w:sz w:val="24"/>
        </w:rPr>
        <w:sectPr w:rsidR="001B3ED2" w:rsidRPr="004B34E3">
          <w:pgSz w:w="11910" w:h="16840"/>
          <w:pgMar w:top="1520" w:right="940" w:bottom="1200" w:left="1260" w:header="0" w:footer="920" w:gutter="0"/>
          <w:cols w:space="720"/>
        </w:sectPr>
      </w:pPr>
    </w:p>
    <w:p w14:paraId="398A8356" w14:textId="77777777" w:rsidR="001B3ED2" w:rsidRPr="00A96508" w:rsidRDefault="00F12B67" w:rsidP="001F7A91">
      <w:pPr>
        <w:pStyle w:val="Heading1"/>
        <w:numPr>
          <w:ilvl w:val="0"/>
          <w:numId w:val="7"/>
        </w:numPr>
        <w:tabs>
          <w:tab w:val="left" w:pos="464"/>
        </w:tabs>
        <w:rPr>
          <w:rFonts w:asciiTheme="minorHAnsi" w:hAnsiTheme="minorHAnsi" w:cstheme="minorHAnsi"/>
          <w:w w:val="105"/>
          <w:sz w:val="24"/>
        </w:rPr>
      </w:pPr>
      <w:r w:rsidRPr="004B34E3">
        <w:rPr>
          <w:rFonts w:asciiTheme="minorHAnsi" w:hAnsiTheme="minorHAnsi" w:cstheme="minorHAnsi"/>
          <w:sz w:val="28"/>
        </w:rPr>
        <w:lastRenderedPageBreak/>
        <w:t>Denaturing gradient gel electrophoresis (DGGE)</w:t>
      </w:r>
    </w:p>
    <w:p w14:paraId="0FC44B87" w14:textId="77777777" w:rsidR="00A96508" w:rsidRPr="004B34E3" w:rsidRDefault="00A96508" w:rsidP="00A96508">
      <w:pPr>
        <w:pStyle w:val="Heading1"/>
        <w:tabs>
          <w:tab w:val="left" w:pos="464"/>
        </w:tabs>
        <w:ind w:left="720" w:firstLine="0"/>
        <w:rPr>
          <w:rFonts w:asciiTheme="minorHAnsi" w:hAnsiTheme="minorHAnsi" w:cstheme="minorHAnsi"/>
          <w:w w:val="105"/>
          <w:sz w:val="24"/>
        </w:rPr>
      </w:pPr>
    </w:p>
    <w:p w14:paraId="70321ADB" w14:textId="6CF67252" w:rsidR="001B3ED2"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It is one of the genetic fingerprinting techniques that </w:t>
      </w:r>
      <w:r w:rsidR="004754F6">
        <w:rPr>
          <w:rFonts w:asciiTheme="minorHAnsi" w:hAnsiTheme="minorHAnsi" w:cstheme="minorHAnsi"/>
          <w:w w:val="105"/>
          <w:sz w:val="24"/>
        </w:rPr>
        <w:t>determine</w:t>
      </w:r>
      <w:r w:rsidRPr="004B34E3">
        <w:rPr>
          <w:rFonts w:asciiTheme="minorHAnsi" w:hAnsiTheme="minorHAnsi" w:cstheme="minorHAnsi"/>
          <w:w w:val="105"/>
          <w:sz w:val="24"/>
        </w:rPr>
        <w:t xml:space="preserve"> the diversity of various microbial species living in diverse ecosystems and to understand microbial community </w:t>
      </w:r>
      <w:proofErr w:type="spellStart"/>
      <w:r w:rsidR="00F73260">
        <w:rPr>
          <w:rFonts w:asciiTheme="minorHAnsi" w:hAnsiTheme="minorHAnsi" w:cstheme="minorHAnsi"/>
          <w:w w:val="105"/>
          <w:sz w:val="24"/>
        </w:rPr>
        <w:t>behaviour</w:t>
      </w:r>
      <w:proofErr w:type="spellEnd"/>
      <w:r w:rsidRPr="004B34E3">
        <w:rPr>
          <w:rFonts w:asciiTheme="minorHAnsi" w:hAnsiTheme="minorHAnsi" w:cstheme="minorHAnsi"/>
          <w:w w:val="105"/>
          <w:sz w:val="24"/>
        </w:rPr>
        <w:t xml:space="preserve"> over time. The DGGE technique is based on electrophoresis of PCR-amplified gene (usually 16S rRNA) fragments in polyacrylamide gels that contain an increasing gradient of DNA denaturants (mixture of urea and formamide). During </w:t>
      </w:r>
      <w:r w:rsidR="004754F6">
        <w:rPr>
          <w:rFonts w:asciiTheme="minorHAnsi" w:hAnsiTheme="minorHAnsi" w:cstheme="minorHAnsi"/>
          <w:w w:val="105"/>
          <w:sz w:val="24"/>
        </w:rPr>
        <w:t xml:space="preserve">the </w:t>
      </w:r>
      <w:r w:rsidRPr="004B34E3">
        <w:rPr>
          <w:rFonts w:asciiTheme="minorHAnsi" w:hAnsiTheme="minorHAnsi" w:cstheme="minorHAnsi"/>
          <w:w w:val="105"/>
          <w:sz w:val="24"/>
        </w:rPr>
        <w:t xml:space="preserve">migration of PCR products in the gel, at certain points in the gel due to varying concentration </w:t>
      </w:r>
      <w:r w:rsidR="004754F6">
        <w:rPr>
          <w:rFonts w:asciiTheme="minorHAnsi" w:hAnsiTheme="minorHAnsi" w:cstheme="minorHAnsi"/>
          <w:w w:val="105"/>
          <w:sz w:val="24"/>
        </w:rPr>
        <w:t>gradients</w:t>
      </w:r>
      <w:r w:rsidRPr="004B34E3">
        <w:rPr>
          <w:rFonts w:asciiTheme="minorHAnsi" w:hAnsiTheme="minorHAnsi" w:cstheme="minorHAnsi"/>
          <w:w w:val="105"/>
          <w:sz w:val="24"/>
        </w:rPr>
        <w:t xml:space="preserve">, it will become partially or fully denatured. Partial denaturation causes a significant decrease in the electrophoretic mobility of the DNA molecule. Different molecules with varying sequences may have a different melting </w:t>
      </w:r>
      <w:r w:rsidR="00B20354">
        <w:rPr>
          <w:rFonts w:asciiTheme="minorHAnsi" w:hAnsiTheme="minorHAnsi" w:cstheme="minorHAnsi"/>
          <w:w w:val="105"/>
          <w:sz w:val="24"/>
        </w:rPr>
        <w:t>behavior</w:t>
      </w:r>
      <w:r w:rsidRPr="004B34E3">
        <w:rPr>
          <w:rFonts w:asciiTheme="minorHAnsi" w:hAnsiTheme="minorHAnsi" w:cstheme="minorHAnsi"/>
          <w:w w:val="105"/>
          <w:sz w:val="24"/>
        </w:rPr>
        <w:t xml:space="preserve"> and will therefore stop migrating at different positions in the gel. The position in the gel at which the DNA melts will be determined by its nucleotide sequence and composition. DNA bands in DGGE can be visualized using ethidium bromide, SYBR Green, or silver staining (Chakraborty et al., 2014).</w:t>
      </w:r>
    </w:p>
    <w:p w14:paraId="4FCBD46D" w14:textId="77777777" w:rsidR="001F7A91" w:rsidRPr="004B34E3" w:rsidRDefault="001F7A91" w:rsidP="004B34E3">
      <w:pPr>
        <w:pStyle w:val="BodyText"/>
        <w:spacing w:before="1" w:line="360" w:lineRule="auto"/>
        <w:ind w:left="540"/>
        <w:rPr>
          <w:rFonts w:asciiTheme="minorHAnsi" w:hAnsiTheme="minorHAnsi" w:cstheme="minorHAnsi"/>
          <w:w w:val="105"/>
          <w:sz w:val="24"/>
        </w:rPr>
      </w:pPr>
    </w:p>
    <w:p w14:paraId="4D3D250A"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noProof/>
          <w:w w:val="105"/>
          <w:sz w:val="24"/>
        </w:rPr>
        <w:drawing>
          <wp:inline distT="0" distB="0" distL="0" distR="0" wp14:anchorId="71499F55" wp14:editId="30727405">
            <wp:extent cx="5500421" cy="2293620"/>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20" cstate="print"/>
                    <a:stretch>
                      <a:fillRect/>
                    </a:stretch>
                  </pic:blipFill>
                  <pic:spPr>
                    <a:xfrm>
                      <a:off x="0" y="0"/>
                      <a:ext cx="5500421" cy="2293620"/>
                    </a:xfrm>
                    <a:prstGeom prst="rect">
                      <a:avLst/>
                    </a:prstGeom>
                  </pic:spPr>
                </pic:pic>
              </a:graphicData>
            </a:graphic>
          </wp:inline>
        </w:drawing>
      </w:r>
    </w:p>
    <w:p w14:paraId="3DC2D69C"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76B000AD" w14:textId="667F1DD6" w:rsidR="001B3ED2" w:rsidRPr="004B34E3" w:rsidRDefault="001B3ED2" w:rsidP="004B34E3">
      <w:pPr>
        <w:pStyle w:val="BodyText"/>
        <w:spacing w:before="1" w:line="360" w:lineRule="auto"/>
        <w:ind w:left="540"/>
        <w:rPr>
          <w:rFonts w:asciiTheme="minorHAnsi" w:hAnsiTheme="minorHAnsi" w:cstheme="minorHAnsi"/>
          <w:w w:val="105"/>
          <w:sz w:val="24"/>
        </w:rPr>
      </w:pPr>
    </w:p>
    <w:p w14:paraId="5916DD2A"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5D2F78E3" w14:textId="4C2A9ACF"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In DGGE, multiple samples can be </w:t>
      </w:r>
      <w:r w:rsidR="00B20354">
        <w:rPr>
          <w:rFonts w:asciiTheme="minorHAnsi" w:hAnsiTheme="minorHAnsi" w:cstheme="minorHAnsi"/>
          <w:w w:val="105"/>
          <w:sz w:val="24"/>
        </w:rPr>
        <w:t>analyzed</w:t>
      </w:r>
      <w:r w:rsidRPr="004B34E3">
        <w:rPr>
          <w:rFonts w:asciiTheme="minorHAnsi" w:hAnsiTheme="minorHAnsi" w:cstheme="minorHAnsi"/>
          <w:w w:val="105"/>
          <w:sz w:val="24"/>
        </w:rPr>
        <w:t xml:space="preserve"> concurrently, so that it helps to verify differences in microbial populations and the efficacy of various antimicrobials before and after </w:t>
      </w:r>
      <w:r w:rsidR="00B20354">
        <w:rPr>
          <w:rFonts w:asciiTheme="minorHAnsi" w:hAnsiTheme="minorHAnsi" w:cstheme="minorHAnsi"/>
          <w:w w:val="105"/>
          <w:sz w:val="24"/>
        </w:rPr>
        <w:t>their</w:t>
      </w:r>
      <w:r w:rsidRPr="004B34E3">
        <w:rPr>
          <w:rFonts w:asciiTheme="minorHAnsi" w:hAnsiTheme="minorHAnsi" w:cstheme="minorHAnsi"/>
          <w:w w:val="105"/>
          <w:sz w:val="24"/>
        </w:rPr>
        <w:t xml:space="preserve"> usage at various sites. Specific bands can also</w:t>
      </w:r>
    </w:p>
    <w:p w14:paraId="013D7423" w14:textId="77777777" w:rsidR="001B3ED2" w:rsidRPr="004B34E3" w:rsidRDefault="001B3ED2" w:rsidP="004B34E3">
      <w:pPr>
        <w:pStyle w:val="BodyText"/>
        <w:spacing w:before="1" w:line="360" w:lineRule="auto"/>
        <w:ind w:left="540"/>
        <w:rPr>
          <w:rFonts w:asciiTheme="minorHAnsi" w:hAnsiTheme="minorHAnsi" w:cstheme="minorHAnsi"/>
          <w:w w:val="105"/>
          <w:sz w:val="24"/>
        </w:rPr>
        <w:sectPr w:rsidR="001B3ED2" w:rsidRPr="004B34E3">
          <w:pgSz w:w="11910" w:h="16840"/>
          <w:pgMar w:top="1440" w:right="940" w:bottom="1200" w:left="1260" w:header="0" w:footer="920" w:gutter="0"/>
          <w:cols w:space="720"/>
        </w:sectPr>
      </w:pPr>
    </w:p>
    <w:p w14:paraId="2D9D03C2" w14:textId="1981C32E"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lastRenderedPageBreak/>
        <w:t>be excised from the gels, re-amplified</w:t>
      </w:r>
      <w:r w:rsidR="00B20354">
        <w:rPr>
          <w:rFonts w:asciiTheme="minorHAnsi" w:hAnsiTheme="minorHAnsi" w:cstheme="minorHAnsi"/>
          <w:w w:val="105"/>
          <w:sz w:val="24"/>
        </w:rPr>
        <w:t>,</w:t>
      </w:r>
      <w:r w:rsidRPr="004B34E3">
        <w:rPr>
          <w:rFonts w:asciiTheme="minorHAnsi" w:hAnsiTheme="minorHAnsi" w:cstheme="minorHAnsi"/>
          <w:w w:val="105"/>
          <w:sz w:val="24"/>
        </w:rPr>
        <w:t xml:space="preserve"> and sequenced to allow microbial identification. Temperature Gradient Gel Electrophoresis (TGGE) also uses the same principle as DGGE, except for the fact that the gradient is temperature rather than chemical denaturants.</w:t>
      </w:r>
    </w:p>
    <w:p w14:paraId="7BA60749"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Terminal restriction fragment length polymorphism</w:t>
      </w:r>
    </w:p>
    <w:p w14:paraId="2B7270BF"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605C1CF0" w14:textId="3FA4B1AC"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Another method for the analysis of diverse microbial </w:t>
      </w:r>
      <w:r w:rsidR="00B20354">
        <w:rPr>
          <w:rFonts w:asciiTheme="minorHAnsi" w:hAnsiTheme="minorHAnsi" w:cstheme="minorHAnsi"/>
          <w:w w:val="105"/>
          <w:sz w:val="24"/>
        </w:rPr>
        <w:t>communities</w:t>
      </w:r>
      <w:r w:rsidRPr="004B34E3">
        <w:rPr>
          <w:rFonts w:asciiTheme="minorHAnsi" w:hAnsiTheme="minorHAnsi" w:cstheme="minorHAnsi"/>
          <w:w w:val="105"/>
          <w:sz w:val="24"/>
        </w:rPr>
        <w:t xml:space="preserve"> is Terminal restriction fragment length polymorphism(T-RFLP) which measures the size polymorphism of terminal restriction fragments from a PCR-amplified marker. In this technique, </w:t>
      </w:r>
      <w:r w:rsidR="00B20354">
        <w:rPr>
          <w:rFonts w:asciiTheme="minorHAnsi" w:hAnsiTheme="minorHAnsi" w:cstheme="minorHAnsi"/>
          <w:w w:val="105"/>
          <w:sz w:val="24"/>
        </w:rPr>
        <w:t xml:space="preserve">the </w:t>
      </w:r>
      <w:r w:rsidRPr="004B34E3">
        <w:rPr>
          <w:rFonts w:asciiTheme="minorHAnsi" w:hAnsiTheme="minorHAnsi" w:cstheme="minorHAnsi"/>
          <w:w w:val="105"/>
          <w:sz w:val="24"/>
        </w:rPr>
        <w:t xml:space="preserve">initial step is PCR </w:t>
      </w:r>
      <w:r w:rsidR="00B20354">
        <w:rPr>
          <w:rFonts w:asciiTheme="minorHAnsi" w:hAnsiTheme="minorHAnsi" w:cstheme="minorHAnsi"/>
          <w:w w:val="105"/>
          <w:sz w:val="24"/>
        </w:rPr>
        <w:t>which</w:t>
      </w:r>
      <w:r w:rsidRPr="004B34E3">
        <w:rPr>
          <w:rFonts w:asciiTheme="minorHAnsi" w:hAnsiTheme="minorHAnsi" w:cstheme="minorHAnsi"/>
          <w:w w:val="105"/>
          <w:sz w:val="24"/>
        </w:rPr>
        <w:t xml:space="preserve"> causes the amplification of </w:t>
      </w:r>
      <w:r w:rsidR="00B20354">
        <w:rPr>
          <w:rFonts w:asciiTheme="minorHAnsi" w:hAnsiTheme="minorHAnsi" w:cstheme="minorHAnsi"/>
          <w:w w:val="105"/>
          <w:sz w:val="24"/>
        </w:rPr>
        <w:t xml:space="preserve">the </w:t>
      </w:r>
      <w:r w:rsidRPr="004B34E3">
        <w:rPr>
          <w:rFonts w:asciiTheme="minorHAnsi" w:hAnsiTheme="minorHAnsi" w:cstheme="minorHAnsi"/>
          <w:w w:val="105"/>
          <w:sz w:val="24"/>
        </w:rPr>
        <w:t xml:space="preserve">16S rRNA gene from different species in the sample. One of the PCR primers is </w:t>
      </w:r>
      <w:r w:rsidR="00F73260">
        <w:rPr>
          <w:rFonts w:asciiTheme="minorHAnsi" w:hAnsiTheme="minorHAnsi" w:cstheme="minorHAnsi"/>
          <w:w w:val="105"/>
          <w:sz w:val="24"/>
        </w:rPr>
        <w:t>labelled</w:t>
      </w:r>
      <w:r w:rsidRPr="004B34E3">
        <w:rPr>
          <w:rFonts w:asciiTheme="minorHAnsi" w:hAnsiTheme="minorHAnsi" w:cstheme="minorHAnsi"/>
          <w:w w:val="105"/>
          <w:sz w:val="24"/>
        </w:rPr>
        <w:t xml:space="preserve"> with a fluorescent dye. Then the </w:t>
      </w:r>
      <w:r w:rsidR="00B20354">
        <w:rPr>
          <w:rFonts w:asciiTheme="minorHAnsi" w:hAnsiTheme="minorHAnsi" w:cstheme="minorHAnsi"/>
          <w:w w:val="105"/>
          <w:sz w:val="24"/>
        </w:rPr>
        <w:t>PCR-amplified</w:t>
      </w:r>
      <w:r w:rsidRPr="004B34E3">
        <w:rPr>
          <w:rFonts w:asciiTheme="minorHAnsi" w:hAnsiTheme="minorHAnsi" w:cstheme="minorHAnsi"/>
          <w:w w:val="105"/>
          <w:sz w:val="24"/>
        </w:rPr>
        <w:t xml:space="preserve"> products are digested with restriction enzymes that </w:t>
      </w:r>
      <w:r w:rsidR="00B20354">
        <w:rPr>
          <w:rFonts w:asciiTheme="minorHAnsi" w:hAnsiTheme="minorHAnsi" w:cstheme="minorHAnsi"/>
          <w:w w:val="105"/>
          <w:sz w:val="24"/>
        </w:rPr>
        <w:t>produce</w:t>
      </w:r>
      <w:r w:rsidRPr="004B34E3">
        <w:rPr>
          <w:rFonts w:asciiTheme="minorHAnsi" w:hAnsiTheme="minorHAnsi" w:cstheme="minorHAnsi"/>
          <w:w w:val="105"/>
          <w:sz w:val="24"/>
        </w:rPr>
        <w:t xml:space="preserve"> fluorescently active terminal fragments of different lengths. These fragments are separated on high-resolution sequencing gel electrophoresis in an automated DNA sequencer to read both the size and the intensity of terminally </w:t>
      </w:r>
      <w:r w:rsidR="00F73260">
        <w:rPr>
          <w:rFonts w:asciiTheme="minorHAnsi" w:hAnsiTheme="minorHAnsi" w:cstheme="minorHAnsi"/>
          <w:w w:val="105"/>
          <w:sz w:val="24"/>
        </w:rPr>
        <w:t>labelled</w:t>
      </w:r>
      <w:r w:rsidRPr="004B34E3">
        <w:rPr>
          <w:rFonts w:asciiTheme="minorHAnsi" w:hAnsiTheme="minorHAnsi" w:cstheme="minorHAnsi"/>
          <w:w w:val="105"/>
          <w:sz w:val="24"/>
        </w:rPr>
        <w:t xml:space="preserve"> restriction fragments(T-RF), creating a typical profile (Cho &amp; Tiedje, 2001).</w:t>
      </w:r>
    </w:p>
    <w:p w14:paraId="4E19F87B" w14:textId="52A971A4" w:rsidR="001B3ED2" w:rsidRPr="004B34E3" w:rsidRDefault="00B20354" w:rsidP="001F7A91">
      <w:pPr>
        <w:pStyle w:val="BodyText"/>
        <w:spacing w:before="1" w:line="360" w:lineRule="auto"/>
        <w:ind w:left="540"/>
        <w:rPr>
          <w:rFonts w:asciiTheme="minorHAnsi" w:hAnsiTheme="minorHAnsi" w:cstheme="minorHAnsi"/>
          <w:w w:val="105"/>
          <w:sz w:val="24"/>
        </w:rPr>
      </w:pPr>
      <w:r>
        <w:rPr>
          <w:rFonts w:asciiTheme="minorHAnsi" w:hAnsiTheme="minorHAnsi" w:cstheme="minorHAnsi"/>
          <w:w w:val="105"/>
          <w:sz w:val="24"/>
        </w:rPr>
        <w:t>The electrophoretogram</w:t>
      </w:r>
      <w:r w:rsidR="00F12B67" w:rsidRPr="004B34E3">
        <w:rPr>
          <w:rFonts w:asciiTheme="minorHAnsi" w:hAnsiTheme="minorHAnsi" w:cstheme="minorHAnsi"/>
          <w:w w:val="105"/>
          <w:sz w:val="24"/>
        </w:rPr>
        <w:t xml:space="preserve"> represents the profile of a microbial community as a series of peaks varying in migration distance. In such a profile, size is represented on the horizontal axis</w:t>
      </w:r>
      <w:r>
        <w:rPr>
          <w:rFonts w:asciiTheme="minorHAnsi" w:hAnsiTheme="minorHAnsi" w:cstheme="minorHAnsi"/>
          <w:w w:val="105"/>
          <w:sz w:val="24"/>
        </w:rPr>
        <w:t>,</w:t>
      </w:r>
      <w:r w:rsidR="00F12B67" w:rsidRPr="004B34E3">
        <w:rPr>
          <w:rFonts w:asciiTheme="minorHAnsi" w:hAnsiTheme="minorHAnsi" w:cstheme="minorHAnsi"/>
          <w:w w:val="105"/>
          <w:sz w:val="24"/>
        </w:rPr>
        <w:t xml:space="preserve"> and intensity is represented on the vertical axis. In theory, each T-RF represents a single species. Extensive databases exist for 16S rRNA gene sequences and can be used to identify all T-RFs predicted from known sequences, considering a given set of primers and restriction enzymes. T-RF lengths are predicted by finding the restriction site closest to the site where the </w:t>
      </w:r>
      <w:r w:rsidR="00F73260">
        <w:rPr>
          <w:rFonts w:asciiTheme="minorHAnsi" w:hAnsiTheme="minorHAnsi" w:cstheme="minorHAnsi"/>
          <w:w w:val="105"/>
          <w:sz w:val="24"/>
        </w:rPr>
        <w:t>labelled</w:t>
      </w:r>
      <w:r w:rsidR="00F12B67" w:rsidRPr="004B34E3">
        <w:rPr>
          <w:rFonts w:asciiTheme="minorHAnsi" w:hAnsiTheme="minorHAnsi" w:cstheme="minorHAnsi"/>
          <w:w w:val="105"/>
          <w:sz w:val="24"/>
        </w:rPr>
        <w:t xml:space="preserve"> primer will anneal and counting the number of nucleotides in between. Multiple restriction enzymes (four or five) are usually necessary to provide reliable identification since distinct species may generate</w:t>
      </w:r>
      <w:r w:rsidR="001F7A91">
        <w:rPr>
          <w:rFonts w:asciiTheme="minorHAnsi" w:hAnsiTheme="minorHAnsi" w:cstheme="minorHAnsi"/>
          <w:w w:val="105"/>
          <w:sz w:val="24"/>
        </w:rPr>
        <w:t xml:space="preserve"> t</w:t>
      </w:r>
      <w:r w:rsidR="00F12B67" w:rsidRPr="004B34E3">
        <w:rPr>
          <w:rFonts w:asciiTheme="minorHAnsi" w:hAnsiTheme="minorHAnsi" w:cstheme="minorHAnsi"/>
          <w:w w:val="105"/>
          <w:sz w:val="24"/>
        </w:rPr>
        <w:t>he same T-RF when only one enzyme is used (Chakraborty et al., 2014; Fouad, 2009).</w:t>
      </w:r>
    </w:p>
    <w:p w14:paraId="555E5488"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noProof/>
          <w:w w:val="105"/>
          <w:sz w:val="24"/>
        </w:rPr>
        <w:lastRenderedPageBreak/>
        <w:drawing>
          <wp:anchor distT="0" distB="0" distL="0" distR="0" simplePos="0" relativeHeight="251657216" behindDoc="0" locked="0" layoutInCell="1" allowOverlap="1" wp14:anchorId="31D9AC46" wp14:editId="06B2C5B6">
            <wp:simplePos x="0" y="0"/>
            <wp:positionH relativeFrom="page">
              <wp:posOffset>1606296</wp:posOffset>
            </wp:positionH>
            <wp:positionV relativeFrom="paragraph">
              <wp:posOffset>103242</wp:posOffset>
            </wp:positionV>
            <wp:extent cx="4329118" cy="2482977"/>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21" cstate="print"/>
                    <a:stretch>
                      <a:fillRect/>
                    </a:stretch>
                  </pic:blipFill>
                  <pic:spPr>
                    <a:xfrm>
                      <a:off x="0" y="0"/>
                      <a:ext cx="4329118" cy="2482977"/>
                    </a:xfrm>
                    <a:prstGeom prst="rect">
                      <a:avLst/>
                    </a:prstGeom>
                  </pic:spPr>
                </pic:pic>
              </a:graphicData>
            </a:graphic>
          </wp:anchor>
        </w:drawing>
      </w:r>
    </w:p>
    <w:p w14:paraId="1EDDDB0C"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032DADC7" w14:textId="77777777" w:rsidR="001B3ED2" w:rsidRPr="004B34E3" w:rsidRDefault="001B3ED2" w:rsidP="004B34E3">
      <w:pPr>
        <w:pStyle w:val="BodyText"/>
        <w:spacing w:before="1" w:line="360" w:lineRule="auto"/>
        <w:ind w:left="540"/>
        <w:rPr>
          <w:rFonts w:asciiTheme="minorHAnsi" w:hAnsiTheme="minorHAnsi" w:cstheme="minorHAnsi"/>
          <w:w w:val="105"/>
          <w:sz w:val="24"/>
        </w:rPr>
      </w:pPr>
    </w:p>
    <w:p w14:paraId="0A706B0F" w14:textId="77777777" w:rsidR="001B3ED2" w:rsidRDefault="00F12B67" w:rsidP="001F7A91">
      <w:pPr>
        <w:pStyle w:val="Heading1"/>
        <w:numPr>
          <w:ilvl w:val="0"/>
          <w:numId w:val="7"/>
        </w:numPr>
        <w:tabs>
          <w:tab w:val="left" w:pos="464"/>
        </w:tabs>
        <w:rPr>
          <w:rFonts w:asciiTheme="minorHAnsi" w:hAnsiTheme="minorHAnsi" w:cstheme="minorHAnsi"/>
          <w:sz w:val="28"/>
        </w:rPr>
      </w:pPr>
      <w:r w:rsidRPr="004B34E3">
        <w:rPr>
          <w:rFonts w:asciiTheme="minorHAnsi" w:hAnsiTheme="minorHAnsi" w:cstheme="minorHAnsi"/>
          <w:sz w:val="28"/>
        </w:rPr>
        <w:t>DNA-DNA Hybridization Assay</w:t>
      </w:r>
    </w:p>
    <w:p w14:paraId="430F3DAE" w14:textId="77777777" w:rsidR="00A96508" w:rsidRPr="004B34E3" w:rsidRDefault="00A96508" w:rsidP="00A96508">
      <w:pPr>
        <w:pStyle w:val="Heading1"/>
        <w:tabs>
          <w:tab w:val="left" w:pos="464"/>
        </w:tabs>
        <w:ind w:left="720" w:firstLine="0"/>
        <w:rPr>
          <w:rFonts w:asciiTheme="minorHAnsi" w:hAnsiTheme="minorHAnsi" w:cstheme="minorHAnsi"/>
          <w:sz w:val="28"/>
        </w:rPr>
      </w:pPr>
    </w:p>
    <w:p w14:paraId="311D539D" w14:textId="566DF49E"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DNA–DNA hybridization methodology is the process of annealing the complementary bases of two </w:t>
      </w:r>
      <w:r w:rsidR="00B20354">
        <w:rPr>
          <w:rFonts w:asciiTheme="minorHAnsi" w:hAnsiTheme="minorHAnsi" w:cstheme="minorHAnsi"/>
          <w:w w:val="105"/>
          <w:sz w:val="24"/>
        </w:rPr>
        <w:t>single-stranded</w:t>
      </w:r>
      <w:r w:rsidRPr="004B34E3">
        <w:rPr>
          <w:rFonts w:asciiTheme="minorHAnsi" w:hAnsiTheme="minorHAnsi" w:cstheme="minorHAnsi"/>
          <w:w w:val="105"/>
          <w:sz w:val="24"/>
        </w:rPr>
        <w:t xml:space="preserve"> DNA molecules. These DNA probes are </w:t>
      </w:r>
      <w:r w:rsidR="00B20354">
        <w:rPr>
          <w:rFonts w:asciiTheme="minorHAnsi" w:hAnsiTheme="minorHAnsi" w:cstheme="minorHAnsi"/>
          <w:w w:val="105"/>
          <w:sz w:val="24"/>
        </w:rPr>
        <w:t>labeled</w:t>
      </w:r>
      <w:r w:rsidRPr="004B34E3">
        <w:rPr>
          <w:rFonts w:asciiTheme="minorHAnsi" w:hAnsiTheme="minorHAnsi" w:cstheme="minorHAnsi"/>
          <w:w w:val="105"/>
          <w:sz w:val="24"/>
        </w:rPr>
        <w:t xml:space="preserve"> with an enzyme, radioactive isotope</w:t>
      </w:r>
      <w:r w:rsidR="00B20354">
        <w:rPr>
          <w:rFonts w:asciiTheme="minorHAnsi" w:hAnsiTheme="minorHAnsi" w:cstheme="minorHAnsi"/>
          <w:w w:val="105"/>
          <w:sz w:val="24"/>
        </w:rPr>
        <w:t>,</w:t>
      </w:r>
      <w:r w:rsidRPr="004B34E3">
        <w:rPr>
          <w:rFonts w:asciiTheme="minorHAnsi" w:hAnsiTheme="minorHAnsi" w:cstheme="minorHAnsi"/>
          <w:w w:val="105"/>
          <w:sz w:val="24"/>
        </w:rPr>
        <w:t xml:space="preserve"> or a chemiluminescence reporter that can bind to their complementary nucleic acid sequences forming a new duplex molecule. The </w:t>
      </w:r>
      <w:r w:rsidR="00F73260">
        <w:rPr>
          <w:rFonts w:asciiTheme="minorHAnsi" w:hAnsiTheme="minorHAnsi" w:cstheme="minorHAnsi"/>
          <w:w w:val="105"/>
          <w:sz w:val="24"/>
        </w:rPr>
        <w:t>labelled</w:t>
      </w:r>
      <w:r w:rsidRPr="004B34E3">
        <w:rPr>
          <w:rFonts w:asciiTheme="minorHAnsi" w:hAnsiTheme="minorHAnsi" w:cstheme="minorHAnsi"/>
          <w:w w:val="105"/>
          <w:sz w:val="24"/>
        </w:rPr>
        <w:t xml:space="preserve"> duplex can then be detected.</w:t>
      </w:r>
    </w:p>
    <w:p w14:paraId="4D1D7B06" w14:textId="2B93DE3E"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Probes can be constructed from either whole genomic DNA or oligonucleotides. Whole genomic probes are more likely to cross-react with non-targeted microorganisms due to the presence of homologous sequences between different species. Oligonucleotide probes based on signature sequences of specific genes (such as the 16S rRNA gene) may display higher specificity since the known probe sequence allows calculation of stringent hybridization temperatures and mismatches are not tolerated due to the considerable reduction of bond strength between the short probe and the target.</w:t>
      </w:r>
    </w:p>
    <w:p w14:paraId="0F48AB8A"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Also, oligonucleotide probes can differentiate between closely related species or even subspecies and can be designed to detect as-yet-uncultivated bacteria (Cho &amp; Tiedje, 2001).</w:t>
      </w:r>
    </w:p>
    <w:p w14:paraId="71E99848" w14:textId="2560C58A" w:rsidR="001B3ED2" w:rsidRDefault="00F12B67" w:rsidP="004B34E3">
      <w:pPr>
        <w:pStyle w:val="BodyText"/>
        <w:spacing w:before="1" w:line="360" w:lineRule="auto"/>
        <w:ind w:left="540"/>
        <w:rPr>
          <w:rFonts w:asciiTheme="minorHAnsi" w:hAnsiTheme="minorHAnsi" w:cstheme="minorHAnsi"/>
          <w:w w:val="105"/>
          <w:sz w:val="24"/>
        </w:rPr>
      </w:pPr>
      <w:proofErr w:type="spellStart"/>
      <w:r w:rsidRPr="004B34E3">
        <w:rPr>
          <w:rFonts w:asciiTheme="minorHAnsi" w:hAnsiTheme="minorHAnsi" w:cstheme="minorHAnsi"/>
          <w:w w:val="105"/>
          <w:sz w:val="24"/>
        </w:rPr>
        <w:t>Socransky</w:t>
      </w:r>
      <w:proofErr w:type="spellEnd"/>
      <w:r w:rsidRPr="004B34E3">
        <w:rPr>
          <w:rFonts w:asciiTheme="minorHAnsi" w:hAnsiTheme="minorHAnsi" w:cstheme="minorHAnsi"/>
          <w:w w:val="105"/>
          <w:sz w:val="24"/>
        </w:rPr>
        <w:t xml:space="preserve"> et al. (1994) introduced a method for hybridizing large numbers of DNA samples against large numbers of </w:t>
      </w:r>
      <w:r w:rsidR="00B20354">
        <w:rPr>
          <w:rFonts w:asciiTheme="minorHAnsi" w:hAnsiTheme="minorHAnsi" w:cstheme="minorHAnsi"/>
          <w:w w:val="105"/>
          <w:sz w:val="24"/>
        </w:rPr>
        <w:t>digoxigenin-labeled</w:t>
      </w:r>
      <w:r w:rsidRPr="004B34E3">
        <w:rPr>
          <w:rFonts w:asciiTheme="minorHAnsi" w:hAnsiTheme="minorHAnsi" w:cstheme="minorHAnsi"/>
          <w:w w:val="105"/>
          <w:sz w:val="24"/>
        </w:rPr>
        <w:t xml:space="preserve"> whole genomic DNA or 16S rDNA-based oligonucleotide probes on a single support membrane—the checkerboard DNA-</w:t>
      </w:r>
      <w:r w:rsidRPr="004B34E3">
        <w:rPr>
          <w:rFonts w:asciiTheme="minorHAnsi" w:hAnsiTheme="minorHAnsi" w:cstheme="minorHAnsi"/>
          <w:w w:val="105"/>
          <w:sz w:val="24"/>
        </w:rPr>
        <w:lastRenderedPageBreak/>
        <w:t xml:space="preserve">DNA hybridization method. It permits the simultaneous determination of the presence of a multitude of bacterial species in single or multiple clinical samples. It is particularly applicable in </w:t>
      </w:r>
      <w:r w:rsidR="00B20354">
        <w:rPr>
          <w:rFonts w:asciiTheme="minorHAnsi" w:hAnsiTheme="minorHAnsi" w:cstheme="minorHAnsi"/>
          <w:w w:val="105"/>
          <w:sz w:val="24"/>
        </w:rPr>
        <w:t>large-scale</w:t>
      </w:r>
      <w:r w:rsidRPr="004B34E3">
        <w:rPr>
          <w:rFonts w:asciiTheme="minorHAnsi" w:hAnsiTheme="minorHAnsi" w:cstheme="minorHAnsi"/>
          <w:w w:val="105"/>
          <w:sz w:val="24"/>
        </w:rPr>
        <w:t xml:space="preserve"> epidemiological research.</w:t>
      </w:r>
    </w:p>
    <w:p w14:paraId="61FA7090" w14:textId="77777777" w:rsidR="001F7A91" w:rsidRPr="004B34E3" w:rsidRDefault="001F7A91" w:rsidP="004B34E3">
      <w:pPr>
        <w:pStyle w:val="BodyText"/>
        <w:spacing w:before="1" w:line="360" w:lineRule="auto"/>
        <w:ind w:left="540"/>
        <w:rPr>
          <w:rFonts w:asciiTheme="minorHAnsi" w:hAnsiTheme="minorHAnsi" w:cstheme="minorHAnsi"/>
          <w:w w:val="105"/>
          <w:sz w:val="24"/>
        </w:rPr>
      </w:pPr>
    </w:p>
    <w:p w14:paraId="2984097A" w14:textId="5FBD25F1" w:rsidR="001B3ED2" w:rsidRPr="001F7A91" w:rsidRDefault="00F12B67" w:rsidP="004B34E3">
      <w:pPr>
        <w:pStyle w:val="BodyText"/>
        <w:spacing w:before="1" w:line="360" w:lineRule="auto"/>
        <w:ind w:left="540"/>
        <w:rPr>
          <w:rFonts w:asciiTheme="minorHAnsi" w:hAnsiTheme="minorHAnsi" w:cstheme="minorHAnsi"/>
          <w:b/>
          <w:bCs/>
          <w:w w:val="105"/>
          <w:sz w:val="24"/>
        </w:rPr>
      </w:pPr>
      <w:r w:rsidRPr="001F7A91">
        <w:rPr>
          <w:rFonts w:asciiTheme="minorHAnsi" w:hAnsiTheme="minorHAnsi" w:cstheme="minorHAnsi"/>
          <w:b/>
          <w:bCs/>
          <w:w w:val="105"/>
          <w:sz w:val="24"/>
        </w:rPr>
        <w:t>Checkerboard DNA–DNA hybridization</w:t>
      </w:r>
      <w:r w:rsidR="001F7A91">
        <w:rPr>
          <w:rFonts w:asciiTheme="minorHAnsi" w:hAnsiTheme="minorHAnsi" w:cstheme="minorHAnsi"/>
          <w:b/>
          <w:bCs/>
          <w:w w:val="105"/>
          <w:sz w:val="24"/>
        </w:rPr>
        <w:t>-</w:t>
      </w:r>
    </w:p>
    <w:p w14:paraId="5F035E76" w14:textId="79872D33" w:rsidR="001B3ED2" w:rsidRPr="004B34E3" w:rsidRDefault="00F12B67" w:rsidP="004B34E3">
      <w:pPr>
        <w:pStyle w:val="BodyText"/>
        <w:spacing w:before="1" w:line="360" w:lineRule="auto"/>
        <w:ind w:left="540"/>
        <w:rPr>
          <w:rFonts w:asciiTheme="minorHAnsi" w:hAnsiTheme="minorHAnsi" w:cstheme="minorHAnsi"/>
          <w:w w:val="105"/>
          <w:sz w:val="24"/>
        </w:rPr>
      </w:pPr>
      <w:proofErr w:type="spellStart"/>
      <w:r w:rsidRPr="004B34E3">
        <w:rPr>
          <w:rFonts w:asciiTheme="minorHAnsi" w:hAnsiTheme="minorHAnsi" w:cstheme="minorHAnsi"/>
          <w:w w:val="105"/>
          <w:sz w:val="24"/>
        </w:rPr>
        <w:t>Socransky</w:t>
      </w:r>
      <w:proofErr w:type="spellEnd"/>
      <w:r w:rsidRPr="004B34E3">
        <w:rPr>
          <w:rFonts w:asciiTheme="minorHAnsi" w:hAnsiTheme="minorHAnsi" w:cstheme="minorHAnsi"/>
          <w:w w:val="105"/>
          <w:sz w:val="24"/>
        </w:rPr>
        <w:t xml:space="preserve"> et al. (1994) invented this technique for hybridizing large numbers of DNA samples against large numbers of </w:t>
      </w:r>
      <w:r w:rsidR="00F73260">
        <w:rPr>
          <w:rFonts w:asciiTheme="minorHAnsi" w:hAnsiTheme="minorHAnsi" w:cstheme="minorHAnsi"/>
          <w:w w:val="105"/>
          <w:sz w:val="24"/>
        </w:rPr>
        <w:t>digoxigenin-labelled</w:t>
      </w:r>
      <w:r w:rsidRPr="004B34E3">
        <w:rPr>
          <w:rFonts w:asciiTheme="minorHAnsi" w:hAnsiTheme="minorHAnsi" w:cstheme="minorHAnsi"/>
          <w:w w:val="105"/>
          <w:sz w:val="24"/>
        </w:rPr>
        <w:t xml:space="preserve"> whole genomic DNA on a single support membrane. The checkerboard method helps to determine the multitude of bacterial species in single or multiple clinical samples.</w:t>
      </w:r>
    </w:p>
    <w:p w14:paraId="200A3707" w14:textId="5BBCC945" w:rsidR="001B3ED2" w:rsidRPr="004B34E3" w:rsidRDefault="00F12B67" w:rsidP="00FA5649">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DNA collected from the samples </w:t>
      </w:r>
      <w:r w:rsidR="00B20354">
        <w:rPr>
          <w:rFonts w:asciiTheme="minorHAnsi" w:hAnsiTheme="minorHAnsi" w:cstheme="minorHAnsi"/>
          <w:w w:val="105"/>
          <w:sz w:val="24"/>
        </w:rPr>
        <w:t>is</w:t>
      </w:r>
      <w:r w:rsidRPr="004B34E3">
        <w:rPr>
          <w:rFonts w:asciiTheme="minorHAnsi" w:hAnsiTheme="minorHAnsi" w:cstheme="minorHAnsi"/>
          <w:w w:val="105"/>
          <w:sz w:val="24"/>
        </w:rPr>
        <w:t xml:space="preserve"> denatured and then fixed in a membrane </w:t>
      </w:r>
      <w:r w:rsidR="00B20354">
        <w:rPr>
          <w:rFonts w:asciiTheme="minorHAnsi" w:hAnsiTheme="minorHAnsi" w:cstheme="minorHAnsi"/>
          <w:w w:val="105"/>
          <w:sz w:val="24"/>
        </w:rPr>
        <w:t xml:space="preserve">and </w:t>
      </w:r>
      <w:r w:rsidRPr="004B34E3">
        <w:rPr>
          <w:rFonts w:asciiTheme="minorHAnsi" w:hAnsiTheme="minorHAnsi" w:cstheme="minorHAnsi"/>
          <w:w w:val="105"/>
          <w:sz w:val="24"/>
        </w:rPr>
        <w:t xml:space="preserve">later placed on </w:t>
      </w:r>
      <w:r w:rsidR="00B20354">
        <w:rPr>
          <w:rFonts w:asciiTheme="minorHAnsi" w:hAnsiTheme="minorHAnsi" w:cstheme="minorHAnsi"/>
          <w:w w:val="105"/>
          <w:sz w:val="24"/>
        </w:rPr>
        <w:t xml:space="preserve">a </w:t>
      </w:r>
      <w:r w:rsidRPr="004B34E3">
        <w:rPr>
          <w:rFonts w:asciiTheme="minorHAnsi" w:hAnsiTheme="minorHAnsi" w:cstheme="minorHAnsi"/>
          <w:w w:val="105"/>
          <w:sz w:val="24"/>
        </w:rPr>
        <w:t xml:space="preserve">Mini-blotter apparatus at an angle of 900. </w:t>
      </w:r>
      <w:r w:rsidR="00F73260">
        <w:rPr>
          <w:rFonts w:asciiTheme="minorHAnsi" w:hAnsiTheme="minorHAnsi" w:cstheme="minorHAnsi"/>
          <w:w w:val="105"/>
          <w:sz w:val="24"/>
        </w:rPr>
        <w:t>Digoxigenin-labelled</w:t>
      </w:r>
      <w:r w:rsidRPr="004B34E3">
        <w:rPr>
          <w:rFonts w:asciiTheme="minorHAnsi" w:hAnsiTheme="minorHAnsi" w:cstheme="minorHAnsi"/>
          <w:w w:val="105"/>
          <w:sz w:val="24"/>
        </w:rPr>
        <w:t xml:space="preserve"> whole genomic DNA probes are then loaded in individual lanes of the Mini-blotter so that the antibody to DNA probes conjugated with alkaline phosphatase and </w:t>
      </w:r>
      <w:r w:rsidR="00B20354">
        <w:rPr>
          <w:rFonts w:asciiTheme="minorHAnsi" w:hAnsiTheme="minorHAnsi" w:cstheme="minorHAnsi"/>
          <w:w w:val="105"/>
          <w:sz w:val="24"/>
        </w:rPr>
        <w:t>chemo-fluorescence</w:t>
      </w:r>
      <w:r w:rsidRPr="004B34E3">
        <w:rPr>
          <w:rFonts w:asciiTheme="minorHAnsi" w:hAnsiTheme="minorHAnsi" w:cstheme="minorHAnsi"/>
          <w:w w:val="105"/>
          <w:sz w:val="24"/>
        </w:rPr>
        <w:t xml:space="preserve"> or chemiluminescence </w:t>
      </w:r>
      <w:r w:rsidR="00B20354">
        <w:rPr>
          <w:rFonts w:asciiTheme="minorHAnsi" w:hAnsiTheme="minorHAnsi" w:cstheme="minorHAnsi"/>
          <w:w w:val="105"/>
          <w:sz w:val="24"/>
        </w:rPr>
        <w:t>is</w:t>
      </w:r>
      <w:r w:rsidRPr="004B34E3">
        <w:rPr>
          <w:rFonts w:asciiTheme="minorHAnsi" w:hAnsiTheme="minorHAnsi" w:cstheme="minorHAnsi"/>
          <w:w w:val="105"/>
          <w:sz w:val="24"/>
        </w:rPr>
        <w:t xml:space="preserve"> detected after hybridization. The presence of a spot on the membrane in the crossing lanes means that </w:t>
      </w:r>
      <w:r w:rsidR="00B20354">
        <w:rPr>
          <w:rFonts w:asciiTheme="minorHAnsi" w:hAnsiTheme="minorHAnsi" w:cstheme="minorHAnsi"/>
          <w:w w:val="105"/>
          <w:sz w:val="24"/>
        </w:rPr>
        <w:t xml:space="preserve">the </w:t>
      </w:r>
      <w:r w:rsidRPr="004B34E3">
        <w:rPr>
          <w:rFonts w:asciiTheme="minorHAnsi" w:hAnsiTheme="minorHAnsi" w:cstheme="minorHAnsi"/>
          <w:w w:val="105"/>
          <w:sz w:val="24"/>
        </w:rPr>
        <w:t xml:space="preserve">hybridization of one probe to one sample occurred. The intensity of the spot is proportional to the amount of DNA from the target species in the sample. Another modification of the checkerboard method was proposed by Paster et al. (1998) which </w:t>
      </w:r>
      <w:r w:rsidR="00B20354">
        <w:rPr>
          <w:rFonts w:asciiTheme="minorHAnsi" w:hAnsiTheme="minorHAnsi" w:cstheme="minorHAnsi"/>
          <w:w w:val="105"/>
          <w:sz w:val="24"/>
        </w:rPr>
        <w:t>consists</w:t>
      </w:r>
      <w:r w:rsidRPr="004B34E3">
        <w:rPr>
          <w:rFonts w:asciiTheme="minorHAnsi" w:hAnsiTheme="minorHAnsi" w:cstheme="minorHAnsi"/>
          <w:w w:val="105"/>
          <w:sz w:val="24"/>
        </w:rPr>
        <w:t xml:space="preserve"> of a PCR-based, reverse-capture checkerboard hybridization methodology. The name reverse-capture’ because the probe is</w:t>
      </w:r>
      <w:r w:rsidR="00FA5649">
        <w:rPr>
          <w:rFonts w:asciiTheme="minorHAnsi" w:hAnsiTheme="minorHAnsi" w:cstheme="minorHAnsi"/>
          <w:w w:val="105"/>
          <w:sz w:val="24"/>
        </w:rPr>
        <w:t xml:space="preserve"> f</w:t>
      </w:r>
      <w:r w:rsidRPr="004B34E3">
        <w:rPr>
          <w:rFonts w:asciiTheme="minorHAnsi" w:hAnsiTheme="minorHAnsi" w:cstheme="minorHAnsi"/>
          <w:w w:val="105"/>
          <w:sz w:val="24"/>
        </w:rPr>
        <w:t xml:space="preserve">ixed first instead of </w:t>
      </w:r>
      <w:r w:rsidR="00F73260">
        <w:rPr>
          <w:rFonts w:asciiTheme="minorHAnsi" w:hAnsiTheme="minorHAnsi" w:cstheme="minorHAnsi"/>
          <w:w w:val="105"/>
          <w:sz w:val="24"/>
        </w:rPr>
        <w:t xml:space="preserve">the </w:t>
      </w:r>
      <w:r w:rsidRPr="004B34E3">
        <w:rPr>
          <w:rFonts w:asciiTheme="minorHAnsi" w:hAnsiTheme="minorHAnsi" w:cstheme="minorHAnsi"/>
          <w:w w:val="105"/>
          <w:sz w:val="24"/>
        </w:rPr>
        <w:t xml:space="preserve">sample. This method is more specific than the original method, due to the presence of oligonucleotide probes. Moreover, oligonucleotide probes can be designed to detect both cultivable and </w:t>
      </w:r>
      <w:r w:rsidR="00B20354">
        <w:rPr>
          <w:rFonts w:asciiTheme="minorHAnsi" w:hAnsiTheme="minorHAnsi" w:cstheme="minorHAnsi"/>
          <w:w w:val="105"/>
          <w:sz w:val="24"/>
        </w:rPr>
        <w:t>as-yet-uncultivated</w:t>
      </w:r>
      <w:r w:rsidRPr="004B34E3">
        <w:rPr>
          <w:rFonts w:asciiTheme="minorHAnsi" w:hAnsiTheme="minorHAnsi" w:cstheme="minorHAnsi"/>
          <w:w w:val="105"/>
          <w:sz w:val="24"/>
        </w:rPr>
        <w:t xml:space="preserve"> bacteria, whereas</w:t>
      </w:r>
      <w:r w:rsidR="00B20354">
        <w:rPr>
          <w:rFonts w:asciiTheme="minorHAnsi" w:hAnsiTheme="minorHAnsi" w:cstheme="minorHAnsi"/>
          <w:w w:val="105"/>
          <w:sz w:val="24"/>
        </w:rPr>
        <w:t>,</w:t>
      </w:r>
      <w:r w:rsidRPr="004B34E3">
        <w:rPr>
          <w:rFonts w:asciiTheme="minorHAnsi" w:hAnsiTheme="minorHAnsi" w:cstheme="minorHAnsi"/>
          <w:w w:val="105"/>
          <w:sz w:val="24"/>
        </w:rPr>
        <w:t xml:space="preserve"> in </w:t>
      </w:r>
      <w:r w:rsidR="00B20354">
        <w:rPr>
          <w:rFonts w:asciiTheme="minorHAnsi" w:hAnsiTheme="minorHAnsi" w:cstheme="minorHAnsi"/>
          <w:w w:val="105"/>
          <w:sz w:val="24"/>
        </w:rPr>
        <w:t xml:space="preserve">the </w:t>
      </w:r>
      <w:r w:rsidRPr="004B34E3">
        <w:rPr>
          <w:rFonts w:asciiTheme="minorHAnsi" w:hAnsiTheme="minorHAnsi" w:cstheme="minorHAnsi"/>
          <w:w w:val="105"/>
          <w:sz w:val="24"/>
        </w:rPr>
        <w:t xml:space="preserve">case of </w:t>
      </w:r>
      <w:r w:rsidR="00B20354">
        <w:rPr>
          <w:rFonts w:asciiTheme="minorHAnsi" w:hAnsiTheme="minorHAnsi" w:cstheme="minorHAnsi"/>
          <w:w w:val="105"/>
          <w:sz w:val="24"/>
        </w:rPr>
        <w:t xml:space="preserve">the </w:t>
      </w:r>
      <w:r w:rsidRPr="004B34E3">
        <w:rPr>
          <w:rFonts w:asciiTheme="minorHAnsi" w:hAnsiTheme="minorHAnsi" w:cstheme="minorHAnsi"/>
          <w:w w:val="105"/>
          <w:sz w:val="24"/>
        </w:rPr>
        <w:t>original method which uses whole genomic probes, only cultivable species are identified.</w:t>
      </w:r>
    </w:p>
    <w:p w14:paraId="42EDD7B7" w14:textId="42101A51"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The procedure circumvents the need for in vitro bacterial culture, necessary for </w:t>
      </w:r>
      <w:r w:rsidR="00B20354">
        <w:rPr>
          <w:rFonts w:asciiTheme="minorHAnsi" w:hAnsiTheme="minorHAnsi" w:cstheme="minorHAnsi"/>
          <w:w w:val="105"/>
          <w:sz w:val="24"/>
        </w:rPr>
        <w:t xml:space="preserve">the </w:t>
      </w:r>
      <w:r w:rsidRPr="004B34E3">
        <w:rPr>
          <w:rFonts w:asciiTheme="minorHAnsi" w:hAnsiTheme="minorHAnsi" w:cstheme="minorHAnsi"/>
          <w:w w:val="105"/>
          <w:sz w:val="24"/>
        </w:rPr>
        <w:t xml:space="preserve">preparation of whole genomic probes in the original checkerboard approach. Up to 30 </w:t>
      </w:r>
      <w:r w:rsidR="00B20354">
        <w:rPr>
          <w:rFonts w:asciiTheme="minorHAnsi" w:hAnsiTheme="minorHAnsi" w:cstheme="minorHAnsi"/>
          <w:w w:val="105"/>
          <w:sz w:val="24"/>
        </w:rPr>
        <w:t>reverse-capture</w:t>
      </w:r>
      <w:r w:rsidRPr="004B34E3">
        <w:rPr>
          <w:rFonts w:asciiTheme="minorHAnsi" w:hAnsiTheme="minorHAnsi" w:cstheme="minorHAnsi"/>
          <w:w w:val="105"/>
          <w:sz w:val="24"/>
        </w:rPr>
        <w:t xml:space="preserve"> oligonucleotide probes that target regions of the 16S rRNA gene are deposited on a nylon membrane in separate horizontal lanes, using a Mini-blot apparatus. Probes are synthesized with a polythymidine tail, which </w:t>
      </w:r>
      <w:r w:rsidR="00B20354">
        <w:rPr>
          <w:rFonts w:asciiTheme="minorHAnsi" w:hAnsiTheme="minorHAnsi" w:cstheme="minorHAnsi"/>
          <w:w w:val="105"/>
          <w:sz w:val="24"/>
        </w:rPr>
        <w:t>is</w:t>
      </w:r>
      <w:r w:rsidRPr="004B34E3">
        <w:rPr>
          <w:rFonts w:asciiTheme="minorHAnsi" w:hAnsiTheme="minorHAnsi" w:cstheme="minorHAnsi"/>
          <w:w w:val="105"/>
          <w:sz w:val="24"/>
        </w:rPr>
        <w:t xml:space="preserve"> cross-linked to the membrane via ultraviolet irradiation or heat, leaving the probe available for hybridization. The 16S rRNA gene from clinical samples is PCR amplified using one of the primers </w:t>
      </w:r>
      <w:r w:rsidR="00F73260">
        <w:rPr>
          <w:rFonts w:asciiTheme="minorHAnsi" w:hAnsiTheme="minorHAnsi" w:cstheme="minorHAnsi"/>
          <w:w w:val="105"/>
          <w:sz w:val="24"/>
        </w:rPr>
        <w:t>labelled</w:t>
      </w:r>
      <w:r w:rsidRPr="004B34E3">
        <w:rPr>
          <w:rFonts w:asciiTheme="minorHAnsi" w:hAnsiTheme="minorHAnsi" w:cstheme="minorHAnsi"/>
          <w:w w:val="105"/>
          <w:sz w:val="24"/>
        </w:rPr>
        <w:t xml:space="preserve"> with digoxigenin. Hybridizations are performed in vertical channels in a Mini-blotter apparatus with </w:t>
      </w:r>
      <w:r w:rsidR="00B20354">
        <w:rPr>
          <w:rFonts w:asciiTheme="minorHAnsi" w:hAnsiTheme="minorHAnsi" w:cstheme="minorHAnsi"/>
          <w:w w:val="105"/>
          <w:sz w:val="24"/>
        </w:rPr>
        <w:t>digoxigenin-labeled</w:t>
      </w:r>
      <w:r w:rsidRPr="004B34E3">
        <w:rPr>
          <w:rFonts w:asciiTheme="minorHAnsi" w:hAnsiTheme="minorHAnsi" w:cstheme="minorHAnsi"/>
          <w:w w:val="105"/>
          <w:sz w:val="24"/>
        </w:rPr>
        <w:t xml:space="preserve"> PCR amplicons from up to 45 samples. </w:t>
      </w:r>
      <w:r w:rsidRPr="004B34E3">
        <w:rPr>
          <w:rFonts w:asciiTheme="minorHAnsi" w:hAnsiTheme="minorHAnsi" w:cstheme="minorHAnsi"/>
          <w:w w:val="105"/>
          <w:sz w:val="24"/>
        </w:rPr>
        <w:lastRenderedPageBreak/>
        <w:t xml:space="preserve">Hybridization signals are detected using </w:t>
      </w:r>
      <w:r w:rsidR="00B20354">
        <w:rPr>
          <w:rFonts w:asciiTheme="minorHAnsi" w:hAnsiTheme="minorHAnsi" w:cstheme="minorHAnsi"/>
          <w:w w:val="105"/>
          <w:sz w:val="24"/>
        </w:rPr>
        <w:t>chemo-fluorescence</w:t>
      </w:r>
      <w:r w:rsidRPr="004B34E3">
        <w:rPr>
          <w:rFonts w:asciiTheme="minorHAnsi" w:hAnsiTheme="minorHAnsi" w:cstheme="minorHAnsi"/>
          <w:w w:val="105"/>
          <w:sz w:val="24"/>
        </w:rPr>
        <w:t xml:space="preserve"> or chemiluminescence procedures (</w:t>
      </w:r>
      <w:proofErr w:type="spellStart"/>
      <w:r w:rsidRPr="004B34E3">
        <w:rPr>
          <w:rFonts w:asciiTheme="minorHAnsi" w:hAnsiTheme="minorHAnsi" w:cstheme="minorHAnsi"/>
          <w:w w:val="105"/>
          <w:sz w:val="24"/>
        </w:rPr>
        <w:t>Siqueirajr</w:t>
      </w:r>
      <w:proofErr w:type="spellEnd"/>
      <w:r w:rsidRPr="004B34E3">
        <w:rPr>
          <w:rFonts w:asciiTheme="minorHAnsi" w:hAnsiTheme="minorHAnsi" w:cstheme="minorHAnsi"/>
          <w:w w:val="105"/>
          <w:sz w:val="24"/>
        </w:rPr>
        <w:t xml:space="preserve"> &amp; </w:t>
      </w:r>
      <w:proofErr w:type="spellStart"/>
      <w:r w:rsidRPr="004B34E3">
        <w:rPr>
          <w:rFonts w:asciiTheme="minorHAnsi" w:hAnsiTheme="minorHAnsi" w:cstheme="minorHAnsi"/>
          <w:w w:val="105"/>
          <w:sz w:val="24"/>
        </w:rPr>
        <w:t>Rocas</w:t>
      </w:r>
      <w:proofErr w:type="spellEnd"/>
      <w:r w:rsidRPr="004B34E3">
        <w:rPr>
          <w:rFonts w:asciiTheme="minorHAnsi" w:hAnsiTheme="minorHAnsi" w:cstheme="minorHAnsi"/>
          <w:w w:val="105"/>
          <w:sz w:val="24"/>
        </w:rPr>
        <w:t>, 2005).</w:t>
      </w:r>
    </w:p>
    <w:p w14:paraId="39796EF5" w14:textId="77777777" w:rsidR="001B3ED2" w:rsidRPr="004B34E3" w:rsidRDefault="00F73260" w:rsidP="004B34E3">
      <w:pPr>
        <w:pStyle w:val="BodyText"/>
        <w:spacing w:before="1" w:line="360" w:lineRule="auto"/>
        <w:ind w:left="540"/>
        <w:rPr>
          <w:rFonts w:asciiTheme="minorHAnsi" w:hAnsiTheme="minorHAnsi" w:cstheme="minorHAnsi"/>
          <w:w w:val="105"/>
          <w:sz w:val="24"/>
        </w:rPr>
      </w:pPr>
      <w:r>
        <w:rPr>
          <w:rFonts w:asciiTheme="minorHAnsi" w:hAnsiTheme="minorHAnsi" w:cstheme="minorHAnsi"/>
          <w:w w:val="105"/>
          <w:sz w:val="24"/>
        </w:rPr>
        <w:pict w14:anchorId="13578726">
          <v:group id="_x0000_s1068" style="position:absolute;left:0;text-align:left;margin-left:113.9pt;margin-top:8.6pt;width:367.5pt;height:225.3pt;z-index:-15713792;mso-wrap-distance-left:0;mso-wrap-distance-right:0;mso-position-horizontal-relative:page" coordorigin="2278,172" coordsize="7350,4506">
            <v:shape id="_x0000_s1070" type="#_x0000_t75" style="position:absolute;left:2289;top:183;width:7323;height:4480">
              <v:imagedata r:id="rId22" o:title=""/>
            </v:shape>
            <v:shape id="_x0000_s1069" style="position:absolute;left:2278;top:171;width:7350;height:4506" coordorigin="2278,172" coordsize="7350,4506" o:spt="100" adj="0,,0" path="m9615,186r-3,l9612,4663r3,l9615,186xm9615,184r-7325,l2290,186r,4478l2290,4666r7325,l9615,4664r-7322,l2293,186r7322,l9615,184xm9627,180r-9,l9618,4669r9,l9627,180xm9627,172r-7349,l2278,180r,4490l2278,4678r7349,l9627,4670r-7340,l2287,180r7340,l9627,172xe" fillcolor="black" stroked="f">
              <v:stroke joinstyle="round"/>
              <v:formulas/>
              <v:path arrowok="t" o:connecttype="segments"/>
            </v:shape>
            <w10:wrap type="topAndBottom" anchorx="page"/>
          </v:group>
        </w:pict>
      </w:r>
    </w:p>
    <w:p w14:paraId="306B371C" w14:textId="77777777" w:rsidR="001B3ED2" w:rsidRPr="00A96508" w:rsidRDefault="00F12B67" w:rsidP="001F7A91">
      <w:pPr>
        <w:pStyle w:val="Heading1"/>
        <w:numPr>
          <w:ilvl w:val="0"/>
          <w:numId w:val="7"/>
        </w:numPr>
        <w:tabs>
          <w:tab w:val="left" w:pos="464"/>
        </w:tabs>
        <w:rPr>
          <w:rFonts w:asciiTheme="minorHAnsi" w:hAnsiTheme="minorHAnsi" w:cstheme="minorHAnsi"/>
          <w:w w:val="105"/>
          <w:sz w:val="24"/>
        </w:rPr>
      </w:pPr>
      <w:r w:rsidRPr="004B34E3">
        <w:rPr>
          <w:rFonts w:asciiTheme="minorHAnsi" w:hAnsiTheme="minorHAnsi" w:cstheme="minorHAnsi"/>
          <w:sz w:val="28"/>
        </w:rPr>
        <w:t>DNA microarrays</w:t>
      </w:r>
    </w:p>
    <w:p w14:paraId="6B6ACE98" w14:textId="77777777" w:rsidR="00A96508" w:rsidRPr="004B34E3" w:rsidRDefault="00A96508" w:rsidP="00A96508">
      <w:pPr>
        <w:pStyle w:val="Heading1"/>
        <w:tabs>
          <w:tab w:val="left" w:pos="464"/>
        </w:tabs>
        <w:ind w:left="720" w:firstLine="0"/>
        <w:rPr>
          <w:rFonts w:asciiTheme="minorHAnsi" w:hAnsiTheme="minorHAnsi" w:cstheme="minorHAnsi"/>
          <w:w w:val="105"/>
          <w:sz w:val="24"/>
        </w:rPr>
      </w:pPr>
    </w:p>
    <w:p w14:paraId="2A154F31" w14:textId="153B360B"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This method was introduced in 1995 by Schena et al. It is a simplified version of </w:t>
      </w:r>
      <w:r w:rsidR="00B20354">
        <w:rPr>
          <w:rFonts w:asciiTheme="minorHAnsi" w:hAnsiTheme="minorHAnsi" w:cstheme="minorHAnsi"/>
          <w:w w:val="105"/>
          <w:sz w:val="24"/>
        </w:rPr>
        <w:t xml:space="preserve">the </w:t>
      </w:r>
      <w:r w:rsidRPr="004B34E3">
        <w:rPr>
          <w:rFonts w:asciiTheme="minorHAnsi" w:hAnsiTheme="minorHAnsi" w:cstheme="minorHAnsi"/>
          <w:w w:val="105"/>
          <w:sz w:val="24"/>
        </w:rPr>
        <w:t xml:space="preserve">checkerboard </w:t>
      </w:r>
      <w:r w:rsidR="00B20354">
        <w:rPr>
          <w:rFonts w:asciiTheme="minorHAnsi" w:hAnsiTheme="minorHAnsi" w:cstheme="minorHAnsi"/>
          <w:w w:val="105"/>
          <w:sz w:val="24"/>
        </w:rPr>
        <w:t>hybridization</w:t>
      </w:r>
      <w:r w:rsidRPr="004B34E3">
        <w:rPr>
          <w:rFonts w:asciiTheme="minorHAnsi" w:hAnsiTheme="minorHAnsi" w:cstheme="minorHAnsi"/>
          <w:w w:val="105"/>
          <w:sz w:val="24"/>
        </w:rPr>
        <w:t xml:space="preserve"> assay. It consists of a high-density matrix of DNA probes which are printed on </w:t>
      </w:r>
      <w:r w:rsidR="00B20354">
        <w:rPr>
          <w:rFonts w:asciiTheme="minorHAnsi" w:hAnsiTheme="minorHAnsi" w:cstheme="minorHAnsi"/>
          <w:w w:val="105"/>
          <w:sz w:val="24"/>
        </w:rPr>
        <w:t xml:space="preserve">a </w:t>
      </w:r>
      <w:r w:rsidRPr="004B34E3">
        <w:rPr>
          <w:rFonts w:asciiTheme="minorHAnsi" w:hAnsiTheme="minorHAnsi" w:cstheme="minorHAnsi"/>
          <w:w w:val="105"/>
          <w:sz w:val="24"/>
        </w:rPr>
        <w:t xml:space="preserve">glass slide </w:t>
      </w:r>
      <w:r w:rsidR="00B20354">
        <w:rPr>
          <w:rFonts w:asciiTheme="minorHAnsi" w:hAnsiTheme="minorHAnsi" w:cstheme="minorHAnsi"/>
          <w:w w:val="105"/>
          <w:sz w:val="24"/>
        </w:rPr>
        <w:t>and</w:t>
      </w:r>
      <w:r w:rsidRPr="004B34E3">
        <w:rPr>
          <w:rFonts w:asciiTheme="minorHAnsi" w:hAnsiTheme="minorHAnsi" w:cstheme="minorHAnsi"/>
          <w:w w:val="105"/>
          <w:sz w:val="24"/>
        </w:rPr>
        <w:t xml:space="preserve"> </w:t>
      </w:r>
      <w:r w:rsidR="00B20354">
        <w:rPr>
          <w:rFonts w:asciiTheme="minorHAnsi" w:hAnsiTheme="minorHAnsi" w:cstheme="minorHAnsi"/>
          <w:w w:val="105"/>
          <w:sz w:val="24"/>
        </w:rPr>
        <w:t>are</w:t>
      </w:r>
      <w:r w:rsidRPr="004B34E3">
        <w:rPr>
          <w:rFonts w:asciiTheme="minorHAnsi" w:hAnsiTheme="minorHAnsi" w:cstheme="minorHAnsi"/>
          <w:w w:val="105"/>
          <w:sz w:val="24"/>
        </w:rPr>
        <w:t xml:space="preserve"> used to identify the target from the clinical sample. Targets will be incorporated with fluorescence and applied to </w:t>
      </w:r>
      <w:r w:rsidR="00B20354">
        <w:rPr>
          <w:rFonts w:asciiTheme="minorHAnsi" w:hAnsiTheme="minorHAnsi" w:cstheme="minorHAnsi"/>
          <w:w w:val="105"/>
          <w:sz w:val="24"/>
        </w:rPr>
        <w:t xml:space="preserve">an </w:t>
      </w:r>
      <w:r w:rsidRPr="004B34E3">
        <w:rPr>
          <w:rFonts w:asciiTheme="minorHAnsi" w:hAnsiTheme="minorHAnsi" w:cstheme="minorHAnsi"/>
          <w:w w:val="105"/>
          <w:sz w:val="24"/>
        </w:rPr>
        <w:t xml:space="preserve">array, those that hybridize to complementary probes are detected using some type of reporter molecule. A high-resolution laser scanner is used for imaging and </w:t>
      </w:r>
      <w:r w:rsidR="00B20354">
        <w:rPr>
          <w:rFonts w:asciiTheme="minorHAnsi" w:hAnsiTheme="minorHAnsi" w:cstheme="minorHAnsi"/>
          <w:w w:val="105"/>
          <w:sz w:val="24"/>
        </w:rPr>
        <w:t>analysis</w:t>
      </w:r>
      <w:r w:rsidRPr="004B34E3">
        <w:rPr>
          <w:rFonts w:asciiTheme="minorHAnsi" w:hAnsiTheme="minorHAnsi" w:cstheme="minorHAnsi"/>
          <w:w w:val="105"/>
          <w:sz w:val="24"/>
        </w:rPr>
        <w:t xml:space="preserve"> by sophisticated computer software programs (Clarke &amp; Zhu, 2006).</w:t>
      </w:r>
    </w:p>
    <w:p w14:paraId="0E8BC1CD" w14:textId="1124CC5C"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For detecting the oral microbial species, a DNA </w:t>
      </w:r>
      <w:r w:rsidR="00B20354">
        <w:rPr>
          <w:rFonts w:asciiTheme="minorHAnsi" w:hAnsiTheme="minorHAnsi" w:cstheme="minorHAnsi"/>
          <w:w w:val="105"/>
          <w:sz w:val="24"/>
        </w:rPr>
        <w:t>microarray</w:t>
      </w:r>
      <w:r w:rsidRPr="004B34E3">
        <w:rPr>
          <w:rFonts w:asciiTheme="minorHAnsi" w:hAnsiTheme="minorHAnsi" w:cstheme="minorHAnsi"/>
          <w:w w:val="105"/>
          <w:sz w:val="24"/>
        </w:rPr>
        <w:t xml:space="preserve"> technique is used, </w:t>
      </w:r>
      <w:r w:rsidR="00B20354">
        <w:rPr>
          <w:rFonts w:asciiTheme="minorHAnsi" w:hAnsiTheme="minorHAnsi" w:cstheme="minorHAnsi"/>
          <w:w w:val="105"/>
          <w:sz w:val="24"/>
        </w:rPr>
        <w:t>i.e.</w:t>
      </w:r>
      <w:r w:rsidRPr="004B34E3">
        <w:rPr>
          <w:rFonts w:asciiTheme="minorHAnsi" w:hAnsiTheme="minorHAnsi" w:cstheme="minorHAnsi"/>
          <w:w w:val="105"/>
          <w:sz w:val="24"/>
        </w:rPr>
        <w:t xml:space="preserve"> Human Oral Microbe Identification Microarray. This method can also be used for better detection and identification using PCR. When </w:t>
      </w:r>
      <w:r w:rsidR="00B20354">
        <w:rPr>
          <w:rFonts w:asciiTheme="minorHAnsi" w:hAnsiTheme="minorHAnsi" w:cstheme="minorHAnsi"/>
          <w:w w:val="105"/>
          <w:sz w:val="24"/>
        </w:rPr>
        <w:t>broad-range</w:t>
      </w:r>
      <w:r w:rsidRPr="004B34E3">
        <w:rPr>
          <w:rFonts w:asciiTheme="minorHAnsi" w:hAnsiTheme="minorHAnsi" w:cstheme="minorHAnsi"/>
          <w:w w:val="105"/>
          <w:sz w:val="24"/>
        </w:rPr>
        <w:t xml:space="preserve"> PCR is used to amplify DNA from samples of mixed infections, microarrays can then be used to identify the PCR products by hybridization to an array that is composed of hundreds to thousands of species-specific probes.</w:t>
      </w:r>
    </w:p>
    <w:p w14:paraId="22969563" w14:textId="77777777" w:rsidR="001B3ED2" w:rsidRPr="004B34E3"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noProof/>
          <w:w w:val="105"/>
          <w:sz w:val="24"/>
        </w:rPr>
        <w:lastRenderedPageBreak/>
        <w:drawing>
          <wp:anchor distT="0" distB="0" distL="0" distR="0" simplePos="0" relativeHeight="251658240" behindDoc="0" locked="0" layoutInCell="1" allowOverlap="1" wp14:anchorId="1FE880D8" wp14:editId="35A38F3F">
            <wp:simplePos x="0" y="0"/>
            <wp:positionH relativeFrom="page">
              <wp:posOffset>1789429</wp:posOffset>
            </wp:positionH>
            <wp:positionV relativeFrom="paragraph">
              <wp:posOffset>99728</wp:posOffset>
            </wp:positionV>
            <wp:extent cx="3964919" cy="3374898"/>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23" cstate="print"/>
                    <a:stretch>
                      <a:fillRect/>
                    </a:stretch>
                  </pic:blipFill>
                  <pic:spPr>
                    <a:xfrm>
                      <a:off x="0" y="0"/>
                      <a:ext cx="3964919" cy="3374898"/>
                    </a:xfrm>
                    <a:prstGeom prst="rect">
                      <a:avLst/>
                    </a:prstGeom>
                  </pic:spPr>
                </pic:pic>
              </a:graphicData>
            </a:graphic>
          </wp:anchor>
        </w:drawing>
      </w:r>
    </w:p>
    <w:p w14:paraId="05E0C202" w14:textId="77777777" w:rsidR="001B3ED2" w:rsidRDefault="00F12B67" w:rsidP="004B34E3">
      <w:pPr>
        <w:pStyle w:val="BodyText"/>
        <w:spacing w:before="1" w:line="360" w:lineRule="auto"/>
        <w:ind w:left="540"/>
        <w:rPr>
          <w:rFonts w:asciiTheme="minorHAnsi" w:hAnsiTheme="minorHAnsi" w:cstheme="minorHAnsi"/>
          <w:w w:val="105"/>
          <w:sz w:val="24"/>
        </w:rPr>
      </w:pPr>
      <w:r w:rsidRPr="004B34E3">
        <w:rPr>
          <w:rFonts w:asciiTheme="minorHAnsi" w:hAnsiTheme="minorHAnsi" w:cstheme="minorHAnsi"/>
          <w:w w:val="105"/>
          <w:sz w:val="24"/>
        </w:rPr>
        <w:t xml:space="preserve">By using this method, a single hybridization approach can provide results as to the presence and levels of 200 target species/phylotypes at a time (Siqueira &amp; </w:t>
      </w:r>
      <w:proofErr w:type="spellStart"/>
      <w:r w:rsidRPr="004B34E3">
        <w:rPr>
          <w:rFonts w:asciiTheme="minorHAnsi" w:hAnsiTheme="minorHAnsi" w:cstheme="minorHAnsi"/>
          <w:w w:val="105"/>
          <w:sz w:val="24"/>
        </w:rPr>
        <w:t>Rocas</w:t>
      </w:r>
      <w:proofErr w:type="spellEnd"/>
      <w:r w:rsidRPr="004B34E3">
        <w:rPr>
          <w:rFonts w:asciiTheme="minorHAnsi" w:hAnsiTheme="minorHAnsi" w:cstheme="minorHAnsi"/>
          <w:w w:val="105"/>
          <w:sz w:val="24"/>
        </w:rPr>
        <w:t>, 2005; Smoot et al., 2005).</w:t>
      </w:r>
    </w:p>
    <w:p w14:paraId="55971ED4" w14:textId="77777777" w:rsidR="001F7A91" w:rsidRPr="004B34E3" w:rsidRDefault="001F7A91" w:rsidP="004B34E3">
      <w:pPr>
        <w:pStyle w:val="BodyText"/>
        <w:spacing w:before="1" w:line="360" w:lineRule="auto"/>
        <w:ind w:left="540"/>
        <w:rPr>
          <w:rFonts w:asciiTheme="minorHAnsi" w:hAnsiTheme="minorHAnsi" w:cstheme="minorHAnsi"/>
          <w:w w:val="105"/>
          <w:sz w:val="24"/>
        </w:rPr>
      </w:pPr>
    </w:p>
    <w:p w14:paraId="1A7F8957" w14:textId="77777777" w:rsidR="001B3ED2" w:rsidRPr="004B34E3" w:rsidRDefault="00F12B67" w:rsidP="001F7A91">
      <w:pPr>
        <w:pStyle w:val="Heading1"/>
        <w:numPr>
          <w:ilvl w:val="0"/>
          <w:numId w:val="7"/>
        </w:numPr>
        <w:tabs>
          <w:tab w:val="left" w:pos="464"/>
        </w:tabs>
        <w:rPr>
          <w:rFonts w:asciiTheme="minorHAnsi" w:hAnsiTheme="minorHAnsi" w:cstheme="minorHAnsi"/>
          <w:sz w:val="28"/>
        </w:rPr>
      </w:pPr>
      <w:r w:rsidRPr="004B34E3">
        <w:rPr>
          <w:rFonts w:asciiTheme="minorHAnsi" w:hAnsiTheme="minorHAnsi" w:cstheme="minorHAnsi"/>
          <w:sz w:val="28"/>
        </w:rPr>
        <w:t>Fluorescence in situ hybridization</w:t>
      </w:r>
    </w:p>
    <w:p w14:paraId="757F719D" w14:textId="1A4241D8" w:rsidR="001B3ED2" w:rsidRPr="004B34E3" w:rsidRDefault="001F7A91" w:rsidP="004B34E3">
      <w:pPr>
        <w:pStyle w:val="BodyText"/>
        <w:spacing w:before="1" w:line="360" w:lineRule="auto"/>
        <w:ind w:left="540"/>
        <w:rPr>
          <w:rFonts w:asciiTheme="minorHAnsi" w:hAnsiTheme="minorHAnsi" w:cstheme="minorHAnsi"/>
          <w:w w:val="105"/>
          <w:sz w:val="24"/>
        </w:rPr>
      </w:pPr>
      <w:r>
        <w:rPr>
          <w:rFonts w:asciiTheme="minorHAnsi" w:hAnsiTheme="minorHAnsi" w:cstheme="minorHAnsi"/>
          <w:w w:val="105"/>
          <w:sz w:val="24"/>
        </w:rPr>
        <w:t xml:space="preserve">                 </w:t>
      </w:r>
      <w:r w:rsidR="00F12B67" w:rsidRPr="004B34E3">
        <w:rPr>
          <w:rFonts w:asciiTheme="minorHAnsi" w:hAnsiTheme="minorHAnsi" w:cstheme="minorHAnsi"/>
          <w:w w:val="105"/>
          <w:sz w:val="24"/>
        </w:rPr>
        <w:t xml:space="preserve">This method uses fluorescently </w:t>
      </w:r>
      <w:r w:rsidR="00F73260">
        <w:rPr>
          <w:rFonts w:asciiTheme="minorHAnsi" w:hAnsiTheme="minorHAnsi" w:cstheme="minorHAnsi"/>
          <w:w w:val="105"/>
          <w:sz w:val="24"/>
        </w:rPr>
        <w:t>labelled</w:t>
      </w:r>
      <w:r w:rsidR="00F12B67" w:rsidRPr="004B34E3">
        <w:rPr>
          <w:rFonts w:asciiTheme="minorHAnsi" w:hAnsiTheme="minorHAnsi" w:cstheme="minorHAnsi"/>
          <w:w w:val="105"/>
          <w:sz w:val="24"/>
        </w:rPr>
        <w:t xml:space="preserve"> </w:t>
      </w:r>
      <w:r w:rsidR="00B20354">
        <w:rPr>
          <w:rFonts w:asciiTheme="minorHAnsi" w:hAnsiTheme="minorHAnsi" w:cstheme="minorHAnsi"/>
          <w:w w:val="105"/>
          <w:sz w:val="24"/>
        </w:rPr>
        <w:t>rRNA-directed</w:t>
      </w:r>
      <w:r w:rsidR="00F12B67" w:rsidRPr="004B34E3">
        <w:rPr>
          <w:rFonts w:asciiTheme="minorHAnsi" w:hAnsiTheme="minorHAnsi" w:cstheme="minorHAnsi"/>
          <w:w w:val="105"/>
          <w:sz w:val="24"/>
        </w:rPr>
        <w:t xml:space="preserve"> probes and fluorescence microscopy to detect intact microbial cells directly in clinical specimens, in situ (Moter and Gobel; 2000). One of the greatest advantages of using fluorescence in situ hybridization (FISH) is that this technique allows identification while providing information about morphology, number, community architecture, and spatial relationships of microorganisms (Amann et al., 2001). Because oligonucleotide probes can be designed for use, FISH allows not only the detection of cultivable species but also the detection of </w:t>
      </w:r>
      <w:r w:rsidR="00B20354">
        <w:rPr>
          <w:rFonts w:asciiTheme="minorHAnsi" w:hAnsiTheme="minorHAnsi" w:cstheme="minorHAnsi"/>
          <w:w w:val="105"/>
          <w:sz w:val="24"/>
        </w:rPr>
        <w:t>as-yet-uncultivated</w:t>
      </w:r>
      <w:r w:rsidR="00F12B67" w:rsidRPr="004B34E3">
        <w:rPr>
          <w:rFonts w:asciiTheme="minorHAnsi" w:hAnsiTheme="minorHAnsi" w:cstheme="minorHAnsi"/>
          <w:w w:val="105"/>
          <w:sz w:val="24"/>
        </w:rPr>
        <w:t xml:space="preserve"> phylotypes (Moter et al., 1998a, b). In FISH, microbial cells are fixed and then hybridized with rRNA-directed probes on a glass slide. Probes are short (15- to 25-base long) </w:t>
      </w:r>
      <w:r w:rsidR="00B20354">
        <w:rPr>
          <w:rFonts w:asciiTheme="minorHAnsi" w:hAnsiTheme="minorHAnsi" w:cstheme="minorHAnsi"/>
          <w:w w:val="105"/>
          <w:sz w:val="24"/>
        </w:rPr>
        <w:t xml:space="preserve">and </w:t>
      </w:r>
      <w:r w:rsidR="00F73260">
        <w:rPr>
          <w:rFonts w:asciiTheme="minorHAnsi" w:hAnsiTheme="minorHAnsi" w:cstheme="minorHAnsi"/>
          <w:w w:val="105"/>
          <w:sz w:val="24"/>
        </w:rPr>
        <w:t>labelled</w:t>
      </w:r>
      <w:r w:rsidR="00F12B67" w:rsidRPr="004B34E3">
        <w:rPr>
          <w:rFonts w:asciiTheme="minorHAnsi" w:hAnsiTheme="minorHAnsi" w:cstheme="minorHAnsi"/>
          <w:w w:val="105"/>
          <w:sz w:val="24"/>
        </w:rPr>
        <w:t xml:space="preserve"> covalently at one end with a fluorescent dye. After stringent washing, cells are visualized by using a conventional epifluorescence microscope or a confocal laser scanning microscope. Multiple species-specific probes, each </w:t>
      </w:r>
      <w:r w:rsidR="00F73260">
        <w:rPr>
          <w:rFonts w:asciiTheme="minorHAnsi" w:hAnsiTheme="minorHAnsi" w:cstheme="minorHAnsi"/>
          <w:w w:val="105"/>
          <w:sz w:val="24"/>
        </w:rPr>
        <w:t>labelled</w:t>
      </w:r>
      <w:r w:rsidR="00F12B67" w:rsidRPr="004B34E3">
        <w:rPr>
          <w:rFonts w:asciiTheme="minorHAnsi" w:hAnsiTheme="minorHAnsi" w:cstheme="minorHAnsi"/>
          <w:w w:val="105"/>
          <w:sz w:val="24"/>
        </w:rPr>
        <w:t xml:space="preserve"> with different.</w:t>
      </w:r>
    </w:p>
    <w:p w14:paraId="427DE1E4" w14:textId="77777777" w:rsidR="001F7A91" w:rsidRDefault="001F7A91" w:rsidP="004B34E3">
      <w:pPr>
        <w:pStyle w:val="Heading1"/>
        <w:tabs>
          <w:tab w:val="left" w:pos="464"/>
        </w:tabs>
        <w:ind w:left="0" w:firstLine="0"/>
        <w:rPr>
          <w:rFonts w:asciiTheme="minorHAnsi" w:hAnsiTheme="minorHAnsi" w:cstheme="minorHAnsi"/>
          <w:sz w:val="28"/>
        </w:rPr>
      </w:pPr>
    </w:p>
    <w:p w14:paraId="35368793" w14:textId="21869138" w:rsidR="001B3ED2" w:rsidRPr="004B34E3" w:rsidRDefault="00F12B67" w:rsidP="001F7A91">
      <w:pPr>
        <w:pStyle w:val="Heading1"/>
        <w:numPr>
          <w:ilvl w:val="0"/>
          <w:numId w:val="7"/>
        </w:numPr>
        <w:tabs>
          <w:tab w:val="left" w:pos="464"/>
        </w:tabs>
        <w:rPr>
          <w:rFonts w:asciiTheme="minorHAnsi" w:hAnsiTheme="minorHAnsi" w:cstheme="minorHAnsi"/>
          <w:sz w:val="28"/>
        </w:rPr>
      </w:pPr>
      <w:r w:rsidRPr="004B34E3">
        <w:rPr>
          <w:rFonts w:asciiTheme="minorHAnsi" w:hAnsiTheme="minorHAnsi" w:cstheme="minorHAnsi"/>
          <w:sz w:val="28"/>
        </w:rPr>
        <w:lastRenderedPageBreak/>
        <w:t>Advantages of Molecular Genetic Methods</w:t>
      </w:r>
    </w:p>
    <w:p w14:paraId="672CD1FC" w14:textId="77777777" w:rsidR="001B3ED2" w:rsidRPr="004B34E3" w:rsidRDefault="00F12B67" w:rsidP="001F7A91">
      <w:pPr>
        <w:pStyle w:val="BodyText"/>
        <w:numPr>
          <w:ilvl w:val="0"/>
          <w:numId w:val="9"/>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Detection of not only cultivable species but also of uncultivable microbial species or strains.</w:t>
      </w:r>
    </w:p>
    <w:p w14:paraId="3D80AA4E" w14:textId="35262869" w:rsidR="001B3ED2" w:rsidRPr="004B34E3" w:rsidRDefault="00F12B67" w:rsidP="001F7A91">
      <w:pPr>
        <w:pStyle w:val="BodyText"/>
        <w:numPr>
          <w:ilvl w:val="0"/>
          <w:numId w:val="9"/>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 xml:space="preserve">Higher specificity and accurate identification of microbial strains with ambiguous phenotypic </w:t>
      </w:r>
      <w:proofErr w:type="spellStart"/>
      <w:r w:rsidR="00F73260">
        <w:rPr>
          <w:rFonts w:asciiTheme="minorHAnsi" w:hAnsiTheme="minorHAnsi" w:cstheme="minorHAnsi"/>
          <w:w w:val="105"/>
          <w:sz w:val="24"/>
        </w:rPr>
        <w:t>behaviour</w:t>
      </w:r>
      <w:proofErr w:type="spellEnd"/>
      <w:r w:rsidRPr="004B34E3">
        <w:rPr>
          <w:rFonts w:asciiTheme="minorHAnsi" w:hAnsiTheme="minorHAnsi" w:cstheme="minorHAnsi"/>
          <w:w w:val="105"/>
          <w:sz w:val="24"/>
        </w:rPr>
        <w:t>, including divergent or convergent strains.</w:t>
      </w:r>
    </w:p>
    <w:p w14:paraId="0C12528C" w14:textId="77777777" w:rsidR="001B3ED2" w:rsidRPr="004B34E3" w:rsidRDefault="00F12B67" w:rsidP="001F7A91">
      <w:pPr>
        <w:pStyle w:val="BodyText"/>
        <w:numPr>
          <w:ilvl w:val="0"/>
          <w:numId w:val="9"/>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Detection of microbial species directly in clinical samples, without the need for cultivation.</w:t>
      </w:r>
    </w:p>
    <w:p w14:paraId="2018598B" w14:textId="77777777" w:rsidR="001F7A91" w:rsidRDefault="00F12B67" w:rsidP="001F7A91">
      <w:pPr>
        <w:pStyle w:val="BodyText"/>
        <w:numPr>
          <w:ilvl w:val="0"/>
          <w:numId w:val="9"/>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Higher sensitivity.</w:t>
      </w:r>
    </w:p>
    <w:p w14:paraId="30505FB4" w14:textId="77777777" w:rsidR="001F7A91" w:rsidRDefault="001F7A91" w:rsidP="001F7A91">
      <w:pPr>
        <w:pStyle w:val="BodyText"/>
        <w:numPr>
          <w:ilvl w:val="0"/>
          <w:numId w:val="9"/>
        </w:numPr>
        <w:spacing w:before="1" w:line="360" w:lineRule="auto"/>
        <w:rPr>
          <w:rFonts w:asciiTheme="minorHAnsi" w:hAnsiTheme="minorHAnsi" w:cstheme="minorHAnsi"/>
          <w:w w:val="105"/>
          <w:sz w:val="24"/>
        </w:rPr>
      </w:pPr>
      <w:r w:rsidRPr="001F7A91">
        <w:rPr>
          <w:rFonts w:asciiTheme="minorHAnsi" w:hAnsiTheme="minorHAnsi" w:cstheme="minorHAnsi"/>
          <w:w w:val="105"/>
          <w:sz w:val="24"/>
        </w:rPr>
        <w:t>F</w:t>
      </w:r>
      <w:r w:rsidR="00F12B67" w:rsidRPr="001F7A91">
        <w:rPr>
          <w:rFonts w:asciiTheme="minorHAnsi" w:hAnsiTheme="minorHAnsi" w:cstheme="minorHAnsi"/>
          <w:w w:val="105"/>
          <w:sz w:val="24"/>
        </w:rPr>
        <w:t>aster and less time-consuming.</w:t>
      </w:r>
    </w:p>
    <w:p w14:paraId="36DBA2BE" w14:textId="77777777" w:rsidR="00FA5649" w:rsidRDefault="00F12B67" w:rsidP="00FA5649">
      <w:pPr>
        <w:pStyle w:val="BodyText"/>
        <w:numPr>
          <w:ilvl w:val="0"/>
          <w:numId w:val="9"/>
        </w:numPr>
        <w:spacing w:before="1" w:line="360" w:lineRule="auto"/>
        <w:rPr>
          <w:rFonts w:asciiTheme="minorHAnsi" w:hAnsiTheme="minorHAnsi" w:cstheme="minorHAnsi"/>
          <w:w w:val="105"/>
          <w:sz w:val="24"/>
        </w:rPr>
      </w:pPr>
      <w:r w:rsidRPr="001F7A91">
        <w:rPr>
          <w:rFonts w:asciiTheme="minorHAnsi" w:hAnsiTheme="minorHAnsi" w:cstheme="minorHAnsi"/>
          <w:w w:val="105"/>
          <w:sz w:val="24"/>
        </w:rPr>
        <w:t xml:space="preserve">They offer a rapid diagnosis, which is particularly advantageous in cases of life-threatening diseases or diseases caused by </w:t>
      </w:r>
      <w:r w:rsidR="00B20354" w:rsidRPr="001F7A91">
        <w:rPr>
          <w:rFonts w:asciiTheme="minorHAnsi" w:hAnsiTheme="minorHAnsi" w:cstheme="minorHAnsi"/>
          <w:w w:val="105"/>
          <w:sz w:val="24"/>
        </w:rPr>
        <w:t>slow-growing</w:t>
      </w:r>
      <w:r w:rsidRPr="001F7A91">
        <w:rPr>
          <w:rFonts w:asciiTheme="minorHAnsi" w:hAnsiTheme="minorHAnsi" w:cstheme="minorHAnsi"/>
          <w:w w:val="105"/>
          <w:sz w:val="24"/>
        </w:rPr>
        <w:t xml:space="preserve"> micro-organisms.</w:t>
      </w:r>
    </w:p>
    <w:p w14:paraId="76FBC157" w14:textId="42AB0B41" w:rsidR="001D7DF8" w:rsidRPr="00FA5649" w:rsidRDefault="00F12B67" w:rsidP="00FA5649">
      <w:pPr>
        <w:pStyle w:val="BodyText"/>
        <w:numPr>
          <w:ilvl w:val="0"/>
          <w:numId w:val="9"/>
        </w:numPr>
        <w:spacing w:before="1" w:line="360" w:lineRule="auto"/>
        <w:rPr>
          <w:rFonts w:asciiTheme="minorHAnsi" w:hAnsiTheme="minorHAnsi" w:cstheme="minorHAnsi"/>
          <w:w w:val="105"/>
          <w:sz w:val="24"/>
        </w:rPr>
      </w:pPr>
      <w:r w:rsidRPr="00FA5649">
        <w:rPr>
          <w:rFonts w:asciiTheme="minorHAnsi" w:hAnsiTheme="minorHAnsi" w:cstheme="minorHAnsi"/>
          <w:w w:val="105"/>
          <w:sz w:val="24"/>
        </w:rPr>
        <w:t xml:space="preserve">They do not require carefully controlled anaerobic conditions during sampling and transportation, which is advantageous since fastidious anaerobic bacteria and other fragile </w:t>
      </w:r>
      <w:r w:rsidR="00B20354" w:rsidRPr="00FA5649">
        <w:rPr>
          <w:rFonts w:asciiTheme="minorHAnsi" w:hAnsiTheme="minorHAnsi" w:cstheme="minorHAnsi"/>
          <w:w w:val="105"/>
          <w:sz w:val="24"/>
        </w:rPr>
        <w:t>microorganisms</w:t>
      </w:r>
      <w:r w:rsidRPr="00FA5649">
        <w:rPr>
          <w:rFonts w:asciiTheme="minorHAnsi" w:hAnsiTheme="minorHAnsi" w:cstheme="minorHAnsi"/>
          <w:w w:val="105"/>
          <w:sz w:val="24"/>
        </w:rPr>
        <w:t xml:space="preserve"> can lose viability during transit.</w:t>
      </w:r>
    </w:p>
    <w:p w14:paraId="3A64D446" w14:textId="77777777" w:rsidR="001D7DF8" w:rsidRDefault="00F12B67" w:rsidP="004B34E3">
      <w:pPr>
        <w:pStyle w:val="BodyText"/>
        <w:numPr>
          <w:ilvl w:val="0"/>
          <w:numId w:val="9"/>
        </w:numPr>
        <w:spacing w:before="1" w:line="360" w:lineRule="auto"/>
        <w:ind w:left="540"/>
        <w:rPr>
          <w:rFonts w:asciiTheme="minorHAnsi" w:hAnsiTheme="minorHAnsi" w:cstheme="minorHAnsi"/>
          <w:w w:val="105"/>
          <w:sz w:val="24"/>
        </w:rPr>
      </w:pPr>
      <w:r w:rsidRPr="001D7DF8">
        <w:rPr>
          <w:rFonts w:asciiTheme="minorHAnsi" w:hAnsiTheme="minorHAnsi" w:cstheme="minorHAnsi"/>
          <w:w w:val="105"/>
          <w:sz w:val="24"/>
        </w:rPr>
        <w:t>They can be used during antimicrobial treatment.</w:t>
      </w:r>
    </w:p>
    <w:p w14:paraId="44F2230F" w14:textId="2DEEBA10" w:rsidR="001B3ED2" w:rsidRDefault="00F12B67" w:rsidP="004B34E3">
      <w:pPr>
        <w:pStyle w:val="BodyText"/>
        <w:numPr>
          <w:ilvl w:val="0"/>
          <w:numId w:val="9"/>
        </w:numPr>
        <w:spacing w:before="1" w:line="360" w:lineRule="auto"/>
        <w:ind w:left="540"/>
        <w:rPr>
          <w:rFonts w:asciiTheme="minorHAnsi" w:hAnsiTheme="minorHAnsi" w:cstheme="minorHAnsi"/>
          <w:w w:val="105"/>
          <w:sz w:val="24"/>
        </w:rPr>
      </w:pPr>
      <w:r w:rsidRPr="001D7DF8">
        <w:rPr>
          <w:rFonts w:asciiTheme="minorHAnsi" w:hAnsiTheme="minorHAnsi" w:cstheme="minorHAnsi"/>
          <w:w w:val="105"/>
          <w:sz w:val="24"/>
        </w:rPr>
        <w:t xml:space="preserve">When a large number of samples are to be surveyed in epidemiological studies, samples can be stored and </w:t>
      </w:r>
      <w:r w:rsidR="00B20354" w:rsidRPr="001D7DF8">
        <w:rPr>
          <w:rFonts w:asciiTheme="minorHAnsi" w:hAnsiTheme="minorHAnsi" w:cstheme="minorHAnsi"/>
          <w:w w:val="105"/>
          <w:sz w:val="24"/>
        </w:rPr>
        <w:t>analyzed</w:t>
      </w:r>
      <w:r w:rsidRPr="001D7DF8">
        <w:rPr>
          <w:rFonts w:asciiTheme="minorHAnsi" w:hAnsiTheme="minorHAnsi" w:cstheme="minorHAnsi"/>
          <w:w w:val="105"/>
          <w:sz w:val="24"/>
        </w:rPr>
        <w:t xml:space="preserve"> all at once (Siqueira &amp;</w:t>
      </w:r>
      <w:proofErr w:type="spellStart"/>
      <w:r w:rsidRPr="001D7DF8">
        <w:rPr>
          <w:rFonts w:asciiTheme="minorHAnsi" w:hAnsiTheme="minorHAnsi" w:cstheme="minorHAnsi"/>
          <w:w w:val="105"/>
          <w:sz w:val="24"/>
        </w:rPr>
        <w:t>Rocas</w:t>
      </w:r>
      <w:proofErr w:type="spellEnd"/>
      <w:r w:rsidRPr="001D7DF8">
        <w:rPr>
          <w:rFonts w:asciiTheme="minorHAnsi" w:hAnsiTheme="minorHAnsi" w:cstheme="minorHAnsi"/>
          <w:w w:val="105"/>
          <w:sz w:val="24"/>
        </w:rPr>
        <w:t>, 2005).</w:t>
      </w:r>
    </w:p>
    <w:p w14:paraId="5FFEEE2B" w14:textId="77777777" w:rsidR="001D7DF8" w:rsidRPr="001D7DF8" w:rsidRDefault="001D7DF8" w:rsidP="001D7DF8">
      <w:pPr>
        <w:pStyle w:val="BodyText"/>
        <w:spacing w:before="1" w:line="360" w:lineRule="auto"/>
        <w:ind w:left="540"/>
        <w:rPr>
          <w:rFonts w:asciiTheme="minorHAnsi" w:hAnsiTheme="minorHAnsi" w:cstheme="minorHAnsi"/>
          <w:w w:val="105"/>
          <w:sz w:val="24"/>
        </w:rPr>
      </w:pPr>
    </w:p>
    <w:p w14:paraId="1837CDE5" w14:textId="77777777" w:rsidR="001B3ED2" w:rsidRPr="001D7DF8" w:rsidRDefault="00F12B67" w:rsidP="001D7DF8">
      <w:pPr>
        <w:pStyle w:val="BodyText"/>
        <w:numPr>
          <w:ilvl w:val="0"/>
          <w:numId w:val="7"/>
        </w:numPr>
        <w:spacing w:before="1" w:line="360" w:lineRule="auto"/>
        <w:rPr>
          <w:rFonts w:asciiTheme="minorHAnsi" w:hAnsiTheme="minorHAnsi" w:cstheme="minorHAnsi"/>
          <w:b/>
          <w:bCs/>
          <w:w w:val="105"/>
          <w:sz w:val="28"/>
          <w:szCs w:val="28"/>
        </w:rPr>
      </w:pPr>
      <w:r w:rsidRPr="001D7DF8">
        <w:rPr>
          <w:rFonts w:asciiTheme="minorHAnsi" w:hAnsiTheme="minorHAnsi" w:cstheme="minorHAnsi"/>
          <w:b/>
          <w:bCs/>
          <w:w w:val="105"/>
          <w:sz w:val="28"/>
          <w:szCs w:val="28"/>
        </w:rPr>
        <w:t>Limitations of PCR-derived technologies</w:t>
      </w:r>
    </w:p>
    <w:p w14:paraId="1ED67C7A" w14:textId="77777777" w:rsidR="001B3ED2" w:rsidRPr="004B34E3" w:rsidRDefault="00F12B67" w:rsidP="001D7DF8">
      <w:pPr>
        <w:pStyle w:val="BodyText"/>
        <w:numPr>
          <w:ilvl w:val="0"/>
          <w:numId w:val="10"/>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Most PCR assays used for identification purposes qualitatively detect the target microorganism but not its levels in the sample. Quantitative results can however be obtained in real-time PCR assays.</w:t>
      </w:r>
    </w:p>
    <w:p w14:paraId="2572168F" w14:textId="77777777" w:rsidR="001B3ED2" w:rsidRPr="004B34E3" w:rsidRDefault="00F12B67" w:rsidP="001D7DF8">
      <w:pPr>
        <w:pStyle w:val="BodyText"/>
        <w:numPr>
          <w:ilvl w:val="0"/>
          <w:numId w:val="10"/>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Most PCR assays only detect one species or a few different species (multiplex PCR) at a time. However, broad-range PCR analysis can provide information about the identity of virtually all species in a community.</w:t>
      </w:r>
    </w:p>
    <w:p w14:paraId="24D8354E" w14:textId="77777777" w:rsidR="001B3ED2" w:rsidRPr="004B34E3" w:rsidRDefault="00F12B67" w:rsidP="001D7DF8">
      <w:pPr>
        <w:pStyle w:val="BodyText"/>
        <w:numPr>
          <w:ilvl w:val="0"/>
          <w:numId w:val="10"/>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Like DNA-DNA hybridization, most PCR assays only detect target species and consequently fail to detect unexpected species. This can be overcome by broad-range PCR assays.</w:t>
      </w:r>
    </w:p>
    <w:p w14:paraId="1581C482" w14:textId="285F458C" w:rsidR="001B3ED2" w:rsidRPr="004B34E3" w:rsidRDefault="00F12B67" w:rsidP="001D7DF8">
      <w:pPr>
        <w:pStyle w:val="BodyText"/>
        <w:numPr>
          <w:ilvl w:val="0"/>
          <w:numId w:val="10"/>
        </w:numPr>
        <w:spacing w:before="1" w:line="360" w:lineRule="auto"/>
        <w:rPr>
          <w:rFonts w:asciiTheme="minorHAnsi" w:hAnsiTheme="minorHAnsi" w:cstheme="minorHAnsi"/>
          <w:w w:val="105"/>
          <w:sz w:val="24"/>
        </w:rPr>
      </w:pPr>
      <w:r w:rsidRPr="004B34E3">
        <w:rPr>
          <w:rFonts w:asciiTheme="minorHAnsi" w:hAnsiTheme="minorHAnsi" w:cstheme="minorHAnsi"/>
          <w:w w:val="105"/>
          <w:sz w:val="24"/>
        </w:rPr>
        <w:t>In addition to being laborious and costly, broad-range PCR analyses can be affected by some factors, such as biases in homogenization procedures, preferential DNA amplification</w:t>
      </w:r>
      <w:r w:rsidR="00B20354">
        <w:rPr>
          <w:rFonts w:asciiTheme="minorHAnsi" w:hAnsiTheme="minorHAnsi" w:cstheme="minorHAnsi"/>
          <w:w w:val="105"/>
          <w:sz w:val="24"/>
        </w:rPr>
        <w:t>,</w:t>
      </w:r>
      <w:r w:rsidRPr="004B34E3">
        <w:rPr>
          <w:rFonts w:asciiTheme="minorHAnsi" w:hAnsiTheme="minorHAnsi" w:cstheme="minorHAnsi"/>
          <w:w w:val="105"/>
          <w:sz w:val="24"/>
        </w:rPr>
        <w:t xml:space="preserve"> and differential DNA extraction.</w:t>
      </w:r>
    </w:p>
    <w:p w14:paraId="548987A4" w14:textId="77777777" w:rsidR="00560A26" w:rsidRDefault="00F12B67" w:rsidP="00560A26">
      <w:pPr>
        <w:pStyle w:val="BodyText"/>
        <w:numPr>
          <w:ilvl w:val="0"/>
          <w:numId w:val="10"/>
        </w:numPr>
        <w:spacing w:before="1" w:line="360" w:lineRule="auto"/>
        <w:rPr>
          <w:rFonts w:asciiTheme="minorHAnsi" w:hAnsiTheme="minorHAnsi" w:cstheme="minorHAnsi"/>
          <w:w w:val="105"/>
          <w:sz w:val="24"/>
        </w:rPr>
      </w:pPr>
      <w:r w:rsidRPr="00560A26">
        <w:rPr>
          <w:rFonts w:asciiTheme="minorHAnsi" w:hAnsiTheme="minorHAnsi" w:cstheme="minorHAnsi"/>
          <w:w w:val="105"/>
          <w:sz w:val="24"/>
        </w:rPr>
        <w:t xml:space="preserve">Microorganisms with thick cell walls, such as fungi, may be difficult to break open and </w:t>
      </w:r>
      <w:r w:rsidRPr="00560A26">
        <w:rPr>
          <w:rFonts w:asciiTheme="minorHAnsi" w:hAnsiTheme="minorHAnsi" w:cstheme="minorHAnsi"/>
          <w:w w:val="105"/>
          <w:sz w:val="24"/>
        </w:rPr>
        <w:lastRenderedPageBreak/>
        <w:t>may require additional steps for lysis and consequent DNA release to occur.</w:t>
      </w:r>
    </w:p>
    <w:p w14:paraId="38435FD8" w14:textId="77777777" w:rsidR="00560A26" w:rsidRDefault="00F12B67" w:rsidP="00560A26">
      <w:pPr>
        <w:pStyle w:val="BodyText"/>
        <w:numPr>
          <w:ilvl w:val="0"/>
          <w:numId w:val="10"/>
        </w:numPr>
        <w:spacing w:before="1" w:line="360" w:lineRule="auto"/>
        <w:rPr>
          <w:rFonts w:asciiTheme="minorHAnsi" w:hAnsiTheme="minorHAnsi" w:cstheme="minorHAnsi"/>
          <w:w w:val="105"/>
          <w:sz w:val="24"/>
        </w:rPr>
      </w:pPr>
      <w:r w:rsidRPr="00560A26">
        <w:rPr>
          <w:rFonts w:asciiTheme="minorHAnsi" w:hAnsiTheme="minorHAnsi" w:cstheme="minorHAnsi"/>
          <w:w w:val="105"/>
          <w:sz w:val="24"/>
        </w:rPr>
        <w:t>False positive results have the potential to occur because of PCR amplification of contaminant DNA. The most important means of contamination is through carryover of amplification product and special precautions should be taken to avoid this.</w:t>
      </w:r>
    </w:p>
    <w:p w14:paraId="4F5BF203" w14:textId="0F9E4986" w:rsidR="00560A26" w:rsidRPr="00FA5649" w:rsidRDefault="00F12B67" w:rsidP="00FA5649">
      <w:pPr>
        <w:pStyle w:val="BodyText"/>
        <w:numPr>
          <w:ilvl w:val="0"/>
          <w:numId w:val="10"/>
        </w:numPr>
        <w:spacing w:before="1" w:line="360" w:lineRule="auto"/>
        <w:rPr>
          <w:rFonts w:asciiTheme="minorHAnsi" w:hAnsiTheme="minorHAnsi" w:cstheme="minorHAnsi"/>
          <w:w w:val="105"/>
          <w:sz w:val="24"/>
        </w:rPr>
      </w:pPr>
      <w:r w:rsidRPr="00560A26">
        <w:rPr>
          <w:rFonts w:asciiTheme="minorHAnsi" w:hAnsiTheme="minorHAnsi" w:cstheme="minorHAnsi"/>
          <w:w w:val="105"/>
          <w:sz w:val="24"/>
        </w:rPr>
        <w:t xml:space="preserve">False negatives may occur because of enzyme inhibitors or nucleases present in clinical samples, which may abort the amplification reaction and degrade the DNA template, respectively. Analysis of small sample volumes may also lead to false negative results, particularly if the target species is present in low numbers (Siqueira &amp; </w:t>
      </w:r>
      <w:proofErr w:type="spellStart"/>
      <w:r w:rsidRPr="00560A26">
        <w:rPr>
          <w:rFonts w:asciiTheme="minorHAnsi" w:hAnsiTheme="minorHAnsi" w:cstheme="minorHAnsi"/>
          <w:w w:val="105"/>
          <w:sz w:val="24"/>
        </w:rPr>
        <w:t>Rocas</w:t>
      </w:r>
      <w:proofErr w:type="spellEnd"/>
      <w:r w:rsidRPr="00560A26">
        <w:rPr>
          <w:rFonts w:asciiTheme="minorHAnsi" w:hAnsiTheme="minorHAnsi" w:cstheme="minorHAnsi"/>
          <w:w w:val="105"/>
          <w:sz w:val="24"/>
        </w:rPr>
        <w:t>, 2005).</w:t>
      </w:r>
    </w:p>
    <w:p w14:paraId="76CEC64C" w14:textId="77777777" w:rsidR="001B3ED2" w:rsidRDefault="001B3ED2" w:rsidP="004B34E3">
      <w:pPr>
        <w:pStyle w:val="BodyText"/>
        <w:spacing w:before="1" w:line="360" w:lineRule="auto"/>
        <w:ind w:left="540"/>
        <w:rPr>
          <w:rFonts w:asciiTheme="minorHAnsi" w:hAnsiTheme="minorHAnsi" w:cstheme="minorHAnsi"/>
          <w:w w:val="105"/>
          <w:sz w:val="24"/>
        </w:rPr>
      </w:pPr>
    </w:p>
    <w:p w14:paraId="613DDE7C" w14:textId="2990812D" w:rsidR="00E273E3" w:rsidRPr="008E371E" w:rsidRDefault="008E371E" w:rsidP="00E273E3">
      <w:pPr>
        <w:pStyle w:val="BodyText"/>
        <w:spacing w:before="1" w:line="360" w:lineRule="auto"/>
        <w:ind w:left="540"/>
        <w:rPr>
          <w:rFonts w:asciiTheme="minorHAnsi" w:hAnsiTheme="minorHAnsi" w:cstheme="minorHAnsi"/>
          <w:b/>
          <w:bCs/>
          <w:w w:val="105"/>
          <w:sz w:val="28"/>
          <w:szCs w:val="28"/>
        </w:rPr>
      </w:pPr>
      <w:r w:rsidRPr="008E371E">
        <w:rPr>
          <w:rFonts w:asciiTheme="minorHAnsi" w:hAnsiTheme="minorHAnsi" w:cstheme="minorHAnsi"/>
          <w:b/>
          <w:bCs/>
          <w:w w:val="105"/>
          <w:sz w:val="28"/>
          <w:szCs w:val="28"/>
        </w:rPr>
        <w:t xml:space="preserve">CONCLUSION  </w:t>
      </w:r>
    </w:p>
    <w:p w14:paraId="2D1050AB" w14:textId="4AE645CE" w:rsidR="00D35EC5" w:rsidRDefault="00E273E3" w:rsidP="00FA5649">
      <w:pPr>
        <w:pStyle w:val="BodyText"/>
        <w:spacing w:before="1" w:line="360" w:lineRule="auto"/>
        <w:ind w:left="540"/>
        <w:rPr>
          <w:rFonts w:asciiTheme="minorHAnsi" w:hAnsiTheme="minorHAnsi" w:cstheme="minorHAnsi"/>
          <w:w w:val="105"/>
          <w:sz w:val="24"/>
        </w:rPr>
      </w:pPr>
      <w:r w:rsidRPr="00E273E3">
        <w:rPr>
          <w:rFonts w:asciiTheme="minorHAnsi" w:hAnsiTheme="minorHAnsi" w:cstheme="minorHAnsi"/>
          <w:w w:val="105"/>
          <w:sz w:val="24"/>
        </w:rPr>
        <w:t xml:space="preserve">It is well established that bacteria are responsible for the development of pulpal and periradicular diseases and the presence of bacteria inside the root canal system or periapical tissue can alter the success rate of endodontic treatment. </w:t>
      </w:r>
      <w:r w:rsidR="00F73260">
        <w:rPr>
          <w:rFonts w:asciiTheme="minorHAnsi" w:hAnsiTheme="minorHAnsi" w:cstheme="minorHAnsi"/>
          <w:w w:val="105"/>
          <w:sz w:val="24"/>
        </w:rPr>
        <w:t>In</w:t>
      </w:r>
      <w:r w:rsidRPr="00E273E3">
        <w:rPr>
          <w:rFonts w:asciiTheme="minorHAnsi" w:hAnsiTheme="minorHAnsi" w:cstheme="minorHAnsi"/>
          <w:w w:val="105"/>
          <w:sz w:val="24"/>
        </w:rPr>
        <w:t xml:space="preserve"> primary endodontic cases root canal environment provides </w:t>
      </w:r>
      <w:r w:rsidR="00F73260">
        <w:rPr>
          <w:rFonts w:asciiTheme="minorHAnsi" w:hAnsiTheme="minorHAnsi" w:cstheme="minorHAnsi"/>
          <w:w w:val="105"/>
          <w:sz w:val="24"/>
        </w:rPr>
        <w:t xml:space="preserve">a </w:t>
      </w:r>
      <w:r w:rsidRPr="00E273E3">
        <w:rPr>
          <w:rFonts w:asciiTheme="minorHAnsi" w:hAnsiTheme="minorHAnsi" w:cstheme="minorHAnsi"/>
          <w:w w:val="105"/>
          <w:sz w:val="24"/>
        </w:rPr>
        <w:t xml:space="preserve">better nutritional supply rich with peptides and amino acids for bacterial inhabitants of </w:t>
      </w:r>
      <w:r w:rsidR="00F73260">
        <w:rPr>
          <w:rFonts w:asciiTheme="minorHAnsi" w:hAnsiTheme="minorHAnsi" w:cstheme="minorHAnsi"/>
          <w:w w:val="105"/>
          <w:sz w:val="24"/>
        </w:rPr>
        <w:t xml:space="preserve">the </w:t>
      </w:r>
      <w:r w:rsidRPr="00E273E3">
        <w:rPr>
          <w:rFonts w:asciiTheme="minorHAnsi" w:hAnsiTheme="minorHAnsi" w:cstheme="minorHAnsi"/>
          <w:w w:val="105"/>
          <w:sz w:val="24"/>
        </w:rPr>
        <w:t xml:space="preserve">root canal system. Whilst in the well-filled root canal most or all of the necrotic pulp tissue remnants are eliminated. </w:t>
      </w:r>
      <w:r w:rsidR="00F73260">
        <w:rPr>
          <w:rFonts w:asciiTheme="minorHAnsi" w:hAnsiTheme="minorHAnsi" w:cstheme="minorHAnsi"/>
          <w:w w:val="105"/>
          <w:sz w:val="24"/>
        </w:rPr>
        <w:t>Clinicians must understand</w:t>
      </w:r>
      <w:r w:rsidRPr="00E273E3">
        <w:rPr>
          <w:rFonts w:asciiTheme="minorHAnsi" w:hAnsiTheme="minorHAnsi" w:cstheme="minorHAnsi"/>
          <w:w w:val="105"/>
          <w:sz w:val="24"/>
        </w:rPr>
        <w:t xml:space="preserve"> the nature of polymicrobial endodontic infections and realize the importance of removing the reservoir of infection by endodontic treatment or tooth extraction. Endodontic biofilms are </w:t>
      </w:r>
      <w:r w:rsidR="00F73260">
        <w:rPr>
          <w:rFonts w:asciiTheme="minorHAnsi" w:hAnsiTheme="minorHAnsi" w:cstheme="minorHAnsi"/>
          <w:w w:val="105"/>
          <w:sz w:val="24"/>
        </w:rPr>
        <w:t>well-protected</w:t>
      </w:r>
      <w:r w:rsidRPr="00E273E3">
        <w:rPr>
          <w:rFonts w:asciiTheme="minorHAnsi" w:hAnsiTheme="minorHAnsi" w:cstheme="minorHAnsi"/>
          <w:w w:val="105"/>
          <w:sz w:val="24"/>
        </w:rPr>
        <w:t xml:space="preserve"> within the root canals of teeth and are difficult to access. Using the endogenous fluorescence of porphyrins and other bacterial metabolites for real-time detection and analysis of the presence and extent of these biofilms is a practical approach, with penetrating visible red light as the preferred excitation source. </w:t>
      </w:r>
      <w:r w:rsidR="00F73260">
        <w:rPr>
          <w:rFonts w:asciiTheme="minorHAnsi" w:hAnsiTheme="minorHAnsi" w:cstheme="minorHAnsi"/>
          <w:w w:val="105"/>
          <w:sz w:val="24"/>
        </w:rPr>
        <w:t>An optimal approach for biofilm removal will likely</w:t>
      </w:r>
      <w:r w:rsidRPr="00E273E3">
        <w:rPr>
          <w:rFonts w:asciiTheme="minorHAnsi" w:hAnsiTheme="minorHAnsi" w:cstheme="minorHAnsi"/>
          <w:w w:val="105"/>
          <w:sz w:val="24"/>
        </w:rPr>
        <w:t xml:space="preserve"> require the combination of several of the technologies discussed in this review, including improved methods for mechanical removal of biofilms using instrumentation combined with irrigation fluids, as well as enhanced chemical treatments and improved biocides that can inactivate microorganisms. As a result, there will be a need for decreased reliance on traditional antibiotics, and greater utilization of antimicrobial strategies for which the development of resistance is unlikely to occur. Recent advances in root canal disinfection using new technology and </w:t>
      </w:r>
      <w:r w:rsidR="00F73260">
        <w:rPr>
          <w:rFonts w:asciiTheme="minorHAnsi" w:hAnsiTheme="minorHAnsi" w:cstheme="minorHAnsi"/>
          <w:w w:val="105"/>
          <w:sz w:val="24"/>
        </w:rPr>
        <w:t>based on</w:t>
      </w:r>
      <w:r w:rsidRPr="00E273E3">
        <w:rPr>
          <w:rFonts w:asciiTheme="minorHAnsi" w:hAnsiTheme="minorHAnsi" w:cstheme="minorHAnsi"/>
          <w:w w:val="105"/>
          <w:sz w:val="24"/>
        </w:rPr>
        <w:t xml:space="preserve"> recent studies may improve the ability to disinfect the root canal system. </w:t>
      </w:r>
      <w:r w:rsidR="00D35EC5">
        <w:rPr>
          <w:rFonts w:asciiTheme="minorHAnsi" w:hAnsiTheme="minorHAnsi" w:cstheme="minorHAnsi"/>
          <w:w w:val="105"/>
          <w:sz w:val="24"/>
        </w:rPr>
        <w:br w:type="page"/>
      </w:r>
    </w:p>
    <w:p w14:paraId="5E7567FA" w14:textId="19D8CBD4" w:rsidR="005B1B7F" w:rsidRPr="00D35EC5" w:rsidRDefault="005B1B7F" w:rsidP="005B1B7F">
      <w:pPr>
        <w:pStyle w:val="BodyText"/>
        <w:spacing w:before="1" w:line="360" w:lineRule="auto"/>
        <w:ind w:left="540"/>
        <w:rPr>
          <w:rFonts w:asciiTheme="minorHAnsi" w:hAnsiTheme="minorHAnsi" w:cstheme="minorHAnsi"/>
          <w:b/>
          <w:bCs/>
          <w:w w:val="105"/>
          <w:sz w:val="28"/>
          <w:szCs w:val="28"/>
        </w:rPr>
      </w:pPr>
      <w:r w:rsidRPr="00D35EC5">
        <w:rPr>
          <w:rFonts w:asciiTheme="minorHAnsi" w:hAnsiTheme="minorHAnsi" w:cstheme="minorHAnsi"/>
          <w:b/>
          <w:bCs/>
          <w:w w:val="105"/>
          <w:sz w:val="28"/>
          <w:szCs w:val="28"/>
        </w:rPr>
        <w:lastRenderedPageBreak/>
        <w:t>References</w:t>
      </w:r>
    </w:p>
    <w:p w14:paraId="164C0E4E" w14:textId="2B8070C0" w:rsidR="001B3ED2" w:rsidRPr="00A37F27" w:rsidRDefault="00F12B67" w:rsidP="00A37F27">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r w:rsidRPr="00511AFE">
        <w:rPr>
          <w:rFonts w:asciiTheme="minorHAnsi" w:hAnsiTheme="minorHAnsi" w:cstheme="minorHAnsi"/>
          <w:sz w:val="24"/>
          <w:szCs w:val="24"/>
        </w:rPr>
        <w:t>Klara</w:t>
      </w:r>
      <w:r w:rsidRPr="00511AFE">
        <w:rPr>
          <w:rFonts w:asciiTheme="minorHAnsi" w:hAnsiTheme="minorHAnsi" w:cstheme="minorHAnsi"/>
          <w:spacing w:val="11"/>
          <w:sz w:val="24"/>
          <w:szCs w:val="24"/>
        </w:rPr>
        <w:t xml:space="preserve"> </w:t>
      </w:r>
      <w:proofErr w:type="spellStart"/>
      <w:r w:rsidRPr="00511AFE">
        <w:rPr>
          <w:rFonts w:asciiTheme="minorHAnsi" w:hAnsiTheme="minorHAnsi" w:cstheme="minorHAnsi"/>
          <w:sz w:val="24"/>
          <w:szCs w:val="24"/>
        </w:rPr>
        <w:t>Abravaya</w:t>
      </w:r>
      <w:proofErr w:type="spellEnd"/>
      <w:r w:rsidRPr="00511AFE">
        <w:rPr>
          <w:rFonts w:asciiTheme="minorHAnsi" w:hAnsiTheme="minorHAnsi" w:cstheme="minorHAnsi"/>
          <w:sz w:val="24"/>
          <w:szCs w:val="24"/>
        </w:rPr>
        <w:t>.</w:t>
      </w:r>
      <w:r w:rsidRPr="00511AFE">
        <w:rPr>
          <w:rFonts w:asciiTheme="minorHAnsi" w:hAnsiTheme="minorHAnsi" w:cstheme="minorHAnsi"/>
          <w:spacing w:val="11"/>
          <w:sz w:val="24"/>
          <w:szCs w:val="24"/>
        </w:rPr>
        <w:t xml:space="preserve"> </w:t>
      </w:r>
      <w:r w:rsidRPr="00511AFE">
        <w:rPr>
          <w:rFonts w:asciiTheme="minorHAnsi" w:hAnsiTheme="minorHAnsi" w:cstheme="minorHAnsi"/>
          <w:sz w:val="24"/>
          <w:szCs w:val="24"/>
        </w:rPr>
        <w:t>(2011).</w:t>
      </w:r>
      <w:r w:rsidRPr="00511AFE">
        <w:rPr>
          <w:rFonts w:asciiTheme="minorHAnsi" w:hAnsiTheme="minorHAnsi" w:cstheme="minorHAnsi"/>
          <w:spacing w:val="11"/>
          <w:sz w:val="24"/>
          <w:szCs w:val="24"/>
        </w:rPr>
        <w:t xml:space="preserve"> </w:t>
      </w:r>
      <w:r w:rsidRPr="00511AFE">
        <w:rPr>
          <w:rFonts w:asciiTheme="minorHAnsi" w:hAnsiTheme="minorHAnsi" w:cstheme="minorHAnsi"/>
          <w:i/>
          <w:sz w:val="24"/>
          <w:szCs w:val="24"/>
        </w:rPr>
        <w:t>Molecular</w:t>
      </w:r>
      <w:r w:rsidRPr="00511AFE">
        <w:rPr>
          <w:rFonts w:asciiTheme="minorHAnsi" w:hAnsiTheme="minorHAnsi" w:cstheme="minorHAnsi"/>
          <w:i/>
          <w:spacing w:val="1"/>
          <w:sz w:val="24"/>
          <w:szCs w:val="24"/>
        </w:rPr>
        <w:t xml:space="preserve"> </w:t>
      </w:r>
      <w:r w:rsidRPr="00511AFE">
        <w:rPr>
          <w:rFonts w:asciiTheme="minorHAnsi" w:hAnsiTheme="minorHAnsi" w:cstheme="minorHAnsi"/>
          <w:i/>
          <w:sz w:val="24"/>
          <w:szCs w:val="24"/>
        </w:rPr>
        <w:t>beacons</w:t>
      </w:r>
      <w:r w:rsidRPr="00511AFE">
        <w:rPr>
          <w:rFonts w:asciiTheme="minorHAnsi" w:hAnsiTheme="minorHAnsi" w:cstheme="minorHAnsi"/>
          <w:i/>
          <w:spacing w:val="3"/>
          <w:sz w:val="24"/>
          <w:szCs w:val="24"/>
        </w:rPr>
        <w:t xml:space="preserve"> </w:t>
      </w:r>
      <w:r w:rsidRPr="00511AFE">
        <w:rPr>
          <w:rFonts w:asciiTheme="minorHAnsi" w:hAnsiTheme="minorHAnsi" w:cstheme="minorHAnsi"/>
          <w:i/>
          <w:sz w:val="24"/>
          <w:szCs w:val="24"/>
        </w:rPr>
        <w:t>as</w:t>
      </w:r>
      <w:r w:rsidRPr="00511AFE">
        <w:rPr>
          <w:rFonts w:asciiTheme="minorHAnsi" w:hAnsiTheme="minorHAnsi" w:cstheme="minorHAnsi"/>
          <w:i/>
          <w:spacing w:val="1"/>
          <w:sz w:val="24"/>
          <w:szCs w:val="24"/>
        </w:rPr>
        <w:t xml:space="preserve"> </w:t>
      </w:r>
      <w:r w:rsidRPr="00511AFE">
        <w:rPr>
          <w:rFonts w:asciiTheme="minorHAnsi" w:hAnsiTheme="minorHAnsi" w:cstheme="minorHAnsi"/>
          <w:i/>
          <w:sz w:val="24"/>
          <w:szCs w:val="24"/>
        </w:rPr>
        <w:t>diagnostic</w:t>
      </w:r>
      <w:r w:rsidRPr="00511AFE">
        <w:rPr>
          <w:rFonts w:asciiTheme="minorHAnsi" w:hAnsiTheme="minorHAnsi" w:cstheme="minorHAnsi"/>
          <w:i/>
          <w:spacing w:val="1"/>
          <w:sz w:val="24"/>
          <w:szCs w:val="24"/>
        </w:rPr>
        <w:t xml:space="preserve"> </w:t>
      </w:r>
      <w:r w:rsidRPr="00511AFE">
        <w:rPr>
          <w:rFonts w:asciiTheme="minorHAnsi" w:hAnsiTheme="minorHAnsi" w:cstheme="minorHAnsi"/>
          <w:i/>
          <w:sz w:val="24"/>
          <w:szCs w:val="24"/>
        </w:rPr>
        <w:t>tools</w:t>
      </w:r>
      <w:r w:rsidRPr="00511AFE">
        <w:rPr>
          <w:rFonts w:asciiTheme="minorHAnsi" w:hAnsiTheme="minorHAnsi" w:cstheme="minorHAnsi"/>
          <w:sz w:val="24"/>
          <w:szCs w:val="24"/>
        </w:rPr>
        <w:t>.</w:t>
      </w:r>
      <w:r w:rsidRPr="00511AFE">
        <w:rPr>
          <w:rFonts w:asciiTheme="minorHAnsi" w:hAnsiTheme="minorHAnsi" w:cstheme="minorHAnsi"/>
          <w:spacing w:val="11"/>
          <w:sz w:val="24"/>
          <w:szCs w:val="24"/>
        </w:rPr>
        <w:t xml:space="preserve"> </w:t>
      </w:r>
      <w:r w:rsidRPr="00511AFE">
        <w:rPr>
          <w:rFonts w:asciiTheme="minorHAnsi" w:hAnsiTheme="minorHAnsi" w:cstheme="minorHAnsi"/>
          <w:i/>
          <w:sz w:val="24"/>
          <w:szCs w:val="24"/>
        </w:rPr>
        <w:t>2</w:t>
      </w:r>
      <w:r w:rsidRPr="00511AFE">
        <w:rPr>
          <w:rFonts w:asciiTheme="minorHAnsi" w:hAnsiTheme="minorHAnsi" w:cstheme="minorHAnsi"/>
          <w:sz w:val="24"/>
          <w:szCs w:val="24"/>
        </w:rPr>
        <w:t>(3).</w:t>
      </w:r>
    </w:p>
    <w:p w14:paraId="0388586E" w14:textId="77777777" w:rsidR="001B3ED2" w:rsidRPr="00D35EC5" w:rsidRDefault="00F12B67" w:rsidP="00D35EC5">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proofErr w:type="spellStart"/>
      <w:r w:rsidRPr="00D35EC5">
        <w:rPr>
          <w:rFonts w:asciiTheme="minorHAnsi" w:hAnsiTheme="minorHAnsi" w:cstheme="minorHAnsi"/>
          <w:w w:val="105"/>
          <w:sz w:val="24"/>
          <w:szCs w:val="24"/>
        </w:rPr>
        <w:t>Parsek</w:t>
      </w:r>
      <w:proofErr w:type="spellEnd"/>
      <w:r w:rsidRPr="00D35EC5">
        <w:rPr>
          <w:rFonts w:asciiTheme="minorHAnsi" w:hAnsiTheme="minorHAnsi" w:cstheme="minorHAnsi"/>
          <w:w w:val="105"/>
          <w:sz w:val="24"/>
          <w:szCs w:val="24"/>
        </w:rPr>
        <w:t xml:space="preserve"> MR, Greenberg EP. </w:t>
      </w:r>
      <w:proofErr w:type="spellStart"/>
      <w:r w:rsidRPr="00D35EC5">
        <w:rPr>
          <w:rFonts w:asciiTheme="minorHAnsi" w:hAnsiTheme="minorHAnsi" w:cstheme="minorHAnsi"/>
          <w:w w:val="105"/>
          <w:sz w:val="24"/>
          <w:szCs w:val="24"/>
        </w:rPr>
        <w:t>Sociomicrobiology</w:t>
      </w:r>
      <w:proofErr w:type="spellEnd"/>
      <w:r w:rsidRPr="00D35EC5">
        <w:rPr>
          <w:rFonts w:asciiTheme="minorHAnsi" w:hAnsiTheme="minorHAnsi" w:cstheme="minorHAnsi"/>
          <w:w w:val="105"/>
          <w:sz w:val="24"/>
          <w:szCs w:val="24"/>
        </w:rPr>
        <w:t xml:space="preserve">: the connections between quorum sensing and biofilms. Trends </w:t>
      </w:r>
      <w:proofErr w:type="spellStart"/>
      <w:r w:rsidRPr="00D35EC5">
        <w:rPr>
          <w:rFonts w:asciiTheme="minorHAnsi" w:hAnsiTheme="minorHAnsi" w:cstheme="minorHAnsi"/>
          <w:w w:val="105"/>
          <w:sz w:val="24"/>
          <w:szCs w:val="24"/>
        </w:rPr>
        <w:t>Microbiol</w:t>
      </w:r>
      <w:proofErr w:type="spellEnd"/>
      <w:r w:rsidRPr="00D35EC5">
        <w:rPr>
          <w:rFonts w:asciiTheme="minorHAnsi" w:hAnsiTheme="minorHAnsi" w:cstheme="minorHAnsi"/>
          <w:w w:val="105"/>
          <w:sz w:val="24"/>
          <w:szCs w:val="24"/>
        </w:rPr>
        <w:t xml:space="preserve">. (2005) 13:27–33. </w:t>
      </w:r>
      <w:proofErr w:type="spellStart"/>
      <w:r w:rsidRPr="00D35EC5">
        <w:rPr>
          <w:rFonts w:asciiTheme="minorHAnsi" w:hAnsiTheme="minorHAnsi" w:cstheme="minorHAnsi"/>
          <w:w w:val="105"/>
          <w:sz w:val="24"/>
          <w:szCs w:val="24"/>
        </w:rPr>
        <w:t>doi</w:t>
      </w:r>
      <w:proofErr w:type="spellEnd"/>
      <w:r w:rsidRPr="00D35EC5">
        <w:rPr>
          <w:rFonts w:asciiTheme="minorHAnsi" w:hAnsiTheme="minorHAnsi" w:cstheme="minorHAnsi"/>
          <w:w w:val="105"/>
          <w:sz w:val="24"/>
          <w:szCs w:val="24"/>
        </w:rPr>
        <w:t>: 10.1016/j.tim.2004.11.007.</w:t>
      </w:r>
    </w:p>
    <w:p w14:paraId="20B538AC" w14:textId="77777777" w:rsidR="001B3ED2" w:rsidRPr="00D35EC5" w:rsidRDefault="00F12B67" w:rsidP="00D35EC5">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r w:rsidRPr="00D35EC5">
        <w:rPr>
          <w:rFonts w:asciiTheme="minorHAnsi" w:hAnsiTheme="minorHAnsi" w:cstheme="minorHAnsi"/>
          <w:w w:val="105"/>
          <w:sz w:val="24"/>
          <w:szCs w:val="24"/>
        </w:rPr>
        <w:t>Pickenpaugh L, Reader A, Beck M, Meyers WJ, Peterson LJ. Effect of prophylactic amoxicillin on endodontic flareup in asymptomatic, necrotic teeth. J Endod</w:t>
      </w:r>
      <w:proofErr w:type="gramStart"/>
      <w:r w:rsidRPr="00D35EC5">
        <w:rPr>
          <w:rFonts w:asciiTheme="minorHAnsi" w:hAnsiTheme="minorHAnsi" w:cstheme="minorHAnsi"/>
          <w:w w:val="105"/>
          <w:sz w:val="24"/>
          <w:szCs w:val="24"/>
        </w:rPr>
        <w:t>2001;27:53</w:t>
      </w:r>
      <w:proofErr w:type="gramEnd"/>
      <w:r w:rsidRPr="00D35EC5">
        <w:rPr>
          <w:rFonts w:asciiTheme="minorHAnsi" w:hAnsiTheme="minorHAnsi" w:cstheme="minorHAnsi"/>
          <w:w w:val="105"/>
          <w:sz w:val="24"/>
          <w:szCs w:val="24"/>
        </w:rPr>
        <w:t>- 6.</w:t>
      </w:r>
    </w:p>
    <w:p w14:paraId="634BE79D" w14:textId="77777777" w:rsidR="001B3ED2" w:rsidRPr="00D35EC5" w:rsidRDefault="00F12B67" w:rsidP="00D35EC5">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r w:rsidRPr="00D35EC5">
        <w:rPr>
          <w:rFonts w:asciiTheme="minorHAnsi" w:hAnsiTheme="minorHAnsi" w:cstheme="minorHAnsi"/>
          <w:w w:val="105"/>
          <w:sz w:val="24"/>
          <w:szCs w:val="24"/>
        </w:rPr>
        <w:t xml:space="preserve">Peeters E, Nelis HJ, </w:t>
      </w:r>
      <w:proofErr w:type="spellStart"/>
      <w:r w:rsidRPr="00D35EC5">
        <w:rPr>
          <w:rFonts w:asciiTheme="minorHAnsi" w:hAnsiTheme="minorHAnsi" w:cstheme="minorHAnsi"/>
          <w:w w:val="105"/>
          <w:sz w:val="24"/>
          <w:szCs w:val="24"/>
        </w:rPr>
        <w:t>Coenye</w:t>
      </w:r>
      <w:proofErr w:type="spellEnd"/>
      <w:r w:rsidRPr="00D35EC5">
        <w:rPr>
          <w:rFonts w:asciiTheme="minorHAnsi" w:hAnsiTheme="minorHAnsi" w:cstheme="minorHAnsi"/>
          <w:w w:val="105"/>
          <w:sz w:val="24"/>
          <w:szCs w:val="24"/>
        </w:rPr>
        <w:t xml:space="preserve"> T. Comparison of multiple methods for quantification of microbial biofilms grown in microtiter plates. J </w:t>
      </w:r>
      <w:proofErr w:type="spellStart"/>
      <w:r w:rsidRPr="00D35EC5">
        <w:rPr>
          <w:rFonts w:asciiTheme="minorHAnsi" w:hAnsiTheme="minorHAnsi" w:cstheme="minorHAnsi"/>
          <w:w w:val="105"/>
          <w:sz w:val="24"/>
          <w:szCs w:val="24"/>
        </w:rPr>
        <w:t>Microbiol</w:t>
      </w:r>
      <w:proofErr w:type="spellEnd"/>
      <w:r w:rsidRPr="00D35EC5">
        <w:rPr>
          <w:rFonts w:asciiTheme="minorHAnsi" w:hAnsiTheme="minorHAnsi" w:cstheme="minorHAnsi"/>
          <w:w w:val="105"/>
          <w:sz w:val="24"/>
          <w:szCs w:val="24"/>
        </w:rPr>
        <w:t xml:space="preserve"> Methods. </w:t>
      </w:r>
      <w:proofErr w:type="gramStart"/>
      <w:r w:rsidRPr="00D35EC5">
        <w:rPr>
          <w:rFonts w:asciiTheme="minorHAnsi" w:hAnsiTheme="minorHAnsi" w:cstheme="minorHAnsi"/>
          <w:w w:val="105"/>
          <w:sz w:val="24"/>
          <w:szCs w:val="24"/>
        </w:rPr>
        <w:t>2008;72:157</w:t>
      </w:r>
      <w:proofErr w:type="gramEnd"/>
      <w:r w:rsidRPr="00D35EC5">
        <w:rPr>
          <w:rFonts w:asciiTheme="minorHAnsi" w:hAnsiTheme="minorHAnsi" w:cstheme="minorHAnsi"/>
          <w:w w:val="105"/>
          <w:sz w:val="24"/>
          <w:szCs w:val="24"/>
        </w:rPr>
        <w:t>–65.</w:t>
      </w:r>
    </w:p>
    <w:p w14:paraId="3BF0597D" w14:textId="274B0711" w:rsidR="001B3ED2" w:rsidRPr="002F7A99" w:rsidRDefault="00F12B67" w:rsidP="002F7A99">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r w:rsidRPr="00D35EC5">
        <w:rPr>
          <w:rFonts w:asciiTheme="minorHAnsi" w:hAnsiTheme="minorHAnsi" w:cstheme="minorHAnsi"/>
          <w:w w:val="105"/>
          <w:sz w:val="24"/>
          <w:szCs w:val="24"/>
        </w:rPr>
        <w:t xml:space="preserve">Pinheiro ET, Gomes BP, Ferraz CC, Teixeira FB, Zaia AA, Souza Filho FJ. Evaluation of root canal microorganisms isolated from teeth with endodontic failure and their antimicrobial susceptibility. Oral </w:t>
      </w:r>
      <w:proofErr w:type="spellStart"/>
      <w:r w:rsidRPr="00D35EC5">
        <w:rPr>
          <w:rFonts w:asciiTheme="minorHAnsi" w:hAnsiTheme="minorHAnsi" w:cstheme="minorHAnsi"/>
          <w:w w:val="105"/>
          <w:sz w:val="24"/>
          <w:szCs w:val="24"/>
        </w:rPr>
        <w:t>Microbiol</w:t>
      </w:r>
      <w:proofErr w:type="spellEnd"/>
      <w:r w:rsidRPr="00D35EC5">
        <w:rPr>
          <w:rFonts w:asciiTheme="minorHAnsi" w:hAnsiTheme="minorHAnsi" w:cstheme="minorHAnsi"/>
          <w:w w:val="105"/>
          <w:sz w:val="24"/>
          <w:szCs w:val="24"/>
        </w:rPr>
        <w:t xml:space="preserve"> Immunol </w:t>
      </w:r>
      <w:proofErr w:type="gramStart"/>
      <w:r w:rsidRPr="00D35EC5">
        <w:rPr>
          <w:rFonts w:asciiTheme="minorHAnsi" w:hAnsiTheme="minorHAnsi" w:cstheme="minorHAnsi"/>
          <w:w w:val="105"/>
          <w:sz w:val="24"/>
          <w:szCs w:val="24"/>
        </w:rPr>
        <w:t>2003;18:100</w:t>
      </w:r>
      <w:proofErr w:type="gramEnd"/>
      <w:r w:rsidRPr="00D35EC5">
        <w:rPr>
          <w:rFonts w:asciiTheme="minorHAnsi" w:hAnsiTheme="minorHAnsi" w:cstheme="minorHAnsi"/>
          <w:w w:val="105"/>
          <w:sz w:val="24"/>
          <w:szCs w:val="24"/>
        </w:rPr>
        <w:t>-3.</w:t>
      </w:r>
    </w:p>
    <w:p w14:paraId="2259BB6A" w14:textId="7E899CC0" w:rsidR="001B3ED2" w:rsidRPr="00511AFE" w:rsidRDefault="00F12B67" w:rsidP="00D35EC5">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proofErr w:type="spellStart"/>
      <w:r w:rsidRPr="00511AFE">
        <w:rPr>
          <w:rFonts w:asciiTheme="minorHAnsi" w:hAnsiTheme="minorHAnsi" w:cstheme="minorHAnsi"/>
          <w:w w:val="105"/>
          <w:sz w:val="24"/>
          <w:szCs w:val="24"/>
        </w:rPr>
        <w:t>Rôças</w:t>
      </w:r>
      <w:proofErr w:type="spellEnd"/>
      <w:r w:rsidRPr="00511AFE">
        <w:rPr>
          <w:rFonts w:asciiTheme="minorHAnsi" w:hAnsiTheme="minorHAnsi" w:cstheme="minorHAnsi"/>
          <w:w w:val="105"/>
          <w:sz w:val="24"/>
          <w:szCs w:val="24"/>
        </w:rPr>
        <w:t xml:space="preserve"> IN, Jung IY, Lee CY, Siqueira JF, Jr. Polymerase chain reaction</w:t>
      </w:r>
      <w:r w:rsidR="00511AFE">
        <w:rPr>
          <w:rFonts w:asciiTheme="minorHAnsi" w:hAnsiTheme="minorHAnsi" w:cstheme="minorHAnsi"/>
          <w:w w:val="105"/>
          <w:sz w:val="24"/>
          <w:szCs w:val="24"/>
        </w:rPr>
        <w:t xml:space="preserve"> </w:t>
      </w:r>
      <w:r w:rsidRPr="00511AFE">
        <w:rPr>
          <w:rFonts w:asciiTheme="minorHAnsi" w:hAnsiTheme="minorHAnsi" w:cstheme="minorHAnsi"/>
          <w:w w:val="105"/>
          <w:sz w:val="24"/>
          <w:szCs w:val="24"/>
        </w:rPr>
        <w:t xml:space="preserve">identification of microorganisms in previously root-filled teeth in a South Korean population. J Endod. </w:t>
      </w:r>
      <w:proofErr w:type="gramStart"/>
      <w:r w:rsidRPr="00511AFE">
        <w:rPr>
          <w:rFonts w:asciiTheme="minorHAnsi" w:hAnsiTheme="minorHAnsi" w:cstheme="minorHAnsi"/>
          <w:w w:val="105"/>
          <w:sz w:val="24"/>
          <w:szCs w:val="24"/>
        </w:rPr>
        <w:t>2004;30:504</w:t>
      </w:r>
      <w:proofErr w:type="gramEnd"/>
      <w:r w:rsidRPr="00511AFE">
        <w:rPr>
          <w:rFonts w:asciiTheme="minorHAnsi" w:hAnsiTheme="minorHAnsi" w:cstheme="minorHAnsi"/>
          <w:w w:val="105"/>
          <w:sz w:val="24"/>
          <w:szCs w:val="24"/>
        </w:rPr>
        <w:t>–508. 227.</w:t>
      </w:r>
    </w:p>
    <w:p w14:paraId="7EBC8184" w14:textId="77777777" w:rsidR="001B3ED2" w:rsidRPr="00D35EC5" w:rsidRDefault="00F12B67" w:rsidP="00D35EC5">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r w:rsidRPr="00D35EC5">
        <w:rPr>
          <w:rFonts w:asciiTheme="minorHAnsi" w:hAnsiTheme="minorHAnsi" w:cstheme="minorHAnsi"/>
          <w:w w:val="105"/>
          <w:sz w:val="24"/>
          <w:szCs w:val="24"/>
        </w:rPr>
        <w:t xml:space="preserve">Ramirez T, Shrestha A, Kishen A. Inflammatory potential of </w:t>
      </w:r>
      <w:proofErr w:type="spellStart"/>
      <w:r w:rsidRPr="00D35EC5">
        <w:rPr>
          <w:rFonts w:asciiTheme="minorHAnsi" w:hAnsiTheme="minorHAnsi" w:cstheme="minorHAnsi"/>
          <w:w w:val="105"/>
          <w:sz w:val="24"/>
          <w:szCs w:val="24"/>
        </w:rPr>
        <w:t>monospecies</w:t>
      </w:r>
      <w:proofErr w:type="spellEnd"/>
      <w:r w:rsidRPr="00D35EC5">
        <w:rPr>
          <w:rFonts w:asciiTheme="minorHAnsi" w:hAnsiTheme="minorHAnsi" w:cstheme="minorHAnsi"/>
          <w:w w:val="105"/>
          <w:sz w:val="24"/>
          <w:szCs w:val="24"/>
        </w:rPr>
        <w:t xml:space="preserve"> biofilm matrix components. Int Endod J. (2019) 52:1020–7. </w:t>
      </w:r>
      <w:proofErr w:type="spellStart"/>
      <w:r w:rsidRPr="00D35EC5">
        <w:rPr>
          <w:rFonts w:asciiTheme="minorHAnsi" w:hAnsiTheme="minorHAnsi" w:cstheme="minorHAnsi"/>
          <w:w w:val="105"/>
          <w:sz w:val="24"/>
          <w:szCs w:val="24"/>
        </w:rPr>
        <w:t>doi</w:t>
      </w:r>
      <w:proofErr w:type="spellEnd"/>
      <w:r w:rsidRPr="00D35EC5">
        <w:rPr>
          <w:rFonts w:asciiTheme="minorHAnsi" w:hAnsiTheme="minorHAnsi" w:cstheme="minorHAnsi"/>
          <w:w w:val="105"/>
          <w:sz w:val="24"/>
          <w:szCs w:val="24"/>
        </w:rPr>
        <w:t>: 10.1111/iej.13093.</w:t>
      </w:r>
    </w:p>
    <w:p w14:paraId="45F47086" w14:textId="3AD43A43" w:rsidR="001B3ED2" w:rsidRPr="00D35EC5" w:rsidRDefault="00F12B67" w:rsidP="00D35EC5">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r w:rsidRPr="00D35EC5">
        <w:rPr>
          <w:rFonts w:asciiTheme="minorHAnsi" w:hAnsiTheme="minorHAnsi" w:cstheme="minorHAnsi"/>
          <w:w w:val="105"/>
          <w:sz w:val="24"/>
          <w:szCs w:val="24"/>
        </w:rPr>
        <w:t xml:space="preserve">Siqueira JF, </w:t>
      </w:r>
      <w:proofErr w:type="spellStart"/>
      <w:r w:rsidRPr="00D35EC5">
        <w:rPr>
          <w:rFonts w:asciiTheme="minorHAnsi" w:hAnsiTheme="minorHAnsi" w:cstheme="minorHAnsi"/>
          <w:w w:val="105"/>
          <w:sz w:val="24"/>
          <w:szCs w:val="24"/>
        </w:rPr>
        <w:t>Rocas</w:t>
      </w:r>
      <w:proofErr w:type="spellEnd"/>
      <w:r w:rsidRPr="00D35EC5">
        <w:rPr>
          <w:rFonts w:asciiTheme="minorHAnsi" w:hAnsiTheme="minorHAnsi" w:cstheme="minorHAnsi"/>
          <w:w w:val="105"/>
          <w:sz w:val="24"/>
          <w:szCs w:val="24"/>
        </w:rPr>
        <w:t xml:space="preserve"> IN. Polymerase chain </w:t>
      </w:r>
      <w:r w:rsidR="00BB41A5" w:rsidRPr="00D35EC5">
        <w:rPr>
          <w:rFonts w:asciiTheme="minorHAnsi" w:hAnsiTheme="minorHAnsi" w:cstheme="minorHAnsi"/>
          <w:w w:val="105"/>
          <w:sz w:val="24"/>
          <w:szCs w:val="24"/>
        </w:rPr>
        <w:t>reaction-based</w:t>
      </w:r>
      <w:r w:rsidRPr="00D35EC5">
        <w:rPr>
          <w:rFonts w:asciiTheme="minorHAnsi" w:hAnsiTheme="minorHAnsi" w:cstheme="minorHAnsi"/>
          <w:w w:val="105"/>
          <w:sz w:val="24"/>
          <w:szCs w:val="24"/>
        </w:rPr>
        <w:t xml:space="preserve"> analysis of </w:t>
      </w:r>
      <w:r w:rsidR="00BB41A5" w:rsidRPr="00D35EC5">
        <w:rPr>
          <w:rFonts w:asciiTheme="minorHAnsi" w:hAnsiTheme="minorHAnsi" w:cstheme="minorHAnsi"/>
          <w:w w:val="105"/>
          <w:sz w:val="24"/>
          <w:szCs w:val="24"/>
        </w:rPr>
        <w:t>microorganisms</w:t>
      </w:r>
      <w:r w:rsidRPr="00D35EC5">
        <w:rPr>
          <w:rFonts w:asciiTheme="minorHAnsi" w:hAnsiTheme="minorHAnsi" w:cstheme="minorHAnsi"/>
          <w:w w:val="105"/>
          <w:sz w:val="24"/>
          <w:szCs w:val="24"/>
        </w:rPr>
        <w:t xml:space="preserve"> associated with failed endodontic treatment. Oral </w:t>
      </w:r>
      <w:r w:rsidR="00BB41A5" w:rsidRPr="00D35EC5">
        <w:rPr>
          <w:rFonts w:asciiTheme="minorHAnsi" w:hAnsiTheme="minorHAnsi" w:cstheme="minorHAnsi"/>
          <w:w w:val="105"/>
          <w:sz w:val="24"/>
          <w:szCs w:val="24"/>
        </w:rPr>
        <w:t>Surg</w:t>
      </w:r>
      <w:r w:rsidRPr="00D35EC5">
        <w:rPr>
          <w:rFonts w:asciiTheme="minorHAnsi" w:hAnsiTheme="minorHAnsi" w:cstheme="minorHAnsi"/>
          <w:w w:val="105"/>
          <w:sz w:val="24"/>
          <w:szCs w:val="24"/>
        </w:rPr>
        <w:t xml:space="preserve"> Oral Med Oral </w:t>
      </w:r>
      <w:proofErr w:type="spellStart"/>
      <w:r w:rsidRPr="00D35EC5">
        <w:rPr>
          <w:rFonts w:asciiTheme="minorHAnsi" w:hAnsiTheme="minorHAnsi" w:cstheme="minorHAnsi"/>
          <w:w w:val="105"/>
          <w:sz w:val="24"/>
          <w:szCs w:val="24"/>
        </w:rPr>
        <w:t>Pathol</w:t>
      </w:r>
      <w:proofErr w:type="spellEnd"/>
      <w:r w:rsidRPr="00D35EC5">
        <w:rPr>
          <w:rFonts w:asciiTheme="minorHAnsi" w:hAnsiTheme="minorHAnsi" w:cstheme="minorHAnsi"/>
          <w:w w:val="105"/>
          <w:sz w:val="24"/>
          <w:szCs w:val="24"/>
        </w:rPr>
        <w:t xml:space="preserve"> Oral </w:t>
      </w:r>
      <w:proofErr w:type="spellStart"/>
      <w:r w:rsidRPr="00D35EC5">
        <w:rPr>
          <w:rFonts w:asciiTheme="minorHAnsi" w:hAnsiTheme="minorHAnsi" w:cstheme="minorHAnsi"/>
          <w:w w:val="105"/>
          <w:sz w:val="24"/>
          <w:szCs w:val="24"/>
        </w:rPr>
        <w:t>RadiolEndod</w:t>
      </w:r>
      <w:proofErr w:type="spellEnd"/>
      <w:r w:rsidRPr="00D35EC5">
        <w:rPr>
          <w:rFonts w:asciiTheme="minorHAnsi" w:hAnsiTheme="minorHAnsi" w:cstheme="minorHAnsi"/>
          <w:w w:val="105"/>
          <w:sz w:val="24"/>
          <w:szCs w:val="24"/>
        </w:rPr>
        <w:t>. 2004;97(1):85-94.</w:t>
      </w:r>
    </w:p>
    <w:p w14:paraId="4DA53EE0" w14:textId="3205829F" w:rsidR="001B3ED2" w:rsidRPr="00D35EC5" w:rsidRDefault="00F73260" w:rsidP="00D35EC5">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hyperlink r:id="rId24">
        <w:r w:rsidR="00F12B67" w:rsidRPr="00D35EC5">
          <w:rPr>
            <w:rFonts w:asciiTheme="minorHAnsi" w:hAnsiTheme="minorHAnsi" w:cstheme="minorHAnsi"/>
            <w:w w:val="105"/>
            <w:sz w:val="24"/>
            <w:szCs w:val="24"/>
          </w:rPr>
          <w:t>M. Sakamoto</w:t>
        </w:r>
      </w:hyperlink>
      <w:r w:rsidR="00F12B67" w:rsidRPr="00D35EC5">
        <w:rPr>
          <w:rFonts w:asciiTheme="minorHAnsi" w:hAnsiTheme="minorHAnsi" w:cstheme="minorHAnsi"/>
          <w:w w:val="105"/>
          <w:sz w:val="24"/>
          <w:szCs w:val="24"/>
        </w:rPr>
        <w:t>,</w:t>
      </w:r>
      <w:r w:rsidR="00BB41A5" w:rsidRPr="00D35EC5">
        <w:rPr>
          <w:rFonts w:asciiTheme="minorHAnsi" w:hAnsiTheme="minorHAnsi" w:cstheme="minorHAnsi"/>
          <w:w w:val="105"/>
          <w:sz w:val="24"/>
          <w:szCs w:val="24"/>
        </w:rPr>
        <w:t xml:space="preserve"> </w:t>
      </w:r>
      <w:hyperlink r:id="rId25">
        <w:r w:rsidR="00F12B67" w:rsidRPr="00D35EC5">
          <w:rPr>
            <w:rFonts w:asciiTheme="minorHAnsi" w:hAnsiTheme="minorHAnsi" w:cstheme="minorHAnsi"/>
            <w:w w:val="105"/>
            <w:sz w:val="24"/>
            <w:szCs w:val="24"/>
          </w:rPr>
          <w:t xml:space="preserve">I. N. </w:t>
        </w:r>
        <w:proofErr w:type="spellStart"/>
        <w:r w:rsidR="00F12B67" w:rsidRPr="00D35EC5">
          <w:rPr>
            <w:rFonts w:asciiTheme="minorHAnsi" w:hAnsiTheme="minorHAnsi" w:cstheme="minorHAnsi"/>
            <w:w w:val="105"/>
            <w:sz w:val="24"/>
            <w:szCs w:val="24"/>
          </w:rPr>
          <w:t>Rôças</w:t>
        </w:r>
      </w:hyperlink>
      <w:r w:rsidR="00F12B67" w:rsidRPr="00D35EC5">
        <w:rPr>
          <w:rFonts w:asciiTheme="minorHAnsi" w:hAnsiTheme="minorHAnsi" w:cstheme="minorHAnsi"/>
          <w:w w:val="105"/>
          <w:sz w:val="24"/>
          <w:szCs w:val="24"/>
        </w:rPr>
        <w:t>,</w:t>
      </w:r>
      <w:hyperlink r:id="rId26">
        <w:r w:rsidR="00F12B67" w:rsidRPr="00D35EC5">
          <w:rPr>
            <w:rFonts w:asciiTheme="minorHAnsi" w:hAnsiTheme="minorHAnsi" w:cstheme="minorHAnsi"/>
            <w:w w:val="105"/>
            <w:sz w:val="24"/>
            <w:szCs w:val="24"/>
          </w:rPr>
          <w:t>J</w:t>
        </w:r>
        <w:proofErr w:type="spellEnd"/>
        <w:r w:rsidR="00F12B67" w:rsidRPr="00D35EC5">
          <w:rPr>
            <w:rFonts w:asciiTheme="minorHAnsi" w:hAnsiTheme="minorHAnsi" w:cstheme="minorHAnsi"/>
            <w:w w:val="105"/>
            <w:sz w:val="24"/>
            <w:szCs w:val="24"/>
          </w:rPr>
          <w:t xml:space="preserve">. </w:t>
        </w:r>
        <w:r w:rsidR="00BB41A5" w:rsidRPr="00D35EC5">
          <w:rPr>
            <w:rFonts w:asciiTheme="minorHAnsi" w:hAnsiTheme="minorHAnsi" w:cstheme="minorHAnsi"/>
            <w:w w:val="105"/>
            <w:sz w:val="24"/>
            <w:szCs w:val="24"/>
          </w:rPr>
          <w:t>F. Siqueira</w:t>
        </w:r>
        <w:r w:rsidR="00F12B67" w:rsidRPr="00D35EC5">
          <w:rPr>
            <w:rFonts w:asciiTheme="minorHAnsi" w:hAnsiTheme="minorHAnsi" w:cstheme="minorHAnsi"/>
            <w:w w:val="105"/>
            <w:sz w:val="24"/>
            <w:szCs w:val="24"/>
          </w:rPr>
          <w:t xml:space="preserve"> Jr</w:t>
        </w:r>
      </w:hyperlink>
      <w:r w:rsidR="00F12B67" w:rsidRPr="00D35EC5">
        <w:rPr>
          <w:rFonts w:asciiTheme="minorHAnsi" w:hAnsiTheme="minorHAnsi" w:cstheme="minorHAnsi"/>
          <w:w w:val="105"/>
          <w:sz w:val="24"/>
          <w:szCs w:val="24"/>
        </w:rPr>
        <w:t>,</w:t>
      </w:r>
      <w:r w:rsidR="00BB41A5" w:rsidRPr="00D35EC5">
        <w:rPr>
          <w:rFonts w:asciiTheme="minorHAnsi" w:hAnsiTheme="minorHAnsi" w:cstheme="minorHAnsi"/>
          <w:w w:val="105"/>
          <w:sz w:val="24"/>
          <w:szCs w:val="24"/>
        </w:rPr>
        <w:t xml:space="preserve"> </w:t>
      </w:r>
      <w:hyperlink r:id="rId27">
        <w:r w:rsidR="00F12B67" w:rsidRPr="00D35EC5">
          <w:rPr>
            <w:rFonts w:asciiTheme="minorHAnsi" w:hAnsiTheme="minorHAnsi" w:cstheme="minorHAnsi"/>
            <w:w w:val="105"/>
            <w:sz w:val="24"/>
            <w:szCs w:val="24"/>
          </w:rPr>
          <w:t>Y. Benno</w:t>
        </w:r>
      </w:hyperlink>
      <w:r w:rsidR="00F12B67" w:rsidRPr="00D35EC5">
        <w:rPr>
          <w:rFonts w:asciiTheme="minorHAnsi" w:hAnsiTheme="minorHAnsi" w:cstheme="minorHAnsi"/>
          <w:w w:val="105"/>
          <w:sz w:val="24"/>
          <w:szCs w:val="24"/>
        </w:rPr>
        <w:t>, 2006, Molecular analysis of bacteria in asymptomatic and symptomatic endodontic infections, J. Molecular Oral Microbiology</w:t>
      </w:r>
    </w:p>
    <w:p w14:paraId="16CD775A" w14:textId="77777777" w:rsidR="001B3ED2" w:rsidRPr="00D35EC5" w:rsidRDefault="00F12B67" w:rsidP="00D35EC5">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r w:rsidRPr="00D35EC5">
        <w:rPr>
          <w:rFonts w:asciiTheme="minorHAnsi" w:hAnsiTheme="minorHAnsi" w:cstheme="minorHAnsi"/>
          <w:w w:val="105"/>
          <w:sz w:val="24"/>
          <w:szCs w:val="24"/>
        </w:rPr>
        <w:t xml:space="preserve">Siqueira, J. F., </w:t>
      </w:r>
      <w:proofErr w:type="spellStart"/>
      <w:r w:rsidRPr="00D35EC5">
        <w:rPr>
          <w:rFonts w:asciiTheme="minorHAnsi" w:hAnsiTheme="minorHAnsi" w:cstheme="minorHAnsi"/>
          <w:w w:val="105"/>
          <w:sz w:val="24"/>
          <w:szCs w:val="24"/>
        </w:rPr>
        <w:t>Rôças</w:t>
      </w:r>
      <w:proofErr w:type="spellEnd"/>
      <w:r w:rsidRPr="00D35EC5">
        <w:rPr>
          <w:rFonts w:asciiTheme="minorHAnsi" w:hAnsiTheme="minorHAnsi" w:cstheme="minorHAnsi"/>
          <w:w w:val="105"/>
          <w:sz w:val="24"/>
          <w:szCs w:val="24"/>
        </w:rPr>
        <w:t xml:space="preserve">, I. N., &amp; Lopes, H. P. (2002). Patterns of microbial colonization </w:t>
      </w:r>
      <w:r w:rsidRPr="00D35EC5">
        <w:rPr>
          <w:rFonts w:asciiTheme="minorHAnsi" w:hAnsiTheme="minorHAnsi" w:cstheme="minorHAnsi"/>
          <w:w w:val="105"/>
          <w:sz w:val="24"/>
          <w:szCs w:val="24"/>
        </w:rPr>
        <w:lastRenderedPageBreak/>
        <w:t>in primary root canal infections. Oral Surgery, Oral Medicine, Oral Pathology, Oral Radiology, and Endodontology, 93(2), 174–178. https://doi.org/10.1067/moe.2002.119910</w:t>
      </w:r>
    </w:p>
    <w:p w14:paraId="63688193" w14:textId="77777777" w:rsidR="001B3ED2" w:rsidRPr="00D35EC5" w:rsidRDefault="00F12B67" w:rsidP="00D35EC5">
      <w:pPr>
        <w:pStyle w:val="ListParagraph"/>
        <w:numPr>
          <w:ilvl w:val="0"/>
          <w:numId w:val="2"/>
        </w:numPr>
        <w:tabs>
          <w:tab w:val="left" w:pos="901"/>
        </w:tabs>
        <w:spacing w:before="180" w:line="381" w:lineRule="auto"/>
        <w:ind w:right="503"/>
        <w:jc w:val="both"/>
        <w:rPr>
          <w:rFonts w:asciiTheme="minorHAnsi" w:hAnsiTheme="minorHAnsi" w:cstheme="minorHAnsi"/>
          <w:w w:val="105"/>
          <w:sz w:val="24"/>
          <w:szCs w:val="24"/>
        </w:rPr>
      </w:pPr>
      <w:proofErr w:type="spellStart"/>
      <w:r w:rsidRPr="00D35EC5">
        <w:rPr>
          <w:rFonts w:asciiTheme="minorHAnsi" w:hAnsiTheme="minorHAnsi" w:cstheme="minorHAnsi"/>
          <w:w w:val="105"/>
          <w:sz w:val="24"/>
          <w:szCs w:val="24"/>
        </w:rPr>
        <w:t>Siqueirajr</w:t>
      </w:r>
      <w:proofErr w:type="spellEnd"/>
      <w:r w:rsidRPr="00D35EC5">
        <w:rPr>
          <w:rFonts w:asciiTheme="minorHAnsi" w:hAnsiTheme="minorHAnsi" w:cstheme="minorHAnsi"/>
          <w:w w:val="105"/>
          <w:sz w:val="24"/>
          <w:szCs w:val="24"/>
        </w:rPr>
        <w:t xml:space="preserve">, J., &amp; </w:t>
      </w:r>
      <w:proofErr w:type="spellStart"/>
      <w:r w:rsidRPr="00D35EC5">
        <w:rPr>
          <w:rFonts w:asciiTheme="minorHAnsi" w:hAnsiTheme="minorHAnsi" w:cstheme="minorHAnsi"/>
          <w:w w:val="105"/>
          <w:sz w:val="24"/>
          <w:szCs w:val="24"/>
        </w:rPr>
        <w:t>Rocas</w:t>
      </w:r>
      <w:proofErr w:type="spellEnd"/>
      <w:r w:rsidRPr="00D35EC5">
        <w:rPr>
          <w:rFonts w:asciiTheme="minorHAnsi" w:hAnsiTheme="minorHAnsi" w:cstheme="minorHAnsi"/>
          <w:w w:val="105"/>
          <w:sz w:val="24"/>
          <w:szCs w:val="24"/>
        </w:rPr>
        <w:t>, I. (2005). Exploiting Molecular Methods to Explore Endodontic Infections: Part 1—Current Molecular Technologies for Microbiological Diagnosis. Journal of Endodontics, 31(6), 411–423. https://doi.org/10.1097/01.don.0000157989.44949.26</w:t>
      </w:r>
    </w:p>
    <w:p w14:paraId="1A576017" w14:textId="77777777" w:rsidR="001B3ED2" w:rsidRPr="00511AFE" w:rsidRDefault="00F12B67">
      <w:pPr>
        <w:pStyle w:val="ListParagraph"/>
        <w:numPr>
          <w:ilvl w:val="0"/>
          <w:numId w:val="2"/>
        </w:numPr>
        <w:tabs>
          <w:tab w:val="left" w:pos="901"/>
        </w:tabs>
        <w:spacing w:before="75" w:line="355" w:lineRule="auto"/>
        <w:ind w:right="498" w:hanging="579"/>
        <w:jc w:val="both"/>
        <w:rPr>
          <w:rFonts w:asciiTheme="minorHAnsi" w:hAnsiTheme="minorHAnsi" w:cstheme="minorHAnsi"/>
          <w:w w:val="105"/>
          <w:sz w:val="24"/>
          <w:szCs w:val="24"/>
        </w:rPr>
      </w:pPr>
      <w:r w:rsidRPr="00511AFE">
        <w:rPr>
          <w:rFonts w:asciiTheme="minorHAnsi" w:hAnsiTheme="minorHAnsi" w:cstheme="minorHAnsi"/>
          <w:w w:val="105"/>
          <w:sz w:val="24"/>
          <w:szCs w:val="24"/>
        </w:rPr>
        <w:t>Slots, J. (1986). Rapid identification of important periodontal microorganisms by cultivation. Oral Microbiology and Immunology, 1(1), 48–57. https://doi.org/10.1111/j.1399-302x.1986.tb00318.x</w:t>
      </w:r>
    </w:p>
    <w:p w14:paraId="250E0CF4" w14:textId="77777777" w:rsidR="001B3ED2" w:rsidRPr="00511AFE" w:rsidRDefault="00F12B67">
      <w:pPr>
        <w:pStyle w:val="ListParagraph"/>
        <w:numPr>
          <w:ilvl w:val="0"/>
          <w:numId w:val="2"/>
        </w:numPr>
        <w:tabs>
          <w:tab w:val="left" w:pos="901"/>
        </w:tabs>
        <w:spacing w:before="31" w:line="369" w:lineRule="auto"/>
        <w:ind w:right="498" w:hanging="579"/>
        <w:jc w:val="both"/>
        <w:rPr>
          <w:rFonts w:asciiTheme="minorHAnsi" w:hAnsiTheme="minorHAnsi" w:cstheme="minorHAnsi"/>
          <w:w w:val="105"/>
          <w:sz w:val="24"/>
          <w:szCs w:val="24"/>
        </w:rPr>
      </w:pPr>
      <w:r w:rsidRPr="00511AFE">
        <w:rPr>
          <w:rFonts w:asciiTheme="minorHAnsi" w:hAnsiTheme="minorHAnsi" w:cstheme="minorHAnsi"/>
          <w:w w:val="105"/>
          <w:sz w:val="24"/>
          <w:szCs w:val="24"/>
        </w:rPr>
        <w:t xml:space="preserve">Smoot, L. M., Smoot, J. C., Smidt, H., </w:t>
      </w:r>
      <w:proofErr w:type="gramStart"/>
      <w:r w:rsidRPr="00511AFE">
        <w:rPr>
          <w:rFonts w:asciiTheme="minorHAnsi" w:hAnsiTheme="minorHAnsi" w:cstheme="minorHAnsi"/>
          <w:w w:val="105"/>
          <w:sz w:val="24"/>
          <w:szCs w:val="24"/>
        </w:rPr>
        <w:t>Noble,  P.</w:t>
      </w:r>
      <w:proofErr w:type="gramEnd"/>
      <w:r w:rsidRPr="00511AFE">
        <w:rPr>
          <w:rFonts w:asciiTheme="minorHAnsi" w:hAnsiTheme="minorHAnsi" w:cstheme="minorHAnsi"/>
          <w:w w:val="105"/>
          <w:sz w:val="24"/>
          <w:szCs w:val="24"/>
        </w:rPr>
        <w:t xml:space="preserve">  A.</w:t>
      </w:r>
      <w:proofErr w:type="gramStart"/>
      <w:r w:rsidRPr="00511AFE">
        <w:rPr>
          <w:rFonts w:asciiTheme="minorHAnsi" w:hAnsiTheme="minorHAnsi" w:cstheme="minorHAnsi"/>
          <w:w w:val="105"/>
          <w:sz w:val="24"/>
          <w:szCs w:val="24"/>
        </w:rPr>
        <w:t xml:space="preserve">,  </w:t>
      </w:r>
      <w:proofErr w:type="spellStart"/>
      <w:r w:rsidRPr="00511AFE">
        <w:rPr>
          <w:rFonts w:asciiTheme="minorHAnsi" w:hAnsiTheme="minorHAnsi" w:cstheme="minorHAnsi"/>
          <w:w w:val="105"/>
          <w:sz w:val="24"/>
          <w:szCs w:val="24"/>
        </w:rPr>
        <w:t>Könneke</w:t>
      </w:r>
      <w:proofErr w:type="spellEnd"/>
      <w:proofErr w:type="gramEnd"/>
      <w:r w:rsidRPr="00511AFE">
        <w:rPr>
          <w:rFonts w:asciiTheme="minorHAnsi" w:hAnsiTheme="minorHAnsi" w:cstheme="minorHAnsi"/>
          <w:w w:val="105"/>
          <w:sz w:val="24"/>
          <w:szCs w:val="24"/>
        </w:rPr>
        <w:t>,  M., McMurry, Z. A., &amp; Stahl, D. A. (2005). DNA Microarrays as Salivary Diagnostic Tools for Characterizing the Oral Cavity’s Microbial Community. Advances in Dental Research, 18(1), 6–11. https://doi.org/10.1177/154407370501800103</w:t>
      </w:r>
    </w:p>
    <w:p w14:paraId="2472E5DC" w14:textId="1471166E" w:rsidR="001B3ED2" w:rsidRPr="002F7A99" w:rsidRDefault="00F12B67" w:rsidP="002F7A99">
      <w:pPr>
        <w:pStyle w:val="ListParagraph"/>
        <w:numPr>
          <w:ilvl w:val="0"/>
          <w:numId w:val="2"/>
        </w:numPr>
        <w:tabs>
          <w:tab w:val="left" w:pos="901"/>
        </w:tabs>
        <w:spacing w:line="369" w:lineRule="auto"/>
        <w:ind w:right="498" w:hanging="579"/>
        <w:jc w:val="left"/>
        <w:rPr>
          <w:rFonts w:ascii="Times New Roman" w:hAnsi="Times New Roman" w:cs="Times New Roman"/>
          <w:sz w:val="28"/>
          <w:szCs w:val="28"/>
        </w:rPr>
      </w:pPr>
      <w:r w:rsidRPr="00511AFE">
        <w:rPr>
          <w:rFonts w:asciiTheme="minorHAnsi" w:hAnsiTheme="minorHAnsi" w:cstheme="minorHAnsi"/>
          <w:w w:val="105"/>
          <w:sz w:val="24"/>
          <w:szCs w:val="24"/>
        </w:rPr>
        <w:t>Sanchez-Sanhueza G, Bello-Toledo H, Gonzalez-Rocha G, Goncalves AT, Valenzuela V, Gallardo-</w:t>
      </w:r>
      <w:proofErr w:type="spellStart"/>
      <w:r w:rsidRPr="00511AFE">
        <w:rPr>
          <w:rFonts w:asciiTheme="minorHAnsi" w:hAnsiTheme="minorHAnsi" w:cstheme="minorHAnsi"/>
          <w:w w:val="105"/>
          <w:sz w:val="24"/>
          <w:szCs w:val="24"/>
        </w:rPr>
        <w:t>Escarate</w:t>
      </w:r>
      <w:proofErr w:type="spellEnd"/>
      <w:r w:rsidRPr="00511AFE">
        <w:rPr>
          <w:rFonts w:asciiTheme="minorHAnsi" w:hAnsiTheme="minorHAnsi" w:cstheme="minorHAnsi"/>
          <w:w w:val="105"/>
          <w:sz w:val="24"/>
          <w:szCs w:val="24"/>
        </w:rPr>
        <w:t xml:space="preserve"> C. Metagenomic study of</w:t>
      </w:r>
      <w:r w:rsidRPr="00511AFE">
        <w:rPr>
          <w:rFonts w:ascii="Times New Roman" w:hAnsi="Times New Roman" w:cs="Times New Roman"/>
          <w:spacing w:val="1"/>
          <w:w w:val="105"/>
          <w:sz w:val="28"/>
          <w:szCs w:val="28"/>
        </w:rPr>
        <w:t xml:space="preserve"> </w:t>
      </w:r>
      <w:r w:rsidRPr="00511AFE">
        <w:rPr>
          <w:rFonts w:asciiTheme="minorHAnsi" w:hAnsiTheme="minorHAnsi" w:cstheme="minorHAnsi"/>
          <w:w w:val="105"/>
          <w:sz w:val="24"/>
          <w:szCs w:val="24"/>
        </w:rPr>
        <w:t>bacterial microbiota in persistent endodontic infections using Next-generation sequencing. Int</w:t>
      </w:r>
      <w:r w:rsidRPr="00511AFE">
        <w:rPr>
          <w:rFonts w:ascii="Times New Roman" w:hAnsi="Times New Roman" w:cs="Times New Roman"/>
          <w:i/>
          <w:spacing w:val="1"/>
          <w:sz w:val="28"/>
          <w:szCs w:val="28"/>
        </w:rPr>
        <w:t xml:space="preserve"> </w:t>
      </w:r>
      <w:r w:rsidRPr="00511AFE">
        <w:rPr>
          <w:rFonts w:asciiTheme="minorHAnsi" w:hAnsiTheme="minorHAnsi" w:cstheme="minorHAnsi"/>
          <w:w w:val="105"/>
          <w:sz w:val="24"/>
          <w:szCs w:val="24"/>
        </w:rPr>
        <w:t>Endod J. (2018)</w:t>
      </w:r>
      <w:r w:rsidRPr="00511AFE">
        <w:rPr>
          <w:rFonts w:ascii="Times New Roman" w:hAnsi="Times New Roman" w:cs="Times New Roman"/>
          <w:spacing w:val="1"/>
          <w:sz w:val="28"/>
          <w:szCs w:val="28"/>
        </w:rPr>
        <w:t xml:space="preserve"> </w:t>
      </w:r>
      <w:r w:rsidRPr="00511AFE">
        <w:rPr>
          <w:rFonts w:asciiTheme="minorHAnsi" w:hAnsiTheme="minorHAnsi" w:cstheme="minorHAnsi"/>
          <w:w w:val="105"/>
          <w:sz w:val="24"/>
          <w:szCs w:val="24"/>
        </w:rPr>
        <w:t xml:space="preserve">51:1336–48. </w:t>
      </w:r>
      <w:proofErr w:type="spellStart"/>
      <w:r w:rsidRPr="00511AFE">
        <w:rPr>
          <w:rFonts w:asciiTheme="minorHAnsi" w:hAnsiTheme="minorHAnsi" w:cstheme="minorHAnsi"/>
          <w:w w:val="105"/>
          <w:sz w:val="24"/>
          <w:szCs w:val="24"/>
        </w:rPr>
        <w:t>doi</w:t>
      </w:r>
      <w:proofErr w:type="spellEnd"/>
      <w:r w:rsidRPr="00511AFE">
        <w:rPr>
          <w:rFonts w:asciiTheme="minorHAnsi" w:hAnsiTheme="minorHAnsi" w:cstheme="minorHAnsi"/>
          <w:w w:val="105"/>
          <w:sz w:val="24"/>
          <w:szCs w:val="24"/>
        </w:rPr>
        <w:t>: 10.1111/iej.12953</w:t>
      </w:r>
    </w:p>
    <w:p w14:paraId="271FE1E3" w14:textId="77777777" w:rsidR="00511AFE" w:rsidRDefault="00F12B67" w:rsidP="00511AFE">
      <w:pPr>
        <w:pStyle w:val="ListParagraph"/>
        <w:numPr>
          <w:ilvl w:val="0"/>
          <w:numId w:val="2"/>
        </w:numPr>
        <w:tabs>
          <w:tab w:val="left" w:pos="901"/>
        </w:tabs>
        <w:spacing w:before="6" w:line="372" w:lineRule="auto"/>
        <w:ind w:right="502" w:hanging="579"/>
        <w:jc w:val="both"/>
        <w:rPr>
          <w:rFonts w:asciiTheme="minorHAnsi" w:hAnsiTheme="minorHAnsi" w:cstheme="minorHAnsi"/>
          <w:w w:val="105"/>
          <w:sz w:val="24"/>
          <w:szCs w:val="24"/>
        </w:rPr>
      </w:pPr>
      <w:r w:rsidRPr="00511AFE">
        <w:rPr>
          <w:rFonts w:asciiTheme="minorHAnsi" w:hAnsiTheme="minorHAnsi" w:cstheme="minorHAnsi"/>
          <w:w w:val="105"/>
          <w:sz w:val="24"/>
          <w:szCs w:val="24"/>
        </w:rPr>
        <w:t xml:space="preserve">Saito D, Leonardo </w:t>
      </w:r>
      <w:proofErr w:type="spellStart"/>
      <w:r w:rsidRPr="00511AFE">
        <w:rPr>
          <w:rFonts w:asciiTheme="minorHAnsi" w:hAnsiTheme="minorHAnsi" w:cstheme="minorHAnsi"/>
          <w:w w:val="105"/>
          <w:sz w:val="24"/>
          <w:szCs w:val="24"/>
        </w:rPr>
        <w:t>Rde</w:t>
      </w:r>
      <w:proofErr w:type="spellEnd"/>
      <w:r w:rsidRPr="00511AFE">
        <w:rPr>
          <w:rFonts w:asciiTheme="minorHAnsi" w:hAnsiTheme="minorHAnsi" w:cstheme="minorHAnsi"/>
          <w:w w:val="105"/>
          <w:sz w:val="24"/>
          <w:szCs w:val="24"/>
        </w:rPr>
        <w:t xml:space="preserve"> T, Rodrigues JL, Tsai SM, </w:t>
      </w:r>
      <w:proofErr w:type="spellStart"/>
      <w:r w:rsidRPr="00511AFE">
        <w:rPr>
          <w:rFonts w:asciiTheme="minorHAnsi" w:hAnsiTheme="minorHAnsi" w:cstheme="minorHAnsi"/>
          <w:w w:val="105"/>
          <w:sz w:val="24"/>
          <w:szCs w:val="24"/>
        </w:rPr>
        <w:t>Höfling</w:t>
      </w:r>
      <w:proofErr w:type="spellEnd"/>
      <w:r w:rsidRPr="00511AFE">
        <w:rPr>
          <w:rFonts w:asciiTheme="minorHAnsi" w:hAnsiTheme="minorHAnsi" w:cstheme="minorHAnsi"/>
          <w:w w:val="105"/>
          <w:sz w:val="24"/>
          <w:szCs w:val="24"/>
        </w:rPr>
        <w:t xml:space="preserve"> JF, Gonçalves RB. Identification of bacteria in endodontic infections by sequence analysis of 16S rDNA clone libraries. J Med </w:t>
      </w:r>
      <w:proofErr w:type="spellStart"/>
      <w:r w:rsidRPr="00511AFE">
        <w:rPr>
          <w:rFonts w:asciiTheme="minorHAnsi" w:hAnsiTheme="minorHAnsi" w:cstheme="minorHAnsi"/>
          <w:w w:val="105"/>
          <w:sz w:val="24"/>
          <w:szCs w:val="24"/>
        </w:rPr>
        <w:t>Microbiol</w:t>
      </w:r>
      <w:proofErr w:type="spellEnd"/>
      <w:r w:rsidRPr="00511AFE">
        <w:rPr>
          <w:rFonts w:asciiTheme="minorHAnsi" w:hAnsiTheme="minorHAnsi" w:cstheme="minorHAnsi"/>
          <w:w w:val="105"/>
          <w:sz w:val="24"/>
          <w:szCs w:val="24"/>
        </w:rPr>
        <w:t xml:space="preserve">. </w:t>
      </w:r>
      <w:proofErr w:type="gramStart"/>
      <w:r w:rsidRPr="00511AFE">
        <w:rPr>
          <w:rFonts w:asciiTheme="minorHAnsi" w:hAnsiTheme="minorHAnsi" w:cstheme="minorHAnsi"/>
          <w:w w:val="105"/>
          <w:sz w:val="24"/>
          <w:szCs w:val="24"/>
        </w:rPr>
        <w:t>2006;55:101</w:t>
      </w:r>
      <w:proofErr w:type="gramEnd"/>
      <w:r w:rsidRPr="00511AFE">
        <w:rPr>
          <w:rFonts w:asciiTheme="minorHAnsi" w:hAnsiTheme="minorHAnsi" w:cstheme="minorHAnsi"/>
          <w:w w:val="105"/>
          <w:sz w:val="24"/>
          <w:szCs w:val="24"/>
        </w:rPr>
        <w:t>–7.</w:t>
      </w:r>
    </w:p>
    <w:p w14:paraId="31750BF9" w14:textId="77777777" w:rsidR="00511AFE" w:rsidRDefault="00F12B67" w:rsidP="00511AFE">
      <w:pPr>
        <w:pStyle w:val="ListParagraph"/>
        <w:numPr>
          <w:ilvl w:val="0"/>
          <w:numId w:val="2"/>
        </w:numPr>
        <w:tabs>
          <w:tab w:val="left" w:pos="901"/>
        </w:tabs>
        <w:spacing w:before="6" w:line="372" w:lineRule="auto"/>
        <w:ind w:right="502" w:hanging="579"/>
        <w:jc w:val="both"/>
        <w:rPr>
          <w:rFonts w:asciiTheme="minorHAnsi" w:hAnsiTheme="minorHAnsi" w:cstheme="minorHAnsi"/>
          <w:w w:val="105"/>
          <w:sz w:val="24"/>
          <w:szCs w:val="24"/>
        </w:rPr>
      </w:pPr>
      <w:r w:rsidRPr="00511AFE">
        <w:rPr>
          <w:rFonts w:asciiTheme="minorHAnsi" w:hAnsiTheme="minorHAnsi" w:cstheme="minorHAnsi"/>
          <w:w w:val="105"/>
          <w:sz w:val="24"/>
          <w:szCs w:val="24"/>
        </w:rPr>
        <w:t xml:space="preserve">Siqueira JF, </w:t>
      </w:r>
      <w:proofErr w:type="spellStart"/>
      <w:r w:rsidRPr="00511AFE">
        <w:rPr>
          <w:rFonts w:asciiTheme="minorHAnsi" w:hAnsiTheme="minorHAnsi" w:cstheme="minorHAnsi"/>
          <w:w w:val="105"/>
          <w:sz w:val="24"/>
          <w:szCs w:val="24"/>
        </w:rPr>
        <w:t>Rôças</w:t>
      </w:r>
      <w:proofErr w:type="spellEnd"/>
      <w:r w:rsidRPr="00511AFE">
        <w:rPr>
          <w:rFonts w:asciiTheme="minorHAnsi" w:hAnsiTheme="minorHAnsi" w:cstheme="minorHAnsi"/>
          <w:w w:val="105"/>
          <w:sz w:val="24"/>
          <w:szCs w:val="24"/>
        </w:rPr>
        <w:t xml:space="preserve"> IN, Moraes SR, Santos KR. Direct amplification of</w:t>
      </w:r>
      <w:r w:rsidR="00511AFE" w:rsidRPr="00511AFE">
        <w:rPr>
          <w:rFonts w:asciiTheme="minorHAnsi" w:hAnsiTheme="minorHAnsi" w:cstheme="minorHAnsi"/>
          <w:w w:val="105"/>
          <w:sz w:val="24"/>
          <w:szCs w:val="24"/>
        </w:rPr>
        <w:t xml:space="preserve"> </w:t>
      </w:r>
      <w:r w:rsidRPr="00511AFE">
        <w:rPr>
          <w:rFonts w:asciiTheme="minorHAnsi" w:hAnsiTheme="minorHAnsi" w:cstheme="minorHAnsi"/>
          <w:w w:val="105"/>
          <w:sz w:val="24"/>
          <w:szCs w:val="24"/>
        </w:rPr>
        <w:t xml:space="preserve">rRNA gene sequences for identification of selected oral pathogens in root canal infections. Int Endod J. </w:t>
      </w:r>
      <w:proofErr w:type="gramStart"/>
      <w:r w:rsidRPr="00511AFE">
        <w:rPr>
          <w:rFonts w:asciiTheme="minorHAnsi" w:hAnsiTheme="minorHAnsi" w:cstheme="minorHAnsi"/>
          <w:w w:val="105"/>
          <w:sz w:val="24"/>
          <w:szCs w:val="24"/>
        </w:rPr>
        <w:t>2002;35:345</w:t>
      </w:r>
      <w:proofErr w:type="gramEnd"/>
      <w:r w:rsidRPr="00511AFE">
        <w:rPr>
          <w:rFonts w:asciiTheme="minorHAnsi" w:hAnsiTheme="minorHAnsi" w:cstheme="minorHAnsi"/>
          <w:w w:val="105"/>
          <w:sz w:val="24"/>
          <w:szCs w:val="24"/>
        </w:rPr>
        <w:t>–51.</w:t>
      </w:r>
    </w:p>
    <w:p w14:paraId="70ECC171" w14:textId="5EB51B42" w:rsidR="001B3ED2" w:rsidRPr="00511AFE" w:rsidRDefault="00F12B67">
      <w:pPr>
        <w:pStyle w:val="ListParagraph"/>
        <w:numPr>
          <w:ilvl w:val="0"/>
          <w:numId w:val="2"/>
        </w:numPr>
        <w:tabs>
          <w:tab w:val="left" w:pos="901"/>
        </w:tabs>
        <w:spacing w:before="1" w:line="381" w:lineRule="auto"/>
        <w:ind w:right="500" w:hanging="579"/>
        <w:jc w:val="both"/>
        <w:rPr>
          <w:rFonts w:asciiTheme="minorHAnsi" w:hAnsiTheme="minorHAnsi" w:cstheme="minorHAnsi"/>
          <w:w w:val="105"/>
          <w:sz w:val="24"/>
          <w:szCs w:val="24"/>
        </w:rPr>
      </w:pPr>
      <w:r w:rsidRPr="00511AFE">
        <w:rPr>
          <w:rFonts w:asciiTheme="minorHAnsi" w:hAnsiTheme="minorHAnsi" w:cstheme="minorHAnsi"/>
          <w:w w:val="105"/>
          <w:sz w:val="24"/>
          <w:szCs w:val="24"/>
        </w:rPr>
        <w:t xml:space="preserve">Siqueira JF, Jr, </w:t>
      </w:r>
      <w:proofErr w:type="spellStart"/>
      <w:r w:rsidRPr="00511AFE">
        <w:rPr>
          <w:rFonts w:asciiTheme="minorHAnsi" w:hAnsiTheme="minorHAnsi" w:cstheme="minorHAnsi"/>
          <w:w w:val="105"/>
          <w:sz w:val="24"/>
          <w:szCs w:val="24"/>
        </w:rPr>
        <w:t>Rôças</w:t>
      </w:r>
      <w:proofErr w:type="spellEnd"/>
      <w:r w:rsidRPr="00511AFE">
        <w:rPr>
          <w:rFonts w:asciiTheme="minorHAnsi" w:hAnsiTheme="minorHAnsi" w:cstheme="minorHAnsi"/>
          <w:w w:val="105"/>
          <w:sz w:val="24"/>
          <w:szCs w:val="24"/>
        </w:rPr>
        <w:t xml:space="preserve"> IN. Polymerase chain reaction-based analysis of microorganisms associated with failed endodontic treatment. Oral Surg Oral Med Oral </w:t>
      </w:r>
      <w:proofErr w:type="spellStart"/>
      <w:r w:rsidRPr="00511AFE">
        <w:rPr>
          <w:rFonts w:asciiTheme="minorHAnsi" w:hAnsiTheme="minorHAnsi" w:cstheme="minorHAnsi"/>
          <w:w w:val="105"/>
          <w:sz w:val="24"/>
          <w:szCs w:val="24"/>
        </w:rPr>
        <w:t>Pathol</w:t>
      </w:r>
      <w:proofErr w:type="spellEnd"/>
      <w:r w:rsidRPr="00511AFE">
        <w:rPr>
          <w:rFonts w:asciiTheme="minorHAnsi" w:hAnsiTheme="minorHAnsi" w:cstheme="minorHAnsi"/>
          <w:w w:val="105"/>
          <w:sz w:val="24"/>
          <w:szCs w:val="24"/>
        </w:rPr>
        <w:t xml:space="preserve"> Oral </w:t>
      </w:r>
      <w:proofErr w:type="spellStart"/>
      <w:r w:rsidRPr="00511AFE">
        <w:rPr>
          <w:rFonts w:asciiTheme="minorHAnsi" w:hAnsiTheme="minorHAnsi" w:cstheme="minorHAnsi"/>
          <w:w w:val="105"/>
          <w:sz w:val="24"/>
          <w:szCs w:val="24"/>
        </w:rPr>
        <w:t>Radiol</w:t>
      </w:r>
      <w:proofErr w:type="spellEnd"/>
      <w:r w:rsidRPr="00511AFE">
        <w:rPr>
          <w:rFonts w:asciiTheme="minorHAnsi" w:hAnsiTheme="minorHAnsi" w:cstheme="minorHAnsi"/>
          <w:w w:val="105"/>
          <w:sz w:val="24"/>
          <w:szCs w:val="24"/>
        </w:rPr>
        <w:t xml:space="preserve"> Endod. </w:t>
      </w:r>
      <w:proofErr w:type="gramStart"/>
      <w:r w:rsidRPr="00511AFE">
        <w:rPr>
          <w:rFonts w:asciiTheme="minorHAnsi" w:hAnsiTheme="minorHAnsi" w:cstheme="minorHAnsi"/>
          <w:w w:val="105"/>
          <w:sz w:val="24"/>
          <w:szCs w:val="24"/>
        </w:rPr>
        <w:t>2004;97:85</w:t>
      </w:r>
      <w:proofErr w:type="gramEnd"/>
      <w:r w:rsidRPr="00511AFE">
        <w:rPr>
          <w:rFonts w:asciiTheme="minorHAnsi" w:hAnsiTheme="minorHAnsi" w:cstheme="minorHAnsi"/>
          <w:w w:val="105"/>
          <w:sz w:val="24"/>
          <w:szCs w:val="24"/>
        </w:rPr>
        <w:t>–94. 228.</w:t>
      </w:r>
    </w:p>
    <w:p w14:paraId="388A0247" w14:textId="77777777" w:rsidR="00511AFE" w:rsidRDefault="00F12B67" w:rsidP="002F7A99">
      <w:pPr>
        <w:pStyle w:val="ListParagraph"/>
        <w:numPr>
          <w:ilvl w:val="0"/>
          <w:numId w:val="2"/>
        </w:numPr>
        <w:tabs>
          <w:tab w:val="left" w:pos="901"/>
        </w:tabs>
        <w:spacing w:line="360" w:lineRule="auto"/>
        <w:ind w:right="500" w:hanging="579"/>
        <w:jc w:val="both"/>
        <w:rPr>
          <w:rFonts w:asciiTheme="minorHAnsi" w:hAnsiTheme="minorHAnsi" w:cstheme="minorHAnsi"/>
          <w:w w:val="105"/>
          <w:sz w:val="24"/>
          <w:szCs w:val="24"/>
        </w:rPr>
      </w:pPr>
      <w:r w:rsidRPr="00511AFE">
        <w:rPr>
          <w:rFonts w:asciiTheme="minorHAnsi" w:hAnsiTheme="minorHAnsi" w:cstheme="minorHAnsi"/>
          <w:w w:val="105"/>
          <w:sz w:val="24"/>
          <w:szCs w:val="24"/>
        </w:rPr>
        <w:t xml:space="preserve">Sundqvist G, Figdor D, Persson S, Sjogren U. Microbiologic analysis of teeth with failed endodontic treatment and the outcome of conservative re-treatment. Oral Surg Oral Med Oral </w:t>
      </w:r>
      <w:proofErr w:type="spellStart"/>
      <w:r w:rsidRPr="00511AFE">
        <w:rPr>
          <w:rFonts w:asciiTheme="minorHAnsi" w:hAnsiTheme="minorHAnsi" w:cstheme="minorHAnsi"/>
          <w:w w:val="105"/>
          <w:sz w:val="24"/>
          <w:szCs w:val="24"/>
        </w:rPr>
        <w:t>Pathol</w:t>
      </w:r>
      <w:proofErr w:type="spellEnd"/>
      <w:r w:rsidRPr="00511AFE">
        <w:rPr>
          <w:rFonts w:asciiTheme="minorHAnsi" w:hAnsiTheme="minorHAnsi" w:cstheme="minorHAnsi"/>
          <w:w w:val="105"/>
          <w:sz w:val="24"/>
          <w:szCs w:val="24"/>
        </w:rPr>
        <w:t xml:space="preserve"> Oral </w:t>
      </w:r>
      <w:proofErr w:type="spellStart"/>
      <w:r w:rsidRPr="00511AFE">
        <w:rPr>
          <w:rFonts w:asciiTheme="minorHAnsi" w:hAnsiTheme="minorHAnsi" w:cstheme="minorHAnsi"/>
          <w:w w:val="105"/>
          <w:sz w:val="24"/>
          <w:szCs w:val="24"/>
        </w:rPr>
        <w:t>Radiol</w:t>
      </w:r>
      <w:proofErr w:type="spellEnd"/>
      <w:r w:rsidRPr="00511AFE">
        <w:rPr>
          <w:rFonts w:asciiTheme="minorHAnsi" w:hAnsiTheme="minorHAnsi" w:cstheme="minorHAnsi"/>
          <w:w w:val="105"/>
          <w:sz w:val="24"/>
          <w:szCs w:val="24"/>
        </w:rPr>
        <w:t xml:space="preserve"> Endod. </w:t>
      </w:r>
      <w:proofErr w:type="gramStart"/>
      <w:r w:rsidRPr="00511AFE">
        <w:rPr>
          <w:rFonts w:asciiTheme="minorHAnsi" w:hAnsiTheme="minorHAnsi" w:cstheme="minorHAnsi"/>
          <w:w w:val="105"/>
          <w:sz w:val="24"/>
          <w:szCs w:val="24"/>
        </w:rPr>
        <w:t>1998;85:86</w:t>
      </w:r>
      <w:proofErr w:type="gramEnd"/>
      <w:r w:rsidRPr="00511AFE">
        <w:rPr>
          <w:rFonts w:asciiTheme="minorHAnsi" w:hAnsiTheme="minorHAnsi" w:cstheme="minorHAnsi"/>
          <w:w w:val="105"/>
          <w:sz w:val="24"/>
          <w:szCs w:val="24"/>
        </w:rPr>
        <w:t>–93.</w:t>
      </w:r>
    </w:p>
    <w:p w14:paraId="6DF2F14B" w14:textId="1574AFD4" w:rsidR="001B3ED2" w:rsidRPr="00511AFE" w:rsidRDefault="00F12B67" w:rsidP="002F7A99">
      <w:pPr>
        <w:pStyle w:val="ListParagraph"/>
        <w:numPr>
          <w:ilvl w:val="0"/>
          <w:numId w:val="2"/>
        </w:numPr>
        <w:tabs>
          <w:tab w:val="left" w:pos="901"/>
        </w:tabs>
        <w:spacing w:line="360" w:lineRule="auto"/>
        <w:ind w:right="500" w:hanging="579"/>
        <w:jc w:val="both"/>
        <w:rPr>
          <w:rFonts w:asciiTheme="minorHAnsi" w:hAnsiTheme="minorHAnsi" w:cstheme="minorHAnsi"/>
          <w:w w:val="105"/>
          <w:sz w:val="24"/>
          <w:szCs w:val="24"/>
        </w:rPr>
      </w:pPr>
      <w:r w:rsidRPr="00511AFE">
        <w:rPr>
          <w:rFonts w:asciiTheme="minorHAnsi" w:hAnsiTheme="minorHAnsi" w:cstheme="minorHAnsi"/>
          <w:w w:val="105"/>
          <w:sz w:val="24"/>
          <w:szCs w:val="24"/>
        </w:rPr>
        <w:lastRenderedPageBreak/>
        <w:t xml:space="preserve">Sakamoto M, Siqueira JF, Jr, </w:t>
      </w:r>
      <w:proofErr w:type="spellStart"/>
      <w:r w:rsidRPr="00511AFE">
        <w:rPr>
          <w:rFonts w:asciiTheme="minorHAnsi" w:hAnsiTheme="minorHAnsi" w:cstheme="minorHAnsi"/>
          <w:w w:val="105"/>
          <w:sz w:val="24"/>
          <w:szCs w:val="24"/>
        </w:rPr>
        <w:t>Rôças</w:t>
      </w:r>
      <w:proofErr w:type="spellEnd"/>
      <w:r w:rsidRPr="00511AFE">
        <w:rPr>
          <w:rFonts w:asciiTheme="minorHAnsi" w:hAnsiTheme="minorHAnsi" w:cstheme="minorHAnsi"/>
          <w:w w:val="105"/>
          <w:sz w:val="24"/>
          <w:szCs w:val="24"/>
        </w:rPr>
        <w:t xml:space="preserve"> IN, Benno Y. Molecular analysis of the</w:t>
      </w:r>
      <w:r w:rsidR="00511AFE" w:rsidRPr="00511AFE">
        <w:rPr>
          <w:rFonts w:asciiTheme="minorHAnsi" w:hAnsiTheme="minorHAnsi" w:cstheme="minorHAnsi"/>
          <w:w w:val="105"/>
          <w:sz w:val="24"/>
          <w:szCs w:val="24"/>
        </w:rPr>
        <w:t xml:space="preserve"> </w:t>
      </w:r>
      <w:r w:rsidRPr="00511AFE">
        <w:rPr>
          <w:rFonts w:asciiTheme="minorHAnsi" w:hAnsiTheme="minorHAnsi" w:cstheme="minorHAnsi"/>
          <w:w w:val="105"/>
          <w:sz w:val="24"/>
          <w:szCs w:val="24"/>
        </w:rPr>
        <w:t xml:space="preserve">root canal microbiota associated with endodontic treatment failures. Oral </w:t>
      </w:r>
      <w:proofErr w:type="spellStart"/>
      <w:r w:rsidRPr="00511AFE">
        <w:rPr>
          <w:rFonts w:asciiTheme="minorHAnsi" w:hAnsiTheme="minorHAnsi" w:cstheme="minorHAnsi"/>
          <w:w w:val="105"/>
          <w:sz w:val="24"/>
          <w:szCs w:val="24"/>
        </w:rPr>
        <w:t>Microbiol</w:t>
      </w:r>
      <w:proofErr w:type="spellEnd"/>
      <w:r w:rsidRPr="00511AFE">
        <w:rPr>
          <w:rFonts w:asciiTheme="minorHAnsi" w:hAnsiTheme="minorHAnsi" w:cstheme="minorHAnsi"/>
          <w:w w:val="105"/>
          <w:sz w:val="24"/>
          <w:szCs w:val="24"/>
        </w:rPr>
        <w:t xml:space="preserve"> Immunol. </w:t>
      </w:r>
      <w:proofErr w:type="gramStart"/>
      <w:r w:rsidRPr="00511AFE">
        <w:rPr>
          <w:rFonts w:asciiTheme="minorHAnsi" w:hAnsiTheme="minorHAnsi" w:cstheme="minorHAnsi"/>
          <w:w w:val="105"/>
          <w:sz w:val="24"/>
          <w:szCs w:val="24"/>
        </w:rPr>
        <w:t>2008;23:275</w:t>
      </w:r>
      <w:proofErr w:type="gramEnd"/>
      <w:r w:rsidRPr="00511AFE">
        <w:rPr>
          <w:rFonts w:asciiTheme="minorHAnsi" w:hAnsiTheme="minorHAnsi" w:cstheme="minorHAnsi"/>
          <w:w w:val="105"/>
          <w:sz w:val="24"/>
          <w:szCs w:val="24"/>
        </w:rPr>
        <w:t>–281. 231.</w:t>
      </w:r>
    </w:p>
    <w:p w14:paraId="365A722F" w14:textId="77777777" w:rsidR="00BD74C5" w:rsidRPr="00BD74C5" w:rsidRDefault="00F12B67" w:rsidP="002F7A99">
      <w:pPr>
        <w:pStyle w:val="ListParagraph"/>
        <w:numPr>
          <w:ilvl w:val="0"/>
          <w:numId w:val="2"/>
        </w:numPr>
        <w:tabs>
          <w:tab w:val="left" w:pos="901"/>
        </w:tabs>
        <w:spacing w:before="180" w:line="360" w:lineRule="auto"/>
        <w:ind w:right="497" w:hanging="579"/>
        <w:jc w:val="both"/>
        <w:rPr>
          <w:rFonts w:asciiTheme="minorHAnsi" w:hAnsiTheme="minorHAnsi" w:cstheme="minorHAnsi"/>
          <w:w w:val="105"/>
          <w:sz w:val="24"/>
          <w:szCs w:val="24"/>
        </w:rPr>
      </w:pPr>
      <w:r w:rsidRPr="00511AFE">
        <w:rPr>
          <w:rFonts w:asciiTheme="minorHAnsi" w:hAnsiTheme="minorHAnsi" w:cstheme="minorHAnsi"/>
          <w:w w:val="105"/>
          <w:sz w:val="24"/>
          <w:szCs w:val="24"/>
        </w:rPr>
        <w:t xml:space="preserve">Waters, C. M., &amp; Bassler, B. L. (2005). QUORUM SENSING: Cell-to-Cell Communication in Bacteria. Annual Review of Cell and Developmental Biology, 21(1), 319–346. </w:t>
      </w:r>
      <w:hyperlink r:id="rId28" w:history="1">
        <w:r w:rsidR="00D2104A" w:rsidRPr="00511AFE">
          <w:rPr>
            <w:rFonts w:asciiTheme="minorHAnsi" w:hAnsiTheme="minorHAnsi" w:cstheme="minorHAnsi"/>
            <w:sz w:val="24"/>
            <w:szCs w:val="24"/>
          </w:rPr>
          <w:t>https://doi.org/10.1146/annurev.cellbio. 21.012704.131001</w:t>
        </w:r>
      </w:hyperlink>
    </w:p>
    <w:p w14:paraId="39184CB2" w14:textId="7798A763" w:rsidR="00D2104A" w:rsidRPr="00BD74C5" w:rsidRDefault="00F12B67" w:rsidP="002F7A99">
      <w:pPr>
        <w:pStyle w:val="ListParagraph"/>
        <w:numPr>
          <w:ilvl w:val="0"/>
          <w:numId w:val="2"/>
        </w:numPr>
        <w:tabs>
          <w:tab w:val="left" w:pos="901"/>
        </w:tabs>
        <w:spacing w:before="180" w:line="360" w:lineRule="auto"/>
        <w:ind w:right="497" w:hanging="579"/>
        <w:jc w:val="both"/>
        <w:rPr>
          <w:rFonts w:asciiTheme="minorHAnsi" w:hAnsiTheme="minorHAnsi" w:cstheme="minorHAnsi"/>
          <w:w w:val="105"/>
          <w:sz w:val="24"/>
          <w:szCs w:val="24"/>
        </w:rPr>
      </w:pPr>
      <w:r w:rsidRPr="00BD74C5">
        <w:rPr>
          <w:rFonts w:asciiTheme="minorHAnsi" w:hAnsiTheme="minorHAnsi" w:cstheme="minorHAnsi"/>
          <w:w w:val="105"/>
          <w:sz w:val="24"/>
          <w:szCs w:val="24"/>
        </w:rPr>
        <w:t xml:space="preserve">Woo, P. C. Y., Lau, S. K. P., Teng, J. L. L., </w:t>
      </w:r>
      <w:proofErr w:type="spellStart"/>
      <w:r w:rsidRPr="00BD74C5">
        <w:rPr>
          <w:rFonts w:asciiTheme="minorHAnsi" w:hAnsiTheme="minorHAnsi" w:cstheme="minorHAnsi"/>
          <w:w w:val="105"/>
          <w:sz w:val="24"/>
          <w:szCs w:val="24"/>
        </w:rPr>
        <w:t>Tse</w:t>
      </w:r>
      <w:proofErr w:type="spellEnd"/>
      <w:r w:rsidRPr="00BD74C5">
        <w:rPr>
          <w:rFonts w:asciiTheme="minorHAnsi" w:hAnsiTheme="minorHAnsi" w:cstheme="minorHAnsi"/>
          <w:w w:val="105"/>
          <w:sz w:val="24"/>
          <w:szCs w:val="24"/>
        </w:rPr>
        <w:t xml:space="preserve">, H., &amp; Yuen, K.-Y. (2008). Then and now: Use of 16S rDNA gene sequencing for bacterial identification and discovery of novel bacteria in clinical microbiology laboratories. Clinical Microbiology and Infection, 14(10), 908–934. </w:t>
      </w:r>
      <w:hyperlink r:id="rId29" w:history="1">
        <w:r w:rsidR="00D2104A" w:rsidRPr="00BD74C5">
          <w:rPr>
            <w:rFonts w:asciiTheme="minorHAnsi" w:hAnsiTheme="minorHAnsi" w:cstheme="minorHAnsi"/>
            <w:sz w:val="24"/>
            <w:szCs w:val="24"/>
          </w:rPr>
          <w:t>https://doi.org/10.1111/j.1469-0691.2008.02070.x</w:t>
        </w:r>
      </w:hyperlink>
    </w:p>
    <w:sectPr w:rsidR="00D2104A" w:rsidRPr="00BD74C5">
      <w:pgSz w:w="11910" w:h="16840"/>
      <w:pgMar w:top="1440" w:right="940" w:bottom="1200" w:left="126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F6CE6" w14:textId="77777777" w:rsidR="00D448CE" w:rsidRDefault="00D448CE">
      <w:r>
        <w:separator/>
      </w:r>
    </w:p>
  </w:endnote>
  <w:endnote w:type="continuationSeparator" w:id="0">
    <w:p w14:paraId="42BA58E0" w14:textId="77777777" w:rsidR="00D448CE" w:rsidRDefault="00D44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0486" w14:textId="77777777" w:rsidR="004114FD" w:rsidRDefault="00F73260" w:rsidP="004B34E3">
    <w:pPr>
      <w:pStyle w:val="BodyText"/>
      <w:spacing w:line="14" w:lineRule="auto"/>
      <w:ind w:left="0"/>
      <w:rPr>
        <w:sz w:val="14"/>
      </w:rPr>
    </w:pPr>
    <w:r>
      <w:pict w14:anchorId="2033719B">
        <v:shapetype id="_x0000_t202" coordsize="21600,21600" o:spt="202" path="m,l,21600r21600,l21600,xe">
          <v:stroke joinstyle="miter"/>
          <v:path gradientshapeok="t" o:connecttype="rect"/>
        </v:shapetype>
        <v:shape id="_x0000_s2049" type="#_x0000_t202" style="position:absolute;left:0;text-align:left;margin-left:286.35pt;margin-top:780.9pt;width:22.75pt;height:13.05pt;z-index:-251658752;mso-position-horizontal-relative:page;mso-position-vertical-relative:page" filled="f" stroked="f">
          <v:textbox style="mso-next-textbox:#_x0000_s2049" inset="0,0,0,0">
            <w:txbxContent>
              <w:p w14:paraId="1126031F" w14:textId="2232D3A4" w:rsidR="004114FD" w:rsidRPr="00D2104A" w:rsidRDefault="004114FD">
                <w:pPr>
                  <w:spacing w:line="245" w:lineRule="exact"/>
                  <w:ind w:left="60"/>
                  <w:rPr>
                    <w:rFonts w:ascii="Calibri"/>
                    <w:lang w:val="en-IN"/>
                  </w:rPr>
                </w:pPr>
                <w:r>
                  <w:fldChar w:fldCharType="begin"/>
                </w:r>
                <w:r>
                  <w:rPr>
                    <w:rFonts w:ascii="Calibri"/>
                  </w:rPr>
                  <w:instrText xml:space="preserve"> PAGE </w:instrText>
                </w:r>
                <w:r>
                  <w:fldChar w:fldCharType="separate"/>
                </w:r>
                <w:r w:rsidR="00E76E18">
                  <w:rPr>
                    <w:rFonts w:ascii="Calibri"/>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889FC" w14:textId="77777777" w:rsidR="00D448CE" w:rsidRDefault="00D448CE">
      <w:r>
        <w:separator/>
      </w:r>
    </w:p>
  </w:footnote>
  <w:footnote w:type="continuationSeparator" w:id="0">
    <w:p w14:paraId="2B2FE352" w14:textId="77777777" w:rsidR="00D448CE" w:rsidRDefault="00D448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5E95"/>
    <w:multiLevelType w:val="hybridMultilevel"/>
    <w:tmpl w:val="A73AF15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40E0949"/>
    <w:multiLevelType w:val="hybridMultilevel"/>
    <w:tmpl w:val="E92CF9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224D2F81"/>
    <w:multiLevelType w:val="hybridMultilevel"/>
    <w:tmpl w:val="C276BE96"/>
    <w:lvl w:ilvl="0" w:tplc="4009001B">
      <w:start w:val="1"/>
      <w:numFmt w:val="low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5DC2DA4"/>
    <w:multiLevelType w:val="hybridMultilevel"/>
    <w:tmpl w:val="D300568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4E7088"/>
    <w:multiLevelType w:val="hybridMultilevel"/>
    <w:tmpl w:val="58AC4900"/>
    <w:lvl w:ilvl="0" w:tplc="40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583F42"/>
    <w:multiLevelType w:val="hybridMultilevel"/>
    <w:tmpl w:val="226AB9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0F026EB"/>
    <w:multiLevelType w:val="hybridMultilevel"/>
    <w:tmpl w:val="8FF075A2"/>
    <w:lvl w:ilvl="0" w:tplc="5B44B83A">
      <w:start w:val="1"/>
      <w:numFmt w:val="decimal"/>
      <w:lvlText w:val="%1."/>
      <w:lvlJc w:val="left"/>
      <w:pPr>
        <w:ind w:left="643" w:hanging="360"/>
        <w:jc w:val="right"/>
      </w:pPr>
      <w:rPr>
        <w:rFonts w:ascii="Cambria" w:eastAsia="Cambria" w:hAnsi="Cambria" w:cs="Cambria" w:hint="default"/>
        <w:w w:val="98"/>
        <w:sz w:val="26"/>
        <w:szCs w:val="26"/>
        <w:lang w:val="en-US" w:eastAsia="en-US" w:bidi="ar-SA"/>
      </w:rPr>
    </w:lvl>
    <w:lvl w:ilvl="1" w:tplc="121282D0">
      <w:numFmt w:val="bullet"/>
      <w:lvlText w:val="•"/>
      <w:lvlJc w:val="left"/>
      <w:pPr>
        <w:ind w:left="1780" w:hanging="360"/>
      </w:pPr>
      <w:rPr>
        <w:rFonts w:hint="default"/>
        <w:lang w:val="en-US" w:eastAsia="en-US" w:bidi="ar-SA"/>
      </w:rPr>
    </w:lvl>
    <w:lvl w:ilvl="2" w:tplc="D256BF38">
      <w:numFmt w:val="bullet"/>
      <w:lvlText w:val="•"/>
      <w:lvlJc w:val="left"/>
      <w:pPr>
        <w:ind w:left="2661" w:hanging="360"/>
      </w:pPr>
      <w:rPr>
        <w:rFonts w:hint="default"/>
        <w:lang w:val="en-US" w:eastAsia="en-US" w:bidi="ar-SA"/>
      </w:rPr>
    </w:lvl>
    <w:lvl w:ilvl="3" w:tplc="395862D4">
      <w:numFmt w:val="bullet"/>
      <w:lvlText w:val="•"/>
      <w:lvlJc w:val="left"/>
      <w:pPr>
        <w:ind w:left="3541" w:hanging="360"/>
      </w:pPr>
      <w:rPr>
        <w:rFonts w:hint="default"/>
        <w:lang w:val="en-US" w:eastAsia="en-US" w:bidi="ar-SA"/>
      </w:rPr>
    </w:lvl>
    <w:lvl w:ilvl="4" w:tplc="F844DDF6">
      <w:numFmt w:val="bullet"/>
      <w:lvlText w:val="•"/>
      <w:lvlJc w:val="left"/>
      <w:pPr>
        <w:ind w:left="4422" w:hanging="360"/>
      </w:pPr>
      <w:rPr>
        <w:rFonts w:hint="default"/>
        <w:lang w:val="en-US" w:eastAsia="en-US" w:bidi="ar-SA"/>
      </w:rPr>
    </w:lvl>
    <w:lvl w:ilvl="5" w:tplc="B20E4144">
      <w:numFmt w:val="bullet"/>
      <w:lvlText w:val="•"/>
      <w:lvlJc w:val="left"/>
      <w:pPr>
        <w:ind w:left="5303" w:hanging="360"/>
      </w:pPr>
      <w:rPr>
        <w:rFonts w:hint="default"/>
        <w:lang w:val="en-US" w:eastAsia="en-US" w:bidi="ar-SA"/>
      </w:rPr>
    </w:lvl>
    <w:lvl w:ilvl="6" w:tplc="3A80B7C6">
      <w:numFmt w:val="bullet"/>
      <w:lvlText w:val="•"/>
      <w:lvlJc w:val="left"/>
      <w:pPr>
        <w:ind w:left="6183" w:hanging="360"/>
      </w:pPr>
      <w:rPr>
        <w:rFonts w:hint="default"/>
        <w:lang w:val="en-US" w:eastAsia="en-US" w:bidi="ar-SA"/>
      </w:rPr>
    </w:lvl>
    <w:lvl w:ilvl="7" w:tplc="D62003B0">
      <w:numFmt w:val="bullet"/>
      <w:lvlText w:val="•"/>
      <w:lvlJc w:val="left"/>
      <w:pPr>
        <w:ind w:left="7064" w:hanging="360"/>
      </w:pPr>
      <w:rPr>
        <w:rFonts w:hint="default"/>
        <w:lang w:val="en-US" w:eastAsia="en-US" w:bidi="ar-SA"/>
      </w:rPr>
    </w:lvl>
    <w:lvl w:ilvl="8" w:tplc="AF76CE4C">
      <w:numFmt w:val="bullet"/>
      <w:lvlText w:val="•"/>
      <w:lvlJc w:val="left"/>
      <w:pPr>
        <w:ind w:left="7945" w:hanging="360"/>
      </w:pPr>
      <w:rPr>
        <w:rFonts w:hint="default"/>
        <w:lang w:val="en-US" w:eastAsia="en-US" w:bidi="ar-SA"/>
      </w:rPr>
    </w:lvl>
  </w:abstractNum>
  <w:abstractNum w:abstractNumId="7" w15:restartNumberingAfterBreak="0">
    <w:nsid w:val="44A7713F"/>
    <w:multiLevelType w:val="hybridMultilevel"/>
    <w:tmpl w:val="7C5666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DC54338"/>
    <w:multiLevelType w:val="multilevel"/>
    <w:tmpl w:val="B30A29F4"/>
    <w:lvl w:ilvl="0">
      <w:start w:val="10"/>
      <w:numFmt w:val="decimal"/>
      <w:lvlText w:val="%1"/>
      <w:lvlJc w:val="left"/>
      <w:pPr>
        <w:ind w:left="698" w:hanging="519"/>
      </w:pPr>
      <w:rPr>
        <w:rFonts w:hint="default"/>
        <w:lang w:val="en-US" w:eastAsia="en-US" w:bidi="ar-SA"/>
      </w:rPr>
    </w:lvl>
    <w:lvl w:ilvl="1">
      <w:start w:val="1"/>
      <w:numFmt w:val="decimal"/>
      <w:lvlText w:val="%1.%2"/>
      <w:lvlJc w:val="left"/>
      <w:pPr>
        <w:ind w:left="698" w:hanging="519"/>
      </w:pPr>
      <w:rPr>
        <w:rFonts w:ascii="Palatino Linotype" w:eastAsia="Palatino Linotype" w:hAnsi="Palatino Linotype" w:cs="Palatino Linotype" w:hint="default"/>
        <w:b/>
        <w:bCs/>
        <w:w w:val="99"/>
        <w:sz w:val="26"/>
        <w:szCs w:val="26"/>
        <w:lang w:val="en-US" w:eastAsia="en-US" w:bidi="ar-SA"/>
      </w:rPr>
    </w:lvl>
    <w:lvl w:ilvl="2">
      <w:numFmt w:val="bullet"/>
      <w:lvlText w:val=""/>
      <w:lvlJc w:val="left"/>
      <w:pPr>
        <w:ind w:left="900" w:hanging="360"/>
      </w:pPr>
      <w:rPr>
        <w:rFonts w:ascii="Symbol" w:eastAsia="Symbol" w:hAnsi="Symbol" w:cs="Symbol" w:hint="default"/>
        <w:w w:val="99"/>
        <w:sz w:val="26"/>
        <w:szCs w:val="26"/>
        <w:lang w:val="en-US" w:eastAsia="en-US" w:bidi="ar-SA"/>
      </w:rPr>
    </w:lvl>
    <w:lvl w:ilvl="3">
      <w:numFmt w:val="bullet"/>
      <w:lvlText w:val="•"/>
      <w:lvlJc w:val="left"/>
      <w:pPr>
        <w:ind w:left="2856" w:hanging="360"/>
      </w:pPr>
      <w:rPr>
        <w:rFonts w:hint="default"/>
        <w:lang w:val="en-US" w:eastAsia="en-US" w:bidi="ar-SA"/>
      </w:rPr>
    </w:lvl>
    <w:lvl w:ilvl="4">
      <w:numFmt w:val="bullet"/>
      <w:lvlText w:val="•"/>
      <w:lvlJc w:val="left"/>
      <w:pPr>
        <w:ind w:left="3835" w:hanging="360"/>
      </w:pPr>
      <w:rPr>
        <w:rFonts w:hint="default"/>
        <w:lang w:val="en-US" w:eastAsia="en-US" w:bidi="ar-SA"/>
      </w:rPr>
    </w:lvl>
    <w:lvl w:ilvl="5">
      <w:numFmt w:val="bullet"/>
      <w:lvlText w:val="•"/>
      <w:lvlJc w:val="left"/>
      <w:pPr>
        <w:ind w:left="4813" w:hanging="360"/>
      </w:pPr>
      <w:rPr>
        <w:rFonts w:hint="default"/>
        <w:lang w:val="en-US" w:eastAsia="en-US" w:bidi="ar-SA"/>
      </w:rPr>
    </w:lvl>
    <w:lvl w:ilvl="6">
      <w:numFmt w:val="bullet"/>
      <w:lvlText w:val="•"/>
      <w:lvlJc w:val="left"/>
      <w:pPr>
        <w:ind w:left="5792" w:hanging="360"/>
      </w:pPr>
      <w:rPr>
        <w:rFonts w:hint="default"/>
        <w:lang w:val="en-US" w:eastAsia="en-US" w:bidi="ar-SA"/>
      </w:rPr>
    </w:lvl>
    <w:lvl w:ilvl="7">
      <w:numFmt w:val="bullet"/>
      <w:lvlText w:val="•"/>
      <w:lvlJc w:val="left"/>
      <w:pPr>
        <w:ind w:left="6770" w:hanging="360"/>
      </w:pPr>
      <w:rPr>
        <w:rFonts w:hint="default"/>
        <w:lang w:val="en-US" w:eastAsia="en-US" w:bidi="ar-SA"/>
      </w:rPr>
    </w:lvl>
    <w:lvl w:ilvl="8">
      <w:numFmt w:val="bullet"/>
      <w:lvlText w:val="•"/>
      <w:lvlJc w:val="left"/>
      <w:pPr>
        <w:ind w:left="7749" w:hanging="360"/>
      </w:pPr>
      <w:rPr>
        <w:rFonts w:hint="default"/>
        <w:lang w:val="en-US" w:eastAsia="en-US" w:bidi="ar-SA"/>
      </w:rPr>
    </w:lvl>
  </w:abstractNum>
  <w:abstractNum w:abstractNumId="9" w15:restartNumberingAfterBreak="0">
    <w:nsid w:val="4E3E5A3F"/>
    <w:multiLevelType w:val="hybridMultilevel"/>
    <w:tmpl w:val="D28AB640"/>
    <w:lvl w:ilvl="0" w:tplc="2B90B36E">
      <w:start w:val="11"/>
      <w:numFmt w:val="decimal"/>
      <w:lvlText w:val="%1."/>
      <w:lvlJc w:val="left"/>
      <w:pPr>
        <w:ind w:left="607" w:hanging="428"/>
      </w:pPr>
      <w:rPr>
        <w:rFonts w:ascii="Palatino Linotype" w:eastAsia="Palatino Linotype" w:hAnsi="Palatino Linotype" w:cs="Palatino Linotype" w:hint="default"/>
        <w:b/>
        <w:bCs/>
        <w:w w:val="99"/>
        <w:sz w:val="26"/>
        <w:szCs w:val="26"/>
        <w:lang w:val="en-US" w:eastAsia="en-US" w:bidi="ar-SA"/>
      </w:rPr>
    </w:lvl>
    <w:lvl w:ilvl="1" w:tplc="2B8AD650">
      <w:numFmt w:val="bullet"/>
      <w:lvlText w:val=""/>
      <w:lvlJc w:val="left"/>
      <w:pPr>
        <w:ind w:left="900" w:hanging="360"/>
      </w:pPr>
      <w:rPr>
        <w:rFonts w:ascii="Symbol" w:eastAsia="Symbol" w:hAnsi="Symbol" w:cs="Symbol" w:hint="default"/>
        <w:w w:val="99"/>
        <w:sz w:val="26"/>
        <w:szCs w:val="26"/>
        <w:lang w:val="en-US" w:eastAsia="en-US" w:bidi="ar-SA"/>
      </w:rPr>
    </w:lvl>
    <w:lvl w:ilvl="2" w:tplc="3CB2D94C">
      <w:numFmt w:val="bullet"/>
      <w:lvlText w:val="•"/>
      <w:lvlJc w:val="left"/>
      <w:pPr>
        <w:ind w:left="1878" w:hanging="360"/>
      </w:pPr>
      <w:rPr>
        <w:rFonts w:hint="default"/>
        <w:lang w:val="en-US" w:eastAsia="en-US" w:bidi="ar-SA"/>
      </w:rPr>
    </w:lvl>
    <w:lvl w:ilvl="3" w:tplc="F3B2B410">
      <w:numFmt w:val="bullet"/>
      <w:lvlText w:val="•"/>
      <w:lvlJc w:val="left"/>
      <w:pPr>
        <w:ind w:left="2856" w:hanging="360"/>
      </w:pPr>
      <w:rPr>
        <w:rFonts w:hint="default"/>
        <w:lang w:val="en-US" w:eastAsia="en-US" w:bidi="ar-SA"/>
      </w:rPr>
    </w:lvl>
    <w:lvl w:ilvl="4" w:tplc="384E79EE">
      <w:numFmt w:val="bullet"/>
      <w:lvlText w:val="•"/>
      <w:lvlJc w:val="left"/>
      <w:pPr>
        <w:ind w:left="3835" w:hanging="360"/>
      </w:pPr>
      <w:rPr>
        <w:rFonts w:hint="default"/>
        <w:lang w:val="en-US" w:eastAsia="en-US" w:bidi="ar-SA"/>
      </w:rPr>
    </w:lvl>
    <w:lvl w:ilvl="5" w:tplc="FF028D7A">
      <w:numFmt w:val="bullet"/>
      <w:lvlText w:val="•"/>
      <w:lvlJc w:val="left"/>
      <w:pPr>
        <w:ind w:left="4813" w:hanging="360"/>
      </w:pPr>
      <w:rPr>
        <w:rFonts w:hint="default"/>
        <w:lang w:val="en-US" w:eastAsia="en-US" w:bidi="ar-SA"/>
      </w:rPr>
    </w:lvl>
    <w:lvl w:ilvl="6" w:tplc="0DCE089A">
      <w:numFmt w:val="bullet"/>
      <w:lvlText w:val="•"/>
      <w:lvlJc w:val="left"/>
      <w:pPr>
        <w:ind w:left="5792" w:hanging="360"/>
      </w:pPr>
      <w:rPr>
        <w:rFonts w:hint="default"/>
        <w:lang w:val="en-US" w:eastAsia="en-US" w:bidi="ar-SA"/>
      </w:rPr>
    </w:lvl>
    <w:lvl w:ilvl="7" w:tplc="7BEA48C0">
      <w:numFmt w:val="bullet"/>
      <w:lvlText w:val="•"/>
      <w:lvlJc w:val="left"/>
      <w:pPr>
        <w:ind w:left="6770" w:hanging="360"/>
      </w:pPr>
      <w:rPr>
        <w:rFonts w:hint="default"/>
        <w:lang w:val="en-US" w:eastAsia="en-US" w:bidi="ar-SA"/>
      </w:rPr>
    </w:lvl>
    <w:lvl w:ilvl="8" w:tplc="814A8E48">
      <w:numFmt w:val="bullet"/>
      <w:lvlText w:val="•"/>
      <w:lvlJc w:val="left"/>
      <w:pPr>
        <w:ind w:left="7749" w:hanging="360"/>
      </w:pPr>
      <w:rPr>
        <w:rFonts w:hint="default"/>
        <w:lang w:val="en-US" w:eastAsia="en-US" w:bidi="ar-SA"/>
      </w:rPr>
    </w:lvl>
  </w:abstractNum>
  <w:abstractNum w:abstractNumId="10" w15:restartNumberingAfterBreak="0">
    <w:nsid w:val="4FDA27E7"/>
    <w:multiLevelType w:val="hybridMultilevel"/>
    <w:tmpl w:val="E31A02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2C34D5F"/>
    <w:multiLevelType w:val="hybridMultilevel"/>
    <w:tmpl w:val="FA02C91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56BF13F1"/>
    <w:multiLevelType w:val="hybridMultilevel"/>
    <w:tmpl w:val="50CCFD56"/>
    <w:lvl w:ilvl="0" w:tplc="7270AEB6">
      <w:start w:val="231"/>
      <w:numFmt w:val="decimal"/>
      <w:lvlText w:val="%1."/>
      <w:lvlJc w:val="left"/>
      <w:pPr>
        <w:ind w:left="862" w:hanging="579"/>
      </w:pPr>
      <w:rPr>
        <w:rFonts w:ascii="Cambria" w:eastAsia="Cambria" w:hAnsi="Cambria" w:cs="Cambria" w:hint="default"/>
        <w:w w:val="93"/>
        <w:sz w:val="26"/>
        <w:szCs w:val="26"/>
        <w:lang w:val="en-US" w:eastAsia="en-US" w:bidi="ar-SA"/>
      </w:rPr>
    </w:lvl>
    <w:lvl w:ilvl="1" w:tplc="F23438E2">
      <w:numFmt w:val="bullet"/>
      <w:lvlText w:val="•"/>
      <w:lvlJc w:val="left"/>
      <w:pPr>
        <w:ind w:left="1780" w:hanging="579"/>
      </w:pPr>
      <w:rPr>
        <w:rFonts w:hint="default"/>
        <w:lang w:val="en-US" w:eastAsia="en-US" w:bidi="ar-SA"/>
      </w:rPr>
    </w:lvl>
    <w:lvl w:ilvl="2" w:tplc="BF5CA15C">
      <w:numFmt w:val="bullet"/>
      <w:lvlText w:val="•"/>
      <w:lvlJc w:val="left"/>
      <w:pPr>
        <w:ind w:left="2661" w:hanging="579"/>
      </w:pPr>
      <w:rPr>
        <w:rFonts w:hint="default"/>
        <w:lang w:val="en-US" w:eastAsia="en-US" w:bidi="ar-SA"/>
      </w:rPr>
    </w:lvl>
    <w:lvl w:ilvl="3" w:tplc="EC26075C">
      <w:numFmt w:val="bullet"/>
      <w:lvlText w:val="•"/>
      <w:lvlJc w:val="left"/>
      <w:pPr>
        <w:ind w:left="3541" w:hanging="579"/>
      </w:pPr>
      <w:rPr>
        <w:rFonts w:hint="default"/>
        <w:lang w:val="en-US" w:eastAsia="en-US" w:bidi="ar-SA"/>
      </w:rPr>
    </w:lvl>
    <w:lvl w:ilvl="4" w:tplc="CC126BB4">
      <w:numFmt w:val="bullet"/>
      <w:lvlText w:val="•"/>
      <w:lvlJc w:val="left"/>
      <w:pPr>
        <w:ind w:left="4422" w:hanging="579"/>
      </w:pPr>
      <w:rPr>
        <w:rFonts w:hint="default"/>
        <w:lang w:val="en-US" w:eastAsia="en-US" w:bidi="ar-SA"/>
      </w:rPr>
    </w:lvl>
    <w:lvl w:ilvl="5" w:tplc="6A105EF2">
      <w:numFmt w:val="bullet"/>
      <w:lvlText w:val="•"/>
      <w:lvlJc w:val="left"/>
      <w:pPr>
        <w:ind w:left="5303" w:hanging="579"/>
      </w:pPr>
      <w:rPr>
        <w:rFonts w:hint="default"/>
        <w:lang w:val="en-US" w:eastAsia="en-US" w:bidi="ar-SA"/>
      </w:rPr>
    </w:lvl>
    <w:lvl w:ilvl="6" w:tplc="C70C9466">
      <w:numFmt w:val="bullet"/>
      <w:lvlText w:val="•"/>
      <w:lvlJc w:val="left"/>
      <w:pPr>
        <w:ind w:left="6183" w:hanging="579"/>
      </w:pPr>
      <w:rPr>
        <w:rFonts w:hint="default"/>
        <w:lang w:val="en-US" w:eastAsia="en-US" w:bidi="ar-SA"/>
      </w:rPr>
    </w:lvl>
    <w:lvl w:ilvl="7" w:tplc="B1F6BD1E">
      <w:numFmt w:val="bullet"/>
      <w:lvlText w:val="•"/>
      <w:lvlJc w:val="left"/>
      <w:pPr>
        <w:ind w:left="7064" w:hanging="579"/>
      </w:pPr>
      <w:rPr>
        <w:rFonts w:hint="default"/>
        <w:lang w:val="en-US" w:eastAsia="en-US" w:bidi="ar-SA"/>
      </w:rPr>
    </w:lvl>
    <w:lvl w:ilvl="8" w:tplc="A9B88A76">
      <w:numFmt w:val="bullet"/>
      <w:lvlText w:val="•"/>
      <w:lvlJc w:val="left"/>
      <w:pPr>
        <w:ind w:left="7945" w:hanging="579"/>
      </w:pPr>
      <w:rPr>
        <w:rFonts w:hint="default"/>
        <w:lang w:val="en-US" w:eastAsia="en-US" w:bidi="ar-SA"/>
      </w:rPr>
    </w:lvl>
  </w:abstractNum>
  <w:abstractNum w:abstractNumId="13" w15:restartNumberingAfterBreak="0">
    <w:nsid w:val="59AD0824"/>
    <w:multiLevelType w:val="hybridMultilevel"/>
    <w:tmpl w:val="10E8D5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DEC7EB8"/>
    <w:multiLevelType w:val="hybridMultilevel"/>
    <w:tmpl w:val="3A6A43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5602025">
    <w:abstractNumId w:val="12"/>
  </w:num>
  <w:num w:numId="2" w16cid:durableId="114446133">
    <w:abstractNumId w:val="6"/>
  </w:num>
  <w:num w:numId="3" w16cid:durableId="656416120">
    <w:abstractNumId w:val="9"/>
  </w:num>
  <w:num w:numId="4" w16cid:durableId="593244095">
    <w:abstractNumId w:val="8"/>
  </w:num>
  <w:num w:numId="5" w16cid:durableId="2099909468">
    <w:abstractNumId w:val="0"/>
  </w:num>
  <w:num w:numId="6" w16cid:durableId="358033">
    <w:abstractNumId w:val="14"/>
  </w:num>
  <w:num w:numId="7" w16cid:durableId="1009335063">
    <w:abstractNumId w:val="5"/>
  </w:num>
  <w:num w:numId="8" w16cid:durableId="12536840">
    <w:abstractNumId w:val="3"/>
  </w:num>
  <w:num w:numId="9" w16cid:durableId="681665530">
    <w:abstractNumId w:val="4"/>
  </w:num>
  <w:num w:numId="10" w16cid:durableId="1460345287">
    <w:abstractNumId w:val="7"/>
  </w:num>
  <w:num w:numId="11" w16cid:durableId="484321895">
    <w:abstractNumId w:val="11"/>
  </w:num>
  <w:num w:numId="12" w16cid:durableId="341977691">
    <w:abstractNumId w:val="13"/>
  </w:num>
  <w:num w:numId="13" w16cid:durableId="50349514">
    <w:abstractNumId w:val="1"/>
  </w:num>
  <w:num w:numId="14" w16cid:durableId="309750369">
    <w:abstractNumId w:val="2"/>
  </w:num>
  <w:num w:numId="15" w16cid:durableId="155045586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B3ED2"/>
    <w:rsid w:val="000F07A4"/>
    <w:rsid w:val="00136391"/>
    <w:rsid w:val="00177AC8"/>
    <w:rsid w:val="0019356C"/>
    <w:rsid w:val="00197B9E"/>
    <w:rsid w:val="001A1F0F"/>
    <w:rsid w:val="001B3ED2"/>
    <w:rsid w:val="001D647F"/>
    <w:rsid w:val="001D7DF8"/>
    <w:rsid w:val="001F7A91"/>
    <w:rsid w:val="00216C13"/>
    <w:rsid w:val="002B2354"/>
    <w:rsid w:val="002C4742"/>
    <w:rsid w:val="002F7A99"/>
    <w:rsid w:val="004114FD"/>
    <w:rsid w:val="00453428"/>
    <w:rsid w:val="004754F6"/>
    <w:rsid w:val="00487756"/>
    <w:rsid w:val="004B34E3"/>
    <w:rsid w:val="00511AFE"/>
    <w:rsid w:val="00560A26"/>
    <w:rsid w:val="00575230"/>
    <w:rsid w:val="005B1B7F"/>
    <w:rsid w:val="0061285A"/>
    <w:rsid w:val="0065019A"/>
    <w:rsid w:val="00661B36"/>
    <w:rsid w:val="0073518C"/>
    <w:rsid w:val="007F337B"/>
    <w:rsid w:val="00827A65"/>
    <w:rsid w:val="00867D46"/>
    <w:rsid w:val="008C456A"/>
    <w:rsid w:val="008C53FE"/>
    <w:rsid w:val="008E371E"/>
    <w:rsid w:val="009543C8"/>
    <w:rsid w:val="009C5AEF"/>
    <w:rsid w:val="009D2BB5"/>
    <w:rsid w:val="00A05C08"/>
    <w:rsid w:val="00A37F27"/>
    <w:rsid w:val="00A7204A"/>
    <w:rsid w:val="00A96508"/>
    <w:rsid w:val="00A97CE5"/>
    <w:rsid w:val="00AF5EBE"/>
    <w:rsid w:val="00B20354"/>
    <w:rsid w:val="00B91EF4"/>
    <w:rsid w:val="00BB1D9A"/>
    <w:rsid w:val="00BB41A5"/>
    <w:rsid w:val="00BD74C5"/>
    <w:rsid w:val="00BF5333"/>
    <w:rsid w:val="00C138B1"/>
    <w:rsid w:val="00C975B1"/>
    <w:rsid w:val="00D1119B"/>
    <w:rsid w:val="00D2104A"/>
    <w:rsid w:val="00D32849"/>
    <w:rsid w:val="00D35EC5"/>
    <w:rsid w:val="00D448CE"/>
    <w:rsid w:val="00DF61CC"/>
    <w:rsid w:val="00E03992"/>
    <w:rsid w:val="00E273E3"/>
    <w:rsid w:val="00E76E18"/>
    <w:rsid w:val="00EA1134"/>
    <w:rsid w:val="00F06951"/>
    <w:rsid w:val="00F12B67"/>
    <w:rsid w:val="00F73260"/>
    <w:rsid w:val="00FA5649"/>
    <w:rsid w:val="00FC23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616127"/>
  <w15:docId w15:val="{CC3E9BD4-9136-477E-AFB1-CE3CA493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link w:val="Heading1Char"/>
    <w:uiPriority w:val="1"/>
    <w:qFormat/>
    <w:pPr>
      <w:spacing w:before="44"/>
      <w:ind w:left="698" w:hanging="519"/>
      <w:outlineLvl w:val="0"/>
    </w:pPr>
    <w:rPr>
      <w:rFonts w:ascii="Palatino Linotype" w:eastAsia="Palatino Linotype" w:hAnsi="Palatino Linotype" w:cs="Palatino Linotype"/>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80"/>
      <w:jc w:val="both"/>
    </w:pPr>
    <w:rPr>
      <w:sz w:val="26"/>
      <w:szCs w:val="26"/>
    </w:rPr>
  </w:style>
  <w:style w:type="paragraph" w:styleId="ListParagraph">
    <w:name w:val="List Paragraph"/>
    <w:basedOn w:val="Normal"/>
    <w:uiPriority w:val="1"/>
    <w:qFormat/>
    <w:pPr>
      <w:ind w:left="900" w:hanging="57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B34E3"/>
    <w:pPr>
      <w:tabs>
        <w:tab w:val="center" w:pos="4513"/>
        <w:tab w:val="right" w:pos="9026"/>
      </w:tabs>
    </w:pPr>
  </w:style>
  <w:style w:type="character" w:customStyle="1" w:styleId="HeaderChar">
    <w:name w:val="Header Char"/>
    <w:basedOn w:val="DefaultParagraphFont"/>
    <w:link w:val="Header"/>
    <w:uiPriority w:val="99"/>
    <w:rsid w:val="004B34E3"/>
    <w:rPr>
      <w:rFonts w:ascii="Cambria" w:eastAsia="Cambria" w:hAnsi="Cambria" w:cs="Cambria"/>
    </w:rPr>
  </w:style>
  <w:style w:type="paragraph" w:styleId="Footer">
    <w:name w:val="footer"/>
    <w:basedOn w:val="Normal"/>
    <w:link w:val="FooterChar"/>
    <w:uiPriority w:val="99"/>
    <w:unhideWhenUsed/>
    <w:rsid w:val="004B34E3"/>
    <w:pPr>
      <w:tabs>
        <w:tab w:val="center" w:pos="4513"/>
        <w:tab w:val="right" w:pos="9026"/>
      </w:tabs>
    </w:pPr>
  </w:style>
  <w:style w:type="character" w:customStyle="1" w:styleId="FooterChar">
    <w:name w:val="Footer Char"/>
    <w:basedOn w:val="DefaultParagraphFont"/>
    <w:link w:val="Footer"/>
    <w:uiPriority w:val="99"/>
    <w:rsid w:val="004B34E3"/>
    <w:rPr>
      <w:rFonts w:ascii="Cambria" w:eastAsia="Cambria" w:hAnsi="Cambria" w:cs="Cambria"/>
    </w:rPr>
  </w:style>
  <w:style w:type="character" w:styleId="Hyperlink">
    <w:name w:val="Hyperlink"/>
    <w:basedOn w:val="DefaultParagraphFont"/>
    <w:uiPriority w:val="99"/>
    <w:unhideWhenUsed/>
    <w:rsid w:val="00D2104A"/>
    <w:rPr>
      <w:color w:val="0000FF" w:themeColor="hyperlink"/>
      <w:u w:val="single"/>
    </w:rPr>
  </w:style>
  <w:style w:type="character" w:customStyle="1" w:styleId="UnresolvedMention1">
    <w:name w:val="Unresolved Mention1"/>
    <w:basedOn w:val="DefaultParagraphFont"/>
    <w:uiPriority w:val="99"/>
    <w:semiHidden/>
    <w:unhideWhenUsed/>
    <w:rsid w:val="00D2104A"/>
    <w:rPr>
      <w:color w:val="605E5C"/>
      <w:shd w:val="clear" w:color="auto" w:fill="E1DFDD"/>
    </w:rPr>
  </w:style>
  <w:style w:type="character" w:customStyle="1" w:styleId="Heading1Char">
    <w:name w:val="Heading 1 Char"/>
    <w:basedOn w:val="DefaultParagraphFont"/>
    <w:link w:val="Heading1"/>
    <w:uiPriority w:val="1"/>
    <w:rsid w:val="00A7204A"/>
    <w:rPr>
      <w:rFonts w:ascii="Palatino Linotype" w:eastAsia="Palatino Linotype" w:hAnsi="Palatino Linotype" w:cs="Palatino Linotype"/>
      <w:b/>
      <w:bCs/>
      <w:sz w:val="26"/>
      <w:szCs w:val="26"/>
    </w:rPr>
  </w:style>
  <w:style w:type="character" w:customStyle="1" w:styleId="BodyTextChar">
    <w:name w:val="Body Text Char"/>
    <w:basedOn w:val="DefaultParagraphFont"/>
    <w:link w:val="BodyText"/>
    <w:uiPriority w:val="1"/>
    <w:rsid w:val="00A7204A"/>
    <w:rPr>
      <w:rFonts w:ascii="Cambria" w:eastAsia="Cambria" w:hAnsi="Cambria" w:cs="Cambri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onlinelibrary.wiley.com/action/doSearch?ContribAuthorRaw=Siqueira%2C%2BJ%2BF"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onlinelibrary.wiley.com/action/doSearch?ContribAuthorRaw=R%C3%B4%C3%A7as%2C%2BI%2B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1111/j.1469-0691.2008.02070.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nlinelibrary.wiley.com/action/doSearch?ContribAuthorRaw=Sakamoto%2C%2B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doi.org/10.1146/annurev.cellbio.%2021.012704.131001"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hyperlink" Target="https://onlinelibrary.wiley.com/action/doSearch?ContribAuthorRaw=Benno%2C%2B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79995-B3E5-485A-8C93-0F0D01AC1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30</Pages>
  <Words>6399</Words>
  <Characters>36480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anjanagigy@gmail.com</cp:lastModifiedBy>
  <cp:revision>44</cp:revision>
  <dcterms:created xsi:type="dcterms:W3CDTF">2023-08-24T04:58:00Z</dcterms:created>
  <dcterms:modified xsi:type="dcterms:W3CDTF">2023-08-28T04:40:00Z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2022-07-04T00:00:00Z</vt:filetime>
  </property>
  <property fmtid="{D5CDD505-2E9C-101B-9397-08002B2CF9AE}" pid="3" name="Creator">
    <vt:lpwstr>Microsoft® Word 2016</vt:lpwstr>
  </property>
  <property fmtid="{D5CDD505-2E9C-101B-9397-08002B2CF9AE}" pid="4" name="LastSaved">
    <vt:filetime>2023-08-24T00:00:00Z</vt:filetime>
  </property>
  <property fmtid="{D5CDD505-2E9C-101B-9397-08002B2CF9AE}" pid="5" name="GrammarlyDocumentId">
    <vt:lpwstr>c2cd4fa2271effce4f5629b8e38bafd7805ab634693acc9938b805e55c03feb2</vt:lpwstr>
  </property>
</Properties>
</file>