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0B22" w14:textId="1716ECBA" w:rsidR="00BB3C2A" w:rsidRPr="00BB3C2A" w:rsidRDefault="00BB3C2A" w:rsidP="00BB3C2A">
      <w:pPr>
        <w:jc w:val="center"/>
        <w:rPr>
          <w:rFonts w:ascii="Times New Roman" w:hAnsi="Times New Roman" w:cs="Times New Roman"/>
          <w:sz w:val="28"/>
          <w:szCs w:val="28"/>
        </w:rPr>
      </w:pPr>
      <w:r w:rsidRPr="00BB3C2A">
        <w:rPr>
          <w:rFonts w:ascii="Times New Roman" w:hAnsi="Times New Roman" w:cs="Times New Roman"/>
          <w:sz w:val="28"/>
          <w:szCs w:val="28"/>
        </w:rPr>
        <w:t>Materials in Medicine: Advancements, Applications, and Innovations</w:t>
      </w:r>
    </w:p>
    <w:p w14:paraId="24291F5F" w14:textId="77777777" w:rsidR="00BB3C2A" w:rsidRPr="00BB3C2A" w:rsidRDefault="00BB3C2A" w:rsidP="00BB3C2A">
      <w:pPr>
        <w:jc w:val="center"/>
        <w:rPr>
          <w:rFonts w:ascii="Times New Roman" w:hAnsi="Times New Roman" w:cs="Times New Roman"/>
          <w:sz w:val="24"/>
          <w:szCs w:val="24"/>
        </w:rPr>
      </w:pPr>
    </w:p>
    <w:p w14:paraId="1E5E0F64" w14:textId="77777777" w:rsidR="00BB3C2A" w:rsidRPr="00BB3C2A" w:rsidRDefault="00BB3C2A" w:rsidP="00BB3C2A">
      <w:pPr>
        <w:rPr>
          <w:rFonts w:ascii="Times New Roman" w:hAnsi="Times New Roman" w:cs="Times New Roman"/>
          <w:b/>
          <w:bCs/>
          <w:sz w:val="24"/>
          <w:szCs w:val="24"/>
        </w:rPr>
      </w:pPr>
      <w:r w:rsidRPr="00BB3C2A">
        <w:rPr>
          <w:rFonts w:ascii="Times New Roman" w:hAnsi="Times New Roman" w:cs="Times New Roman"/>
          <w:b/>
          <w:bCs/>
          <w:sz w:val="24"/>
          <w:szCs w:val="24"/>
        </w:rPr>
        <w:t>Introduction</w:t>
      </w:r>
    </w:p>
    <w:p w14:paraId="1981225B"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Materials have played a pivotal role in the field of medicine since its inception. From ancient civilizations using natural materials for wound dressings to the modern era of sophisticated biomaterials and nanotechnology, the relationship between materials and medicine has evolved dramatically. This article explores the crucial role of materials in medicine, examining their historical significance, contemporary applications, and future innovations. Through the lens of various materials, we will delve into their contributions to medical devices, drug delivery systems, tissue engineering, and diagnostics, supported by relevant references and case studies.</w:t>
      </w:r>
    </w:p>
    <w:p w14:paraId="0A0FCB4A" w14:textId="77777777" w:rsidR="00BB3C2A" w:rsidRPr="00BB3C2A" w:rsidRDefault="00BB3C2A" w:rsidP="00BB3C2A">
      <w:pPr>
        <w:rPr>
          <w:rFonts w:ascii="Times New Roman" w:hAnsi="Times New Roman" w:cs="Times New Roman"/>
          <w:b/>
          <w:bCs/>
          <w:sz w:val="24"/>
          <w:szCs w:val="24"/>
        </w:rPr>
      </w:pPr>
      <w:r w:rsidRPr="00BB3C2A">
        <w:rPr>
          <w:rFonts w:ascii="Times New Roman" w:hAnsi="Times New Roman" w:cs="Times New Roman"/>
          <w:b/>
          <w:bCs/>
          <w:sz w:val="24"/>
          <w:szCs w:val="24"/>
        </w:rPr>
        <w:t>I. Historical Significance of Materials in Medicine</w:t>
      </w:r>
    </w:p>
    <w:p w14:paraId="1AF67B46"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 xml:space="preserve">1.1 Ancient Civilizations and Natural Materials </w:t>
      </w:r>
      <w:proofErr w:type="spellStart"/>
      <w:r w:rsidRPr="00BB3C2A">
        <w:rPr>
          <w:rFonts w:ascii="Times New Roman" w:hAnsi="Times New Roman" w:cs="Times New Roman"/>
          <w:sz w:val="24"/>
          <w:szCs w:val="24"/>
        </w:rPr>
        <w:t>Materials</w:t>
      </w:r>
      <w:proofErr w:type="spellEnd"/>
      <w:r w:rsidRPr="00BB3C2A">
        <w:rPr>
          <w:rFonts w:ascii="Times New Roman" w:hAnsi="Times New Roman" w:cs="Times New Roman"/>
          <w:sz w:val="24"/>
          <w:szCs w:val="24"/>
        </w:rPr>
        <w:t xml:space="preserve"> have been integral to medical practices for thousands of years. Ancient civilizations, such as the Egyptians and Greeks, used natural materials like linen, honey, and various plant extracts for wound dressings and treatments. The knowledge of these materials laid the foundation for modern wound care.</w:t>
      </w:r>
    </w:p>
    <w:p w14:paraId="7CE3F867"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1.2 Early Surgical Instruments The development of surgical instruments saw the use of materials like bronze and iron in ancient times. These rudimentary tools have evolved into advanced surgical instruments made from stainless steel, titanium, and other alloys with enhanced strength, durability, and biocompatibility.</w:t>
      </w:r>
    </w:p>
    <w:p w14:paraId="50BD8EAA"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1.3 The Renaissance and the Birth of Biocompatible Materials During the Renaissance, pioneers like Ambroise Paré introduced the use of silver in wound care. This marked a shift towards biocompatible materials. The discovery of biocompatible polymers, such as silicone, in the mid-20th century paved the way for implants and prosthetics.</w:t>
      </w:r>
    </w:p>
    <w:p w14:paraId="1316E45B" w14:textId="77777777" w:rsidR="00BB3C2A" w:rsidRPr="00BB3C2A" w:rsidRDefault="00BB3C2A" w:rsidP="00BB3C2A">
      <w:pPr>
        <w:rPr>
          <w:rFonts w:ascii="Times New Roman" w:hAnsi="Times New Roman" w:cs="Times New Roman"/>
          <w:b/>
          <w:bCs/>
          <w:sz w:val="24"/>
          <w:szCs w:val="24"/>
        </w:rPr>
      </w:pPr>
      <w:r w:rsidRPr="00BB3C2A">
        <w:rPr>
          <w:rFonts w:ascii="Times New Roman" w:hAnsi="Times New Roman" w:cs="Times New Roman"/>
          <w:b/>
          <w:bCs/>
          <w:sz w:val="24"/>
          <w:szCs w:val="24"/>
        </w:rPr>
        <w:t>II. Contemporary Applications of Materials in Medicine</w:t>
      </w:r>
    </w:p>
    <w:p w14:paraId="70432D4E"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2.1 Biomaterials for Implants and Prosthetics Modern medicine heavily relies on biomaterials for various implants, ranging from joint replacements to dental implants. Materials like titanium, hydroxyapatite, and biodegradable polymers have revolutionized patient care by providing strong and biocompatible options.</w:t>
      </w:r>
    </w:p>
    <w:p w14:paraId="5C2DF6A8"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2.2 Drug Delivery Systems Materials have transformed drug delivery, enabling precise control over the release of medications. Nanoparticles, liposomes, and hydrogels have been designed to improve drug efficacy and minimize side effects. Case study: Liposomal Doxorubicin in cancer treatment.</w:t>
      </w:r>
    </w:p>
    <w:p w14:paraId="6A5C6578"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2.3 Tissue Engineering Materials play a pivotal role in tissue engineering, a promising field that aims to regenerate damaged or lost tissues. Scaffolds made from biocompatible polymers guide cell growth and tissue formation. The development of artificial organs and tissues is now within reach. Case study: 3D-printed bone scaffolds.</w:t>
      </w:r>
    </w:p>
    <w:p w14:paraId="75AD8FA5"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 xml:space="preserve">2.4 Medical Devices Materials are essential for the fabrication of various medical devices, such as pacemakers, stents, and catheters. Advancements in materials science have enhanced </w:t>
      </w:r>
      <w:r w:rsidRPr="00BB3C2A">
        <w:rPr>
          <w:rFonts w:ascii="Times New Roman" w:hAnsi="Times New Roman" w:cs="Times New Roman"/>
          <w:sz w:val="24"/>
          <w:szCs w:val="24"/>
        </w:rPr>
        <w:lastRenderedPageBreak/>
        <w:t>the performance and biocompatibility of these devices, improving patient outcomes. Case study: Nitinol stents for cardiovascular applications.</w:t>
      </w:r>
    </w:p>
    <w:p w14:paraId="1E6CB217"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2.5 Diagnostic Tools The materials used in diagnostic tools, such as biosensors and imaging agents, are critical for accurate and timely medical assessments. Quantum dots, nanomaterials, and functionalized nanoparticles have expanded the capabilities of diagnostic tests. Case study: Magnetic resonance imaging (MRI) contrast agents.</w:t>
      </w:r>
    </w:p>
    <w:p w14:paraId="4AF8EDA7" w14:textId="77777777" w:rsidR="00BB3C2A" w:rsidRPr="00BB3C2A" w:rsidRDefault="00BB3C2A" w:rsidP="00BB3C2A">
      <w:pPr>
        <w:rPr>
          <w:rFonts w:ascii="Times New Roman" w:hAnsi="Times New Roman" w:cs="Times New Roman"/>
          <w:b/>
          <w:bCs/>
          <w:sz w:val="24"/>
          <w:szCs w:val="24"/>
        </w:rPr>
      </w:pPr>
      <w:r w:rsidRPr="00BB3C2A">
        <w:rPr>
          <w:rFonts w:ascii="Times New Roman" w:hAnsi="Times New Roman" w:cs="Times New Roman"/>
          <w:b/>
          <w:bCs/>
          <w:sz w:val="24"/>
          <w:szCs w:val="24"/>
        </w:rPr>
        <w:t>III. Future Innovations in Materials for Medicine</w:t>
      </w:r>
    </w:p>
    <w:p w14:paraId="4AC1FC94"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3.1 Nanotechnology in Medicine Nanotechnology holds immense promise in medicine, with nanoparticles and nanocomposites being researched for targeted drug delivery, imaging, and diagnostics. The utilization of nanomaterials like carbon nanotubes and quantum dots opens new frontiers in medical applications.</w:t>
      </w:r>
    </w:p>
    <w:p w14:paraId="0F039C99"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3.2 Smart Materials and Devices The integration of smart materials, such as shape memory alloys and conductive polymers, into medical devices allows for real-time monitoring and adaptive responses. These materials hold potential for wearable devices, personalized medicine, and smart prosthetics.</w:t>
      </w:r>
    </w:p>
    <w:p w14:paraId="189B6377"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3.3 Bioinks and 3D Printing Advancements in 3D printing technology, along with bioinks composed of living cells and biocompatible materials, enable the fabrication of complex tissues and organs. This innovation has the potential to revolutionize organ transplantation and personalized medicine.</w:t>
      </w:r>
    </w:p>
    <w:p w14:paraId="1C438375"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3.4 Materials for Regenerative Medicine Stem cell research, combined with specialized materials, holds the key to regenerating damaged tissues and organs. Materials that mimic the extracellular matrix and promote tissue regeneration are at the forefront of regenerative medicine.</w:t>
      </w:r>
    </w:p>
    <w:p w14:paraId="6516CDF5" w14:textId="77777777" w:rsidR="00BB3C2A" w:rsidRPr="00BB3C2A" w:rsidRDefault="00BB3C2A" w:rsidP="00BB3C2A">
      <w:pPr>
        <w:rPr>
          <w:rFonts w:ascii="Times New Roman" w:hAnsi="Times New Roman" w:cs="Times New Roman"/>
          <w:b/>
          <w:bCs/>
          <w:sz w:val="24"/>
          <w:szCs w:val="24"/>
        </w:rPr>
      </w:pPr>
      <w:r w:rsidRPr="00BB3C2A">
        <w:rPr>
          <w:rFonts w:ascii="Times New Roman" w:hAnsi="Times New Roman" w:cs="Times New Roman"/>
          <w:b/>
          <w:bCs/>
          <w:sz w:val="24"/>
          <w:szCs w:val="24"/>
        </w:rPr>
        <w:t>Conclusion</w:t>
      </w:r>
    </w:p>
    <w:p w14:paraId="36E82185"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Materials in medicine have come a long way, from ancient civilizations using natural resources to the cutting-edge innovations of today's nanotechnology and smart materials. These materials have transformed medical practices, leading to more effective treatments, better patient outcomes, and improved quality of life.</w:t>
      </w:r>
    </w:p>
    <w:p w14:paraId="025ACC47"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As we continue to push the boundaries of materials science, the future of medicine holds exciting possibilities. Nanotechnology, smart materials, 3D printing, and regenerative medicine are just a few examples of areas where materials will play a pivotal role in shaping the healthcare landscape.</w:t>
      </w:r>
    </w:p>
    <w:p w14:paraId="705B74EA" w14:textId="77777777" w:rsid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t>In conclusion, the synergy between materials and medicine will persist, driving advancements that benefit humanity. By harnessing the potential of materials in innovative ways, we can look forward to a future where healthcare is more personalized, precise, and accessible than ever before.</w:t>
      </w:r>
    </w:p>
    <w:p w14:paraId="4DD96E05" w14:textId="77777777" w:rsidR="00BB3C2A" w:rsidRDefault="00BB3C2A" w:rsidP="00BB3C2A">
      <w:pPr>
        <w:rPr>
          <w:rFonts w:ascii="Times New Roman" w:hAnsi="Times New Roman" w:cs="Times New Roman"/>
          <w:sz w:val="24"/>
          <w:szCs w:val="24"/>
        </w:rPr>
      </w:pPr>
    </w:p>
    <w:p w14:paraId="2BF92EDC" w14:textId="77777777" w:rsidR="00BB3C2A" w:rsidRDefault="00BB3C2A" w:rsidP="00BB3C2A">
      <w:pPr>
        <w:rPr>
          <w:rFonts w:ascii="Times New Roman" w:hAnsi="Times New Roman" w:cs="Times New Roman"/>
          <w:sz w:val="24"/>
          <w:szCs w:val="24"/>
        </w:rPr>
      </w:pPr>
    </w:p>
    <w:p w14:paraId="1C5FAA7F" w14:textId="77777777" w:rsidR="00BB3C2A" w:rsidRPr="00BB3C2A" w:rsidRDefault="00BB3C2A" w:rsidP="00BB3C2A">
      <w:pPr>
        <w:rPr>
          <w:rFonts w:ascii="Times New Roman" w:hAnsi="Times New Roman" w:cs="Times New Roman"/>
          <w:sz w:val="24"/>
          <w:szCs w:val="24"/>
        </w:rPr>
      </w:pPr>
    </w:p>
    <w:p w14:paraId="7FA12CE4" w14:textId="77777777" w:rsidR="00BB3C2A" w:rsidRPr="00BB3C2A" w:rsidRDefault="00BB3C2A" w:rsidP="00BB3C2A">
      <w:pPr>
        <w:rPr>
          <w:rFonts w:ascii="Times New Roman" w:hAnsi="Times New Roman" w:cs="Times New Roman"/>
          <w:sz w:val="24"/>
          <w:szCs w:val="24"/>
        </w:rPr>
      </w:pPr>
      <w:r w:rsidRPr="00BB3C2A">
        <w:rPr>
          <w:rFonts w:ascii="Times New Roman" w:hAnsi="Times New Roman" w:cs="Times New Roman"/>
          <w:sz w:val="24"/>
          <w:szCs w:val="24"/>
        </w:rPr>
        <w:lastRenderedPageBreak/>
        <w:t>References</w:t>
      </w:r>
    </w:p>
    <w:p w14:paraId="65442FB8" w14:textId="77777777" w:rsidR="00BB3C2A" w:rsidRPr="00BB3C2A" w:rsidRDefault="00BB3C2A" w:rsidP="00BB3C2A">
      <w:pPr>
        <w:numPr>
          <w:ilvl w:val="0"/>
          <w:numId w:val="1"/>
        </w:numPr>
        <w:rPr>
          <w:rFonts w:ascii="Times New Roman" w:hAnsi="Times New Roman" w:cs="Times New Roman"/>
          <w:sz w:val="24"/>
          <w:szCs w:val="24"/>
        </w:rPr>
      </w:pPr>
      <w:r w:rsidRPr="00BB3C2A">
        <w:rPr>
          <w:rFonts w:ascii="Times New Roman" w:hAnsi="Times New Roman" w:cs="Times New Roman"/>
          <w:sz w:val="24"/>
          <w:szCs w:val="24"/>
        </w:rPr>
        <w:t>Ratner, B. D., &amp; Bryant, S. J. (2004). Biomaterials: Where We Have Been and Where We Are Going. Annual Review of Biomedical Engineering, 6, 41-75.</w:t>
      </w:r>
    </w:p>
    <w:p w14:paraId="03E7A0A8" w14:textId="77777777" w:rsidR="00BB3C2A" w:rsidRPr="00BB3C2A" w:rsidRDefault="00BB3C2A" w:rsidP="00BB3C2A">
      <w:pPr>
        <w:numPr>
          <w:ilvl w:val="0"/>
          <w:numId w:val="1"/>
        </w:numPr>
        <w:rPr>
          <w:rFonts w:ascii="Times New Roman" w:hAnsi="Times New Roman" w:cs="Times New Roman"/>
          <w:sz w:val="24"/>
          <w:szCs w:val="24"/>
        </w:rPr>
      </w:pPr>
      <w:r w:rsidRPr="00BB3C2A">
        <w:rPr>
          <w:rFonts w:ascii="Times New Roman" w:hAnsi="Times New Roman" w:cs="Times New Roman"/>
          <w:sz w:val="24"/>
          <w:szCs w:val="24"/>
        </w:rPr>
        <w:t>Langer, R., &amp; Vacanti, J. P. (1993). Tissue Engineering. Science, 260(5110), 920-926.</w:t>
      </w:r>
    </w:p>
    <w:p w14:paraId="680AF557" w14:textId="77777777" w:rsidR="00BB3C2A" w:rsidRPr="00BB3C2A" w:rsidRDefault="00BB3C2A" w:rsidP="00BB3C2A">
      <w:pPr>
        <w:numPr>
          <w:ilvl w:val="0"/>
          <w:numId w:val="1"/>
        </w:numPr>
        <w:rPr>
          <w:rFonts w:ascii="Times New Roman" w:hAnsi="Times New Roman" w:cs="Times New Roman"/>
          <w:sz w:val="24"/>
          <w:szCs w:val="24"/>
        </w:rPr>
      </w:pPr>
      <w:r w:rsidRPr="00BB3C2A">
        <w:rPr>
          <w:rFonts w:ascii="Times New Roman" w:hAnsi="Times New Roman" w:cs="Times New Roman"/>
          <w:sz w:val="24"/>
          <w:szCs w:val="24"/>
        </w:rPr>
        <w:t>Zhang, L., Cao, Z., Bai, T., Carr, L., &amp; Ella-Menye, J. R. (2013). Zwitterionic hydrogels implanted in mice resist the foreign-body reaction. Nature Biotechnology, 31(6), 553-556.</w:t>
      </w:r>
    </w:p>
    <w:p w14:paraId="0773002C" w14:textId="77777777" w:rsidR="00BB3C2A" w:rsidRPr="00BB3C2A" w:rsidRDefault="00BB3C2A" w:rsidP="00BB3C2A">
      <w:pPr>
        <w:numPr>
          <w:ilvl w:val="0"/>
          <w:numId w:val="1"/>
        </w:numPr>
        <w:rPr>
          <w:rFonts w:ascii="Times New Roman" w:hAnsi="Times New Roman" w:cs="Times New Roman"/>
          <w:sz w:val="24"/>
          <w:szCs w:val="24"/>
        </w:rPr>
      </w:pPr>
      <w:r w:rsidRPr="00BB3C2A">
        <w:rPr>
          <w:rFonts w:ascii="Times New Roman" w:hAnsi="Times New Roman" w:cs="Times New Roman"/>
          <w:sz w:val="24"/>
          <w:szCs w:val="24"/>
        </w:rPr>
        <w:t>Ferrari, M. (2005). Cancer nanotechnology: opportunities and challenges. Nature Reviews Cancer, 5(3), 161-171.</w:t>
      </w:r>
    </w:p>
    <w:p w14:paraId="61DA4B3C" w14:textId="77777777" w:rsidR="00BB3C2A" w:rsidRPr="00BB3C2A" w:rsidRDefault="00BB3C2A" w:rsidP="00BB3C2A">
      <w:pPr>
        <w:numPr>
          <w:ilvl w:val="0"/>
          <w:numId w:val="1"/>
        </w:numPr>
        <w:rPr>
          <w:rFonts w:ascii="Times New Roman" w:hAnsi="Times New Roman" w:cs="Times New Roman"/>
          <w:sz w:val="24"/>
          <w:szCs w:val="24"/>
        </w:rPr>
      </w:pPr>
      <w:r w:rsidRPr="00BB3C2A">
        <w:rPr>
          <w:rFonts w:ascii="Times New Roman" w:hAnsi="Times New Roman" w:cs="Times New Roman"/>
          <w:sz w:val="24"/>
          <w:szCs w:val="24"/>
        </w:rPr>
        <w:t>Mironov, V., &amp; Forgacs, G. (2009). Organ printing: Computer-aided jet-based 3D tissue engineering. Trends in Biotechnology, 27(12), 672-679.</w:t>
      </w:r>
    </w:p>
    <w:p w14:paraId="0E851FEE" w14:textId="77777777" w:rsidR="00BB3C2A" w:rsidRPr="00BB3C2A" w:rsidRDefault="00BB3C2A" w:rsidP="00BB3C2A">
      <w:pPr>
        <w:numPr>
          <w:ilvl w:val="0"/>
          <w:numId w:val="1"/>
        </w:numPr>
        <w:rPr>
          <w:rFonts w:ascii="Times New Roman" w:hAnsi="Times New Roman" w:cs="Times New Roman"/>
          <w:sz w:val="24"/>
          <w:szCs w:val="24"/>
        </w:rPr>
      </w:pPr>
      <w:r w:rsidRPr="00BB3C2A">
        <w:rPr>
          <w:rFonts w:ascii="Times New Roman" w:hAnsi="Times New Roman" w:cs="Times New Roman"/>
          <w:sz w:val="24"/>
          <w:szCs w:val="24"/>
        </w:rPr>
        <w:t>Atala, A. (2012). Engineering organs. Current Opinion in Biotechnology, 23(5), 665-673.</w:t>
      </w:r>
    </w:p>
    <w:p w14:paraId="2426ACDA" w14:textId="77777777" w:rsidR="00BB3C2A" w:rsidRPr="00BB3C2A" w:rsidRDefault="00BB3C2A" w:rsidP="00BB3C2A">
      <w:pPr>
        <w:numPr>
          <w:ilvl w:val="0"/>
          <w:numId w:val="1"/>
        </w:numPr>
        <w:rPr>
          <w:rFonts w:ascii="Times New Roman" w:hAnsi="Times New Roman" w:cs="Times New Roman"/>
          <w:sz w:val="24"/>
          <w:szCs w:val="24"/>
        </w:rPr>
      </w:pPr>
      <w:r w:rsidRPr="00BB3C2A">
        <w:rPr>
          <w:rFonts w:ascii="Times New Roman" w:hAnsi="Times New Roman" w:cs="Times New Roman"/>
          <w:sz w:val="24"/>
          <w:szCs w:val="24"/>
        </w:rPr>
        <w:t>Mitragotri, S., Burke, P. A., &amp; Langer, R. (2014). Overcoming the challenges in administering biopharmaceuticals: formulation and delivery strategies. Nature Reviews Drug Discovery, 13(9), 655-672.</w:t>
      </w:r>
    </w:p>
    <w:p w14:paraId="7AC1F44B" w14:textId="77777777" w:rsidR="00BB3C2A" w:rsidRPr="00BB3C2A" w:rsidRDefault="00BB3C2A" w:rsidP="00BB3C2A">
      <w:pPr>
        <w:numPr>
          <w:ilvl w:val="0"/>
          <w:numId w:val="1"/>
        </w:numPr>
        <w:rPr>
          <w:rFonts w:ascii="Times New Roman" w:hAnsi="Times New Roman" w:cs="Times New Roman"/>
          <w:sz w:val="24"/>
          <w:szCs w:val="24"/>
        </w:rPr>
      </w:pPr>
      <w:r w:rsidRPr="00BB3C2A">
        <w:rPr>
          <w:rFonts w:ascii="Times New Roman" w:hAnsi="Times New Roman" w:cs="Times New Roman"/>
          <w:sz w:val="24"/>
          <w:szCs w:val="24"/>
        </w:rPr>
        <w:t>Lee, S., Rho, J., &amp; Kim, Y. (2008). Piezoelectric effect on the generation of biological electrical signals by bone. Biosensors and Bioelectronics, 23(5), 979-984.</w:t>
      </w:r>
    </w:p>
    <w:p w14:paraId="7DC5DDEC" w14:textId="77777777" w:rsidR="00BB3C2A" w:rsidRPr="00BB3C2A" w:rsidRDefault="00BB3C2A" w:rsidP="00BB3C2A">
      <w:pPr>
        <w:numPr>
          <w:ilvl w:val="0"/>
          <w:numId w:val="1"/>
        </w:numPr>
        <w:rPr>
          <w:rFonts w:ascii="Times New Roman" w:hAnsi="Times New Roman" w:cs="Times New Roman"/>
          <w:sz w:val="24"/>
          <w:szCs w:val="24"/>
        </w:rPr>
      </w:pPr>
      <w:proofErr w:type="spellStart"/>
      <w:r w:rsidRPr="00BB3C2A">
        <w:rPr>
          <w:rFonts w:ascii="Times New Roman" w:hAnsi="Times New Roman" w:cs="Times New Roman"/>
          <w:sz w:val="24"/>
          <w:szCs w:val="24"/>
        </w:rPr>
        <w:t>Farokhzad</w:t>
      </w:r>
      <w:proofErr w:type="spellEnd"/>
      <w:r w:rsidRPr="00BB3C2A">
        <w:rPr>
          <w:rFonts w:ascii="Times New Roman" w:hAnsi="Times New Roman" w:cs="Times New Roman"/>
          <w:sz w:val="24"/>
          <w:szCs w:val="24"/>
        </w:rPr>
        <w:t>, O. C., &amp; Langer, R. (2009). Impact of nanotechnology on drug delivery. ACS Nano, 3(1), 16-20.</w:t>
      </w:r>
    </w:p>
    <w:p w14:paraId="2ADFB087" w14:textId="77777777" w:rsidR="00BB3C2A" w:rsidRPr="00BB3C2A" w:rsidRDefault="00BB3C2A" w:rsidP="00BB3C2A">
      <w:pPr>
        <w:numPr>
          <w:ilvl w:val="0"/>
          <w:numId w:val="1"/>
        </w:numPr>
        <w:rPr>
          <w:rFonts w:ascii="Times New Roman" w:hAnsi="Times New Roman" w:cs="Times New Roman"/>
          <w:sz w:val="24"/>
          <w:szCs w:val="24"/>
        </w:rPr>
      </w:pPr>
      <w:r w:rsidRPr="00BB3C2A">
        <w:rPr>
          <w:rFonts w:ascii="Times New Roman" w:hAnsi="Times New Roman" w:cs="Times New Roman"/>
          <w:sz w:val="24"/>
          <w:szCs w:val="24"/>
        </w:rPr>
        <w:t xml:space="preserve">Peer, D., Karp, J. M., Hong, S., </w:t>
      </w:r>
      <w:proofErr w:type="spellStart"/>
      <w:r w:rsidRPr="00BB3C2A">
        <w:rPr>
          <w:rFonts w:ascii="Times New Roman" w:hAnsi="Times New Roman" w:cs="Times New Roman"/>
          <w:sz w:val="24"/>
          <w:szCs w:val="24"/>
        </w:rPr>
        <w:t>Farokhzad</w:t>
      </w:r>
      <w:proofErr w:type="spellEnd"/>
      <w:r w:rsidRPr="00BB3C2A">
        <w:rPr>
          <w:rFonts w:ascii="Times New Roman" w:hAnsi="Times New Roman" w:cs="Times New Roman"/>
          <w:sz w:val="24"/>
          <w:szCs w:val="24"/>
        </w:rPr>
        <w:t>, O. C., Margalit, R., &amp; Langer, R. (2007). Nanocarriers as an emerging platform for cancer therapy. Nature Nanotechnology, 2(12), 751-760.</w:t>
      </w:r>
    </w:p>
    <w:p w14:paraId="2248B230" w14:textId="77777777" w:rsidR="00C561F0" w:rsidRPr="00BB3C2A" w:rsidRDefault="00C561F0">
      <w:pPr>
        <w:rPr>
          <w:rFonts w:ascii="Times New Roman" w:hAnsi="Times New Roman" w:cs="Times New Roman"/>
          <w:sz w:val="24"/>
          <w:szCs w:val="24"/>
        </w:rPr>
      </w:pPr>
    </w:p>
    <w:sectPr w:rsidR="00C561F0" w:rsidRPr="00BB3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C4782"/>
    <w:multiLevelType w:val="multilevel"/>
    <w:tmpl w:val="F45A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2784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87"/>
    <w:rsid w:val="00BB3C2A"/>
    <w:rsid w:val="00C561F0"/>
    <w:rsid w:val="00E74C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553D"/>
  <w15:chartTrackingRefBased/>
  <w15:docId w15:val="{1BC03165-1CDD-4BE5-A1CA-DE3F4342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54087">
      <w:bodyDiv w:val="1"/>
      <w:marLeft w:val="0"/>
      <w:marRight w:val="0"/>
      <w:marTop w:val="0"/>
      <w:marBottom w:val="0"/>
      <w:divBdr>
        <w:top w:val="none" w:sz="0" w:space="0" w:color="auto"/>
        <w:left w:val="none" w:sz="0" w:space="0" w:color="auto"/>
        <w:bottom w:val="none" w:sz="0" w:space="0" w:color="auto"/>
        <w:right w:val="none" w:sz="0" w:space="0" w:color="auto"/>
      </w:divBdr>
    </w:div>
    <w:div w:id="18508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2023-09-02T05:07:00Z</dcterms:created>
  <dcterms:modified xsi:type="dcterms:W3CDTF">2023-09-02T05:09:00Z</dcterms:modified>
</cp:coreProperties>
</file>