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7B4" w:rsidRPr="002657B4" w:rsidRDefault="00C11749" w:rsidP="002657B4">
      <w:pPr>
        <w:spacing w:before="240"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Electrochemistry </w:t>
      </w:r>
      <w:r w:rsidR="00CC48B7">
        <w:rPr>
          <w:rFonts w:ascii="Times New Roman" w:hAnsi="Times New Roman" w:cs="Times New Roman"/>
          <w:b/>
          <w:sz w:val="28"/>
          <w:szCs w:val="28"/>
        </w:rPr>
        <w:t>and E</w:t>
      </w:r>
      <w:r w:rsidR="002657B4" w:rsidRPr="002657B4">
        <w:rPr>
          <w:rFonts w:ascii="Times New Roman" w:hAnsi="Times New Roman" w:cs="Times New Roman"/>
          <w:b/>
          <w:sz w:val="28"/>
          <w:szCs w:val="28"/>
        </w:rPr>
        <w:t>lectrocataly</w:t>
      </w:r>
      <w:r w:rsidR="00CC48B7">
        <w:rPr>
          <w:rFonts w:ascii="Times New Roman" w:hAnsi="Times New Roman" w:cs="Times New Roman"/>
          <w:b/>
          <w:sz w:val="28"/>
          <w:szCs w:val="28"/>
        </w:rPr>
        <w:t xml:space="preserve">tic Applications </w:t>
      </w:r>
    </w:p>
    <w:p w:rsidR="002657B4" w:rsidRDefault="002657B4" w:rsidP="002929D8">
      <w:pPr>
        <w:spacing w:before="240" w:after="0" w:line="360" w:lineRule="auto"/>
        <w:jc w:val="center"/>
        <w:rPr>
          <w:rFonts w:ascii="Times New Roman" w:hAnsi="Times New Roman" w:cs="Times New Roman"/>
          <w:sz w:val="24"/>
          <w:szCs w:val="28"/>
        </w:rPr>
      </w:pPr>
      <w:r w:rsidRPr="002657B4">
        <w:rPr>
          <w:rFonts w:ascii="Times New Roman" w:hAnsi="Times New Roman" w:cs="Times New Roman"/>
          <w:sz w:val="24"/>
          <w:szCs w:val="28"/>
        </w:rPr>
        <w:t>Vijay S. Sapner</w:t>
      </w:r>
      <w:r w:rsidR="00A50D8A" w:rsidRPr="00A50D8A">
        <w:rPr>
          <w:rFonts w:ascii="Times New Roman" w:hAnsi="Times New Roman" w:cs="Times New Roman"/>
          <w:sz w:val="24"/>
          <w:szCs w:val="28"/>
          <w:vertAlign w:val="superscript"/>
        </w:rPr>
        <w:t>a</w:t>
      </w:r>
      <w:proofErr w:type="gramStart"/>
      <w:r w:rsidR="00A50D8A">
        <w:rPr>
          <w:rFonts w:ascii="Times New Roman" w:hAnsi="Times New Roman" w:cs="Times New Roman"/>
          <w:sz w:val="24"/>
          <w:szCs w:val="28"/>
          <w:vertAlign w:val="superscript"/>
        </w:rPr>
        <w:t>,</w:t>
      </w:r>
      <w:r w:rsidR="00A50D8A" w:rsidRPr="00A50D8A">
        <w:rPr>
          <w:rFonts w:ascii="Times New Roman" w:hAnsi="Times New Roman" w:cs="Times New Roman"/>
          <w:sz w:val="24"/>
          <w:szCs w:val="28"/>
          <w:vertAlign w:val="superscript"/>
        </w:rPr>
        <w:t>b</w:t>
      </w:r>
      <w:proofErr w:type="gramEnd"/>
      <w:r w:rsidRPr="002657B4">
        <w:rPr>
          <w:rFonts w:ascii="Times New Roman" w:hAnsi="Times New Roman" w:cs="Times New Roman"/>
          <w:sz w:val="24"/>
          <w:szCs w:val="28"/>
        </w:rPr>
        <w:t xml:space="preserve"> </w:t>
      </w:r>
      <w:r w:rsidR="00A50D8A">
        <w:rPr>
          <w:rFonts w:ascii="Times New Roman" w:hAnsi="Times New Roman" w:cs="Times New Roman"/>
          <w:sz w:val="24"/>
          <w:szCs w:val="28"/>
        </w:rPr>
        <w:t xml:space="preserve">and </w:t>
      </w:r>
      <w:r w:rsidRPr="002657B4">
        <w:rPr>
          <w:rFonts w:ascii="Times New Roman" w:hAnsi="Times New Roman" w:cs="Times New Roman"/>
          <w:sz w:val="24"/>
          <w:szCs w:val="28"/>
        </w:rPr>
        <w:t>Bhaskar R. Sathe</w:t>
      </w:r>
      <w:r w:rsidR="00A50D8A" w:rsidRPr="00A50D8A">
        <w:rPr>
          <w:rFonts w:ascii="Times New Roman" w:hAnsi="Times New Roman" w:cs="Times New Roman"/>
          <w:sz w:val="24"/>
          <w:szCs w:val="28"/>
          <w:vertAlign w:val="superscript"/>
        </w:rPr>
        <w:t>b,c</w:t>
      </w:r>
      <w:r w:rsidR="00CC48B7">
        <w:rPr>
          <w:rFonts w:ascii="Times New Roman" w:hAnsi="Times New Roman" w:cs="Times New Roman"/>
          <w:sz w:val="24"/>
          <w:szCs w:val="28"/>
        </w:rPr>
        <w:t>*</w:t>
      </w:r>
    </w:p>
    <w:p w:rsidR="00A50D8A" w:rsidRPr="00A50D8A" w:rsidRDefault="00A50D8A" w:rsidP="00A50D8A">
      <w:pPr>
        <w:spacing w:after="0" w:line="240" w:lineRule="auto"/>
        <w:jc w:val="both"/>
        <w:rPr>
          <w:rFonts w:ascii="Times New Roman" w:hAnsi="Times New Roman" w:cs="Times New Roman"/>
          <w:szCs w:val="28"/>
        </w:rPr>
      </w:pPr>
      <w:r w:rsidRPr="00A50D8A">
        <w:rPr>
          <w:rFonts w:ascii="Times New Roman" w:hAnsi="Times New Roman" w:cs="Times New Roman"/>
          <w:szCs w:val="28"/>
          <w:vertAlign w:val="superscript"/>
        </w:rPr>
        <w:t>a</w:t>
      </w:r>
      <w:r w:rsidRPr="00A50D8A">
        <w:rPr>
          <w:rFonts w:ascii="Times New Roman" w:hAnsi="Times New Roman" w:cs="Times New Roman"/>
          <w:szCs w:val="28"/>
        </w:rPr>
        <w:t>Department of Chemistry, Shri Mathuradas Mohota College of Science, Nagpur-440024, Maharashtra, India</w:t>
      </w:r>
    </w:p>
    <w:p w:rsidR="00A50D8A" w:rsidRPr="00A50D8A" w:rsidRDefault="00A50D8A" w:rsidP="00A50D8A">
      <w:pPr>
        <w:spacing w:after="0" w:line="240" w:lineRule="auto"/>
        <w:jc w:val="both"/>
        <w:rPr>
          <w:rFonts w:ascii="Times New Roman" w:hAnsi="Times New Roman" w:cs="Times New Roman"/>
          <w:szCs w:val="28"/>
        </w:rPr>
      </w:pPr>
      <w:r w:rsidRPr="00A50D8A">
        <w:rPr>
          <w:rFonts w:ascii="Times New Roman" w:hAnsi="Times New Roman" w:cs="Times New Roman"/>
          <w:szCs w:val="28"/>
          <w:vertAlign w:val="superscript"/>
        </w:rPr>
        <w:t>b</w:t>
      </w:r>
      <w:r w:rsidRPr="00A50D8A">
        <w:rPr>
          <w:rFonts w:ascii="Times New Roman" w:hAnsi="Times New Roman" w:cs="Times New Roman"/>
          <w:szCs w:val="28"/>
        </w:rPr>
        <w:t>Department of Chemistry, Dr</w:t>
      </w:r>
      <w:r>
        <w:rPr>
          <w:rFonts w:ascii="Times New Roman" w:hAnsi="Times New Roman" w:cs="Times New Roman"/>
          <w:szCs w:val="28"/>
        </w:rPr>
        <w:t xml:space="preserve">. </w:t>
      </w:r>
      <w:r w:rsidRPr="00A50D8A">
        <w:rPr>
          <w:rFonts w:ascii="Times New Roman" w:hAnsi="Times New Roman" w:cs="Times New Roman"/>
          <w:szCs w:val="28"/>
        </w:rPr>
        <w:t xml:space="preserve">Babasaheb Ambedkar Marathwada University, Aurangabad 431004, Maharashtra, India </w:t>
      </w:r>
    </w:p>
    <w:p w:rsidR="00C11749" w:rsidRDefault="00A50D8A" w:rsidP="00A50D8A">
      <w:pPr>
        <w:pBdr>
          <w:bottom w:val="single" w:sz="4" w:space="1" w:color="auto"/>
        </w:pBdr>
        <w:spacing w:after="0" w:line="240" w:lineRule="auto"/>
        <w:jc w:val="both"/>
        <w:rPr>
          <w:rFonts w:ascii="Times New Roman" w:hAnsi="Times New Roman" w:cs="Times New Roman"/>
          <w:szCs w:val="28"/>
        </w:rPr>
      </w:pPr>
      <w:r w:rsidRPr="00A50D8A">
        <w:rPr>
          <w:rFonts w:ascii="Times New Roman" w:hAnsi="Times New Roman" w:cs="Times New Roman"/>
          <w:szCs w:val="28"/>
          <w:vertAlign w:val="superscript"/>
        </w:rPr>
        <w:t>d</w:t>
      </w:r>
      <w:r w:rsidRPr="00A50D8A">
        <w:rPr>
          <w:rFonts w:ascii="Times New Roman" w:hAnsi="Times New Roman" w:cs="Times New Roman"/>
          <w:szCs w:val="28"/>
        </w:rPr>
        <w:t>Department of Nanotechnology, Dr</w:t>
      </w:r>
      <w:r>
        <w:rPr>
          <w:rFonts w:ascii="Times New Roman" w:hAnsi="Times New Roman" w:cs="Times New Roman"/>
          <w:szCs w:val="28"/>
        </w:rPr>
        <w:t>.</w:t>
      </w:r>
      <w:r w:rsidRPr="00A50D8A">
        <w:rPr>
          <w:rFonts w:ascii="Times New Roman" w:hAnsi="Times New Roman" w:cs="Times New Roman"/>
          <w:szCs w:val="28"/>
        </w:rPr>
        <w:t xml:space="preserve"> Babasaheb Ambedkar Marathwada University, Aurangabad 431004, Maharashtra, India  </w:t>
      </w:r>
    </w:p>
    <w:p w:rsidR="002929D8" w:rsidRPr="00A50D8A" w:rsidRDefault="002929D8" w:rsidP="00A50D8A">
      <w:pPr>
        <w:pBdr>
          <w:bottom w:val="single" w:sz="4" w:space="1" w:color="auto"/>
        </w:pBdr>
        <w:spacing w:after="0" w:line="240" w:lineRule="auto"/>
        <w:jc w:val="both"/>
        <w:rPr>
          <w:rFonts w:ascii="Times New Roman" w:hAnsi="Times New Roman" w:cs="Times New Roman"/>
          <w:szCs w:val="28"/>
        </w:rPr>
      </w:pPr>
      <w:r w:rsidRPr="002929D8">
        <w:rPr>
          <w:rFonts w:ascii="Times New Roman" w:hAnsi="Times New Roman" w:cs="Times New Roman"/>
          <w:szCs w:val="28"/>
        </w:rPr>
        <w:t xml:space="preserve">E-mail: </w:t>
      </w:r>
      <w:hyperlink r:id="rId5" w:history="1">
        <w:r w:rsidRPr="00D84502">
          <w:rPr>
            <w:rStyle w:val="Hyperlink"/>
            <w:rFonts w:ascii="Times New Roman" w:hAnsi="Times New Roman" w:cs="Times New Roman"/>
            <w:szCs w:val="28"/>
          </w:rPr>
          <w:t>bsathe.chemistry@bamu.ac.in</w:t>
        </w:r>
      </w:hyperlink>
      <w:r>
        <w:rPr>
          <w:rFonts w:ascii="Times New Roman" w:hAnsi="Times New Roman" w:cs="Times New Roman"/>
          <w:szCs w:val="28"/>
        </w:rPr>
        <w:t xml:space="preserve"> </w:t>
      </w:r>
      <w:r w:rsidRPr="002929D8">
        <w:rPr>
          <w:rFonts w:ascii="Times New Roman" w:hAnsi="Times New Roman" w:cs="Times New Roman"/>
          <w:szCs w:val="28"/>
        </w:rPr>
        <w:t xml:space="preserve"> (Bhaskar R. Sathe)</w:t>
      </w:r>
    </w:p>
    <w:p w:rsidR="00A50D8A" w:rsidRDefault="00A50D8A" w:rsidP="007B25EC">
      <w:pPr>
        <w:spacing w:after="0" w:line="360" w:lineRule="auto"/>
        <w:jc w:val="both"/>
        <w:rPr>
          <w:rFonts w:ascii="Times New Roman" w:hAnsi="Times New Roman" w:cs="Times New Roman"/>
          <w:b/>
          <w:sz w:val="28"/>
          <w:szCs w:val="28"/>
        </w:rPr>
      </w:pPr>
    </w:p>
    <w:p w:rsidR="002657B4" w:rsidRDefault="002657B4" w:rsidP="007B25E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Introduction</w:t>
      </w:r>
    </w:p>
    <w:p w:rsidR="007B25EC" w:rsidRPr="00B006BF" w:rsidRDefault="002657B4" w:rsidP="007B25EC">
      <w:pPr>
        <w:spacing w:before="24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1.1 </w:t>
      </w:r>
      <w:r w:rsidR="007B25EC" w:rsidRPr="00B006BF">
        <w:rPr>
          <w:rFonts w:ascii="Times New Roman" w:hAnsi="Times New Roman" w:cs="Times New Roman"/>
          <w:b/>
          <w:sz w:val="28"/>
          <w:szCs w:val="28"/>
        </w:rPr>
        <w:t>Electrochemistry</w:t>
      </w:r>
      <w:r w:rsidR="007B25EC">
        <w:rPr>
          <w:rFonts w:ascii="Times New Roman" w:hAnsi="Times New Roman" w:cs="Times New Roman"/>
          <w:b/>
          <w:sz w:val="28"/>
          <w:szCs w:val="28"/>
        </w:rPr>
        <w:t xml:space="preserve"> and Electrocatalysis </w:t>
      </w:r>
    </w:p>
    <w:p w:rsidR="00223148" w:rsidRPr="00684602" w:rsidRDefault="000D470D" w:rsidP="00223148">
      <w:pPr>
        <w:pStyle w:val="ThesisText"/>
        <w:rPr>
          <w:color w:val="0000FF"/>
        </w:rPr>
      </w:pPr>
      <w:r w:rsidRPr="000D470D">
        <w:rPr>
          <w:color w:val="0000FF"/>
        </w:rPr>
        <w:t>The study of electrochemistry examines the connection between electricity, as quantifiable phenomenon that can be measured, and observable chemical changes, with electricity being viewed as the outcome of a certain chemical change or the opposite.</w:t>
      </w:r>
      <w:r w:rsidR="00223148" w:rsidRPr="002D106F">
        <w:t xml:space="preserve"> In these reactions, an electrolyte (or ionic species in a solution) and electrodes exchange electric charges. The interplay between electrical energy and chemical change is thus the subject of electrochemistry. An electrochemical reaction occurs when a chemical reaction is sparked by an external current, as in electrolysis, or when a chemical reaction spontaneously generates an electric current, as in a battery.</w:t>
      </w:r>
      <w:r w:rsidR="007B25EC" w:rsidRPr="002D106F">
        <w:t xml:space="preserve"> </w:t>
      </w:r>
      <w:r w:rsidR="00223148" w:rsidRPr="002D106F">
        <w:t xml:space="preserve">Redox reactions or oxidation reactions are terms used to describe chemical processes in which electrons are moved directly between molecules or atoms. The word "electrochemistry" refers to the overall processes that </w:t>
      </w:r>
      <w:r w:rsidR="00223148" w:rsidRPr="00684602">
        <w:t>occur when discrete redox reactions are linked together by an intermediate electrolyte and an external electric circuit.</w:t>
      </w:r>
    </w:p>
    <w:p w:rsidR="007B25EC" w:rsidRPr="000D470D" w:rsidRDefault="00684602" w:rsidP="00223148">
      <w:pPr>
        <w:pStyle w:val="ThesisText"/>
        <w:spacing w:before="240"/>
        <w:ind w:firstLine="0"/>
      </w:pPr>
      <w:r w:rsidRPr="00684602">
        <w:rPr>
          <w:color w:val="0000FF"/>
        </w:rPr>
        <w:tab/>
      </w:r>
      <w:r w:rsidRPr="000D470D">
        <w:t>Voltammetry, a widely used electrochemical method, was created following the discovery of polarography. Polarography, cyclic voltammetry, linear sweep voltammetry (LSV), chronoamperometry (i-t), differential pulse voltammetry (DPV), square-wave voltammetry (SWV), and other forms of voltammetry are currently available for various analytical purposes. The potential is applied and the current is measured in all of these ways, but the operation with on yields different results. These discrepancies can also give chemical, electrochemical, and physical information in the form of highly quantitative analyses, chemical reaction constants, redox processes, and solution characteristics.</w:t>
      </w:r>
    </w:p>
    <w:p w:rsidR="007B25EC" w:rsidRPr="00871204" w:rsidRDefault="007B25EC" w:rsidP="007B25EC">
      <w:pPr>
        <w:spacing w:after="0" w:line="360" w:lineRule="auto"/>
        <w:jc w:val="both"/>
        <w:rPr>
          <w:rFonts w:ascii="Times New Roman" w:eastAsia="Times New Roman" w:hAnsi="Times New Roman" w:cs="Times New Roman"/>
          <w:b/>
          <w:bCs/>
          <w:sz w:val="24"/>
          <w:szCs w:val="24"/>
          <w:lang w:val="en-IN" w:eastAsia="en-IN"/>
        </w:rPr>
      </w:pPr>
      <w:r w:rsidRPr="00871204">
        <w:rPr>
          <w:rFonts w:ascii="Times New Roman" w:eastAsia="Times New Roman" w:hAnsi="Times New Roman" w:cs="Times New Roman"/>
          <w:b/>
          <w:bCs/>
          <w:sz w:val="24"/>
          <w:szCs w:val="24"/>
          <w:lang w:val="en-IN" w:eastAsia="en-IN"/>
        </w:rPr>
        <w:lastRenderedPageBreak/>
        <w:t>1.</w:t>
      </w:r>
      <w:r w:rsidR="002657B4">
        <w:rPr>
          <w:rFonts w:ascii="Times New Roman" w:eastAsia="Times New Roman" w:hAnsi="Times New Roman" w:cs="Times New Roman"/>
          <w:b/>
          <w:bCs/>
          <w:sz w:val="24"/>
          <w:szCs w:val="24"/>
          <w:lang w:val="en-IN" w:eastAsia="en-IN"/>
        </w:rPr>
        <w:t>1</w:t>
      </w:r>
      <w:r w:rsidRPr="00871204">
        <w:rPr>
          <w:rFonts w:ascii="Times New Roman" w:eastAsia="Times New Roman" w:hAnsi="Times New Roman" w:cs="Times New Roman"/>
          <w:b/>
          <w:bCs/>
          <w:sz w:val="24"/>
          <w:szCs w:val="24"/>
          <w:lang w:val="en-IN" w:eastAsia="en-IN"/>
        </w:rPr>
        <w:t xml:space="preserve">.1 Cyclic and Linear </w:t>
      </w:r>
      <w:r>
        <w:rPr>
          <w:rFonts w:ascii="Times New Roman" w:eastAsia="Times New Roman" w:hAnsi="Times New Roman" w:cs="Times New Roman"/>
          <w:b/>
          <w:bCs/>
          <w:sz w:val="24"/>
          <w:szCs w:val="24"/>
          <w:lang w:val="en-IN" w:eastAsia="en-IN"/>
        </w:rPr>
        <w:t>S</w:t>
      </w:r>
      <w:r w:rsidRPr="00871204">
        <w:rPr>
          <w:rFonts w:ascii="Times New Roman" w:eastAsia="Times New Roman" w:hAnsi="Times New Roman" w:cs="Times New Roman"/>
          <w:b/>
          <w:bCs/>
          <w:sz w:val="24"/>
          <w:szCs w:val="24"/>
          <w:lang w:val="en-IN" w:eastAsia="en-IN"/>
        </w:rPr>
        <w:t xml:space="preserve">weep Voltammetry </w:t>
      </w:r>
      <w:r>
        <w:rPr>
          <w:rFonts w:ascii="Times New Roman" w:eastAsia="Times New Roman" w:hAnsi="Times New Roman" w:cs="Times New Roman"/>
          <w:b/>
          <w:bCs/>
          <w:sz w:val="24"/>
          <w:szCs w:val="24"/>
          <w:lang w:val="en-IN" w:eastAsia="en-IN"/>
        </w:rPr>
        <w:t>(CV and LSV)</w:t>
      </w:r>
    </w:p>
    <w:p w:rsidR="007B25EC" w:rsidRDefault="000D470D" w:rsidP="00223148">
      <w:pPr>
        <w:pStyle w:val="ThesisText"/>
      </w:pPr>
      <w:r w:rsidRPr="000D470D">
        <w:rPr>
          <w:color w:val="0000FF"/>
        </w:rPr>
        <w:t>Cyclic voltammetry (CV) is a potentiodynamic electrochemical measuring technique. The working electrode potential is scaled linearly with time in a cyclic voltammetry experiment. In contrast to linear sweep voltammetry, when the set potential in a CV experiment is achieved, the potential of the working electrode ramps in the opposite direction to return to the beginning potential.</w:t>
      </w:r>
      <w:r w:rsidRPr="000D470D">
        <w:t xml:space="preserve"> </w:t>
      </w:r>
      <w:r w:rsidRPr="000D470D">
        <w:rPr>
          <w:color w:val="0000FF"/>
        </w:rPr>
        <w:t>As many times as necessary can be spent repeating these potential ramp cycles. Plotting the current through the working electrode against the applied voltage (or working electrode potential) yields the cyclic voltammogram trace. The electrochemical properties of an analyte in solution or a molecule adsorbed on an electrode are frequently investigated using cyclic voltammetry.</w:t>
      </w:r>
      <w:r w:rsidR="001D5A1A" w:rsidRPr="000D470D">
        <w:t xml:space="preserve"> </w:t>
      </w:r>
      <w:r w:rsidR="007B25EC">
        <w:t xml:space="preserve">The </w:t>
      </w:r>
      <w:r w:rsidR="007B25EC" w:rsidRPr="0057067B">
        <w:rPr>
          <w:b/>
        </w:rPr>
        <w:t>Figure 1.</w:t>
      </w:r>
      <w:r w:rsidR="007B25EC">
        <w:rPr>
          <w:b/>
        </w:rPr>
        <w:t>1</w:t>
      </w:r>
      <w:r w:rsidR="007B25EC">
        <w:t xml:space="preserve"> schematic illustration of c</w:t>
      </w:r>
      <w:r w:rsidR="007B25EC" w:rsidRPr="00AB646F">
        <w:t xml:space="preserve">yclic </w:t>
      </w:r>
      <w:r w:rsidR="007B25EC">
        <w:t>v</w:t>
      </w:r>
      <w:r w:rsidR="007B25EC" w:rsidRPr="00AB646F">
        <w:t xml:space="preserve">oltammetric </w:t>
      </w:r>
      <w:r w:rsidR="007B25EC">
        <w:t>redox peak (oxidation and reduction)</w:t>
      </w:r>
    </w:p>
    <w:p w:rsidR="007B25EC" w:rsidRDefault="007B25EC" w:rsidP="007B25EC">
      <w:pPr>
        <w:pStyle w:val="ThesisText"/>
        <w:jc w:val="center"/>
      </w:pPr>
      <w:r>
        <w:rPr>
          <w:noProof/>
        </w:rPr>
        <w:drawing>
          <wp:inline distT="0" distB="0" distL="0" distR="0">
            <wp:extent cx="4184420" cy="3600450"/>
            <wp:effectExtent l="19050" t="0" r="658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4184411" cy="3600442"/>
                    </a:xfrm>
                    <a:prstGeom prst="rect">
                      <a:avLst/>
                    </a:prstGeom>
                    <a:noFill/>
                    <a:ln w="9525">
                      <a:noFill/>
                      <a:miter lim="800000"/>
                      <a:headEnd/>
                      <a:tailEnd/>
                    </a:ln>
                  </pic:spPr>
                </pic:pic>
              </a:graphicData>
            </a:graphic>
          </wp:inline>
        </w:drawing>
      </w:r>
    </w:p>
    <w:p w:rsidR="007B25EC" w:rsidRPr="00AB646F" w:rsidRDefault="002657B4" w:rsidP="007B25EC">
      <w:pPr>
        <w:pStyle w:val="ThesisFigCaption"/>
        <w:spacing w:line="276" w:lineRule="auto"/>
      </w:pPr>
      <w:r>
        <w:rPr>
          <w:b/>
        </w:rPr>
        <w:t>Figure 1.1</w:t>
      </w:r>
      <w:r w:rsidR="007B25EC" w:rsidRPr="00AB646F">
        <w:rPr>
          <w:b/>
        </w:rPr>
        <w:t>:</w:t>
      </w:r>
      <w:r w:rsidR="007B25EC" w:rsidRPr="00AB646F">
        <w:t xml:space="preserve"> </w:t>
      </w:r>
      <w:r w:rsidR="007B25EC">
        <w:t>Schematic illustration of c</w:t>
      </w:r>
      <w:r w:rsidR="007B25EC" w:rsidRPr="00AB646F">
        <w:t xml:space="preserve">yclic </w:t>
      </w:r>
      <w:r w:rsidR="007B25EC">
        <w:t>v</w:t>
      </w:r>
      <w:r w:rsidR="007B25EC" w:rsidRPr="00AB646F">
        <w:t xml:space="preserve">oltammetric </w:t>
      </w:r>
      <w:r w:rsidR="007B25EC">
        <w:t>redox peak (oxidation and reduction)</w:t>
      </w:r>
    </w:p>
    <w:p w:rsidR="007B25EC" w:rsidRPr="00DB361F" w:rsidRDefault="007B25EC" w:rsidP="007B25EC">
      <w:pPr>
        <w:pStyle w:val="ThesisText"/>
      </w:pPr>
      <w:r>
        <w:t xml:space="preserve">The modified and unmodified electrode surface features also affect the electrochemical parameters based on cyclic voltammetry. </w:t>
      </w:r>
      <w:r w:rsidR="000D470D">
        <w:t>LSV</w:t>
      </w:r>
      <w:r>
        <w:t xml:space="preserve"> is also a part of voltammetry, which relates to the linear potential sweep applied to the working electrode while observing concurrently the current. LSV having an adventitious during study of electrochemical reduction and oxidation relations. </w:t>
      </w:r>
      <w:r>
        <w:lastRenderedPageBreak/>
        <w:t xml:space="preserve">Above discussion using CV for sensing of biomolecules if there is oxidation using LSV at an applied potential of -1 to 1 V and if there is reduction applied potential at 1 to -1 V. In part of electrocatalytical oxygen evolution reaction, hydrazine oxidation reaction and oxygen reduction reaction using LSV can perform. </w:t>
      </w:r>
    </w:p>
    <w:p w:rsidR="007B25EC" w:rsidRDefault="007B25EC" w:rsidP="007B25EC">
      <w:pPr>
        <w:pStyle w:val="ThesisText"/>
      </w:pPr>
      <w:r w:rsidRPr="00AB646F">
        <w:t xml:space="preserve">The LSV is very much similar to the </w:t>
      </w:r>
      <w:r w:rsidR="000D470D">
        <w:t>CV</w:t>
      </w:r>
      <w:r w:rsidRPr="00AB646F">
        <w:t xml:space="preserve"> </w:t>
      </w:r>
      <w:proofErr w:type="gramStart"/>
      <w:r w:rsidRPr="00AB646F">
        <w:t>The</w:t>
      </w:r>
      <w:proofErr w:type="gramEnd"/>
      <w:r w:rsidRPr="00AB646F">
        <w:t xml:space="preserve"> voltage is swept between two values a fixed point, but the scan is reversed and the voltage swept back toV</w:t>
      </w:r>
      <w:r w:rsidRPr="00E753F9">
        <w:rPr>
          <w:vertAlign w:val="subscript"/>
        </w:rPr>
        <w:t>1</w:t>
      </w:r>
      <w:r w:rsidRPr="00AB646F">
        <w:t xml:space="preserve"> now that the voltage exceeds V</w:t>
      </w:r>
      <w:r w:rsidRPr="00E753F9">
        <w:rPr>
          <w:vertAlign w:val="subscript"/>
        </w:rPr>
        <w:t>2</w:t>
      </w:r>
      <w:r w:rsidRPr="00AB646F">
        <w:t xml:space="preserve"> shown in </w:t>
      </w:r>
      <w:r w:rsidRPr="00AB646F">
        <w:rPr>
          <w:b/>
        </w:rPr>
        <w:t>Figure 1.</w:t>
      </w:r>
      <w:r>
        <w:rPr>
          <w:b/>
        </w:rPr>
        <w:t>2</w:t>
      </w:r>
      <w:r w:rsidRPr="00AB646F">
        <w:t>.</w:t>
      </w:r>
    </w:p>
    <w:p w:rsidR="007B25EC" w:rsidRPr="00AB646F" w:rsidRDefault="007B25EC" w:rsidP="007B25EC">
      <w:pPr>
        <w:pStyle w:val="NormalWeb"/>
        <w:spacing w:before="0" w:beforeAutospacing="0" w:after="0" w:afterAutospacing="0" w:line="360" w:lineRule="auto"/>
        <w:jc w:val="center"/>
        <w:rPr>
          <w:highlight w:val="yellow"/>
        </w:rPr>
      </w:pPr>
      <w:r w:rsidRPr="00576CF7">
        <w:rPr>
          <w:noProof/>
          <w:highlight w:val="yellow"/>
        </w:rPr>
        <w:drawing>
          <wp:inline distT="0" distB="0" distL="0" distR="0">
            <wp:extent cx="3711621" cy="3299791"/>
            <wp:effectExtent l="19050" t="0" r="3129"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3714911" cy="3302716"/>
                    </a:xfrm>
                    <a:prstGeom prst="rect">
                      <a:avLst/>
                    </a:prstGeom>
                    <a:noFill/>
                    <a:ln w="9525">
                      <a:noFill/>
                      <a:miter lim="800000"/>
                      <a:headEnd/>
                      <a:tailEnd/>
                    </a:ln>
                  </pic:spPr>
                </pic:pic>
              </a:graphicData>
            </a:graphic>
          </wp:inline>
        </w:drawing>
      </w:r>
    </w:p>
    <w:p w:rsidR="007B25EC" w:rsidRPr="00AB646F" w:rsidRDefault="007B25EC" w:rsidP="007B25EC">
      <w:pPr>
        <w:pStyle w:val="ThesisFigCaption"/>
        <w:spacing w:line="276" w:lineRule="auto"/>
        <w:rPr>
          <w:highlight w:val="yellow"/>
        </w:rPr>
      </w:pPr>
      <w:r w:rsidRPr="00AB646F">
        <w:rPr>
          <w:b/>
        </w:rPr>
        <w:t>Figure 1.</w:t>
      </w:r>
      <w:r w:rsidR="002657B4">
        <w:rPr>
          <w:b/>
        </w:rPr>
        <w:t xml:space="preserve"> </w:t>
      </w:r>
      <w:r>
        <w:rPr>
          <w:b/>
        </w:rPr>
        <w:t>2</w:t>
      </w:r>
      <w:r w:rsidRPr="00AB646F">
        <w:rPr>
          <w:b/>
        </w:rPr>
        <w:t>:</w:t>
      </w:r>
      <w:r>
        <w:rPr>
          <w:b/>
        </w:rPr>
        <w:t xml:space="preserve"> </w:t>
      </w:r>
      <w:r>
        <w:t>Schematic illustration linear sweep voltammetry v</w:t>
      </w:r>
      <w:r w:rsidRPr="00AB646F">
        <w:t>oltage sweep V</w:t>
      </w:r>
      <w:r w:rsidRPr="00AB646F">
        <w:rPr>
          <w:vertAlign w:val="subscript"/>
        </w:rPr>
        <w:t>1</w:t>
      </w:r>
      <w:r w:rsidRPr="00AB646F">
        <w:t xml:space="preserve"> and V</w:t>
      </w:r>
      <w:r w:rsidRPr="00AB646F">
        <w:rPr>
          <w:vertAlign w:val="subscript"/>
        </w:rPr>
        <w:t>2</w:t>
      </w:r>
      <w:r w:rsidRPr="00AB646F">
        <w:t>.</w:t>
      </w:r>
    </w:p>
    <w:p w:rsidR="007B25EC" w:rsidRPr="00AB646F" w:rsidRDefault="007B25EC" w:rsidP="007B25EC">
      <w:pPr>
        <w:pStyle w:val="ThesisText"/>
        <w:rPr>
          <w:b/>
          <w:i/>
        </w:rPr>
      </w:pPr>
      <w:r w:rsidRPr="00AB646F">
        <w:t xml:space="preserve">In </w:t>
      </w:r>
      <w:r w:rsidR="000D470D">
        <w:t>LSV</w:t>
      </w:r>
      <w:r w:rsidRPr="00AB646F">
        <w:t xml:space="preserve"> a fixed potential range is employed much like potential step measurements. However in LSV the voltage is scanned from a lower limit to an upper limit </w:t>
      </w:r>
      <w:r>
        <w:t xml:space="preserve">and </w:t>
      </w:r>
      <w:r w:rsidRPr="00AB646F">
        <w:t xml:space="preserve">as shown in </w:t>
      </w:r>
      <w:r w:rsidRPr="00AB646F">
        <w:rPr>
          <w:b/>
        </w:rPr>
        <w:t>Figure 1.</w:t>
      </w:r>
      <w:r>
        <w:rPr>
          <w:b/>
        </w:rPr>
        <w:t>3</w:t>
      </w:r>
      <w:r w:rsidRPr="00AB646F">
        <w:rPr>
          <w:b/>
        </w:rPr>
        <w:t>.</w:t>
      </w:r>
    </w:p>
    <w:p w:rsidR="007B25EC" w:rsidRPr="00AB646F" w:rsidRDefault="007B25EC" w:rsidP="007B25E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313876" cy="3835884"/>
            <wp:effectExtent l="1905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4309381" cy="3831887"/>
                    </a:xfrm>
                    <a:prstGeom prst="rect">
                      <a:avLst/>
                    </a:prstGeom>
                    <a:noFill/>
                  </pic:spPr>
                </pic:pic>
              </a:graphicData>
            </a:graphic>
          </wp:inline>
        </w:drawing>
      </w:r>
    </w:p>
    <w:p w:rsidR="007B25EC" w:rsidRDefault="007B25EC" w:rsidP="007B25EC">
      <w:pPr>
        <w:pStyle w:val="ThesisFigCaption"/>
        <w:spacing w:line="276" w:lineRule="auto"/>
      </w:pPr>
      <w:r w:rsidRPr="00AB646F">
        <w:rPr>
          <w:b/>
        </w:rPr>
        <w:t>Figure 1.</w:t>
      </w:r>
      <w:r w:rsidR="002657B4">
        <w:rPr>
          <w:b/>
        </w:rPr>
        <w:t>3</w:t>
      </w:r>
      <w:r w:rsidRPr="00AB646F">
        <w:rPr>
          <w:b/>
        </w:rPr>
        <w:t>:</w:t>
      </w:r>
      <w:r>
        <w:rPr>
          <w:b/>
        </w:rPr>
        <w:t xml:space="preserve"> </w:t>
      </w:r>
      <w:r>
        <w:t xml:space="preserve">Schematic illustration of linear </w:t>
      </w:r>
      <w:r w:rsidRPr="005F1349">
        <w:t>sweep</w:t>
      </w:r>
      <w:r>
        <w:t xml:space="preserve"> voltammetry </w:t>
      </w:r>
      <w:r w:rsidRPr="00AB646F">
        <w:t>with fix potential.</w:t>
      </w:r>
    </w:p>
    <w:p w:rsidR="007B25EC" w:rsidRPr="00045B70" w:rsidRDefault="007B25EC" w:rsidP="007B25EC">
      <w:pPr>
        <w:tabs>
          <w:tab w:val="left" w:pos="360"/>
        </w:tabs>
        <w:spacing w:after="0" w:line="360" w:lineRule="auto"/>
        <w:jc w:val="both"/>
        <w:rPr>
          <w:rFonts w:ascii="Times New Roman" w:hAnsi="Times New Roman" w:cs="Times New Roman"/>
          <w:b/>
          <w:sz w:val="24"/>
          <w:szCs w:val="24"/>
        </w:rPr>
      </w:pPr>
      <w:r w:rsidRPr="00E753F9">
        <w:rPr>
          <w:rFonts w:ascii="Times New Roman" w:hAnsi="Times New Roman" w:cs="Times New Roman"/>
          <w:b/>
          <w:sz w:val="24"/>
          <w:szCs w:val="24"/>
        </w:rPr>
        <w:t>1.</w:t>
      </w:r>
      <w:r w:rsidR="002657B4">
        <w:rPr>
          <w:rFonts w:ascii="Times New Roman" w:hAnsi="Times New Roman" w:cs="Times New Roman"/>
          <w:b/>
          <w:sz w:val="24"/>
          <w:szCs w:val="24"/>
        </w:rPr>
        <w:t>1</w:t>
      </w:r>
      <w:r w:rsidRPr="00E753F9">
        <w:rPr>
          <w:rFonts w:ascii="Times New Roman" w:hAnsi="Times New Roman" w:cs="Times New Roman"/>
          <w:b/>
          <w:sz w:val="24"/>
          <w:szCs w:val="24"/>
        </w:rPr>
        <w:t>.</w:t>
      </w:r>
      <w:r>
        <w:rPr>
          <w:rFonts w:ascii="Times New Roman" w:hAnsi="Times New Roman" w:cs="Times New Roman"/>
          <w:b/>
          <w:sz w:val="24"/>
          <w:szCs w:val="24"/>
        </w:rPr>
        <w:t>2</w:t>
      </w:r>
      <w:r w:rsidRPr="00E753F9">
        <w:rPr>
          <w:rFonts w:ascii="Times New Roman" w:hAnsi="Times New Roman" w:cs="Times New Roman"/>
          <w:b/>
          <w:sz w:val="24"/>
          <w:szCs w:val="24"/>
        </w:rPr>
        <w:t>. Chronoamperometry (i-t)</w:t>
      </w:r>
    </w:p>
    <w:p w:rsidR="007B25EC" w:rsidRPr="002D106F" w:rsidRDefault="00D248E2" w:rsidP="00D248E2">
      <w:pPr>
        <w:pStyle w:val="ThesisText"/>
        <w:spacing w:before="240"/>
      </w:pPr>
      <w:r w:rsidRPr="002D106F">
        <w:t>Chronoamperometry is an electrochemical approach that includes stepping the voltage of the working electrode and measuring the current as a function of time that arises from the faradic processes that occur at the electrode.</w:t>
      </w:r>
      <w:r w:rsidR="007B25EC" w:rsidRPr="002D106F">
        <w:t xml:space="preserve"> </w:t>
      </w:r>
      <w:r w:rsidR="000D470D" w:rsidRPr="000D470D">
        <w:rPr>
          <w:color w:val="0000FF"/>
        </w:rPr>
        <w:t>The working electrode of the electrochemical system is subjected to a single or double potential step, and the functional relationship between current responsiveness and time is then evaluated</w:t>
      </w:r>
      <w:r w:rsidRPr="000D470D">
        <w:rPr>
          <w:color w:val="0000FF"/>
        </w:rPr>
        <w:t>.</w:t>
      </w:r>
      <w:r w:rsidRPr="002D106F">
        <w:t xml:space="preserve"> The peak oxidation current against peak reduction current ratio can provide some information regarding the identification of the electrolyzed species. Chronoamperometry, like other pulsed approaches, creates high charging currents that decline exponentially with time, much like any RC circuit. The Cottrell equation describes how the Faradic current, which is typically the current component of interest and </w:t>
      </w:r>
      <w:r w:rsidR="00502705" w:rsidRPr="002D106F">
        <w:t>is,</w:t>
      </w:r>
      <w:r w:rsidRPr="002D106F">
        <w:t xml:space="preserve"> brought on by electron transfer events, decays. With significant exceptions, most electrochemical cells have a decay that is substantially slower than the charging decay. Three electrode setups are most commonly used. Because the current is integrated over longer time intervals, chronoamperometry has a higher signal-to-noise ratio than other amperometric methods.</w:t>
      </w:r>
    </w:p>
    <w:p w:rsidR="007B25EC" w:rsidRPr="00502705" w:rsidRDefault="006855A4" w:rsidP="00502705">
      <w:pPr>
        <w:spacing w:line="360" w:lineRule="auto"/>
        <w:jc w:val="both"/>
        <w:rPr>
          <w:rFonts w:ascii="Times New Roman" w:eastAsiaTheme="minorHAnsi" w:hAnsi="Times New Roman" w:cs="Times New Roman"/>
          <w:sz w:val="24"/>
          <w:szCs w:val="24"/>
        </w:rPr>
      </w:pPr>
      <w:r w:rsidRPr="00502705">
        <w:rPr>
          <w:rFonts w:ascii="Times New Roman" w:hAnsi="Times New Roman" w:cs="Times New Roman"/>
          <w:sz w:val="24"/>
          <w:szCs w:val="24"/>
        </w:rPr>
        <w:lastRenderedPageBreak/>
        <w:t>The potential step, which is one of the simplest potential wave shapes, is shared by chronoamperometry (CA) and chronocoulometry (CC)</w:t>
      </w:r>
      <w:r w:rsidR="007B25EC" w:rsidRPr="00502705">
        <w:rPr>
          <w:rFonts w:ascii="Times New Roman" w:hAnsi="Times New Roman" w:cs="Times New Roman"/>
          <w:sz w:val="24"/>
          <w:szCs w:val="24"/>
        </w:rPr>
        <w:t xml:space="preserve">. As shown below </w:t>
      </w:r>
      <w:r w:rsidR="007B25EC" w:rsidRPr="00502705">
        <w:rPr>
          <w:rFonts w:ascii="Times New Roman" w:hAnsi="Times New Roman" w:cs="Times New Roman"/>
          <w:b/>
          <w:sz w:val="24"/>
          <w:szCs w:val="24"/>
        </w:rPr>
        <w:t>Figure 1.4</w:t>
      </w:r>
      <w:r w:rsidR="007B25EC" w:rsidRPr="00502705">
        <w:rPr>
          <w:rFonts w:ascii="Times New Roman" w:hAnsi="Times New Roman" w:cs="Times New Roman"/>
          <w:sz w:val="24"/>
          <w:szCs w:val="24"/>
        </w:rPr>
        <w:t xml:space="preserve">, the potential is changed instantaneously from the initial potential to the first step potential, and it is held at this value for the first step time. </w:t>
      </w:r>
      <w:r w:rsidRPr="00502705">
        <w:rPr>
          <w:rFonts w:ascii="Times New Roman" w:hAnsi="Times New Roman" w:cs="Times New Roman"/>
          <w:sz w:val="24"/>
          <w:szCs w:val="24"/>
        </w:rPr>
        <w:t xml:space="preserve">This experiment only has one possible outcome. </w:t>
      </w:r>
      <w:r w:rsidR="00502705" w:rsidRPr="00502705">
        <w:rPr>
          <w:rFonts w:ascii="Times New Roman" w:eastAsiaTheme="minorHAnsi" w:hAnsi="Times New Roman" w:cs="Times New Roman"/>
          <w:color w:val="0000FF"/>
          <w:sz w:val="24"/>
          <w:szCs w:val="24"/>
        </w:rPr>
        <w:t>In a double potential step experiment, the potential is transferred to the second step potential during the first step time and maintained there for the duration of the second step period. CC monitors the charge as a function of time, whereas CA monitors the current as a function of time. The fundamental potential step experiment of the epsilon is a CA, which implies that the current is recorded as a function of time throughout the experiment. By integrating the current, the data may also be shown as charge as a function of time after the experiment.</w:t>
      </w:r>
      <w:r w:rsidR="00502705" w:rsidRPr="00502705">
        <w:rPr>
          <w:rFonts w:ascii="Times New Roman" w:eastAsiaTheme="minorHAnsi" w:hAnsi="Times New Roman" w:cs="Times New Roman"/>
          <w:sz w:val="24"/>
          <w:szCs w:val="24"/>
        </w:rPr>
        <w:t xml:space="preserve"> </w:t>
      </w:r>
      <w:r w:rsidR="00291FB3" w:rsidRPr="00502705">
        <w:rPr>
          <w:rFonts w:ascii="Times New Roman" w:hAnsi="Times New Roman" w:cs="Times New Roman"/>
          <w:sz w:val="24"/>
          <w:szCs w:val="24"/>
        </w:rPr>
        <w:t>Data from chronocoulometry can be acquired as a result. CA is a widely used method on the epsilon</w:t>
      </w:r>
      <w:r w:rsidR="007B25EC" w:rsidRPr="00502705">
        <w:rPr>
          <w:rFonts w:ascii="Times New Roman" w:hAnsi="Times New Roman" w:cs="Times New Roman"/>
          <w:sz w:val="24"/>
          <w:szCs w:val="24"/>
        </w:rPr>
        <w:t>.</w:t>
      </w:r>
    </w:p>
    <w:p w:rsidR="00502705" w:rsidRPr="00502705" w:rsidRDefault="00502705" w:rsidP="00502705">
      <w:pPr>
        <w:spacing w:line="360" w:lineRule="auto"/>
        <w:jc w:val="both"/>
        <w:rPr>
          <w:rFonts w:ascii="Times New Roman" w:eastAsiaTheme="minorHAnsi" w:hAnsi="Times New Roman" w:cs="Times New Roman"/>
          <w:color w:val="0000FF"/>
          <w:sz w:val="24"/>
          <w:szCs w:val="24"/>
        </w:rPr>
      </w:pPr>
      <w:r w:rsidRPr="00502705">
        <w:rPr>
          <w:rFonts w:ascii="Times New Roman" w:eastAsiaTheme="minorHAnsi" w:hAnsi="Times New Roman" w:cs="Times New Roman"/>
          <w:color w:val="0000FF"/>
          <w:sz w:val="24"/>
          <w:szCs w:val="24"/>
        </w:rPr>
        <w:t>The time scale of CA is shorter (milliseconds and seconds) than that of CPE and DCA (seconds and minutes), distinguishing it from other constant potential techniques like constant potential electrolysis (CPE) and DC potential amperometry (DCA).</w:t>
      </w:r>
    </w:p>
    <w:p w:rsidR="007B25EC" w:rsidRPr="00AB646F" w:rsidRDefault="007B25EC" w:rsidP="007B25E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04888" cy="2370173"/>
            <wp:effectExtent l="19050" t="0" r="5112"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812941" cy="2375190"/>
                    </a:xfrm>
                    <a:prstGeom prst="rect">
                      <a:avLst/>
                    </a:prstGeom>
                    <a:noFill/>
                  </pic:spPr>
                </pic:pic>
              </a:graphicData>
            </a:graphic>
          </wp:inline>
        </w:drawing>
      </w:r>
    </w:p>
    <w:p w:rsidR="007B25EC" w:rsidRDefault="007B25EC" w:rsidP="007B25EC">
      <w:pPr>
        <w:pStyle w:val="ThesisFigCaption"/>
        <w:spacing w:line="276" w:lineRule="auto"/>
      </w:pPr>
      <w:r w:rsidRPr="00AB646F">
        <w:rPr>
          <w:b/>
        </w:rPr>
        <w:t>Figure 1.</w:t>
      </w:r>
      <w:r>
        <w:rPr>
          <w:b/>
        </w:rPr>
        <w:t>4</w:t>
      </w:r>
      <w:r w:rsidRPr="00AB646F">
        <w:rPr>
          <w:b/>
        </w:rPr>
        <w:t>:</w:t>
      </w:r>
      <w:r w:rsidRPr="00AB646F">
        <w:t xml:space="preserve"> Potential wave form for chronoamperomtric and chronocoulometry</w:t>
      </w:r>
      <w:r>
        <w:t>.</w:t>
      </w:r>
    </w:p>
    <w:p w:rsidR="007B25EC" w:rsidRDefault="007B25EC" w:rsidP="007B25EC">
      <w:pPr>
        <w:pStyle w:val="ThesisSubheading"/>
      </w:pPr>
      <w:r>
        <w:t>1.</w:t>
      </w:r>
      <w:r w:rsidR="002657B4">
        <w:t>1</w:t>
      </w:r>
      <w:r>
        <w:t xml:space="preserve">.3 Electrochemical Impedance Spectroscopy (EIS) </w:t>
      </w:r>
    </w:p>
    <w:p w:rsidR="00291FB3" w:rsidRDefault="007B25EC" w:rsidP="007B25EC">
      <w:pPr>
        <w:pStyle w:val="ThesisText"/>
        <w:spacing w:before="240"/>
        <w:ind w:firstLine="0"/>
      </w:pPr>
      <w:r>
        <w:t xml:space="preserve">Electrochemical </w:t>
      </w:r>
      <w:r w:rsidRPr="00F37AE3">
        <w:t>impedance</w:t>
      </w:r>
      <w:r>
        <w:t xml:space="preserve"> spectroscopy (EIS) is an important technique to describe kinetics and changes at electrified interface of electrode/electrolyte. It is also use to determine the dielectric and transport properties, passive surfaces of material. EIS includes the application of a small or </w:t>
      </w:r>
      <w:r w:rsidRPr="00F37AE3">
        <w:t>alternating</w:t>
      </w:r>
      <w:r>
        <w:t xml:space="preserve"> current (AC) or voltage to the over range of frequencies with sample </w:t>
      </w:r>
      <w:r>
        <w:lastRenderedPageBreak/>
        <w:t xml:space="preserve">undergoing investigation in electrochemical cell. Basically, it is dependent on the Ohm’s law as the electrical resistance is inversely proportional to the passage of electrical current in the electrical cell or circuit. </w:t>
      </w:r>
    </w:p>
    <w:p w:rsidR="00B10859" w:rsidRPr="002D106F" w:rsidRDefault="00291FB3" w:rsidP="00B10859">
      <w:pPr>
        <w:pStyle w:val="ThesisText"/>
        <w:spacing w:before="240"/>
        <w:ind w:firstLine="0"/>
        <w:rPr>
          <w:b/>
          <w:sz w:val="28"/>
          <w:szCs w:val="28"/>
        </w:rPr>
      </w:pPr>
      <w:r>
        <w:tab/>
      </w:r>
      <w:r w:rsidRPr="002D106F">
        <w:t>By comparing the voltage's and current's amplitudes, one may determine a system's impedance. Consider the three forms of resistances in electrochemical reactions: electrode interface resistance, electrolyte resistance, and instrument resistance. Resistance increases with the size of the semicircle in the polarization plot, and vice versa for the low- and high-frequency regions. If there were two semicircles on the graph, the first one would represent the electrode interface and the second would represent the electrolyte resistance.</w:t>
      </w:r>
      <w:r w:rsidR="007B25EC" w:rsidRPr="002D106F">
        <w:t xml:space="preserve"> </w:t>
      </w:r>
      <w:r w:rsidR="00B10859" w:rsidRPr="002D106F">
        <w:t>Additionally, a smaller semicircle is seen at higher cathodic potentials than at lower potentials for the same frequency, indicating that the electron is more feasible at higher cathodic potentials.</w:t>
      </w:r>
    </w:p>
    <w:p w:rsidR="001D5A1A" w:rsidRDefault="007B25EC" w:rsidP="001D5A1A">
      <w:pPr>
        <w:pStyle w:val="ThesisText"/>
        <w:spacing w:before="240"/>
        <w:ind w:firstLine="0"/>
        <w:rPr>
          <w:b/>
          <w:sz w:val="28"/>
          <w:szCs w:val="28"/>
        </w:rPr>
      </w:pPr>
      <w:r>
        <w:rPr>
          <w:b/>
          <w:sz w:val="28"/>
          <w:szCs w:val="28"/>
        </w:rPr>
        <w:t>1.</w:t>
      </w:r>
      <w:r w:rsidR="002657B4">
        <w:rPr>
          <w:b/>
          <w:sz w:val="28"/>
          <w:szCs w:val="28"/>
        </w:rPr>
        <w:t>2</w:t>
      </w:r>
      <w:r>
        <w:rPr>
          <w:b/>
          <w:sz w:val="28"/>
          <w:szCs w:val="28"/>
        </w:rPr>
        <w:t>.</w:t>
      </w:r>
      <w:r w:rsidRPr="00702293">
        <w:rPr>
          <w:b/>
          <w:sz w:val="28"/>
          <w:szCs w:val="28"/>
        </w:rPr>
        <w:t xml:space="preserve"> Electrocatalysis</w:t>
      </w:r>
      <w:r>
        <w:rPr>
          <w:b/>
          <w:sz w:val="28"/>
          <w:szCs w:val="28"/>
        </w:rPr>
        <w:t xml:space="preserve"> </w:t>
      </w:r>
    </w:p>
    <w:p w:rsidR="001D5A1A" w:rsidRPr="001D5A1A" w:rsidRDefault="001D5A1A" w:rsidP="001D5A1A">
      <w:pPr>
        <w:pStyle w:val="ThesisText"/>
        <w:spacing w:before="240"/>
        <w:ind w:firstLine="0"/>
        <w:rPr>
          <w:b/>
          <w:sz w:val="28"/>
          <w:szCs w:val="28"/>
        </w:rPr>
      </w:pPr>
      <w:r w:rsidRPr="001D5A1A">
        <w:t>The process of oxidation and/or reduction by direct electron transfer processes at the electrode electrolyte interface is known as electrocatalysis. Electrochemical mechanical electrocatalytic processes are a major subject of research in several departments of chemistry and related science. For example, the second half reaction of the water oxidation process is the reduction of protons to hydrogen.</w:t>
      </w:r>
    </w:p>
    <w:p w:rsidR="001D5A1A" w:rsidRPr="00502705" w:rsidRDefault="001D5A1A" w:rsidP="001D5A1A">
      <w:pPr>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Pr="00502705">
        <w:rPr>
          <w:rFonts w:ascii="Times New Roman" w:eastAsiaTheme="minorHAnsi" w:hAnsi="Times New Roman" w:cs="Times New Roman"/>
          <w:sz w:val="24"/>
          <w:szCs w:val="24"/>
        </w:rPr>
        <w:t xml:space="preserve">The tool used to carry out electrolysis is called an electrolytic cell. It consists of a jar that contains electrolytes in either a molten state or a liquid state. Two metal rods are inserted into it, connected to two terminals of a power supply, and filled with it. These rods are known as electrodes; in </w:t>
      </w:r>
      <w:r w:rsidRPr="00502705">
        <w:rPr>
          <w:rFonts w:ascii="Times New Roman" w:eastAsiaTheme="minorHAnsi" w:hAnsi="Times New Roman" w:cs="Times New Roman"/>
          <w:b/>
          <w:sz w:val="24"/>
          <w:szCs w:val="24"/>
        </w:rPr>
        <w:t>Figure 1.5,</w:t>
      </w:r>
      <w:r w:rsidRPr="00502705">
        <w:rPr>
          <w:rFonts w:ascii="Times New Roman" w:eastAsiaTheme="minorHAnsi" w:hAnsi="Times New Roman" w:cs="Times New Roman"/>
          <w:sz w:val="24"/>
          <w:szCs w:val="24"/>
        </w:rPr>
        <w:t xml:space="preserve"> the cathode, which is linked to the negative pole of the battery, and the anode, which is connected to the positive pole, is shown.</w:t>
      </w:r>
    </w:p>
    <w:p w:rsidR="007B25EC" w:rsidRPr="00AB646F" w:rsidRDefault="007B25EC" w:rsidP="007B25EC">
      <w:pPr>
        <w:spacing w:after="0" w:line="360" w:lineRule="auto"/>
        <w:jc w:val="center"/>
        <w:rPr>
          <w:rFonts w:ascii="Times New Roman" w:hAnsi="Times New Roman" w:cs="Times New Roman"/>
          <w:sz w:val="24"/>
          <w:szCs w:val="24"/>
          <w:highlight w:val="yellow"/>
        </w:rPr>
      </w:pPr>
      <w:r>
        <w:rPr>
          <w:rFonts w:ascii="Times New Roman" w:hAnsi="Times New Roman" w:cs="Times New Roman"/>
          <w:noProof/>
          <w:sz w:val="24"/>
          <w:szCs w:val="24"/>
        </w:rPr>
        <w:lastRenderedPageBreak/>
        <w:drawing>
          <wp:inline distT="0" distB="0" distL="0" distR="0">
            <wp:extent cx="4543425" cy="3644617"/>
            <wp:effectExtent l="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4542516" cy="3643888"/>
                    </a:xfrm>
                    <a:prstGeom prst="rect">
                      <a:avLst/>
                    </a:prstGeom>
                    <a:noFill/>
                  </pic:spPr>
                </pic:pic>
              </a:graphicData>
            </a:graphic>
          </wp:inline>
        </w:drawing>
      </w:r>
    </w:p>
    <w:p w:rsidR="007B25EC" w:rsidRPr="00AB646F" w:rsidRDefault="007B25EC" w:rsidP="007B25EC">
      <w:pPr>
        <w:pStyle w:val="ThesisFigCaption"/>
        <w:spacing w:line="276" w:lineRule="auto"/>
      </w:pPr>
      <w:r w:rsidRPr="00AB646F">
        <w:rPr>
          <w:b/>
        </w:rPr>
        <w:t>Figure 1.</w:t>
      </w:r>
      <w:r>
        <w:rPr>
          <w:b/>
        </w:rPr>
        <w:t>5</w:t>
      </w:r>
      <w:r w:rsidRPr="00AB646F">
        <w:t xml:space="preserve">: Schematic </w:t>
      </w:r>
      <w:r>
        <w:t>r</w:t>
      </w:r>
      <w:r w:rsidRPr="00AB646F">
        <w:t xml:space="preserve">epresentation of </w:t>
      </w:r>
      <w:r>
        <w:t>electrochemical cell involving oxidation and reduction processes reactions at anode and cathode interface respectively</w:t>
      </w:r>
      <w:r w:rsidRPr="00AB646F">
        <w:t>.</w:t>
      </w:r>
    </w:p>
    <w:p w:rsidR="007B25EC" w:rsidRPr="00155E99" w:rsidRDefault="007B25EC" w:rsidP="007B25EC">
      <w:pPr>
        <w:spacing w:after="0" w:line="360" w:lineRule="auto"/>
        <w:jc w:val="both"/>
        <w:rPr>
          <w:rFonts w:ascii="Times New Roman" w:hAnsi="Times New Roman" w:cs="Times New Roman"/>
          <w:b/>
          <w:sz w:val="24"/>
          <w:szCs w:val="24"/>
        </w:rPr>
      </w:pPr>
      <w:r w:rsidRPr="00E753F9">
        <w:rPr>
          <w:rFonts w:ascii="Times New Roman" w:hAnsi="Times New Roman" w:cs="Times New Roman"/>
          <w:b/>
          <w:sz w:val="24"/>
          <w:szCs w:val="24"/>
        </w:rPr>
        <w:t>1.</w:t>
      </w:r>
      <w:r w:rsidR="002657B4">
        <w:rPr>
          <w:rFonts w:ascii="Times New Roman" w:hAnsi="Times New Roman" w:cs="Times New Roman"/>
          <w:b/>
          <w:sz w:val="24"/>
          <w:szCs w:val="24"/>
        </w:rPr>
        <w:t>2</w:t>
      </w:r>
      <w:r w:rsidRPr="00E753F9">
        <w:rPr>
          <w:rFonts w:ascii="Times New Roman" w:hAnsi="Times New Roman" w:cs="Times New Roman"/>
          <w:b/>
          <w:sz w:val="24"/>
          <w:szCs w:val="24"/>
        </w:rPr>
        <w:t>.1. Mechanism and parameters</w:t>
      </w:r>
    </w:p>
    <w:p w:rsidR="00B10859" w:rsidRDefault="00B10859" w:rsidP="00B10859">
      <w:pPr>
        <w:spacing w:before="240" w:line="360" w:lineRule="auto"/>
        <w:jc w:val="both"/>
        <w:rPr>
          <w:rFonts w:ascii="Times New Roman" w:hAnsi="Times New Roman" w:cs="Times New Roman"/>
          <w:b/>
          <w:sz w:val="28"/>
          <w:szCs w:val="24"/>
        </w:rPr>
      </w:pPr>
      <w:r w:rsidRPr="00B10859">
        <w:rPr>
          <w:rFonts w:ascii="Times New Roman" w:eastAsiaTheme="minorHAnsi" w:hAnsi="Times New Roman" w:cs="Times New Roman"/>
          <w:sz w:val="24"/>
          <w:szCs w:val="24"/>
        </w:rPr>
        <w:t>Positive ions are drawn to the cathode (negative electrode) during electrolysis, where they take an electron and lose their charge. While migrating towards the anode (positive electrode), negative ions lose one electron and becoming neutral. The fundamental alteration is the transformation of ions into neutral species at each electrode. The product created by primary change may be preserved in its original form or it may go through secondary change to create the finished product.</w:t>
      </w:r>
    </w:p>
    <w:p w:rsidR="007B25EC" w:rsidRPr="00E115AF" w:rsidRDefault="007B25EC" w:rsidP="007B25EC">
      <w:pPr>
        <w:spacing w:after="0" w:line="360" w:lineRule="auto"/>
        <w:jc w:val="both"/>
        <w:rPr>
          <w:rFonts w:ascii="Times New Roman" w:hAnsi="Times New Roman" w:cs="Times New Roman"/>
          <w:b/>
          <w:sz w:val="28"/>
          <w:szCs w:val="24"/>
        </w:rPr>
      </w:pPr>
      <w:r w:rsidRPr="00E115AF">
        <w:rPr>
          <w:rFonts w:ascii="Times New Roman" w:hAnsi="Times New Roman" w:cs="Times New Roman"/>
          <w:b/>
          <w:sz w:val="28"/>
          <w:szCs w:val="24"/>
        </w:rPr>
        <w:t>1.</w:t>
      </w:r>
      <w:r w:rsidR="002657B4">
        <w:rPr>
          <w:rFonts w:ascii="Times New Roman" w:hAnsi="Times New Roman" w:cs="Times New Roman"/>
          <w:b/>
          <w:sz w:val="28"/>
          <w:szCs w:val="24"/>
        </w:rPr>
        <w:t>3</w:t>
      </w:r>
      <w:r>
        <w:rPr>
          <w:rFonts w:ascii="Times New Roman" w:hAnsi="Times New Roman" w:cs="Times New Roman"/>
          <w:b/>
          <w:sz w:val="28"/>
          <w:szCs w:val="24"/>
        </w:rPr>
        <w:t>.</w:t>
      </w:r>
      <w:r w:rsidRPr="00E115AF">
        <w:rPr>
          <w:rFonts w:ascii="Times New Roman" w:hAnsi="Times New Roman" w:cs="Times New Roman"/>
          <w:b/>
          <w:sz w:val="28"/>
          <w:szCs w:val="24"/>
        </w:rPr>
        <w:t xml:space="preserve"> Electrochemical Biosensing</w:t>
      </w:r>
    </w:p>
    <w:p w:rsidR="007B25EC" w:rsidRPr="00CA409B" w:rsidRDefault="007B25EC" w:rsidP="007B25EC">
      <w:pPr>
        <w:pStyle w:val="ThesisText"/>
        <w:spacing w:before="240"/>
        <w:ind w:firstLine="0"/>
        <w:rPr>
          <w:b/>
        </w:rPr>
      </w:pPr>
      <w:r w:rsidRPr="00E77522">
        <w:t xml:space="preserve">In 1962 the biosensor era began with the invention of Clark and Lyon’s first glucose meter and progressed uncontrollable levels </w:t>
      </w:r>
      <w:r w:rsidR="003C7910" w:rsidRPr="00E77522">
        <w:fldChar w:fldCharType="begin" w:fldLock="1"/>
      </w:r>
      <w:r w:rsidR="002929D8">
        <w:instrText>ADDIN CSL_CITATION {"citationItems":[{"id":"ITEM-1","itemData":{"DOI":"10.1111/j.1749-6632.1962.tb13623.x","ISSN":"00778923","PMID":"14021529","author":[{"dropping-particle":"","family":"Clark","given":"Leland C.","non-dropping-particle":"","parse-names":false,"suffix":""},{"dropping-particle":"","family":"Lyons","given":"Champ","non-dropping-particle":"","parse-names":false,"suffix":""}],"container-title":"Annals of the New York Academy of Sciences","id":"ITEM-1","issue":"1","issued":{"date-parts":[["2006","12","15"]]},"page":"29-45","title":"ELECTRODE SYSTEMS FOR CONTINUOUS MONITORING IN CARDIOVASCULAR SURGERY","type":"article-journal","volume":"102"},"uris":["http://www.mendeley.com/documents/?uuid=eb695e32-9c19-3875-b8d4-ebf1ba83ca82"]}],"mendeley":{"formattedCitation":"&lt;sup&gt;1&lt;/sup&gt;","plainTextFormattedCitation":"1","previouslyFormattedCitation":"&lt;sup&gt;1&lt;/sup&gt;"},"properties":{"noteIndex":0},"schema":"https://github.com/citation-style-language/schema/raw/master/csl-citation.json"}</w:instrText>
      </w:r>
      <w:r w:rsidR="003C7910" w:rsidRPr="00E77522">
        <w:fldChar w:fldCharType="separate"/>
      </w:r>
      <w:r w:rsidRPr="007B25EC">
        <w:rPr>
          <w:noProof/>
          <w:vertAlign w:val="superscript"/>
        </w:rPr>
        <w:t>1</w:t>
      </w:r>
      <w:r w:rsidR="003C7910" w:rsidRPr="00E77522">
        <w:fldChar w:fldCharType="end"/>
      </w:r>
      <w:r w:rsidRPr="00E77522">
        <w:t>. At</w:t>
      </w:r>
      <w:r w:rsidRPr="00AB646F">
        <w:t xml:space="preserve"> present, it covers fields such as genetics, biotelemedicine, ecology, drug discovery, food safety regulations, etc. ' biosensor ' refers to the electronic analytical system with a biological sensor and physiochemical transducer</w:t>
      </w:r>
      <w:r>
        <w:t xml:space="preserve"> </w:t>
      </w:r>
      <w:r w:rsidR="003C7910" w:rsidRPr="00AB646F">
        <w:fldChar w:fldCharType="begin" w:fldLock="1"/>
      </w:r>
      <w:r w:rsidR="002929D8">
        <w:instrText>ADDIN CSL_CITATION {"citationItems":[{"id":"ITEM-1","itemData":{"DOI":"10.1016/j.carbon.2015.08.076","ISSN":"00086223","author":[{"dropping-particle":"","family":"Oliveira","given":"Sabrina F","non-dropping-particle":"","parse-names":false,"suffix":""},{"dropping-particle":"","family":"Bisker","given":"Gili","non-dropping-particle":"","parse-names":false,"suffix":""},{"dropping-particle":"","family":"Bakh","given":"Naveed A","non-dropping-particle":"","parse-names":false,"suffix":""},{"dropping-particle":"","family":"Gibbs","given":"Stephen L","non-dropping-particle":"","parse-names":false,"suffix":""},{"dropping-particle":"","family":"Landry","given":"Markita P","non-dropping-particle":"","parse-names":false,"suffix":""},{"dropping-particle":"","family":"Strano","given":"Michael S","non-dropping-particle":"","parse-names":false,"suffix":""}],"container-title":"Carbon","id":"ITEM-1","issued":{"date-parts":[["2015","12"]]},"page":"767-779","title":"Protein functionalized carbon nanomaterials for biomedical applications","type":"article-journal","volume":"95"},"uris":["http://www.mendeley.com/documents/?uuid=0e54f99a-7ac5-4be5-a316-091c5f6fcb9d"]}],"mendeley":{"formattedCitation":"&lt;sup&gt;2&lt;/sup&gt;","plainTextFormattedCitation":"2","previouslyFormattedCitation":"&lt;sup&gt;2&lt;/sup&gt;"},"properties":{"noteIndex":0},"schema":"https://github.com/citation-style-language/schema/raw/master/csl-citation.json"}</w:instrText>
      </w:r>
      <w:r w:rsidR="003C7910" w:rsidRPr="00AB646F">
        <w:fldChar w:fldCharType="separate"/>
      </w:r>
      <w:r w:rsidRPr="007B25EC">
        <w:rPr>
          <w:noProof/>
          <w:vertAlign w:val="superscript"/>
        </w:rPr>
        <w:t>2</w:t>
      </w:r>
      <w:r w:rsidR="003C7910" w:rsidRPr="00AB646F">
        <w:fldChar w:fldCharType="end"/>
      </w:r>
      <w:r>
        <w:t xml:space="preserve">. </w:t>
      </w:r>
      <w:r w:rsidRPr="00AB646F">
        <w:t xml:space="preserve">Transforming advanced engineering equipment into small hand-held instruments became the biggest </w:t>
      </w:r>
      <w:r w:rsidRPr="00AB646F">
        <w:lastRenderedPageBreak/>
        <w:t>achievement of bio-sensors.</w:t>
      </w:r>
      <w:r>
        <w:t xml:space="preserve"> </w:t>
      </w:r>
      <w:r w:rsidRPr="00AB646F">
        <w:t>In particular, the main interests are the electrochemical biosensors</w:t>
      </w:r>
      <w:r>
        <w:t>, with i</w:t>
      </w:r>
      <w:r w:rsidRPr="00AB646F">
        <w:t>mproved sensitivity and selectivity, LODs and quantification cap (LOQ's) have been accomplished through the implementation of biological factors in electronic devices.</w:t>
      </w:r>
      <w:r>
        <w:t xml:space="preserve"> </w:t>
      </w:r>
      <w:r w:rsidRPr="00AB646F">
        <w:t>These are user-friendly as well as open to large audiences including non-specialists and patients with miniaturization, simplification and portability</w:t>
      </w:r>
      <w:r>
        <w:t xml:space="preserve">. </w:t>
      </w:r>
      <w:r w:rsidRPr="00AB646F">
        <w:t>A variety of electrochemical instruments, including amperometric sensors, electrical impedance sensors, electrical luminescence sensors and photo-electrochemical, provide</w:t>
      </w:r>
      <w:r>
        <w:t>s</w:t>
      </w:r>
      <w:r w:rsidRPr="00AB646F">
        <w:t xml:space="preserve"> wide-range </w:t>
      </w:r>
      <w:r>
        <w:t xml:space="preserve">of </w:t>
      </w:r>
      <w:r w:rsidRPr="00AB646F">
        <w:t>applications for the electrochemical modification of electrode interfaces in the identification of chemical and biological targets</w:t>
      </w:r>
      <w:r>
        <w:t xml:space="preserve"> </w:t>
      </w:r>
      <w:r w:rsidR="003C7910" w:rsidRPr="00AB646F">
        <w:fldChar w:fldCharType="begin" w:fldLock="1"/>
      </w:r>
      <w:r w:rsidR="002929D8">
        <w:instrText>ADDIN CSL_CITATION {"citationItems":[{"id":"ITEM-1","itemData":{"DOI":"10.1016/j.bios.2016.10.035","ISSN":"0956-5663","author":[{"dropping-particle":"","family":"Piccinini","given":"Esteban","non-dropping-particle":"","parse-names":false,"suffix":""},{"dropping-particle":"","family":"Bliem","given":"Christina","non-dropping-particle":"","parse-names":false,"suffix":""},{"dropping-particle":"","family":"Reiner-rozman","given":"Ciril","non-dropping-particle":"","parse-names":false,"suffix":""},{"dropping-particle":"","family":"Battaglini","given":"Fernando","non-dropping-particle":"","parse-names":false,"suffix":""},{"dropping-particle":"","family":"Azzaroni","given":"Omar","non-dropping-particle":"","parse-names":false,"suffix":""},{"dropping-particle":"","family":"Knoll","given":"Wolfgang","non-dropping-particle":"","parse-names":false,"suffix":""}],"container-title":"Biosensors and Bioelectronic","id":"ITEM-1","issue":"September 2016","issued":{"date-parts":[["2017"]]},"page":"661-667","publisher":"Elsevier B.V.","title":"Biosensors and Bioelectronics Enzyme-polyelectrolyte multilayer assemblies on reduced graphene oxide fi eld-e ff ect transistors for biosensing applications","type":"article-journal","volume":"92"},"uris":["http://www.mendeley.com/documents/?uuid=be106f38-70df-4df1-9446-d4219639c46d"]}],"mendeley":{"formattedCitation":"&lt;sup&gt;3&lt;/sup&gt;","plainTextFormattedCitation":"3","previouslyFormattedCitation":"&lt;sup&gt;3&lt;/sup&gt;"},"properties":{"noteIndex":0},"schema":"https://github.com/citation-style-language/schema/raw/master/csl-citation.json"}</w:instrText>
      </w:r>
      <w:r w:rsidR="003C7910" w:rsidRPr="00AB646F">
        <w:fldChar w:fldCharType="separate"/>
      </w:r>
      <w:r w:rsidRPr="007B25EC">
        <w:rPr>
          <w:noProof/>
          <w:vertAlign w:val="superscript"/>
        </w:rPr>
        <w:t>3</w:t>
      </w:r>
      <w:r w:rsidR="003C7910" w:rsidRPr="00AB646F">
        <w:fldChar w:fldCharType="end"/>
      </w:r>
      <w:r>
        <w:t>.</w:t>
      </w:r>
    </w:p>
    <w:p w:rsidR="007B25EC" w:rsidRPr="00AB646F" w:rsidRDefault="007B25EC" w:rsidP="007B25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62475" cy="2768417"/>
            <wp:effectExtent l="19050" t="0" r="9525"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4562475" cy="2768417"/>
                    </a:xfrm>
                    <a:prstGeom prst="rect">
                      <a:avLst/>
                    </a:prstGeom>
                    <a:noFill/>
                  </pic:spPr>
                </pic:pic>
              </a:graphicData>
            </a:graphic>
          </wp:inline>
        </w:drawing>
      </w:r>
    </w:p>
    <w:p w:rsidR="007B25EC" w:rsidRPr="00AB646F" w:rsidRDefault="007B25EC" w:rsidP="007B25EC">
      <w:pPr>
        <w:pStyle w:val="ThesisFigCaption"/>
        <w:spacing w:line="276" w:lineRule="auto"/>
      </w:pPr>
      <w:r w:rsidRPr="00AB646F">
        <w:rPr>
          <w:b/>
        </w:rPr>
        <w:t>Figure 1.</w:t>
      </w:r>
      <w:r>
        <w:rPr>
          <w:b/>
        </w:rPr>
        <w:t>6</w:t>
      </w:r>
      <w:r w:rsidRPr="00AB646F">
        <w:t xml:space="preserve">: Schematic </w:t>
      </w:r>
      <w:r>
        <w:t>r</w:t>
      </w:r>
      <w:r w:rsidRPr="00AB646F">
        <w:t xml:space="preserve">epresentation of </w:t>
      </w:r>
      <w:r>
        <w:t>e</w:t>
      </w:r>
      <w:r w:rsidRPr="00AB646F">
        <w:t xml:space="preserve">lectrochemical </w:t>
      </w:r>
      <w:r>
        <w:t>b</w:t>
      </w:r>
      <w:r w:rsidRPr="00AB646F">
        <w:t>iosensors</w:t>
      </w:r>
      <w:r>
        <w:t xml:space="preserve"> including different components</w:t>
      </w:r>
      <w:r w:rsidRPr="00AB646F">
        <w:t>.</w:t>
      </w:r>
    </w:p>
    <w:p w:rsidR="007B25EC" w:rsidRPr="00AB646F" w:rsidRDefault="007B25EC" w:rsidP="007B25EC">
      <w:pPr>
        <w:pStyle w:val="ThesisText"/>
      </w:pPr>
      <w:r w:rsidRPr="00AB646F">
        <w:t xml:space="preserve">Nanomaterials electrical signal amplifiers have a tremendous potential to increase </w:t>
      </w:r>
      <w:r>
        <w:t xml:space="preserve">the </w:t>
      </w:r>
      <w:r w:rsidRPr="00AB646F">
        <w:t>efficiency and selectivity in the area of electrochemical sensors and bio-sensors with their outstanding achievements in nanotechnology and nano-science</w:t>
      </w:r>
      <w:r>
        <w:t xml:space="preserve"> </w:t>
      </w:r>
      <w:r w:rsidR="003C7910" w:rsidRPr="00AB646F">
        <w:fldChar w:fldCharType="begin" w:fldLock="1"/>
      </w:r>
      <w:r w:rsidR="002929D8">
        <w:instrText>ADDIN CSL_CITATION {"citationItems":[{"id":"ITEM-1","itemData":{"DOI":"10.1002/cphc.200400193","ISSN":"1439-4235","author":[{"dropping-particle":"","family":"Katz","given":"Eugenii","non-dropping-particle":"","parse-names":false,"suffix":""},{"dropping-particle":"","family":"Willner","given":"Itamar","non-dropping-particle":"","parse-names":false,"suffix":""}],"container-title":"ChemPhysChem","id":"ITEM-1","issue":"8","issued":{"date-parts":[["2004","8","20"]]},"page":"1084-1104","title":"Biomolecule-Functionalized Carbon Nanotubes: Applications in Nanobioelectronics","type":"article-journal","volume":"5"},"uris":["http://www.mendeley.com/documents/?uuid=bb98c119-1e07-4534-b179-4e32a1844ea3"]}],"mendeley":{"formattedCitation":"&lt;sup&gt;4&lt;/sup&gt;","plainTextFormattedCitation":"4","previouslyFormattedCitation":"&lt;sup&gt;4&lt;/sup&gt;"},"properties":{"noteIndex":0},"schema":"https://github.com/citation-style-language/schema/raw/master/csl-citation.json"}</w:instrText>
      </w:r>
      <w:r w:rsidR="003C7910" w:rsidRPr="00AB646F">
        <w:fldChar w:fldCharType="separate"/>
      </w:r>
      <w:r w:rsidRPr="007B25EC">
        <w:rPr>
          <w:noProof/>
          <w:vertAlign w:val="superscript"/>
        </w:rPr>
        <w:t>4</w:t>
      </w:r>
      <w:r w:rsidR="003C7910" w:rsidRPr="00AB646F">
        <w:fldChar w:fldCharType="end"/>
      </w:r>
      <w:r>
        <w:t xml:space="preserve">. </w:t>
      </w:r>
      <w:r w:rsidR="00B10859" w:rsidRPr="00A840A2">
        <w:t>The development of several research concepts for high-level electrochemical sensing frameworks for the identification of target molecules is widely known to have been significantly aided by the electrode materials, which are also well recognised for this</w:t>
      </w:r>
      <w:r w:rsidR="00B10859" w:rsidRPr="00B10859">
        <w:rPr>
          <w:color w:val="0000FF"/>
        </w:rPr>
        <w:t>.</w:t>
      </w:r>
      <w:r w:rsidR="003C7910" w:rsidRPr="00AB646F">
        <w:fldChar w:fldCharType="begin" w:fldLock="1"/>
      </w:r>
      <w:r w:rsidR="002929D8">
        <w:instrText>ADDIN CSL_CITATION {"citationItems":[{"id":"ITEM-1","itemData":{"DOI":"10.1016/S0003-2670(01)01399-X","ISSN":"00032670","author":[{"dropping-particle":"","family":"Wang","given":"Joseph","non-dropping-particle":"","parse-names":false,"suffix":""}],"container-title":"Analytica Chimica Acta","id":"ITEM-1","issue":"1","issued":{"date-parts":[["2002","9"]]},"page":"63-71","title":"Electrochemical nucleic acid biosensors","type":"article-journal","volume":"469"},"uris":["http://www.mendeley.com/documents/?uuid=39c2f0cf-633a-4aba-8163-27c1ed4929fe"]},{"id":"ITEM-2","itemData":{"DOI":"10.1039/c2cc34706g","ISSN":"1359-7345","author":[{"dropping-particle":"","family":"Hahn","given":"Yoon-bong","non-dropping-particle":"","parse-names":false,"suffix":""},{"dropping-particle":"","family":"Ahmad","given":"Rafiq","non-dropping-particle":"","parse-names":false,"suffix":""},{"dropping-particle":"","family":"Tripathy","given":"Nirmalya","non-dropping-particle":"","parse-names":false,"suffix":""}],"container-title":"Chemical Communications","id":"ITEM-2","issue":"84","issued":{"date-parts":[["2012"]]},"page":"10369-10385","title":"Chemical and biological sensors based on metal oxide nanostructures","type":"article-journal","volume":"48"},"uris":["http://www.mendeley.com/documents/?uuid=69822748-0959-442c-9c54-c3714709161e"]},{"id":"ITEM-3","itemData":{"DOI":"10.1016/j.tibtech.2011.01.008","ISSN":"0167-7799","abstract":"Graphene is the basic building block of 0D fullerene, 1D carbon nanotubes, and 3D graphite. Graphene has a unique planar structure, as well as novel electronic properties, which have attracted great interests from scientists. This review selectively analyzes current advances in the field of graphene bioapplications. In particular, the biofunctionalization of graphene for biological applications, fluorescence-resonance-energy-transfer-based biosensor development by using graphene or graphene-based nanomaterials, and the investigation of graphene or graphene-based nanomaterials for living cell studies are summarized in more detail. Future perspectives and possible challenges in this rapidly developing area are also discussed. © 2011 Elsevier Ltd.","author":[{"dropping-particle":"","family":"Wang","given":"Ying","non-dropping-particle":"","parse-names":false,"suffix":""},{"dropping-particle":"","family":"Li","given":"Zhaohui","non-dropping-particle":"","parse-names":false,"suffix":""},{"dropping-particle":"","family":"Wang","given":"Jun","non-dropping-particle":"","parse-names":false,"suffix":""},{"dropping-particle":"","family":"Li","given":"Jinghong","non-dropping-particle":"","parse-names":false,"suffix":""},{"dropping-particle":"","family":"Lin","given":"Yuehe","non-dropping-particle":"","parse-names":false,"suffix":""}],"container-title":"Trends in Biotechnology","id":"ITEM-3","issue":"5","issued":{"date-parts":[["2011","5"]]},"page":"205-212","publisher":"Elsevier Ltd","title":"Graphene and graphene oxide : biofunctionalization and applications in biotechnology","type":"article-journal","volume":"29"},"uris":["http://www.mendeley.com/documents/?uuid=cce86694-5970-42e4-8204-c3367700ba39"]},{"id":"ITEM-4","itemData":{"DOI":"10.1016/j.bios.2012.06.061","ISSN":"0956-5663","author":[{"dropping-particle":"","family":"Sharma","given":"Priyanka","non-dropping-particle":"","parse-names":false,"suffix":""},{"dropping-particle":"","family":"Tuteja","given":"Satish K","non-dropping-particle":"","parse-names":false,"suffix":""},{"dropping-particle":"","family":"Bhalla","given":"Vijayender","non-dropping-particle":"","parse-names":false,"suffix":""},{"dropping-particle":"","family":"Shekhawat","given":"G","non-dropping-particle":"","parse-names":false,"suffix":""},{"dropping-particle":"","family":"Dravid","given":"Vinayak P","non-dropping-particle":"","parse-names":false,"suffix":""},{"dropping-particle":"","family":"Suri","given":"C Raman","non-dropping-particle":"","parse-names":false,"suffix":""}],"container-title":"Biosensors and Bioelectronic","id":"ITEM-4","issue":"1","issued":{"date-parts":[["2013"]]},"page":"99-105","publisher":"Elsevier","title":"Biosensors and Bioelectronics Bio-functionalized graphene – graphene oxide nanocomposite based electrochemical immunosensing","type":"article-journal","volume":"39"},"uris":["http://www.mendeley.com/documents/?uuid=c86a6b78-cca6-462f-aa0a-5f08c5c84485"]}],"mendeley":{"formattedCitation":"&lt;sup&gt;5–8&lt;/sup&gt;","plainTextFormattedCitation":"5–8","previouslyFormattedCitation":"&lt;sup&gt;5–8&lt;/sup&gt;"},"properties":{"noteIndex":0},"schema":"https://github.com/citation-style-language/schema/raw/master/csl-citation.json"}</w:instrText>
      </w:r>
      <w:r w:rsidR="003C7910" w:rsidRPr="00AB646F">
        <w:fldChar w:fldCharType="separate"/>
      </w:r>
      <w:proofErr w:type="gramStart"/>
      <w:r w:rsidRPr="007B25EC">
        <w:rPr>
          <w:noProof/>
          <w:vertAlign w:val="superscript"/>
        </w:rPr>
        <w:t>5–8</w:t>
      </w:r>
      <w:r w:rsidR="003C7910" w:rsidRPr="00AB646F">
        <w:fldChar w:fldCharType="end"/>
      </w:r>
      <w:r>
        <w:t>.</w:t>
      </w:r>
      <w:proofErr w:type="gramEnd"/>
      <w:r>
        <w:t xml:space="preserve"> </w:t>
      </w:r>
      <w:r w:rsidRPr="00AB646F">
        <w:t>Functional nanomaterials not only produce a synergistic effect between catalytic processes, conductivity, and biocompatibility to facilitate the transduction of a signal, but also to enhance bio recognition events by means of different signal tags leading to high-sensitivity biosensing</w:t>
      </w:r>
      <w:r>
        <w:t xml:space="preserve"> </w:t>
      </w:r>
      <w:r w:rsidR="003C7910" w:rsidRPr="00AB646F">
        <w:fldChar w:fldCharType="begin" w:fldLock="1"/>
      </w:r>
      <w:r w:rsidR="002929D8">
        <w:instrText>ADDIN CSL_CITATION {"citationItems":[{"id":"ITEM-1","itemData":{"DOI":"10.1016/j.carbon.2015.08.076","ISSN":"00086223","author":[{"dropping-particle":"","family":"Oliveira","given":"Sabrina F","non-dropping-particle":"","parse-names":false,"suffix":""},{"dropping-particle":"","family":"Bisker","given":"Gili","non-dropping-particle":"","parse-names":false,"suffix":""},{"dropping-particle":"","family":"Bakh","given":"Naveed A","non-dropping-particle":"","parse-names":false,"suffix":""},{"dropping-particle":"","family":"Gibbs","given":"Stephen L","non-dropping-particle":"","parse-names":false,"suffix":""},{"dropping-particle":"","family":"Landry","given":"Markita P","non-dropping-particle":"","parse-names":false,"suffix":""},{"dropping-particle":"","family":"Strano","given":"Michael S","non-dropping-particle":"","parse-names":false,"suffix":""}],"container-title":"Carbon","id":"ITEM-1","issued":{"date-parts":[["2015","12"]]},"page":"767-779","title":"Protein functionalized carbon nanomaterials for biomedical applications","type":"article-journal","volume":"95"},"uris":["http://www.mendeley.com/documents/?uuid=0e54f99a-7ac5-4be5-a316-091c5f6fcb9d"]}],"mendeley":{"formattedCitation":"&lt;sup&gt;2&lt;/sup&gt;","plainTextFormattedCitation":"2","previouslyFormattedCitation":"&lt;sup&gt;2&lt;/sup&gt;"},"properties":{"noteIndex":0},"schema":"https://github.com/citation-style-language/schema/raw/master/csl-citation.json"}</w:instrText>
      </w:r>
      <w:r w:rsidR="003C7910" w:rsidRPr="00AB646F">
        <w:fldChar w:fldCharType="separate"/>
      </w:r>
      <w:r w:rsidRPr="007B25EC">
        <w:rPr>
          <w:noProof/>
          <w:vertAlign w:val="superscript"/>
        </w:rPr>
        <w:t>2</w:t>
      </w:r>
      <w:r w:rsidR="003C7910" w:rsidRPr="00AB646F">
        <w:fldChar w:fldCharType="end"/>
      </w:r>
      <w:r>
        <w:t xml:space="preserve">. </w:t>
      </w:r>
      <w:r w:rsidRPr="00AB646F">
        <w:t>In addition to various electrochemical approaches extensive research is advancing the broad application of electrochemical tools in the design of the practical electrode materials.</w:t>
      </w:r>
      <w:r>
        <w:t xml:space="preserve"> </w:t>
      </w:r>
      <w:r w:rsidRPr="00AB646F">
        <w:t xml:space="preserve">For instance, Walcarius et al. also referred to recent advances in </w:t>
      </w:r>
      <w:r w:rsidRPr="00AB646F">
        <w:lastRenderedPageBreak/>
        <w:t xml:space="preserve">the logical design of bifunctional electrodes as well as related biometric sensing systems with </w:t>
      </w:r>
      <w:r>
        <w:t>n</w:t>
      </w:r>
      <w:r w:rsidRPr="00AB646F">
        <w:t>ano-engineered and/or nanostructure materials</w:t>
      </w:r>
      <w:r>
        <w:t xml:space="preserve"> </w:t>
      </w:r>
      <w:r w:rsidR="003C7910" w:rsidRPr="00AB646F">
        <w:fldChar w:fldCharType="begin" w:fldLock="1"/>
      </w:r>
      <w:r w:rsidR="002929D8">
        <w:instrText>ADDIN CSL_CITATION {"citationItems":[{"id":"ITEM-1","itemData":{"DOI":"10.1039/c3cs60479a","ISSN":"0306-0012","author":[{"dropping-particle":"","family":"Zeng","given":"Shuwen","non-dropping-particle":"","parse-names":false,"suffix":""},{"dropping-particle":"","family":"Baillargeat","given":"Dominique","non-dropping-particle":"","parse-names":false,"suffix":""},{"dropping-particle":"","family":"Ho","given":"Ho-pui","non-dropping-particle":"","parse-names":false,"suffix":""},{"dropping-particle":"","family":"Yong","given":"Ken-tye","non-dropping-particle":"","parse-names":false,"suffix":""}],"container-title":"Chemical Society Reviews","id":"ITEM-1","issue":"10","issued":{"date-parts":[["2014"]]},"page":"3426","title":"Nanomaterials enhanced surface plasmon resonance for biological and chemical sensing applications","type":"article-journal","volume":"43"},"uris":["http://www.mendeley.com/documents/?uuid=eb3ee3be-8332-4e93-a868-376bd6c0ad19"]}],"mendeley":{"formattedCitation":"&lt;sup&gt;9&lt;/sup&gt;","plainTextFormattedCitation":"9","previouslyFormattedCitation":"&lt;sup&gt;9&lt;/sup&gt;"},"properties":{"noteIndex":0},"schema":"https://github.com/citation-style-language/schema/raw/master/csl-citation.json"}</w:instrText>
      </w:r>
      <w:r w:rsidR="003C7910" w:rsidRPr="00AB646F">
        <w:fldChar w:fldCharType="separate"/>
      </w:r>
      <w:r w:rsidRPr="007B25EC">
        <w:rPr>
          <w:noProof/>
          <w:vertAlign w:val="superscript"/>
        </w:rPr>
        <w:t>9</w:t>
      </w:r>
      <w:r w:rsidR="003C7910" w:rsidRPr="00AB646F">
        <w:fldChar w:fldCharType="end"/>
      </w:r>
      <w:r>
        <w:t xml:space="preserve">. </w:t>
      </w:r>
      <w:r w:rsidR="00B10859" w:rsidRPr="00A840A2">
        <w:t>The attraction of such nanomaterials is based on their ability to operate as efficient immobilisation matrices as well as their inherent and unique properties</w:t>
      </w:r>
      <w:r w:rsidRPr="00A840A2">
        <w:t>.</w:t>
      </w:r>
      <w:r w:rsidRPr="00B10859">
        <w:rPr>
          <w:color w:val="0000FF"/>
        </w:rPr>
        <w:t xml:space="preserve"> </w:t>
      </w:r>
      <w:r w:rsidRPr="00AB646F">
        <w:t>Such properties together with biomolecular processing lead</w:t>
      </w:r>
      <w:r>
        <w:t>ing</w:t>
      </w:r>
      <w:r w:rsidRPr="00AB646F">
        <w:t xml:space="preserve"> to improve the performance of bio electrodes with respect to sensitivity and specificity</w:t>
      </w:r>
      <w:r>
        <w:t xml:space="preserve"> </w:t>
      </w:r>
      <w:r w:rsidR="003C7910" w:rsidRPr="00AB646F">
        <w:fldChar w:fldCharType="begin" w:fldLock="1"/>
      </w:r>
      <w:r w:rsidR="002929D8">
        <w:instrText>ADDIN CSL_CITATION {"citationItems":[{"id":"ITEM-1","itemData":{"DOI":"10.1021/acs.jchemed.5b00333","ISSN":"0021-9584","author":[{"dropping-particle":"","family":"Schmidt-Rohr","given":"Klaus","non-dropping-particle":"","parse-names":false,"suffix":""}],"container-title":"Journal of Chemical Education","id":"ITEM-1","issue":"12","issued":{"date-parts":[["2015","12","8"]]},"page":"2094-2099","title":"Why Combustions Are Always Exothermic, Yielding About 418 kJ per Mole of O 2","type":"article-journal","volume":"92"},"uris":["http://www.mendeley.com/documents/?uuid=1657e982-3450-323d-9ccc-183c3876b3a5"]},{"id":"ITEM-2","itemData":{"DOI":"10.1016/j.jpowsour.2012.10.061","ISSN":"03787753","abstract":"A review of the experimental studies on passive and semi-passive direct methanol fuel cells (DMFCs) is conducted, with an emphasis on high concentration methanol and pure methanol. Key issues such as methanol transport, water management, oxygen transport, and carbon dioxide release in the DMFC are analyzed in detail. The design and fabrication, development approaches, challenges and opportunities on DMFCs passively fed with high concentration methanol are discussed. The advances of DMFC stacks and prototype developments are presented. Several unresolved issues and challenges in DMFCs are identified and reviewed in detail. © 2012 Published by Elsevier B.V. All rights reserved.","author":[{"dropping-particle":"","family":"Li","given":"Xianglin","non-dropping-particle":"","parse-names":false,"suffix":""},{"dropping-particle":"","family":"Faghri","given":"Amir","non-dropping-particle":"","parse-names":false,"suffix":""}],"container-title":"Journal of Power Sources","id":"ITEM-2","issued":{"date-parts":[["2013","3","15"]]},"page":"223-240","title":"Review and advances of direct methanol fuel cells (DMFCs) part I: Design, fabrication, and testing with high concentration methanol solutions","type":"article-journal","volume":"226"},"uris":["http://www.mendeley.com/documents/?uuid=d74cfdd9-d852-361c-b388-0a14a5a81cfe"]},{"id":"ITEM-3","itemData":{"DOI":"10.1016/j.ijhydene.2011.08.107","ISSN":"03603199","abstract":"Systematic experiments have been carried out to study the performance of the novel sodium titanate (Na 2Ti 3O 7) nanotube/Nafion ® composite membrane (5 wt% Na 2Ti 3O 7) in a single direct methanol fuel cell (DMFC) at different operating temperatures, methanol concentrations, air flow rates, methanol flow rates, and cathode humidification temperatures. The experimental results showed that the composite membrane outperform pure Nafion ® membranes with the same thickness, Nafion ®112, under all the operating conditions. Furthermore, under some operating conditions, the new composite membranes even outperform Nafion ®117, a much thicker membrane. These experimental results have proved that the new composite membrane is superior to pure Nafion ® membrane in DMFCs and the addition of Na 2Ti 3O 7 nanotubes into Nafion ® is an effective way to improve membrane performances. © 2011, Hydrogen Energy Publications, LLC. Published by Elsevier Ltd. All rights reserved.","author":[{"dropping-particle":"","family":"Wei","given":"Yongsheng","non-dropping-particle":"","parse-names":false,"suffix":""},{"dropping-particle":"","family":"Matar","given":"Saif","non-dropping-particle":"","parse-names":false,"suffix":""},{"dropping-particle":"","family":"Shen","given":"Liangbo","non-dropping-particle":"","parse-names":false,"suffix":""},{"dropping-particle":"","family":"Zhang","given":"Xinwei","non-dropping-particle":"","parse-names":false,"suffix":""},{"dropping-particle":"","family":"Guo","given":"Zhijun","non-dropping-particle":"","parse-names":false,"suffix":""},{"dropping-particle":"","family":"Zhu","given":"Hong","non-dropping-particle":"","parse-names":false,"suffix":""},{"dropping-particle":"","family":"Liu","given":"Hongtan","non-dropping-particle":"","parse-names":false,"suffix":""}],"container-title":"International Journal of Hydrogen Energy","id":"ITEM-3","issue":"2","issued":{"date-parts":[["2012","1"]]},"page":"1857-1864","title":"A novel membrane for DMFC – Na 2 Ti 3 O 7 Nanotubes/Nafion ® composite membrane: Performances studies","type":"article-journal","volume":"37"},"uris":["http://www.mendeley.com/documents/?uuid=a68a1073-6524-3300-903b-653516331388"]},{"id":"ITEM-4","itemData":{"DOI":"10.1016/j.electacta.2010.09.001","ISSN":"00134686","abstract":"The effects of cathode catalyst layer (CCL) thickness on the detrimental effect of methanol cross-over in a direct methanol fuel cell (DMFC) under various operating conditions are studied. Three membrane electrode assemblies (MEAs) with different CCL thicknesses but identical catalyst loading and identical anode catalyst layer are used. The results show that, when a thicker CCL, approximately twice the thickness of the base case, is used, the fuel cell performance increases significantly. The increase in performance with a thicker CCL is attributed to the oxidation of the methanol crossed-over in part of the catalyst layer and leaving the rest of the catalyst layer free from methanol contamination, leading to mitigations of the effects of mixed potentials. The results of electrochemical impedance spectroscopy (EIS) show that the charge transfer resistance for the fuel cell with twice the thickness of CCL is 30% lower compared to that for the base case, indicating that the active catalyst area available for oxygen reduction reaction (ORR) is indeed greater. The results of the electrochemical active surface areas (ECA) show that without methanol contamination, the ECA of the thicker CCL is actually lower, indicating that the better performance and the lower charge transfer resistance are not caused by a higher original ECA, but a higher active area for ORR. A much thicker CCL, about 5 times of that for the base case, is also used and the cell performance is also higher than that for the base case. The experimental results show that there exists an optimum cathode catalyst layer thickness and the thickness of cathode catalyst layer has a significant effect on DMFC performance. © 2010 Elsevier Ltd.","author":[{"dropping-particle":"","family":"Matar","given":"Saif","non-dropping-particle":"","parse-names":false,"suffix":""},{"dropping-particle":"","family":"Liu","given":"Hongtan","non-dropping-particle":"","parse-names":false,"suffix":""}],"container-title":"Electrochimica Acta","id":"ITEM-4","issue":"1","issued":{"date-parts":[["2010","12"]]},"page":"600-606","title":"Effect of cathode catalyst layer thickness on methanol cross-over in a DMFC","type":"article-journal","volume":"56"},"uris":["http://www.mendeley.com/documents/?uuid=23e6a713-c989-31b2-b4d5-c3b6eb8c1c85"]},{"id":"ITEM-5","itemData":{"DOI":"10.1016/j.jpowsour.2013.08.029","ISSN":"03787753","abstract":"The knowledge of where current density is higher, under the land or channel in a direct methanol fuel cell (DMFC) and the mechanisms are very important for flow-field design optimizations. Such information could also lead to solutions to mitigate methanol crossover and/or its effects. Therefore, a novel technique is used to directly measure the current density under the land and under the channel separately. In this method, the anode side of the cell is partially catalyzed depending on the area of interest, whereas the cathode side is always fully catalyzed. Experimental results show that, under all the operating conditions used, the current density under the land is always significantly higher than that under the channel. Under most operating conditions, the current density under the land is more than 100% higher than that under the channel, and sometimes, as high as three times higher in typical DMFC operating voltage ranges. Further study shows that one of the main causes for such a drastic difference is the much higher electrochemical active area (ECA) under the land. Additional experimental results also show the performance trends for the land or the channel at different methanol concentrations and different cathode reactants (air or oxygen). © 2013 Elsevier B.V. All rights reserved.","author":[{"dropping-particle":"","family":"Almheiri","given":"Saif","non-dropping-particle":"","parse-names":false,"suffix":""},{"dropping-particle":"","family":"Liu","given":"Hongtan","non-dropping-particle":"","parse-names":false,"suffix":""}],"container-title":"Journal of Power Sources","id":"ITEM-5","issued":{"date-parts":[["2014","1"]]},"page":"899-905","title":"Separate measurement of current density under land and channel in Direct Methanol Fuel Cells","type":"article-journal","volume":"246"},"uris":["http://www.mendeley.com/documents/?uuid=9dbceb26-ab9f-31ee-a35b-7aeee7cc5f90"]},{"id":"ITEM-6","itemData":{"DOI":"10.1016/j.apenergy.2015.02.002","ISSN":"03062619","abstract":"Fuel cells are one of the most efficient means of converting chemical energy into electrical energy. The major deterrents to the commercialisation of fuel cell technologies, especially for the transport sector, are the hydrogen storage and almost non-existence of hydrogen transportation and distribution infrastructure. The utilisation of bio-fuels such as methanol and ethanol instead of hydrogen as a fuel in fuel cells, not only reduces issues with fuel transportation and storage, but can also provide a CO2 neutral power generation technology and lead to a reduction in CO2 and other pollutants. In particular bioethanol is attractive as it is non-toxic, inexpensive, renewable and readily available. Currently around 90billionlitres per annum of ethanol is produced globally. It can be produced from a range of feedstock which includes sugar-cane, wheat, corn and low grade biomass such as woodchips, bagasse, waste from agro-industries, organic fractions from municipal waste or forestry residue. These factors make ethanol, especially when used with a low emission technology such as fuel cells, attractive from both an economic and environmental perspective. This has lead to a considerable interest in developing fuel cell systems operating directly on bioethanol. In this paper various types of direct ethanol fuel cells currently under development have been reviewed with emphasis on ethanol sources and production methods, cell construction materials, operating regime, cell and stack fabrication, performance and life time issues, technology status and market applications.","author":[{"dropping-particle":"","family":"Badwal","given":"S.P.S.","non-dropping-particle":"","parse-names":false,"suffix":""},{"dropping-particle":"","family":"Giddey","given":"S.","non-dropping-particle":"","parse-names":false,"suffix":""},{"dropping-particle":"","family":"Kulkarni","given":"A.","non-dropping-particle":"","parse-names":false,"suffix":""},{"dropping-particle":"","family":"Goel","given":"J.","non-dropping-particle":"","parse-names":false,"suffix":""},{"dropping-particle":"","family":"Basu","given":"S.","non-dropping-particle":"","parse-names":false,"suffix":""}],"container-title":"Applied Energy","id":"ITEM-6","issued":{"date-parts":[["2015","5","1"]]},"page":"80-103","publisher":"Elsevier Ltd","title":"Direct ethanol fuel cells for transport and stationary applications – A comprehensive review","type":"article-journal","volume":"145"},"uris":["http://www.mendeley.com/documents/?uuid=9b2838b9-e6fa-4eb9-85d8-b34739d37756"]},{"id":"ITEM-7","itemData":{"DOI":"10.1021/ac980956g","ISSN":"0003-2700","author":[{"dropping-particle":"","family":"Liu","given":"An-chiang","non-dropping-particle":"","parse-names":false,"suffix":""},{"dropping-particle":"","family":"Chen","given":"Der-chang","non-dropping-particle":"","parse-names":false,"suffix":""},{"dropping-particle":"","family":"Lin","given":"Chun-cheng","non-dropping-particle":"","parse-names":false,"suffix":""},{"dropping-particle":"","family":"Chou","given":"Hsien-hsin","non-dropping-particle":"","parse-names":false,"suffix":""},{"dropping-particle":"","family":"Chen","given":"Chun-hsien","non-dropping-particle":"","parse-names":false,"suffix":""}],"container-title":"Analytical Chemistry","id":"ITEM-7","issue":"8","issued":{"date-parts":[["1999","4"]]},"page":"1549-1552","title":"Application of Cysteine Monolayers for Electrochemical Determination of Sub-ppb Copper(II)","type":"article-journal","volume":"71"},"uris":["http://www.mendeley.com/documents/?uuid=2c82f920-8643-4d41-af9b-82c758e1cfe9"]},{"id":"ITEM-8","itemData":{"DOI":"10.1016/j.trac.2008.05.009","ISSN":"01659936","author":[{"dropping-particle":"","family":"Wang","given":"Jun","non-dropping-particle":"","parse-names":false,"suffix":""},{"dropping-particle":"","family":"Lin","given":"Yuehe","non-dropping-particle":"","parse-names":false,"suffix":""}],"container-title":"TrAC Trends in Analytical Chemistry","id":"ITEM-8","issue":"7","issued":{"date-parts":[["2008","7"]]},"page":"619-626","title":"Functionalized carbon nanotubes and nanofibers for biosensing applications","type":"article-journal","volume":"27"},"uris":["http://www.mendeley.com/documents/?uuid=e98f62d7-806d-4a81-b608-704b1d24d1da"]},{"id":"ITEM-9","itemData":{"DOI":"10.1021/acs.jchemed.8b00479","ISSN":"0021-9584","author":[{"dropping-particle":"","family":"Schmidt-Rohr","given":"Klaus","non-dropping-particle":"","parse-names":false,"suffix":""}],"container-title":"Journal of Chemical Education","id":"ITEM-9","issue":"10","issued":{"date-parts":[["2018","10","9"]]},"page":"1801-1810","title":"How Batteries Store and Release Energy: Explaining Basic Electrochemistry","type":"article-journal","volume":"95"},"uris":["http://www.mendeley.com/documents/?uuid=f8cbaecb-4d1e-35d3-add7-e992148c42cb"]}],"mendeley":{"formattedCitation":"&lt;sup&gt;10–18&lt;/sup&gt;","plainTextFormattedCitation":"10–18","previouslyFormattedCitation":"&lt;sup&gt;10–18&lt;/sup&gt;"},"properties":{"noteIndex":0},"schema":"https://github.com/citation-style-language/schema/raw/master/csl-citation.json"}</w:instrText>
      </w:r>
      <w:r w:rsidR="003C7910" w:rsidRPr="00AB646F">
        <w:fldChar w:fldCharType="separate"/>
      </w:r>
      <w:r w:rsidRPr="007B25EC">
        <w:rPr>
          <w:noProof/>
          <w:vertAlign w:val="superscript"/>
        </w:rPr>
        <w:t>10–18</w:t>
      </w:r>
      <w:r w:rsidR="003C7910" w:rsidRPr="00AB646F">
        <w:fldChar w:fldCharType="end"/>
      </w:r>
      <w:r>
        <w:t>.</w:t>
      </w:r>
      <w:r w:rsidRPr="00AB646F">
        <w:rPr>
          <w:b/>
        </w:rPr>
        <w:t xml:space="preserve"> Figure 1.</w:t>
      </w:r>
      <w:r>
        <w:rPr>
          <w:b/>
        </w:rPr>
        <w:t>6</w:t>
      </w:r>
      <w:r w:rsidRPr="00AB646F">
        <w:t xml:space="preserve"> shows the </w:t>
      </w:r>
      <w:r>
        <w:t>s</w:t>
      </w:r>
      <w:r w:rsidRPr="00AB646F">
        <w:t xml:space="preserve">chematic </w:t>
      </w:r>
      <w:r>
        <w:t>r</w:t>
      </w:r>
      <w:r w:rsidRPr="00AB646F">
        <w:t xml:space="preserve">epresentation of </w:t>
      </w:r>
      <w:r>
        <w:t>e</w:t>
      </w:r>
      <w:r w:rsidRPr="00AB646F">
        <w:t xml:space="preserve">lectrochemical </w:t>
      </w:r>
      <w:r>
        <w:t>b</w:t>
      </w:r>
      <w:r w:rsidRPr="00AB646F">
        <w:t>iosensors.</w:t>
      </w:r>
    </w:p>
    <w:p w:rsidR="007B25EC" w:rsidRDefault="007B25EC" w:rsidP="007B25EC">
      <w:pPr>
        <w:spacing w:line="360" w:lineRule="auto"/>
        <w:jc w:val="both"/>
        <w:rPr>
          <w:rFonts w:ascii="Times New Roman" w:hAnsi="Times New Roman" w:cs="Times New Roman"/>
          <w:b/>
          <w:sz w:val="24"/>
          <w:szCs w:val="24"/>
        </w:rPr>
      </w:pPr>
      <w:r w:rsidRPr="00040551">
        <w:rPr>
          <w:rFonts w:ascii="Times New Roman" w:hAnsi="Times New Roman" w:cs="Times New Roman"/>
          <w:b/>
          <w:sz w:val="24"/>
          <w:szCs w:val="24"/>
        </w:rPr>
        <w:t>1.</w:t>
      </w:r>
      <w:r w:rsidR="002657B4">
        <w:rPr>
          <w:rFonts w:ascii="Times New Roman" w:hAnsi="Times New Roman" w:cs="Times New Roman"/>
          <w:b/>
          <w:sz w:val="24"/>
          <w:szCs w:val="24"/>
        </w:rPr>
        <w:t>3</w:t>
      </w:r>
      <w:r w:rsidRPr="00040551">
        <w:rPr>
          <w:rFonts w:ascii="Times New Roman" w:hAnsi="Times New Roman" w:cs="Times New Roman"/>
          <w:b/>
          <w:sz w:val="24"/>
          <w:szCs w:val="24"/>
        </w:rPr>
        <w:t>.1. General mechanisms of electrochemical biosensing</w:t>
      </w:r>
    </w:p>
    <w:p w:rsidR="007B25EC" w:rsidRDefault="001D5A1A" w:rsidP="007B25EC">
      <w:pPr>
        <w:pStyle w:val="ThesisText"/>
        <w:ind w:firstLine="0"/>
      </w:pPr>
      <w:r w:rsidRPr="00502705">
        <w:t>An enzymatic catalytic process that uses or produces electrons often serves as the foundation of an electrochemical biosensor. Redox enzymes are the name given to these enzymes. The substrate of this biosensor normally includes three electrodes: a working electrode, a counter electrode, and a reference electrode.</w:t>
      </w:r>
      <w:r w:rsidR="003C7910">
        <w:fldChar w:fldCharType="begin" w:fldLock="1"/>
      </w:r>
      <w:r w:rsidR="002929D8">
        <w:instrText>ADDIN CSL_CITATION {"citationItems":[{"id":"ITEM-1","itemData":{"DOI":"10.1155/2013/731501","ISSN":"2090-2247","PMID":"24383001","abstract":"The exponentially growing population, with limited resources, has exerted an intense pressure on the agriculture sector. In order to achieve high productivity the use of pesticide has increased up to many folds. These pesticides contain organophosphorus (OP) toxic compounds which interfere with the proper functioning of enzyme acetylcholinesterase (AChE) and finally affect the central nervous system (CNS). So, there is a need for routine, continuous, on spot detection of OP compounds which are the main limitations associated with conventional analytical methods. AChE based enzymatic biosensors have been reported by researchers as the most promising tool for analysis of pesticide level to control toxicity and for environment conservation. The present review summarises AChE based biosensors by discussing their characteristic features in terms of fabrication, detection limit, linearity range, time of incubation, and storage stability. Use of nanoparticles in recently reported fabrication strategies has improved the efficiency of biosensors to a great extent making them more reliable and robust. © 2013 Vikas Dhull et al.","author":[{"dropping-particle":"","family":"Dhull","given":"Vikas","non-dropping-particle":"","parse-names":false,"suffix":""},{"dropping-particle":"","family":"Gahlaut","given":"Anjum","non-dropping-particle":"","parse-names":false,"suffix":""},{"dropping-particle":"","family":"Dilbaghi","given":"Neeraj","non-dropping-particle":"","parse-names":false,"suffix":""},{"dropping-particle":"","family":"Hooda","given":"Vikas","non-dropping-particle":"","parse-names":false,"suffix":""}],"container-title":"Biochemistry Research International","id":"ITEM-1","issued":{"date-parts":[["2013"]]},"page":"1-18","title":"Acetylcholinesterase Biosensors for Electrochemical Detection of Organophosphorus Compounds: A Review","type":"article-journal","volume":"2013"},"uris":["http://www.mendeley.com/documents/?uuid=f1a65266-ea59-394c-850d-66f45e3968b5"]}],"mendeley":{"formattedCitation":"&lt;sup&gt;19&lt;/sup&gt;","plainTextFormattedCitation":"19","previouslyFormattedCitation":"&lt;sup&gt;19&lt;/sup&gt;"},"properties":{"noteIndex":0},"schema":"https://github.com/citation-style-language/schema/raw/master/csl-citation.json"}</w:instrText>
      </w:r>
      <w:r w:rsidR="003C7910">
        <w:fldChar w:fldCharType="separate"/>
      </w:r>
      <w:r w:rsidR="007B25EC" w:rsidRPr="007B25EC">
        <w:rPr>
          <w:noProof/>
          <w:vertAlign w:val="superscript"/>
        </w:rPr>
        <w:t>19</w:t>
      </w:r>
      <w:r w:rsidR="003C7910">
        <w:fldChar w:fldCharType="end"/>
      </w:r>
      <w:r w:rsidR="007B25EC">
        <w:t>.</w:t>
      </w:r>
    </w:p>
    <w:p w:rsidR="007B25EC" w:rsidRDefault="007B25EC" w:rsidP="007B25EC">
      <w:pPr>
        <w:pStyle w:val="ThesisText"/>
        <w:ind w:firstLine="0"/>
        <w:jc w:val="center"/>
      </w:pPr>
      <w:r>
        <w:rPr>
          <w:noProof/>
        </w:rPr>
        <w:drawing>
          <wp:inline distT="0" distB="0" distL="0" distR="0">
            <wp:extent cx="4558261" cy="17063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569579" cy="1710616"/>
                    </a:xfrm>
                    <a:prstGeom prst="rect">
                      <a:avLst/>
                    </a:prstGeom>
                    <a:noFill/>
                  </pic:spPr>
                </pic:pic>
              </a:graphicData>
            </a:graphic>
          </wp:inline>
        </w:drawing>
      </w:r>
    </w:p>
    <w:p w:rsidR="007B25EC" w:rsidRDefault="002657B4" w:rsidP="007B25EC">
      <w:pPr>
        <w:pStyle w:val="ThesisFigCaption"/>
        <w:spacing w:line="276" w:lineRule="auto"/>
      </w:pPr>
      <w:r>
        <w:rPr>
          <w:b/>
        </w:rPr>
        <w:t>Figure 1.</w:t>
      </w:r>
      <w:r w:rsidR="007B25EC">
        <w:rPr>
          <w:b/>
        </w:rPr>
        <w:t>7</w:t>
      </w:r>
      <w:r w:rsidR="007B25EC" w:rsidRPr="001B644A">
        <w:rPr>
          <w:b/>
        </w:rPr>
        <w:t>:</w:t>
      </w:r>
      <w:r w:rsidR="007B25EC">
        <w:t xml:space="preserve"> Schematic representation of mechanistic path for electrochemical biosensor </w:t>
      </w:r>
    </w:p>
    <w:p w:rsidR="00502705" w:rsidRPr="00502705" w:rsidRDefault="001D5A1A" w:rsidP="00502705">
      <w:pPr>
        <w:spacing w:line="360" w:lineRule="auto"/>
        <w:rPr>
          <w:rFonts w:ascii="Times New Roman" w:eastAsiaTheme="minorHAnsi" w:hAnsi="Times New Roman" w:cs="Times New Roman"/>
          <w:color w:val="0000FF"/>
          <w:sz w:val="24"/>
          <w:szCs w:val="24"/>
        </w:rPr>
      </w:pPr>
      <w:r>
        <w:rPr>
          <w:rFonts w:ascii="Times New Roman" w:eastAsiaTheme="minorHAnsi" w:hAnsi="Times New Roman" w:cs="Times New Roman"/>
          <w:sz w:val="24"/>
          <w:szCs w:val="24"/>
        </w:rPr>
        <w:tab/>
      </w:r>
      <w:r w:rsidR="00502705" w:rsidRPr="00502705">
        <w:rPr>
          <w:rFonts w:ascii="Times New Roman" w:eastAsiaTheme="minorHAnsi" w:hAnsi="Times New Roman" w:cs="Times New Roman"/>
          <w:color w:val="0000FF"/>
          <w:sz w:val="24"/>
          <w:szCs w:val="24"/>
        </w:rPr>
        <w:t xml:space="preserve">The analyte is involved in the reaction that occurs on the surface of an active electrode, and this reaction may result in electron transfer across the dual layer potential. It is possible to estimate the current at a given potential. </w:t>
      </w:r>
    </w:p>
    <w:p w:rsidR="007B25EC" w:rsidRPr="00454F96" w:rsidRDefault="007B25EC" w:rsidP="007B25EC">
      <w:pPr>
        <w:spacing w:after="0" w:line="360" w:lineRule="auto"/>
        <w:jc w:val="both"/>
        <w:rPr>
          <w:rFonts w:ascii="Times New Roman" w:hAnsi="Times New Roman" w:cs="Times New Roman"/>
          <w:b/>
          <w:sz w:val="28"/>
          <w:szCs w:val="28"/>
        </w:rPr>
      </w:pPr>
      <w:r w:rsidRPr="00454F96">
        <w:rPr>
          <w:rFonts w:ascii="Times New Roman" w:hAnsi="Times New Roman" w:cs="Times New Roman"/>
          <w:b/>
          <w:sz w:val="28"/>
          <w:szCs w:val="28"/>
        </w:rPr>
        <w:t>1.</w:t>
      </w:r>
      <w:r w:rsidR="002657B4">
        <w:rPr>
          <w:rFonts w:ascii="Times New Roman" w:hAnsi="Times New Roman" w:cs="Times New Roman"/>
          <w:b/>
          <w:sz w:val="28"/>
          <w:szCs w:val="28"/>
        </w:rPr>
        <w:t>4</w:t>
      </w:r>
      <w:r>
        <w:rPr>
          <w:rFonts w:ascii="Times New Roman" w:hAnsi="Times New Roman" w:cs="Times New Roman"/>
          <w:b/>
          <w:sz w:val="28"/>
          <w:szCs w:val="28"/>
        </w:rPr>
        <w:t>.</w:t>
      </w:r>
      <w:r w:rsidRPr="00454F96">
        <w:rPr>
          <w:rFonts w:ascii="Times New Roman" w:hAnsi="Times New Roman" w:cs="Times New Roman"/>
          <w:b/>
          <w:sz w:val="28"/>
          <w:szCs w:val="28"/>
        </w:rPr>
        <w:t xml:space="preserve"> Water Spitting</w:t>
      </w:r>
      <w:r>
        <w:rPr>
          <w:rFonts w:ascii="Times New Roman" w:hAnsi="Times New Roman" w:cs="Times New Roman"/>
          <w:b/>
          <w:sz w:val="28"/>
          <w:szCs w:val="28"/>
        </w:rPr>
        <w:t xml:space="preserve"> Reactions</w:t>
      </w:r>
    </w:p>
    <w:p w:rsidR="007B25EC" w:rsidRPr="00AB646F" w:rsidRDefault="007B25EC" w:rsidP="007B25EC">
      <w:pPr>
        <w:pStyle w:val="ThesisText"/>
        <w:spacing w:before="240"/>
        <w:ind w:firstLine="0"/>
      </w:pPr>
      <w:r w:rsidRPr="00AB646F">
        <w:t>The fields of science and engineering have been trying in the past couple of decades to develop new and improved types of energy technologies capable of improving life worldwide.</w:t>
      </w:r>
      <w:r>
        <w:t xml:space="preserve"> Accordingly</w:t>
      </w:r>
      <w:r w:rsidRPr="00AB646F">
        <w:t xml:space="preserve"> scientists and engineers have been developing nanotechnology </w:t>
      </w:r>
      <w:r>
        <w:t xml:space="preserve">based </w:t>
      </w:r>
      <w:r w:rsidRPr="00AB646F">
        <w:t xml:space="preserve">energy </w:t>
      </w:r>
      <w:r>
        <w:t>resources</w:t>
      </w:r>
      <w:r w:rsidRPr="00AB646F">
        <w:t xml:space="preserve"> to make the next step forward from current technological generation.</w:t>
      </w:r>
      <w:r>
        <w:t xml:space="preserve"> </w:t>
      </w:r>
      <w:r w:rsidRPr="00AB646F">
        <w:t xml:space="preserve">New fields in research, nanotechnology, are any development that contains components smaller </w:t>
      </w:r>
      <w:proofErr w:type="gramStart"/>
      <w:r w:rsidRPr="00AB646F">
        <w:t xml:space="preserve">than a hundred </w:t>
      </w:r>
      <w:r w:rsidRPr="00AB646F">
        <w:lastRenderedPageBreak/>
        <w:t>nanometer</w:t>
      </w:r>
      <w:proofErr w:type="gramEnd"/>
      <w:r w:rsidRPr="00AB646F">
        <w:t>. A single part of the virus has a diameter of about 100 nanometers.</w:t>
      </w:r>
      <w:r>
        <w:t xml:space="preserve"> </w:t>
      </w:r>
      <w:r w:rsidRPr="00AB646F">
        <w:t>Nanofabrication is a significant energy-related subfield of nanotechnology.</w:t>
      </w:r>
      <w:r>
        <w:t xml:space="preserve"> </w:t>
      </w:r>
      <w:r w:rsidRPr="00AB646F">
        <w:t>Nano-manufacturing is the design and development phase on the nanoscale of products. Making devices smaller than 100 nanometers opens up several possibilities for developing new methods of energy capture, storage and transition.</w:t>
      </w:r>
      <w:r>
        <w:t xml:space="preserve"> </w:t>
      </w:r>
      <w:r w:rsidRPr="00AB646F">
        <w:t>The level of control that nanoscience and engineers would obtain from nanofabrication would be crucial to the capacity to deal with many of the world's problems today related to energy technologies currently being developed.</w:t>
      </w:r>
      <w:r>
        <w:t xml:space="preserve"> </w:t>
      </w:r>
      <w:r w:rsidRPr="00AB646F">
        <w:t>Scientists and engineers have already started developing strategies to use nanotechnology for producing consumer products.</w:t>
      </w:r>
      <w:r>
        <w:t xml:space="preserve"> </w:t>
      </w:r>
      <w:r w:rsidRPr="00AB646F">
        <w:t>The advantages of the construction of these goods include improved lighting and heating performance, enhanced power storage capacity and decreased emissions as a consequence of energy consumption.</w:t>
      </w:r>
      <w:r>
        <w:t xml:space="preserve"> </w:t>
      </w:r>
      <w:r w:rsidRPr="00AB646F">
        <w:t>Such benefits make capital spending a top priority in nanotechnology research and development.</w:t>
      </w:r>
      <w:r>
        <w:t xml:space="preserve"> </w:t>
      </w:r>
      <w:r w:rsidRPr="00AB646F">
        <w:t>The constantly rising energy demand and through emissions require tremendous efforts to find sustainable and economically beneficial clean and renewable energy resources</w:t>
      </w:r>
      <w:r w:rsidRPr="00E77522">
        <w:t xml:space="preserve">. In </w:t>
      </w:r>
      <w:r w:rsidRPr="00E77522">
        <w:rPr>
          <w:b/>
        </w:rPr>
        <w:t>Figure 1.</w:t>
      </w:r>
      <w:r>
        <w:rPr>
          <w:b/>
        </w:rPr>
        <w:t>8</w:t>
      </w:r>
      <w:r w:rsidRPr="00E77522">
        <w:rPr>
          <w:b/>
        </w:rPr>
        <w:t xml:space="preserve"> </w:t>
      </w:r>
      <w:r w:rsidR="00490EAD" w:rsidRPr="008C3FAF">
        <w:t>show</w:t>
      </w:r>
      <w:r w:rsidRPr="00E77522">
        <w:rPr>
          <w:b/>
        </w:rPr>
        <w:t xml:space="preserve"> s</w:t>
      </w:r>
      <w:r w:rsidRPr="00E77522">
        <w:t>chematic representation of water splitting reaction.</w:t>
      </w:r>
    </w:p>
    <w:p w:rsidR="007B25EC" w:rsidRPr="00AB646F" w:rsidRDefault="007B25EC" w:rsidP="007B25EC">
      <w:pPr>
        <w:spacing w:line="360" w:lineRule="auto"/>
        <w:jc w:val="center"/>
        <w:rPr>
          <w:rFonts w:ascii="Times New Roman" w:hAnsi="Times New Roman" w:cs="Times New Roman"/>
          <w:b/>
          <w:sz w:val="24"/>
          <w:szCs w:val="24"/>
        </w:rPr>
      </w:pPr>
      <w:r w:rsidRPr="00AB646F">
        <w:rPr>
          <w:rFonts w:ascii="Times New Roman" w:hAnsi="Times New Roman" w:cs="Times New Roman"/>
          <w:b/>
          <w:sz w:val="24"/>
          <w:szCs w:val="24"/>
        </w:rPr>
        <w:t>2 H</w:t>
      </w:r>
      <w:r w:rsidRPr="00AB646F">
        <w:rPr>
          <w:rFonts w:ascii="Times New Roman" w:hAnsi="Times New Roman" w:cs="Times New Roman"/>
          <w:b/>
          <w:sz w:val="24"/>
          <w:szCs w:val="24"/>
          <w:vertAlign w:val="subscript"/>
        </w:rPr>
        <w:t>2</w:t>
      </w:r>
      <w:r w:rsidRPr="00AB646F">
        <w:rPr>
          <w:rFonts w:ascii="Times New Roman" w:hAnsi="Times New Roman" w:cs="Times New Roman"/>
          <w:b/>
          <w:sz w:val="24"/>
          <w:szCs w:val="24"/>
        </w:rPr>
        <w:t>O → O</w:t>
      </w:r>
      <w:r w:rsidRPr="00AB646F">
        <w:rPr>
          <w:rFonts w:ascii="Times New Roman" w:hAnsi="Times New Roman" w:cs="Times New Roman"/>
          <w:b/>
          <w:sz w:val="24"/>
          <w:szCs w:val="24"/>
          <w:vertAlign w:val="subscript"/>
        </w:rPr>
        <w:t>2</w:t>
      </w:r>
      <w:r w:rsidRPr="00AB646F">
        <w:rPr>
          <w:rFonts w:ascii="Times New Roman" w:hAnsi="Times New Roman" w:cs="Times New Roman"/>
          <w:b/>
          <w:sz w:val="24"/>
          <w:szCs w:val="24"/>
        </w:rPr>
        <w:t>+ 2H</w:t>
      </w:r>
      <w:r w:rsidRPr="00AB646F">
        <w:rPr>
          <w:rFonts w:ascii="Times New Roman" w:hAnsi="Times New Roman" w:cs="Times New Roman"/>
          <w:b/>
          <w:sz w:val="24"/>
          <w:szCs w:val="24"/>
          <w:vertAlign w:val="subscript"/>
        </w:rPr>
        <w:t>2</w:t>
      </w:r>
    </w:p>
    <w:p w:rsidR="007B25EC" w:rsidRPr="00AB646F" w:rsidRDefault="007B25EC" w:rsidP="007B25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55185" cy="3190875"/>
            <wp:effectExtent l="19050" t="0" r="2515"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4455939" cy="3191415"/>
                    </a:xfrm>
                    <a:prstGeom prst="rect">
                      <a:avLst/>
                    </a:prstGeom>
                    <a:noFill/>
                  </pic:spPr>
                </pic:pic>
              </a:graphicData>
            </a:graphic>
          </wp:inline>
        </w:drawing>
      </w:r>
    </w:p>
    <w:p w:rsidR="007B25EC" w:rsidRPr="00AB646F" w:rsidRDefault="007B25EC" w:rsidP="007B25EC">
      <w:pPr>
        <w:pStyle w:val="ThesisFigCaption"/>
        <w:spacing w:line="276" w:lineRule="auto"/>
      </w:pPr>
      <w:r w:rsidRPr="00AB646F">
        <w:rPr>
          <w:b/>
        </w:rPr>
        <w:t>Figure 1.</w:t>
      </w:r>
      <w:r>
        <w:rPr>
          <w:b/>
        </w:rPr>
        <w:t>8</w:t>
      </w:r>
      <w:r w:rsidRPr="00AB646F">
        <w:rPr>
          <w:b/>
        </w:rPr>
        <w:t xml:space="preserve">: </w:t>
      </w:r>
      <w:r w:rsidRPr="00AB646F">
        <w:t>Schematic representation of water splitting reaction</w:t>
      </w:r>
      <w:r>
        <w:t xml:space="preserve"> involving </w:t>
      </w:r>
      <w:r w:rsidR="00502705">
        <w:t>OER and HER</w:t>
      </w:r>
      <w:r>
        <w:t xml:space="preserve"> at anode and cathodes respectively</w:t>
      </w:r>
      <w:r w:rsidRPr="00AB646F">
        <w:t>.</w:t>
      </w:r>
    </w:p>
    <w:p w:rsidR="007B25EC" w:rsidRPr="00A840A2" w:rsidRDefault="00152578" w:rsidP="007B25EC">
      <w:pPr>
        <w:pStyle w:val="ThesisText"/>
      </w:pPr>
      <w:r w:rsidRPr="00A840A2">
        <w:lastRenderedPageBreak/>
        <w:t>A hydrogen economy might be supported by the efficient and affordable splitting of photochemical water, which would represent a technical advance. Water splitting using pure water hasn't been shown in an industrially useful way, but the two component processes (H2 and O2 creation) are widely known</w:t>
      </w:r>
      <w:r w:rsidR="007B25EC" w:rsidRPr="00A840A2">
        <w:t xml:space="preserve">. </w:t>
      </w:r>
      <w:r w:rsidRPr="00A840A2">
        <w:t xml:space="preserve">However, seawater and other salt water splitting </w:t>
      </w:r>
      <w:proofErr w:type="gramStart"/>
      <w:r w:rsidRPr="00A840A2">
        <w:t>is</w:t>
      </w:r>
      <w:proofErr w:type="gramEnd"/>
      <w:r w:rsidRPr="00A840A2">
        <w:t xml:space="preserve"> used industrially to manufacture chlorine, and the waste hydrogen recovered makes up approximately 5% of the world's supply. While photosynthesis involves a water splitting variation, hydrogen is not produced.</w:t>
      </w:r>
      <w:r w:rsidR="007B25EC" w:rsidRPr="00A840A2">
        <w:t xml:space="preserve"> </w:t>
      </w:r>
      <w:r w:rsidRPr="00A840A2">
        <w:t>The reversal of how water splits is the foundation of the hydrogen fuel cell. A potentially useful method for the large-scale, extremely pure hydrogen synthesis is water electrolysis. Extensive study has been conducted on the electrocatalytic splitting of water accomplished by graphene-based hybrids, in which graphene serves several functions as an electroactive component and/or functional support</w:t>
      </w:r>
      <w:r w:rsidR="007B25EC" w:rsidRPr="00A840A2">
        <w:t>.</w:t>
      </w:r>
    </w:p>
    <w:p w:rsidR="007B25EC" w:rsidRPr="00AB646F" w:rsidRDefault="007B25EC" w:rsidP="007B25EC">
      <w:pPr>
        <w:pStyle w:val="ThesisText"/>
      </w:pPr>
      <w:r w:rsidRPr="00AB646F">
        <w:t xml:space="preserve">In this </w:t>
      </w:r>
      <w:r>
        <w:t>t</w:t>
      </w:r>
      <w:r w:rsidRPr="00AB646F">
        <w:t>hesis, we summarize</w:t>
      </w:r>
      <w:r>
        <w:t>s</w:t>
      </w:r>
      <w:r w:rsidRPr="00AB646F">
        <w:t xml:space="preserve"> the recent important progress in developing biomolecules based graphene hybrid electrocatalyst for water slitting, in particular highlighting amino acids functionalized </w:t>
      </w:r>
      <w:r>
        <w:t xml:space="preserve">graphene hybrids </w:t>
      </w:r>
      <w:r w:rsidRPr="00AB646F">
        <w:t>design strategies and graphene's function in electrocatalyst and/or support.</w:t>
      </w:r>
      <w:r>
        <w:t xml:space="preserve"> </w:t>
      </w:r>
      <w:r w:rsidRPr="00AB646F">
        <w:t xml:space="preserve">Ultimately, we are addressing remaining problems and future prospects in the design of water splitting </w:t>
      </w:r>
      <w:r>
        <w:t xml:space="preserve">by using </w:t>
      </w:r>
      <w:r w:rsidRPr="00AB646F">
        <w:t>hybrid graphic electrocatalyst.</w:t>
      </w:r>
    </w:p>
    <w:p w:rsidR="007B25EC" w:rsidRPr="00155E99" w:rsidRDefault="007B25EC" w:rsidP="007B25EC">
      <w:pPr>
        <w:spacing w:after="0" w:line="360" w:lineRule="auto"/>
        <w:jc w:val="both"/>
        <w:rPr>
          <w:rFonts w:ascii="Times New Roman" w:hAnsi="Times New Roman" w:cs="Times New Roman"/>
          <w:b/>
          <w:sz w:val="24"/>
          <w:szCs w:val="24"/>
        </w:rPr>
      </w:pPr>
      <w:r w:rsidRPr="00E753F9">
        <w:rPr>
          <w:rFonts w:ascii="Times New Roman" w:hAnsi="Times New Roman" w:cs="Times New Roman"/>
          <w:b/>
          <w:sz w:val="24"/>
          <w:szCs w:val="24"/>
        </w:rPr>
        <w:t>1.</w:t>
      </w:r>
      <w:r w:rsidR="002657B4">
        <w:rPr>
          <w:rFonts w:ascii="Times New Roman" w:hAnsi="Times New Roman" w:cs="Times New Roman"/>
          <w:b/>
          <w:sz w:val="24"/>
          <w:szCs w:val="24"/>
        </w:rPr>
        <w:t>4</w:t>
      </w:r>
      <w:r w:rsidRPr="00E753F9">
        <w:rPr>
          <w:rFonts w:ascii="Times New Roman" w:hAnsi="Times New Roman" w:cs="Times New Roman"/>
          <w:b/>
          <w:sz w:val="24"/>
          <w:szCs w:val="24"/>
        </w:rPr>
        <w:t>.1. General mechanisms of electrochemical water splitting (HER, OER)</w:t>
      </w:r>
    </w:p>
    <w:p w:rsidR="007B25EC" w:rsidRPr="00502705" w:rsidRDefault="001D5A1A" w:rsidP="007B25EC">
      <w:pPr>
        <w:pStyle w:val="ThesisText"/>
        <w:spacing w:before="240"/>
        <w:ind w:firstLine="0"/>
      </w:pPr>
      <w:r w:rsidRPr="00502705">
        <w:t>The most extensively researched catalytic technique of oxidising water prior, included the introduction of a chemical catalysis principle: electrolysis, the electrocatalysis of liquid water into hydrogen and oxygen using electricity.</w:t>
      </w:r>
      <w:r w:rsidR="003C7910" w:rsidRPr="00502705">
        <w:fldChar w:fldCharType="begin" w:fldLock="1"/>
      </w:r>
      <w:r w:rsidR="002929D8" w:rsidRPr="00502705">
        <w:instrText xml:space="preserve">ADDIN CSL_CITATION {"citationItems":[{"id":"ITEM-1","itemData":{"DOI":"10.1021/acsomega.7b00678","ISSN":"2470-1343","author":[{"dropping-particle":"","family":"Kumar","given":"Sriram","non-dropping-particle":"","parse-names":false,"suffix":""},{"dropping-particle":"","family":"Sahoo","given":"Prasanta Kumar","non-dropping-particle":"","parse-names":false,"suffix":""},{"dropping-particle":"","family":"Satpati","given":"Ashis Kumar","non-dropping-particle":"","parse-names":false,"suffix":""}],"container-title":"ACS Omega","id":"ITEM-1","issue":"11","issued":{"date-parts":[["2017","11","30"]]},"page":"7532-7545","title":"Electrochemical and SECM Investigation of MoS 2 /GO and MoS 2 /rGO Nanocomposite Materials for HER Electrocatalysis","type":"article-journal","volume":"2"},"uris":["http://www.mendeley.com/documents/?uuid=94a2a1aa-3046-4202-905b-a7723af78620"]},{"id":"ITEM-2","itemData":{"DOI":"10.1039/c7cp03914j","ISSN":"1463-9076","PMID":"28900635","abstract":" The outermost oxygen atoms of Co 3 O 4 particles participate in oxygen evolution via a surface oxygen exchange mechanism, as suggested by isotope labeling together with DEMS.  Understanding the mechanism underlying the oxygen evolution reaction (OER) on oxides is crucial for the development of many energy storage systems. Here, the mechanism of OER on a Co 3 O 4 spinel catalyst is investigated in alkaline media using 18 O-labeling combined with differential electrochemical mass spectrometry (DEMS). This work unravels the role of surface oxygen of the oxide in the OER. It is shown that in H 2 18 O-containing electrolyte the amount of 18 O 16 O evolved increases from cycle to cycle together with a concomitant decrease of the amount of 16 O 2 with each cycle before reaching a steady-state value. 18 O 16 O is also evolved from a H 2 16 O solution on a Co 3 O 4 electrode pre-treated in H 2 18 O-containing solution, indicating the formation of the 18 O-labeled oxide in the previous step. Therefore, the oxide layer takes part in OER via an oxygen exchange mechanism. The total number of oxygen atoms of the oxide participating in OER is 0.1 to 0.2% of the total oxide loading, corresponding to about 10–30% of the surface atoms; these represent the catalytically active sites. Moreover, the real surface area of the catalyst is estimated using different methods (namely the ball model, double layer capacitance method, redox peak method, isotope exchange), and compared to the BET data. The surface areas calculated from the BET data, ball model and redox peak method are similar for small particles, which indicates their smooth surface; however they are smaller than that estimated from double-layer capacitance. For larger particles, the much larger surface area estimated from the redox peak in comparison to that expected from the ball model seems to be due to their roughness. Thus, this work highlights the importance of probing the mechanism when investigating the OER activity of a catalyst. ","author":[{"dropping-particle":"","family":"Amin","given":"Hatem M.A. A.","non-dropping-particle":"","parse-names":false,"suffix":""},{"dropping-particle":"","family":"Baltruschat","given":"Helmut","non-dropping-particle":"","parse-names":false,"suffix":""}],"container-title":"Physical Chemistry Chemical Physics","id":"ITEM-2","issue":"37","issued":{"date-parts":[["2017","9","27"]]},"page":"25527-25536","publisher":"Royal Society of Chemistry","title":"How many surface atoms in Co 3 O 4 take part in oxygen evolution? Isotope labeling together with differential electrochemical mass spectrometry","type":"article-journal","volume":"19"},"uris":["http://www.mendeley.com/documents/?uuid=68ff569b-d4af-4548-946a-caf6066e45c1"]},{"id":"ITEM-3","itemData":{"DOI":"10.1002/admi.201700303","ISSN":"21967350","author":[{"dropping-particle":"","family":"Li","given":"Jing","non-dropping-particle":"","parse-names":false,"suffix":""},{"dropping-particle":"","family":"Kang","given":"Jiahao","non-dropping-particle":"","parse-names":false,"suffix":""},{"dropping-particle":"","family":"Cai","given":"Qian","non-dropping-particle":"","parse-names":false,"suffix":""},{"dropping-particle":"","family":"Hong","given":"Wenting","non-dropping-particle":"","parse-names":false,"suffix":""},{"dropping-particle":"","family":"Jian","given":"Chuanyong","non-dropping-particle":"","parse-names":false,"suffix":""},{"dropping-particle":"","family":"Liu","given":"Wei","non-dropping-particle":"","parse-names":false,"suffix":""},{"dropping-particle":"","family":"Banerjee","given":"Kaustav","non-dropping-particle":"","parse-names":false,"suffix":""}],"container-title":"Advanced Materials Interfaces","id":"ITEM-3","issue":"16","issued":{"date-parts":[["2017","8"]]},"page":"1700303","title":"Boosting Hydrogen Evolution Performance of MoS 2 by Band Structure Engineering","type":"article-journal","volume":"4"},"uris":["http://www.mendeley.com/documents/?uuid=293b819d-786c-4e52-b41f-f5e7d629ed12"]},{"id":"ITEM-4","itemData":{"ISSN":"09704140","abstract":"© Indian Institute of Science.A profound change has taken place in understanding surface electrochemistry during water-splitting reaction due to the accumulated knowledge over the past decades and supported by recent advances in spectroscopic techniques and high-performance quantum chemical simulations. The design of electrocatalysts has been improved due to better understanding of surface structures of electrocatalysts and their active sites. This review provides insights into both theoretical and experimental electrochemistry that are directed towards a better understanding of the rate-determining step of water splitting, i.e., oxygen evolution reaction (OER). The emphasis of this review is on the origin of the electrocatalytic activity of nanostructured catalysts toward the aforementioned reaction by correlating the electrode performance with their intrinsic electrochemical properties. Also, the design aspects of acidic- and alkaline-medium electrocatalysts is discussed from preliminary discussion on active site engineering to a more applied concern of achieving highly stable and active electrode fabrication. The design concerns while choosing a support for OER electrocatalyst has also been discussed. At the end, challenges in electrolyser designs and problems faced by the industry to commercialize the electrolyser in a cost-effective manner have been discussed.","author":[{"dropping-particle":"","family":"Saha","given":"Sulay","non-dropping-particle":"","parse-names":false,"suffix":""},{"dropping-particle":"","family":"Kishor","given":"Koshal","non-dropping-particle":"","parse-names":false,"suffix":""},{"dropping-particle":"","family":"Sivakumar","given":"Sri","non-dropping-particle":"","parse-names":false,"suffix":""},{"dropping-particle":"","family":"Pala","given":"Raj Ganesh S.","non-dropping-particle":"","parse-names":false,"suffix":""}],"container-title":"Journal of the Indian Institute of Science","id":"ITEM-4","issue":"4","issued":{"date-parts":[["2016"]]},"page":"325-349","title":"Models and mechanisms of oxygen evolution reaction on electrocatalytic surface","type":"article-journal","volume":"96"},"uris":["http://www.mendeley.com/documents/?uuid=c6439593-fc86-441a-a63f-3f03bb743c64"]},{"id":"ITEM-5","itemData":{"DOI":"10.1038/nnano.2015.48","ISSN":"17483395","abstract":"The oxygen reduction reaction (ORR) and oxygen evolution reaction (OER) are traditionally carried out with noble metals (such as Pt) and metal oxides (such as RuO₂ and MnO₂) as catalysts, respectively. However, these metal-based catalysts often suffer from multiple disadvantages, including high cost, low selectivity, poor stability and detrimental environmental effects. Here, we describe a mesoporous carbon foam co-doped with nitrogen and phosphorus that has a large surface area of </w:instrText>
      </w:r>
      <w:r w:rsidR="002929D8" w:rsidRPr="00502705">
        <w:rPr>
          <w:rFonts w:ascii="Cambria Math" w:hAnsi="Cambria Math" w:cs="Cambria Math"/>
        </w:rPr>
        <w:instrText>∼</w:instrText>
      </w:r>
      <w:r w:rsidR="002929D8" w:rsidRPr="00502705">
        <w:instrText>1,663 m(2) g(-1) and good electrocatalytic properties for both ORR and OER. This material was fabricated using a scalable, one-step process involving the pyrolysis of a polyaniline aerogel synthesized in the presence of phytic acid. We then tested the suitability of this N,P-doped carbon foam as an air electrode for primary and rechargeable Zn-air batteries. Primary batteries demonstrated an open-circuit potential of 1.48 V, a specific capacity of 735 mAh gZn(-1) (corresponding to an energy density of 835 Wh kgZn(-1)), a peak power density of 55 mW cm(-2), and stable operation for 240 h after mechanical recharging. Two-electrode rechargeable batteries could be cycled stably for 180 cycles at 2 mA cm(-2). We also examine the activity of our carbon foam for both OER and ORR independently, in a three-electrode configuration, and discuss ways in which the Zn-air battery can be further improved. Finally, our density functional theory calculations reveal that the N,P co-doping and graphene edge effects are essential for the bifunctional electrocatalytic activity of our material.","author":[{"dropping-particle":"","family":"Zhang","given":"Jintao","non-dropping-particle":"","parse-names":false,"suffix":""},{"dropping-particle":"","family":"Zhao","given":"Zhenghang","non-dropping-particle":"","parse-names":false,"suffix":""},{"dropping-particle":"","family":"Xia","given":"Zhenhai","non-dropping-particle":"","parse-names":false,"suffix":""},{"dropping-particle":"","family":"Dai","given":"Liming","non-dropping-particle":"","parse-names":false,"suffix":""}],"container-title":"Nature Nanotechnology","id":"ITEM-5","issue":"5","issued":{"date-parts":[["2015","5","6"]]},"page":"444-452","publisher":"Nature Publishing Group","title":"A metal-free bifunctional electrocatalyst for oxygen reduction and oxygen evolution reactions","type":"article-journal","volume":"10"},"uris":["http://www.mendeley.com/documents/?uuid=69147f07-3439-43dd-ac3a-effcaed0e919"]}],"mendeley":{"formattedCitation":"&lt;sup&gt;20–24&lt;/sup&gt;","plainTextFormattedCitation":"20–24","previouslyFormattedCitation":"&lt;sup&gt;20–24&lt;/sup&gt;"},"properties":{"noteIndex":0},"schema":"https://github.com/citation-style-language/schema/raw/master/csl-citation.json"}</w:instrText>
      </w:r>
      <w:r w:rsidR="003C7910" w:rsidRPr="00502705">
        <w:fldChar w:fldCharType="separate"/>
      </w:r>
      <w:r w:rsidR="007B25EC" w:rsidRPr="00502705">
        <w:rPr>
          <w:noProof/>
          <w:vertAlign w:val="superscript"/>
        </w:rPr>
        <w:t>20–24</w:t>
      </w:r>
      <w:r w:rsidR="003C7910" w:rsidRPr="00502705">
        <w:fldChar w:fldCharType="end"/>
      </w:r>
      <w:r w:rsidR="007B25EC" w:rsidRPr="00502705">
        <w:t xml:space="preserve"> </w:t>
      </w:r>
      <w:r w:rsidRPr="00502705">
        <w:t>The following equation describes the entire process that is catalyzed at the three-phase anode and cathode interface of the electrified solid, liquid, and gas</w:t>
      </w:r>
    </w:p>
    <w:p w:rsidR="007B25EC" w:rsidRPr="00AB646F" w:rsidRDefault="007B25EC" w:rsidP="007B25EC">
      <w:pPr>
        <w:spacing w:after="0" w:line="360" w:lineRule="auto"/>
        <w:jc w:val="center"/>
        <w:rPr>
          <w:rFonts w:ascii="Times New Roman" w:hAnsi="Times New Roman" w:cs="Times New Roman"/>
          <w:b/>
          <w:color w:val="002060"/>
          <w:sz w:val="24"/>
          <w:szCs w:val="24"/>
        </w:rPr>
      </w:pPr>
      <w:r w:rsidRPr="00AB646F">
        <w:rPr>
          <w:rFonts w:ascii="Times New Roman" w:hAnsi="Times New Roman" w:cs="Times New Roman"/>
          <w:b/>
          <w:color w:val="002060"/>
          <w:sz w:val="24"/>
          <w:szCs w:val="24"/>
        </w:rPr>
        <w:t>H</w:t>
      </w:r>
      <w:r w:rsidRPr="00AB646F">
        <w:rPr>
          <w:rFonts w:ascii="Times New Roman" w:hAnsi="Times New Roman" w:cs="Times New Roman"/>
          <w:b/>
          <w:color w:val="002060"/>
          <w:sz w:val="24"/>
          <w:szCs w:val="24"/>
          <w:vertAlign w:val="subscript"/>
        </w:rPr>
        <w:t>2</w:t>
      </w:r>
      <w:r w:rsidRPr="00AB646F">
        <w:rPr>
          <w:rFonts w:ascii="Times New Roman" w:hAnsi="Times New Roman" w:cs="Times New Roman"/>
          <w:b/>
          <w:color w:val="002060"/>
          <w:sz w:val="24"/>
          <w:szCs w:val="24"/>
        </w:rPr>
        <w:t>O</w:t>
      </w:r>
      <w:r w:rsidRPr="00AB646F">
        <w:rPr>
          <w:rFonts w:ascii="Times New Roman" w:hAnsi="Times New Roman" w:cs="Times New Roman"/>
          <w:b/>
          <w:color w:val="002060"/>
          <w:sz w:val="24"/>
          <w:szCs w:val="24"/>
          <w:vertAlign w:val="subscript"/>
        </w:rPr>
        <w:t xml:space="preserve"> (l)</w:t>
      </w:r>
      <w:r w:rsidRPr="00AB646F">
        <w:rPr>
          <w:rFonts w:ascii="Times New Roman" w:hAnsi="Times New Roman" w:cs="Times New Roman"/>
          <w:b/>
          <w:color w:val="002060"/>
          <w:sz w:val="24"/>
          <w:szCs w:val="24"/>
        </w:rPr>
        <w:t xml:space="preserve"> → H</w:t>
      </w:r>
      <w:r w:rsidRPr="00AB646F">
        <w:rPr>
          <w:rFonts w:ascii="Times New Roman" w:hAnsi="Times New Roman" w:cs="Times New Roman"/>
          <w:b/>
          <w:color w:val="002060"/>
          <w:sz w:val="24"/>
          <w:szCs w:val="24"/>
          <w:vertAlign w:val="subscript"/>
        </w:rPr>
        <w:t>2 (g)</w:t>
      </w:r>
      <w:r w:rsidRPr="00AB646F">
        <w:rPr>
          <w:rFonts w:ascii="Times New Roman" w:hAnsi="Times New Roman" w:cs="Times New Roman"/>
          <w:b/>
          <w:color w:val="002060"/>
          <w:sz w:val="24"/>
          <w:szCs w:val="24"/>
        </w:rPr>
        <w:t xml:space="preserve"> + ½ O</w:t>
      </w:r>
      <w:r>
        <w:rPr>
          <w:rFonts w:ascii="Times New Roman" w:hAnsi="Times New Roman" w:cs="Times New Roman"/>
          <w:b/>
          <w:color w:val="002060"/>
          <w:sz w:val="24"/>
          <w:szCs w:val="24"/>
          <w:vertAlign w:val="subscript"/>
        </w:rPr>
        <w:t xml:space="preserve">2 (g)      </w:t>
      </w:r>
      <w:r w:rsidRPr="00AB646F">
        <w:rPr>
          <w:rFonts w:ascii="Times New Roman" w:hAnsi="Times New Roman" w:cs="Times New Roman"/>
          <w:b/>
          <w:color w:val="002060"/>
          <w:sz w:val="24"/>
          <w:szCs w:val="24"/>
        </w:rPr>
        <w:t>(I)</w:t>
      </w:r>
    </w:p>
    <w:p w:rsidR="001D5A1A" w:rsidRPr="00502705" w:rsidRDefault="001D5A1A" w:rsidP="001D5A1A">
      <w:pPr>
        <w:spacing w:after="0" w:line="360" w:lineRule="auto"/>
        <w:jc w:val="both"/>
        <w:rPr>
          <w:rFonts w:ascii="Times New Roman" w:hAnsi="Times New Roman" w:cs="Times New Roman"/>
          <w:b/>
          <w:sz w:val="24"/>
          <w:szCs w:val="24"/>
        </w:rPr>
      </w:pPr>
      <w:r>
        <w:rPr>
          <w:rFonts w:ascii="Times New Roman" w:hAnsi="Times New Roman" w:cs="Times New Roman"/>
          <w:color w:val="0000FF"/>
          <w:sz w:val="24"/>
          <w:szCs w:val="24"/>
        </w:rPr>
        <w:tab/>
      </w:r>
      <w:r w:rsidRPr="00502705">
        <w:rPr>
          <w:rFonts w:ascii="Times New Roman" w:hAnsi="Times New Roman" w:cs="Times New Roman"/>
          <w:sz w:val="24"/>
          <w:szCs w:val="24"/>
        </w:rPr>
        <w:t>There are two half-cell redox processes involved in the electrochemic</w:t>
      </w:r>
      <w:r w:rsidR="00502705">
        <w:rPr>
          <w:rFonts w:ascii="Times New Roman" w:hAnsi="Times New Roman" w:cs="Times New Roman"/>
          <w:sz w:val="24"/>
          <w:szCs w:val="24"/>
        </w:rPr>
        <w:t>al water splitting process. The</w:t>
      </w:r>
      <w:r w:rsidRPr="00502705">
        <w:rPr>
          <w:rFonts w:ascii="Times New Roman" w:hAnsi="Times New Roman" w:cs="Times New Roman"/>
          <w:sz w:val="24"/>
          <w:szCs w:val="24"/>
        </w:rPr>
        <w:t xml:space="preserve"> HER, which is the mechanism by which the cathode is reduced, operates</w:t>
      </w:r>
    </w:p>
    <w:p w:rsidR="007B25EC" w:rsidRPr="00AB646F" w:rsidRDefault="007B25EC" w:rsidP="007B25EC">
      <w:pPr>
        <w:spacing w:after="0" w:line="360" w:lineRule="auto"/>
        <w:jc w:val="center"/>
        <w:rPr>
          <w:rFonts w:ascii="Times New Roman" w:hAnsi="Times New Roman" w:cs="Times New Roman"/>
          <w:b/>
          <w:color w:val="002060"/>
          <w:sz w:val="24"/>
          <w:szCs w:val="24"/>
        </w:rPr>
      </w:pPr>
      <w:r w:rsidRPr="00AB646F">
        <w:rPr>
          <w:rFonts w:ascii="Times New Roman" w:hAnsi="Times New Roman" w:cs="Times New Roman"/>
          <w:b/>
          <w:color w:val="002060"/>
          <w:sz w:val="24"/>
          <w:szCs w:val="24"/>
        </w:rPr>
        <w:t>2H</w:t>
      </w:r>
      <w:r w:rsidRPr="00AB646F">
        <w:rPr>
          <w:rFonts w:ascii="Times New Roman" w:hAnsi="Times New Roman" w:cs="Times New Roman"/>
          <w:b/>
          <w:color w:val="002060"/>
          <w:sz w:val="24"/>
          <w:szCs w:val="24"/>
          <w:vertAlign w:val="superscript"/>
        </w:rPr>
        <w:t>+</w:t>
      </w:r>
      <w:r w:rsidRPr="00AB646F">
        <w:rPr>
          <w:rFonts w:ascii="Times New Roman" w:hAnsi="Times New Roman" w:cs="Times New Roman"/>
          <w:b/>
          <w:color w:val="002060"/>
          <w:sz w:val="24"/>
          <w:szCs w:val="24"/>
        </w:rPr>
        <w:t xml:space="preserve"> → 2e</w:t>
      </w:r>
      <w:r w:rsidRPr="00AB646F">
        <w:rPr>
          <w:rFonts w:ascii="Times New Roman" w:hAnsi="Times New Roman" w:cs="Times New Roman"/>
          <w:b/>
          <w:color w:val="002060"/>
          <w:sz w:val="24"/>
          <w:szCs w:val="24"/>
          <w:vertAlign w:val="superscript"/>
        </w:rPr>
        <w:t>-</w:t>
      </w:r>
      <w:r w:rsidRPr="00AB646F">
        <w:rPr>
          <w:rFonts w:ascii="Times New Roman" w:hAnsi="Times New Roman" w:cs="Times New Roman"/>
          <w:b/>
          <w:color w:val="002060"/>
          <w:sz w:val="24"/>
          <w:szCs w:val="24"/>
        </w:rPr>
        <w:t xml:space="preserve"> + H</w:t>
      </w:r>
      <w:r w:rsidRPr="00AB646F">
        <w:rPr>
          <w:rFonts w:ascii="Times New Roman" w:hAnsi="Times New Roman" w:cs="Times New Roman"/>
          <w:b/>
          <w:color w:val="002060"/>
          <w:sz w:val="24"/>
          <w:szCs w:val="24"/>
          <w:vertAlign w:val="subscript"/>
        </w:rPr>
        <w:t>2</w:t>
      </w:r>
      <w:r w:rsidRPr="00AB646F">
        <w:rPr>
          <w:rFonts w:ascii="Times New Roman" w:hAnsi="Times New Roman" w:cs="Times New Roman"/>
          <w:b/>
          <w:color w:val="002060"/>
          <w:sz w:val="24"/>
          <w:szCs w:val="24"/>
        </w:rPr>
        <w:t xml:space="preserve">       (II)</w:t>
      </w:r>
    </w:p>
    <w:p w:rsidR="007355D4" w:rsidRPr="00502705" w:rsidRDefault="001D5A1A" w:rsidP="007355D4">
      <w:pPr>
        <w:spacing w:after="0" w:line="360" w:lineRule="auto"/>
        <w:jc w:val="both"/>
        <w:rPr>
          <w:rFonts w:ascii="Times New Roman" w:hAnsi="Times New Roman" w:cs="Times New Roman"/>
          <w:b/>
          <w:sz w:val="24"/>
          <w:szCs w:val="24"/>
        </w:rPr>
      </w:pPr>
      <w:r w:rsidRPr="00502705">
        <w:rPr>
          <w:rFonts w:ascii="Times New Roman" w:hAnsi="Times New Roman" w:cs="Times New Roman"/>
          <w:sz w:val="24"/>
          <w:szCs w:val="24"/>
        </w:rPr>
        <w:t xml:space="preserve">During the oxidation process </w:t>
      </w:r>
      <w:r w:rsidR="00502705">
        <w:rPr>
          <w:rFonts w:ascii="Times New Roman" w:hAnsi="Times New Roman" w:cs="Times New Roman"/>
          <w:sz w:val="24"/>
          <w:szCs w:val="24"/>
        </w:rPr>
        <w:t>OER</w:t>
      </w:r>
      <w:r w:rsidRPr="00502705">
        <w:rPr>
          <w:rFonts w:ascii="Times New Roman" w:hAnsi="Times New Roman" w:cs="Times New Roman"/>
          <w:sz w:val="24"/>
          <w:szCs w:val="24"/>
        </w:rPr>
        <w:t xml:space="preserve"> at the electrolyze anode. Per mole of water transformed, two electrons are transmitted per formula, or a total charge of 192 928 C (=2 F) across the electrocatalytic contact.</w:t>
      </w:r>
    </w:p>
    <w:p w:rsidR="007B25EC" w:rsidRPr="00AB646F" w:rsidRDefault="007B25EC" w:rsidP="007B25EC">
      <w:pPr>
        <w:spacing w:after="0" w:line="360" w:lineRule="auto"/>
        <w:jc w:val="center"/>
        <w:rPr>
          <w:rFonts w:ascii="Times New Roman" w:hAnsi="Times New Roman" w:cs="Times New Roman"/>
          <w:sz w:val="24"/>
          <w:szCs w:val="24"/>
        </w:rPr>
      </w:pPr>
      <w:r w:rsidRPr="00AB646F">
        <w:rPr>
          <w:rFonts w:ascii="Times New Roman" w:hAnsi="Times New Roman" w:cs="Times New Roman"/>
          <w:b/>
          <w:color w:val="002060"/>
          <w:sz w:val="24"/>
          <w:szCs w:val="24"/>
        </w:rPr>
        <w:lastRenderedPageBreak/>
        <w:t>H</w:t>
      </w:r>
      <w:r w:rsidRPr="00AB646F">
        <w:rPr>
          <w:rFonts w:ascii="Times New Roman" w:hAnsi="Times New Roman" w:cs="Times New Roman"/>
          <w:b/>
          <w:color w:val="002060"/>
          <w:sz w:val="24"/>
          <w:szCs w:val="24"/>
          <w:vertAlign w:val="subscript"/>
        </w:rPr>
        <w:t>2</w:t>
      </w:r>
      <w:r w:rsidRPr="00AB646F">
        <w:rPr>
          <w:rFonts w:ascii="Times New Roman" w:hAnsi="Times New Roman" w:cs="Times New Roman"/>
          <w:b/>
          <w:color w:val="002060"/>
          <w:sz w:val="24"/>
          <w:szCs w:val="24"/>
        </w:rPr>
        <w:t>O→ ½ O</w:t>
      </w:r>
      <w:r w:rsidRPr="00AB646F">
        <w:rPr>
          <w:rFonts w:ascii="Times New Roman" w:hAnsi="Times New Roman" w:cs="Times New Roman"/>
          <w:b/>
          <w:color w:val="002060"/>
          <w:sz w:val="24"/>
          <w:szCs w:val="24"/>
          <w:vertAlign w:val="subscript"/>
        </w:rPr>
        <w:t>2</w:t>
      </w:r>
      <w:r w:rsidRPr="00AB646F">
        <w:rPr>
          <w:rFonts w:ascii="Times New Roman" w:hAnsi="Times New Roman" w:cs="Times New Roman"/>
          <w:b/>
          <w:color w:val="002060"/>
          <w:sz w:val="24"/>
          <w:szCs w:val="24"/>
        </w:rPr>
        <w:t>+ 2H</w:t>
      </w:r>
      <w:r w:rsidRPr="00AB646F">
        <w:rPr>
          <w:rFonts w:ascii="Times New Roman" w:hAnsi="Times New Roman" w:cs="Times New Roman"/>
          <w:b/>
          <w:color w:val="002060"/>
          <w:sz w:val="24"/>
          <w:szCs w:val="24"/>
          <w:vertAlign w:val="superscript"/>
        </w:rPr>
        <w:t>+</w:t>
      </w:r>
      <w:r w:rsidRPr="00AB646F">
        <w:rPr>
          <w:rFonts w:ascii="Times New Roman" w:hAnsi="Times New Roman" w:cs="Times New Roman"/>
          <w:b/>
          <w:color w:val="002060"/>
          <w:sz w:val="24"/>
          <w:szCs w:val="24"/>
        </w:rPr>
        <w:t>+ 2e</w:t>
      </w:r>
      <w:r w:rsidRPr="00AB646F">
        <w:rPr>
          <w:rFonts w:ascii="Times New Roman" w:hAnsi="Times New Roman" w:cs="Times New Roman"/>
          <w:b/>
          <w:color w:val="002060"/>
          <w:sz w:val="24"/>
          <w:szCs w:val="24"/>
          <w:vertAlign w:val="superscript"/>
        </w:rPr>
        <w:t>-</w:t>
      </w:r>
      <w:r w:rsidRPr="00AB646F">
        <w:rPr>
          <w:rFonts w:ascii="Times New Roman" w:hAnsi="Times New Roman" w:cs="Times New Roman"/>
          <w:b/>
          <w:color w:val="002060"/>
          <w:sz w:val="24"/>
          <w:szCs w:val="24"/>
        </w:rPr>
        <w:t xml:space="preserve">   (III)</w:t>
      </w:r>
    </w:p>
    <w:p w:rsidR="007B25EC" w:rsidRPr="00AB646F" w:rsidRDefault="007B25EC" w:rsidP="007B25EC">
      <w:pPr>
        <w:spacing w:after="0" w:line="360" w:lineRule="auto"/>
        <w:ind w:firstLine="720"/>
        <w:jc w:val="both"/>
        <w:rPr>
          <w:rFonts w:ascii="Times New Roman" w:hAnsi="Times New Roman" w:cs="Times New Roman"/>
          <w:sz w:val="24"/>
          <w:szCs w:val="24"/>
        </w:rPr>
      </w:pPr>
      <w:r w:rsidRPr="00AB646F">
        <w:rPr>
          <w:rFonts w:ascii="Times New Roman" w:hAnsi="Times New Roman" w:cs="Times New Roman"/>
          <w:sz w:val="24"/>
          <w:szCs w:val="24"/>
        </w:rPr>
        <w:t xml:space="preserve">Electrochemical water splitting involves two concurrent catalytic half-cell reactions according to </w:t>
      </w:r>
      <w:r>
        <w:rPr>
          <w:rFonts w:ascii="Times New Roman" w:hAnsi="Times New Roman" w:cs="Times New Roman"/>
          <w:sz w:val="24"/>
          <w:szCs w:val="24"/>
        </w:rPr>
        <w:t>e</w:t>
      </w:r>
      <w:r w:rsidRPr="00AB646F">
        <w:rPr>
          <w:rFonts w:ascii="Times New Roman" w:hAnsi="Times New Roman" w:cs="Times New Roman"/>
          <w:sz w:val="24"/>
          <w:szCs w:val="24"/>
        </w:rPr>
        <w:t xml:space="preserve">quation (II) (HER) and </w:t>
      </w:r>
      <w:r>
        <w:rPr>
          <w:rFonts w:ascii="Times New Roman" w:hAnsi="Times New Roman" w:cs="Times New Roman"/>
          <w:sz w:val="24"/>
          <w:szCs w:val="24"/>
        </w:rPr>
        <w:t>e</w:t>
      </w:r>
      <w:r w:rsidRPr="00AB646F">
        <w:rPr>
          <w:rFonts w:ascii="Times New Roman" w:hAnsi="Times New Roman" w:cs="Times New Roman"/>
          <w:sz w:val="24"/>
          <w:szCs w:val="24"/>
        </w:rPr>
        <w:t>quation (III) (OER).</w:t>
      </w:r>
    </w:p>
    <w:p w:rsidR="007B25EC" w:rsidRPr="008A0AF2" w:rsidRDefault="007B25EC" w:rsidP="007B25EC">
      <w:pPr>
        <w:spacing w:before="240" w:after="0" w:line="360" w:lineRule="auto"/>
        <w:jc w:val="both"/>
        <w:rPr>
          <w:rFonts w:ascii="Times New Roman" w:hAnsi="Times New Roman" w:cs="Times New Roman"/>
          <w:b/>
          <w:sz w:val="28"/>
          <w:szCs w:val="28"/>
        </w:rPr>
      </w:pPr>
      <w:r w:rsidRPr="008A0AF2">
        <w:rPr>
          <w:rFonts w:ascii="Times New Roman" w:hAnsi="Times New Roman" w:cs="Times New Roman"/>
          <w:b/>
          <w:sz w:val="28"/>
          <w:szCs w:val="28"/>
        </w:rPr>
        <w:t>1.</w:t>
      </w:r>
      <w:r w:rsidR="002657B4">
        <w:rPr>
          <w:rFonts w:ascii="Times New Roman" w:hAnsi="Times New Roman" w:cs="Times New Roman"/>
          <w:b/>
          <w:sz w:val="28"/>
          <w:szCs w:val="28"/>
        </w:rPr>
        <w:t>5</w:t>
      </w:r>
      <w:r>
        <w:rPr>
          <w:rFonts w:ascii="Times New Roman" w:hAnsi="Times New Roman" w:cs="Times New Roman"/>
          <w:b/>
          <w:sz w:val="28"/>
          <w:szCs w:val="28"/>
        </w:rPr>
        <w:t>.</w:t>
      </w:r>
      <w:r w:rsidRPr="008A0AF2">
        <w:rPr>
          <w:rFonts w:ascii="Times New Roman" w:hAnsi="Times New Roman" w:cs="Times New Roman"/>
          <w:b/>
          <w:sz w:val="28"/>
          <w:szCs w:val="28"/>
        </w:rPr>
        <w:t xml:space="preserve"> Electroc</w:t>
      </w:r>
      <w:r>
        <w:rPr>
          <w:rFonts w:ascii="Times New Roman" w:hAnsi="Times New Roman" w:cs="Times New Roman"/>
          <w:b/>
          <w:sz w:val="28"/>
          <w:szCs w:val="28"/>
        </w:rPr>
        <w:t>atalytic</w:t>
      </w:r>
      <w:r w:rsidRPr="008A0AF2">
        <w:rPr>
          <w:rFonts w:ascii="Times New Roman" w:hAnsi="Times New Roman" w:cs="Times New Roman"/>
          <w:b/>
          <w:sz w:val="28"/>
          <w:szCs w:val="28"/>
        </w:rPr>
        <w:t xml:space="preserve"> Fuel Cell</w:t>
      </w:r>
      <w:r>
        <w:rPr>
          <w:rFonts w:ascii="Times New Roman" w:hAnsi="Times New Roman" w:cs="Times New Roman"/>
          <w:b/>
          <w:sz w:val="28"/>
          <w:szCs w:val="28"/>
        </w:rPr>
        <w:t xml:space="preserve"> </w:t>
      </w:r>
      <w:r w:rsidRPr="008A0AF2">
        <w:rPr>
          <w:rFonts w:ascii="Times New Roman" w:hAnsi="Times New Roman" w:cs="Times New Roman"/>
          <w:b/>
          <w:sz w:val="28"/>
          <w:szCs w:val="28"/>
        </w:rPr>
        <w:t xml:space="preserve">Reactions </w:t>
      </w:r>
    </w:p>
    <w:p w:rsidR="007B25EC" w:rsidRPr="00502705" w:rsidRDefault="00502705" w:rsidP="00502705">
      <w:pPr>
        <w:spacing w:line="360" w:lineRule="auto"/>
        <w:jc w:val="both"/>
        <w:rPr>
          <w:rFonts w:ascii="Times New Roman" w:eastAsiaTheme="minorHAnsi" w:hAnsi="Times New Roman" w:cs="Times New Roman"/>
          <w:sz w:val="24"/>
          <w:szCs w:val="24"/>
        </w:rPr>
      </w:pPr>
      <w:r w:rsidRPr="00502705">
        <w:rPr>
          <w:rFonts w:ascii="Times New Roman" w:eastAsiaTheme="minorHAnsi" w:hAnsi="Times New Roman" w:cs="Times New Roman"/>
          <w:sz w:val="24"/>
          <w:szCs w:val="24"/>
        </w:rPr>
        <w:t>A fuel cell is an electrochemical device that converts the chemical energy of a fuel (often hydrogen) and an oxidising agent (typically oxygen) into electrical energy via two redox reactions. The chemical energy in a battery is typically derived from metals and their ions or oxides that are already present in the battery, whereas fuel cells, with the exception of flow batteries, differ from other batteries in that they require a constant supply of fuel and oxygen (typically from air) to support the chemical reaction.</w:t>
      </w:r>
      <w:r w:rsidR="003C7910" w:rsidRPr="00502705">
        <w:rPr>
          <w:rFonts w:ascii="Times New Roman" w:hAnsi="Times New Roman" w:cs="Times New Roman"/>
          <w:sz w:val="24"/>
          <w:szCs w:val="24"/>
        </w:rPr>
        <w:fldChar w:fldCharType="begin" w:fldLock="1"/>
      </w:r>
      <w:r w:rsidR="002929D8" w:rsidRPr="00502705">
        <w:rPr>
          <w:rFonts w:ascii="Times New Roman" w:hAnsi="Times New Roman" w:cs="Times New Roman"/>
          <w:sz w:val="24"/>
          <w:szCs w:val="24"/>
        </w:rPr>
        <w:instrText>ADDIN CSL_CITATION {"citationItems":[{"id":"ITEM-1","itemData":{"DOI":"10.1016/j.apenergy.2015.02.002","ISSN":"03062619","abstract":"Fuel cells are one of the most efficient means of converting chemical energy into electrical energy. The major deterrents to the commercialisation of fuel cell technologies, especially for the transport sector, are the hydrogen storage and almost non-existence of hydrogen transportation and distribution infrastructure. The utilisation of bio-fuels such as methanol and ethanol instead of hydrogen as a fuel in fuel cells, not only reduces issues with fuel transportation and storage, but can also provide a CO2 neutral power generation technology and lead to a reduction in CO2 and other pollutants. In particular bioethanol is attractive as it is non-toxic, inexpensive, renewable and readily available. Currently around 90billionlitres per annum of ethanol is produced globally. It can be produced from a range of feedstock which includes sugar-cane, wheat, corn and low grade biomass such as woodchips, bagasse, waste from agro-industries, organic fractions from municipal waste or forestry residue. These factors make ethanol, especially when used with a low emission technology such as fuel cells, attractive from both an economic and environmental perspective. This has lead to a considerable interest in developing fuel cell systems operating directly on bioethanol. In this paper various types of direct ethanol fuel cells currently under development have been reviewed with emphasis on ethanol sources and production methods, cell construction materials, operating regime, cell and stack fabrication, performance and life time issues, technology status and market applications.","author":[{"dropping-particle":"","family":"Badwal","given":"S.P.S.","non-dropping-particle":"","parse-names":false,"suffix":""},{"dropping-particle":"","family":"Giddey","given":"S.","non-dropping-particle":"","parse-names":false,"suffix":""},{"dropping-particle":"","family":"Kulkarni","given":"A.","non-dropping-particle":"","parse-names":false,"suffix":""},{"dropping-particle":"","family":"Goel","given":"J.","non-dropping-particle":"","parse-names":false,"suffix":""},{"dropping-particle":"","family":"Basu","given":"S.","non-dropping-particle":"","parse-names":false,"suffix":""}],"container-title":"Applied Energy","id":"ITEM-1","issued":{"date-parts":[["2015","5","1"]]},"page":"80-103","publisher":"Elsevier Ltd","title":"Direct ethanol fuel cells for transport and stationary applications – A comprehensive review","type":"article-journal","volume":"145"},"uris":["http://www.mendeley.com/documents/?uuid=9b2838b9-e6fa-4eb9-85d8-b34739d37756"]},{"id":"ITEM-2","itemData":{"DOI":"10.1007/s12678-014-0222-1","ISBN":"1267801402221","ISSN":"1868-2529","author":[{"dropping-particle":"","family":"Erikson","given":"Heiki","non-dropping-particle":"","parse-names":false,"suffix":""},{"dropping-particle":"","family":"Sarapuu","given":"Ave","non-dropping-particle":"","parse-names":false,"suffix":""},{"dropping-particle":"","family":"Kozlova","given":"Jekaterina","non-dropping-particle":"","parse-names":false,"suffix":""},{"dropping-particle":"","family":"Matisen","given":"Leonard","non-dropping-particle":"","parse-names":false,"suffix":""},{"dropping-particle":"","family":"Sammelselg","given":"Väino","non-dropping-particle":"","parse-names":false,"suffix":""},{"dropping-particle":"","family":"Tammeveski","given":"Kaido","non-dropping-particle":"","parse-names":false,"suffix":""}],"container-title":"Electrocatalysis","id":"ITEM-2","issue":"1","issued":{"date-parts":[["2015","1","20"]]},"page":"77-85","title":"Oxygen Electroreduction on Electrodeposited PdAu Nanoalloys","type":"article-journal","volume":"6"},"uris":["http://www.mendeley.com/documents/?uuid=2c82c6dc-7ff2-471f-b208-fe674d5d5b29"]}],"mendeley":{"formattedCitation":"&lt;sup&gt;15,25&lt;/sup&gt;","plainTextFormattedCitation":"15,25","previouslyFormattedCitation":"&lt;sup&gt;15,25&lt;/sup&gt;"},"properties":{"noteIndex":0},"schema":"https://github.com/citation-style-language/schema/raw/master/csl-citation.json"}</w:instrText>
      </w:r>
      <w:r w:rsidR="003C7910" w:rsidRPr="00502705">
        <w:rPr>
          <w:rFonts w:ascii="Times New Roman" w:hAnsi="Times New Roman" w:cs="Times New Roman"/>
          <w:sz w:val="24"/>
          <w:szCs w:val="24"/>
        </w:rPr>
        <w:fldChar w:fldCharType="separate"/>
      </w:r>
      <w:r w:rsidR="007B25EC" w:rsidRPr="00502705">
        <w:rPr>
          <w:rFonts w:ascii="Times New Roman" w:hAnsi="Times New Roman" w:cs="Times New Roman"/>
          <w:noProof/>
          <w:sz w:val="24"/>
          <w:szCs w:val="24"/>
          <w:vertAlign w:val="superscript"/>
        </w:rPr>
        <w:t>15,25</w:t>
      </w:r>
      <w:r w:rsidR="003C7910" w:rsidRPr="00502705">
        <w:rPr>
          <w:rFonts w:ascii="Times New Roman" w:hAnsi="Times New Roman" w:cs="Times New Roman"/>
          <w:sz w:val="24"/>
          <w:szCs w:val="24"/>
        </w:rPr>
        <w:fldChar w:fldCharType="end"/>
      </w:r>
      <w:r w:rsidR="007B25EC" w:rsidRPr="00502705">
        <w:rPr>
          <w:rFonts w:ascii="Times New Roman" w:hAnsi="Times New Roman" w:cs="Times New Roman"/>
          <w:sz w:val="24"/>
          <w:szCs w:val="24"/>
        </w:rPr>
        <w:t xml:space="preserve"> In </w:t>
      </w:r>
      <w:r w:rsidR="007B25EC" w:rsidRPr="00502705">
        <w:rPr>
          <w:rFonts w:ascii="Times New Roman" w:hAnsi="Times New Roman" w:cs="Times New Roman"/>
          <w:b/>
          <w:sz w:val="24"/>
          <w:szCs w:val="24"/>
        </w:rPr>
        <w:t xml:space="preserve">Figure 1.9 </w:t>
      </w:r>
      <w:r w:rsidR="007B25EC" w:rsidRPr="00502705">
        <w:rPr>
          <w:rFonts w:ascii="Times New Roman" w:hAnsi="Times New Roman" w:cs="Times New Roman"/>
          <w:sz w:val="24"/>
          <w:szCs w:val="24"/>
        </w:rPr>
        <w:t>shown by</w:t>
      </w:r>
      <w:r w:rsidR="007B25EC" w:rsidRPr="00502705">
        <w:rPr>
          <w:rFonts w:ascii="Times New Roman" w:hAnsi="Times New Roman" w:cs="Times New Roman"/>
          <w:b/>
          <w:sz w:val="24"/>
          <w:szCs w:val="24"/>
        </w:rPr>
        <w:t xml:space="preserve"> </w:t>
      </w:r>
      <w:r w:rsidR="007B25EC" w:rsidRPr="00502705">
        <w:rPr>
          <w:rFonts w:ascii="Times New Roman" w:hAnsi="Times New Roman" w:cs="Times New Roman"/>
          <w:sz w:val="24"/>
          <w:szCs w:val="24"/>
        </w:rPr>
        <w:t>schematic representation of fuel cell reactions.</w:t>
      </w:r>
    </w:p>
    <w:p w:rsidR="007B25EC" w:rsidRDefault="007B25EC" w:rsidP="007B25EC">
      <w:pPr>
        <w:pStyle w:val="ThesisText"/>
        <w:spacing w:before="240"/>
        <w:ind w:firstLine="0"/>
        <w:jc w:val="center"/>
      </w:pPr>
      <w:r>
        <w:rPr>
          <w:noProof/>
        </w:rPr>
        <w:drawing>
          <wp:inline distT="0" distB="0" distL="0" distR="0">
            <wp:extent cx="4678035" cy="2514600"/>
            <wp:effectExtent l="19050" t="0" r="8265"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675976" cy="2513493"/>
                    </a:xfrm>
                    <a:prstGeom prst="rect">
                      <a:avLst/>
                    </a:prstGeom>
                    <a:noFill/>
                  </pic:spPr>
                </pic:pic>
              </a:graphicData>
            </a:graphic>
          </wp:inline>
        </w:drawing>
      </w:r>
    </w:p>
    <w:p w:rsidR="007B25EC" w:rsidRPr="00AB646F" w:rsidRDefault="002657B4" w:rsidP="007B25EC">
      <w:pPr>
        <w:pStyle w:val="ThesisFigCaption"/>
        <w:spacing w:line="276" w:lineRule="auto"/>
      </w:pPr>
      <w:r>
        <w:rPr>
          <w:b/>
        </w:rPr>
        <w:t>Figure 1.</w:t>
      </w:r>
      <w:r w:rsidR="007B25EC">
        <w:rPr>
          <w:b/>
        </w:rPr>
        <w:t>9</w:t>
      </w:r>
      <w:r w:rsidR="007B25EC" w:rsidRPr="00E074D2">
        <w:rPr>
          <w:b/>
        </w:rPr>
        <w:t>:</w:t>
      </w:r>
      <w:r w:rsidR="007B25EC">
        <w:t xml:space="preserve"> Schematic representation of fuel cell reactions.</w:t>
      </w:r>
    </w:p>
    <w:p w:rsidR="007B25EC" w:rsidRDefault="007B25EC" w:rsidP="007B25EC">
      <w:pPr>
        <w:pStyle w:val="ThesisSubheading"/>
      </w:pPr>
      <w:r w:rsidRPr="00AB646F">
        <w:t>1.</w:t>
      </w:r>
      <w:r w:rsidR="002657B4">
        <w:t>5</w:t>
      </w:r>
      <w:r w:rsidRPr="00AB646F">
        <w:t>.</w:t>
      </w:r>
      <w:r>
        <w:t>1</w:t>
      </w:r>
      <w:r w:rsidRPr="00AB646F">
        <w:t>. ORR Reactions and Mechanistic path</w:t>
      </w:r>
    </w:p>
    <w:p w:rsidR="007B25EC" w:rsidRPr="00022683" w:rsidRDefault="00152578" w:rsidP="00022683">
      <w:pPr>
        <w:spacing w:line="360" w:lineRule="auto"/>
        <w:jc w:val="both"/>
        <w:rPr>
          <w:rFonts w:ascii="Times New Roman" w:hAnsi="Times New Roman" w:cs="Times New Roman"/>
          <w:sz w:val="24"/>
          <w:szCs w:val="24"/>
        </w:rPr>
      </w:pPr>
      <w:r w:rsidRPr="00022683">
        <w:rPr>
          <w:rFonts w:ascii="Times New Roman" w:hAnsi="Times New Roman" w:cs="Times New Roman"/>
          <w:sz w:val="24"/>
          <w:szCs w:val="24"/>
        </w:rPr>
        <w:t>The most prevalent element in the earth's crust is oxygen (O</w:t>
      </w:r>
      <w:r w:rsidRPr="00022683">
        <w:rPr>
          <w:rFonts w:ascii="Times New Roman" w:hAnsi="Times New Roman" w:cs="Times New Roman"/>
          <w:sz w:val="24"/>
          <w:szCs w:val="24"/>
          <w:vertAlign w:val="subscript"/>
        </w:rPr>
        <w:t>2</w:t>
      </w:r>
      <w:r w:rsidRPr="00022683">
        <w:rPr>
          <w:rFonts w:ascii="Times New Roman" w:hAnsi="Times New Roman" w:cs="Times New Roman"/>
          <w:sz w:val="24"/>
          <w:szCs w:val="24"/>
        </w:rPr>
        <w:t>). Perhaps the most important reaction in life activities like biological respiration and energy storage technologies like fuel cells is the oxygen reduction reaction (ORR).</w:t>
      </w:r>
      <w:r w:rsidR="003C7910" w:rsidRPr="00022683">
        <w:rPr>
          <w:rFonts w:ascii="Times New Roman" w:hAnsi="Times New Roman" w:cs="Times New Roman"/>
          <w:sz w:val="24"/>
          <w:szCs w:val="24"/>
        </w:rPr>
        <w:fldChar w:fldCharType="begin" w:fldLock="1"/>
      </w:r>
      <w:r w:rsidR="002929D8" w:rsidRPr="00022683">
        <w:rPr>
          <w:rFonts w:ascii="Times New Roman" w:hAnsi="Times New Roman" w:cs="Times New Roman"/>
          <w:sz w:val="24"/>
          <w:szCs w:val="24"/>
        </w:rPr>
        <w:instrText>ADDIN CSL_CITATION {"citationItems":[{"id":"ITEM-1","itemData":{"DOI":"10.1021/acsnano.5b00438","ISSN":"1936086X","abstract":"© 2015 American Chemical Society. The functionalization of graphene provides diverse possibilities to improve the handling of graphene and enable further chemical transformation on graphene. Graphene functionalized with mainly heteroatom-based functional groups to enhance its chemical and physical properties is intensively pursued but often resulted in grafting of the heteroatoms as various functional groups. Here, we show that graphene oxide can be functionalized with predominantly a single type of sulfur moiety and reduced simultaneously to form monothiol-functionalized graphene. The thiol-functionalized graphene shows a high electrical conductivity and heterogeneous electron transfer rate. Graphene is also embedded with a trace amount of manganese impurities originating from a prior graphite oxidation process, which facilitates the thiol-functionalized graphene to function as a hybrid electrocatalyst for oxygen reduction reactions in alkaline medium with an onset potential lower than for Pt/C. Further characterizations of the graphene are performed with X-ray photoelectron spectroscopy, scanning electron microscopy with energy-dispersive X-ray spectroscopy, Fourier transform infrared spectroscopy, thermogravimetric analysis, Raman spectroscopy, and electrochemical impedance spectroscopy. This material contributes to the class of hybrids that are highly active electrocatalysts.","author":[{"dropping-particle":"","family":"Chua","given":"Chun Kiang","non-dropping-particle":"","parse-names":false,"suffix":""},{"dropping-particle":"","family":"Pumera","given":"Martin","non-dropping-particle":"","parse-names":false,"suffix":""}],"container-title":"ACS Nano","id":"ITEM-1","issue":"4","issued":{"date-parts":[["2015"]]},"page":"4193-4199","title":"Monothiolation and Reduction of Graphene Oxide via One-Pot Synthesis: Hybrid Catalyst for Oxygen Reduction","type":"article-journal","volume":"9"},"uris":["http://www.mendeley.com/documents/?uuid=184b99c7-433a-4a18-8c1c-843ed64d2022"]}],"mendeley":{"formattedCitation":"&lt;sup&gt;26&lt;/sup&gt;","plainTextFormattedCitation":"26","previouslyFormattedCitation":"&lt;sup&gt;26&lt;/sup&gt;"},"properties":{"noteIndex":0},"schema":"https://github.com/citation-style-language/schema/raw/master/csl-citation.json"}</w:instrText>
      </w:r>
      <w:r w:rsidR="003C7910" w:rsidRPr="00022683">
        <w:rPr>
          <w:rFonts w:ascii="Times New Roman" w:hAnsi="Times New Roman" w:cs="Times New Roman"/>
          <w:sz w:val="24"/>
          <w:szCs w:val="24"/>
        </w:rPr>
        <w:fldChar w:fldCharType="separate"/>
      </w:r>
      <w:r w:rsidR="007B25EC" w:rsidRPr="00022683">
        <w:rPr>
          <w:rFonts w:ascii="Times New Roman" w:hAnsi="Times New Roman" w:cs="Times New Roman"/>
          <w:noProof/>
          <w:sz w:val="24"/>
          <w:szCs w:val="24"/>
          <w:vertAlign w:val="superscript"/>
        </w:rPr>
        <w:t>26</w:t>
      </w:r>
      <w:r w:rsidR="003C7910" w:rsidRPr="00022683">
        <w:rPr>
          <w:rFonts w:ascii="Times New Roman" w:hAnsi="Times New Roman" w:cs="Times New Roman"/>
          <w:sz w:val="24"/>
          <w:szCs w:val="24"/>
        </w:rPr>
        <w:fldChar w:fldCharType="end"/>
      </w:r>
      <w:r w:rsidR="007B25EC" w:rsidRPr="00022683">
        <w:rPr>
          <w:rFonts w:ascii="Times New Roman" w:hAnsi="Times New Roman" w:cs="Times New Roman"/>
          <w:sz w:val="24"/>
          <w:szCs w:val="24"/>
        </w:rPr>
        <w:t xml:space="preserve">. </w:t>
      </w:r>
      <w:r w:rsidR="00022683" w:rsidRPr="00022683">
        <w:rPr>
          <w:rFonts w:ascii="Times New Roman" w:eastAsiaTheme="minorHAnsi" w:hAnsi="Times New Roman" w:cs="Times New Roman"/>
          <w:sz w:val="24"/>
          <w:szCs w:val="24"/>
        </w:rPr>
        <w:t>The direct 4-electron reduction channel from O</w:t>
      </w:r>
      <w:r w:rsidR="00022683" w:rsidRPr="00022683">
        <w:rPr>
          <w:rFonts w:ascii="Times New Roman" w:eastAsiaTheme="minorHAnsi" w:hAnsi="Times New Roman" w:cs="Times New Roman"/>
          <w:sz w:val="24"/>
          <w:szCs w:val="24"/>
          <w:vertAlign w:val="subscript"/>
        </w:rPr>
        <w:t>2</w:t>
      </w:r>
      <w:r w:rsidR="00022683" w:rsidRPr="00022683">
        <w:rPr>
          <w:rFonts w:ascii="Times New Roman" w:eastAsiaTheme="minorHAnsi" w:hAnsi="Times New Roman" w:cs="Times New Roman"/>
          <w:sz w:val="24"/>
          <w:szCs w:val="24"/>
        </w:rPr>
        <w:t xml:space="preserve"> to H</w:t>
      </w:r>
      <w:r w:rsidR="00022683" w:rsidRPr="00022683">
        <w:rPr>
          <w:rFonts w:ascii="Times New Roman" w:eastAsiaTheme="minorHAnsi" w:hAnsi="Times New Roman" w:cs="Times New Roman"/>
          <w:sz w:val="24"/>
          <w:szCs w:val="24"/>
          <w:vertAlign w:val="subscript"/>
        </w:rPr>
        <w:t>2</w:t>
      </w:r>
      <w:r w:rsidR="00022683" w:rsidRPr="00022683">
        <w:rPr>
          <w:rFonts w:ascii="Times New Roman" w:eastAsiaTheme="minorHAnsi" w:hAnsi="Times New Roman" w:cs="Times New Roman"/>
          <w:sz w:val="24"/>
          <w:szCs w:val="24"/>
        </w:rPr>
        <w:t>O and the 2-electron reduction pathway from O</w:t>
      </w:r>
      <w:r w:rsidR="00022683" w:rsidRPr="00022683">
        <w:rPr>
          <w:rFonts w:ascii="Times New Roman" w:eastAsiaTheme="minorHAnsi" w:hAnsi="Times New Roman" w:cs="Times New Roman"/>
          <w:sz w:val="24"/>
          <w:szCs w:val="24"/>
          <w:vertAlign w:val="subscript"/>
        </w:rPr>
        <w:t>2</w:t>
      </w:r>
      <w:r w:rsidR="00022683" w:rsidRPr="00022683">
        <w:rPr>
          <w:rFonts w:ascii="Times New Roman" w:eastAsiaTheme="minorHAnsi" w:hAnsi="Times New Roman" w:cs="Times New Roman"/>
          <w:sz w:val="24"/>
          <w:szCs w:val="24"/>
        </w:rPr>
        <w:t xml:space="preserve"> to hydrogen peroxide (H</w:t>
      </w:r>
      <w:r w:rsidR="00022683" w:rsidRPr="00022683">
        <w:rPr>
          <w:rFonts w:ascii="Times New Roman" w:eastAsiaTheme="minorHAnsi" w:hAnsi="Times New Roman" w:cs="Times New Roman"/>
          <w:sz w:val="24"/>
          <w:szCs w:val="24"/>
          <w:vertAlign w:val="subscript"/>
        </w:rPr>
        <w:t>2</w:t>
      </w:r>
      <w:r w:rsidR="00022683" w:rsidRPr="00022683">
        <w:rPr>
          <w:rFonts w:ascii="Times New Roman" w:eastAsiaTheme="minorHAnsi" w:hAnsi="Times New Roman" w:cs="Times New Roman"/>
          <w:sz w:val="24"/>
          <w:szCs w:val="24"/>
        </w:rPr>
        <w:t>O</w:t>
      </w:r>
      <w:r w:rsidR="00022683" w:rsidRPr="00022683">
        <w:rPr>
          <w:rFonts w:ascii="Times New Roman" w:eastAsiaTheme="minorHAnsi" w:hAnsi="Times New Roman" w:cs="Times New Roman"/>
          <w:sz w:val="24"/>
          <w:szCs w:val="24"/>
          <w:vertAlign w:val="subscript"/>
        </w:rPr>
        <w:t>2</w:t>
      </w:r>
      <w:r w:rsidR="00022683" w:rsidRPr="00022683">
        <w:rPr>
          <w:rFonts w:ascii="Times New Roman" w:eastAsiaTheme="minorHAnsi" w:hAnsi="Times New Roman" w:cs="Times New Roman"/>
          <w:sz w:val="24"/>
          <w:szCs w:val="24"/>
        </w:rPr>
        <w:t xml:space="preserve">) are the primary ORR mechanisms in aqueous solutions. </w:t>
      </w:r>
      <w:r w:rsidRPr="00022683">
        <w:rPr>
          <w:rFonts w:ascii="Times New Roman" w:hAnsi="Times New Roman" w:cs="Times New Roman"/>
          <w:sz w:val="24"/>
          <w:szCs w:val="24"/>
        </w:rPr>
        <w:t>The 1-electron reduction process from O</w:t>
      </w:r>
      <w:r w:rsidRPr="00022683">
        <w:rPr>
          <w:rFonts w:ascii="Times New Roman" w:hAnsi="Times New Roman" w:cs="Times New Roman"/>
          <w:sz w:val="24"/>
          <w:szCs w:val="24"/>
          <w:vertAlign w:val="subscript"/>
        </w:rPr>
        <w:t>2</w:t>
      </w:r>
      <w:r w:rsidRPr="00022683">
        <w:rPr>
          <w:rFonts w:ascii="Times New Roman" w:hAnsi="Times New Roman" w:cs="Times New Roman"/>
          <w:sz w:val="24"/>
          <w:szCs w:val="24"/>
        </w:rPr>
        <w:t xml:space="preserve"> to superoxide (O</w:t>
      </w:r>
      <w:r w:rsidRPr="00022683">
        <w:rPr>
          <w:rFonts w:ascii="Times New Roman" w:hAnsi="Times New Roman" w:cs="Times New Roman"/>
          <w:sz w:val="24"/>
          <w:szCs w:val="24"/>
          <w:vertAlign w:val="subscript"/>
        </w:rPr>
        <w:t>2</w:t>
      </w:r>
      <w:r w:rsidRPr="00022683">
        <w:rPr>
          <w:rFonts w:ascii="Times New Roman" w:hAnsi="Times New Roman" w:cs="Times New Roman"/>
          <w:sz w:val="24"/>
          <w:szCs w:val="24"/>
        </w:rPr>
        <w:t>) can also occur in non-aqueous aprotic solvents and/or alkaline solutions.</w:t>
      </w:r>
      <w:r w:rsidR="003C7910" w:rsidRPr="00022683">
        <w:rPr>
          <w:rFonts w:ascii="Times New Roman" w:hAnsi="Times New Roman" w:cs="Times New Roman"/>
          <w:sz w:val="24"/>
          <w:szCs w:val="24"/>
        </w:rPr>
        <w:fldChar w:fldCharType="begin" w:fldLock="1"/>
      </w:r>
      <w:r w:rsidR="002929D8" w:rsidRPr="00022683">
        <w:rPr>
          <w:rFonts w:ascii="Times New Roman" w:hAnsi="Times New Roman" w:cs="Times New Roman"/>
          <w:sz w:val="24"/>
          <w:szCs w:val="24"/>
        </w:rPr>
        <w:instrText>ADDIN CSL_CITATION {"citationItems":[{"id":"ITEM-1","itemData":{"DOI":"10.1039/C7RA07256B","ISSN":"2046-2069","abstract":"In this paper, we report the synthesis of cube shaped nanoparticles of CoWO 4 (</w:instrText>
      </w:r>
      <w:r w:rsidR="002929D8" w:rsidRPr="00022683">
        <w:rPr>
          <w:rFonts w:ascii="Cambria Math" w:hAnsi="Cambria Math" w:cs="Times New Roman"/>
          <w:sz w:val="24"/>
          <w:szCs w:val="24"/>
        </w:rPr>
        <w:instrText>∼</w:instrText>
      </w:r>
      <w:r w:rsidR="002929D8" w:rsidRPr="00022683">
        <w:rPr>
          <w:rFonts w:ascii="Times New Roman" w:hAnsi="Times New Roman" w:cs="Times New Roman"/>
          <w:sz w:val="24"/>
          <w:szCs w:val="24"/>
        </w:rPr>
        <w:instrText>30 nm) by molten salts and their bifunctional electro-catalytic activities in water redox reactions for oxygen evolution and oxygen reduction reactions (OER and ORR).","author":[{"dropping-particle":"","family":"AlShehri","given":"Saad M.","non-dropping-particle":"","parse-names":false,"suffix":""},{"dropping-particle":"","family":"Ahmed","given":"Jahangeer","non-dropping-particle":"","parse-names":false,"suffix":""},{"dropping-particle":"","family":"Ahamad","given":"Tansir","non-dropping-particle":"","parse-names":false,"suffix":""},{"dropping-particle":"","family":"Arunachalam","given":"Prabhakarn","non-dropping-particle":"","parse-names":false,"suffix":""},{"dropping-particle":"","family":"Ahmad","given":"Tokeer","non-dropping-particle":"","parse-names":false,"suffix":""},{"dropping-particle":"","family":"Khan","given":"Aslam","non-dropping-particle":"","parse-names":false,"suffix":""}],"container-title":"RSC Adv.","id":"ITEM-1","issue":"72","issued":{"date-parts":[["2017"]]},"page":"45615-45623","publisher":"Royal Society of Chemistry","title":"Bifunctional electro-catalytic performances of CoWO 4 nanocubes for water redox reactions (OER/ORR)","type":"article-journal","volume":"7"},"uris":["http://www.mendeley.com/documents/?uuid=0da2694d-f27d-4cb8-b19a-33f7b665e803"]}],"mendeley":{"formattedCitation":"&lt;sup&gt;27&lt;/sup&gt;","plainTextFormattedCitation":"27","previouslyFormattedCitation":"&lt;sup&gt;27&lt;/sup&gt;"},"properties":{"noteIndex":0},"schema":"https://github.com/citation-style-language/schema/raw/master/csl-citation.json"}</w:instrText>
      </w:r>
      <w:r w:rsidR="003C7910" w:rsidRPr="00022683">
        <w:rPr>
          <w:rFonts w:ascii="Times New Roman" w:hAnsi="Times New Roman" w:cs="Times New Roman"/>
          <w:sz w:val="24"/>
          <w:szCs w:val="24"/>
        </w:rPr>
        <w:fldChar w:fldCharType="separate"/>
      </w:r>
      <w:r w:rsidR="007B25EC" w:rsidRPr="00022683">
        <w:rPr>
          <w:rFonts w:ascii="Times New Roman" w:hAnsi="Times New Roman" w:cs="Times New Roman"/>
          <w:noProof/>
          <w:sz w:val="24"/>
          <w:szCs w:val="24"/>
          <w:vertAlign w:val="superscript"/>
        </w:rPr>
        <w:t>27</w:t>
      </w:r>
      <w:r w:rsidR="003C7910" w:rsidRPr="00022683">
        <w:rPr>
          <w:rFonts w:ascii="Times New Roman" w:hAnsi="Times New Roman" w:cs="Times New Roman"/>
          <w:sz w:val="24"/>
          <w:szCs w:val="24"/>
        </w:rPr>
        <w:fldChar w:fldCharType="end"/>
      </w:r>
      <w:r w:rsidR="007B25EC" w:rsidRPr="00022683">
        <w:rPr>
          <w:rFonts w:ascii="Times New Roman" w:hAnsi="Times New Roman" w:cs="Times New Roman"/>
          <w:sz w:val="24"/>
          <w:szCs w:val="24"/>
        </w:rPr>
        <w:t xml:space="preserve"> </w:t>
      </w:r>
      <w:r w:rsidR="00022683" w:rsidRPr="00022683">
        <w:rPr>
          <w:rFonts w:ascii="Times New Roman" w:hAnsi="Times New Roman" w:cs="Times New Roman"/>
          <w:sz w:val="24"/>
          <w:szCs w:val="24"/>
        </w:rPr>
        <w:t xml:space="preserve">Direct methanol </w:t>
      </w:r>
      <w:r w:rsidR="00022683" w:rsidRPr="00022683">
        <w:rPr>
          <w:rFonts w:ascii="Times New Roman" w:hAnsi="Times New Roman" w:cs="Times New Roman"/>
          <w:sz w:val="24"/>
          <w:szCs w:val="24"/>
        </w:rPr>
        <w:lastRenderedPageBreak/>
        <w:t>fuel cells (DMFCs), which use proton exchange membrane (PEM) fuel cells, use ORR as the reaction taking place at the cathode. Typically, ORR kinetics is quite slow. To accelerate the ORR kinetics in fuel cells to a manageable level, a cathode ORR catalyst is required.</w:t>
      </w:r>
      <w:r w:rsidR="003C7910" w:rsidRPr="00022683">
        <w:rPr>
          <w:rFonts w:ascii="Times New Roman" w:hAnsi="Times New Roman" w:cs="Times New Roman"/>
          <w:sz w:val="24"/>
          <w:szCs w:val="24"/>
        </w:rPr>
        <w:fldChar w:fldCharType="begin" w:fldLock="1"/>
      </w:r>
      <w:r w:rsidR="002929D8" w:rsidRPr="00022683">
        <w:rPr>
          <w:rFonts w:ascii="Times New Roman" w:hAnsi="Times New Roman" w:cs="Times New Roman"/>
          <w:sz w:val="24"/>
          <w:szCs w:val="24"/>
        </w:rPr>
        <w:instrText>ADDIN CSL_CITATION {"citationItems":[{"id":"ITEM-1","itemData":{"DOI":"10.1007/978-1-84800-936-3_2","ISBN":"9781848009356","abstract":"Oxygen (O2) is the most abundant element in the Earth's crust. The oxygen reduction reaction (ORR) is also the most important reaction in life processes such as biological respiration, and in energy converting systems such as fuel cells. ORR in aqueous solutions occurs mainly by two pathways: the direct 4-electron reduction pathway from O2 to H2O, and the 2-electron reduction pathway from O2 to hydrogen peroxide (H 2O2). In non-aqueous aprotic solvents and/or in alkaline solutions, the 1-electron reduction pathway from O2 to superoxide (O2-) can also occur. In proton exchange membrane (PEM) fuel cells, including direct methanol fuel cells (DMFCs), ORR is the reaction occurring at the cathode. Normally, the ORR kinetics is very slow. In order to speed up the ORR kinetics to reach a practical usable level in a fuel cell, a cathode ORR catalyst is needed. At the current stage in technology, platinum (Pt)-based materials are the most practical catalysts. Because these Pt-based catalysts are too expensive for making commercially viable fuel cells, extensive research over the past several decades has focused on developing alternative catalysts, including non-noble metal catalysts [1]. These electrocatalysts include noble metals and alloys, carbon materials, quinone and derivatives, transition metal macrocyclic compounds, transition metal chalcogenides, and transition metal carbides. In this chapter, we focus on the O2 reduction reaction, including the reaction kinetics and mechanisms catalyzed by these various catalysts. To assist readers, we first provide an overview of the following background information: the major electrochemical O2 reduction reaction processes, simple ORR kinetics, and conventional techniques for electrochemical measurements. © 2008 Springer-Verlag.","author":[{"dropping-particle":"","family":"Song","given":"Chaojie","non-dropping-particle":"","parse-names":false,"suffix":""},{"dropping-particle":"","family":"Zhang","given":"Jiujun","non-dropping-particle":"","parse-names":false,"suffix":""}],"container-title":"PEM Fuel Cell Electrocatalysts and Catalyst Layers: Fundamentals and Applications","id":"ITEM-1","issued":{"date-parts":[["2008"]]},"page":"89-134","title":"Electrocatalytic oxygen reduction reaction","type":"article-journal"},"uris":["http://www.mendeley.com/documents/?uuid=86e213ce-c1f8-46f5-9e47-5bb77fb523d2"]}],"mendeley":{"formattedCitation":"&lt;sup&gt;28&lt;/sup&gt;","plainTextFormattedCitation":"28","previouslyFormattedCitation":"&lt;sup&gt;28&lt;/sup&gt;"},"properties":{"noteIndex":0},"schema":"https://github.com/citation-style-language/schema/raw/master/csl-citation.json"}</w:instrText>
      </w:r>
      <w:r w:rsidR="003C7910" w:rsidRPr="00022683">
        <w:rPr>
          <w:rFonts w:ascii="Times New Roman" w:hAnsi="Times New Roman" w:cs="Times New Roman"/>
          <w:sz w:val="24"/>
          <w:szCs w:val="24"/>
        </w:rPr>
        <w:fldChar w:fldCharType="separate"/>
      </w:r>
      <w:r w:rsidR="007B25EC" w:rsidRPr="00022683">
        <w:rPr>
          <w:rFonts w:ascii="Times New Roman" w:hAnsi="Times New Roman" w:cs="Times New Roman"/>
          <w:noProof/>
          <w:sz w:val="24"/>
          <w:szCs w:val="24"/>
          <w:vertAlign w:val="superscript"/>
        </w:rPr>
        <w:t>28</w:t>
      </w:r>
      <w:r w:rsidR="003C7910" w:rsidRPr="00022683">
        <w:rPr>
          <w:rFonts w:ascii="Times New Roman" w:hAnsi="Times New Roman" w:cs="Times New Roman"/>
          <w:sz w:val="24"/>
          <w:szCs w:val="24"/>
        </w:rPr>
        <w:fldChar w:fldCharType="end"/>
      </w:r>
    </w:p>
    <w:p w:rsidR="007B25EC" w:rsidRPr="00AB646F" w:rsidRDefault="007B25EC" w:rsidP="007B25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81767" cy="3315250"/>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3781422" cy="3314947"/>
                    </a:xfrm>
                    <a:prstGeom prst="rect">
                      <a:avLst/>
                    </a:prstGeom>
                    <a:noFill/>
                  </pic:spPr>
                </pic:pic>
              </a:graphicData>
            </a:graphic>
          </wp:inline>
        </w:drawing>
      </w:r>
    </w:p>
    <w:p w:rsidR="007B25EC" w:rsidRDefault="007B25EC" w:rsidP="007B25EC">
      <w:pPr>
        <w:pStyle w:val="ThesisFigCaption"/>
        <w:spacing w:line="276" w:lineRule="auto"/>
      </w:pPr>
      <w:r w:rsidRPr="00AB646F">
        <w:rPr>
          <w:b/>
        </w:rPr>
        <w:t>Figure 1.</w:t>
      </w:r>
      <w:r w:rsidR="002657B4">
        <w:rPr>
          <w:b/>
        </w:rPr>
        <w:t>10</w:t>
      </w:r>
      <w:r w:rsidRPr="00AB646F">
        <w:rPr>
          <w:b/>
        </w:rPr>
        <w:t>:</w:t>
      </w:r>
      <w:r w:rsidRPr="00AB646F">
        <w:t xml:space="preserve"> Schematic representation of mechanistic path for </w:t>
      </w:r>
      <w:r>
        <w:t>oxygen reduction reaction (</w:t>
      </w:r>
      <w:r w:rsidRPr="00AB646F">
        <w:t>ORR</w:t>
      </w:r>
      <w:r>
        <w:t>)</w:t>
      </w:r>
      <w:r w:rsidRPr="00AB646F">
        <w:t>.</w:t>
      </w:r>
    </w:p>
    <w:p w:rsidR="007B25EC" w:rsidRDefault="007B25EC" w:rsidP="007B25EC">
      <w:pPr>
        <w:pStyle w:val="ThesisText"/>
      </w:pPr>
      <w:r>
        <w:t>The ORR requires a various</w:t>
      </w:r>
      <w:r w:rsidRPr="00AB646F">
        <w:t xml:space="preserve"> important steps. To date, the </w:t>
      </w:r>
      <w:r>
        <w:t>l</w:t>
      </w:r>
      <w:r w:rsidRPr="00AB646F">
        <w:t>iterature has suggested two possible</w:t>
      </w:r>
      <w:r>
        <w:t xml:space="preserve"> </w:t>
      </w:r>
      <w:r w:rsidRPr="00AB646F">
        <w:t xml:space="preserve">mechanisms </w:t>
      </w:r>
      <w:r w:rsidRPr="00AB646F">
        <w:rPr>
          <w:b/>
        </w:rPr>
        <w:t>Figure 1.</w:t>
      </w:r>
      <w:r w:rsidR="002657B4">
        <w:rPr>
          <w:b/>
        </w:rPr>
        <w:t>1</w:t>
      </w:r>
      <w:r>
        <w:rPr>
          <w:b/>
        </w:rPr>
        <w:t>0</w:t>
      </w:r>
      <w:r w:rsidRPr="00AB646F">
        <w:t xml:space="preserve">. </w:t>
      </w:r>
      <w:r w:rsidR="00324744" w:rsidRPr="00A840A2">
        <w:t>The direct reduction of O2 to H2O (route A) is the result of parallel O2 adsorption to the catalytic surface layer, according to Acre et al. This requires the presence of two active sites next to each other. Path B continues perpendicular to the electrode surface after an initial adsorption of O2 (by a single atom). However, the second phase (H2O2 reduction) has a large activation energy, which raises the overpotential.</w:t>
      </w:r>
      <w:r w:rsidR="003C7910" w:rsidRPr="00AB646F">
        <w:fldChar w:fldCharType="begin" w:fldLock="1"/>
      </w:r>
      <w:r w:rsidR="002929D8">
        <w:instrText>ADDIN CSL_CITATION {"citationItems":[{"id":"ITEM-1","itemData":{"DOI":"10.1126/sciadv.1500564","ISSN":"2375-2548","abstract":"Oxygen reduction reaction (ORR) and oxygen evolution reaction (OER) play curial roles in electrochemical energy conversion and storage, including fuel cells and metal-air batteries. Having rich multidimensional nanoarchitectures [for example, zero-dimensional (0D) fullerenes, 1D carbon nanotubes, 2D graphene, and 3D graphite] with tunable electronic and surface characteristics, various carbon nanomaterials have been demonstrated to act as efficient metal-free electrocatalysts for ORR and OER in fuel cells and batteries. We present a critical review on the recent advances in carbon-based metal-free catalysts for fuel cells and metal-air batteries, and discuss the perspectives and challenges in this rapidly developing field of practical significance.","author":[{"dropping-particle":"","family":"Zhang","given":"Jintao","non-dropping-particle":"","parse-names":false,"suffix":""},{"dropping-particle":"","family":"Xia","given":"Zhenhai","non-dropping-particle":"","parse-names":false,"suffix":""},{"dropping-particle":"","family":"Dai","given":"Liming","non-dropping-particle":"","parse-names":false,"suffix":""}],"container-title":"Science Advances","id":"ITEM-1","issue":"7","issued":{"date-parts":[["2015","8","28"]]},"page":"1-19","title":"Carbon-based electrocatalysts for advanced energy conversion and storage","type":"article-journal","volume":"1"},"uris":["http://www.mendeley.com/documents/?uuid=325f032b-f60f-45de-9931-8835df807768"]}],"mendeley":{"formattedCitation":"&lt;sup&gt;29&lt;/sup&gt;","plainTextFormattedCitation":"29","previouslyFormattedCitation":"&lt;sup&gt;29&lt;/sup&gt;"},"properties":{"noteIndex":0},"schema":"https://github.com/citation-style-language/schema/raw/master/csl-citation.json"}</w:instrText>
      </w:r>
      <w:r w:rsidR="003C7910" w:rsidRPr="00AB646F">
        <w:fldChar w:fldCharType="separate"/>
      </w:r>
      <w:r w:rsidRPr="007B25EC">
        <w:rPr>
          <w:noProof/>
          <w:vertAlign w:val="superscript"/>
        </w:rPr>
        <w:t>29</w:t>
      </w:r>
      <w:r w:rsidR="003C7910" w:rsidRPr="00AB646F">
        <w:fldChar w:fldCharType="end"/>
      </w:r>
      <w:r>
        <w:t>.</w:t>
      </w:r>
    </w:p>
    <w:p w:rsidR="007B25EC" w:rsidRDefault="007B25EC" w:rsidP="007B25EC">
      <w:pPr>
        <w:pStyle w:val="ThesisSubheading"/>
      </w:pPr>
      <w:r w:rsidRPr="00AB646F">
        <w:t>1.</w:t>
      </w:r>
      <w:r w:rsidR="002657B4">
        <w:t>5</w:t>
      </w:r>
      <w:r w:rsidRPr="00AB646F">
        <w:t>.</w:t>
      </w:r>
      <w:r>
        <w:t>2</w:t>
      </w:r>
      <w:r w:rsidRPr="00AB646F">
        <w:t xml:space="preserve">. </w:t>
      </w:r>
      <w:r w:rsidR="002929D8">
        <w:t xml:space="preserve">HOR </w:t>
      </w:r>
      <w:r w:rsidR="002929D8" w:rsidRPr="00AB646F">
        <w:t>Reactions</w:t>
      </w:r>
      <w:r w:rsidRPr="00AB646F">
        <w:t xml:space="preserve"> and Mechanistic path</w:t>
      </w:r>
    </w:p>
    <w:p w:rsidR="007B25EC" w:rsidRPr="00A840A2" w:rsidRDefault="007B25EC" w:rsidP="007B25EC">
      <w:pPr>
        <w:pStyle w:val="ThesisText"/>
        <w:spacing w:before="240"/>
        <w:ind w:firstLine="0"/>
      </w:pPr>
      <w:r>
        <w:t>Electro oxidation of hydrazine depends upon the electrode materials generally four electron transfer reaction.</w:t>
      </w:r>
      <w:r w:rsidR="003C7910">
        <w:fldChar w:fldCharType="begin" w:fldLock="1"/>
      </w:r>
      <w:r w:rsidR="002929D8">
        <w:instrText xml:space="preserve">ADDIN CSL_CITATION {"citationItems":[{"id":"ITEM-1","itemData":{"DOI":"10.1021/acs.energyfuels.0c04298","ISSN":"0887-0624","abstract":"In this work, a new method is developed to synthesize an L-cysteine-based graphene oxide (L-Cy-rGO) electrocatalyst by a chemical synthesis approach. The electrocatalytic studies of L-Cy-rGO for the oxygen reduction reaction (ORR) and hydrazine oxidation reaction (HOR) have been demonstrated, as important fuel-cell oxidation and reduction reactions confirm its bifunctional nature. The electrochemical ORR performance of L-Cy-rGO is significantly improved with an onset potential of 0.77 V vs reversible hydrogen electrode (RHE) and a current density of −2.32 mA/cm 2 in O 2-saturated 0.5 M KOH electrolytes. The electrochemical impedance spectroscopy (EIS) and chronoamperometric (i−t) measurements of the electrocatalyst are also carried out toward determining the feasibility of electron transfer and current/ potential stability at the interface. The L-Cy-rGO electrocatalyst shows excellent activity toward ORR in alkaline medium. Furthermore, L-Cy-rGO shows better electrocatalytic activity toward HOR at an onset potential of 1.01 V vs RHE and the maximum current density of 65 mA/cm 2 at a potential of 1.59 V vs RHE at 35 μM hydrazine hydrate in 0.5 M KOH. The electrochemical studies show that the L-Cy-rGO exhibits the highest electrocatalytic activity toward hydrazine oxidation. Moreover, the L-cysteine-functionalized graphene oxide supporting material plays an excellent role that could be from their synergistic catalytic effect. The L-Cy-rGO electrocatalyst shows excellent electrochemical ORR and HOR performances due to the presence of Sand N-heteroatom-containing surface of GO that enhances the electrocatalytic activity and electron transfer capabilities toward the ORR. Morphological studies based on high-resolution transmission electron microscopy (HRTEM) confirm that the size of L-Cy-rGO is </w:instrText>
      </w:r>
      <w:r w:rsidR="002929D8">
        <w:rPr>
          <w:rFonts w:ascii="Cambria Math" w:hAnsi="Cambria Math" w:cs="Cambria Math"/>
        </w:rPr>
        <w:instrText>∼</w:instrText>
      </w:r>
      <w:r w:rsidR="002929D8">
        <w:instrText>10 nm. X-ray photoelectron spectroscopy (XPS) analysis confirms the surface functionalization of GO by L-cysteine (L-Cy-rGO) from the binding energies of C−S, C−N, C−O, and C−C signals. Based on these findings, we find that the metal-free amino acid-functionalized carbon-based electrocatalyst shows excellent electrochemical ORR and HOR performances and demonstrate its key role toward enhancement in activities.","author":[{"dropping-particle":"","family":"Sapner","given":"Vijay S.","non-dropping-particle":"","parse-names":false,"suffix":""},{"dropping-particle":"","family":"Chavan","given":"Parag P.","non-dropping-particle":"","parse-names":false,"suffix":""},{"dropping-particle":"V.","family":"Munde","given":"Ajay","non-dropping-particle":"","parse-names":false,"suffix":""},{"dropping-particle":"","family":"Sayyad","given":"Umarfaruk S.","non-dropping-particle":"","parse-names":false,"suffix":""},{"dropping-particle":"","family":"Sathe","given":"Bhaskar R.","non-dropping-particle":"","parse-names":false,"suffix":""}],"container-title":"Energy &amp; Fuels","id":"ITEM-1","issue":"8","issued":{"date-parts":[["2021","4","15"]]},"page":"6823-6834","publisher":"American Chemical Society (ACS)","title":"Heteroatom (N, O, and S)-Based Biomolecule-Functionalized Graphene Oxide: A Bifunctional Electrocatalyst for Enhancing Hydrazine Oxidation and Oxygen Reduction Reactions","type":"article-journal","volume":"35"},"uris":["http://www.mendeley.com/documents/?uuid=99212f4b-0882-3c66-aaf6-92abf8b2c2f2"]}],"mendeley":{"formattedCitation":"&lt;sup&gt;30&lt;/sup&gt;","plainTextFormattedCitation":"30"},"properties":{"noteIndex":0},"schema":"https://github.com/citation-style-language/schema/raw/master/csl-citation.json"}</w:instrText>
      </w:r>
      <w:r w:rsidR="003C7910">
        <w:fldChar w:fldCharType="separate"/>
      </w:r>
      <w:r w:rsidR="002929D8" w:rsidRPr="002929D8">
        <w:rPr>
          <w:noProof/>
          <w:vertAlign w:val="superscript"/>
        </w:rPr>
        <w:t>30</w:t>
      </w:r>
      <w:r w:rsidR="003C7910">
        <w:fldChar w:fldCharType="end"/>
      </w:r>
      <w:r>
        <w:t xml:space="preserve"> </w:t>
      </w:r>
      <w:r w:rsidR="00324744" w:rsidRPr="00A840A2">
        <w:t xml:space="preserve">The electrocatalytical potential mechanistic route of the hydrazine oxidation reaction (HOR) is shown in </w:t>
      </w:r>
      <w:r w:rsidR="00324744" w:rsidRPr="00A840A2">
        <w:rPr>
          <w:b/>
        </w:rPr>
        <w:t>Figure 1.11;</w:t>
      </w:r>
      <w:r w:rsidR="00324744" w:rsidRPr="00A840A2">
        <w:t xml:space="preserve"> the first step is the rate-determining slow step, in which one electron transfer is involved, and the second step is the fast phase, in which three electron </w:t>
      </w:r>
      <w:r w:rsidR="00324744" w:rsidRPr="00A840A2">
        <w:lastRenderedPageBreak/>
        <w:t>transfer processes are involved. Thus, the blue circle represents the entire hydrazine oxidation process.</w:t>
      </w:r>
    </w:p>
    <w:p w:rsidR="007B25EC" w:rsidRDefault="007B25EC" w:rsidP="007B25EC">
      <w:pPr>
        <w:pStyle w:val="ThesisText"/>
        <w:ind w:firstLine="0"/>
        <w:jc w:val="center"/>
      </w:pPr>
      <w:r>
        <w:rPr>
          <w:noProof/>
        </w:rPr>
        <w:drawing>
          <wp:inline distT="0" distB="0" distL="0" distR="0">
            <wp:extent cx="4887433" cy="3200400"/>
            <wp:effectExtent l="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887433" cy="3200400"/>
                    </a:xfrm>
                    <a:prstGeom prst="rect">
                      <a:avLst/>
                    </a:prstGeom>
                    <a:noFill/>
                    <a:ln w="9525">
                      <a:noFill/>
                      <a:miter lim="800000"/>
                      <a:headEnd/>
                      <a:tailEnd/>
                    </a:ln>
                  </pic:spPr>
                </pic:pic>
              </a:graphicData>
            </a:graphic>
          </wp:inline>
        </w:drawing>
      </w:r>
    </w:p>
    <w:p w:rsidR="007B25EC" w:rsidRPr="00AB646F" w:rsidRDefault="007B25EC" w:rsidP="007B25EC">
      <w:pPr>
        <w:pStyle w:val="ThesisFigCaption"/>
        <w:spacing w:line="276" w:lineRule="auto"/>
      </w:pPr>
      <w:r w:rsidRPr="00594198">
        <w:rPr>
          <w:b/>
        </w:rPr>
        <w:t>Figure</w:t>
      </w:r>
      <w:r w:rsidR="002657B4">
        <w:rPr>
          <w:b/>
        </w:rPr>
        <w:t xml:space="preserve"> 1.11</w:t>
      </w:r>
      <w:r w:rsidRPr="00594198">
        <w:rPr>
          <w:b/>
        </w:rPr>
        <w:t>:</w:t>
      </w:r>
      <w:r>
        <w:t xml:space="preserve"> Schematic representation of hydrazine oxidation reaction mechanism.</w:t>
      </w:r>
    </w:p>
    <w:p w:rsidR="002929D8" w:rsidRPr="002929D8" w:rsidRDefault="003C7910" w:rsidP="002929D8">
      <w:pPr>
        <w:widowControl w:val="0"/>
        <w:autoSpaceDE w:val="0"/>
        <w:autoSpaceDN w:val="0"/>
        <w:adjustRightInd w:val="0"/>
        <w:spacing w:line="240" w:lineRule="auto"/>
        <w:ind w:left="640" w:hanging="640"/>
        <w:rPr>
          <w:rFonts w:ascii="Calibri" w:hAnsi="Calibri" w:cs="Calibri"/>
          <w:noProof/>
          <w:szCs w:val="24"/>
        </w:rPr>
      </w:pPr>
      <w:r>
        <w:fldChar w:fldCharType="begin" w:fldLock="1"/>
      </w:r>
      <w:r w:rsidR="007B25EC">
        <w:instrText xml:space="preserve">ADDIN Mendeley Bibliography CSL_BIBLIOGRAPHY </w:instrText>
      </w:r>
      <w:r>
        <w:fldChar w:fldCharType="separate"/>
      </w:r>
      <w:r w:rsidR="002929D8" w:rsidRPr="002929D8">
        <w:rPr>
          <w:rFonts w:ascii="Calibri" w:hAnsi="Calibri" w:cs="Calibri"/>
          <w:noProof/>
          <w:szCs w:val="24"/>
        </w:rPr>
        <w:t>1</w:t>
      </w:r>
      <w:r w:rsidR="002929D8" w:rsidRPr="002929D8">
        <w:rPr>
          <w:rFonts w:ascii="Calibri" w:hAnsi="Calibri" w:cs="Calibri"/>
          <w:noProof/>
          <w:szCs w:val="24"/>
        </w:rPr>
        <w:tab/>
        <w:t xml:space="preserve">L. C. Clark and C. Lyons, </w:t>
      </w:r>
      <w:r w:rsidR="002929D8" w:rsidRPr="002929D8">
        <w:rPr>
          <w:rFonts w:ascii="Calibri" w:hAnsi="Calibri" w:cs="Calibri"/>
          <w:i/>
          <w:iCs/>
          <w:noProof/>
          <w:szCs w:val="24"/>
        </w:rPr>
        <w:t>Ann. N. Y. Acad. Sci.</w:t>
      </w:r>
      <w:r w:rsidR="002929D8" w:rsidRPr="002929D8">
        <w:rPr>
          <w:rFonts w:ascii="Calibri" w:hAnsi="Calibri" w:cs="Calibri"/>
          <w:noProof/>
          <w:szCs w:val="24"/>
        </w:rPr>
        <w:t xml:space="preserve">, 2006, </w:t>
      </w:r>
      <w:r w:rsidR="002929D8" w:rsidRPr="002929D8">
        <w:rPr>
          <w:rFonts w:ascii="Calibri" w:hAnsi="Calibri" w:cs="Calibri"/>
          <w:b/>
          <w:bCs/>
          <w:noProof/>
          <w:szCs w:val="24"/>
        </w:rPr>
        <w:t>102</w:t>
      </w:r>
      <w:r w:rsidR="002929D8" w:rsidRPr="002929D8">
        <w:rPr>
          <w:rFonts w:ascii="Calibri" w:hAnsi="Calibri" w:cs="Calibri"/>
          <w:noProof/>
          <w:szCs w:val="24"/>
        </w:rPr>
        <w:t>, 29–45.</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w:t>
      </w:r>
      <w:r w:rsidRPr="002929D8">
        <w:rPr>
          <w:rFonts w:ascii="Calibri" w:hAnsi="Calibri" w:cs="Calibri"/>
          <w:noProof/>
          <w:szCs w:val="24"/>
        </w:rPr>
        <w:tab/>
        <w:t xml:space="preserve">S. F. Oliveira, G. Bisker, N. A. Bakh, S. L. Gibbs, M. P. Landry and M. S. Strano, </w:t>
      </w:r>
      <w:r w:rsidRPr="002929D8">
        <w:rPr>
          <w:rFonts w:ascii="Calibri" w:hAnsi="Calibri" w:cs="Calibri"/>
          <w:i/>
          <w:iCs/>
          <w:noProof/>
          <w:szCs w:val="24"/>
        </w:rPr>
        <w:t xml:space="preserve">Carbon </w:t>
      </w:r>
      <w:r w:rsidRPr="002929D8">
        <w:rPr>
          <w:rFonts w:ascii="Calibri" w:hAnsi="Calibri" w:cs="Calibri"/>
          <w:noProof/>
          <w:szCs w:val="24"/>
        </w:rPr>
        <w:t xml:space="preserve">, 2015, </w:t>
      </w:r>
      <w:r w:rsidRPr="002929D8">
        <w:rPr>
          <w:rFonts w:ascii="Calibri" w:hAnsi="Calibri" w:cs="Calibri"/>
          <w:b/>
          <w:bCs/>
          <w:noProof/>
          <w:szCs w:val="24"/>
        </w:rPr>
        <w:t>95</w:t>
      </w:r>
      <w:r w:rsidRPr="002929D8">
        <w:rPr>
          <w:rFonts w:ascii="Calibri" w:hAnsi="Calibri" w:cs="Calibri"/>
          <w:noProof/>
          <w:szCs w:val="24"/>
        </w:rPr>
        <w:t>, 767–779.</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3</w:t>
      </w:r>
      <w:r w:rsidRPr="002929D8">
        <w:rPr>
          <w:rFonts w:ascii="Calibri" w:hAnsi="Calibri" w:cs="Calibri"/>
          <w:noProof/>
          <w:szCs w:val="24"/>
        </w:rPr>
        <w:tab/>
        <w:t xml:space="preserve">E. Piccinini, C. Bliem, C. Reiner-rozman, F. Battaglini, O. Azzaroni and W. Knoll, </w:t>
      </w:r>
      <w:r w:rsidRPr="002929D8">
        <w:rPr>
          <w:rFonts w:ascii="Calibri" w:hAnsi="Calibri" w:cs="Calibri"/>
          <w:i/>
          <w:iCs/>
          <w:noProof/>
          <w:szCs w:val="24"/>
        </w:rPr>
        <w:t>Biosens. Bioelectron.</w:t>
      </w:r>
      <w:r w:rsidRPr="002929D8">
        <w:rPr>
          <w:rFonts w:ascii="Calibri" w:hAnsi="Calibri" w:cs="Calibri"/>
          <w:noProof/>
          <w:szCs w:val="24"/>
        </w:rPr>
        <w:t xml:space="preserve">, 2017, </w:t>
      </w:r>
      <w:r w:rsidRPr="002929D8">
        <w:rPr>
          <w:rFonts w:ascii="Calibri" w:hAnsi="Calibri" w:cs="Calibri"/>
          <w:b/>
          <w:bCs/>
          <w:noProof/>
          <w:szCs w:val="24"/>
        </w:rPr>
        <w:t>92</w:t>
      </w:r>
      <w:r w:rsidRPr="002929D8">
        <w:rPr>
          <w:rFonts w:ascii="Calibri" w:hAnsi="Calibri" w:cs="Calibri"/>
          <w:noProof/>
          <w:szCs w:val="24"/>
        </w:rPr>
        <w:t>, 661–667.</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4</w:t>
      </w:r>
      <w:r w:rsidRPr="002929D8">
        <w:rPr>
          <w:rFonts w:ascii="Calibri" w:hAnsi="Calibri" w:cs="Calibri"/>
          <w:noProof/>
          <w:szCs w:val="24"/>
        </w:rPr>
        <w:tab/>
        <w:t xml:space="preserve">E. Katz and I. Willner, </w:t>
      </w:r>
      <w:r w:rsidRPr="002929D8">
        <w:rPr>
          <w:rFonts w:ascii="Calibri" w:hAnsi="Calibri" w:cs="Calibri"/>
          <w:i/>
          <w:iCs/>
          <w:noProof/>
          <w:szCs w:val="24"/>
        </w:rPr>
        <w:t>ChemPhysChem</w:t>
      </w:r>
      <w:r w:rsidRPr="002929D8">
        <w:rPr>
          <w:rFonts w:ascii="Calibri" w:hAnsi="Calibri" w:cs="Calibri"/>
          <w:noProof/>
          <w:szCs w:val="24"/>
        </w:rPr>
        <w:t xml:space="preserve">, 2004, </w:t>
      </w:r>
      <w:r w:rsidRPr="002929D8">
        <w:rPr>
          <w:rFonts w:ascii="Calibri" w:hAnsi="Calibri" w:cs="Calibri"/>
          <w:b/>
          <w:bCs/>
          <w:noProof/>
          <w:szCs w:val="24"/>
        </w:rPr>
        <w:t>5</w:t>
      </w:r>
      <w:r w:rsidRPr="002929D8">
        <w:rPr>
          <w:rFonts w:ascii="Calibri" w:hAnsi="Calibri" w:cs="Calibri"/>
          <w:noProof/>
          <w:szCs w:val="24"/>
        </w:rPr>
        <w:t>, 1084–1104.</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5</w:t>
      </w:r>
      <w:r w:rsidRPr="002929D8">
        <w:rPr>
          <w:rFonts w:ascii="Calibri" w:hAnsi="Calibri" w:cs="Calibri"/>
          <w:noProof/>
          <w:szCs w:val="24"/>
        </w:rPr>
        <w:tab/>
        <w:t xml:space="preserve">J. Wang, </w:t>
      </w:r>
      <w:r w:rsidRPr="002929D8">
        <w:rPr>
          <w:rFonts w:ascii="Calibri" w:hAnsi="Calibri" w:cs="Calibri"/>
          <w:i/>
          <w:iCs/>
          <w:noProof/>
          <w:szCs w:val="24"/>
        </w:rPr>
        <w:t>Anal. Chim. Acta</w:t>
      </w:r>
      <w:r w:rsidRPr="002929D8">
        <w:rPr>
          <w:rFonts w:ascii="Calibri" w:hAnsi="Calibri" w:cs="Calibri"/>
          <w:noProof/>
          <w:szCs w:val="24"/>
        </w:rPr>
        <w:t xml:space="preserve">, 2002, </w:t>
      </w:r>
      <w:r w:rsidRPr="002929D8">
        <w:rPr>
          <w:rFonts w:ascii="Calibri" w:hAnsi="Calibri" w:cs="Calibri"/>
          <w:b/>
          <w:bCs/>
          <w:noProof/>
          <w:szCs w:val="24"/>
        </w:rPr>
        <w:t>469</w:t>
      </w:r>
      <w:r w:rsidRPr="002929D8">
        <w:rPr>
          <w:rFonts w:ascii="Calibri" w:hAnsi="Calibri" w:cs="Calibri"/>
          <w:noProof/>
          <w:szCs w:val="24"/>
        </w:rPr>
        <w:t>, 63–71.</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6</w:t>
      </w:r>
      <w:r w:rsidRPr="002929D8">
        <w:rPr>
          <w:rFonts w:ascii="Calibri" w:hAnsi="Calibri" w:cs="Calibri"/>
          <w:noProof/>
          <w:szCs w:val="24"/>
        </w:rPr>
        <w:tab/>
        <w:t xml:space="preserve">Y. Hahn, R. Ahmad and N. Tripathy, </w:t>
      </w:r>
      <w:r w:rsidRPr="002929D8">
        <w:rPr>
          <w:rFonts w:ascii="Calibri" w:hAnsi="Calibri" w:cs="Calibri"/>
          <w:i/>
          <w:iCs/>
          <w:noProof/>
          <w:szCs w:val="24"/>
        </w:rPr>
        <w:t>Chem. Commun.</w:t>
      </w:r>
      <w:r w:rsidRPr="002929D8">
        <w:rPr>
          <w:rFonts w:ascii="Calibri" w:hAnsi="Calibri" w:cs="Calibri"/>
          <w:noProof/>
          <w:szCs w:val="24"/>
        </w:rPr>
        <w:t xml:space="preserve">, 2012, </w:t>
      </w:r>
      <w:r w:rsidRPr="002929D8">
        <w:rPr>
          <w:rFonts w:ascii="Calibri" w:hAnsi="Calibri" w:cs="Calibri"/>
          <w:b/>
          <w:bCs/>
          <w:noProof/>
          <w:szCs w:val="24"/>
        </w:rPr>
        <w:t>48</w:t>
      </w:r>
      <w:r w:rsidRPr="002929D8">
        <w:rPr>
          <w:rFonts w:ascii="Calibri" w:hAnsi="Calibri" w:cs="Calibri"/>
          <w:noProof/>
          <w:szCs w:val="24"/>
        </w:rPr>
        <w:t>, 10369–10385.</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7</w:t>
      </w:r>
      <w:r w:rsidRPr="002929D8">
        <w:rPr>
          <w:rFonts w:ascii="Calibri" w:hAnsi="Calibri" w:cs="Calibri"/>
          <w:noProof/>
          <w:szCs w:val="24"/>
        </w:rPr>
        <w:tab/>
        <w:t xml:space="preserve">Y. Wang, Z. Li, J. Wang, J. Li and Y. Lin, </w:t>
      </w:r>
      <w:r w:rsidRPr="002929D8">
        <w:rPr>
          <w:rFonts w:ascii="Calibri" w:hAnsi="Calibri" w:cs="Calibri"/>
          <w:i/>
          <w:iCs/>
          <w:noProof/>
          <w:szCs w:val="24"/>
        </w:rPr>
        <w:t>Trends Biotechnol.</w:t>
      </w:r>
      <w:r w:rsidRPr="002929D8">
        <w:rPr>
          <w:rFonts w:ascii="Calibri" w:hAnsi="Calibri" w:cs="Calibri"/>
          <w:noProof/>
          <w:szCs w:val="24"/>
        </w:rPr>
        <w:t xml:space="preserve">, 2011, </w:t>
      </w:r>
      <w:r w:rsidRPr="002929D8">
        <w:rPr>
          <w:rFonts w:ascii="Calibri" w:hAnsi="Calibri" w:cs="Calibri"/>
          <w:b/>
          <w:bCs/>
          <w:noProof/>
          <w:szCs w:val="24"/>
        </w:rPr>
        <w:t>29</w:t>
      </w:r>
      <w:r w:rsidRPr="002929D8">
        <w:rPr>
          <w:rFonts w:ascii="Calibri" w:hAnsi="Calibri" w:cs="Calibri"/>
          <w:noProof/>
          <w:szCs w:val="24"/>
        </w:rPr>
        <w:t>, 205–212.</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8</w:t>
      </w:r>
      <w:r w:rsidRPr="002929D8">
        <w:rPr>
          <w:rFonts w:ascii="Calibri" w:hAnsi="Calibri" w:cs="Calibri"/>
          <w:noProof/>
          <w:szCs w:val="24"/>
        </w:rPr>
        <w:tab/>
        <w:t xml:space="preserve">P. Sharma, S. K. Tuteja, V. Bhalla, G. Shekhawat, V. P. Dravid and C. R. Suri, </w:t>
      </w:r>
      <w:r w:rsidRPr="002929D8">
        <w:rPr>
          <w:rFonts w:ascii="Calibri" w:hAnsi="Calibri" w:cs="Calibri"/>
          <w:i/>
          <w:iCs/>
          <w:noProof/>
          <w:szCs w:val="24"/>
        </w:rPr>
        <w:t>Biosens. Bioelectron.</w:t>
      </w:r>
      <w:r w:rsidRPr="002929D8">
        <w:rPr>
          <w:rFonts w:ascii="Calibri" w:hAnsi="Calibri" w:cs="Calibri"/>
          <w:noProof/>
          <w:szCs w:val="24"/>
        </w:rPr>
        <w:t xml:space="preserve">, 2013, </w:t>
      </w:r>
      <w:r w:rsidRPr="002929D8">
        <w:rPr>
          <w:rFonts w:ascii="Calibri" w:hAnsi="Calibri" w:cs="Calibri"/>
          <w:b/>
          <w:bCs/>
          <w:noProof/>
          <w:szCs w:val="24"/>
        </w:rPr>
        <w:t>39</w:t>
      </w:r>
      <w:r w:rsidRPr="002929D8">
        <w:rPr>
          <w:rFonts w:ascii="Calibri" w:hAnsi="Calibri" w:cs="Calibri"/>
          <w:noProof/>
          <w:szCs w:val="24"/>
        </w:rPr>
        <w:t>, 99–105.</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9</w:t>
      </w:r>
      <w:r w:rsidRPr="002929D8">
        <w:rPr>
          <w:rFonts w:ascii="Calibri" w:hAnsi="Calibri" w:cs="Calibri"/>
          <w:noProof/>
          <w:szCs w:val="24"/>
        </w:rPr>
        <w:tab/>
        <w:t xml:space="preserve">S. Zeng, D. Baillargeat, H. Ho and K. Yong, </w:t>
      </w:r>
      <w:r w:rsidRPr="002929D8">
        <w:rPr>
          <w:rFonts w:ascii="Calibri" w:hAnsi="Calibri" w:cs="Calibri"/>
          <w:i/>
          <w:iCs/>
          <w:noProof/>
          <w:szCs w:val="24"/>
        </w:rPr>
        <w:t>Chem. Soc. Rev.</w:t>
      </w:r>
      <w:r w:rsidRPr="002929D8">
        <w:rPr>
          <w:rFonts w:ascii="Calibri" w:hAnsi="Calibri" w:cs="Calibri"/>
          <w:noProof/>
          <w:szCs w:val="24"/>
        </w:rPr>
        <w:t xml:space="preserve">, 2014, </w:t>
      </w:r>
      <w:r w:rsidRPr="002929D8">
        <w:rPr>
          <w:rFonts w:ascii="Calibri" w:hAnsi="Calibri" w:cs="Calibri"/>
          <w:b/>
          <w:bCs/>
          <w:noProof/>
          <w:szCs w:val="24"/>
        </w:rPr>
        <w:t>43</w:t>
      </w:r>
      <w:r w:rsidRPr="002929D8">
        <w:rPr>
          <w:rFonts w:ascii="Calibri" w:hAnsi="Calibri" w:cs="Calibri"/>
          <w:noProof/>
          <w:szCs w:val="24"/>
        </w:rPr>
        <w:t>, 3426.</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10</w:t>
      </w:r>
      <w:r w:rsidRPr="002929D8">
        <w:rPr>
          <w:rFonts w:ascii="Calibri" w:hAnsi="Calibri" w:cs="Calibri"/>
          <w:noProof/>
          <w:szCs w:val="24"/>
        </w:rPr>
        <w:tab/>
        <w:t xml:space="preserve">K. Schmidt-Rohr, </w:t>
      </w:r>
      <w:r w:rsidRPr="002929D8">
        <w:rPr>
          <w:rFonts w:ascii="Calibri" w:hAnsi="Calibri" w:cs="Calibri"/>
          <w:i/>
          <w:iCs/>
          <w:noProof/>
          <w:szCs w:val="24"/>
        </w:rPr>
        <w:t>J. Chem. Educ.</w:t>
      </w:r>
      <w:r w:rsidRPr="002929D8">
        <w:rPr>
          <w:rFonts w:ascii="Calibri" w:hAnsi="Calibri" w:cs="Calibri"/>
          <w:noProof/>
          <w:szCs w:val="24"/>
        </w:rPr>
        <w:t xml:space="preserve">, 2015, </w:t>
      </w:r>
      <w:r w:rsidRPr="002929D8">
        <w:rPr>
          <w:rFonts w:ascii="Calibri" w:hAnsi="Calibri" w:cs="Calibri"/>
          <w:b/>
          <w:bCs/>
          <w:noProof/>
          <w:szCs w:val="24"/>
        </w:rPr>
        <w:t>92</w:t>
      </w:r>
      <w:r w:rsidRPr="002929D8">
        <w:rPr>
          <w:rFonts w:ascii="Calibri" w:hAnsi="Calibri" w:cs="Calibri"/>
          <w:noProof/>
          <w:szCs w:val="24"/>
        </w:rPr>
        <w:t>, 2094–2099.</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11</w:t>
      </w:r>
      <w:r w:rsidRPr="002929D8">
        <w:rPr>
          <w:rFonts w:ascii="Calibri" w:hAnsi="Calibri" w:cs="Calibri"/>
          <w:noProof/>
          <w:szCs w:val="24"/>
        </w:rPr>
        <w:tab/>
        <w:t xml:space="preserve">X. Li and A. Faghri, </w:t>
      </w:r>
      <w:r w:rsidRPr="002929D8">
        <w:rPr>
          <w:rFonts w:ascii="Calibri" w:hAnsi="Calibri" w:cs="Calibri"/>
          <w:i/>
          <w:iCs/>
          <w:noProof/>
          <w:szCs w:val="24"/>
        </w:rPr>
        <w:t>J. Power Sources</w:t>
      </w:r>
      <w:r w:rsidRPr="002929D8">
        <w:rPr>
          <w:rFonts w:ascii="Calibri" w:hAnsi="Calibri" w:cs="Calibri"/>
          <w:noProof/>
          <w:szCs w:val="24"/>
        </w:rPr>
        <w:t xml:space="preserve">, 2013, </w:t>
      </w:r>
      <w:r w:rsidRPr="002929D8">
        <w:rPr>
          <w:rFonts w:ascii="Calibri" w:hAnsi="Calibri" w:cs="Calibri"/>
          <w:b/>
          <w:bCs/>
          <w:noProof/>
          <w:szCs w:val="24"/>
        </w:rPr>
        <w:t>226</w:t>
      </w:r>
      <w:r w:rsidRPr="002929D8">
        <w:rPr>
          <w:rFonts w:ascii="Calibri" w:hAnsi="Calibri" w:cs="Calibri"/>
          <w:noProof/>
          <w:szCs w:val="24"/>
        </w:rPr>
        <w:t>, 223–240.</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lastRenderedPageBreak/>
        <w:t>12</w:t>
      </w:r>
      <w:r w:rsidRPr="002929D8">
        <w:rPr>
          <w:rFonts w:ascii="Calibri" w:hAnsi="Calibri" w:cs="Calibri"/>
          <w:noProof/>
          <w:szCs w:val="24"/>
        </w:rPr>
        <w:tab/>
        <w:t xml:space="preserve">Y. Wei, S. Matar, L. Shen, X. Zhang, Z. Guo, H. Zhu and H. Liu, </w:t>
      </w:r>
      <w:r w:rsidRPr="002929D8">
        <w:rPr>
          <w:rFonts w:ascii="Calibri" w:hAnsi="Calibri" w:cs="Calibri"/>
          <w:i/>
          <w:iCs/>
          <w:noProof/>
          <w:szCs w:val="24"/>
        </w:rPr>
        <w:t>Int. J. Hydrogen Energy</w:t>
      </w:r>
      <w:r w:rsidRPr="002929D8">
        <w:rPr>
          <w:rFonts w:ascii="Calibri" w:hAnsi="Calibri" w:cs="Calibri"/>
          <w:noProof/>
          <w:szCs w:val="24"/>
        </w:rPr>
        <w:t xml:space="preserve">, 2012, </w:t>
      </w:r>
      <w:r w:rsidRPr="002929D8">
        <w:rPr>
          <w:rFonts w:ascii="Calibri" w:hAnsi="Calibri" w:cs="Calibri"/>
          <w:b/>
          <w:bCs/>
          <w:noProof/>
          <w:szCs w:val="24"/>
        </w:rPr>
        <w:t>37</w:t>
      </w:r>
      <w:r w:rsidRPr="002929D8">
        <w:rPr>
          <w:rFonts w:ascii="Calibri" w:hAnsi="Calibri" w:cs="Calibri"/>
          <w:noProof/>
          <w:szCs w:val="24"/>
        </w:rPr>
        <w:t>, 1857–1864.</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13</w:t>
      </w:r>
      <w:r w:rsidRPr="002929D8">
        <w:rPr>
          <w:rFonts w:ascii="Calibri" w:hAnsi="Calibri" w:cs="Calibri"/>
          <w:noProof/>
          <w:szCs w:val="24"/>
        </w:rPr>
        <w:tab/>
        <w:t xml:space="preserve">S. Matar and H. Liu, </w:t>
      </w:r>
      <w:r w:rsidRPr="002929D8">
        <w:rPr>
          <w:rFonts w:ascii="Calibri" w:hAnsi="Calibri" w:cs="Calibri"/>
          <w:i/>
          <w:iCs/>
          <w:noProof/>
          <w:szCs w:val="24"/>
        </w:rPr>
        <w:t>Electrochim. Acta</w:t>
      </w:r>
      <w:r w:rsidRPr="002929D8">
        <w:rPr>
          <w:rFonts w:ascii="Calibri" w:hAnsi="Calibri" w:cs="Calibri"/>
          <w:noProof/>
          <w:szCs w:val="24"/>
        </w:rPr>
        <w:t xml:space="preserve">, 2010, </w:t>
      </w:r>
      <w:r w:rsidRPr="002929D8">
        <w:rPr>
          <w:rFonts w:ascii="Calibri" w:hAnsi="Calibri" w:cs="Calibri"/>
          <w:b/>
          <w:bCs/>
          <w:noProof/>
          <w:szCs w:val="24"/>
        </w:rPr>
        <w:t>56</w:t>
      </w:r>
      <w:r w:rsidRPr="002929D8">
        <w:rPr>
          <w:rFonts w:ascii="Calibri" w:hAnsi="Calibri" w:cs="Calibri"/>
          <w:noProof/>
          <w:szCs w:val="24"/>
        </w:rPr>
        <w:t>, 600–606.</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14</w:t>
      </w:r>
      <w:r w:rsidRPr="002929D8">
        <w:rPr>
          <w:rFonts w:ascii="Calibri" w:hAnsi="Calibri" w:cs="Calibri"/>
          <w:noProof/>
          <w:szCs w:val="24"/>
        </w:rPr>
        <w:tab/>
        <w:t xml:space="preserve">S. Almheiri and H. Liu, </w:t>
      </w:r>
      <w:r w:rsidRPr="002929D8">
        <w:rPr>
          <w:rFonts w:ascii="Calibri" w:hAnsi="Calibri" w:cs="Calibri"/>
          <w:i/>
          <w:iCs/>
          <w:noProof/>
          <w:szCs w:val="24"/>
        </w:rPr>
        <w:t>J. Power Sources</w:t>
      </w:r>
      <w:r w:rsidRPr="002929D8">
        <w:rPr>
          <w:rFonts w:ascii="Calibri" w:hAnsi="Calibri" w:cs="Calibri"/>
          <w:noProof/>
          <w:szCs w:val="24"/>
        </w:rPr>
        <w:t xml:space="preserve">, 2014, </w:t>
      </w:r>
      <w:r w:rsidRPr="002929D8">
        <w:rPr>
          <w:rFonts w:ascii="Calibri" w:hAnsi="Calibri" w:cs="Calibri"/>
          <w:b/>
          <w:bCs/>
          <w:noProof/>
          <w:szCs w:val="24"/>
        </w:rPr>
        <w:t>246</w:t>
      </w:r>
      <w:r w:rsidRPr="002929D8">
        <w:rPr>
          <w:rFonts w:ascii="Calibri" w:hAnsi="Calibri" w:cs="Calibri"/>
          <w:noProof/>
          <w:szCs w:val="24"/>
        </w:rPr>
        <w:t>, 899–905.</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15</w:t>
      </w:r>
      <w:r w:rsidRPr="002929D8">
        <w:rPr>
          <w:rFonts w:ascii="Calibri" w:hAnsi="Calibri" w:cs="Calibri"/>
          <w:noProof/>
          <w:szCs w:val="24"/>
        </w:rPr>
        <w:tab/>
        <w:t xml:space="preserve">S. P. S. Badwal, S. Giddey, A. Kulkarni, J. Goel and S. Basu, </w:t>
      </w:r>
      <w:r w:rsidRPr="002929D8">
        <w:rPr>
          <w:rFonts w:ascii="Calibri" w:hAnsi="Calibri" w:cs="Calibri"/>
          <w:i/>
          <w:iCs/>
          <w:noProof/>
          <w:szCs w:val="24"/>
        </w:rPr>
        <w:t>Appl. Energy</w:t>
      </w:r>
      <w:r w:rsidRPr="002929D8">
        <w:rPr>
          <w:rFonts w:ascii="Calibri" w:hAnsi="Calibri" w:cs="Calibri"/>
          <w:noProof/>
          <w:szCs w:val="24"/>
        </w:rPr>
        <w:t xml:space="preserve">, 2015, </w:t>
      </w:r>
      <w:r w:rsidRPr="002929D8">
        <w:rPr>
          <w:rFonts w:ascii="Calibri" w:hAnsi="Calibri" w:cs="Calibri"/>
          <w:b/>
          <w:bCs/>
          <w:noProof/>
          <w:szCs w:val="24"/>
        </w:rPr>
        <w:t>145</w:t>
      </w:r>
      <w:r w:rsidRPr="002929D8">
        <w:rPr>
          <w:rFonts w:ascii="Calibri" w:hAnsi="Calibri" w:cs="Calibri"/>
          <w:noProof/>
          <w:szCs w:val="24"/>
        </w:rPr>
        <w:t>, 80–103.</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16</w:t>
      </w:r>
      <w:r w:rsidRPr="002929D8">
        <w:rPr>
          <w:rFonts w:ascii="Calibri" w:hAnsi="Calibri" w:cs="Calibri"/>
          <w:noProof/>
          <w:szCs w:val="24"/>
        </w:rPr>
        <w:tab/>
        <w:t xml:space="preserve">A. Liu, D. Chen, C. Lin, H. Chou and C. Chen, </w:t>
      </w:r>
      <w:r w:rsidRPr="002929D8">
        <w:rPr>
          <w:rFonts w:ascii="Calibri" w:hAnsi="Calibri" w:cs="Calibri"/>
          <w:i/>
          <w:iCs/>
          <w:noProof/>
          <w:szCs w:val="24"/>
        </w:rPr>
        <w:t>Anal. Chem.</w:t>
      </w:r>
      <w:r w:rsidRPr="002929D8">
        <w:rPr>
          <w:rFonts w:ascii="Calibri" w:hAnsi="Calibri" w:cs="Calibri"/>
          <w:noProof/>
          <w:szCs w:val="24"/>
        </w:rPr>
        <w:t xml:space="preserve">, 1999, </w:t>
      </w:r>
      <w:r w:rsidRPr="002929D8">
        <w:rPr>
          <w:rFonts w:ascii="Calibri" w:hAnsi="Calibri" w:cs="Calibri"/>
          <w:b/>
          <w:bCs/>
          <w:noProof/>
          <w:szCs w:val="24"/>
        </w:rPr>
        <w:t>71</w:t>
      </w:r>
      <w:r w:rsidRPr="002929D8">
        <w:rPr>
          <w:rFonts w:ascii="Calibri" w:hAnsi="Calibri" w:cs="Calibri"/>
          <w:noProof/>
          <w:szCs w:val="24"/>
        </w:rPr>
        <w:t>, 1549–1552.</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17</w:t>
      </w:r>
      <w:r w:rsidRPr="002929D8">
        <w:rPr>
          <w:rFonts w:ascii="Calibri" w:hAnsi="Calibri" w:cs="Calibri"/>
          <w:noProof/>
          <w:szCs w:val="24"/>
        </w:rPr>
        <w:tab/>
        <w:t xml:space="preserve">J. Wang and Y. Lin, </w:t>
      </w:r>
      <w:r w:rsidRPr="002929D8">
        <w:rPr>
          <w:rFonts w:ascii="Calibri" w:hAnsi="Calibri" w:cs="Calibri"/>
          <w:i/>
          <w:iCs/>
          <w:noProof/>
          <w:szCs w:val="24"/>
        </w:rPr>
        <w:t>TrAC Trends Anal. Chem.</w:t>
      </w:r>
      <w:r w:rsidRPr="002929D8">
        <w:rPr>
          <w:rFonts w:ascii="Calibri" w:hAnsi="Calibri" w:cs="Calibri"/>
          <w:noProof/>
          <w:szCs w:val="24"/>
        </w:rPr>
        <w:t xml:space="preserve">, 2008, </w:t>
      </w:r>
      <w:r w:rsidRPr="002929D8">
        <w:rPr>
          <w:rFonts w:ascii="Calibri" w:hAnsi="Calibri" w:cs="Calibri"/>
          <w:b/>
          <w:bCs/>
          <w:noProof/>
          <w:szCs w:val="24"/>
        </w:rPr>
        <w:t>27</w:t>
      </w:r>
      <w:r w:rsidRPr="002929D8">
        <w:rPr>
          <w:rFonts w:ascii="Calibri" w:hAnsi="Calibri" w:cs="Calibri"/>
          <w:noProof/>
          <w:szCs w:val="24"/>
        </w:rPr>
        <w:t>, 619–626.</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18</w:t>
      </w:r>
      <w:r w:rsidRPr="002929D8">
        <w:rPr>
          <w:rFonts w:ascii="Calibri" w:hAnsi="Calibri" w:cs="Calibri"/>
          <w:noProof/>
          <w:szCs w:val="24"/>
        </w:rPr>
        <w:tab/>
        <w:t xml:space="preserve">K. Schmidt-Rohr, </w:t>
      </w:r>
      <w:r w:rsidRPr="002929D8">
        <w:rPr>
          <w:rFonts w:ascii="Calibri" w:hAnsi="Calibri" w:cs="Calibri"/>
          <w:i/>
          <w:iCs/>
          <w:noProof/>
          <w:szCs w:val="24"/>
        </w:rPr>
        <w:t>J. Chem. Educ.</w:t>
      </w:r>
      <w:r w:rsidRPr="002929D8">
        <w:rPr>
          <w:rFonts w:ascii="Calibri" w:hAnsi="Calibri" w:cs="Calibri"/>
          <w:noProof/>
          <w:szCs w:val="24"/>
        </w:rPr>
        <w:t xml:space="preserve">, 2018, </w:t>
      </w:r>
      <w:r w:rsidRPr="002929D8">
        <w:rPr>
          <w:rFonts w:ascii="Calibri" w:hAnsi="Calibri" w:cs="Calibri"/>
          <w:b/>
          <w:bCs/>
          <w:noProof/>
          <w:szCs w:val="24"/>
        </w:rPr>
        <w:t>95</w:t>
      </w:r>
      <w:r w:rsidRPr="002929D8">
        <w:rPr>
          <w:rFonts w:ascii="Calibri" w:hAnsi="Calibri" w:cs="Calibri"/>
          <w:noProof/>
          <w:szCs w:val="24"/>
        </w:rPr>
        <w:t>, 1801–1810.</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19</w:t>
      </w:r>
      <w:r w:rsidRPr="002929D8">
        <w:rPr>
          <w:rFonts w:ascii="Calibri" w:hAnsi="Calibri" w:cs="Calibri"/>
          <w:noProof/>
          <w:szCs w:val="24"/>
        </w:rPr>
        <w:tab/>
        <w:t xml:space="preserve">V. Dhull, A. Gahlaut, N. Dilbaghi and V. Hooda, </w:t>
      </w:r>
      <w:r w:rsidRPr="002929D8">
        <w:rPr>
          <w:rFonts w:ascii="Calibri" w:hAnsi="Calibri" w:cs="Calibri"/>
          <w:i/>
          <w:iCs/>
          <w:noProof/>
          <w:szCs w:val="24"/>
        </w:rPr>
        <w:t>Biochem. Res. Int.</w:t>
      </w:r>
      <w:r w:rsidRPr="002929D8">
        <w:rPr>
          <w:rFonts w:ascii="Calibri" w:hAnsi="Calibri" w:cs="Calibri"/>
          <w:noProof/>
          <w:szCs w:val="24"/>
        </w:rPr>
        <w:t xml:space="preserve">, 2013, </w:t>
      </w:r>
      <w:r w:rsidRPr="002929D8">
        <w:rPr>
          <w:rFonts w:ascii="Calibri" w:hAnsi="Calibri" w:cs="Calibri"/>
          <w:b/>
          <w:bCs/>
          <w:noProof/>
          <w:szCs w:val="24"/>
        </w:rPr>
        <w:t>2013</w:t>
      </w:r>
      <w:r w:rsidRPr="002929D8">
        <w:rPr>
          <w:rFonts w:ascii="Calibri" w:hAnsi="Calibri" w:cs="Calibri"/>
          <w:noProof/>
          <w:szCs w:val="24"/>
        </w:rPr>
        <w:t>, 1–18.</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20</w:t>
      </w:r>
      <w:r w:rsidRPr="002929D8">
        <w:rPr>
          <w:rFonts w:ascii="Calibri" w:hAnsi="Calibri" w:cs="Calibri"/>
          <w:noProof/>
          <w:szCs w:val="24"/>
        </w:rPr>
        <w:tab/>
        <w:t xml:space="preserve">S. Kumar, P. K. Sahoo and A. K. Satpati, </w:t>
      </w:r>
      <w:r w:rsidRPr="002929D8">
        <w:rPr>
          <w:rFonts w:ascii="Calibri" w:hAnsi="Calibri" w:cs="Calibri"/>
          <w:i/>
          <w:iCs/>
          <w:noProof/>
          <w:szCs w:val="24"/>
        </w:rPr>
        <w:t>ACS Omega</w:t>
      </w:r>
      <w:r w:rsidRPr="002929D8">
        <w:rPr>
          <w:rFonts w:ascii="Calibri" w:hAnsi="Calibri" w:cs="Calibri"/>
          <w:noProof/>
          <w:szCs w:val="24"/>
        </w:rPr>
        <w:t xml:space="preserve">, 2017, </w:t>
      </w:r>
      <w:r w:rsidRPr="002929D8">
        <w:rPr>
          <w:rFonts w:ascii="Calibri" w:hAnsi="Calibri" w:cs="Calibri"/>
          <w:b/>
          <w:bCs/>
          <w:noProof/>
          <w:szCs w:val="24"/>
        </w:rPr>
        <w:t>2</w:t>
      </w:r>
      <w:r w:rsidRPr="002929D8">
        <w:rPr>
          <w:rFonts w:ascii="Calibri" w:hAnsi="Calibri" w:cs="Calibri"/>
          <w:noProof/>
          <w:szCs w:val="24"/>
        </w:rPr>
        <w:t>, 7532–7545.</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21</w:t>
      </w:r>
      <w:r w:rsidRPr="002929D8">
        <w:rPr>
          <w:rFonts w:ascii="Calibri" w:hAnsi="Calibri" w:cs="Calibri"/>
          <w:noProof/>
          <w:szCs w:val="24"/>
        </w:rPr>
        <w:tab/>
        <w:t xml:space="preserve">H. M. A. A. Amin and H. Baltruschat, </w:t>
      </w:r>
      <w:r w:rsidRPr="002929D8">
        <w:rPr>
          <w:rFonts w:ascii="Calibri" w:hAnsi="Calibri" w:cs="Calibri"/>
          <w:i/>
          <w:iCs/>
          <w:noProof/>
          <w:szCs w:val="24"/>
        </w:rPr>
        <w:t>Phys. Chem. Chem. Phys.</w:t>
      </w:r>
      <w:r w:rsidRPr="002929D8">
        <w:rPr>
          <w:rFonts w:ascii="Calibri" w:hAnsi="Calibri" w:cs="Calibri"/>
          <w:noProof/>
          <w:szCs w:val="24"/>
        </w:rPr>
        <w:t xml:space="preserve">, 2017, </w:t>
      </w:r>
      <w:r w:rsidRPr="002929D8">
        <w:rPr>
          <w:rFonts w:ascii="Calibri" w:hAnsi="Calibri" w:cs="Calibri"/>
          <w:b/>
          <w:bCs/>
          <w:noProof/>
          <w:szCs w:val="24"/>
        </w:rPr>
        <w:t>19</w:t>
      </w:r>
      <w:r w:rsidRPr="002929D8">
        <w:rPr>
          <w:rFonts w:ascii="Calibri" w:hAnsi="Calibri" w:cs="Calibri"/>
          <w:noProof/>
          <w:szCs w:val="24"/>
        </w:rPr>
        <w:t>, 25527–25536.</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22</w:t>
      </w:r>
      <w:r w:rsidRPr="002929D8">
        <w:rPr>
          <w:rFonts w:ascii="Calibri" w:hAnsi="Calibri" w:cs="Calibri"/>
          <w:noProof/>
          <w:szCs w:val="24"/>
        </w:rPr>
        <w:tab/>
        <w:t xml:space="preserve">J. Li, J. Kang, Q. Cai, W. Hong, C. Jian, W. Liu and K. Banerjee, </w:t>
      </w:r>
      <w:r w:rsidRPr="002929D8">
        <w:rPr>
          <w:rFonts w:ascii="Calibri" w:hAnsi="Calibri" w:cs="Calibri"/>
          <w:i/>
          <w:iCs/>
          <w:noProof/>
          <w:szCs w:val="24"/>
        </w:rPr>
        <w:t>Adv. Mater. Interfaces</w:t>
      </w:r>
      <w:r w:rsidRPr="002929D8">
        <w:rPr>
          <w:rFonts w:ascii="Calibri" w:hAnsi="Calibri" w:cs="Calibri"/>
          <w:noProof/>
          <w:szCs w:val="24"/>
        </w:rPr>
        <w:t xml:space="preserve">, 2017, </w:t>
      </w:r>
      <w:r w:rsidRPr="002929D8">
        <w:rPr>
          <w:rFonts w:ascii="Calibri" w:hAnsi="Calibri" w:cs="Calibri"/>
          <w:b/>
          <w:bCs/>
          <w:noProof/>
          <w:szCs w:val="24"/>
        </w:rPr>
        <w:t>4</w:t>
      </w:r>
      <w:r w:rsidRPr="002929D8">
        <w:rPr>
          <w:rFonts w:ascii="Calibri" w:hAnsi="Calibri" w:cs="Calibri"/>
          <w:noProof/>
          <w:szCs w:val="24"/>
        </w:rPr>
        <w:t>, 1700303.</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23</w:t>
      </w:r>
      <w:r w:rsidRPr="002929D8">
        <w:rPr>
          <w:rFonts w:ascii="Calibri" w:hAnsi="Calibri" w:cs="Calibri"/>
          <w:noProof/>
          <w:szCs w:val="24"/>
        </w:rPr>
        <w:tab/>
        <w:t xml:space="preserve">S. Saha, K. Kishor, S. Sivakumar and R. G. S. Pala, </w:t>
      </w:r>
      <w:r w:rsidRPr="002929D8">
        <w:rPr>
          <w:rFonts w:ascii="Calibri" w:hAnsi="Calibri" w:cs="Calibri"/>
          <w:i/>
          <w:iCs/>
          <w:noProof/>
          <w:szCs w:val="24"/>
        </w:rPr>
        <w:t>J. Indian Inst. Sci.</w:t>
      </w:r>
      <w:r w:rsidRPr="002929D8">
        <w:rPr>
          <w:rFonts w:ascii="Calibri" w:hAnsi="Calibri" w:cs="Calibri"/>
          <w:noProof/>
          <w:szCs w:val="24"/>
        </w:rPr>
        <w:t xml:space="preserve">, 2016, </w:t>
      </w:r>
      <w:r w:rsidRPr="002929D8">
        <w:rPr>
          <w:rFonts w:ascii="Calibri" w:hAnsi="Calibri" w:cs="Calibri"/>
          <w:b/>
          <w:bCs/>
          <w:noProof/>
          <w:szCs w:val="24"/>
        </w:rPr>
        <w:t>96</w:t>
      </w:r>
      <w:r w:rsidRPr="002929D8">
        <w:rPr>
          <w:rFonts w:ascii="Calibri" w:hAnsi="Calibri" w:cs="Calibri"/>
          <w:noProof/>
          <w:szCs w:val="24"/>
        </w:rPr>
        <w:t>, 325–349.</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24</w:t>
      </w:r>
      <w:r w:rsidRPr="002929D8">
        <w:rPr>
          <w:rFonts w:ascii="Calibri" w:hAnsi="Calibri" w:cs="Calibri"/>
          <w:noProof/>
          <w:szCs w:val="24"/>
        </w:rPr>
        <w:tab/>
        <w:t xml:space="preserve">J. Zhang, Z. Zhao, Z. Xia and L. Dai, </w:t>
      </w:r>
      <w:r w:rsidRPr="002929D8">
        <w:rPr>
          <w:rFonts w:ascii="Calibri" w:hAnsi="Calibri" w:cs="Calibri"/>
          <w:i/>
          <w:iCs/>
          <w:noProof/>
          <w:szCs w:val="24"/>
        </w:rPr>
        <w:t>Nat. Nanotechnol.</w:t>
      </w:r>
      <w:r w:rsidRPr="002929D8">
        <w:rPr>
          <w:rFonts w:ascii="Calibri" w:hAnsi="Calibri" w:cs="Calibri"/>
          <w:noProof/>
          <w:szCs w:val="24"/>
        </w:rPr>
        <w:t xml:space="preserve">, 2015, </w:t>
      </w:r>
      <w:r w:rsidRPr="002929D8">
        <w:rPr>
          <w:rFonts w:ascii="Calibri" w:hAnsi="Calibri" w:cs="Calibri"/>
          <w:b/>
          <w:bCs/>
          <w:noProof/>
          <w:szCs w:val="24"/>
        </w:rPr>
        <w:t>10</w:t>
      </w:r>
      <w:r w:rsidRPr="002929D8">
        <w:rPr>
          <w:rFonts w:ascii="Calibri" w:hAnsi="Calibri" w:cs="Calibri"/>
          <w:noProof/>
          <w:szCs w:val="24"/>
        </w:rPr>
        <w:t>, 444–452.</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25</w:t>
      </w:r>
      <w:r w:rsidRPr="002929D8">
        <w:rPr>
          <w:rFonts w:ascii="Calibri" w:hAnsi="Calibri" w:cs="Calibri"/>
          <w:noProof/>
          <w:szCs w:val="24"/>
        </w:rPr>
        <w:tab/>
        <w:t xml:space="preserve">H. Erikson, A. Sarapuu, J. Kozlova, L. Matisen, V. Sammelselg and K. Tammeveski, </w:t>
      </w:r>
      <w:r w:rsidRPr="002929D8">
        <w:rPr>
          <w:rFonts w:ascii="Calibri" w:hAnsi="Calibri" w:cs="Calibri"/>
          <w:i/>
          <w:iCs/>
          <w:noProof/>
          <w:szCs w:val="24"/>
        </w:rPr>
        <w:t>Electrocatalysis</w:t>
      </w:r>
      <w:r w:rsidRPr="002929D8">
        <w:rPr>
          <w:rFonts w:ascii="Calibri" w:hAnsi="Calibri" w:cs="Calibri"/>
          <w:noProof/>
          <w:szCs w:val="24"/>
        </w:rPr>
        <w:t xml:space="preserve">, 2015, </w:t>
      </w:r>
      <w:r w:rsidRPr="002929D8">
        <w:rPr>
          <w:rFonts w:ascii="Calibri" w:hAnsi="Calibri" w:cs="Calibri"/>
          <w:b/>
          <w:bCs/>
          <w:noProof/>
          <w:szCs w:val="24"/>
        </w:rPr>
        <w:t>6</w:t>
      </w:r>
      <w:r w:rsidRPr="002929D8">
        <w:rPr>
          <w:rFonts w:ascii="Calibri" w:hAnsi="Calibri" w:cs="Calibri"/>
          <w:noProof/>
          <w:szCs w:val="24"/>
        </w:rPr>
        <w:t>, 77–85.</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26</w:t>
      </w:r>
      <w:r w:rsidRPr="002929D8">
        <w:rPr>
          <w:rFonts w:ascii="Calibri" w:hAnsi="Calibri" w:cs="Calibri"/>
          <w:noProof/>
          <w:szCs w:val="24"/>
        </w:rPr>
        <w:tab/>
        <w:t xml:space="preserve">C. K. Chua and M. Pumera, </w:t>
      </w:r>
      <w:r w:rsidRPr="002929D8">
        <w:rPr>
          <w:rFonts w:ascii="Calibri" w:hAnsi="Calibri" w:cs="Calibri"/>
          <w:i/>
          <w:iCs/>
          <w:noProof/>
          <w:szCs w:val="24"/>
        </w:rPr>
        <w:t>ACS Nano</w:t>
      </w:r>
      <w:r w:rsidRPr="002929D8">
        <w:rPr>
          <w:rFonts w:ascii="Calibri" w:hAnsi="Calibri" w:cs="Calibri"/>
          <w:noProof/>
          <w:szCs w:val="24"/>
        </w:rPr>
        <w:t xml:space="preserve">, 2015, </w:t>
      </w:r>
      <w:r w:rsidRPr="002929D8">
        <w:rPr>
          <w:rFonts w:ascii="Calibri" w:hAnsi="Calibri" w:cs="Calibri"/>
          <w:b/>
          <w:bCs/>
          <w:noProof/>
          <w:szCs w:val="24"/>
        </w:rPr>
        <w:t>9</w:t>
      </w:r>
      <w:r w:rsidRPr="002929D8">
        <w:rPr>
          <w:rFonts w:ascii="Calibri" w:hAnsi="Calibri" w:cs="Calibri"/>
          <w:noProof/>
          <w:szCs w:val="24"/>
        </w:rPr>
        <w:t>, 4193–4199.</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27</w:t>
      </w:r>
      <w:r w:rsidRPr="002929D8">
        <w:rPr>
          <w:rFonts w:ascii="Calibri" w:hAnsi="Calibri" w:cs="Calibri"/>
          <w:noProof/>
          <w:szCs w:val="24"/>
        </w:rPr>
        <w:tab/>
        <w:t xml:space="preserve">S. M. AlShehri, J. Ahmed, T. Ahamad, P. Arunachalam, T. Ahmad and A. Khan, </w:t>
      </w:r>
      <w:r w:rsidRPr="002929D8">
        <w:rPr>
          <w:rFonts w:ascii="Calibri" w:hAnsi="Calibri" w:cs="Calibri"/>
          <w:i/>
          <w:iCs/>
          <w:noProof/>
          <w:szCs w:val="24"/>
        </w:rPr>
        <w:t>RSC Adv.</w:t>
      </w:r>
      <w:r w:rsidRPr="002929D8">
        <w:rPr>
          <w:rFonts w:ascii="Calibri" w:hAnsi="Calibri" w:cs="Calibri"/>
          <w:noProof/>
          <w:szCs w:val="24"/>
        </w:rPr>
        <w:t xml:space="preserve">, 2017, </w:t>
      </w:r>
      <w:r w:rsidRPr="002929D8">
        <w:rPr>
          <w:rFonts w:ascii="Calibri" w:hAnsi="Calibri" w:cs="Calibri"/>
          <w:b/>
          <w:bCs/>
          <w:noProof/>
          <w:szCs w:val="24"/>
        </w:rPr>
        <w:t>7</w:t>
      </w:r>
      <w:r w:rsidRPr="002929D8">
        <w:rPr>
          <w:rFonts w:ascii="Calibri" w:hAnsi="Calibri" w:cs="Calibri"/>
          <w:noProof/>
          <w:szCs w:val="24"/>
        </w:rPr>
        <w:t>, 45615–45623.</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28</w:t>
      </w:r>
      <w:r w:rsidRPr="002929D8">
        <w:rPr>
          <w:rFonts w:ascii="Calibri" w:hAnsi="Calibri" w:cs="Calibri"/>
          <w:noProof/>
          <w:szCs w:val="24"/>
        </w:rPr>
        <w:tab/>
        <w:t xml:space="preserve">C. Song and J. Zhang, </w:t>
      </w:r>
      <w:r w:rsidRPr="002929D8">
        <w:rPr>
          <w:rFonts w:ascii="Calibri" w:hAnsi="Calibri" w:cs="Calibri"/>
          <w:i/>
          <w:iCs/>
          <w:noProof/>
          <w:szCs w:val="24"/>
        </w:rPr>
        <w:t>PEM Fuel Cell Electrocatal. Catal. Layers Fundam. Appl.</w:t>
      </w:r>
      <w:r w:rsidRPr="002929D8">
        <w:rPr>
          <w:rFonts w:ascii="Calibri" w:hAnsi="Calibri" w:cs="Calibri"/>
          <w:noProof/>
          <w:szCs w:val="24"/>
        </w:rPr>
        <w:t>, 2008, 89–134.</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29</w:t>
      </w:r>
      <w:r w:rsidRPr="002929D8">
        <w:rPr>
          <w:rFonts w:ascii="Calibri" w:hAnsi="Calibri" w:cs="Calibri"/>
          <w:noProof/>
          <w:szCs w:val="24"/>
        </w:rPr>
        <w:tab/>
        <w:t xml:space="preserve">J. Zhang, Z. Xia and L. Dai, </w:t>
      </w:r>
      <w:r w:rsidRPr="002929D8">
        <w:rPr>
          <w:rFonts w:ascii="Calibri" w:hAnsi="Calibri" w:cs="Calibri"/>
          <w:i/>
          <w:iCs/>
          <w:noProof/>
          <w:szCs w:val="24"/>
        </w:rPr>
        <w:t>Sci. Adv.</w:t>
      </w:r>
      <w:r w:rsidRPr="002929D8">
        <w:rPr>
          <w:rFonts w:ascii="Calibri" w:hAnsi="Calibri" w:cs="Calibri"/>
          <w:noProof/>
          <w:szCs w:val="24"/>
        </w:rPr>
        <w:t xml:space="preserve">, 2015, </w:t>
      </w:r>
      <w:r w:rsidRPr="002929D8">
        <w:rPr>
          <w:rFonts w:ascii="Calibri" w:hAnsi="Calibri" w:cs="Calibri"/>
          <w:b/>
          <w:bCs/>
          <w:noProof/>
          <w:szCs w:val="24"/>
        </w:rPr>
        <w:t>1</w:t>
      </w:r>
      <w:r w:rsidRPr="002929D8">
        <w:rPr>
          <w:rFonts w:ascii="Calibri" w:hAnsi="Calibri" w:cs="Calibri"/>
          <w:noProof/>
          <w:szCs w:val="24"/>
        </w:rPr>
        <w:t>, 1–19.</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rPr>
      </w:pPr>
      <w:r w:rsidRPr="002929D8">
        <w:rPr>
          <w:rFonts w:ascii="Calibri" w:hAnsi="Calibri" w:cs="Calibri"/>
          <w:noProof/>
          <w:szCs w:val="24"/>
        </w:rPr>
        <w:t>30</w:t>
      </w:r>
      <w:r w:rsidRPr="002929D8">
        <w:rPr>
          <w:rFonts w:ascii="Calibri" w:hAnsi="Calibri" w:cs="Calibri"/>
          <w:noProof/>
          <w:szCs w:val="24"/>
        </w:rPr>
        <w:tab/>
        <w:t xml:space="preserve">V. S. Sapner, P. P. Chavan, A. V. Munde, U. S. Sayyad and B. R. Sathe, </w:t>
      </w:r>
      <w:r w:rsidRPr="002929D8">
        <w:rPr>
          <w:rFonts w:ascii="Calibri" w:hAnsi="Calibri" w:cs="Calibri"/>
          <w:i/>
          <w:iCs/>
          <w:noProof/>
          <w:szCs w:val="24"/>
        </w:rPr>
        <w:t>Energy &amp; Fuels</w:t>
      </w:r>
      <w:r w:rsidRPr="002929D8">
        <w:rPr>
          <w:rFonts w:ascii="Calibri" w:hAnsi="Calibri" w:cs="Calibri"/>
          <w:noProof/>
          <w:szCs w:val="24"/>
        </w:rPr>
        <w:t xml:space="preserve">, 2021, </w:t>
      </w:r>
      <w:r w:rsidRPr="002929D8">
        <w:rPr>
          <w:rFonts w:ascii="Calibri" w:hAnsi="Calibri" w:cs="Calibri"/>
          <w:b/>
          <w:bCs/>
          <w:noProof/>
          <w:szCs w:val="24"/>
        </w:rPr>
        <w:t>35</w:t>
      </w:r>
      <w:r w:rsidRPr="002929D8">
        <w:rPr>
          <w:rFonts w:ascii="Calibri" w:hAnsi="Calibri" w:cs="Calibri"/>
          <w:noProof/>
          <w:szCs w:val="24"/>
        </w:rPr>
        <w:t>, 6823–6834.</w:t>
      </w:r>
    </w:p>
    <w:p w:rsidR="00526C61" w:rsidRDefault="003C7910" w:rsidP="002929D8">
      <w:pPr>
        <w:widowControl w:val="0"/>
        <w:autoSpaceDE w:val="0"/>
        <w:autoSpaceDN w:val="0"/>
        <w:adjustRightInd w:val="0"/>
        <w:spacing w:line="240" w:lineRule="auto"/>
        <w:ind w:left="640" w:hanging="640"/>
      </w:pPr>
      <w:r>
        <w:fldChar w:fldCharType="end"/>
      </w:r>
    </w:p>
    <w:sectPr w:rsidR="00526C61" w:rsidSect="00DD61C1">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useFELayout/>
  </w:compat>
  <w:rsids>
    <w:rsidRoot w:val="007B25EC"/>
    <w:rsid w:val="00022683"/>
    <w:rsid w:val="00091326"/>
    <w:rsid w:val="000D470D"/>
    <w:rsid w:val="000E1F75"/>
    <w:rsid w:val="00116EC8"/>
    <w:rsid w:val="00152578"/>
    <w:rsid w:val="001D5A1A"/>
    <w:rsid w:val="00223148"/>
    <w:rsid w:val="002657B4"/>
    <w:rsid w:val="00291FB3"/>
    <w:rsid w:val="002929D8"/>
    <w:rsid w:val="002D106F"/>
    <w:rsid w:val="00324744"/>
    <w:rsid w:val="003C7910"/>
    <w:rsid w:val="00490EAD"/>
    <w:rsid w:val="00502705"/>
    <w:rsid w:val="00526C61"/>
    <w:rsid w:val="005A0C8B"/>
    <w:rsid w:val="005C5A66"/>
    <w:rsid w:val="00684602"/>
    <w:rsid w:val="006855A4"/>
    <w:rsid w:val="007355D4"/>
    <w:rsid w:val="007B25EC"/>
    <w:rsid w:val="00815B35"/>
    <w:rsid w:val="00A50D8A"/>
    <w:rsid w:val="00A840A2"/>
    <w:rsid w:val="00B10859"/>
    <w:rsid w:val="00C11749"/>
    <w:rsid w:val="00CC48B7"/>
    <w:rsid w:val="00D248E2"/>
    <w:rsid w:val="00DD61C1"/>
    <w:rsid w:val="00DE5DF4"/>
    <w:rsid w:val="00F043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1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B25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esisFigCaption">
    <w:name w:val="Thesis Fig Caption"/>
    <w:basedOn w:val="Normal"/>
    <w:qFormat/>
    <w:rsid w:val="007B25EC"/>
    <w:pPr>
      <w:spacing w:line="360" w:lineRule="auto"/>
      <w:jc w:val="both"/>
    </w:pPr>
    <w:rPr>
      <w:rFonts w:ascii="Times New Roman" w:eastAsiaTheme="minorHAnsi" w:hAnsi="Times New Roman" w:cs="Times New Roman"/>
    </w:rPr>
  </w:style>
  <w:style w:type="paragraph" w:customStyle="1" w:styleId="ThesisSubheading">
    <w:name w:val="Thesis Sub heading"/>
    <w:basedOn w:val="Normal"/>
    <w:qFormat/>
    <w:rsid w:val="007B25EC"/>
    <w:pPr>
      <w:spacing w:after="0" w:line="360" w:lineRule="auto"/>
      <w:jc w:val="both"/>
    </w:pPr>
    <w:rPr>
      <w:rFonts w:ascii="Times New Roman" w:eastAsiaTheme="minorHAnsi" w:hAnsi="Times New Roman" w:cs="Times New Roman"/>
      <w:b/>
      <w:sz w:val="24"/>
      <w:szCs w:val="24"/>
    </w:rPr>
  </w:style>
  <w:style w:type="paragraph" w:customStyle="1" w:styleId="ThesisText">
    <w:name w:val="Thesis Text"/>
    <w:basedOn w:val="Normal"/>
    <w:qFormat/>
    <w:rsid w:val="007B25EC"/>
    <w:pPr>
      <w:spacing w:line="360" w:lineRule="auto"/>
      <w:ind w:firstLine="720"/>
      <w:jc w:val="both"/>
    </w:pPr>
    <w:rPr>
      <w:rFonts w:ascii="Times New Roman" w:eastAsiaTheme="minorHAnsi" w:hAnsi="Times New Roman" w:cs="Times New Roman"/>
      <w:sz w:val="24"/>
      <w:szCs w:val="24"/>
    </w:rPr>
  </w:style>
  <w:style w:type="paragraph" w:styleId="BalloonText">
    <w:name w:val="Balloon Text"/>
    <w:basedOn w:val="Normal"/>
    <w:link w:val="BalloonTextChar"/>
    <w:uiPriority w:val="99"/>
    <w:semiHidden/>
    <w:unhideWhenUsed/>
    <w:rsid w:val="007B2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5EC"/>
    <w:rPr>
      <w:rFonts w:ascii="Tahoma" w:hAnsi="Tahoma" w:cs="Tahoma"/>
      <w:sz w:val="16"/>
      <w:szCs w:val="16"/>
    </w:rPr>
  </w:style>
  <w:style w:type="character" w:styleId="CommentReference">
    <w:name w:val="annotation reference"/>
    <w:basedOn w:val="DefaultParagraphFont"/>
    <w:uiPriority w:val="99"/>
    <w:semiHidden/>
    <w:unhideWhenUsed/>
    <w:rsid w:val="002657B4"/>
    <w:rPr>
      <w:sz w:val="16"/>
      <w:szCs w:val="16"/>
    </w:rPr>
  </w:style>
  <w:style w:type="paragraph" w:styleId="CommentText">
    <w:name w:val="annotation text"/>
    <w:basedOn w:val="Normal"/>
    <w:link w:val="CommentTextChar"/>
    <w:uiPriority w:val="99"/>
    <w:semiHidden/>
    <w:unhideWhenUsed/>
    <w:rsid w:val="002657B4"/>
    <w:pPr>
      <w:spacing w:line="240" w:lineRule="auto"/>
    </w:pPr>
    <w:rPr>
      <w:sz w:val="20"/>
      <w:szCs w:val="20"/>
    </w:rPr>
  </w:style>
  <w:style w:type="character" w:customStyle="1" w:styleId="CommentTextChar">
    <w:name w:val="Comment Text Char"/>
    <w:basedOn w:val="DefaultParagraphFont"/>
    <w:link w:val="CommentText"/>
    <w:uiPriority w:val="99"/>
    <w:semiHidden/>
    <w:rsid w:val="002657B4"/>
    <w:rPr>
      <w:sz w:val="20"/>
      <w:szCs w:val="20"/>
    </w:rPr>
  </w:style>
  <w:style w:type="paragraph" w:styleId="CommentSubject">
    <w:name w:val="annotation subject"/>
    <w:basedOn w:val="CommentText"/>
    <w:next w:val="CommentText"/>
    <w:link w:val="CommentSubjectChar"/>
    <w:uiPriority w:val="99"/>
    <w:semiHidden/>
    <w:unhideWhenUsed/>
    <w:rsid w:val="002657B4"/>
    <w:rPr>
      <w:b/>
      <w:bCs/>
    </w:rPr>
  </w:style>
  <w:style w:type="character" w:customStyle="1" w:styleId="CommentSubjectChar">
    <w:name w:val="Comment Subject Char"/>
    <w:basedOn w:val="CommentTextChar"/>
    <w:link w:val="CommentSubject"/>
    <w:uiPriority w:val="99"/>
    <w:semiHidden/>
    <w:rsid w:val="002657B4"/>
    <w:rPr>
      <w:b/>
      <w:bCs/>
    </w:rPr>
  </w:style>
  <w:style w:type="character" w:styleId="Hyperlink">
    <w:name w:val="Hyperlink"/>
    <w:basedOn w:val="DefaultParagraphFont"/>
    <w:uiPriority w:val="99"/>
    <w:unhideWhenUsed/>
    <w:rsid w:val="002929D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gif"/><Relationship Id="rId5" Type="http://schemas.openxmlformats.org/officeDocument/2006/relationships/hyperlink" Target="mailto:bsathe.chemistry@bamu.ac.in" TargetMode="External"/><Relationship Id="rId15" Type="http://schemas.openxmlformats.org/officeDocument/2006/relationships/image" Target="media/image10.gif"/><Relationship Id="rId10"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CC907-A51B-42E8-81C2-1C589830A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15</Pages>
  <Words>11722</Words>
  <Characters>66822</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dc:creator>
  <cp:lastModifiedBy>Vijay</cp:lastModifiedBy>
  <cp:revision>5</cp:revision>
  <dcterms:created xsi:type="dcterms:W3CDTF">2023-09-08T18:49:00Z</dcterms:created>
  <dcterms:modified xsi:type="dcterms:W3CDTF">2023-10-01T11:28:00Z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28c478e3-e851-3532-9e0d-e79f51cbbf0d</vt:lpwstr>
  </property>
  <property fmtid="{D5CDD505-2E9C-101B-9397-08002B2CF9AE}" pid="4" name="Mendeley Citation Style_1">
    <vt:lpwstr>http://www.zotero.org/styles/rsc-advances</vt:lpwstr>
  </property>
  <property fmtid="{D5CDD505-2E9C-101B-9397-08002B2CF9AE}" pid="5" name="Mendeley Recent Style Id 0_1">
    <vt:lpwstr>http://www.zotero.org/styles/acs-applied-energy-materials</vt:lpwstr>
  </property>
  <property fmtid="{D5CDD505-2E9C-101B-9397-08002B2CF9AE}" pid="6" name="Mendeley Recent Style Name 0_1">
    <vt:lpwstr>ACS Applied Energy Materials</vt:lpwstr>
  </property>
  <property fmtid="{D5CDD505-2E9C-101B-9397-08002B2CF9AE}" pid="7" name="Mendeley Recent Style Id 1_1">
    <vt:lpwstr>http://www.zotero.org/styles/acs-applied-materials-and-interfaces</vt:lpwstr>
  </property>
  <property fmtid="{D5CDD505-2E9C-101B-9397-08002B2CF9AE}" pid="8" name="Mendeley Recent Style Name 1_1">
    <vt:lpwstr>ACS Applied Materials &amp; Interfaces</vt:lpwstr>
  </property>
  <property fmtid="{D5CDD505-2E9C-101B-9397-08002B2CF9AE}" pid="9" name="Mendeley Recent Style Id 2_1">
    <vt:lpwstr>http://www.zotero.org/styles/acs-applied-nano-materials</vt:lpwstr>
  </property>
  <property fmtid="{D5CDD505-2E9C-101B-9397-08002B2CF9AE}" pid="10" name="Mendeley Recent Style Name 2_1">
    <vt:lpwstr>ACS Applied Nano Materials</vt:lpwstr>
  </property>
  <property fmtid="{D5CDD505-2E9C-101B-9397-08002B2CF9AE}" pid="11" name="Mendeley Recent Style Id 3_1">
    <vt:lpwstr>http://www.zotero.org/styles/acs-catalysis</vt:lpwstr>
  </property>
  <property fmtid="{D5CDD505-2E9C-101B-9397-08002B2CF9AE}" pid="12" name="Mendeley Recent Style Name 3_1">
    <vt:lpwstr>ACS Catalysis</vt:lpwstr>
  </property>
  <property fmtid="{D5CDD505-2E9C-101B-9397-08002B2CF9AE}" pid="13" name="Mendeley Recent Style Id 4_1">
    <vt:lpwstr>http://www.zotero.org/styles/acs-sustainable-chemistry-and-engineering</vt:lpwstr>
  </property>
  <property fmtid="{D5CDD505-2E9C-101B-9397-08002B2CF9AE}" pid="14" name="Mendeley Recent Style Name 4_1">
    <vt:lpwstr>ACS Sustainable Chemistry &amp; Engineering</vt:lpwstr>
  </property>
  <property fmtid="{D5CDD505-2E9C-101B-9397-08002B2CF9AE}" pid="15" name="Mendeley Recent Style Id 5_1">
    <vt:lpwstr>http://www.zotero.org/styles/applied-surface-science</vt:lpwstr>
  </property>
  <property fmtid="{D5CDD505-2E9C-101B-9397-08002B2CF9AE}" pid="16" name="Mendeley Recent Style Name 5_1">
    <vt:lpwstr>Applied Surface Science</vt:lpwstr>
  </property>
  <property fmtid="{D5CDD505-2E9C-101B-9397-08002B2CF9AE}" pid="17" name="Mendeley Recent Style Id 6_1">
    <vt:lpwstr>http://www.zotero.org/styles/chemical-engineering-journal</vt:lpwstr>
  </property>
  <property fmtid="{D5CDD505-2E9C-101B-9397-08002B2CF9AE}" pid="18" name="Mendeley Recent Style Name 6_1">
    <vt:lpwstr>Chemical Engineering Journal</vt:lpwstr>
  </property>
  <property fmtid="{D5CDD505-2E9C-101B-9397-08002B2CF9AE}" pid="19" name="Mendeley Recent Style Id 7_1">
    <vt:lpwstr>http://www.zotero.org/styles/chemistry-of-materials</vt:lpwstr>
  </property>
  <property fmtid="{D5CDD505-2E9C-101B-9397-08002B2CF9AE}" pid="20" name="Mendeley Recent Style Name 7_1">
    <vt:lpwstr>Chemistry of Materials</vt:lpwstr>
  </property>
  <property fmtid="{D5CDD505-2E9C-101B-9397-08002B2CF9AE}" pid="21" name="Mendeley Recent Style Id 8_1">
    <vt:lpwstr>http://www.zotero.org/styles/rsc-advances</vt:lpwstr>
  </property>
  <property fmtid="{D5CDD505-2E9C-101B-9397-08002B2CF9AE}" pid="22" name="Mendeley Recent Style Name 8_1">
    <vt:lpwstr>RSC Advances</vt:lpwstr>
  </property>
  <property fmtid="{D5CDD505-2E9C-101B-9397-08002B2CF9AE}" pid="23" name="Mendeley Recent Style Id 9_1">
    <vt:lpwstr>http://www.zotero.org/styles/sustainable-energy-and-fuels</vt:lpwstr>
  </property>
  <property fmtid="{D5CDD505-2E9C-101B-9397-08002B2CF9AE}" pid="24" name="Mendeley Recent Style Name 9_1">
    <vt:lpwstr>Sustainable Energy &amp; Fuels</vt:lpwstr>
  </property>
</Properties>
</file>