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18E" w:rsidRPr="001F4CC2" w:rsidRDefault="0065118E" w:rsidP="001F4CC2">
      <w:pPr>
        <w:jc w:val="center"/>
        <w:rPr>
          <w:rFonts w:ascii="Times New Roman" w:hAnsi="Times New Roman" w:cs="Times New Roman"/>
          <w:b/>
          <w:bCs/>
          <w:sz w:val="36"/>
          <w:szCs w:val="36"/>
        </w:rPr>
      </w:pPr>
      <w:r w:rsidRPr="001F4CC2">
        <w:rPr>
          <w:rFonts w:ascii="Times New Roman" w:hAnsi="Times New Roman" w:cs="Times New Roman"/>
          <w:b/>
          <w:bCs/>
          <w:sz w:val="36"/>
          <w:szCs w:val="36"/>
        </w:rPr>
        <w:t>Unraveling the Complexities of Food and Gender: A Sociological Perspective</w:t>
      </w:r>
    </w:p>
    <w:p w:rsidR="0065118E" w:rsidRPr="009547E7" w:rsidRDefault="0065118E" w:rsidP="009547E7">
      <w:pPr>
        <w:ind w:left="6480" w:firstLine="720"/>
        <w:jc w:val="both"/>
        <w:rPr>
          <w:rFonts w:ascii="Times New Roman" w:hAnsi="Times New Roman" w:cs="Times New Roman"/>
          <w:sz w:val="28"/>
          <w:szCs w:val="28"/>
        </w:rPr>
      </w:pPr>
      <w:r w:rsidRPr="009547E7">
        <w:rPr>
          <w:rFonts w:ascii="Times New Roman" w:hAnsi="Times New Roman" w:cs="Times New Roman"/>
          <w:sz w:val="28"/>
          <w:szCs w:val="28"/>
        </w:rPr>
        <w:t xml:space="preserve">Dr. </w:t>
      </w:r>
      <w:proofErr w:type="spellStart"/>
      <w:r w:rsidRPr="009547E7">
        <w:rPr>
          <w:rFonts w:ascii="Times New Roman" w:hAnsi="Times New Roman" w:cs="Times New Roman"/>
          <w:sz w:val="28"/>
          <w:szCs w:val="28"/>
        </w:rPr>
        <w:t>Suchithra</w:t>
      </w:r>
      <w:proofErr w:type="spellEnd"/>
      <w:r w:rsidRPr="009547E7">
        <w:rPr>
          <w:rFonts w:ascii="Times New Roman" w:hAnsi="Times New Roman" w:cs="Times New Roman"/>
          <w:sz w:val="28"/>
          <w:szCs w:val="28"/>
        </w:rPr>
        <w:t xml:space="preserve"> S R</w:t>
      </w:r>
    </w:p>
    <w:p w:rsidR="0065118E" w:rsidRPr="009547E7" w:rsidRDefault="009547E7" w:rsidP="009547E7">
      <w:pPr>
        <w:pStyle w:val="ListParagraph"/>
        <w:ind w:left="3240" w:firstLine="360"/>
        <w:jc w:val="both"/>
        <w:rPr>
          <w:rFonts w:ascii="Times New Roman" w:hAnsi="Times New Roman" w:cs="Times New Roman"/>
          <w:sz w:val="28"/>
          <w:szCs w:val="28"/>
        </w:rPr>
      </w:pPr>
      <w:r w:rsidRPr="009547E7">
        <w:rPr>
          <w:rFonts w:ascii="Times New Roman" w:hAnsi="Times New Roman" w:cs="Times New Roman"/>
          <w:sz w:val="28"/>
          <w:szCs w:val="28"/>
        </w:rPr>
        <w:t>Abstract</w:t>
      </w:r>
    </w:p>
    <w:p w:rsidR="0065118E" w:rsidRDefault="0065118E" w:rsidP="009547E7">
      <w:pPr>
        <w:pBdr>
          <w:bottom w:val="single" w:sz="4" w:space="1" w:color="auto"/>
        </w:pBdr>
        <w:jc w:val="both"/>
        <w:rPr>
          <w:rFonts w:ascii="Times New Roman" w:hAnsi="Times New Roman" w:cs="Times New Roman"/>
          <w:sz w:val="28"/>
          <w:szCs w:val="28"/>
        </w:rPr>
      </w:pPr>
      <w:r w:rsidRPr="009547E7">
        <w:rPr>
          <w:rFonts w:ascii="Times New Roman" w:hAnsi="Times New Roman" w:cs="Times New Roman"/>
          <w:sz w:val="28"/>
          <w:szCs w:val="28"/>
        </w:rPr>
        <w:t>Food is not just a basic necessity; it is intricately woven into the fabric of society, shaping cultural norms, social relationships, and individual identities. As a central element of human existence, food offers a unique lens through which to examine various social phenomena. One such critical aspect is the intersection of food and gender, wherein traditional gender roles and expectations significantly influence food practices and consumption patterns. This article explores the multifaceted relationship between food and gender, shedding light on how cultural norms and societal expectations shape individuals' food choices and behaviors.</w:t>
      </w:r>
    </w:p>
    <w:p w:rsidR="00702BA8" w:rsidRPr="009547E7" w:rsidRDefault="00702BA8" w:rsidP="009547E7">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 xml:space="preserve">Keywords: </w:t>
      </w:r>
      <w:proofErr w:type="spellStart"/>
      <w:r>
        <w:rPr>
          <w:rFonts w:ascii="Times New Roman" w:hAnsi="Times New Roman" w:cs="Times New Roman"/>
          <w:sz w:val="28"/>
          <w:szCs w:val="28"/>
        </w:rPr>
        <w:t>Feminity</w:t>
      </w:r>
      <w:proofErr w:type="spellEnd"/>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Steriotypes</w:t>
      </w:r>
      <w:proofErr w:type="spellEnd"/>
      <w:proofErr w:type="gramEnd"/>
      <w:r w:rsidR="001233DC">
        <w:rPr>
          <w:rFonts w:ascii="Times New Roman" w:hAnsi="Times New Roman" w:cs="Times New Roman"/>
          <w:sz w:val="28"/>
          <w:szCs w:val="28"/>
        </w:rPr>
        <w:t xml:space="preserve">, Media, Tradition </w:t>
      </w:r>
    </w:p>
    <w:p w:rsidR="009547E7" w:rsidRPr="009547E7" w:rsidRDefault="009547E7" w:rsidP="009547E7">
      <w:pPr>
        <w:jc w:val="both"/>
        <w:rPr>
          <w:rFonts w:ascii="Times New Roman" w:hAnsi="Times New Roman" w:cs="Times New Roman"/>
          <w:sz w:val="28"/>
          <w:szCs w:val="28"/>
        </w:rPr>
      </w:pPr>
      <w:r w:rsidRPr="009547E7">
        <w:rPr>
          <w:rFonts w:ascii="Times New Roman" w:hAnsi="Times New Roman" w:cs="Times New Roman"/>
          <w:sz w:val="28"/>
          <w:szCs w:val="28"/>
        </w:rPr>
        <w:t>*Assistant Professor, Sociology, Government First Grade College</w:t>
      </w:r>
      <w:r w:rsidR="00702BA8">
        <w:rPr>
          <w:rFonts w:ascii="Times New Roman" w:hAnsi="Times New Roman" w:cs="Times New Roman"/>
          <w:sz w:val="28"/>
          <w:szCs w:val="28"/>
        </w:rPr>
        <w:t>,</w:t>
      </w:r>
      <w:r w:rsidRPr="009547E7">
        <w:rPr>
          <w:rFonts w:ascii="Times New Roman" w:hAnsi="Times New Roman" w:cs="Times New Roman"/>
          <w:sz w:val="28"/>
          <w:szCs w:val="28"/>
        </w:rPr>
        <w:t xml:space="preserve"> </w:t>
      </w:r>
      <w:proofErr w:type="spellStart"/>
      <w:r w:rsidRPr="009547E7">
        <w:rPr>
          <w:rFonts w:ascii="Times New Roman" w:hAnsi="Times New Roman" w:cs="Times New Roman"/>
          <w:sz w:val="28"/>
          <w:szCs w:val="28"/>
        </w:rPr>
        <w:t>Kaup</w:t>
      </w:r>
      <w:proofErr w:type="spellEnd"/>
      <w:r w:rsidR="00702BA8">
        <w:rPr>
          <w:rFonts w:ascii="Times New Roman" w:hAnsi="Times New Roman" w:cs="Times New Roman"/>
          <w:sz w:val="28"/>
          <w:szCs w:val="28"/>
        </w:rPr>
        <w:t>, Udupi, Karnataka</w:t>
      </w:r>
    </w:p>
    <w:p w:rsidR="0065118E" w:rsidRPr="009547E7" w:rsidRDefault="0065118E" w:rsidP="009547E7">
      <w:pPr>
        <w:jc w:val="both"/>
        <w:rPr>
          <w:rFonts w:ascii="Times New Roman" w:hAnsi="Times New Roman" w:cs="Times New Roman"/>
          <w:sz w:val="28"/>
          <w:szCs w:val="28"/>
        </w:rPr>
      </w:pPr>
    </w:p>
    <w:p w:rsidR="0065118E" w:rsidRPr="009547E7" w:rsidRDefault="0065118E" w:rsidP="009547E7">
      <w:pPr>
        <w:jc w:val="both"/>
        <w:rPr>
          <w:rFonts w:ascii="Times New Roman" w:hAnsi="Times New Roman" w:cs="Times New Roman"/>
          <w:b/>
          <w:bCs/>
          <w:sz w:val="28"/>
          <w:szCs w:val="28"/>
        </w:rPr>
      </w:pPr>
      <w:r w:rsidRPr="009547E7">
        <w:rPr>
          <w:rFonts w:ascii="Times New Roman" w:hAnsi="Times New Roman" w:cs="Times New Roman"/>
          <w:b/>
          <w:bCs/>
          <w:sz w:val="28"/>
          <w:szCs w:val="28"/>
        </w:rPr>
        <w:t>Gendered Food Roles and Responsibilities:</w:t>
      </w:r>
    </w:p>
    <w:p w:rsidR="0065118E" w:rsidRPr="009547E7" w:rsidRDefault="0065118E" w:rsidP="009547E7">
      <w:pPr>
        <w:jc w:val="both"/>
        <w:rPr>
          <w:rFonts w:ascii="Times New Roman" w:hAnsi="Times New Roman" w:cs="Times New Roman"/>
          <w:sz w:val="28"/>
          <w:szCs w:val="28"/>
        </w:rPr>
      </w:pPr>
      <w:r w:rsidRPr="009547E7">
        <w:rPr>
          <w:rFonts w:ascii="Times New Roman" w:hAnsi="Times New Roman" w:cs="Times New Roman"/>
          <w:sz w:val="28"/>
          <w:szCs w:val="28"/>
        </w:rPr>
        <w:t>From a young age, individuals are socialized into specific gender roles, often assigning distinct responsibilities concerning food. Historically, women have been associated with cooking, nurturing, and domesticity, while men have taken on roles related to hunting, agriculture, and food provisioning. These gendered food roles have persisted over time, impacting modern households and influencing the division of labor in food-related tasks.</w:t>
      </w:r>
    </w:p>
    <w:p w:rsidR="0065118E" w:rsidRPr="009547E7" w:rsidRDefault="0065118E" w:rsidP="009547E7">
      <w:pPr>
        <w:jc w:val="both"/>
        <w:rPr>
          <w:rFonts w:ascii="Times New Roman" w:hAnsi="Times New Roman" w:cs="Times New Roman"/>
          <w:sz w:val="28"/>
          <w:szCs w:val="28"/>
        </w:rPr>
      </w:pPr>
      <w:r w:rsidRPr="009547E7">
        <w:rPr>
          <w:rFonts w:ascii="Times New Roman" w:hAnsi="Times New Roman" w:cs="Times New Roman"/>
          <w:sz w:val="28"/>
          <w:szCs w:val="28"/>
        </w:rPr>
        <w:t>Understanding gendered food roles and responsibilities is crucial for recognizing the broader implications of gender inequality in society. Challenging these gender norms can lead to more equitable food practices and create opportunities for individuals to make food choices based on personal preferences and interests rather than societal expectations.</w:t>
      </w:r>
    </w:p>
    <w:p w:rsidR="0065118E" w:rsidRPr="009547E7" w:rsidRDefault="0065118E" w:rsidP="009547E7">
      <w:pPr>
        <w:jc w:val="both"/>
        <w:rPr>
          <w:rFonts w:ascii="Times New Roman" w:hAnsi="Times New Roman" w:cs="Times New Roman"/>
          <w:sz w:val="28"/>
          <w:szCs w:val="28"/>
        </w:rPr>
      </w:pPr>
      <w:r w:rsidRPr="009547E7">
        <w:rPr>
          <w:rFonts w:ascii="Times New Roman" w:hAnsi="Times New Roman" w:cs="Times New Roman"/>
          <w:sz w:val="28"/>
          <w:szCs w:val="28"/>
        </w:rPr>
        <w:t xml:space="preserve">In recent decades, there have been significant changes in gender roles and expectations, including those related to food. With more women entering the workforce and men taking on greater domestic responsibilities, traditional gendered food roles have undergone transformations. These changes have </w:t>
      </w:r>
      <w:r w:rsidRPr="009547E7">
        <w:rPr>
          <w:rFonts w:ascii="Times New Roman" w:hAnsi="Times New Roman" w:cs="Times New Roman"/>
          <w:sz w:val="28"/>
          <w:szCs w:val="28"/>
        </w:rPr>
        <w:lastRenderedPageBreak/>
        <w:t>implications for family dynamics, food choices, and overall societal norms surrounding food and gender.</w:t>
      </w:r>
    </w:p>
    <w:p w:rsidR="0065118E" w:rsidRPr="009547E7" w:rsidRDefault="0065118E" w:rsidP="009547E7">
      <w:pPr>
        <w:jc w:val="both"/>
        <w:rPr>
          <w:rFonts w:ascii="Times New Roman" w:hAnsi="Times New Roman" w:cs="Times New Roman"/>
          <w:b/>
          <w:bCs/>
          <w:sz w:val="28"/>
          <w:szCs w:val="28"/>
        </w:rPr>
      </w:pPr>
      <w:r w:rsidRPr="009547E7">
        <w:rPr>
          <w:rFonts w:ascii="Times New Roman" w:hAnsi="Times New Roman" w:cs="Times New Roman"/>
          <w:b/>
          <w:bCs/>
          <w:sz w:val="28"/>
          <w:szCs w:val="28"/>
        </w:rPr>
        <w:t>The "Feminization" of Certain Foods:</w:t>
      </w:r>
    </w:p>
    <w:p w:rsidR="0065118E" w:rsidRPr="009547E7" w:rsidRDefault="0065118E" w:rsidP="009547E7">
      <w:pPr>
        <w:jc w:val="both"/>
        <w:rPr>
          <w:rFonts w:ascii="Times New Roman" w:hAnsi="Times New Roman" w:cs="Times New Roman"/>
          <w:sz w:val="28"/>
          <w:szCs w:val="28"/>
        </w:rPr>
      </w:pPr>
      <w:r w:rsidRPr="009547E7">
        <w:rPr>
          <w:rFonts w:ascii="Times New Roman" w:hAnsi="Times New Roman" w:cs="Times New Roman"/>
          <w:sz w:val="28"/>
          <w:szCs w:val="28"/>
        </w:rPr>
        <w:t>Certain foods or dietary practices are often labeled as "feminine" or "masculine" based on cultural perceptions. For instance, salads and lighter meals might be associated with femininity, while red meat and heavy meals might be associated with masculinity. Such gendered associations can affect how individuals perceive and consume different types of food.</w:t>
      </w:r>
    </w:p>
    <w:p w:rsidR="0065118E" w:rsidRPr="009547E7" w:rsidRDefault="0065118E" w:rsidP="009547E7">
      <w:pPr>
        <w:jc w:val="both"/>
        <w:rPr>
          <w:rFonts w:ascii="Times New Roman" w:hAnsi="Times New Roman" w:cs="Times New Roman"/>
          <w:sz w:val="28"/>
          <w:szCs w:val="28"/>
        </w:rPr>
      </w:pPr>
      <w:r w:rsidRPr="009547E7">
        <w:rPr>
          <w:rFonts w:ascii="Times New Roman" w:hAnsi="Times New Roman" w:cs="Times New Roman"/>
          <w:sz w:val="28"/>
          <w:szCs w:val="28"/>
        </w:rPr>
        <w:t>Certain foods, such as salads, fruits, yogurt, and other low-calorie options, are often associated with femininity. This association is based on the stereotype that women are more concerned with their weight and appearance, leading to a preference for lighter and healthier food choices. As a result, these foods may be marketed towards women, reinforcing the perception that they are primarily for female consumption.</w:t>
      </w:r>
    </w:p>
    <w:p w:rsidR="0065118E" w:rsidRPr="009547E7" w:rsidRDefault="0065118E" w:rsidP="009547E7">
      <w:pPr>
        <w:jc w:val="both"/>
        <w:rPr>
          <w:rFonts w:ascii="Times New Roman" w:hAnsi="Times New Roman" w:cs="Times New Roman"/>
          <w:sz w:val="28"/>
          <w:szCs w:val="28"/>
        </w:rPr>
      </w:pPr>
      <w:r w:rsidRPr="009547E7">
        <w:rPr>
          <w:rFonts w:ascii="Times New Roman" w:hAnsi="Times New Roman" w:cs="Times New Roman"/>
          <w:sz w:val="28"/>
          <w:szCs w:val="28"/>
        </w:rPr>
        <w:t>The association of certain foods with femininity can create challenges for men who may be interested in consuming these foods but may feel stigmatized or judged for doing so. Men may face social expectations to consume "manly" or "heavier" foods, limiting their food choices and contributing to rigid gender norms.</w:t>
      </w:r>
    </w:p>
    <w:p w:rsidR="0065118E" w:rsidRPr="009547E7" w:rsidRDefault="0065118E" w:rsidP="009547E7">
      <w:pPr>
        <w:jc w:val="both"/>
        <w:rPr>
          <w:rFonts w:ascii="Times New Roman" w:hAnsi="Times New Roman" w:cs="Times New Roman"/>
          <w:b/>
          <w:bCs/>
          <w:sz w:val="28"/>
          <w:szCs w:val="28"/>
        </w:rPr>
      </w:pPr>
      <w:r w:rsidRPr="009547E7">
        <w:rPr>
          <w:rFonts w:ascii="Times New Roman" w:hAnsi="Times New Roman" w:cs="Times New Roman"/>
          <w:b/>
          <w:bCs/>
          <w:sz w:val="28"/>
          <w:szCs w:val="28"/>
        </w:rPr>
        <w:t>Body Image and Eating Disorders:</w:t>
      </w:r>
    </w:p>
    <w:p w:rsidR="0065118E" w:rsidRPr="009547E7" w:rsidRDefault="0065118E" w:rsidP="009547E7">
      <w:pPr>
        <w:jc w:val="both"/>
        <w:rPr>
          <w:rFonts w:ascii="Times New Roman" w:hAnsi="Times New Roman" w:cs="Times New Roman"/>
          <w:sz w:val="28"/>
          <w:szCs w:val="28"/>
        </w:rPr>
      </w:pPr>
      <w:r w:rsidRPr="009547E7">
        <w:rPr>
          <w:rFonts w:ascii="Times New Roman" w:hAnsi="Times New Roman" w:cs="Times New Roman"/>
          <w:sz w:val="28"/>
          <w:szCs w:val="28"/>
        </w:rPr>
        <w:t>The societal pressure to conform to idealized body standards impacts both genders. However, the specific expectations and pressures concerning body image can vary. Women, in particular, often face more stringent expectations, leading to higher rates of eating disorders like anorexia and bulimia. The media's portrayal of "ideal" female bodies can influence food choices and attitudes towards food.</w:t>
      </w:r>
    </w:p>
    <w:p w:rsidR="0065118E" w:rsidRPr="009547E7" w:rsidRDefault="0065118E" w:rsidP="009547E7">
      <w:pPr>
        <w:jc w:val="both"/>
        <w:rPr>
          <w:rFonts w:ascii="Times New Roman" w:hAnsi="Times New Roman" w:cs="Times New Roman"/>
          <w:sz w:val="28"/>
          <w:szCs w:val="28"/>
        </w:rPr>
      </w:pPr>
      <w:r w:rsidRPr="009547E7">
        <w:rPr>
          <w:rFonts w:ascii="Times New Roman" w:hAnsi="Times New Roman" w:cs="Times New Roman"/>
          <w:sz w:val="28"/>
          <w:szCs w:val="28"/>
        </w:rPr>
        <w:t>Societal ideals of beauty often emphasize a particular body shape or appearance that is often unattainable for many individuals. Women, in particular, are often subjected to unrealistic beauty standards that promote a slender and "perfect" body shape, as portrayed in the media, advertisements, and entertainment industries. The pressure to conform to societal beauty standards can lead individuals, especially women, to engage in unhealthy behaviors to achieve the desired body shape. This pressure can manifest in excessive dieting, restrictive eating, and overemphasis on appearance.</w:t>
      </w:r>
    </w:p>
    <w:p w:rsidR="0065118E" w:rsidRPr="009547E7" w:rsidRDefault="0065118E" w:rsidP="009547E7">
      <w:pPr>
        <w:jc w:val="both"/>
        <w:rPr>
          <w:rFonts w:ascii="Times New Roman" w:hAnsi="Times New Roman" w:cs="Times New Roman"/>
          <w:sz w:val="28"/>
          <w:szCs w:val="28"/>
        </w:rPr>
      </w:pPr>
      <w:r w:rsidRPr="009547E7">
        <w:rPr>
          <w:rFonts w:ascii="Times New Roman" w:hAnsi="Times New Roman" w:cs="Times New Roman"/>
          <w:sz w:val="28"/>
          <w:szCs w:val="28"/>
        </w:rPr>
        <w:lastRenderedPageBreak/>
        <w:t>Eating disorders are serious mental health conditions characterized by disturbed eating behaviors and negative body image perceptions. Common eating disorders include anorexia nervosa (self-starvation to achieve extreme thinness), bulimia nervosa (cycles of binge eating followed by purging), and binge-eating disorder (recurring episodes of excessive eating without purging).</w:t>
      </w:r>
    </w:p>
    <w:p w:rsidR="0065118E" w:rsidRPr="009547E7" w:rsidRDefault="0065118E" w:rsidP="009547E7">
      <w:pPr>
        <w:jc w:val="both"/>
        <w:rPr>
          <w:rFonts w:ascii="Times New Roman" w:hAnsi="Times New Roman" w:cs="Times New Roman"/>
          <w:b/>
          <w:bCs/>
          <w:sz w:val="28"/>
          <w:szCs w:val="28"/>
        </w:rPr>
      </w:pPr>
      <w:r w:rsidRPr="009547E7">
        <w:rPr>
          <w:rFonts w:ascii="Times New Roman" w:hAnsi="Times New Roman" w:cs="Times New Roman"/>
          <w:b/>
          <w:bCs/>
          <w:sz w:val="28"/>
          <w:szCs w:val="28"/>
        </w:rPr>
        <w:t>Food Advertising and Gender Stereotypes:</w:t>
      </w:r>
    </w:p>
    <w:p w:rsidR="0065118E" w:rsidRPr="009547E7" w:rsidRDefault="0065118E" w:rsidP="009547E7">
      <w:pPr>
        <w:jc w:val="both"/>
        <w:rPr>
          <w:rFonts w:ascii="Times New Roman" w:hAnsi="Times New Roman" w:cs="Times New Roman"/>
          <w:sz w:val="28"/>
          <w:szCs w:val="28"/>
        </w:rPr>
      </w:pPr>
      <w:r w:rsidRPr="009547E7">
        <w:rPr>
          <w:rFonts w:ascii="Times New Roman" w:hAnsi="Times New Roman" w:cs="Times New Roman"/>
          <w:sz w:val="28"/>
          <w:szCs w:val="28"/>
        </w:rPr>
        <w:t>Food advertising has a significant influence on consumer behavior. Advertisements often perpetuate traditional gender roles and stereotypes, linking specific foods to gender identity. For example, ads may depict women enjoying salads and yogurt, reinforcing the notion that such foods are more suitable for women.</w:t>
      </w:r>
    </w:p>
    <w:p w:rsidR="009638B4" w:rsidRPr="009547E7" w:rsidRDefault="009638B4" w:rsidP="009547E7">
      <w:pPr>
        <w:jc w:val="both"/>
        <w:rPr>
          <w:rFonts w:ascii="Times New Roman" w:hAnsi="Times New Roman" w:cs="Times New Roman"/>
          <w:sz w:val="28"/>
          <w:szCs w:val="28"/>
        </w:rPr>
      </w:pPr>
      <w:r w:rsidRPr="009547E7">
        <w:rPr>
          <w:rFonts w:ascii="Times New Roman" w:hAnsi="Times New Roman" w:cs="Times New Roman"/>
          <w:sz w:val="28"/>
          <w:szCs w:val="28"/>
        </w:rPr>
        <w:t xml:space="preserve">Food advertising has the power to shape cultural norms and reinforce gender stereotypes related to food consumption and domestic roles. It can perpetuate harmful ideas about body image, create unrealistic expectations, and limit individuals' freedom to make food choices based on their preferences and nutritional needs. </w:t>
      </w:r>
      <w:proofErr w:type="gramStart"/>
      <w:r w:rsidRPr="009547E7">
        <w:rPr>
          <w:rFonts w:ascii="Times New Roman" w:hAnsi="Times New Roman" w:cs="Times New Roman"/>
          <w:sz w:val="28"/>
          <w:szCs w:val="28"/>
        </w:rPr>
        <w:t>Recognizing and challenging gender stereotypes in food advertising is</w:t>
      </w:r>
      <w:proofErr w:type="gramEnd"/>
      <w:r w:rsidRPr="009547E7">
        <w:rPr>
          <w:rFonts w:ascii="Times New Roman" w:hAnsi="Times New Roman" w:cs="Times New Roman"/>
          <w:sz w:val="28"/>
          <w:szCs w:val="28"/>
        </w:rPr>
        <w:t xml:space="preserve"> essential for promoting a more inclusive and equitable food culture. By featuring diverse representations and avoiding gender-specific marketing, advertisers can contribute to breaking down barriers and fostering a healthier, more accepting relationship between consumers and food products. Additionally, promoting critical media literacy and raising awareness about the influence of advertising can empower consumers to make informed choices and challenge harmful gender norms in the food industry.</w:t>
      </w:r>
    </w:p>
    <w:p w:rsidR="0065118E" w:rsidRPr="009547E7" w:rsidRDefault="0065118E" w:rsidP="009547E7">
      <w:pPr>
        <w:jc w:val="both"/>
        <w:rPr>
          <w:rFonts w:ascii="Times New Roman" w:hAnsi="Times New Roman" w:cs="Times New Roman"/>
          <w:b/>
          <w:bCs/>
          <w:sz w:val="28"/>
          <w:szCs w:val="28"/>
        </w:rPr>
      </w:pPr>
      <w:r w:rsidRPr="009547E7">
        <w:rPr>
          <w:rFonts w:ascii="Times New Roman" w:hAnsi="Times New Roman" w:cs="Times New Roman"/>
          <w:b/>
          <w:bCs/>
          <w:sz w:val="28"/>
          <w:szCs w:val="28"/>
        </w:rPr>
        <w:t>Eating Out and Social Spaces:</w:t>
      </w:r>
    </w:p>
    <w:p w:rsidR="0065118E" w:rsidRPr="009547E7" w:rsidRDefault="0065118E" w:rsidP="009547E7">
      <w:pPr>
        <w:jc w:val="both"/>
        <w:rPr>
          <w:rFonts w:ascii="Times New Roman" w:hAnsi="Times New Roman" w:cs="Times New Roman"/>
          <w:sz w:val="28"/>
          <w:szCs w:val="28"/>
        </w:rPr>
      </w:pPr>
      <w:r w:rsidRPr="009547E7">
        <w:rPr>
          <w:rFonts w:ascii="Times New Roman" w:hAnsi="Times New Roman" w:cs="Times New Roman"/>
          <w:sz w:val="28"/>
          <w:szCs w:val="28"/>
        </w:rPr>
        <w:t>The dynamics of eating out in restaurants or social gatherings can also be influenced by gender norms. For instance, men might feel more pressure to demonstrate their masculinity by ordering large portions of food or "manly" dishes. Women, on the other hand, may face judgments or scrutiny based on their food choices and portion sizes.</w:t>
      </w:r>
    </w:p>
    <w:p w:rsidR="009638B4" w:rsidRPr="009547E7" w:rsidRDefault="009638B4" w:rsidP="009547E7">
      <w:pPr>
        <w:jc w:val="both"/>
        <w:rPr>
          <w:rFonts w:ascii="Times New Roman" w:hAnsi="Times New Roman" w:cs="Times New Roman"/>
          <w:sz w:val="28"/>
          <w:szCs w:val="28"/>
        </w:rPr>
      </w:pPr>
      <w:r w:rsidRPr="009547E7">
        <w:rPr>
          <w:rFonts w:ascii="Times New Roman" w:hAnsi="Times New Roman" w:cs="Times New Roman"/>
          <w:sz w:val="28"/>
          <w:szCs w:val="28"/>
        </w:rPr>
        <w:t>Eating out experiences can be influenced by gendered social norms and expectations. For example, in some cultures, men might be expected to take on the role of ordering for the table or paying the bill, reinforcing traditional gender roles in dining settings.</w:t>
      </w:r>
    </w:p>
    <w:p w:rsidR="009638B4" w:rsidRPr="009547E7" w:rsidRDefault="009638B4" w:rsidP="009547E7">
      <w:pPr>
        <w:jc w:val="both"/>
        <w:rPr>
          <w:rFonts w:ascii="Times New Roman" w:hAnsi="Times New Roman" w:cs="Times New Roman"/>
          <w:sz w:val="28"/>
          <w:szCs w:val="28"/>
        </w:rPr>
      </w:pPr>
      <w:r w:rsidRPr="009547E7">
        <w:rPr>
          <w:rFonts w:ascii="Times New Roman" w:hAnsi="Times New Roman" w:cs="Times New Roman"/>
          <w:sz w:val="28"/>
          <w:szCs w:val="28"/>
        </w:rPr>
        <w:t xml:space="preserve">Social spaces can influence individuals' eating habits, with certain behaviors being more socially acceptable in specific settings. For example, sharing food or taking </w:t>
      </w:r>
      <w:r w:rsidRPr="009547E7">
        <w:rPr>
          <w:rFonts w:ascii="Times New Roman" w:hAnsi="Times New Roman" w:cs="Times New Roman"/>
          <w:sz w:val="28"/>
          <w:szCs w:val="28"/>
        </w:rPr>
        <w:lastRenderedPageBreak/>
        <w:t>small bites during a business lunch might be more appropriate than during a formal dinner.</w:t>
      </w:r>
    </w:p>
    <w:p w:rsidR="0065118E" w:rsidRPr="009547E7" w:rsidRDefault="0065118E" w:rsidP="009547E7">
      <w:pPr>
        <w:jc w:val="both"/>
        <w:rPr>
          <w:rFonts w:ascii="Times New Roman" w:hAnsi="Times New Roman" w:cs="Times New Roman"/>
          <w:sz w:val="28"/>
          <w:szCs w:val="28"/>
        </w:rPr>
      </w:pPr>
    </w:p>
    <w:p w:rsidR="0065118E" w:rsidRPr="009547E7" w:rsidRDefault="0065118E" w:rsidP="009547E7">
      <w:pPr>
        <w:jc w:val="both"/>
        <w:rPr>
          <w:rFonts w:ascii="Times New Roman" w:hAnsi="Times New Roman" w:cs="Times New Roman"/>
          <w:b/>
          <w:bCs/>
          <w:sz w:val="28"/>
          <w:szCs w:val="28"/>
        </w:rPr>
      </w:pPr>
      <w:r w:rsidRPr="009547E7">
        <w:rPr>
          <w:rFonts w:ascii="Times New Roman" w:hAnsi="Times New Roman" w:cs="Times New Roman"/>
          <w:b/>
          <w:bCs/>
          <w:sz w:val="28"/>
          <w:szCs w:val="28"/>
        </w:rPr>
        <w:t>Gender, Food, and Power:</w:t>
      </w:r>
    </w:p>
    <w:p w:rsidR="0065118E" w:rsidRPr="009547E7" w:rsidRDefault="0065118E" w:rsidP="009547E7">
      <w:pPr>
        <w:jc w:val="both"/>
        <w:rPr>
          <w:rFonts w:ascii="Times New Roman" w:hAnsi="Times New Roman" w:cs="Times New Roman"/>
          <w:sz w:val="28"/>
          <w:szCs w:val="28"/>
        </w:rPr>
      </w:pPr>
      <w:r w:rsidRPr="009547E7">
        <w:rPr>
          <w:rFonts w:ascii="Times New Roman" w:hAnsi="Times New Roman" w:cs="Times New Roman"/>
          <w:sz w:val="28"/>
          <w:szCs w:val="28"/>
        </w:rPr>
        <w:t>Gendered power dynamics play a role in determining access to food resources and decision-making processes. In some cultures, men might have more control over food production and distribution, while women have limited agency in these areas. This unequal distribution of power can contribute to food insecurity and perpetuate gender inequalities.</w:t>
      </w:r>
    </w:p>
    <w:p w:rsidR="009638B4" w:rsidRPr="009547E7" w:rsidRDefault="009638B4" w:rsidP="009547E7">
      <w:pPr>
        <w:jc w:val="both"/>
        <w:rPr>
          <w:rFonts w:ascii="Times New Roman" w:hAnsi="Times New Roman" w:cs="Times New Roman"/>
          <w:sz w:val="28"/>
          <w:szCs w:val="28"/>
        </w:rPr>
      </w:pPr>
      <w:r w:rsidRPr="009547E7">
        <w:rPr>
          <w:rFonts w:ascii="Times New Roman" w:hAnsi="Times New Roman" w:cs="Times New Roman"/>
          <w:sz w:val="28"/>
          <w:szCs w:val="28"/>
        </w:rPr>
        <w:t>Gender, food, and power are deeply intertwined aspects of society that intersect in complex ways. The distribution of power in food systems is influenced by historical gender roles, cultural norms, and economic structures. Addressing gender disparities and promoting gender equality in the food industry and food systems is crucial for ensuring food security, equitable access to resources, and better nutritional outcomes for all individuals, regardless of their gender. Recognizing and challenging gendered norms and stereotypes in food production, distribution, and consumption is essential for creating a more inclusive and just food system that benefits everyone. Empowering women in the food sector and promoting their leadership roles can lead to more sustainable and resilient food systems while advancing gender equality.</w:t>
      </w:r>
    </w:p>
    <w:p w:rsidR="0065118E" w:rsidRPr="009547E7" w:rsidRDefault="0065118E" w:rsidP="009547E7">
      <w:pPr>
        <w:jc w:val="both"/>
        <w:rPr>
          <w:rFonts w:ascii="Times New Roman" w:hAnsi="Times New Roman" w:cs="Times New Roman"/>
          <w:sz w:val="28"/>
          <w:szCs w:val="28"/>
        </w:rPr>
      </w:pPr>
    </w:p>
    <w:p w:rsidR="0065118E" w:rsidRPr="009547E7" w:rsidRDefault="0065118E" w:rsidP="009547E7">
      <w:pPr>
        <w:jc w:val="both"/>
        <w:rPr>
          <w:rFonts w:ascii="Times New Roman" w:hAnsi="Times New Roman" w:cs="Times New Roman"/>
          <w:b/>
          <w:bCs/>
          <w:sz w:val="28"/>
          <w:szCs w:val="28"/>
        </w:rPr>
      </w:pPr>
      <w:r w:rsidRPr="009547E7">
        <w:rPr>
          <w:rFonts w:ascii="Times New Roman" w:hAnsi="Times New Roman" w:cs="Times New Roman"/>
          <w:b/>
          <w:bCs/>
          <w:sz w:val="28"/>
          <w:szCs w:val="28"/>
        </w:rPr>
        <w:t>Conclusion:</w:t>
      </w:r>
    </w:p>
    <w:p w:rsidR="009638B4" w:rsidRPr="009547E7" w:rsidRDefault="0065118E" w:rsidP="009547E7">
      <w:pPr>
        <w:jc w:val="both"/>
        <w:rPr>
          <w:rFonts w:ascii="Times New Roman" w:hAnsi="Times New Roman" w:cs="Times New Roman"/>
          <w:sz w:val="28"/>
          <w:szCs w:val="28"/>
        </w:rPr>
      </w:pPr>
      <w:r w:rsidRPr="009547E7">
        <w:rPr>
          <w:rFonts w:ascii="Times New Roman" w:hAnsi="Times New Roman" w:cs="Times New Roman"/>
          <w:sz w:val="28"/>
          <w:szCs w:val="28"/>
        </w:rPr>
        <w:t xml:space="preserve">The relationship between food and gender is a complex and dynamic field of study within sociology. Cultural norms, media representations, and societal expectations play a significant role in shaping how individuals perceive and interact with food. By understanding the intersections of food and gender, we can gain valuable insights into the ways in which societal norms and expectations impact our daily food practices and shape our individual and collective identities. Recognizing and challenging these </w:t>
      </w:r>
      <w:r w:rsidRPr="000275FC">
        <w:rPr>
          <w:rFonts w:ascii="Times New Roman" w:hAnsi="Times New Roman" w:cs="Times New Roman"/>
          <w:sz w:val="28"/>
          <w:szCs w:val="28"/>
        </w:rPr>
        <w:t>gendered</w:t>
      </w:r>
      <w:r w:rsidRPr="009547E7">
        <w:rPr>
          <w:rFonts w:ascii="Times New Roman" w:hAnsi="Times New Roman" w:cs="Times New Roman"/>
          <w:sz w:val="28"/>
          <w:szCs w:val="28"/>
        </w:rPr>
        <w:t xml:space="preserve"> food dynamics is essential for promoting a more inclusive, </w:t>
      </w:r>
      <w:proofErr w:type="gramStart"/>
      <w:r w:rsidRPr="009547E7">
        <w:rPr>
          <w:rFonts w:ascii="Times New Roman" w:hAnsi="Times New Roman" w:cs="Times New Roman"/>
          <w:sz w:val="28"/>
          <w:szCs w:val="28"/>
        </w:rPr>
        <w:t>equitable,</w:t>
      </w:r>
      <w:proofErr w:type="gramEnd"/>
      <w:r w:rsidRPr="009547E7">
        <w:rPr>
          <w:rFonts w:ascii="Times New Roman" w:hAnsi="Times New Roman" w:cs="Times New Roman"/>
          <w:sz w:val="28"/>
          <w:szCs w:val="28"/>
        </w:rPr>
        <w:t xml:space="preserve"> and healthy food culture for all.</w:t>
      </w:r>
    </w:p>
    <w:p w:rsidR="009638B4" w:rsidRPr="000275FC" w:rsidRDefault="009638B4" w:rsidP="000275FC">
      <w:pPr>
        <w:jc w:val="both"/>
        <w:rPr>
          <w:rFonts w:ascii="Times New Roman" w:hAnsi="Times New Roman" w:cs="Times New Roman"/>
          <w:b/>
          <w:bCs/>
          <w:sz w:val="28"/>
          <w:szCs w:val="28"/>
        </w:rPr>
      </w:pPr>
      <w:r w:rsidRPr="000275FC">
        <w:rPr>
          <w:rFonts w:ascii="Times New Roman" w:hAnsi="Times New Roman" w:cs="Times New Roman"/>
          <w:b/>
          <w:bCs/>
          <w:sz w:val="28"/>
          <w:szCs w:val="28"/>
        </w:rPr>
        <w:t>References</w:t>
      </w:r>
    </w:p>
    <w:p w:rsidR="009638B4" w:rsidRPr="000275FC" w:rsidRDefault="000275FC" w:rsidP="000275FC">
      <w:pPr>
        <w:pStyle w:val="ListParagraph"/>
        <w:numPr>
          <w:ilvl w:val="0"/>
          <w:numId w:val="5"/>
        </w:numPr>
        <w:jc w:val="both"/>
        <w:rPr>
          <w:rFonts w:ascii="Times New Roman" w:hAnsi="Times New Roman" w:cs="Times New Roman"/>
          <w:sz w:val="28"/>
          <w:szCs w:val="28"/>
        </w:rPr>
      </w:pPr>
      <w:r w:rsidRPr="000275FC">
        <w:rPr>
          <w:rFonts w:ascii="Times New Roman" w:hAnsi="Times New Roman" w:cs="Times New Roman"/>
          <w:sz w:val="28"/>
          <w:szCs w:val="28"/>
        </w:rPr>
        <w:t xml:space="preserve">Carole </w:t>
      </w:r>
      <w:proofErr w:type="spellStart"/>
      <w:r w:rsidRPr="000275FC">
        <w:rPr>
          <w:rFonts w:ascii="Times New Roman" w:hAnsi="Times New Roman" w:cs="Times New Roman"/>
          <w:sz w:val="28"/>
          <w:szCs w:val="28"/>
        </w:rPr>
        <w:t>Counihan</w:t>
      </w:r>
      <w:proofErr w:type="spellEnd"/>
      <w:r w:rsidRPr="000275FC">
        <w:rPr>
          <w:rFonts w:ascii="Times New Roman" w:hAnsi="Times New Roman" w:cs="Times New Roman"/>
          <w:sz w:val="28"/>
          <w:szCs w:val="28"/>
        </w:rPr>
        <w:t>, Steven L. Kaplan. (1998).</w:t>
      </w:r>
      <w:r w:rsidR="009638B4" w:rsidRPr="000275FC">
        <w:rPr>
          <w:rFonts w:ascii="Times New Roman" w:hAnsi="Times New Roman" w:cs="Times New Roman"/>
          <w:sz w:val="28"/>
          <w:szCs w:val="28"/>
        </w:rPr>
        <w:t>Food and Gender: Identity and Power</w:t>
      </w:r>
      <w:r w:rsidRPr="000275FC">
        <w:rPr>
          <w:rFonts w:ascii="Times New Roman" w:hAnsi="Times New Roman" w:cs="Times New Roman"/>
          <w:sz w:val="28"/>
          <w:szCs w:val="28"/>
        </w:rPr>
        <w:t>. Harwood Academic Publishers.</w:t>
      </w:r>
    </w:p>
    <w:p w:rsidR="009638B4" w:rsidRPr="000275FC" w:rsidRDefault="002C7D07" w:rsidP="000275FC">
      <w:pPr>
        <w:pStyle w:val="ListParagraph"/>
        <w:numPr>
          <w:ilvl w:val="0"/>
          <w:numId w:val="5"/>
        </w:numPr>
        <w:jc w:val="both"/>
        <w:rPr>
          <w:rFonts w:ascii="Times New Roman" w:hAnsi="Times New Roman" w:cs="Times New Roman"/>
          <w:sz w:val="28"/>
          <w:szCs w:val="28"/>
        </w:rPr>
      </w:pPr>
      <w:proofErr w:type="spellStart"/>
      <w:r>
        <w:rPr>
          <w:rFonts w:ascii="Arial" w:hAnsi="Arial" w:cs="Arial"/>
          <w:color w:val="202122"/>
          <w:sz w:val="19"/>
          <w:szCs w:val="19"/>
          <w:shd w:val="clear" w:color="auto" w:fill="FFFFFF"/>
        </w:rPr>
        <w:lastRenderedPageBreak/>
        <w:t>Spieldoch</w:t>
      </w:r>
      <w:proofErr w:type="spellEnd"/>
      <w:r>
        <w:rPr>
          <w:rFonts w:ascii="Arial" w:hAnsi="Arial" w:cs="Arial"/>
          <w:color w:val="202122"/>
          <w:sz w:val="19"/>
          <w:szCs w:val="19"/>
          <w:shd w:val="clear" w:color="auto" w:fill="FFFFFF"/>
        </w:rPr>
        <w:t>, Alexandra (2011). </w:t>
      </w:r>
      <w:hyperlink r:id="rId5" w:history="1">
        <w:r>
          <w:rPr>
            <w:rStyle w:val="Hyperlink"/>
            <w:rFonts w:ascii="Arial" w:hAnsi="Arial" w:cs="Arial"/>
            <w:color w:val="3366CC"/>
            <w:sz w:val="19"/>
            <w:szCs w:val="19"/>
          </w:rPr>
          <w:t>"The Right to Food, Gender Equality and Economic Policy"</w:t>
        </w:r>
      </w:hyperlink>
      <w:r>
        <w:rPr>
          <w:rFonts w:ascii="Arial" w:hAnsi="Arial" w:cs="Arial"/>
          <w:color w:val="202122"/>
          <w:sz w:val="19"/>
          <w:szCs w:val="19"/>
          <w:shd w:val="clear" w:color="auto" w:fill="FFFFFF"/>
        </w:rPr>
        <w:t>. </w:t>
      </w:r>
      <w:r>
        <w:rPr>
          <w:rFonts w:ascii="Arial" w:hAnsi="Arial" w:cs="Arial"/>
          <w:i/>
          <w:iCs/>
          <w:color w:val="202122"/>
          <w:sz w:val="19"/>
          <w:szCs w:val="19"/>
          <w:shd w:val="clear" w:color="auto" w:fill="FFFFFF"/>
        </w:rPr>
        <w:t>Center for Women's Global Leadership (CWGL)</w:t>
      </w:r>
      <w:r>
        <w:rPr>
          <w:rFonts w:ascii="Arial" w:hAnsi="Arial" w:cs="Arial"/>
          <w:color w:val="202122"/>
          <w:sz w:val="19"/>
          <w:szCs w:val="19"/>
          <w:shd w:val="clear" w:color="auto" w:fill="FFFFFF"/>
        </w:rPr>
        <w:t>.</w:t>
      </w:r>
    </w:p>
    <w:p w:rsidR="009638B4" w:rsidRPr="000275FC" w:rsidRDefault="000275FC" w:rsidP="000275FC">
      <w:pPr>
        <w:pStyle w:val="ListParagraph"/>
        <w:numPr>
          <w:ilvl w:val="0"/>
          <w:numId w:val="5"/>
        </w:numPr>
        <w:jc w:val="both"/>
        <w:rPr>
          <w:rFonts w:ascii="Times New Roman" w:hAnsi="Times New Roman" w:cs="Times New Roman"/>
          <w:sz w:val="28"/>
          <w:szCs w:val="28"/>
        </w:rPr>
      </w:pPr>
      <w:hyperlink r:id="rId6" w:history="1">
        <w:r w:rsidRPr="000275FC">
          <w:rPr>
            <w:rFonts w:ascii="Times New Roman" w:hAnsi="Times New Roman" w:cs="Times New Roman"/>
            <w:sz w:val="28"/>
            <w:szCs w:val="28"/>
          </w:rPr>
          <w:t>Python</w:t>
        </w:r>
      </w:hyperlink>
      <w:r w:rsidRPr="000275FC">
        <w:rPr>
          <w:rFonts w:ascii="Times New Roman" w:hAnsi="Times New Roman" w:cs="Times New Roman"/>
          <w:sz w:val="28"/>
          <w:szCs w:val="28"/>
        </w:rPr>
        <w:t>, </w:t>
      </w:r>
      <w:hyperlink r:id="rId7" w:history="1">
        <w:r w:rsidRPr="000275FC">
          <w:rPr>
            <w:rFonts w:ascii="Times New Roman" w:hAnsi="Times New Roman" w:cs="Times New Roman"/>
            <w:sz w:val="28"/>
            <w:szCs w:val="28"/>
          </w:rPr>
          <w:t>C</w:t>
        </w:r>
      </w:hyperlink>
      <w:r w:rsidRPr="000275FC">
        <w:rPr>
          <w:rFonts w:ascii="Times New Roman" w:hAnsi="Times New Roman" w:cs="Times New Roman"/>
          <w:sz w:val="28"/>
          <w:szCs w:val="28"/>
        </w:rPr>
        <w:t>, </w:t>
      </w:r>
      <w:hyperlink r:id="rId8" w:history="1">
        <w:r w:rsidRPr="000275FC">
          <w:rPr>
            <w:rFonts w:ascii="Times New Roman" w:hAnsi="Times New Roman" w:cs="Times New Roman"/>
            <w:sz w:val="28"/>
            <w:szCs w:val="28"/>
          </w:rPr>
          <w:t>Java</w:t>
        </w:r>
      </w:hyperlink>
      <w:r w:rsidRPr="000275FC">
        <w:rPr>
          <w:rFonts w:ascii="Times New Roman" w:hAnsi="Times New Roman" w:cs="Times New Roman"/>
          <w:sz w:val="28"/>
          <w:szCs w:val="28"/>
        </w:rPr>
        <w:t>, </w:t>
      </w:r>
      <w:hyperlink r:id="rId9" w:history="1">
        <w:r w:rsidRPr="000275FC">
          <w:rPr>
            <w:rFonts w:ascii="Times New Roman" w:hAnsi="Times New Roman" w:cs="Times New Roman"/>
            <w:sz w:val="28"/>
            <w:szCs w:val="28"/>
          </w:rPr>
          <w:t>Perl</w:t>
        </w:r>
      </w:hyperlink>
      <w:r w:rsidRPr="000275FC">
        <w:rPr>
          <w:rFonts w:ascii="Times New Roman" w:hAnsi="Times New Roman" w:cs="Times New Roman"/>
          <w:sz w:val="28"/>
          <w:szCs w:val="28"/>
        </w:rPr>
        <w:t xml:space="preserve"> (1998)</w:t>
      </w:r>
      <w:r>
        <w:rPr>
          <w:rFonts w:ascii="Times New Roman" w:hAnsi="Times New Roman" w:cs="Times New Roman"/>
          <w:sz w:val="28"/>
          <w:szCs w:val="28"/>
        </w:rPr>
        <w:t xml:space="preserve"> </w:t>
      </w:r>
      <w:hyperlink r:id="rId10" w:history="1">
        <w:proofErr w:type="spellStart"/>
        <w:r w:rsidR="009638B4" w:rsidRPr="000275FC">
          <w:rPr>
            <w:sz w:val="28"/>
            <w:szCs w:val="28"/>
          </w:rPr>
          <w:t>Wayback</w:t>
        </w:r>
        <w:proofErr w:type="spellEnd"/>
        <w:r w:rsidR="009638B4" w:rsidRPr="000275FC">
          <w:rPr>
            <w:sz w:val="28"/>
            <w:szCs w:val="28"/>
          </w:rPr>
          <w:t xml:space="preserve"> Machine (archive.org)</w:t>
        </w:r>
      </w:hyperlink>
    </w:p>
    <w:p w:rsidR="009638B4" w:rsidRPr="003A5DFC" w:rsidRDefault="003A5DFC" w:rsidP="000275FC">
      <w:pPr>
        <w:pStyle w:val="ListParagraph"/>
        <w:numPr>
          <w:ilvl w:val="0"/>
          <w:numId w:val="5"/>
        </w:numPr>
        <w:jc w:val="both"/>
        <w:rPr>
          <w:rFonts w:ascii="Times New Roman" w:hAnsi="Times New Roman" w:cs="Times New Roman"/>
          <w:sz w:val="28"/>
          <w:szCs w:val="28"/>
        </w:rPr>
      </w:pPr>
      <w:hyperlink r:id="rId11" w:history="1">
        <w:r w:rsidRPr="000275FC">
          <w:rPr>
            <w:sz w:val="28"/>
            <w:szCs w:val="28"/>
          </w:rPr>
          <w:t>Kate Cairns</w:t>
        </w:r>
      </w:hyperlink>
      <w:r w:rsidRPr="000275FC">
        <w:rPr>
          <w:sz w:val="28"/>
          <w:szCs w:val="28"/>
        </w:rPr>
        <w:t>, </w:t>
      </w:r>
      <w:proofErr w:type="spellStart"/>
      <w:r w:rsidRPr="000275FC">
        <w:rPr>
          <w:sz w:val="28"/>
          <w:szCs w:val="28"/>
        </w:rPr>
        <w:fldChar w:fldCharType="begin"/>
      </w:r>
      <w:r w:rsidRPr="000275FC">
        <w:rPr>
          <w:sz w:val="28"/>
          <w:szCs w:val="28"/>
        </w:rPr>
        <w:instrText xml:space="preserve"> HYPERLINK "https://www.amazon.com/s/ref=dp_byline_sr_book_2?ie=UTF8&amp;field-author=Jos%C3%A9e+Johnston&amp;text=Jos%C3%A9e+Johnston&amp;sort=relevancerank&amp;search-alias=books" </w:instrText>
      </w:r>
      <w:r w:rsidRPr="000275FC">
        <w:rPr>
          <w:sz w:val="28"/>
          <w:szCs w:val="28"/>
        </w:rPr>
        <w:fldChar w:fldCharType="separate"/>
      </w:r>
      <w:r w:rsidRPr="000275FC">
        <w:rPr>
          <w:sz w:val="28"/>
          <w:szCs w:val="28"/>
        </w:rPr>
        <w:t>Josée</w:t>
      </w:r>
      <w:proofErr w:type="spellEnd"/>
      <w:r w:rsidRPr="000275FC">
        <w:rPr>
          <w:sz w:val="28"/>
          <w:szCs w:val="28"/>
        </w:rPr>
        <w:t xml:space="preserve"> Johnston</w:t>
      </w:r>
      <w:r w:rsidRPr="000275FC">
        <w:rPr>
          <w:sz w:val="28"/>
          <w:szCs w:val="28"/>
        </w:rPr>
        <w:fldChar w:fldCharType="end"/>
      </w:r>
      <w:proofErr w:type="gramStart"/>
      <w:r>
        <w:rPr>
          <w:rFonts w:ascii="Times New Roman" w:hAnsi="Times New Roman" w:cs="Times New Roman"/>
          <w:sz w:val="28"/>
          <w:szCs w:val="28"/>
        </w:rPr>
        <w:t>.(</w:t>
      </w:r>
      <w:proofErr w:type="gramEnd"/>
      <w:r>
        <w:rPr>
          <w:rFonts w:ascii="Times New Roman" w:hAnsi="Times New Roman" w:cs="Times New Roman"/>
          <w:sz w:val="28"/>
          <w:szCs w:val="28"/>
        </w:rPr>
        <w:t>2015).</w:t>
      </w:r>
      <w:r w:rsidR="00C90F0F" w:rsidRPr="000275FC">
        <w:rPr>
          <w:rFonts w:ascii="Times New Roman" w:hAnsi="Times New Roman" w:cs="Times New Roman"/>
          <w:sz w:val="28"/>
          <w:szCs w:val="28"/>
        </w:rPr>
        <w:t>Food and Femininity (Contemporary Food Studies: Economy, Culture and Politics</w:t>
      </w:r>
      <w:r>
        <w:rPr>
          <w:rFonts w:ascii="Times New Roman" w:hAnsi="Times New Roman" w:cs="Times New Roman"/>
          <w:sz w:val="28"/>
          <w:szCs w:val="28"/>
        </w:rPr>
        <w:t>)</w:t>
      </w:r>
      <w:r w:rsidR="00C90F0F" w:rsidRPr="000275FC">
        <w:rPr>
          <w:sz w:val="28"/>
          <w:szCs w:val="28"/>
        </w:rPr>
        <w:t>,</w:t>
      </w:r>
      <w:r>
        <w:rPr>
          <w:sz w:val="28"/>
          <w:szCs w:val="28"/>
        </w:rPr>
        <w:t xml:space="preserve"> </w:t>
      </w:r>
      <w:r w:rsidR="002C7D07">
        <w:rPr>
          <w:sz w:val="28"/>
          <w:szCs w:val="28"/>
        </w:rPr>
        <w:t>Bloom bury Publisher.</w:t>
      </w:r>
    </w:p>
    <w:p w:rsidR="003A5DFC" w:rsidRPr="003A5DFC" w:rsidRDefault="003A5DFC" w:rsidP="000275FC">
      <w:pPr>
        <w:pStyle w:val="ListParagraph"/>
        <w:numPr>
          <w:ilvl w:val="0"/>
          <w:numId w:val="5"/>
        </w:numPr>
        <w:jc w:val="both"/>
        <w:rPr>
          <w:rFonts w:ascii="Times New Roman" w:hAnsi="Times New Roman" w:cs="Times New Roman"/>
          <w:sz w:val="28"/>
          <w:szCs w:val="28"/>
        </w:rPr>
      </w:pPr>
      <w:r>
        <w:t>Johnston J, Baumann S (2010) Foodies, Democracy and Distinction in the Gourmet Kitchen, London: Routledge.</w:t>
      </w:r>
    </w:p>
    <w:p w:rsidR="003A5DFC" w:rsidRPr="000275FC" w:rsidRDefault="003A5DFC" w:rsidP="000275FC">
      <w:pPr>
        <w:pStyle w:val="ListParagraph"/>
        <w:numPr>
          <w:ilvl w:val="0"/>
          <w:numId w:val="5"/>
        </w:numPr>
        <w:jc w:val="both"/>
        <w:rPr>
          <w:rFonts w:ascii="Times New Roman" w:hAnsi="Times New Roman" w:cs="Times New Roman"/>
          <w:sz w:val="28"/>
          <w:szCs w:val="28"/>
        </w:rPr>
      </w:pPr>
      <w:r>
        <w:t>Parsons JM (2015a) Gender, Class and Food: families, bodies and health, Basingstoke, Palgrave MacMillan.</w:t>
      </w:r>
    </w:p>
    <w:p w:rsidR="009638B4" w:rsidRPr="000275FC" w:rsidRDefault="009638B4" w:rsidP="009547E7">
      <w:pPr>
        <w:jc w:val="both"/>
        <w:rPr>
          <w:rFonts w:ascii="Times New Roman" w:hAnsi="Times New Roman" w:cs="Times New Roman"/>
          <w:sz w:val="24"/>
          <w:szCs w:val="24"/>
        </w:rPr>
      </w:pPr>
    </w:p>
    <w:p w:rsidR="009638B4" w:rsidRPr="009547E7" w:rsidRDefault="009638B4" w:rsidP="009547E7">
      <w:pPr>
        <w:jc w:val="both"/>
        <w:rPr>
          <w:rFonts w:ascii="Times New Roman" w:hAnsi="Times New Roman" w:cs="Times New Roman"/>
          <w:sz w:val="28"/>
          <w:szCs w:val="28"/>
        </w:rPr>
      </w:pPr>
    </w:p>
    <w:p w:rsidR="009638B4" w:rsidRPr="009547E7" w:rsidRDefault="009638B4" w:rsidP="009547E7">
      <w:pPr>
        <w:jc w:val="both"/>
        <w:rPr>
          <w:rFonts w:ascii="Times New Roman" w:hAnsi="Times New Roman" w:cs="Times New Roman"/>
          <w:sz w:val="28"/>
          <w:szCs w:val="28"/>
        </w:rPr>
      </w:pPr>
    </w:p>
    <w:p w:rsidR="007D2A3F" w:rsidRPr="009547E7" w:rsidRDefault="009638B4" w:rsidP="009547E7">
      <w:pPr>
        <w:tabs>
          <w:tab w:val="left" w:pos="3540"/>
        </w:tabs>
        <w:jc w:val="both"/>
        <w:rPr>
          <w:rFonts w:ascii="Times New Roman" w:hAnsi="Times New Roman" w:cs="Times New Roman"/>
          <w:sz w:val="28"/>
          <w:szCs w:val="28"/>
        </w:rPr>
      </w:pPr>
      <w:r w:rsidRPr="009547E7">
        <w:rPr>
          <w:rFonts w:ascii="Times New Roman" w:hAnsi="Times New Roman" w:cs="Times New Roman"/>
          <w:sz w:val="28"/>
          <w:szCs w:val="28"/>
        </w:rPr>
        <w:tab/>
      </w:r>
      <w:bookmarkStart w:id="0" w:name="_GoBack"/>
      <w:bookmarkEnd w:id="0"/>
    </w:p>
    <w:sectPr w:rsidR="007D2A3F" w:rsidRPr="009547E7" w:rsidSect="009E40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11ABE"/>
    <w:multiLevelType w:val="hybridMultilevel"/>
    <w:tmpl w:val="7FF07B92"/>
    <w:lvl w:ilvl="0" w:tplc="D55E2D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E63B6E"/>
    <w:multiLevelType w:val="hybridMultilevel"/>
    <w:tmpl w:val="1CEA98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2FE70D2"/>
    <w:multiLevelType w:val="hybridMultilevel"/>
    <w:tmpl w:val="0DFA78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8B27EA"/>
    <w:multiLevelType w:val="hybridMultilevel"/>
    <w:tmpl w:val="FDE25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FFB06A0"/>
    <w:multiLevelType w:val="hybridMultilevel"/>
    <w:tmpl w:val="B88AF83C"/>
    <w:lvl w:ilvl="0" w:tplc="E84E9A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118E"/>
    <w:rsid w:val="000275FC"/>
    <w:rsid w:val="001233DC"/>
    <w:rsid w:val="001F4CC2"/>
    <w:rsid w:val="002C7D07"/>
    <w:rsid w:val="003A5DFC"/>
    <w:rsid w:val="004020DA"/>
    <w:rsid w:val="0065118E"/>
    <w:rsid w:val="00702BA8"/>
    <w:rsid w:val="007D2A3F"/>
    <w:rsid w:val="009547E7"/>
    <w:rsid w:val="009638B4"/>
    <w:rsid w:val="009E4095"/>
    <w:rsid w:val="00C90F0F"/>
  </w:rsids>
  <m:mathPr>
    <m:mathFont m:val="Cambria Math"/>
    <m:brkBin m:val="before"/>
    <m:brkBinSub m:val="--"/>
    <m:smallFrac/>
    <m:dispDef/>
    <m:lMargin m:val="0"/>
    <m:rMargin m:val="0"/>
    <m:defJc m:val="centerGroup"/>
    <m:wrapIndent m:val="1440"/>
    <m:intLim m:val="subSup"/>
    <m:naryLim m:val="undOvr"/>
  </m:mathPr>
  <w:themeFontLang w:val="en-IN"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095"/>
  </w:style>
  <w:style w:type="paragraph" w:styleId="Heading1">
    <w:name w:val="heading 1"/>
    <w:basedOn w:val="Normal"/>
    <w:link w:val="Heading1Char"/>
    <w:uiPriority w:val="9"/>
    <w:qFormat/>
    <w:rsid w:val="009638B4"/>
    <w:pPr>
      <w:spacing w:before="100" w:beforeAutospacing="1" w:after="100" w:afterAutospacing="1" w:line="240" w:lineRule="auto"/>
      <w:outlineLvl w:val="0"/>
    </w:pPr>
    <w:rPr>
      <w:rFonts w:ascii="Times New Roman" w:eastAsia="Times New Roman" w:hAnsi="Times New Roman" w:cs="Times New Roman"/>
      <w:b/>
      <w:bCs/>
      <w:kern w:val="36"/>
      <w:sz w:val="48"/>
      <w:szCs w:val="48"/>
      <w:lang w:bidi="k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18E"/>
    <w:pPr>
      <w:ind w:left="720"/>
      <w:contextualSpacing/>
    </w:pPr>
  </w:style>
  <w:style w:type="character" w:customStyle="1" w:styleId="Heading1Char">
    <w:name w:val="Heading 1 Char"/>
    <w:basedOn w:val="DefaultParagraphFont"/>
    <w:link w:val="Heading1"/>
    <w:uiPriority w:val="9"/>
    <w:rsid w:val="009638B4"/>
    <w:rPr>
      <w:rFonts w:ascii="Times New Roman" w:eastAsia="Times New Roman" w:hAnsi="Times New Roman" w:cs="Times New Roman"/>
      <w:b/>
      <w:bCs/>
      <w:kern w:val="36"/>
      <w:sz w:val="48"/>
      <w:szCs w:val="48"/>
      <w:lang w:bidi="kn-IN"/>
    </w:rPr>
  </w:style>
  <w:style w:type="character" w:customStyle="1" w:styleId="fn">
    <w:name w:val="fn"/>
    <w:basedOn w:val="DefaultParagraphFont"/>
    <w:rsid w:val="009638B4"/>
  </w:style>
  <w:style w:type="character" w:customStyle="1" w:styleId="subtitle">
    <w:name w:val="subtitle"/>
    <w:basedOn w:val="DefaultParagraphFont"/>
    <w:rsid w:val="009638B4"/>
  </w:style>
  <w:style w:type="character" w:styleId="Hyperlink">
    <w:name w:val="Hyperlink"/>
    <w:basedOn w:val="DefaultParagraphFont"/>
    <w:uiPriority w:val="99"/>
    <w:semiHidden/>
    <w:unhideWhenUsed/>
    <w:rsid w:val="009638B4"/>
    <w:rPr>
      <w:color w:val="0000FF"/>
      <w:u w:val="single"/>
    </w:rPr>
  </w:style>
  <w:style w:type="character" w:customStyle="1" w:styleId="author">
    <w:name w:val="author"/>
    <w:basedOn w:val="DefaultParagraphFont"/>
    <w:rsid w:val="00C90F0F"/>
  </w:style>
  <w:style w:type="character" w:customStyle="1" w:styleId="a-color-secondary">
    <w:name w:val="a-color-secondary"/>
    <w:basedOn w:val="DefaultParagraphFont"/>
    <w:rsid w:val="00C90F0F"/>
  </w:style>
</w:styles>
</file>

<file path=word/webSettings.xml><?xml version="1.0" encoding="utf-8"?>
<w:webSettings xmlns:r="http://schemas.openxmlformats.org/officeDocument/2006/relationships" xmlns:w="http://schemas.openxmlformats.org/wordprocessingml/2006/main">
  <w:divs>
    <w:div w:id="123541544">
      <w:bodyDiv w:val="1"/>
      <w:marLeft w:val="0"/>
      <w:marRight w:val="0"/>
      <w:marTop w:val="0"/>
      <w:marBottom w:val="0"/>
      <w:divBdr>
        <w:top w:val="none" w:sz="0" w:space="0" w:color="auto"/>
        <w:left w:val="none" w:sz="0" w:space="0" w:color="auto"/>
        <w:bottom w:val="none" w:sz="0" w:space="0" w:color="auto"/>
        <w:right w:val="none" w:sz="0" w:space="0" w:color="auto"/>
      </w:divBdr>
    </w:div>
    <w:div w:id="959804513">
      <w:bodyDiv w:val="1"/>
      <w:marLeft w:val="0"/>
      <w:marRight w:val="0"/>
      <w:marTop w:val="0"/>
      <w:marBottom w:val="0"/>
      <w:divBdr>
        <w:top w:val="none" w:sz="0" w:space="0" w:color="auto"/>
        <w:left w:val="none" w:sz="0" w:space="0" w:color="auto"/>
        <w:bottom w:val="none" w:sz="0" w:space="0" w:color="auto"/>
        <w:right w:val="none" w:sz="0" w:space="0" w:color="auto"/>
      </w:divBdr>
    </w:div>
    <w:div w:id="1043092213">
      <w:bodyDiv w:val="1"/>
      <w:marLeft w:val="0"/>
      <w:marRight w:val="0"/>
      <w:marTop w:val="0"/>
      <w:marBottom w:val="0"/>
      <w:divBdr>
        <w:top w:val="none" w:sz="0" w:space="0" w:color="auto"/>
        <w:left w:val="none" w:sz="0" w:space="0" w:color="auto"/>
        <w:bottom w:val="none" w:sz="0" w:space="0" w:color="auto"/>
        <w:right w:val="none" w:sz="0" w:space="0" w:color="auto"/>
      </w:divBdr>
      <w:divsChild>
        <w:div w:id="1368146116">
          <w:marLeft w:val="0"/>
          <w:marRight w:val="0"/>
          <w:marTop w:val="48"/>
          <w:marBottom w:val="48"/>
          <w:divBdr>
            <w:top w:val="none" w:sz="0" w:space="0" w:color="auto"/>
            <w:left w:val="none" w:sz="0" w:space="0" w:color="auto"/>
            <w:bottom w:val="none" w:sz="0" w:space="0" w:color="auto"/>
            <w:right w:val="none" w:sz="0" w:space="0" w:color="auto"/>
          </w:divBdr>
        </w:div>
      </w:divsChild>
    </w:div>
    <w:div w:id="206729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xsrf=AB5stBhITszJhPocnBXBpK_tBf10SBI-UQ:1690543402144&amp;q=Java&amp;si=ACFMAn8gKcw6L8cgu575hwcueyKgoe9ZYQ1m1yJZTLKy7VGJ2vm3r9oANcOzfx44bMzutR2Ju1g_FRyC9tGgzlSns7OmgfKBy1Nc00BIMFUNsag584X9882B-B85R_O3XF-JQnnA3pdApc7ZGldXOfIjrm0r8yPAyjV-hAd4CA7hjz2Q_P7-BNJPga6hlKQYvrxkU97fEl5SGsCQNynmcBl2SnIN363hCQnvlz9aEv8cY6dPmcS9PiIwpz24tdtoNi-lFqiOqR8juUIcFEYvYGwMlrtr2bTwEw%3D%3D&amp;sa=X&amp;ved=2ahUKEwig79j3pLGAAxWU-TgGHYdEArQQmxMoA3oECEkQB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search?sxsrf=AB5stBhITszJhPocnBXBpK_tBf10SBI-UQ:1690543402144&amp;q=C+programming+language&amp;si=ACFMAn86XkhxzOC35jo3k1ec_mUa4PwHgnEtN6tbGWMWaJ9RAupZr5qTeL3wmVlAOlQAkE_49ngGmtNRr2sUK_ZrGh8ZxWYurXr3cVPYyJZ417_QTDM6HwhqZRZk9AJ9RJy2ZWq9r536H6CSdcn693AsHaHG9MO7naB54sn86BEnlQnYIAlbaL-CV_lwOiwn1Tivy9MfTuTcBlXk-pkpmR0-TcWSOvdwwrJaifgvy19dWxSqqXgOxYscn7V_2lg_BtzFg0bokb0PXT3GCzvi0EtJv7-AmyGYwoVCtBZGK0LFSwZ7gboEQG4%3D&amp;sa=X&amp;ved=2ahUKEwig79j3pLGAAxWU-TgGHYdEArQQmxMoAnoECEkQB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sxsrf=AB5stBhITszJhPocnBXBpK_tBf10SBI-UQ:1690543402144&amp;q=Python&amp;si=ACFMAn86XkhxzOC35jo3k1ec_mUa4PwHgnEtN6tbGWMWaJ9RAmmkbzgJhS73Mg0Q504jryDy48zRzFuq6lObQpDBMucmOa1vRr7lBJs4WIyq1VXucN5A4EIv08IHn4IguhuNB5beugOh42tSqyavxuWb2C83D0isoR48cw_2SpHYsCfdKFmp-YazSwrPPKrjnVQmCSlLoicMLirlbHIsNBkv3IVoAYvwxi54-jvl94Rek7DWXy87Wm7RI4Fovi2Q8LRSlGzTAiE3GmvA3K9ZhKCD94a9EjWj6A%3D%3D&amp;sa=X&amp;ved=2ahUKEwig79j3pLGAAxWU-TgGHYdEArQQmxMoAXoECEkQAw" TargetMode="External"/><Relationship Id="rId11" Type="http://schemas.openxmlformats.org/officeDocument/2006/relationships/hyperlink" Target="https://www.amazon.com/s/ref=dp_byline_sr_book_1?ie=UTF8&amp;field-author=Kate+Cairns&amp;text=Kate+Cairns&amp;sort=relevancerank&amp;search-alias=books" TargetMode="External"/><Relationship Id="rId5" Type="http://schemas.openxmlformats.org/officeDocument/2006/relationships/hyperlink" Target="http://cwgl.rutgers.edu/resources/publications/economic-a-social-rights/379-the-right-to-food-gender-equality-and-economic-policy" TargetMode="External"/><Relationship Id="rId10" Type="http://schemas.openxmlformats.org/officeDocument/2006/relationships/hyperlink" Target="https://web.archive.org/web/20180128060016/http:/www.fao.org/wairdocs/ar259e/ar259e.pdf" TargetMode="External"/><Relationship Id="rId4" Type="http://schemas.openxmlformats.org/officeDocument/2006/relationships/webSettings" Target="webSettings.xml"/><Relationship Id="rId9" Type="http://schemas.openxmlformats.org/officeDocument/2006/relationships/hyperlink" Target="https://www.google.com/search?sxsrf=AB5stBhITszJhPocnBXBpK_tBf10SBI-UQ:1690543402144&amp;q=Perl&amp;si=ACFMAn86XkhxzOC35jo3k1ec_mUa4PwHgnEtN6tbGWMWaJ9RApWY8M8ZsnyVuHp6IvYKOLnGrS4PaD4qY_LSR4dwHH-jR_m8msU5OaJs369abZ4xloe5JkXVnkD1DrvBfoqLCWwvdtXg99wbfGhQqT8916Zt5zLoxbw7gscwTsoIM_SBbOpZ4at4KBZOr_S8gLcHu23wbRpVvILaDwfYCd3u_X9mqa_itBfHsLmJ-0KiyzLQ6iMHRIgbTC_7NrJObQP0E1VMtSrG&amp;sa=X&amp;ved=2ahUKEwig79j3pLGAAxWU-TgGHYdEArQQmxMoBHoECEkQ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Gumbi</dc:creator>
  <cp:lastModifiedBy>coorg</cp:lastModifiedBy>
  <cp:revision>2</cp:revision>
  <dcterms:created xsi:type="dcterms:W3CDTF">2023-07-28T12:54:00Z</dcterms:created>
  <dcterms:modified xsi:type="dcterms:W3CDTF">2023-07-28T12:54:00Z</dcterms:modified>
</cp:coreProperties>
</file>