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7A8" w:rsidRDefault="00F277A8" w:rsidP="00C74746">
      <w:pPr>
        <w:spacing w:after="0" w:line="240" w:lineRule="auto"/>
        <w:jc w:val="center"/>
        <w:rPr>
          <w:rFonts w:ascii="Times New Roman" w:hAnsi="Times New Roman" w:cs="Times New Roman"/>
          <w:sz w:val="48"/>
          <w:szCs w:val="48"/>
        </w:rPr>
      </w:pPr>
    </w:p>
    <w:p w:rsidR="007F4FD2" w:rsidRDefault="009E17B6" w:rsidP="00C74746">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S</w:t>
      </w:r>
      <w:r w:rsidR="007854E6">
        <w:rPr>
          <w:rFonts w:ascii="Times New Roman" w:hAnsi="Times New Roman" w:cs="Times New Roman"/>
          <w:sz w:val="48"/>
          <w:szCs w:val="48"/>
        </w:rPr>
        <w:t xml:space="preserve">caffolds </w:t>
      </w:r>
      <w:r>
        <w:rPr>
          <w:rFonts w:ascii="Times New Roman" w:hAnsi="Times New Roman" w:cs="Times New Roman"/>
          <w:sz w:val="48"/>
          <w:szCs w:val="48"/>
        </w:rPr>
        <w:t xml:space="preserve">used </w:t>
      </w:r>
      <w:r w:rsidR="007854E6">
        <w:rPr>
          <w:rFonts w:ascii="Times New Roman" w:hAnsi="Times New Roman" w:cs="Times New Roman"/>
          <w:sz w:val="48"/>
          <w:szCs w:val="48"/>
        </w:rPr>
        <w:t>in t</w:t>
      </w:r>
      <w:r w:rsidR="00E25B7D">
        <w:rPr>
          <w:rFonts w:ascii="Times New Roman" w:hAnsi="Times New Roman" w:cs="Times New Roman"/>
          <w:sz w:val="48"/>
          <w:szCs w:val="48"/>
        </w:rPr>
        <w:t>i</w:t>
      </w:r>
      <w:r w:rsidR="00F91392">
        <w:rPr>
          <w:rFonts w:ascii="Times New Roman" w:hAnsi="Times New Roman" w:cs="Times New Roman"/>
          <w:sz w:val="48"/>
          <w:szCs w:val="48"/>
        </w:rPr>
        <w:t>ssue engineering</w:t>
      </w:r>
      <w:r w:rsidR="008D329A">
        <w:rPr>
          <w:rFonts w:ascii="Times New Roman" w:hAnsi="Times New Roman" w:cs="Times New Roman"/>
          <w:sz w:val="48"/>
          <w:szCs w:val="48"/>
        </w:rPr>
        <w:t xml:space="preserve"> </w:t>
      </w:r>
      <w:r>
        <w:rPr>
          <w:rFonts w:ascii="Times New Roman" w:hAnsi="Times New Roman" w:cs="Times New Roman"/>
          <w:sz w:val="48"/>
          <w:szCs w:val="48"/>
        </w:rPr>
        <w:t>and their applications in medicine and dentistry</w:t>
      </w:r>
    </w:p>
    <w:p w:rsidR="00F277A8" w:rsidRDefault="00F277A8" w:rsidP="00C74746">
      <w:pPr>
        <w:spacing w:after="0" w:line="240" w:lineRule="auto"/>
        <w:jc w:val="center"/>
        <w:rPr>
          <w:rFonts w:ascii="Times New Roman" w:hAnsi="Times New Roman" w:cs="Times New Roman"/>
          <w:sz w:val="48"/>
          <w:szCs w:val="48"/>
        </w:rPr>
      </w:pPr>
    </w:p>
    <w:p w:rsidR="00BF7567" w:rsidRPr="00BF7567" w:rsidRDefault="00BF7567" w:rsidP="00BF7567">
      <w:pPr>
        <w:spacing w:after="0" w:line="256" w:lineRule="auto"/>
        <w:jc w:val="center"/>
        <w:rPr>
          <w:rFonts w:ascii="Times New Roman" w:eastAsia="Calibri" w:hAnsi="Times New Roman" w:cs="Times New Roman"/>
          <w:sz w:val="20"/>
          <w:szCs w:val="20"/>
        </w:rPr>
      </w:pPr>
      <w:r w:rsidRPr="00BF7567">
        <w:rPr>
          <w:rFonts w:ascii="Times New Roman" w:eastAsia="Calibri" w:hAnsi="Times New Roman" w:cs="Times New Roman"/>
          <w:sz w:val="20"/>
          <w:szCs w:val="20"/>
        </w:rPr>
        <w:t>Author 1: Dr. Jai Kiran. K</w:t>
      </w:r>
    </w:p>
    <w:p w:rsidR="00BF7567" w:rsidRPr="00BF7567" w:rsidRDefault="00BF7567" w:rsidP="00BF7567">
      <w:pPr>
        <w:spacing w:after="0" w:line="256" w:lineRule="auto"/>
        <w:jc w:val="center"/>
        <w:rPr>
          <w:rFonts w:ascii="Times New Roman" w:eastAsia="Calibri" w:hAnsi="Times New Roman" w:cs="Times New Roman"/>
          <w:sz w:val="20"/>
          <w:szCs w:val="20"/>
        </w:rPr>
      </w:pPr>
      <w:r w:rsidRPr="00BF7567">
        <w:rPr>
          <w:rFonts w:ascii="Times New Roman" w:eastAsia="Calibri" w:hAnsi="Times New Roman" w:cs="Times New Roman"/>
          <w:sz w:val="20"/>
          <w:szCs w:val="20"/>
        </w:rPr>
        <w:t>Professor, Department of Pedodontics and Preventive dentistry</w:t>
      </w:r>
    </w:p>
    <w:p w:rsidR="00BF7567" w:rsidRPr="00BF7567" w:rsidRDefault="00BF7567" w:rsidP="00BF7567">
      <w:pPr>
        <w:spacing w:after="0" w:line="256" w:lineRule="auto"/>
        <w:jc w:val="center"/>
        <w:rPr>
          <w:rFonts w:ascii="Times New Roman" w:eastAsia="Calibri" w:hAnsi="Times New Roman" w:cs="Times New Roman"/>
          <w:sz w:val="20"/>
          <w:szCs w:val="20"/>
        </w:rPr>
      </w:pPr>
      <w:r w:rsidRPr="00BF7567">
        <w:rPr>
          <w:rFonts w:ascii="Times New Roman" w:eastAsia="Calibri" w:hAnsi="Times New Roman" w:cs="Times New Roman"/>
          <w:sz w:val="20"/>
          <w:szCs w:val="20"/>
        </w:rPr>
        <w:t>GITAM Dental College and Hospital</w:t>
      </w:r>
    </w:p>
    <w:p w:rsidR="00BF7567" w:rsidRPr="00BF7567" w:rsidRDefault="00BF7567" w:rsidP="00BF7567">
      <w:pPr>
        <w:spacing w:after="0" w:line="256" w:lineRule="auto"/>
        <w:jc w:val="center"/>
        <w:rPr>
          <w:rFonts w:ascii="Times New Roman" w:eastAsia="Calibri" w:hAnsi="Times New Roman" w:cs="Times New Roman"/>
          <w:sz w:val="20"/>
          <w:szCs w:val="20"/>
        </w:rPr>
      </w:pPr>
      <w:r w:rsidRPr="00BF7567">
        <w:rPr>
          <w:rFonts w:ascii="Times New Roman" w:eastAsia="Calibri" w:hAnsi="Times New Roman" w:cs="Times New Roman"/>
          <w:sz w:val="20"/>
          <w:szCs w:val="20"/>
        </w:rPr>
        <w:t>Visakhapatnam, India</w:t>
      </w:r>
    </w:p>
    <w:p w:rsidR="00BF7567" w:rsidRPr="00BF7567" w:rsidRDefault="00BF7567" w:rsidP="00BF7567">
      <w:pPr>
        <w:spacing w:after="0" w:line="256" w:lineRule="auto"/>
        <w:jc w:val="center"/>
        <w:rPr>
          <w:rFonts w:ascii="Times New Roman" w:eastAsia="Calibri" w:hAnsi="Times New Roman" w:cs="Times New Roman"/>
          <w:sz w:val="20"/>
          <w:szCs w:val="20"/>
        </w:rPr>
      </w:pPr>
      <w:hyperlink r:id="rId8" w:history="1">
        <w:r w:rsidRPr="00BF7567">
          <w:rPr>
            <w:rFonts w:ascii="Times New Roman" w:eastAsia="Calibri" w:hAnsi="Times New Roman" w:cs="Times New Roman"/>
            <w:color w:val="0563C1" w:themeColor="hyperlink"/>
            <w:sz w:val="20"/>
            <w:szCs w:val="20"/>
            <w:u w:val="single"/>
          </w:rPr>
          <w:t>jaikirankillada@gmail.com</w:t>
        </w:r>
      </w:hyperlink>
    </w:p>
    <w:p w:rsidR="00BF7567" w:rsidRPr="00BF7567" w:rsidRDefault="00BF7567" w:rsidP="00BF7567">
      <w:pPr>
        <w:spacing w:after="0" w:line="256" w:lineRule="auto"/>
        <w:jc w:val="center"/>
        <w:rPr>
          <w:rFonts w:ascii="Times New Roman" w:eastAsia="Calibri" w:hAnsi="Times New Roman" w:cs="Times New Roman"/>
          <w:sz w:val="20"/>
          <w:szCs w:val="20"/>
        </w:rPr>
      </w:pPr>
    </w:p>
    <w:p w:rsidR="00BF7567" w:rsidRPr="00BF7567" w:rsidRDefault="00BF7567" w:rsidP="00BF7567">
      <w:pPr>
        <w:spacing w:after="0" w:line="256" w:lineRule="auto"/>
        <w:jc w:val="center"/>
        <w:rPr>
          <w:rFonts w:ascii="Times New Roman" w:eastAsia="Calibri" w:hAnsi="Times New Roman" w:cs="Times New Roman"/>
          <w:sz w:val="20"/>
          <w:szCs w:val="20"/>
        </w:rPr>
      </w:pPr>
      <w:r w:rsidRPr="00BF7567">
        <w:rPr>
          <w:rFonts w:ascii="Times New Roman" w:eastAsia="Calibri" w:hAnsi="Times New Roman" w:cs="Times New Roman"/>
          <w:sz w:val="20"/>
          <w:szCs w:val="20"/>
        </w:rPr>
        <w:t>Author 2: Dr. Manjusha. D</w:t>
      </w:r>
    </w:p>
    <w:p w:rsidR="00BF7567" w:rsidRPr="00BF7567" w:rsidRDefault="00BF7567" w:rsidP="00BF7567">
      <w:pPr>
        <w:spacing w:after="0" w:line="256" w:lineRule="auto"/>
        <w:jc w:val="center"/>
        <w:rPr>
          <w:rFonts w:ascii="Times New Roman" w:eastAsia="Calibri" w:hAnsi="Times New Roman" w:cs="Times New Roman"/>
          <w:sz w:val="20"/>
          <w:szCs w:val="20"/>
        </w:rPr>
      </w:pPr>
      <w:r w:rsidRPr="00BF7567">
        <w:rPr>
          <w:rFonts w:ascii="Times New Roman" w:eastAsia="Calibri" w:hAnsi="Times New Roman" w:cs="Times New Roman"/>
          <w:sz w:val="20"/>
          <w:szCs w:val="20"/>
        </w:rPr>
        <w:t>MDS, Department of Pedodontics and Preventive Dentistry</w:t>
      </w:r>
    </w:p>
    <w:p w:rsidR="00BF7567" w:rsidRPr="00BF7567" w:rsidRDefault="00BF7567" w:rsidP="00BF7567">
      <w:pPr>
        <w:spacing w:after="0" w:line="256" w:lineRule="auto"/>
        <w:jc w:val="center"/>
        <w:rPr>
          <w:rFonts w:ascii="Times New Roman" w:eastAsia="Calibri" w:hAnsi="Times New Roman" w:cs="Times New Roman"/>
          <w:sz w:val="20"/>
          <w:szCs w:val="20"/>
        </w:rPr>
      </w:pPr>
      <w:r w:rsidRPr="00BF7567">
        <w:rPr>
          <w:rFonts w:ascii="Times New Roman" w:eastAsia="Calibri" w:hAnsi="Times New Roman" w:cs="Times New Roman"/>
          <w:sz w:val="20"/>
          <w:szCs w:val="20"/>
        </w:rPr>
        <w:t>GITAM Dental College and Hospital</w:t>
      </w:r>
    </w:p>
    <w:p w:rsidR="00BF7567" w:rsidRPr="00BF7567" w:rsidRDefault="00BF7567" w:rsidP="00BF7567">
      <w:pPr>
        <w:spacing w:after="0" w:line="256" w:lineRule="auto"/>
        <w:jc w:val="center"/>
        <w:rPr>
          <w:rFonts w:ascii="Times New Roman" w:eastAsia="Calibri" w:hAnsi="Times New Roman" w:cs="Times New Roman"/>
          <w:sz w:val="20"/>
          <w:szCs w:val="20"/>
        </w:rPr>
      </w:pPr>
      <w:r w:rsidRPr="00BF7567">
        <w:rPr>
          <w:rFonts w:ascii="Times New Roman" w:eastAsia="Calibri" w:hAnsi="Times New Roman" w:cs="Times New Roman"/>
          <w:sz w:val="20"/>
          <w:szCs w:val="20"/>
        </w:rPr>
        <w:t>Visakhapatnam, India</w:t>
      </w:r>
    </w:p>
    <w:p w:rsidR="00BF7567" w:rsidRPr="00BF7567" w:rsidRDefault="00BF7567" w:rsidP="00BF7567">
      <w:pPr>
        <w:spacing w:after="0" w:line="256" w:lineRule="auto"/>
        <w:jc w:val="center"/>
        <w:rPr>
          <w:rFonts w:ascii="Times New Roman" w:eastAsia="Calibri" w:hAnsi="Times New Roman" w:cs="Times New Roman"/>
          <w:sz w:val="20"/>
          <w:szCs w:val="20"/>
        </w:rPr>
      </w:pPr>
      <w:hyperlink r:id="rId9" w:history="1">
        <w:r w:rsidRPr="00BF7567">
          <w:rPr>
            <w:rFonts w:ascii="Times New Roman" w:eastAsia="Calibri" w:hAnsi="Times New Roman" w:cs="Times New Roman"/>
            <w:color w:val="0563C1" w:themeColor="hyperlink"/>
            <w:sz w:val="20"/>
            <w:szCs w:val="20"/>
            <w:u w:val="single"/>
          </w:rPr>
          <w:t>manjushadumpala@gmail.com</w:t>
        </w:r>
      </w:hyperlink>
      <w:r w:rsidRPr="00BF7567">
        <w:rPr>
          <w:rFonts w:ascii="Times New Roman" w:eastAsia="Calibri" w:hAnsi="Times New Roman" w:cs="Times New Roman"/>
          <w:sz w:val="20"/>
          <w:szCs w:val="20"/>
        </w:rPr>
        <w:t xml:space="preserve"> </w:t>
      </w:r>
    </w:p>
    <w:p w:rsidR="00BF7567" w:rsidRDefault="00BF7567" w:rsidP="00C74746">
      <w:pPr>
        <w:spacing w:after="0" w:line="240" w:lineRule="auto"/>
        <w:jc w:val="center"/>
        <w:rPr>
          <w:rFonts w:ascii="Times New Roman" w:hAnsi="Times New Roman" w:cs="Times New Roman"/>
          <w:sz w:val="48"/>
          <w:szCs w:val="48"/>
        </w:rPr>
      </w:pPr>
    </w:p>
    <w:p w:rsidR="00AF430A" w:rsidRDefault="00AF430A" w:rsidP="00C74746">
      <w:pPr>
        <w:spacing w:after="0" w:line="240" w:lineRule="auto"/>
        <w:jc w:val="center"/>
        <w:rPr>
          <w:rFonts w:ascii="Times New Roman" w:hAnsi="Times New Roman" w:cs="Times New Roman"/>
          <w:b/>
          <w:sz w:val="20"/>
          <w:szCs w:val="20"/>
        </w:rPr>
      </w:pPr>
      <w:r w:rsidRPr="00C74746">
        <w:rPr>
          <w:rFonts w:ascii="Times New Roman" w:hAnsi="Times New Roman" w:cs="Times New Roman"/>
          <w:b/>
          <w:sz w:val="20"/>
          <w:szCs w:val="20"/>
        </w:rPr>
        <w:t>ABSTRACT</w:t>
      </w:r>
    </w:p>
    <w:p w:rsidR="00C74746" w:rsidRPr="00C74746" w:rsidRDefault="00C74746" w:rsidP="00C74746">
      <w:pPr>
        <w:spacing w:after="0" w:line="240" w:lineRule="auto"/>
        <w:jc w:val="center"/>
        <w:rPr>
          <w:rFonts w:ascii="Times New Roman" w:hAnsi="Times New Roman" w:cs="Times New Roman"/>
          <w:b/>
          <w:sz w:val="20"/>
          <w:szCs w:val="20"/>
        </w:rPr>
      </w:pPr>
    </w:p>
    <w:p w:rsidR="00215492" w:rsidRDefault="00AF430A" w:rsidP="00C74746">
      <w:pPr>
        <w:spacing w:after="0" w:line="240" w:lineRule="auto"/>
        <w:jc w:val="both"/>
        <w:rPr>
          <w:rFonts w:ascii="Times New Roman" w:hAnsi="Times New Roman" w:cs="Times New Roman"/>
          <w:sz w:val="20"/>
          <w:szCs w:val="20"/>
        </w:rPr>
      </w:pPr>
      <w:r w:rsidRPr="00AF430A">
        <w:rPr>
          <w:rFonts w:ascii="Times New Roman" w:hAnsi="Times New Roman" w:cs="Times New Roman"/>
          <w:sz w:val="20"/>
          <w:szCs w:val="20"/>
        </w:rPr>
        <w:t>Tissue engineering is a hybrid techn</w:t>
      </w:r>
      <w:r>
        <w:rPr>
          <w:rFonts w:ascii="Times New Roman" w:hAnsi="Times New Roman" w:cs="Times New Roman"/>
          <w:sz w:val="20"/>
          <w:szCs w:val="20"/>
        </w:rPr>
        <w:t>ology that combines biology and materials science</w:t>
      </w:r>
      <w:r w:rsidR="00215492">
        <w:rPr>
          <w:rFonts w:ascii="Times New Roman" w:hAnsi="Times New Roman" w:cs="Times New Roman"/>
          <w:sz w:val="20"/>
          <w:szCs w:val="20"/>
        </w:rPr>
        <w:t>. T</w:t>
      </w:r>
      <w:r w:rsidRPr="00AF430A">
        <w:rPr>
          <w:rFonts w:ascii="Times New Roman" w:hAnsi="Times New Roman" w:cs="Times New Roman"/>
          <w:sz w:val="20"/>
          <w:szCs w:val="20"/>
        </w:rPr>
        <w:t>issue engineering and regenerat</w:t>
      </w:r>
      <w:r>
        <w:rPr>
          <w:rFonts w:ascii="Times New Roman" w:hAnsi="Times New Roman" w:cs="Times New Roman"/>
          <w:sz w:val="20"/>
          <w:szCs w:val="20"/>
        </w:rPr>
        <w:t xml:space="preserve">ive medicine are among the most </w:t>
      </w:r>
      <w:r w:rsidRPr="00AF430A">
        <w:rPr>
          <w:rFonts w:ascii="Times New Roman" w:hAnsi="Times New Roman" w:cs="Times New Roman"/>
          <w:sz w:val="20"/>
          <w:szCs w:val="20"/>
        </w:rPr>
        <w:t xml:space="preserve">promising cutting-edge applications </w:t>
      </w:r>
      <w:r>
        <w:rPr>
          <w:rFonts w:ascii="Times New Roman" w:hAnsi="Times New Roman" w:cs="Times New Roman"/>
          <w:sz w:val="20"/>
          <w:szCs w:val="20"/>
        </w:rPr>
        <w:t xml:space="preserve">that require the development of </w:t>
      </w:r>
      <w:r w:rsidRPr="00AF430A">
        <w:rPr>
          <w:rFonts w:ascii="Times New Roman" w:hAnsi="Times New Roman" w:cs="Times New Roman"/>
          <w:sz w:val="20"/>
          <w:szCs w:val="20"/>
        </w:rPr>
        <w:t>biomaterials to assemble functional constr</w:t>
      </w:r>
      <w:r>
        <w:rPr>
          <w:rFonts w:ascii="Times New Roman" w:hAnsi="Times New Roman" w:cs="Times New Roman"/>
          <w:sz w:val="20"/>
          <w:szCs w:val="20"/>
        </w:rPr>
        <w:t xml:space="preserve">ucts that restore, maintain, or </w:t>
      </w:r>
      <w:r w:rsidRPr="00AF430A">
        <w:rPr>
          <w:rFonts w:ascii="Times New Roman" w:hAnsi="Times New Roman" w:cs="Times New Roman"/>
          <w:sz w:val="20"/>
          <w:szCs w:val="20"/>
        </w:rPr>
        <w:t>improve damaged tissues or whole organs.</w:t>
      </w:r>
      <w:r>
        <w:rPr>
          <w:rFonts w:ascii="Times New Roman" w:hAnsi="Times New Roman" w:cs="Times New Roman"/>
          <w:sz w:val="20"/>
          <w:szCs w:val="20"/>
        </w:rPr>
        <w:t xml:space="preserve"> Hence, these areas are focused </w:t>
      </w:r>
      <w:r w:rsidRPr="00AF430A">
        <w:rPr>
          <w:rFonts w:ascii="Times New Roman" w:hAnsi="Times New Roman" w:cs="Times New Roman"/>
          <w:sz w:val="20"/>
          <w:szCs w:val="20"/>
        </w:rPr>
        <w:t>on the development of biomaterials</w:t>
      </w:r>
      <w:r>
        <w:rPr>
          <w:rFonts w:ascii="Times New Roman" w:hAnsi="Times New Roman" w:cs="Times New Roman"/>
          <w:sz w:val="20"/>
          <w:szCs w:val="20"/>
        </w:rPr>
        <w:t xml:space="preserve"> that mimic the physicochemical </w:t>
      </w:r>
      <w:r w:rsidRPr="00AF430A">
        <w:rPr>
          <w:rFonts w:ascii="Times New Roman" w:hAnsi="Times New Roman" w:cs="Times New Roman"/>
          <w:sz w:val="20"/>
          <w:szCs w:val="20"/>
        </w:rPr>
        <w:t>microenv</w:t>
      </w:r>
      <w:r>
        <w:rPr>
          <w:rFonts w:ascii="Times New Roman" w:hAnsi="Times New Roman" w:cs="Times New Roman"/>
          <w:sz w:val="20"/>
          <w:szCs w:val="20"/>
        </w:rPr>
        <w:t>ironments of cells and tissues</w:t>
      </w:r>
      <w:r w:rsidRPr="00AF430A">
        <w:rPr>
          <w:rFonts w:ascii="Times New Roman" w:hAnsi="Times New Roman" w:cs="Times New Roman"/>
          <w:sz w:val="20"/>
          <w:szCs w:val="20"/>
        </w:rPr>
        <w:t>.</w:t>
      </w:r>
      <w:r w:rsidR="006C34B2">
        <w:rPr>
          <w:rFonts w:ascii="Times New Roman" w:hAnsi="Times New Roman" w:cs="Times New Roman"/>
          <w:sz w:val="20"/>
          <w:szCs w:val="20"/>
        </w:rPr>
        <w:t xml:space="preserve"> </w:t>
      </w:r>
      <w:r w:rsidR="006C34B2" w:rsidRPr="006C34B2">
        <w:rPr>
          <w:rFonts w:ascii="Times New Roman" w:hAnsi="Times New Roman" w:cs="Times New Roman"/>
          <w:sz w:val="20"/>
          <w:szCs w:val="20"/>
        </w:rPr>
        <w:t>This field of medicine holds great promi</w:t>
      </w:r>
      <w:r w:rsidR="006C34B2">
        <w:rPr>
          <w:rFonts w:ascii="Times New Roman" w:hAnsi="Times New Roman" w:cs="Times New Roman"/>
          <w:sz w:val="20"/>
          <w:szCs w:val="20"/>
        </w:rPr>
        <w:t xml:space="preserve">se for improving the health and </w:t>
      </w:r>
      <w:r w:rsidR="006C34B2" w:rsidRPr="006C34B2">
        <w:rPr>
          <w:rFonts w:ascii="Times New Roman" w:hAnsi="Times New Roman" w:cs="Times New Roman"/>
          <w:sz w:val="20"/>
          <w:szCs w:val="20"/>
        </w:rPr>
        <w:t>quality of life for millions of people by develo</w:t>
      </w:r>
      <w:r w:rsidR="006C34B2">
        <w:rPr>
          <w:rFonts w:ascii="Times New Roman" w:hAnsi="Times New Roman" w:cs="Times New Roman"/>
          <w:sz w:val="20"/>
          <w:szCs w:val="20"/>
        </w:rPr>
        <w:t xml:space="preserve">ping functional substitutes for </w:t>
      </w:r>
      <w:r w:rsidR="006C34B2" w:rsidRPr="006C34B2">
        <w:rPr>
          <w:rFonts w:ascii="Times New Roman" w:hAnsi="Times New Roman" w:cs="Times New Roman"/>
          <w:sz w:val="20"/>
          <w:szCs w:val="20"/>
        </w:rPr>
        <w:t>damaged organs and tissues, including bone rep</w:t>
      </w:r>
      <w:r w:rsidR="006C34B2">
        <w:rPr>
          <w:rFonts w:ascii="Times New Roman" w:hAnsi="Times New Roman" w:cs="Times New Roman"/>
          <w:sz w:val="20"/>
          <w:szCs w:val="20"/>
        </w:rPr>
        <w:t xml:space="preserve">air, cardiac tissue, cartilage, </w:t>
      </w:r>
      <w:r w:rsidR="006C34B2" w:rsidRPr="006C34B2">
        <w:rPr>
          <w:rFonts w:ascii="Times New Roman" w:hAnsi="Times New Roman" w:cs="Times New Roman"/>
          <w:sz w:val="20"/>
          <w:szCs w:val="20"/>
        </w:rPr>
        <w:t>and lung tissues</w:t>
      </w:r>
      <w:r w:rsidR="006C34B2">
        <w:rPr>
          <w:rFonts w:ascii="Times New Roman" w:hAnsi="Times New Roman" w:cs="Times New Roman"/>
          <w:sz w:val="20"/>
          <w:szCs w:val="20"/>
        </w:rPr>
        <w:t xml:space="preserve">. </w:t>
      </w:r>
      <w:r w:rsidR="00215492">
        <w:rPr>
          <w:rFonts w:ascii="Times New Roman" w:hAnsi="Times New Roman" w:cs="Times New Roman"/>
          <w:sz w:val="20"/>
          <w:szCs w:val="20"/>
        </w:rPr>
        <w:t xml:space="preserve">Development in </w:t>
      </w:r>
      <w:r w:rsidR="00215492" w:rsidRPr="006C34B2">
        <w:rPr>
          <w:rFonts w:ascii="Times New Roman" w:hAnsi="Times New Roman" w:cs="Times New Roman"/>
          <w:sz w:val="20"/>
          <w:szCs w:val="20"/>
        </w:rPr>
        <w:t>tissue engineering can eliminat</w:t>
      </w:r>
      <w:r w:rsidR="00215492">
        <w:rPr>
          <w:rFonts w:ascii="Times New Roman" w:hAnsi="Times New Roman" w:cs="Times New Roman"/>
          <w:sz w:val="20"/>
          <w:szCs w:val="20"/>
        </w:rPr>
        <w:t xml:space="preserve">e the problems related to organ </w:t>
      </w:r>
      <w:r w:rsidR="00215492" w:rsidRPr="006C34B2">
        <w:rPr>
          <w:rFonts w:ascii="Times New Roman" w:hAnsi="Times New Roman" w:cs="Times New Roman"/>
          <w:sz w:val="20"/>
          <w:szCs w:val="20"/>
        </w:rPr>
        <w:t>transplantations, such as rejection or lack of suitable donors.</w:t>
      </w:r>
      <w:r w:rsidR="00215492">
        <w:rPr>
          <w:rFonts w:ascii="Times New Roman" w:hAnsi="Times New Roman" w:cs="Times New Roman"/>
          <w:sz w:val="20"/>
          <w:szCs w:val="20"/>
        </w:rPr>
        <w:t xml:space="preserve"> </w:t>
      </w:r>
      <w:r w:rsidR="006C34B2" w:rsidRPr="006C34B2">
        <w:rPr>
          <w:rFonts w:ascii="Times New Roman" w:hAnsi="Times New Roman" w:cs="Times New Roman"/>
          <w:sz w:val="20"/>
          <w:szCs w:val="20"/>
        </w:rPr>
        <w:t>The advancement of tissue en</w:t>
      </w:r>
      <w:r w:rsidR="006C34B2">
        <w:rPr>
          <w:rFonts w:ascii="Times New Roman" w:hAnsi="Times New Roman" w:cs="Times New Roman"/>
          <w:sz w:val="20"/>
          <w:szCs w:val="20"/>
        </w:rPr>
        <w:t xml:space="preserve">gineering has </w:t>
      </w:r>
      <w:r w:rsidR="00215492">
        <w:rPr>
          <w:rFonts w:ascii="Times New Roman" w:hAnsi="Times New Roman" w:cs="Times New Roman"/>
          <w:sz w:val="20"/>
          <w:szCs w:val="20"/>
        </w:rPr>
        <w:t xml:space="preserve">also </w:t>
      </w:r>
      <w:r w:rsidR="006C34B2">
        <w:rPr>
          <w:rFonts w:ascii="Times New Roman" w:hAnsi="Times New Roman" w:cs="Times New Roman"/>
          <w:sz w:val="20"/>
          <w:szCs w:val="20"/>
        </w:rPr>
        <w:t xml:space="preserve">given a promising </w:t>
      </w:r>
      <w:r w:rsidR="006C34B2" w:rsidRPr="006C34B2">
        <w:rPr>
          <w:rFonts w:ascii="Times New Roman" w:hAnsi="Times New Roman" w:cs="Times New Roman"/>
          <w:sz w:val="20"/>
          <w:szCs w:val="20"/>
        </w:rPr>
        <w:t>opportunity for better clinical practice in treatin</w:t>
      </w:r>
      <w:r w:rsidR="006C34B2">
        <w:rPr>
          <w:rFonts w:ascii="Times New Roman" w:hAnsi="Times New Roman" w:cs="Times New Roman"/>
          <w:sz w:val="20"/>
          <w:szCs w:val="20"/>
        </w:rPr>
        <w:t xml:space="preserve">g dental patients especially in </w:t>
      </w:r>
      <w:r w:rsidR="00215492">
        <w:rPr>
          <w:rFonts w:ascii="Times New Roman" w:hAnsi="Times New Roman" w:cs="Times New Roman"/>
          <w:sz w:val="20"/>
          <w:szCs w:val="20"/>
        </w:rPr>
        <w:t>the fields of endodontic</w:t>
      </w:r>
      <w:r w:rsidR="006C34B2" w:rsidRPr="006C34B2">
        <w:rPr>
          <w:rFonts w:ascii="Times New Roman" w:hAnsi="Times New Roman" w:cs="Times New Roman"/>
          <w:sz w:val="20"/>
          <w:szCs w:val="20"/>
        </w:rPr>
        <w:t xml:space="preserve"> and periodonta</w:t>
      </w:r>
      <w:r w:rsidR="006C34B2">
        <w:rPr>
          <w:rFonts w:ascii="Times New Roman" w:hAnsi="Times New Roman" w:cs="Times New Roman"/>
          <w:sz w:val="20"/>
          <w:szCs w:val="20"/>
        </w:rPr>
        <w:t xml:space="preserve">l tissue as well as whole tooth </w:t>
      </w:r>
      <w:r w:rsidR="006C34B2" w:rsidRPr="006C34B2">
        <w:rPr>
          <w:rFonts w:ascii="Times New Roman" w:hAnsi="Times New Roman" w:cs="Times New Roman"/>
          <w:sz w:val="20"/>
          <w:szCs w:val="20"/>
        </w:rPr>
        <w:t xml:space="preserve">regeneration. Dental pulp contains highly </w:t>
      </w:r>
      <w:r w:rsidR="006C34B2">
        <w:rPr>
          <w:rFonts w:ascii="Times New Roman" w:hAnsi="Times New Roman" w:cs="Times New Roman"/>
          <w:sz w:val="20"/>
          <w:szCs w:val="20"/>
        </w:rPr>
        <w:t xml:space="preserve">proliferative cells that can be </w:t>
      </w:r>
      <w:r w:rsidR="006C34B2" w:rsidRPr="006C34B2">
        <w:rPr>
          <w:rFonts w:ascii="Times New Roman" w:hAnsi="Times New Roman" w:cs="Times New Roman"/>
          <w:sz w:val="20"/>
          <w:szCs w:val="20"/>
        </w:rPr>
        <w:t>activated upon injury and undergo prolifera</w:t>
      </w:r>
      <w:r w:rsidR="006C34B2">
        <w:rPr>
          <w:rFonts w:ascii="Times New Roman" w:hAnsi="Times New Roman" w:cs="Times New Roman"/>
          <w:sz w:val="20"/>
          <w:szCs w:val="20"/>
        </w:rPr>
        <w:t xml:space="preserve">tion and differentiation toward </w:t>
      </w:r>
      <w:r w:rsidR="006C34B2" w:rsidRPr="006C34B2">
        <w:rPr>
          <w:rFonts w:ascii="Times New Roman" w:hAnsi="Times New Roman" w:cs="Times New Roman"/>
          <w:sz w:val="20"/>
          <w:szCs w:val="20"/>
        </w:rPr>
        <w:t>osteoblastic phenotypes to provide for dentin rep</w:t>
      </w:r>
      <w:r w:rsidR="00851157">
        <w:rPr>
          <w:rFonts w:ascii="Times New Roman" w:hAnsi="Times New Roman" w:cs="Times New Roman"/>
          <w:sz w:val="20"/>
          <w:szCs w:val="20"/>
        </w:rPr>
        <w:t xml:space="preserve">air. </w:t>
      </w:r>
      <w:r w:rsidR="006C34B2">
        <w:rPr>
          <w:rFonts w:ascii="Times New Roman" w:hAnsi="Times New Roman" w:cs="Times New Roman"/>
          <w:sz w:val="20"/>
          <w:szCs w:val="20"/>
        </w:rPr>
        <w:t xml:space="preserve">The </w:t>
      </w:r>
      <w:r w:rsidR="006C34B2" w:rsidRPr="006C34B2">
        <w:rPr>
          <w:rFonts w:ascii="Times New Roman" w:hAnsi="Times New Roman" w:cs="Times New Roman"/>
          <w:sz w:val="20"/>
          <w:szCs w:val="20"/>
        </w:rPr>
        <w:t>easy access, proliferation capacity, and mu</w:t>
      </w:r>
      <w:r w:rsidR="006C34B2">
        <w:rPr>
          <w:rFonts w:ascii="Times New Roman" w:hAnsi="Times New Roman" w:cs="Times New Roman"/>
          <w:sz w:val="20"/>
          <w:szCs w:val="20"/>
        </w:rPr>
        <w:t xml:space="preserve">ltidirectional </w:t>
      </w:r>
      <w:r w:rsidR="006C34B2" w:rsidRPr="00F91392">
        <w:rPr>
          <w:rFonts w:ascii="Times New Roman" w:hAnsi="Times New Roman" w:cs="Times New Roman"/>
          <w:i/>
          <w:sz w:val="20"/>
          <w:szCs w:val="20"/>
        </w:rPr>
        <w:t>in</w:t>
      </w:r>
      <w:r w:rsidR="008D329A">
        <w:rPr>
          <w:rFonts w:ascii="Times New Roman" w:hAnsi="Times New Roman" w:cs="Times New Roman"/>
          <w:i/>
          <w:sz w:val="20"/>
          <w:szCs w:val="20"/>
        </w:rPr>
        <w:t xml:space="preserve"> </w:t>
      </w:r>
      <w:r w:rsidR="006C34B2" w:rsidRPr="00F91392">
        <w:rPr>
          <w:rFonts w:ascii="Times New Roman" w:hAnsi="Times New Roman" w:cs="Times New Roman"/>
          <w:i/>
          <w:sz w:val="20"/>
          <w:szCs w:val="20"/>
        </w:rPr>
        <w:t>vivo</w:t>
      </w:r>
      <w:r w:rsidR="006C34B2">
        <w:rPr>
          <w:rFonts w:ascii="Times New Roman" w:hAnsi="Times New Roman" w:cs="Times New Roman"/>
          <w:sz w:val="20"/>
          <w:szCs w:val="20"/>
        </w:rPr>
        <w:t xml:space="preserve"> / </w:t>
      </w:r>
      <w:r w:rsidR="006C34B2" w:rsidRPr="00F91392">
        <w:rPr>
          <w:rFonts w:ascii="Times New Roman" w:hAnsi="Times New Roman" w:cs="Times New Roman"/>
          <w:i/>
          <w:sz w:val="20"/>
          <w:szCs w:val="20"/>
        </w:rPr>
        <w:t>in</w:t>
      </w:r>
      <w:r w:rsidR="008D329A">
        <w:rPr>
          <w:rFonts w:ascii="Times New Roman" w:hAnsi="Times New Roman" w:cs="Times New Roman"/>
          <w:i/>
          <w:sz w:val="20"/>
          <w:szCs w:val="20"/>
        </w:rPr>
        <w:t xml:space="preserve"> </w:t>
      </w:r>
      <w:r w:rsidR="006C34B2" w:rsidRPr="00F91392">
        <w:rPr>
          <w:rFonts w:ascii="Times New Roman" w:hAnsi="Times New Roman" w:cs="Times New Roman"/>
          <w:i/>
          <w:sz w:val="20"/>
          <w:szCs w:val="20"/>
        </w:rPr>
        <w:t>vitro</w:t>
      </w:r>
      <w:r w:rsidR="006C34B2">
        <w:rPr>
          <w:rFonts w:ascii="Times New Roman" w:hAnsi="Times New Roman" w:cs="Times New Roman"/>
          <w:sz w:val="20"/>
          <w:szCs w:val="20"/>
        </w:rPr>
        <w:t xml:space="preserve"> </w:t>
      </w:r>
      <w:r w:rsidR="006C34B2" w:rsidRPr="006C34B2">
        <w:rPr>
          <w:rFonts w:ascii="Times New Roman" w:hAnsi="Times New Roman" w:cs="Times New Roman"/>
          <w:sz w:val="20"/>
          <w:szCs w:val="20"/>
        </w:rPr>
        <w:t>differentiation makes oro-facial SCs an important source of SCs for use in</w:t>
      </w:r>
      <w:r w:rsidR="006C34B2">
        <w:rPr>
          <w:rFonts w:ascii="Times New Roman" w:hAnsi="Times New Roman" w:cs="Times New Roman"/>
          <w:sz w:val="20"/>
          <w:szCs w:val="20"/>
        </w:rPr>
        <w:t xml:space="preserve"> </w:t>
      </w:r>
      <w:r w:rsidR="006C34B2" w:rsidRPr="006C34B2">
        <w:rPr>
          <w:rFonts w:ascii="Times New Roman" w:hAnsi="Times New Roman" w:cs="Times New Roman"/>
          <w:sz w:val="20"/>
          <w:szCs w:val="20"/>
        </w:rPr>
        <w:t>regenerat</w:t>
      </w:r>
      <w:r w:rsidR="00851157">
        <w:rPr>
          <w:rFonts w:ascii="Times New Roman" w:hAnsi="Times New Roman" w:cs="Times New Roman"/>
          <w:sz w:val="20"/>
          <w:szCs w:val="20"/>
        </w:rPr>
        <w:t xml:space="preserve">ive dentistry and medicine. The main aim of the </w:t>
      </w:r>
      <w:r w:rsidR="00851157" w:rsidRPr="009E17B6">
        <w:rPr>
          <w:rFonts w:ascii="Times New Roman" w:hAnsi="Times New Roman" w:cs="Times New Roman"/>
          <w:sz w:val="20"/>
          <w:szCs w:val="20"/>
        </w:rPr>
        <w:t xml:space="preserve">present </w:t>
      </w:r>
      <w:r w:rsidR="009E17B6" w:rsidRPr="009E17B6">
        <w:rPr>
          <w:rFonts w:ascii="Times New Roman" w:hAnsi="Times New Roman" w:cs="Times New Roman"/>
          <w:sz w:val="20"/>
          <w:szCs w:val="20"/>
        </w:rPr>
        <w:t>topic/ chapter</w:t>
      </w:r>
      <w:r w:rsidR="00784338">
        <w:rPr>
          <w:rFonts w:ascii="Times New Roman" w:hAnsi="Times New Roman" w:cs="Times New Roman"/>
          <w:sz w:val="20"/>
          <w:szCs w:val="20"/>
        </w:rPr>
        <w:t xml:space="preserve"> </w:t>
      </w:r>
      <w:r w:rsidR="00851157">
        <w:rPr>
          <w:rFonts w:ascii="Times New Roman" w:hAnsi="Times New Roman" w:cs="Times New Roman"/>
          <w:sz w:val="20"/>
          <w:szCs w:val="20"/>
        </w:rPr>
        <w:t>is to discuss various components of tissue engineering and regarding its components. Scaffolds being an integral component for tissue regeneration, is discussed in detail</w:t>
      </w:r>
      <w:r w:rsidR="008D329A">
        <w:rPr>
          <w:rFonts w:ascii="Times New Roman" w:hAnsi="Times New Roman" w:cs="Times New Roman"/>
          <w:sz w:val="20"/>
          <w:szCs w:val="20"/>
        </w:rPr>
        <w:t xml:space="preserve"> regarding its fabrication and applications</w:t>
      </w:r>
      <w:r w:rsidR="00851157">
        <w:rPr>
          <w:rFonts w:ascii="Times New Roman" w:hAnsi="Times New Roman" w:cs="Times New Roman"/>
          <w:sz w:val="20"/>
          <w:szCs w:val="20"/>
        </w:rPr>
        <w:t xml:space="preserve"> along with light on medical and dental applications of tissue engineering. </w:t>
      </w:r>
    </w:p>
    <w:p w:rsidR="00AF430A" w:rsidRDefault="00215492" w:rsidP="00C747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Keywords: Tissue engineering, Rege</w:t>
      </w:r>
      <w:r w:rsidR="00BF7567">
        <w:rPr>
          <w:rFonts w:ascii="Times New Roman" w:hAnsi="Times New Roman" w:cs="Times New Roman"/>
          <w:sz w:val="20"/>
          <w:szCs w:val="20"/>
        </w:rPr>
        <w:t>nerative medicine</w:t>
      </w:r>
      <w:r>
        <w:rPr>
          <w:rFonts w:ascii="Times New Roman" w:hAnsi="Times New Roman" w:cs="Times New Roman"/>
          <w:sz w:val="20"/>
          <w:szCs w:val="20"/>
        </w:rPr>
        <w:t>, Stem cells</w:t>
      </w:r>
      <w:r w:rsidR="00BF7567">
        <w:rPr>
          <w:rFonts w:ascii="Times New Roman" w:hAnsi="Times New Roman" w:cs="Times New Roman"/>
          <w:sz w:val="20"/>
          <w:szCs w:val="20"/>
        </w:rPr>
        <w:t xml:space="preserve">, Extracellular matrix, Guided Tissue Regeneration </w:t>
      </w:r>
    </w:p>
    <w:p w:rsidR="00C74746" w:rsidRDefault="00C74746" w:rsidP="00C74746">
      <w:pPr>
        <w:spacing w:after="0" w:line="240" w:lineRule="auto"/>
        <w:jc w:val="both"/>
        <w:rPr>
          <w:rFonts w:ascii="Times New Roman" w:hAnsi="Times New Roman" w:cs="Times New Roman"/>
          <w:sz w:val="20"/>
          <w:szCs w:val="20"/>
        </w:rPr>
      </w:pPr>
    </w:p>
    <w:p w:rsidR="006C34B2" w:rsidRDefault="006C34B2" w:rsidP="00C74746">
      <w:pPr>
        <w:pStyle w:val="ListParagraph"/>
        <w:numPr>
          <w:ilvl w:val="0"/>
          <w:numId w:val="23"/>
        </w:numPr>
        <w:spacing w:after="0" w:line="240" w:lineRule="auto"/>
        <w:jc w:val="center"/>
        <w:rPr>
          <w:rFonts w:ascii="Times New Roman" w:hAnsi="Times New Roman" w:cs="Times New Roman"/>
          <w:b/>
          <w:sz w:val="20"/>
          <w:szCs w:val="20"/>
        </w:rPr>
      </w:pPr>
      <w:r w:rsidRPr="00C74746">
        <w:rPr>
          <w:rFonts w:ascii="Times New Roman" w:hAnsi="Times New Roman" w:cs="Times New Roman"/>
          <w:b/>
          <w:sz w:val="20"/>
          <w:szCs w:val="20"/>
        </w:rPr>
        <w:t>INTRODUCTION</w:t>
      </w:r>
    </w:p>
    <w:p w:rsidR="00C74746" w:rsidRPr="00C74746" w:rsidRDefault="00C74746" w:rsidP="00C74746">
      <w:pPr>
        <w:pStyle w:val="ListParagraph"/>
        <w:spacing w:after="0" w:line="240" w:lineRule="auto"/>
        <w:rPr>
          <w:rFonts w:ascii="Times New Roman" w:hAnsi="Times New Roman" w:cs="Times New Roman"/>
          <w:b/>
          <w:sz w:val="20"/>
          <w:szCs w:val="20"/>
        </w:rPr>
      </w:pPr>
    </w:p>
    <w:p w:rsidR="0039181B" w:rsidRDefault="0039181B" w:rsidP="00C74746">
      <w:pPr>
        <w:spacing w:after="0" w:line="240" w:lineRule="auto"/>
        <w:ind w:firstLine="720"/>
        <w:jc w:val="both"/>
        <w:rPr>
          <w:rFonts w:ascii="Times New Roman" w:hAnsi="Times New Roman" w:cs="Times New Roman"/>
          <w:sz w:val="20"/>
          <w:szCs w:val="20"/>
        </w:rPr>
      </w:pPr>
      <w:r w:rsidRPr="0039181B">
        <w:rPr>
          <w:rFonts w:ascii="Times New Roman" w:hAnsi="Times New Roman" w:cs="Times New Roman"/>
          <w:sz w:val="20"/>
          <w:szCs w:val="20"/>
        </w:rPr>
        <w:t>The advent of tissue</w:t>
      </w:r>
      <w:r>
        <w:rPr>
          <w:rFonts w:ascii="Times New Roman" w:hAnsi="Times New Roman" w:cs="Times New Roman"/>
          <w:sz w:val="20"/>
          <w:szCs w:val="20"/>
        </w:rPr>
        <w:t xml:space="preserve"> engineering has been motivated </w:t>
      </w:r>
      <w:r w:rsidRPr="0039181B">
        <w:rPr>
          <w:rFonts w:ascii="Times New Roman" w:hAnsi="Times New Roman" w:cs="Times New Roman"/>
          <w:sz w:val="20"/>
          <w:szCs w:val="20"/>
        </w:rPr>
        <w:t>by the challenge of produc</w:t>
      </w:r>
      <w:r>
        <w:rPr>
          <w:rFonts w:ascii="Times New Roman" w:hAnsi="Times New Roman" w:cs="Times New Roman"/>
          <w:sz w:val="20"/>
          <w:szCs w:val="20"/>
        </w:rPr>
        <w:t xml:space="preserve">ing tissue substitutes that can </w:t>
      </w:r>
      <w:r w:rsidRPr="0039181B">
        <w:rPr>
          <w:rFonts w:ascii="Times New Roman" w:hAnsi="Times New Roman" w:cs="Times New Roman"/>
          <w:sz w:val="20"/>
          <w:szCs w:val="20"/>
        </w:rPr>
        <w:t>restore the structural featu</w:t>
      </w:r>
      <w:r>
        <w:rPr>
          <w:rFonts w:ascii="Times New Roman" w:hAnsi="Times New Roman" w:cs="Times New Roman"/>
          <w:sz w:val="20"/>
          <w:szCs w:val="20"/>
        </w:rPr>
        <w:t xml:space="preserve">res and physiological functions </w:t>
      </w:r>
      <w:r w:rsidR="008D329A">
        <w:rPr>
          <w:rFonts w:ascii="Times New Roman" w:hAnsi="Times New Roman" w:cs="Times New Roman"/>
          <w:sz w:val="20"/>
          <w:szCs w:val="20"/>
        </w:rPr>
        <w:t xml:space="preserve">of natural tissues </w:t>
      </w:r>
      <w:r w:rsidR="008D329A" w:rsidRPr="008D329A">
        <w:rPr>
          <w:rFonts w:ascii="Times New Roman" w:hAnsi="Times New Roman" w:cs="Times New Roman"/>
          <w:i/>
          <w:sz w:val="20"/>
          <w:szCs w:val="20"/>
        </w:rPr>
        <w:t xml:space="preserve">in </w:t>
      </w:r>
      <w:r w:rsidRPr="008D329A">
        <w:rPr>
          <w:rFonts w:ascii="Times New Roman" w:hAnsi="Times New Roman" w:cs="Times New Roman"/>
          <w:i/>
          <w:sz w:val="20"/>
          <w:szCs w:val="20"/>
        </w:rPr>
        <w:t>vivo.</w:t>
      </w:r>
      <w:r>
        <w:rPr>
          <w:rFonts w:ascii="Times New Roman" w:hAnsi="Times New Roman" w:cs="Times New Roman"/>
          <w:sz w:val="20"/>
          <w:szCs w:val="20"/>
        </w:rPr>
        <w:t xml:space="preserve"> </w:t>
      </w:r>
      <w:r w:rsidRPr="0039181B">
        <w:rPr>
          <w:rFonts w:ascii="Times New Roman" w:hAnsi="Times New Roman" w:cs="Times New Roman"/>
          <w:sz w:val="20"/>
          <w:szCs w:val="20"/>
        </w:rPr>
        <w:t xml:space="preserve">The definition of tissue engineering was </w:t>
      </w:r>
      <w:r w:rsidR="00A57832" w:rsidRPr="0039181B">
        <w:rPr>
          <w:rFonts w:ascii="Times New Roman" w:hAnsi="Times New Roman" w:cs="Times New Roman"/>
          <w:sz w:val="20"/>
          <w:szCs w:val="20"/>
        </w:rPr>
        <w:t>demarcated</w:t>
      </w:r>
      <w:r w:rsidRPr="0039181B">
        <w:rPr>
          <w:rFonts w:ascii="Times New Roman" w:hAnsi="Times New Roman" w:cs="Times New Roman"/>
          <w:sz w:val="20"/>
          <w:szCs w:val="20"/>
        </w:rPr>
        <w:t xml:space="preserve"> in </w:t>
      </w:r>
      <w:r w:rsidRPr="008D329A">
        <w:rPr>
          <w:rFonts w:ascii="Times New Roman" w:hAnsi="Times New Roman" w:cs="Times New Roman"/>
          <w:b/>
          <w:sz w:val="20"/>
          <w:szCs w:val="20"/>
        </w:rPr>
        <w:t xml:space="preserve">1993 </w:t>
      </w:r>
      <w:r w:rsidRPr="0039181B">
        <w:rPr>
          <w:rFonts w:ascii="Times New Roman" w:hAnsi="Times New Roman" w:cs="Times New Roman"/>
          <w:sz w:val="20"/>
          <w:szCs w:val="20"/>
        </w:rPr>
        <w:t xml:space="preserve">by </w:t>
      </w:r>
      <w:r w:rsidRPr="008D329A">
        <w:rPr>
          <w:rFonts w:ascii="Times New Roman" w:hAnsi="Times New Roman" w:cs="Times New Roman"/>
          <w:b/>
          <w:sz w:val="20"/>
          <w:szCs w:val="20"/>
        </w:rPr>
        <w:t>Robert Langer</w:t>
      </w:r>
      <w:r w:rsidRPr="0039181B">
        <w:rPr>
          <w:rFonts w:ascii="Times New Roman" w:hAnsi="Times New Roman" w:cs="Times New Roman"/>
          <w:sz w:val="20"/>
          <w:szCs w:val="20"/>
        </w:rPr>
        <w:t xml:space="preserve"> and </w:t>
      </w:r>
      <w:r w:rsidRPr="008D329A">
        <w:rPr>
          <w:rFonts w:ascii="Times New Roman" w:hAnsi="Times New Roman" w:cs="Times New Roman"/>
          <w:b/>
          <w:sz w:val="20"/>
          <w:szCs w:val="20"/>
        </w:rPr>
        <w:t>Joseph Vacanti</w:t>
      </w:r>
      <w:r w:rsidRPr="0039181B">
        <w:rPr>
          <w:rFonts w:ascii="Times New Roman" w:hAnsi="Times New Roman" w:cs="Times New Roman"/>
          <w:sz w:val="20"/>
          <w:szCs w:val="20"/>
        </w:rPr>
        <w:t>.</w:t>
      </w:r>
      <w:r>
        <w:rPr>
          <w:rFonts w:ascii="Times New Roman" w:hAnsi="Times New Roman" w:cs="Times New Roman"/>
          <w:sz w:val="20"/>
          <w:szCs w:val="20"/>
        </w:rPr>
        <w:t xml:space="preserve"> It is defined as “</w:t>
      </w:r>
      <w:r w:rsidRPr="0039181B">
        <w:rPr>
          <w:rFonts w:ascii="Times New Roman" w:hAnsi="Times New Roman" w:cs="Times New Roman"/>
          <w:sz w:val="20"/>
          <w:szCs w:val="20"/>
        </w:rPr>
        <w:t>An interdisciplinary field that applies the principles of engineering and life sciences towards the development of biological substitutes that restore, maintain or improve tissue function or a whole organ</w:t>
      </w:r>
      <w:r>
        <w:rPr>
          <w:rFonts w:ascii="Times New Roman" w:hAnsi="Times New Roman" w:cs="Times New Roman"/>
          <w:sz w:val="20"/>
          <w:szCs w:val="20"/>
        </w:rPr>
        <w:t xml:space="preserve">”. </w:t>
      </w:r>
    </w:p>
    <w:p w:rsidR="002A40A7" w:rsidRDefault="002A40A7" w:rsidP="00C74746">
      <w:pPr>
        <w:spacing w:after="0" w:line="240" w:lineRule="auto"/>
        <w:ind w:firstLine="720"/>
        <w:jc w:val="both"/>
        <w:rPr>
          <w:rFonts w:ascii="Times New Roman" w:hAnsi="Times New Roman" w:cs="Times New Roman"/>
          <w:sz w:val="20"/>
          <w:szCs w:val="20"/>
        </w:rPr>
      </w:pPr>
      <w:r w:rsidRPr="002A40A7">
        <w:rPr>
          <w:rFonts w:ascii="Times New Roman" w:hAnsi="Times New Roman" w:cs="Times New Roman"/>
          <w:sz w:val="20"/>
          <w:szCs w:val="20"/>
        </w:rPr>
        <w:t>The tissue engineering paradigm is to isolate s</w:t>
      </w:r>
      <w:r>
        <w:rPr>
          <w:rFonts w:ascii="Times New Roman" w:hAnsi="Times New Roman" w:cs="Times New Roman"/>
          <w:sz w:val="20"/>
          <w:szCs w:val="20"/>
        </w:rPr>
        <w:t xml:space="preserve">pecific cells through a </w:t>
      </w:r>
      <w:r w:rsidRPr="002A40A7">
        <w:rPr>
          <w:rFonts w:ascii="Times New Roman" w:hAnsi="Times New Roman" w:cs="Times New Roman"/>
          <w:sz w:val="20"/>
          <w:szCs w:val="20"/>
        </w:rPr>
        <w:t>small biopsy from a patient; to seed the</w:t>
      </w:r>
      <w:r>
        <w:rPr>
          <w:rFonts w:ascii="Times New Roman" w:hAnsi="Times New Roman" w:cs="Times New Roman"/>
          <w:sz w:val="20"/>
          <w:szCs w:val="20"/>
        </w:rPr>
        <w:t xml:space="preserve"> cells under controlled culture </w:t>
      </w:r>
      <w:r w:rsidRPr="002A40A7">
        <w:rPr>
          <w:rFonts w:ascii="Times New Roman" w:hAnsi="Times New Roman" w:cs="Times New Roman"/>
          <w:sz w:val="20"/>
          <w:szCs w:val="20"/>
        </w:rPr>
        <w:t>conditions to grow artificial tissue tha</w:t>
      </w:r>
      <w:r>
        <w:rPr>
          <w:rFonts w:ascii="Times New Roman" w:hAnsi="Times New Roman" w:cs="Times New Roman"/>
          <w:sz w:val="20"/>
          <w:szCs w:val="20"/>
        </w:rPr>
        <w:t xml:space="preserve">t becomes interconnected porous </w:t>
      </w:r>
      <w:r w:rsidRPr="002A40A7">
        <w:rPr>
          <w:rFonts w:ascii="Times New Roman" w:hAnsi="Times New Roman" w:cs="Times New Roman"/>
          <w:sz w:val="20"/>
          <w:szCs w:val="20"/>
        </w:rPr>
        <w:t xml:space="preserve">structures called scaffolds, which are capable </w:t>
      </w:r>
      <w:r>
        <w:rPr>
          <w:rFonts w:ascii="Times New Roman" w:hAnsi="Times New Roman" w:cs="Times New Roman"/>
          <w:sz w:val="20"/>
          <w:szCs w:val="20"/>
        </w:rPr>
        <w:t xml:space="preserve">of supporting three-dimensional </w:t>
      </w:r>
      <w:r w:rsidRPr="002A40A7">
        <w:rPr>
          <w:rFonts w:ascii="Times New Roman" w:hAnsi="Times New Roman" w:cs="Times New Roman"/>
          <w:sz w:val="20"/>
          <w:szCs w:val="20"/>
        </w:rPr>
        <w:t>tissue formation; to deliver the construct to th</w:t>
      </w:r>
      <w:r>
        <w:rPr>
          <w:rFonts w:ascii="Times New Roman" w:hAnsi="Times New Roman" w:cs="Times New Roman"/>
          <w:sz w:val="20"/>
          <w:szCs w:val="20"/>
        </w:rPr>
        <w:t xml:space="preserve">e desired site in the patient's </w:t>
      </w:r>
      <w:r w:rsidRPr="002A40A7">
        <w:rPr>
          <w:rFonts w:ascii="Times New Roman" w:hAnsi="Times New Roman" w:cs="Times New Roman"/>
          <w:sz w:val="20"/>
          <w:szCs w:val="20"/>
        </w:rPr>
        <w:t xml:space="preserve">body; and to direct new tissue formation </w:t>
      </w:r>
      <w:r>
        <w:rPr>
          <w:rFonts w:ascii="Times New Roman" w:hAnsi="Times New Roman" w:cs="Times New Roman"/>
          <w:sz w:val="20"/>
          <w:szCs w:val="20"/>
        </w:rPr>
        <w:t xml:space="preserve">into the scaffold, which may be </w:t>
      </w:r>
      <w:r w:rsidRPr="002A40A7">
        <w:rPr>
          <w:rFonts w:ascii="Times New Roman" w:hAnsi="Times New Roman" w:cs="Times New Roman"/>
          <w:sz w:val="20"/>
          <w:szCs w:val="20"/>
        </w:rPr>
        <w:t>absorbed over time</w:t>
      </w:r>
      <w:r>
        <w:rPr>
          <w:rFonts w:ascii="Times New Roman" w:hAnsi="Times New Roman" w:cs="Times New Roman"/>
          <w:sz w:val="20"/>
          <w:szCs w:val="20"/>
        </w:rPr>
        <w:t xml:space="preserve">. </w:t>
      </w:r>
      <w:r w:rsidR="0039181B" w:rsidRPr="0039181B">
        <w:rPr>
          <w:rFonts w:ascii="Times New Roman" w:hAnsi="Times New Roman" w:cs="Times New Roman"/>
          <w:sz w:val="20"/>
          <w:szCs w:val="20"/>
        </w:rPr>
        <w:t>In most cases, biocomp</w:t>
      </w:r>
      <w:r w:rsidR="0039181B">
        <w:rPr>
          <w:rFonts w:ascii="Times New Roman" w:hAnsi="Times New Roman" w:cs="Times New Roman"/>
          <w:sz w:val="20"/>
          <w:szCs w:val="20"/>
        </w:rPr>
        <w:t xml:space="preserve">atible, degradable polymers are </w:t>
      </w:r>
      <w:r w:rsidR="0039181B" w:rsidRPr="0039181B">
        <w:rPr>
          <w:rFonts w:ascii="Times New Roman" w:hAnsi="Times New Roman" w:cs="Times New Roman"/>
          <w:sz w:val="20"/>
          <w:szCs w:val="20"/>
        </w:rPr>
        <w:t>utilised to induce surrounding tissue ingrowth or to</w:t>
      </w:r>
      <w:r w:rsidR="0039181B">
        <w:rPr>
          <w:rFonts w:ascii="Times New Roman" w:hAnsi="Times New Roman" w:cs="Times New Roman"/>
          <w:sz w:val="20"/>
          <w:szCs w:val="20"/>
        </w:rPr>
        <w:t xml:space="preserve"> serve </w:t>
      </w:r>
      <w:r w:rsidR="00A57832">
        <w:rPr>
          <w:rFonts w:ascii="Times New Roman" w:hAnsi="Times New Roman" w:cs="Times New Roman"/>
          <w:sz w:val="20"/>
          <w:szCs w:val="20"/>
        </w:rPr>
        <w:t>as temporary scaff</w:t>
      </w:r>
      <w:r w:rsidR="0039181B" w:rsidRPr="0039181B">
        <w:rPr>
          <w:rFonts w:ascii="Times New Roman" w:hAnsi="Times New Roman" w:cs="Times New Roman"/>
          <w:sz w:val="20"/>
          <w:szCs w:val="20"/>
        </w:rPr>
        <w:t>olds fo</w:t>
      </w:r>
      <w:r w:rsidR="0039181B">
        <w:rPr>
          <w:rFonts w:ascii="Times New Roman" w:hAnsi="Times New Roman" w:cs="Times New Roman"/>
          <w:sz w:val="20"/>
          <w:szCs w:val="20"/>
        </w:rPr>
        <w:t xml:space="preserve">r transplanted cells to attach, </w:t>
      </w:r>
      <w:r w:rsidR="00A57832">
        <w:rPr>
          <w:rFonts w:ascii="Times New Roman" w:hAnsi="Times New Roman" w:cs="Times New Roman"/>
          <w:sz w:val="20"/>
          <w:szCs w:val="20"/>
        </w:rPr>
        <w:t>grow and maintain diff</w:t>
      </w:r>
      <w:r w:rsidR="0039181B" w:rsidRPr="0039181B">
        <w:rPr>
          <w:rFonts w:ascii="Times New Roman" w:hAnsi="Times New Roman" w:cs="Times New Roman"/>
          <w:sz w:val="20"/>
          <w:szCs w:val="20"/>
        </w:rPr>
        <w:t>erentiated functions</w:t>
      </w:r>
      <w:r w:rsidR="00A57832">
        <w:rPr>
          <w:rFonts w:ascii="Times New Roman" w:hAnsi="Times New Roman" w:cs="Times New Roman"/>
          <w:sz w:val="20"/>
          <w:szCs w:val="20"/>
        </w:rPr>
        <w:t xml:space="preserve">. </w:t>
      </w:r>
      <w:r w:rsidRPr="002A40A7">
        <w:rPr>
          <w:rFonts w:ascii="Times New Roman" w:hAnsi="Times New Roman" w:cs="Times New Roman"/>
          <w:sz w:val="20"/>
          <w:szCs w:val="20"/>
        </w:rPr>
        <w:t>This field of medicine holds great promi</w:t>
      </w:r>
      <w:r>
        <w:rPr>
          <w:rFonts w:ascii="Times New Roman" w:hAnsi="Times New Roman" w:cs="Times New Roman"/>
          <w:sz w:val="20"/>
          <w:szCs w:val="20"/>
        </w:rPr>
        <w:t xml:space="preserve">se for improving the health and </w:t>
      </w:r>
      <w:r w:rsidRPr="002A40A7">
        <w:rPr>
          <w:rFonts w:ascii="Times New Roman" w:hAnsi="Times New Roman" w:cs="Times New Roman"/>
          <w:sz w:val="20"/>
          <w:szCs w:val="20"/>
        </w:rPr>
        <w:t>quality of life for millions of people by develo</w:t>
      </w:r>
      <w:r>
        <w:rPr>
          <w:rFonts w:ascii="Times New Roman" w:hAnsi="Times New Roman" w:cs="Times New Roman"/>
          <w:sz w:val="20"/>
          <w:szCs w:val="20"/>
        </w:rPr>
        <w:t xml:space="preserve">ping functional substitutes for </w:t>
      </w:r>
      <w:r w:rsidRPr="002A40A7">
        <w:rPr>
          <w:rFonts w:ascii="Times New Roman" w:hAnsi="Times New Roman" w:cs="Times New Roman"/>
          <w:sz w:val="20"/>
          <w:szCs w:val="20"/>
        </w:rPr>
        <w:t>damaged organs and tissues, including bone rep</w:t>
      </w:r>
      <w:r>
        <w:rPr>
          <w:rFonts w:ascii="Times New Roman" w:hAnsi="Times New Roman" w:cs="Times New Roman"/>
          <w:sz w:val="20"/>
          <w:szCs w:val="20"/>
        </w:rPr>
        <w:t xml:space="preserve">air, cardiac tissue, cartilage, </w:t>
      </w:r>
      <w:r>
        <w:rPr>
          <w:rFonts w:ascii="Times New Roman" w:hAnsi="Times New Roman" w:cs="Times New Roman"/>
          <w:sz w:val="20"/>
          <w:szCs w:val="20"/>
        </w:rPr>
        <w:lastRenderedPageBreak/>
        <w:t>and lung tissues</w:t>
      </w:r>
      <w:r w:rsidRPr="002A40A7">
        <w:rPr>
          <w:rFonts w:ascii="Times New Roman" w:hAnsi="Times New Roman" w:cs="Times New Roman"/>
          <w:sz w:val="20"/>
          <w:szCs w:val="20"/>
        </w:rPr>
        <w:t>. The first achievement of tis</w:t>
      </w:r>
      <w:r>
        <w:rPr>
          <w:rFonts w:ascii="Times New Roman" w:hAnsi="Times New Roman" w:cs="Times New Roman"/>
          <w:sz w:val="20"/>
          <w:szCs w:val="20"/>
        </w:rPr>
        <w:t xml:space="preserve">sue engineering is based on the </w:t>
      </w:r>
      <w:r w:rsidRPr="002A40A7">
        <w:rPr>
          <w:rFonts w:ascii="Times New Roman" w:hAnsi="Times New Roman" w:cs="Times New Roman"/>
          <w:sz w:val="20"/>
          <w:szCs w:val="20"/>
        </w:rPr>
        <w:t>generation of skin substitutes for burned patients</w:t>
      </w:r>
      <w:r>
        <w:rPr>
          <w:rFonts w:ascii="Times New Roman" w:hAnsi="Times New Roman" w:cs="Times New Roman"/>
          <w:sz w:val="20"/>
          <w:szCs w:val="20"/>
        </w:rPr>
        <w:t xml:space="preserve">. </w:t>
      </w:r>
    </w:p>
    <w:p w:rsidR="002A40A7" w:rsidRDefault="002A40A7" w:rsidP="00C74746">
      <w:pPr>
        <w:spacing w:after="0" w:line="240" w:lineRule="auto"/>
        <w:ind w:firstLine="720"/>
        <w:jc w:val="both"/>
        <w:rPr>
          <w:rFonts w:ascii="Times New Roman" w:hAnsi="Times New Roman" w:cs="Times New Roman"/>
          <w:sz w:val="20"/>
          <w:szCs w:val="20"/>
        </w:rPr>
      </w:pPr>
      <w:r w:rsidRPr="002A40A7">
        <w:rPr>
          <w:rFonts w:ascii="Times New Roman" w:hAnsi="Times New Roman" w:cs="Times New Roman"/>
          <w:sz w:val="20"/>
          <w:szCs w:val="20"/>
        </w:rPr>
        <w:t>Tissue engineering has gained impor</w:t>
      </w:r>
      <w:r>
        <w:rPr>
          <w:rFonts w:ascii="Times New Roman" w:hAnsi="Times New Roman" w:cs="Times New Roman"/>
          <w:sz w:val="20"/>
          <w:szCs w:val="20"/>
        </w:rPr>
        <w:t xml:space="preserve">tance over a few decades due to </w:t>
      </w:r>
      <w:r w:rsidRPr="002A40A7">
        <w:rPr>
          <w:rFonts w:ascii="Times New Roman" w:hAnsi="Times New Roman" w:cs="Times New Roman"/>
          <w:sz w:val="20"/>
          <w:szCs w:val="20"/>
        </w:rPr>
        <w:t xml:space="preserve">the drawbacks in traditional tissue or organ </w:t>
      </w:r>
      <w:r>
        <w:rPr>
          <w:rFonts w:ascii="Times New Roman" w:hAnsi="Times New Roman" w:cs="Times New Roman"/>
          <w:sz w:val="20"/>
          <w:szCs w:val="20"/>
        </w:rPr>
        <w:t xml:space="preserve">transplant such as insufficient </w:t>
      </w:r>
      <w:r w:rsidRPr="002A40A7">
        <w:rPr>
          <w:rFonts w:ascii="Times New Roman" w:hAnsi="Times New Roman" w:cs="Times New Roman"/>
          <w:sz w:val="20"/>
          <w:szCs w:val="20"/>
        </w:rPr>
        <w:t>number of donors, traumatic procedures a</w:t>
      </w:r>
      <w:r>
        <w:rPr>
          <w:rFonts w:ascii="Times New Roman" w:hAnsi="Times New Roman" w:cs="Times New Roman"/>
          <w:sz w:val="20"/>
          <w:szCs w:val="20"/>
        </w:rPr>
        <w:t xml:space="preserve">nd rejections. Development in </w:t>
      </w:r>
      <w:r w:rsidRPr="002A40A7">
        <w:rPr>
          <w:rFonts w:ascii="Times New Roman" w:hAnsi="Times New Roman" w:cs="Times New Roman"/>
          <w:sz w:val="20"/>
          <w:szCs w:val="20"/>
        </w:rPr>
        <w:t>tissue engineering can eliminat</w:t>
      </w:r>
      <w:r>
        <w:rPr>
          <w:rFonts w:ascii="Times New Roman" w:hAnsi="Times New Roman" w:cs="Times New Roman"/>
          <w:sz w:val="20"/>
          <w:szCs w:val="20"/>
        </w:rPr>
        <w:t xml:space="preserve">e the problems related to organ </w:t>
      </w:r>
      <w:r w:rsidRPr="002A40A7">
        <w:rPr>
          <w:rFonts w:ascii="Times New Roman" w:hAnsi="Times New Roman" w:cs="Times New Roman"/>
          <w:sz w:val="20"/>
          <w:szCs w:val="20"/>
        </w:rPr>
        <w:t>transplantations, such as rejection or lack of suit</w:t>
      </w:r>
      <w:r>
        <w:rPr>
          <w:rFonts w:ascii="Times New Roman" w:hAnsi="Times New Roman" w:cs="Times New Roman"/>
          <w:sz w:val="20"/>
          <w:szCs w:val="20"/>
        </w:rPr>
        <w:t xml:space="preserve">able donors. It also eliminates </w:t>
      </w:r>
      <w:r w:rsidRPr="002A40A7">
        <w:rPr>
          <w:rFonts w:ascii="Times New Roman" w:hAnsi="Times New Roman" w:cs="Times New Roman"/>
          <w:sz w:val="20"/>
          <w:szCs w:val="20"/>
        </w:rPr>
        <w:t>the use of materials with a relatively low b</w:t>
      </w:r>
      <w:r>
        <w:rPr>
          <w:rFonts w:ascii="Times New Roman" w:hAnsi="Times New Roman" w:cs="Times New Roman"/>
          <w:sz w:val="20"/>
          <w:szCs w:val="20"/>
        </w:rPr>
        <w:t xml:space="preserve">iocompatibility, and therefore, </w:t>
      </w:r>
      <w:r w:rsidRPr="002A40A7">
        <w:rPr>
          <w:rFonts w:ascii="Times New Roman" w:hAnsi="Times New Roman" w:cs="Times New Roman"/>
          <w:sz w:val="20"/>
          <w:szCs w:val="20"/>
        </w:rPr>
        <w:t>decrease in postoperative complications and tis</w:t>
      </w:r>
      <w:r>
        <w:rPr>
          <w:rFonts w:ascii="Times New Roman" w:hAnsi="Times New Roman" w:cs="Times New Roman"/>
          <w:sz w:val="20"/>
          <w:szCs w:val="20"/>
        </w:rPr>
        <w:t xml:space="preserve">sue rejections is observed. </w:t>
      </w:r>
      <w:r w:rsidRPr="002A40A7">
        <w:rPr>
          <w:rFonts w:ascii="Times New Roman" w:hAnsi="Times New Roman" w:cs="Times New Roman"/>
          <w:sz w:val="20"/>
          <w:szCs w:val="20"/>
        </w:rPr>
        <w:t>A major advantage of this approach is that tis</w:t>
      </w:r>
      <w:r>
        <w:rPr>
          <w:rFonts w:ascii="Times New Roman" w:hAnsi="Times New Roman" w:cs="Times New Roman"/>
          <w:sz w:val="20"/>
          <w:szCs w:val="20"/>
        </w:rPr>
        <w:t xml:space="preserve">sues can be designed to grow in </w:t>
      </w:r>
      <w:r w:rsidRPr="002A40A7">
        <w:rPr>
          <w:rFonts w:ascii="Times New Roman" w:hAnsi="Times New Roman" w:cs="Times New Roman"/>
          <w:sz w:val="20"/>
          <w:szCs w:val="20"/>
        </w:rPr>
        <w:t>such a way that they match precisely the re</w:t>
      </w:r>
      <w:r>
        <w:rPr>
          <w:rFonts w:ascii="Times New Roman" w:hAnsi="Times New Roman" w:cs="Times New Roman"/>
          <w:sz w:val="20"/>
          <w:szCs w:val="20"/>
        </w:rPr>
        <w:t xml:space="preserve">quirements of the individual in </w:t>
      </w:r>
      <w:r w:rsidRPr="002A40A7">
        <w:rPr>
          <w:rFonts w:ascii="Times New Roman" w:hAnsi="Times New Roman" w:cs="Times New Roman"/>
          <w:sz w:val="20"/>
          <w:szCs w:val="20"/>
        </w:rPr>
        <w:t>terms of size, shape, and immunological compati</w:t>
      </w:r>
      <w:r>
        <w:rPr>
          <w:rFonts w:ascii="Times New Roman" w:hAnsi="Times New Roman" w:cs="Times New Roman"/>
          <w:sz w:val="20"/>
          <w:szCs w:val="20"/>
        </w:rPr>
        <w:t xml:space="preserve">bility, minimising the need for </w:t>
      </w:r>
      <w:r w:rsidRPr="002A40A7">
        <w:rPr>
          <w:rFonts w:ascii="Times New Roman" w:hAnsi="Times New Roman" w:cs="Times New Roman"/>
          <w:sz w:val="20"/>
          <w:szCs w:val="20"/>
        </w:rPr>
        <w:t>further treatment</w:t>
      </w:r>
      <w:r>
        <w:rPr>
          <w:rFonts w:ascii="Times New Roman" w:hAnsi="Times New Roman" w:cs="Times New Roman"/>
          <w:sz w:val="20"/>
          <w:szCs w:val="20"/>
        </w:rPr>
        <w:t xml:space="preserve">. </w:t>
      </w:r>
    </w:p>
    <w:p w:rsidR="00C74746" w:rsidRDefault="00C74746" w:rsidP="00C74746">
      <w:pPr>
        <w:spacing w:after="0" w:line="240" w:lineRule="auto"/>
        <w:ind w:firstLine="720"/>
        <w:jc w:val="both"/>
        <w:rPr>
          <w:rFonts w:ascii="Times New Roman" w:hAnsi="Times New Roman" w:cs="Times New Roman"/>
          <w:sz w:val="20"/>
          <w:szCs w:val="20"/>
        </w:rPr>
      </w:pPr>
    </w:p>
    <w:p w:rsidR="002A40A7" w:rsidRDefault="000600D4" w:rsidP="00C74746">
      <w:pPr>
        <w:pStyle w:val="ListParagraph"/>
        <w:numPr>
          <w:ilvl w:val="0"/>
          <w:numId w:val="23"/>
        </w:numPr>
        <w:spacing w:after="0" w:line="240" w:lineRule="auto"/>
        <w:jc w:val="center"/>
        <w:rPr>
          <w:rFonts w:ascii="Times New Roman" w:hAnsi="Times New Roman" w:cs="Times New Roman"/>
          <w:b/>
          <w:sz w:val="20"/>
          <w:szCs w:val="20"/>
        </w:rPr>
      </w:pPr>
      <w:r w:rsidRPr="00C74746">
        <w:rPr>
          <w:rFonts w:ascii="Times New Roman" w:hAnsi="Times New Roman" w:cs="Times New Roman"/>
          <w:b/>
          <w:sz w:val="20"/>
          <w:szCs w:val="20"/>
        </w:rPr>
        <w:t>COMPONENTS OF TISSUE ENGINEERING</w:t>
      </w:r>
    </w:p>
    <w:p w:rsidR="00C74746" w:rsidRPr="00C74746" w:rsidRDefault="00C74746" w:rsidP="00C74746">
      <w:pPr>
        <w:pStyle w:val="ListParagraph"/>
        <w:spacing w:after="0" w:line="240" w:lineRule="auto"/>
        <w:rPr>
          <w:rFonts w:ascii="Times New Roman" w:hAnsi="Times New Roman" w:cs="Times New Roman"/>
          <w:b/>
          <w:sz w:val="20"/>
          <w:szCs w:val="20"/>
        </w:rPr>
      </w:pPr>
    </w:p>
    <w:p w:rsidR="002A40A7" w:rsidRPr="002A40A7" w:rsidRDefault="002A40A7" w:rsidP="00C74746">
      <w:pPr>
        <w:pStyle w:val="ListParagraph"/>
        <w:spacing w:after="0" w:line="240" w:lineRule="auto"/>
        <w:ind w:left="360"/>
        <w:jc w:val="both"/>
        <w:rPr>
          <w:rFonts w:ascii="Times New Roman" w:hAnsi="Times New Roman" w:cs="Times New Roman"/>
          <w:sz w:val="20"/>
          <w:szCs w:val="20"/>
        </w:rPr>
      </w:pPr>
      <w:r w:rsidRPr="002A40A7">
        <w:rPr>
          <w:rFonts w:ascii="Times New Roman" w:hAnsi="Times New Roman" w:cs="Times New Roman"/>
          <w:sz w:val="20"/>
          <w:szCs w:val="20"/>
        </w:rPr>
        <w:t>Tissue engineering is classically based on three pillars:</w:t>
      </w:r>
    </w:p>
    <w:p w:rsidR="002A40A7" w:rsidRPr="002A40A7" w:rsidRDefault="002A40A7" w:rsidP="00C74746">
      <w:pPr>
        <w:pStyle w:val="ListParagraph"/>
        <w:spacing w:after="0" w:line="240" w:lineRule="auto"/>
        <w:ind w:left="360"/>
        <w:jc w:val="both"/>
        <w:rPr>
          <w:rFonts w:ascii="Times New Roman" w:hAnsi="Times New Roman" w:cs="Times New Roman"/>
          <w:sz w:val="20"/>
          <w:szCs w:val="20"/>
        </w:rPr>
      </w:pPr>
      <w:r w:rsidRPr="002A40A7">
        <w:rPr>
          <w:rFonts w:ascii="Times New Roman" w:hAnsi="Times New Roman" w:cs="Times New Roman"/>
          <w:sz w:val="20"/>
          <w:szCs w:val="20"/>
        </w:rPr>
        <w:t>(a) The cells (stem cells/progenitor cells), r</w:t>
      </w:r>
      <w:r>
        <w:rPr>
          <w:rFonts w:ascii="Times New Roman" w:hAnsi="Times New Roman" w:cs="Times New Roman"/>
          <w:sz w:val="20"/>
          <w:szCs w:val="20"/>
        </w:rPr>
        <w:t xml:space="preserve">esponsible for synthesizing the </w:t>
      </w:r>
      <w:r w:rsidRPr="002A40A7">
        <w:rPr>
          <w:rFonts w:ascii="Times New Roman" w:hAnsi="Times New Roman" w:cs="Times New Roman"/>
          <w:sz w:val="20"/>
          <w:szCs w:val="20"/>
        </w:rPr>
        <w:t>new tissue matrix;</w:t>
      </w:r>
    </w:p>
    <w:p w:rsidR="002A40A7" w:rsidRPr="002A40A7" w:rsidRDefault="002A40A7" w:rsidP="00C74746">
      <w:pPr>
        <w:pStyle w:val="ListParagraph"/>
        <w:spacing w:after="0" w:line="240" w:lineRule="auto"/>
        <w:ind w:left="360"/>
        <w:jc w:val="both"/>
        <w:rPr>
          <w:rFonts w:ascii="Times New Roman" w:hAnsi="Times New Roman" w:cs="Times New Roman"/>
          <w:sz w:val="20"/>
          <w:szCs w:val="20"/>
        </w:rPr>
      </w:pPr>
      <w:r w:rsidRPr="002A40A7">
        <w:rPr>
          <w:rFonts w:ascii="Times New Roman" w:hAnsi="Times New Roman" w:cs="Times New Roman"/>
          <w:sz w:val="20"/>
          <w:szCs w:val="20"/>
        </w:rPr>
        <w:t>(b) The signalling/growth factors necessar</w:t>
      </w:r>
      <w:r>
        <w:rPr>
          <w:rFonts w:ascii="Times New Roman" w:hAnsi="Times New Roman" w:cs="Times New Roman"/>
          <w:sz w:val="20"/>
          <w:szCs w:val="20"/>
        </w:rPr>
        <w:t xml:space="preserve">y to promote and facilitate the </w:t>
      </w:r>
      <w:r w:rsidRPr="002A40A7">
        <w:rPr>
          <w:rFonts w:ascii="Times New Roman" w:hAnsi="Times New Roman" w:cs="Times New Roman"/>
          <w:sz w:val="20"/>
          <w:szCs w:val="20"/>
        </w:rPr>
        <w:t>functionalities;</w:t>
      </w:r>
    </w:p>
    <w:p w:rsidR="002A40A7" w:rsidRPr="002A40A7" w:rsidRDefault="002A40A7" w:rsidP="00C74746">
      <w:pPr>
        <w:pStyle w:val="ListParagraph"/>
        <w:spacing w:after="0" w:line="240" w:lineRule="auto"/>
        <w:ind w:left="360"/>
        <w:jc w:val="both"/>
        <w:rPr>
          <w:rFonts w:ascii="Times New Roman" w:hAnsi="Times New Roman" w:cs="Times New Roman"/>
          <w:sz w:val="20"/>
          <w:szCs w:val="20"/>
        </w:rPr>
      </w:pPr>
      <w:r w:rsidRPr="002A40A7">
        <w:rPr>
          <w:rFonts w:ascii="Times New Roman" w:hAnsi="Times New Roman" w:cs="Times New Roman"/>
          <w:sz w:val="20"/>
          <w:szCs w:val="20"/>
        </w:rPr>
        <w:t>(c) The biomaterial scaffolds, necessary for cell d</w:t>
      </w:r>
      <w:r>
        <w:rPr>
          <w:rFonts w:ascii="Times New Roman" w:hAnsi="Times New Roman" w:cs="Times New Roman"/>
          <w:sz w:val="20"/>
          <w:szCs w:val="20"/>
        </w:rPr>
        <w:t xml:space="preserve">ifferentiation, multiplication, </w:t>
      </w:r>
      <w:r w:rsidRPr="002A40A7">
        <w:rPr>
          <w:rFonts w:ascii="Times New Roman" w:hAnsi="Times New Roman" w:cs="Times New Roman"/>
          <w:sz w:val="20"/>
          <w:szCs w:val="20"/>
        </w:rPr>
        <w:t>and biosynthesis, that</w:t>
      </w:r>
      <w:r>
        <w:rPr>
          <w:rFonts w:ascii="Times New Roman" w:hAnsi="Times New Roman" w:cs="Times New Roman"/>
          <w:sz w:val="20"/>
          <w:szCs w:val="20"/>
        </w:rPr>
        <w:t xml:space="preserve"> act as an extracellular matrix</w:t>
      </w:r>
      <w:r w:rsidRPr="002A40A7">
        <w:rPr>
          <w:rFonts w:ascii="Times New Roman" w:hAnsi="Times New Roman" w:cs="Times New Roman"/>
          <w:sz w:val="20"/>
          <w:szCs w:val="20"/>
        </w:rPr>
        <w:t>.</w:t>
      </w:r>
    </w:p>
    <w:p w:rsidR="004F07BE" w:rsidRDefault="002A40A7" w:rsidP="00C74746">
      <w:pPr>
        <w:pStyle w:val="ListParagraph"/>
        <w:spacing w:after="0" w:line="240" w:lineRule="auto"/>
        <w:ind w:left="360"/>
        <w:jc w:val="both"/>
        <w:rPr>
          <w:rFonts w:ascii="Times New Roman" w:hAnsi="Times New Roman" w:cs="Times New Roman"/>
          <w:sz w:val="20"/>
          <w:szCs w:val="20"/>
        </w:rPr>
      </w:pPr>
      <w:r w:rsidRPr="002A40A7">
        <w:rPr>
          <w:rFonts w:ascii="Times New Roman" w:hAnsi="Times New Roman" w:cs="Times New Roman"/>
          <w:sz w:val="20"/>
          <w:szCs w:val="20"/>
        </w:rPr>
        <w:t>These three things (scaffolds, cells, gr</w:t>
      </w:r>
      <w:r>
        <w:rPr>
          <w:rFonts w:ascii="Times New Roman" w:hAnsi="Times New Roman" w:cs="Times New Roman"/>
          <w:sz w:val="20"/>
          <w:szCs w:val="20"/>
        </w:rPr>
        <w:t xml:space="preserve">owth factors) are known as “the </w:t>
      </w:r>
      <w:r w:rsidRPr="002A40A7">
        <w:rPr>
          <w:rFonts w:ascii="Times New Roman" w:hAnsi="Times New Roman" w:cs="Times New Roman"/>
          <w:sz w:val="20"/>
          <w:szCs w:val="20"/>
        </w:rPr>
        <w:t>tissue engineering triad”, and this system is set up in an appropriate</w:t>
      </w:r>
      <w:r>
        <w:rPr>
          <w:rFonts w:ascii="Times New Roman" w:hAnsi="Times New Roman" w:cs="Times New Roman"/>
          <w:sz w:val="20"/>
          <w:szCs w:val="20"/>
        </w:rPr>
        <w:t xml:space="preserve"> </w:t>
      </w:r>
      <w:r w:rsidRPr="002A40A7">
        <w:rPr>
          <w:rFonts w:ascii="Times New Roman" w:hAnsi="Times New Roman" w:cs="Times New Roman"/>
          <w:sz w:val="20"/>
          <w:szCs w:val="20"/>
        </w:rPr>
        <w:t>environment in a bioreactor</w:t>
      </w:r>
      <w:r w:rsidR="00AD7FCA">
        <w:rPr>
          <w:rFonts w:ascii="Times New Roman" w:hAnsi="Times New Roman" w:cs="Times New Roman"/>
          <w:sz w:val="20"/>
          <w:szCs w:val="20"/>
          <w:vertAlign w:val="superscript"/>
        </w:rPr>
        <w:t>1</w:t>
      </w:r>
      <w:r w:rsidRPr="002A40A7">
        <w:rPr>
          <w:rFonts w:ascii="Times New Roman" w:hAnsi="Times New Roman" w:cs="Times New Roman"/>
          <w:sz w:val="20"/>
          <w:szCs w:val="20"/>
        </w:rPr>
        <w:t>.</w:t>
      </w:r>
    </w:p>
    <w:p w:rsidR="004841E7" w:rsidRDefault="004841E7" w:rsidP="00C74746">
      <w:pPr>
        <w:pStyle w:val="ListParagraph"/>
        <w:spacing w:after="0" w:line="240" w:lineRule="auto"/>
        <w:ind w:left="360"/>
        <w:jc w:val="both"/>
        <w:rPr>
          <w:rFonts w:ascii="Times New Roman" w:hAnsi="Times New Roman" w:cs="Times New Roman"/>
          <w:sz w:val="20"/>
          <w:szCs w:val="20"/>
        </w:rPr>
      </w:pPr>
    </w:p>
    <w:p w:rsidR="004841E7" w:rsidRDefault="004841E7" w:rsidP="00C74746">
      <w:pPr>
        <w:pStyle w:val="ListParagraph"/>
        <w:spacing w:after="0" w:line="240" w:lineRule="auto"/>
        <w:ind w:left="360"/>
        <w:jc w:val="both"/>
        <w:rPr>
          <w:rFonts w:ascii="Times New Roman" w:hAnsi="Times New Roman" w:cs="Times New Roman"/>
          <w:sz w:val="20"/>
          <w:szCs w:val="20"/>
        </w:rPr>
      </w:pPr>
    </w:p>
    <w:p w:rsidR="004841E7" w:rsidRDefault="004841E7" w:rsidP="00C74746">
      <w:pPr>
        <w:pStyle w:val="ListParagraph"/>
        <w:spacing w:after="0" w:line="240" w:lineRule="auto"/>
        <w:ind w:left="360"/>
        <w:jc w:val="both"/>
        <w:rPr>
          <w:rFonts w:ascii="Times New Roman" w:hAnsi="Times New Roman" w:cs="Times New Roman"/>
          <w:sz w:val="20"/>
          <w:szCs w:val="20"/>
        </w:rPr>
      </w:pPr>
      <w:r>
        <w:rPr>
          <w:noProof/>
          <w:lang w:eastAsia="en-IN"/>
        </w:rPr>
        <w:drawing>
          <wp:inline distT="0" distB="0" distL="0" distR="0" wp14:anchorId="4610F199" wp14:editId="54CA2144">
            <wp:extent cx="5122964" cy="2486025"/>
            <wp:effectExtent l="57150" t="57150" r="116205" b="1047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81" t="25005" r="18136" b="16160"/>
                    <a:stretch/>
                  </pic:blipFill>
                  <pic:spPr bwMode="auto">
                    <a:xfrm>
                      <a:off x="0" y="0"/>
                      <a:ext cx="5138123" cy="249338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841E7" w:rsidRPr="004841E7" w:rsidRDefault="004841E7" w:rsidP="00C74746">
      <w:pPr>
        <w:pStyle w:val="ListParagraph"/>
        <w:spacing w:after="0" w:line="240" w:lineRule="auto"/>
        <w:ind w:left="360"/>
        <w:jc w:val="both"/>
        <w:rPr>
          <w:rFonts w:ascii="Times New Roman" w:hAnsi="Times New Roman" w:cs="Times New Roman"/>
          <w:sz w:val="20"/>
          <w:szCs w:val="20"/>
        </w:rPr>
      </w:pPr>
      <w:r w:rsidRPr="004E3810">
        <w:rPr>
          <w:rFonts w:ascii="Times New Roman" w:hAnsi="Times New Roman" w:cs="Times New Roman"/>
          <w:b/>
          <w:sz w:val="20"/>
          <w:szCs w:val="20"/>
        </w:rPr>
        <w:t>Figure 1</w:t>
      </w:r>
      <w:r>
        <w:rPr>
          <w:rFonts w:ascii="Times New Roman" w:hAnsi="Times New Roman" w:cs="Times New Roman"/>
          <w:sz w:val="20"/>
          <w:szCs w:val="20"/>
        </w:rPr>
        <w:t xml:space="preserve">: </w:t>
      </w:r>
      <w:r w:rsidR="005B6B2C">
        <w:rPr>
          <w:rFonts w:ascii="Times New Roman" w:hAnsi="Times New Roman" w:cs="Times New Roman"/>
          <w:sz w:val="20"/>
          <w:szCs w:val="20"/>
        </w:rPr>
        <w:t>Components of tissue engineering and types of scaffolds used</w:t>
      </w:r>
      <w:r w:rsidRPr="004841E7">
        <w:rPr>
          <w:rFonts w:ascii="Times New Roman" w:hAnsi="Times New Roman" w:cs="Times New Roman"/>
          <w:sz w:val="20"/>
          <w:szCs w:val="20"/>
        </w:rPr>
        <w:t>.</w:t>
      </w:r>
    </w:p>
    <w:p w:rsidR="004841E7" w:rsidRPr="004F07BE" w:rsidRDefault="004841E7" w:rsidP="00C74746">
      <w:pPr>
        <w:pStyle w:val="ListParagraph"/>
        <w:spacing w:after="0" w:line="240" w:lineRule="auto"/>
        <w:ind w:left="360"/>
        <w:jc w:val="both"/>
        <w:rPr>
          <w:rFonts w:ascii="Times New Roman" w:hAnsi="Times New Roman" w:cs="Times New Roman"/>
          <w:sz w:val="20"/>
          <w:szCs w:val="20"/>
        </w:rPr>
      </w:pPr>
    </w:p>
    <w:p w:rsidR="004F07BE" w:rsidRDefault="004F07BE" w:rsidP="00C74746">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Stem cells – </w:t>
      </w:r>
    </w:p>
    <w:p w:rsidR="00842C1B" w:rsidRDefault="004F07BE" w:rsidP="00C74746">
      <w:pPr>
        <w:pStyle w:val="ListParagraph"/>
        <w:spacing w:after="0" w:line="240" w:lineRule="auto"/>
        <w:ind w:left="360" w:firstLine="360"/>
        <w:jc w:val="both"/>
        <w:rPr>
          <w:rFonts w:ascii="Times New Roman" w:hAnsi="Times New Roman" w:cs="Times New Roman"/>
          <w:sz w:val="20"/>
          <w:szCs w:val="20"/>
        </w:rPr>
      </w:pPr>
      <w:r w:rsidRPr="004F07BE">
        <w:rPr>
          <w:rFonts w:ascii="Times New Roman" w:hAnsi="Times New Roman" w:cs="Times New Roman"/>
          <w:sz w:val="20"/>
          <w:szCs w:val="20"/>
        </w:rPr>
        <w:t>Stem cells are undifferentiated cells with self-renewing and clonogenic capabilities,</w:t>
      </w:r>
      <w:r>
        <w:rPr>
          <w:rFonts w:ascii="Times New Roman" w:hAnsi="Times New Roman" w:cs="Times New Roman"/>
          <w:sz w:val="20"/>
          <w:szCs w:val="20"/>
        </w:rPr>
        <w:t xml:space="preserve"> </w:t>
      </w:r>
      <w:r w:rsidRPr="004F07BE">
        <w:rPr>
          <w:rFonts w:ascii="Times New Roman" w:hAnsi="Times New Roman" w:cs="Times New Roman"/>
          <w:sz w:val="20"/>
          <w:szCs w:val="20"/>
        </w:rPr>
        <w:t xml:space="preserve">which can differentiate into various cell lineages. </w:t>
      </w:r>
    </w:p>
    <w:p w:rsidR="00842C1B" w:rsidRDefault="004F07BE" w:rsidP="00C74746">
      <w:pPr>
        <w:pStyle w:val="ListParagraph"/>
        <w:spacing w:after="0" w:line="240" w:lineRule="auto"/>
        <w:ind w:left="360"/>
        <w:jc w:val="both"/>
        <w:rPr>
          <w:rFonts w:ascii="Times New Roman" w:hAnsi="Times New Roman" w:cs="Times New Roman"/>
          <w:sz w:val="20"/>
          <w:szCs w:val="20"/>
        </w:rPr>
      </w:pPr>
      <w:r w:rsidRPr="004F07BE">
        <w:rPr>
          <w:rFonts w:ascii="Times New Roman" w:hAnsi="Times New Roman" w:cs="Times New Roman"/>
          <w:sz w:val="20"/>
          <w:szCs w:val="20"/>
        </w:rPr>
        <w:t>According to the basis of their origin,</w:t>
      </w:r>
      <w:r>
        <w:rPr>
          <w:rFonts w:ascii="Times New Roman" w:hAnsi="Times New Roman" w:cs="Times New Roman"/>
          <w:sz w:val="20"/>
          <w:szCs w:val="20"/>
        </w:rPr>
        <w:t xml:space="preserve"> </w:t>
      </w:r>
      <w:r w:rsidRPr="004F07BE">
        <w:rPr>
          <w:rFonts w:ascii="Times New Roman" w:hAnsi="Times New Roman" w:cs="Times New Roman"/>
          <w:sz w:val="20"/>
          <w:szCs w:val="20"/>
        </w:rPr>
        <w:t xml:space="preserve">stem cells are categorized as </w:t>
      </w:r>
    </w:p>
    <w:p w:rsidR="00842C1B" w:rsidRDefault="00842C1B" w:rsidP="00C74746">
      <w:pPr>
        <w:pStyle w:val="ListParagraph"/>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E</w:t>
      </w:r>
      <w:r w:rsidR="004F07BE" w:rsidRPr="004F07BE">
        <w:rPr>
          <w:rFonts w:ascii="Times New Roman" w:hAnsi="Times New Roman" w:cs="Times New Roman"/>
          <w:sz w:val="20"/>
          <w:szCs w:val="20"/>
        </w:rPr>
        <w:t xml:space="preserve">mbryonic, </w:t>
      </w:r>
    </w:p>
    <w:p w:rsidR="00842C1B" w:rsidRDefault="00842C1B" w:rsidP="00C74746">
      <w:pPr>
        <w:pStyle w:val="ListParagraph"/>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I</w:t>
      </w:r>
      <w:r w:rsidR="004F07BE" w:rsidRPr="004F07BE">
        <w:rPr>
          <w:rFonts w:ascii="Times New Roman" w:hAnsi="Times New Roman" w:cs="Times New Roman"/>
          <w:sz w:val="20"/>
          <w:szCs w:val="20"/>
        </w:rPr>
        <w:t>nduced pluripotent stem cells (iPS), and</w:t>
      </w:r>
      <w:r w:rsidR="004F07BE">
        <w:rPr>
          <w:rFonts w:ascii="Times New Roman" w:hAnsi="Times New Roman" w:cs="Times New Roman"/>
          <w:sz w:val="20"/>
          <w:szCs w:val="20"/>
        </w:rPr>
        <w:t xml:space="preserve"> </w:t>
      </w:r>
    </w:p>
    <w:p w:rsidR="00842C1B" w:rsidRDefault="00842C1B" w:rsidP="00C74746">
      <w:pPr>
        <w:pStyle w:val="ListParagraph"/>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w:t>
      </w:r>
      <w:r w:rsidR="004F07BE" w:rsidRPr="004F07BE">
        <w:rPr>
          <w:rFonts w:ascii="Times New Roman" w:hAnsi="Times New Roman" w:cs="Times New Roman"/>
          <w:sz w:val="20"/>
          <w:szCs w:val="20"/>
        </w:rPr>
        <w:t>dult (</w:t>
      </w:r>
      <w:r w:rsidR="004F07BE">
        <w:rPr>
          <w:rFonts w:ascii="Times New Roman" w:hAnsi="Times New Roman" w:cs="Times New Roman"/>
          <w:sz w:val="20"/>
          <w:szCs w:val="20"/>
        </w:rPr>
        <w:t>tissue-specific) stem cells</w:t>
      </w:r>
      <w:r w:rsidR="004F07BE" w:rsidRPr="004F07BE">
        <w:rPr>
          <w:rFonts w:ascii="Times New Roman" w:hAnsi="Times New Roman" w:cs="Times New Roman"/>
          <w:sz w:val="20"/>
          <w:szCs w:val="20"/>
        </w:rPr>
        <w:t xml:space="preserve">. </w:t>
      </w:r>
    </w:p>
    <w:p w:rsidR="00842C1B" w:rsidRDefault="004F07BE" w:rsidP="00C74746">
      <w:pPr>
        <w:spacing w:after="0" w:line="240" w:lineRule="auto"/>
        <w:ind w:firstLine="360"/>
        <w:jc w:val="both"/>
        <w:rPr>
          <w:rFonts w:ascii="Times New Roman" w:hAnsi="Times New Roman" w:cs="Times New Roman"/>
          <w:sz w:val="20"/>
          <w:szCs w:val="20"/>
        </w:rPr>
      </w:pPr>
      <w:r w:rsidRPr="00842C1B">
        <w:rPr>
          <w:rFonts w:ascii="Times New Roman" w:hAnsi="Times New Roman" w:cs="Times New Roman"/>
          <w:sz w:val="20"/>
          <w:szCs w:val="20"/>
        </w:rPr>
        <w:t xml:space="preserve">Based on their differentiation potential, stem cells can be classified as </w:t>
      </w:r>
    </w:p>
    <w:p w:rsidR="00842C1B" w:rsidRDefault="00842C1B" w:rsidP="00C74746">
      <w:pPr>
        <w:pStyle w:val="ListParagraph"/>
        <w:numPr>
          <w:ilvl w:val="0"/>
          <w:numId w:val="4"/>
        </w:numPr>
        <w:spacing w:after="0" w:line="240" w:lineRule="auto"/>
        <w:jc w:val="both"/>
        <w:rPr>
          <w:rFonts w:ascii="Times New Roman" w:hAnsi="Times New Roman" w:cs="Times New Roman"/>
          <w:sz w:val="20"/>
          <w:szCs w:val="20"/>
        </w:rPr>
      </w:pPr>
      <w:r w:rsidRPr="00842C1B">
        <w:rPr>
          <w:rFonts w:ascii="Times New Roman" w:hAnsi="Times New Roman" w:cs="Times New Roman"/>
          <w:sz w:val="20"/>
          <w:szCs w:val="20"/>
        </w:rPr>
        <w:t>T</w:t>
      </w:r>
      <w:r w:rsidR="004F07BE" w:rsidRPr="00842C1B">
        <w:rPr>
          <w:rFonts w:ascii="Times New Roman" w:hAnsi="Times New Roman" w:cs="Times New Roman"/>
          <w:sz w:val="20"/>
          <w:szCs w:val="20"/>
        </w:rPr>
        <w:t xml:space="preserve">otipotent (the ability to give rise to all types of cells), </w:t>
      </w:r>
    </w:p>
    <w:p w:rsidR="00842C1B" w:rsidRDefault="00842C1B" w:rsidP="00C74746">
      <w:pPr>
        <w:pStyle w:val="ListParagraph"/>
        <w:numPr>
          <w:ilvl w:val="0"/>
          <w:numId w:val="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w:t>
      </w:r>
      <w:r w:rsidR="004F07BE" w:rsidRPr="00842C1B">
        <w:rPr>
          <w:rFonts w:ascii="Times New Roman" w:hAnsi="Times New Roman" w:cs="Times New Roman"/>
          <w:sz w:val="20"/>
          <w:szCs w:val="20"/>
        </w:rPr>
        <w:t xml:space="preserve">luripotent (the potential of the cells to produce any type of cells in the organism), </w:t>
      </w:r>
    </w:p>
    <w:p w:rsidR="00842C1B" w:rsidRDefault="00842C1B" w:rsidP="00C74746">
      <w:pPr>
        <w:pStyle w:val="ListParagraph"/>
        <w:numPr>
          <w:ilvl w:val="0"/>
          <w:numId w:val="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w:t>
      </w:r>
      <w:r w:rsidR="004F07BE" w:rsidRPr="00842C1B">
        <w:rPr>
          <w:rFonts w:ascii="Times New Roman" w:hAnsi="Times New Roman" w:cs="Times New Roman"/>
          <w:sz w:val="20"/>
          <w:szCs w:val="20"/>
        </w:rPr>
        <w:t xml:space="preserve">ultipotent (the potential to give rise to cells of their tissue of origin), </w:t>
      </w:r>
    </w:p>
    <w:p w:rsidR="00842C1B" w:rsidRDefault="00842C1B" w:rsidP="00C74746">
      <w:pPr>
        <w:pStyle w:val="ListParagraph"/>
        <w:numPr>
          <w:ilvl w:val="0"/>
          <w:numId w:val="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O</w:t>
      </w:r>
      <w:r w:rsidR="004F07BE" w:rsidRPr="00842C1B">
        <w:rPr>
          <w:rFonts w:ascii="Times New Roman" w:hAnsi="Times New Roman" w:cs="Times New Roman"/>
          <w:sz w:val="20"/>
          <w:szCs w:val="20"/>
        </w:rPr>
        <w:t xml:space="preserve">ligopotent (the potential to differentiate into only a few cell types), and </w:t>
      </w:r>
    </w:p>
    <w:p w:rsidR="00842C1B" w:rsidRDefault="00842C1B" w:rsidP="00C74746">
      <w:pPr>
        <w:pStyle w:val="ListParagraph"/>
        <w:numPr>
          <w:ilvl w:val="0"/>
          <w:numId w:val="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w:t>
      </w:r>
      <w:r w:rsidR="004F07BE" w:rsidRPr="00842C1B">
        <w:rPr>
          <w:rFonts w:ascii="Times New Roman" w:hAnsi="Times New Roman" w:cs="Times New Roman"/>
          <w:sz w:val="20"/>
          <w:szCs w:val="20"/>
        </w:rPr>
        <w:t xml:space="preserve">nipotent (the ability to produce one cell type). </w:t>
      </w:r>
    </w:p>
    <w:p w:rsidR="002A40A7" w:rsidRDefault="004F07BE" w:rsidP="00C74746">
      <w:pPr>
        <w:spacing w:after="0" w:line="240" w:lineRule="auto"/>
        <w:ind w:left="360"/>
        <w:jc w:val="both"/>
        <w:rPr>
          <w:rFonts w:ascii="Times New Roman" w:hAnsi="Times New Roman" w:cs="Times New Roman"/>
          <w:sz w:val="20"/>
          <w:szCs w:val="20"/>
        </w:rPr>
      </w:pPr>
      <w:r w:rsidRPr="00842C1B">
        <w:rPr>
          <w:rFonts w:ascii="Times New Roman" w:hAnsi="Times New Roman" w:cs="Times New Roman"/>
          <w:sz w:val="20"/>
          <w:szCs w:val="20"/>
        </w:rPr>
        <w:t>Embryonic stem cells are pluripotent, whereas adult stem cells are limited to differentiating into various cell types of their original tissue (multipotent)</w:t>
      </w:r>
      <w:r w:rsidR="00AD7FCA">
        <w:rPr>
          <w:rFonts w:ascii="Times New Roman" w:hAnsi="Times New Roman" w:cs="Times New Roman"/>
          <w:sz w:val="20"/>
          <w:szCs w:val="20"/>
          <w:vertAlign w:val="superscript"/>
        </w:rPr>
        <w:t>2</w:t>
      </w:r>
      <w:r w:rsidRPr="00842C1B">
        <w:rPr>
          <w:rFonts w:ascii="Times New Roman" w:hAnsi="Times New Roman" w:cs="Times New Roman"/>
          <w:sz w:val="20"/>
          <w:szCs w:val="20"/>
        </w:rPr>
        <w:t>.</w:t>
      </w:r>
    </w:p>
    <w:p w:rsidR="00EB1D16" w:rsidRPr="00EB1D16" w:rsidRDefault="00EB1D16" w:rsidP="00C74746">
      <w:pPr>
        <w:spacing w:after="0" w:line="240" w:lineRule="auto"/>
        <w:ind w:left="360"/>
        <w:jc w:val="both"/>
        <w:rPr>
          <w:rFonts w:ascii="Times New Roman" w:hAnsi="Times New Roman" w:cs="Times New Roman"/>
          <w:sz w:val="20"/>
          <w:szCs w:val="20"/>
        </w:rPr>
      </w:pPr>
      <w:r>
        <w:rPr>
          <w:rFonts w:ascii="Times New Roman" w:hAnsi="Times New Roman" w:cs="Times New Roman"/>
          <w:b/>
          <w:sz w:val="20"/>
          <w:szCs w:val="20"/>
        </w:rPr>
        <w:t xml:space="preserve">Dental stem cells - </w:t>
      </w:r>
    </w:p>
    <w:p w:rsidR="00842C1B" w:rsidRDefault="004F07BE" w:rsidP="00C74746">
      <w:pPr>
        <w:pStyle w:val="ListParagraph"/>
        <w:spacing w:after="0" w:line="240" w:lineRule="auto"/>
        <w:ind w:left="360" w:firstLine="360"/>
        <w:jc w:val="both"/>
        <w:rPr>
          <w:rFonts w:ascii="Times New Roman" w:hAnsi="Times New Roman" w:cs="Times New Roman"/>
          <w:sz w:val="20"/>
          <w:szCs w:val="20"/>
        </w:rPr>
      </w:pPr>
      <w:r w:rsidRPr="004F07BE">
        <w:rPr>
          <w:rFonts w:ascii="Times New Roman" w:hAnsi="Times New Roman" w:cs="Times New Roman"/>
          <w:sz w:val="20"/>
          <w:szCs w:val="20"/>
        </w:rPr>
        <w:t>Dental stem cells (DSCs) are neural crest-derived cells</w:t>
      </w:r>
      <w:r w:rsidR="00ED0492">
        <w:rPr>
          <w:rFonts w:ascii="Times New Roman" w:hAnsi="Times New Roman" w:cs="Times New Roman"/>
          <w:sz w:val="20"/>
          <w:szCs w:val="20"/>
        </w:rPr>
        <w:t xml:space="preserve"> that can be </w:t>
      </w:r>
      <w:r w:rsidRPr="00ED0492">
        <w:rPr>
          <w:rFonts w:ascii="Times New Roman" w:hAnsi="Times New Roman" w:cs="Times New Roman"/>
          <w:sz w:val="20"/>
          <w:szCs w:val="20"/>
        </w:rPr>
        <w:t>obtained easily from dental tissues of both adults and children; therefore, they are a</w:t>
      </w:r>
      <w:r w:rsidR="00ED0492">
        <w:rPr>
          <w:rFonts w:ascii="Times New Roman" w:hAnsi="Times New Roman" w:cs="Times New Roman"/>
          <w:sz w:val="20"/>
          <w:szCs w:val="20"/>
        </w:rPr>
        <w:t xml:space="preserve"> </w:t>
      </w:r>
      <w:r w:rsidRPr="00ED0492">
        <w:rPr>
          <w:rFonts w:ascii="Times New Roman" w:hAnsi="Times New Roman" w:cs="Times New Roman"/>
          <w:sz w:val="20"/>
          <w:szCs w:val="20"/>
        </w:rPr>
        <w:t>reliable, accessible source</w:t>
      </w:r>
      <w:r w:rsidR="00ED0492">
        <w:rPr>
          <w:rFonts w:ascii="Times New Roman" w:hAnsi="Times New Roman" w:cs="Times New Roman"/>
          <w:sz w:val="20"/>
          <w:szCs w:val="20"/>
        </w:rPr>
        <w:t xml:space="preserve"> of autologous stem cells</w:t>
      </w:r>
      <w:r w:rsidRPr="00ED0492">
        <w:rPr>
          <w:rFonts w:ascii="Times New Roman" w:hAnsi="Times New Roman" w:cs="Times New Roman"/>
          <w:sz w:val="20"/>
          <w:szCs w:val="20"/>
        </w:rPr>
        <w:t>. DSCs are undifferentiated cells</w:t>
      </w:r>
      <w:r w:rsidR="00ED0492">
        <w:rPr>
          <w:rFonts w:ascii="Times New Roman" w:hAnsi="Times New Roman" w:cs="Times New Roman"/>
          <w:sz w:val="20"/>
          <w:szCs w:val="20"/>
        </w:rPr>
        <w:t xml:space="preserve"> </w:t>
      </w:r>
      <w:r w:rsidRPr="00ED0492">
        <w:rPr>
          <w:rFonts w:ascii="Times New Roman" w:hAnsi="Times New Roman" w:cs="Times New Roman"/>
          <w:sz w:val="20"/>
          <w:szCs w:val="20"/>
        </w:rPr>
        <w:t>that have non-limited self-renewal, multipotent differentiation potential, and colony</w:t>
      </w:r>
      <w:r w:rsidR="00842C1B">
        <w:rPr>
          <w:rFonts w:ascii="Times New Roman" w:hAnsi="Times New Roman" w:cs="Times New Roman"/>
          <w:sz w:val="20"/>
          <w:szCs w:val="20"/>
        </w:rPr>
        <w:t xml:space="preserve"> </w:t>
      </w:r>
      <w:r w:rsidRPr="00ED0492">
        <w:rPr>
          <w:rFonts w:ascii="Times New Roman" w:hAnsi="Times New Roman" w:cs="Times New Roman"/>
          <w:sz w:val="20"/>
          <w:szCs w:val="20"/>
        </w:rPr>
        <w:lastRenderedPageBreak/>
        <w:t>forming</w:t>
      </w:r>
      <w:r w:rsidR="00ED0492">
        <w:rPr>
          <w:rFonts w:ascii="Times New Roman" w:hAnsi="Times New Roman" w:cs="Times New Roman"/>
          <w:sz w:val="20"/>
          <w:szCs w:val="20"/>
        </w:rPr>
        <w:t xml:space="preserve"> capacity</w:t>
      </w:r>
      <w:r w:rsidRPr="00ED0492">
        <w:rPr>
          <w:rFonts w:ascii="Times New Roman" w:hAnsi="Times New Roman" w:cs="Times New Roman"/>
          <w:sz w:val="20"/>
          <w:szCs w:val="20"/>
        </w:rPr>
        <w:t>. DSCs can be isolated from the dental pulp of deciduous, natal, and</w:t>
      </w:r>
      <w:r w:rsidR="00ED0492">
        <w:rPr>
          <w:rFonts w:ascii="Times New Roman" w:hAnsi="Times New Roman" w:cs="Times New Roman"/>
          <w:sz w:val="20"/>
          <w:szCs w:val="20"/>
        </w:rPr>
        <w:t xml:space="preserve"> </w:t>
      </w:r>
      <w:r w:rsidRPr="00ED0492">
        <w:rPr>
          <w:rFonts w:ascii="Times New Roman" w:hAnsi="Times New Roman" w:cs="Times New Roman"/>
          <w:sz w:val="20"/>
          <w:szCs w:val="20"/>
        </w:rPr>
        <w:t>permanent teeth, the periodontal ligament, the apical papilla, the dental follicle, and</w:t>
      </w:r>
      <w:r w:rsidR="00ED0492">
        <w:rPr>
          <w:rFonts w:ascii="Times New Roman" w:hAnsi="Times New Roman" w:cs="Times New Roman"/>
          <w:sz w:val="20"/>
          <w:szCs w:val="20"/>
        </w:rPr>
        <w:t xml:space="preserve"> </w:t>
      </w:r>
      <w:r w:rsidRPr="00ED0492">
        <w:rPr>
          <w:rFonts w:ascii="Times New Roman" w:hAnsi="Times New Roman" w:cs="Times New Roman"/>
          <w:sz w:val="20"/>
          <w:szCs w:val="20"/>
        </w:rPr>
        <w:t>gingival tissue</w:t>
      </w:r>
      <w:r w:rsidR="00842C1B">
        <w:rPr>
          <w:rFonts w:ascii="Times New Roman" w:hAnsi="Times New Roman" w:cs="Times New Roman"/>
          <w:sz w:val="20"/>
          <w:szCs w:val="20"/>
        </w:rPr>
        <w:t>.</w:t>
      </w:r>
      <w:r w:rsidRPr="00ED0492">
        <w:rPr>
          <w:rFonts w:ascii="Times New Roman" w:hAnsi="Times New Roman" w:cs="Times New Roman"/>
          <w:sz w:val="20"/>
          <w:szCs w:val="20"/>
        </w:rPr>
        <w:t xml:space="preserve"> One of the unique characteristics of DSCs is their ability</w:t>
      </w:r>
      <w:r w:rsidR="00ED0492">
        <w:rPr>
          <w:rFonts w:ascii="Times New Roman" w:hAnsi="Times New Roman" w:cs="Times New Roman"/>
          <w:sz w:val="20"/>
          <w:szCs w:val="20"/>
        </w:rPr>
        <w:t xml:space="preserve"> </w:t>
      </w:r>
      <w:r w:rsidRPr="00ED0492">
        <w:rPr>
          <w:rFonts w:ascii="Times New Roman" w:hAnsi="Times New Roman" w:cs="Times New Roman"/>
          <w:sz w:val="20"/>
          <w:szCs w:val="20"/>
        </w:rPr>
        <w:t xml:space="preserve">to differentiate into mesodermal, ectodermal, </w:t>
      </w:r>
      <w:r w:rsidR="00ED0492">
        <w:rPr>
          <w:rFonts w:ascii="Times New Roman" w:hAnsi="Times New Roman" w:cs="Times New Roman"/>
          <w:sz w:val="20"/>
          <w:szCs w:val="20"/>
        </w:rPr>
        <w:t>and endodermal cell lineages</w:t>
      </w:r>
      <w:r w:rsidRPr="00ED0492">
        <w:rPr>
          <w:rFonts w:ascii="Times New Roman" w:hAnsi="Times New Roman" w:cs="Times New Roman"/>
          <w:sz w:val="20"/>
          <w:szCs w:val="20"/>
        </w:rPr>
        <w:t>. DSCs</w:t>
      </w:r>
      <w:r w:rsidR="00ED0492">
        <w:rPr>
          <w:rFonts w:ascii="Times New Roman" w:hAnsi="Times New Roman" w:cs="Times New Roman"/>
          <w:sz w:val="20"/>
          <w:szCs w:val="20"/>
        </w:rPr>
        <w:t xml:space="preserve"> </w:t>
      </w:r>
      <w:r w:rsidRPr="00ED0492">
        <w:rPr>
          <w:rFonts w:ascii="Times New Roman" w:hAnsi="Times New Roman" w:cs="Times New Roman"/>
          <w:sz w:val="20"/>
          <w:szCs w:val="20"/>
        </w:rPr>
        <w:t>from each source are capable of specifically differentiating into various distinct cells,</w:t>
      </w:r>
      <w:r w:rsidR="00ED0492">
        <w:rPr>
          <w:rFonts w:ascii="Times New Roman" w:hAnsi="Times New Roman" w:cs="Times New Roman"/>
          <w:sz w:val="20"/>
          <w:szCs w:val="20"/>
        </w:rPr>
        <w:t xml:space="preserve"> </w:t>
      </w:r>
      <w:r w:rsidRPr="00ED0492">
        <w:rPr>
          <w:rFonts w:ascii="Times New Roman" w:hAnsi="Times New Roman" w:cs="Times New Roman"/>
          <w:sz w:val="20"/>
          <w:szCs w:val="20"/>
        </w:rPr>
        <w:t>including epithelial cells, odontoblasts, osteoblasts, chondroblasts, adipocytes,</w:t>
      </w:r>
      <w:r w:rsidR="00ED0492">
        <w:rPr>
          <w:rFonts w:ascii="Times New Roman" w:hAnsi="Times New Roman" w:cs="Times New Roman"/>
          <w:sz w:val="20"/>
          <w:szCs w:val="20"/>
        </w:rPr>
        <w:t xml:space="preserve"> </w:t>
      </w:r>
      <w:r w:rsidRPr="00ED0492">
        <w:rPr>
          <w:rFonts w:ascii="Times New Roman" w:hAnsi="Times New Roman" w:cs="Times New Roman"/>
          <w:sz w:val="20"/>
          <w:szCs w:val="20"/>
        </w:rPr>
        <w:t>vascular cells, endotheliocytes, neuronal cells, glial cells, photoreceptor cells, and</w:t>
      </w:r>
      <w:r w:rsidR="00ED0492">
        <w:rPr>
          <w:rFonts w:ascii="Times New Roman" w:hAnsi="Times New Roman" w:cs="Times New Roman"/>
          <w:sz w:val="20"/>
          <w:szCs w:val="20"/>
        </w:rPr>
        <w:t xml:space="preserve"> muscle cells</w:t>
      </w:r>
      <w:r w:rsidRPr="00ED0492">
        <w:rPr>
          <w:rFonts w:ascii="Times New Roman" w:hAnsi="Times New Roman" w:cs="Times New Roman"/>
          <w:sz w:val="20"/>
          <w:szCs w:val="20"/>
        </w:rPr>
        <w:t>. Although all stem cells obtained from various sources are named</w:t>
      </w:r>
      <w:r w:rsidR="00ED0492">
        <w:rPr>
          <w:rFonts w:ascii="Times New Roman" w:hAnsi="Times New Roman" w:cs="Times New Roman"/>
          <w:sz w:val="20"/>
          <w:szCs w:val="20"/>
        </w:rPr>
        <w:t xml:space="preserve"> </w:t>
      </w:r>
      <w:r w:rsidR="00842C1B">
        <w:rPr>
          <w:rFonts w:ascii="Times New Roman" w:hAnsi="Times New Roman" w:cs="Times New Roman"/>
          <w:sz w:val="20"/>
          <w:szCs w:val="20"/>
        </w:rPr>
        <w:t>DSCs</w:t>
      </w:r>
      <w:r w:rsidRPr="00ED0492">
        <w:rPr>
          <w:rFonts w:ascii="Times New Roman" w:hAnsi="Times New Roman" w:cs="Times New Roman"/>
          <w:sz w:val="20"/>
          <w:szCs w:val="20"/>
        </w:rPr>
        <w:t xml:space="preserve">, their phenotype, differentiation potential (both in </w:t>
      </w:r>
      <w:r w:rsidRPr="005B6B2C">
        <w:rPr>
          <w:rFonts w:ascii="Times New Roman" w:hAnsi="Times New Roman" w:cs="Times New Roman"/>
          <w:i/>
          <w:sz w:val="20"/>
          <w:szCs w:val="20"/>
        </w:rPr>
        <w:t>in vitro</w:t>
      </w:r>
      <w:r w:rsidRPr="00ED0492">
        <w:rPr>
          <w:rFonts w:ascii="Times New Roman" w:hAnsi="Times New Roman" w:cs="Times New Roman"/>
          <w:sz w:val="20"/>
          <w:szCs w:val="20"/>
        </w:rPr>
        <w:t xml:space="preserve"> and </w:t>
      </w:r>
      <w:r w:rsidRPr="005B6B2C">
        <w:rPr>
          <w:rFonts w:ascii="Times New Roman" w:hAnsi="Times New Roman" w:cs="Times New Roman"/>
          <w:i/>
          <w:sz w:val="20"/>
          <w:szCs w:val="20"/>
        </w:rPr>
        <w:t>in</w:t>
      </w:r>
      <w:r w:rsidR="00ED0492" w:rsidRPr="005B6B2C">
        <w:rPr>
          <w:rFonts w:ascii="Times New Roman" w:hAnsi="Times New Roman" w:cs="Times New Roman"/>
          <w:i/>
          <w:sz w:val="20"/>
          <w:szCs w:val="20"/>
        </w:rPr>
        <w:t xml:space="preserve"> </w:t>
      </w:r>
      <w:r w:rsidRPr="005B6B2C">
        <w:rPr>
          <w:rFonts w:ascii="Times New Roman" w:hAnsi="Times New Roman" w:cs="Times New Roman"/>
          <w:i/>
          <w:sz w:val="20"/>
          <w:szCs w:val="20"/>
        </w:rPr>
        <w:t>vivo</w:t>
      </w:r>
      <w:r w:rsidRPr="00ED0492">
        <w:rPr>
          <w:rFonts w:ascii="Times New Roman" w:hAnsi="Times New Roman" w:cs="Times New Roman"/>
          <w:sz w:val="20"/>
          <w:szCs w:val="20"/>
        </w:rPr>
        <w:t xml:space="preserve"> conditions) and functional properties (such as biological response during</w:t>
      </w:r>
      <w:r w:rsidR="00ED0492">
        <w:rPr>
          <w:rFonts w:ascii="Times New Roman" w:hAnsi="Times New Roman" w:cs="Times New Roman"/>
          <w:sz w:val="20"/>
          <w:szCs w:val="20"/>
        </w:rPr>
        <w:t xml:space="preserve"> </w:t>
      </w:r>
      <w:r w:rsidRPr="00ED0492">
        <w:rPr>
          <w:rFonts w:ascii="Times New Roman" w:hAnsi="Times New Roman" w:cs="Times New Roman"/>
          <w:sz w:val="20"/>
          <w:szCs w:val="20"/>
        </w:rPr>
        <w:t xml:space="preserve">differentiation and </w:t>
      </w:r>
      <w:r w:rsidR="00ED0492">
        <w:rPr>
          <w:rFonts w:ascii="Times New Roman" w:hAnsi="Times New Roman" w:cs="Times New Roman"/>
          <w:sz w:val="20"/>
          <w:szCs w:val="20"/>
        </w:rPr>
        <w:t>tissue repair) are different</w:t>
      </w:r>
      <w:r w:rsidRPr="00ED0492">
        <w:rPr>
          <w:rFonts w:ascii="Times New Roman" w:hAnsi="Times New Roman" w:cs="Times New Roman"/>
          <w:sz w:val="20"/>
          <w:szCs w:val="20"/>
        </w:rPr>
        <w:t xml:space="preserve">. </w:t>
      </w:r>
    </w:p>
    <w:p w:rsidR="004F07BE" w:rsidRDefault="004F07BE" w:rsidP="00C74746">
      <w:pPr>
        <w:pStyle w:val="ListParagraph"/>
        <w:spacing w:after="0" w:line="240" w:lineRule="auto"/>
        <w:ind w:left="360" w:firstLine="360"/>
        <w:jc w:val="both"/>
        <w:rPr>
          <w:rFonts w:ascii="Times New Roman" w:hAnsi="Times New Roman" w:cs="Times New Roman"/>
          <w:sz w:val="20"/>
          <w:szCs w:val="20"/>
        </w:rPr>
      </w:pPr>
      <w:r w:rsidRPr="00ED0492">
        <w:rPr>
          <w:rFonts w:ascii="Times New Roman" w:hAnsi="Times New Roman" w:cs="Times New Roman"/>
          <w:sz w:val="20"/>
          <w:szCs w:val="20"/>
        </w:rPr>
        <w:t>For instance, stem cells obtained from</w:t>
      </w:r>
      <w:r w:rsidR="00ED0492">
        <w:rPr>
          <w:rFonts w:ascii="Times New Roman" w:hAnsi="Times New Roman" w:cs="Times New Roman"/>
          <w:sz w:val="20"/>
          <w:szCs w:val="20"/>
        </w:rPr>
        <w:t xml:space="preserve"> </w:t>
      </w:r>
      <w:r w:rsidRPr="00ED0492">
        <w:rPr>
          <w:rFonts w:ascii="Times New Roman" w:hAnsi="Times New Roman" w:cs="Times New Roman"/>
          <w:sz w:val="20"/>
          <w:szCs w:val="20"/>
        </w:rPr>
        <w:t>the apical papilla possess greater proliferation ability, express a higher variety of</w:t>
      </w:r>
      <w:r w:rsidR="00ED0492">
        <w:rPr>
          <w:rFonts w:ascii="Times New Roman" w:hAnsi="Times New Roman" w:cs="Times New Roman"/>
          <w:sz w:val="20"/>
          <w:szCs w:val="20"/>
        </w:rPr>
        <w:t xml:space="preserve"> </w:t>
      </w:r>
      <w:r w:rsidRPr="00ED0492">
        <w:rPr>
          <w:rFonts w:ascii="Times New Roman" w:hAnsi="Times New Roman" w:cs="Times New Roman"/>
          <w:sz w:val="20"/>
          <w:szCs w:val="20"/>
        </w:rPr>
        <w:t>neural markers, and induce more uniform dentine-like tissues compared to dental</w:t>
      </w:r>
      <w:r w:rsidR="00ED0492">
        <w:rPr>
          <w:rFonts w:ascii="Times New Roman" w:hAnsi="Times New Roman" w:cs="Times New Roman"/>
          <w:sz w:val="20"/>
          <w:szCs w:val="20"/>
        </w:rPr>
        <w:t xml:space="preserve"> pulp stem cells</w:t>
      </w:r>
      <w:r w:rsidRPr="00ED0492">
        <w:rPr>
          <w:rFonts w:ascii="Times New Roman" w:hAnsi="Times New Roman" w:cs="Times New Roman"/>
          <w:sz w:val="20"/>
          <w:szCs w:val="20"/>
        </w:rPr>
        <w:t>. Furthermore, DSCs isolated from exfoliated deciduous teeth exert</w:t>
      </w:r>
      <w:r w:rsidR="00ED0492">
        <w:rPr>
          <w:rFonts w:ascii="Times New Roman" w:hAnsi="Times New Roman" w:cs="Times New Roman"/>
          <w:sz w:val="20"/>
          <w:szCs w:val="20"/>
        </w:rPr>
        <w:t xml:space="preserve"> </w:t>
      </w:r>
      <w:r w:rsidRPr="00ED0492">
        <w:rPr>
          <w:rFonts w:ascii="Times New Roman" w:hAnsi="Times New Roman" w:cs="Times New Roman"/>
          <w:sz w:val="20"/>
          <w:szCs w:val="20"/>
        </w:rPr>
        <w:t>a higher capacity for osteogenic regeneration and a greater proliferation rate compared</w:t>
      </w:r>
      <w:r w:rsidR="00ED0492">
        <w:rPr>
          <w:rFonts w:ascii="Times New Roman" w:hAnsi="Times New Roman" w:cs="Times New Roman"/>
          <w:sz w:val="20"/>
          <w:szCs w:val="20"/>
        </w:rPr>
        <w:t xml:space="preserve"> to dental pulp stem cells</w:t>
      </w:r>
      <w:r w:rsidRPr="00ED0492">
        <w:rPr>
          <w:rFonts w:ascii="Times New Roman" w:hAnsi="Times New Roman" w:cs="Times New Roman"/>
          <w:sz w:val="20"/>
          <w:szCs w:val="20"/>
        </w:rPr>
        <w:t>. DSCs isolated from pulp tissues are the first and most</w:t>
      </w:r>
      <w:r w:rsidR="00ED0492">
        <w:rPr>
          <w:rFonts w:ascii="Times New Roman" w:hAnsi="Times New Roman" w:cs="Times New Roman"/>
          <w:sz w:val="20"/>
          <w:szCs w:val="20"/>
        </w:rPr>
        <w:t xml:space="preserve"> </w:t>
      </w:r>
      <w:r w:rsidRPr="00ED0492">
        <w:rPr>
          <w:rFonts w:ascii="Times New Roman" w:hAnsi="Times New Roman" w:cs="Times New Roman"/>
          <w:sz w:val="20"/>
          <w:szCs w:val="20"/>
        </w:rPr>
        <w:t>frequent cells evaluated for their odontogenic, osteogenic, and neurogenic</w:t>
      </w:r>
      <w:r w:rsidR="00ED0492">
        <w:rPr>
          <w:rFonts w:ascii="Times New Roman" w:hAnsi="Times New Roman" w:cs="Times New Roman"/>
          <w:sz w:val="20"/>
          <w:szCs w:val="20"/>
        </w:rPr>
        <w:t xml:space="preserve"> differentiation potentials</w:t>
      </w:r>
      <w:r w:rsidRPr="00ED0492">
        <w:rPr>
          <w:rFonts w:ascii="Times New Roman" w:hAnsi="Times New Roman" w:cs="Times New Roman"/>
          <w:sz w:val="20"/>
          <w:szCs w:val="20"/>
        </w:rPr>
        <w:t>. This heterogeneity of DSCs is effectively modulated by the</w:t>
      </w:r>
      <w:r w:rsidR="00ED0492">
        <w:rPr>
          <w:rFonts w:ascii="Times New Roman" w:hAnsi="Times New Roman" w:cs="Times New Roman"/>
          <w:sz w:val="20"/>
          <w:szCs w:val="20"/>
        </w:rPr>
        <w:t xml:space="preserve"> </w:t>
      </w:r>
      <w:r w:rsidRPr="00ED0492">
        <w:rPr>
          <w:rFonts w:ascii="Times New Roman" w:hAnsi="Times New Roman" w:cs="Times New Roman"/>
          <w:sz w:val="20"/>
          <w:szCs w:val="20"/>
        </w:rPr>
        <w:t>functi</w:t>
      </w:r>
      <w:r w:rsidR="00ED0492">
        <w:rPr>
          <w:rFonts w:ascii="Times New Roman" w:hAnsi="Times New Roman" w:cs="Times New Roman"/>
          <w:sz w:val="20"/>
          <w:szCs w:val="20"/>
        </w:rPr>
        <w:t>on of their microenvironment</w:t>
      </w:r>
      <w:r w:rsidRPr="00ED0492">
        <w:rPr>
          <w:rFonts w:ascii="Times New Roman" w:hAnsi="Times New Roman" w:cs="Times New Roman"/>
          <w:sz w:val="20"/>
          <w:szCs w:val="20"/>
        </w:rPr>
        <w:t>. DSCs obtained from different sources exhibit various patterns of cell surface markers</w:t>
      </w:r>
      <w:r w:rsidR="009E17B6">
        <w:rPr>
          <w:rFonts w:ascii="Times New Roman" w:hAnsi="Times New Roman" w:cs="Times New Roman"/>
          <w:sz w:val="20"/>
          <w:szCs w:val="20"/>
          <w:vertAlign w:val="superscript"/>
        </w:rPr>
        <w:t>2</w:t>
      </w:r>
      <w:r w:rsidRPr="00ED0492">
        <w:rPr>
          <w:rFonts w:ascii="Times New Roman" w:hAnsi="Times New Roman" w:cs="Times New Roman"/>
          <w:sz w:val="20"/>
          <w:szCs w:val="20"/>
        </w:rPr>
        <w:t xml:space="preserve">. </w:t>
      </w:r>
    </w:p>
    <w:p w:rsidR="00ED0492" w:rsidRDefault="00ED0492" w:rsidP="00C74746">
      <w:pPr>
        <w:pStyle w:val="ListParagraph"/>
        <w:spacing w:after="0" w:line="240" w:lineRule="auto"/>
        <w:ind w:left="360" w:firstLine="360"/>
        <w:jc w:val="both"/>
        <w:rPr>
          <w:rFonts w:ascii="Times New Roman" w:hAnsi="Times New Roman" w:cs="Times New Roman"/>
          <w:sz w:val="20"/>
          <w:szCs w:val="20"/>
        </w:rPr>
      </w:pPr>
      <w:r w:rsidRPr="00ED0492">
        <w:rPr>
          <w:rFonts w:ascii="Times New Roman" w:hAnsi="Times New Roman" w:cs="Times New Roman"/>
          <w:sz w:val="20"/>
          <w:szCs w:val="20"/>
        </w:rPr>
        <w:t>The microenvironment, which is a three-dimensional (3D)</w:t>
      </w:r>
      <w:r>
        <w:rPr>
          <w:rFonts w:ascii="Times New Roman" w:hAnsi="Times New Roman" w:cs="Times New Roman"/>
          <w:sz w:val="20"/>
          <w:szCs w:val="20"/>
        </w:rPr>
        <w:t xml:space="preserve"> </w:t>
      </w:r>
      <w:r w:rsidRPr="00ED0492">
        <w:rPr>
          <w:rFonts w:ascii="Times New Roman" w:hAnsi="Times New Roman" w:cs="Times New Roman"/>
          <w:sz w:val="20"/>
          <w:szCs w:val="20"/>
        </w:rPr>
        <w:t>structure surrounded by specific cells and ECM, protects stem cells from inappropriate</w:t>
      </w:r>
      <w:r>
        <w:rPr>
          <w:rFonts w:ascii="Times New Roman" w:hAnsi="Times New Roman" w:cs="Times New Roman"/>
          <w:sz w:val="20"/>
          <w:szCs w:val="20"/>
        </w:rPr>
        <w:t xml:space="preserve"> </w:t>
      </w:r>
      <w:r w:rsidRPr="00ED0492">
        <w:rPr>
          <w:rFonts w:ascii="Times New Roman" w:hAnsi="Times New Roman" w:cs="Times New Roman"/>
          <w:sz w:val="20"/>
          <w:szCs w:val="20"/>
        </w:rPr>
        <w:t>differentiation, cell damage, and apoptosis and governs tissue maintenance,</w:t>
      </w:r>
      <w:r>
        <w:rPr>
          <w:rFonts w:ascii="Times New Roman" w:hAnsi="Times New Roman" w:cs="Times New Roman"/>
          <w:sz w:val="20"/>
          <w:szCs w:val="20"/>
        </w:rPr>
        <w:t xml:space="preserve"> regeneration, and repair</w:t>
      </w:r>
      <w:r w:rsidRPr="00ED0492">
        <w:rPr>
          <w:rFonts w:ascii="Times New Roman" w:hAnsi="Times New Roman" w:cs="Times New Roman"/>
          <w:sz w:val="20"/>
          <w:szCs w:val="20"/>
        </w:rPr>
        <w:t>. In addition to providing a physical microenvironment for</w:t>
      </w:r>
      <w:r>
        <w:rPr>
          <w:rFonts w:ascii="Times New Roman" w:hAnsi="Times New Roman" w:cs="Times New Roman"/>
          <w:sz w:val="20"/>
          <w:szCs w:val="20"/>
        </w:rPr>
        <w:t xml:space="preserve"> </w:t>
      </w:r>
      <w:r w:rsidRPr="00ED0492">
        <w:rPr>
          <w:rFonts w:ascii="Times New Roman" w:hAnsi="Times New Roman" w:cs="Times New Roman"/>
          <w:sz w:val="20"/>
          <w:szCs w:val="20"/>
        </w:rPr>
        <w:t>cells, the ECM gives the tissue its mechanical properties (elasticity and rigidity),</w:t>
      </w:r>
      <w:r>
        <w:rPr>
          <w:rFonts w:ascii="Times New Roman" w:hAnsi="Times New Roman" w:cs="Times New Roman"/>
          <w:sz w:val="20"/>
          <w:szCs w:val="20"/>
        </w:rPr>
        <w:t xml:space="preserve"> </w:t>
      </w:r>
      <w:r w:rsidRPr="00ED0492">
        <w:rPr>
          <w:rFonts w:ascii="Times New Roman" w:hAnsi="Times New Roman" w:cs="Times New Roman"/>
          <w:sz w:val="20"/>
          <w:szCs w:val="20"/>
        </w:rPr>
        <w:t>provides bioactive molecules and cues to residing cells, and establishes an</w:t>
      </w:r>
      <w:r>
        <w:rPr>
          <w:rFonts w:ascii="Times New Roman" w:hAnsi="Times New Roman" w:cs="Times New Roman"/>
          <w:sz w:val="20"/>
          <w:szCs w:val="20"/>
        </w:rPr>
        <w:t xml:space="preserve"> </w:t>
      </w:r>
      <w:r w:rsidRPr="00ED0492">
        <w:rPr>
          <w:rFonts w:ascii="Times New Roman" w:hAnsi="Times New Roman" w:cs="Times New Roman"/>
          <w:sz w:val="20"/>
          <w:szCs w:val="20"/>
        </w:rPr>
        <w:t>environment to facilitate tissue remodel</w:t>
      </w:r>
      <w:r w:rsidR="00842C1B">
        <w:rPr>
          <w:rFonts w:ascii="Times New Roman" w:hAnsi="Times New Roman" w:cs="Times New Roman"/>
          <w:sz w:val="20"/>
          <w:szCs w:val="20"/>
        </w:rPr>
        <w:t>l</w:t>
      </w:r>
      <w:r w:rsidRPr="00ED0492">
        <w:rPr>
          <w:rFonts w:ascii="Times New Roman" w:hAnsi="Times New Roman" w:cs="Times New Roman"/>
          <w:sz w:val="20"/>
          <w:szCs w:val="20"/>
        </w:rPr>
        <w:t>ing in response to dynamic processes, such as</w:t>
      </w:r>
      <w:r>
        <w:rPr>
          <w:rFonts w:ascii="Times New Roman" w:hAnsi="Times New Roman" w:cs="Times New Roman"/>
          <w:sz w:val="20"/>
          <w:szCs w:val="20"/>
        </w:rPr>
        <w:t xml:space="preserve"> wound healing</w:t>
      </w:r>
      <w:r w:rsidR="004841E7">
        <w:rPr>
          <w:rFonts w:ascii="Times New Roman" w:hAnsi="Times New Roman" w:cs="Times New Roman"/>
          <w:sz w:val="20"/>
          <w:szCs w:val="20"/>
        </w:rPr>
        <w:t>.</w:t>
      </w:r>
      <w:r w:rsidRPr="00ED0492">
        <w:rPr>
          <w:rFonts w:ascii="Times New Roman" w:hAnsi="Times New Roman" w:cs="Times New Roman"/>
          <w:sz w:val="20"/>
          <w:szCs w:val="20"/>
        </w:rPr>
        <w:t xml:space="preserve"> Stem cell behavio</w:t>
      </w:r>
      <w:r w:rsidR="00600EB5">
        <w:rPr>
          <w:rFonts w:ascii="Times New Roman" w:hAnsi="Times New Roman" w:cs="Times New Roman"/>
          <w:sz w:val="20"/>
          <w:szCs w:val="20"/>
        </w:rPr>
        <w:t>u</w:t>
      </w:r>
      <w:r w:rsidRPr="00ED0492">
        <w:rPr>
          <w:rFonts w:ascii="Times New Roman" w:hAnsi="Times New Roman" w:cs="Times New Roman"/>
          <w:sz w:val="20"/>
          <w:szCs w:val="20"/>
        </w:rPr>
        <w:t>rs are reciprocally regulated by</w:t>
      </w:r>
      <w:r>
        <w:rPr>
          <w:rFonts w:ascii="Times New Roman" w:hAnsi="Times New Roman" w:cs="Times New Roman"/>
          <w:sz w:val="20"/>
          <w:szCs w:val="20"/>
        </w:rPr>
        <w:t xml:space="preserve"> </w:t>
      </w:r>
      <w:r w:rsidRPr="00ED0492">
        <w:rPr>
          <w:rFonts w:ascii="Times New Roman" w:hAnsi="Times New Roman" w:cs="Times New Roman"/>
          <w:sz w:val="20"/>
          <w:szCs w:val="20"/>
        </w:rPr>
        <w:t>the ECM and signals from the surrounding c</w:t>
      </w:r>
      <w:r w:rsidR="00600EB5">
        <w:rPr>
          <w:rFonts w:ascii="Times New Roman" w:hAnsi="Times New Roman" w:cs="Times New Roman"/>
          <w:sz w:val="20"/>
          <w:szCs w:val="20"/>
        </w:rPr>
        <w:t>ells and molecules.</w:t>
      </w:r>
      <w:r w:rsidRPr="00D84BED">
        <w:rPr>
          <w:rFonts w:ascii="Times New Roman" w:hAnsi="Times New Roman" w:cs="Times New Roman"/>
          <w:sz w:val="20"/>
          <w:szCs w:val="20"/>
        </w:rPr>
        <w:t xml:space="preserve"> The induction of odontoblasts, the biological cells of neural crest origin that survive throughout life, occurs during tooth development. However, under appropriate conditions, DSCs can differentiate into pre-odontoblasts and later secretory odontoblasts, which actively participate in reactionary dentinogenesis. </w:t>
      </w:r>
    </w:p>
    <w:p w:rsidR="004841E7" w:rsidRDefault="006E185B" w:rsidP="00C74746">
      <w:pPr>
        <w:pStyle w:val="ListParagraph"/>
        <w:spacing w:after="0" w:line="240" w:lineRule="auto"/>
        <w:ind w:left="360" w:firstLine="360"/>
        <w:jc w:val="both"/>
        <w:rPr>
          <w:rFonts w:ascii="Times New Roman" w:hAnsi="Times New Roman" w:cs="Times New Roman"/>
          <w:sz w:val="20"/>
          <w:szCs w:val="20"/>
        </w:rPr>
      </w:pPr>
      <w:r w:rsidRPr="005B6B2C">
        <w:rPr>
          <w:rFonts w:ascii="Times New Roman" w:hAnsi="Times New Roman" w:cs="Times New Roman"/>
          <w:noProof/>
          <w:sz w:val="20"/>
          <w:szCs w:val="20"/>
          <w:lang w:eastAsia="en-IN"/>
        </w:rPr>
        <w:drawing>
          <wp:anchor distT="0" distB="0" distL="114300" distR="114300" simplePos="0" relativeHeight="251668480" behindDoc="0" locked="0" layoutInCell="1" allowOverlap="1" wp14:anchorId="7C528FDA" wp14:editId="06659629">
            <wp:simplePos x="0" y="0"/>
            <wp:positionH relativeFrom="column">
              <wp:posOffset>642620</wp:posOffset>
            </wp:positionH>
            <wp:positionV relativeFrom="paragraph">
              <wp:posOffset>334645</wp:posOffset>
            </wp:positionV>
            <wp:extent cx="4674235" cy="2286000"/>
            <wp:effectExtent l="57150" t="57150" r="107315" b="114300"/>
            <wp:wrapTopAndBottom/>
            <wp:docPr id="10" name="Picture 10" descr="Stem cells in dentistry – Part I: Stem cell sourc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 cells in dentistry – Part I: Stem cell sources - ScienceDi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4235" cy="2286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841E7" w:rsidRPr="004841E7" w:rsidRDefault="005B6B2C" w:rsidP="00C74746">
      <w:pPr>
        <w:pStyle w:val="ListParagraph"/>
        <w:spacing w:after="0" w:line="240" w:lineRule="auto"/>
        <w:ind w:left="360" w:firstLine="360"/>
        <w:jc w:val="both"/>
        <w:rPr>
          <w:rFonts w:ascii="Times New Roman" w:hAnsi="Times New Roman" w:cs="Times New Roman"/>
          <w:sz w:val="20"/>
          <w:szCs w:val="20"/>
        </w:rPr>
      </w:pPr>
      <w:r>
        <w:rPr>
          <w:rFonts w:ascii="Times New Roman" w:hAnsi="Times New Roman" w:cs="Times New Roman"/>
          <w:b/>
          <w:sz w:val="20"/>
          <w:szCs w:val="20"/>
        </w:rPr>
        <w:t xml:space="preserve">         </w:t>
      </w:r>
      <w:r w:rsidR="004841E7" w:rsidRPr="004E3810">
        <w:rPr>
          <w:rFonts w:ascii="Times New Roman" w:hAnsi="Times New Roman" w:cs="Times New Roman"/>
          <w:b/>
          <w:sz w:val="20"/>
          <w:szCs w:val="20"/>
        </w:rPr>
        <w:t xml:space="preserve"> Figure 2</w:t>
      </w:r>
      <w:r w:rsidR="004841E7">
        <w:rPr>
          <w:rFonts w:ascii="Times New Roman" w:hAnsi="Times New Roman" w:cs="Times New Roman"/>
          <w:sz w:val="20"/>
          <w:szCs w:val="20"/>
        </w:rPr>
        <w:t>: Different sources of</w:t>
      </w:r>
      <w:r w:rsidR="004841E7" w:rsidRPr="004841E7">
        <w:rPr>
          <w:rFonts w:ascii="Times New Roman" w:hAnsi="Times New Roman" w:cs="Times New Roman"/>
          <w:sz w:val="20"/>
          <w:szCs w:val="20"/>
        </w:rPr>
        <w:t xml:space="preserve"> dental stem cells</w:t>
      </w:r>
    </w:p>
    <w:p w:rsidR="004841E7" w:rsidRPr="00D84BED" w:rsidRDefault="004841E7" w:rsidP="00C74746">
      <w:pPr>
        <w:pStyle w:val="ListParagraph"/>
        <w:spacing w:after="0" w:line="240" w:lineRule="auto"/>
        <w:ind w:left="360" w:firstLine="360"/>
        <w:jc w:val="both"/>
        <w:rPr>
          <w:rFonts w:ascii="Times New Roman" w:hAnsi="Times New Roman" w:cs="Times New Roman"/>
          <w:sz w:val="20"/>
          <w:szCs w:val="20"/>
        </w:rPr>
      </w:pPr>
    </w:p>
    <w:p w:rsidR="00ED0492" w:rsidRDefault="0096024C" w:rsidP="00C74746">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Growth factors – </w:t>
      </w:r>
    </w:p>
    <w:p w:rsidR="0096024C" w:rsidRDefault="002C49DF" w:rsidP="00C74746">
      <w:pPr>
        <w:pStyle w:val="ListParagraph"/>
        <w:spacing w:after="0" w:line="240" w:lineRule="auto"/>
        <w:ind w:left="360" w:firstLine="360"/>
        <w:jc w:val="both"/>
        <w:rPr>
          <w:rFonts w:ascii="Times New Roman" w:hAnsi="Times New Roman" w:cs="Times New Roman"/>
          <w:sz w:val="20"/>
          <w:szCs w:val="20"/>
        </w:rPr>
      </w:pPr>
      <w:r w:rsidRPr="002C49DF">
        <w:rPr>
          <w:rFonts w:ascii="Times New Roman" w:hAnsi="Times New Roman" w:cs="Times New Roman"/>
          <w:sz w:val="20"/>
          <w:szCs w:val="20"/>
        </w:rPr>
        <w:t xml:space="preserve">Growth factors (GFs) are molecules capable of stimulating a variety </w:t>
      </w:r>
      <w:r>
        <w:rPr>
          <w:rFonts w:ascii="Times New Roman" w:hAnsi="Times New Roman" w:cs="Times New Roman"/>
          <w:sz w:val="20"/>
          <w:szCs w:val="20"/>
        </w:rPr>
        <w:t xml:space="preserve">of cellular processes including </w:t>
      </w:r>
      <w:r w:rsidRPr="002C49DF">
        <w:rPr>
          <w:rFonts w:ascii="Times New Roman" w:hAnsi="Times New Roman" w:cs="Times New Roman"/>
          <w:sz w:val="20"/>
          <w:szCs w:val="20"/>
        </w:rPr>
        <w:t>cell proliferation, migration, differentiation and multicellular morphogenesis during development</w:t>
      </w:r>
      <w:r>
        <w:rPr>
          <w:rFonts w:ascii="Times New Roman" w:hAnsi="Times New Roman" w:cs="Times New Roman"/>
          <w:sz w:val="20"/>
          <w:szCs w:val="20"/>
        </w:rPr>
        <w:t xml:space="preserve"> </w:t>
      </w:r>
      <w:r w:rsidRPr="002C49DF">
        <w:rPr>
          <w:rFonts w:ascii="Times New Roman" w:hAnsi="Times New Roman" w:cs="Times New Roman"/>
          <w:sz w:val="20"/>
          <w:szCs w:val="20"/>
        </w:rPr>
        <w:t>and tissue healing.</w:t>
      </w:r>
      <w:r w:rsidR="00600EB5">
        <w:rPr>
          <w:rFonts w:ascii="Times New Roman" w:hAnsi="Times New Roman" w:cs="Times New Roman"/>
          <w:sz w:val="20"/>
          <w:szCs w:val="20"/>
        </w:rPr>
        <w:t xml:space="preserve"> </w:t>
      </w:r>
      <w:r w:rsidR="0096024C" w:rsidRPr="002C49DF">
        <w:rPr>
          <w:rFonts w:ascii="Times New Roman" w:hAnsi="Times New Roman" w:cs="Times New Roman"/>
          <w:sz w:val="20"/>
          <w:szCs w:val="20"/>
        </w:rPr>
        <w:t xml:space="preserve">Growth factors are an important component of tissue engineering as they can provide a large number of biological signalling molecules to a given microenvironment, mobilize seed cells and peripheral cells </w:t>
      </w:r>
      <w:r w:rsidR="0096024C" w:rsidRPr="005B6B2C">
        <w:rPr>
          <w:rFonts w:ascii="Times New Roman" w:hAnsi="Times New Roman" w:cs="Times New Roman"/>
          <w:i/>
          <w:sz w:val="20"/>
          <w:szCs w:val="20"/>
        </w:rPr>
        <w:t>in vivo</w:t>
      </w:r>
      <w:r w:rsidR="0096024C" w:rsidRPr="002C49DF">
        <w:rPr>
          <w:rFonts w:ascii="Times New Roman" w:hAnsi="Times New Roman" w:cs="Times New Roman"/>
          <w:sz w:val="20"/>
          <w:szCs w:val="20"/>
        </w:rPr>
        <w:t xml:space="preserve"> to adapt quickly to the implantation bed’s environment, and activate tissue repair. With the aim of improving and streamlining the preparation methods, platelet-rich fibrin (PRF) was developed as a source of autogenous blood-derived growth factor concentrate that could be prepared without the addition of thrombin. </w:t>
      </w:r>
      <w:r w:rsidR="00035332" w:rsidRPr="002C49DF">
        <w:rPr>
          <w:rFonts w:ascii="Times New Roman" w:hAnsi="Times New Roman" w:cs="Times New Roman"/>
          <w:sz w:val="20"/>
          <w:szCs w:val="20"/>
        </w:rPr>
        <w:t>Growth factors play an important role in regeneration, both naturally and therapeutically. Numerous polypeptide growth factors bind heparin with high affinity, and this binding activity is important in sequestering growth factors in the extracellular matrix (ECM), serving to localize growth factor activity, to prevent growth factor degradation, and in some cases enhancing binding to cell surface receptors</w:t>
      </w:r>
      <w:r w:rsidR="009E17B6">
        <w:rPr>
          <w:rFonts w:ascii="Times New Roman" w:hAnsi="Times New Roman" w:cs="Times New Roman"/>
          <w:sz w:val="20"/>
          <w:szCs w:val="20"/>
          <w:vertAlign w:val="superscript"/>
        </w:rPr>
        <w:t>4</w:t>
      </w:r>
      <w:r w:rsidR="00035332" w:rsidRPr="002C49DF">
        <w:rPr>
          <w:rFonts w:ascii="Times New Roman" w:hAnsi="Times New Roman" w:cs="Times New Roman"/>
          <w:sz w:val="20"/>
          <w:szCs w:val="20"/>
        </w:rPr>
        <w:t xml:space="preserve">. </w:t>
      </w:r>
    </w:p>
    <w:p w:rsidR="002C49DF" w:rsidRDefault="002C49DF" w:rsidP="00C74746">
      <w:pPr>
        <w:pStyle w:val="ListParagraph"/>
        <w:spacing w:after="0" w:line="240" w:lineRule="auto"/>
        <w:ind w:left="360" w:firstLine="360"/>
        <w:jc w:val="both"/>
        <w:rPr>
          <w:rFonts w:ascii="Times New Roman" w:hAnsi="Times New Roman" w:cs="Times New Roman"/>
          <w:sz w:val="20"/>
          <w:szCs w:val="20"/>
        </w:rPr>
      </w:pPr>
      <w:r w:rsidRPr="002C49DF">
        <w:rPr>
          <w:rFonts w:ascii="Times New Roman" w:hAnsi="Times New Roman" w:cs="Times New Roman"/>
          <w:sz w:val="20"/>
          <w:szCs w:val="20"/>
        </w:rPr>
        <w:t xml:space="preserve">More recently these bio-molecules </w:t>
      </w:r>
      <w:r w:rsidR="00A861BE">
        <w:rPr>
          <w:rFonts w:ascii="Times New Roman" w:hAnsi="Times New Roman" w:cs="Times New Roman"/>
          <w:sz w:val="20"/>
          <w:szCs w:val="20"/>
        </w:rPr>
        <w:t xml:space="preserve">have been directly incorporated </w:t>
      </w:r>
      <w:r w:rsidRPr="00A861BE">
        <w:rPr>
          <w:rFonts w:ascii="Times New Roman" w:hAnsi="Times New Roman" w:cs="Times New Roman"/>
          <w:sz w:val="20"/>
          <w:szCs w:val="20"/>
        </w:rPr>
        <w:t>within the scaffold structure or into the scaffold biomaterial in a variety of</w:t>
      </w:r>
      <w:r w:rsidR="00A861BE">
        <w:rPr>
          <w:rFonts w:ascii="Times New Roman" w:hAnsi="Times New Roman" w:cs="Times New Roman"/>
          <w:sz w:val="20"/>
          <w:szCs w:val="20"/>
        </w:rPr>
        <w:t xml:space="preserve"> </w:t>
      </w:r>
      <w:r w:rsidRPr="00A861BE">
        <w:rPr>
          <w:rFonts w:ascii="Times New Roman" w:hAnsi="Times New Roman" w:cs="Times New Roman"/>
          <w:sz w:val="20"/>
          <w:szCs w:val="20"/>
        </w:rPr>
        <w:t>ways. Soluble growth factors can be directly encapsulated or incorporated</w:t>
      </w:r>
      <w:r w:rsidR="00A861BE">
        <w:rPr>
          <w:rFonts w:ascii="Times New Roman" w:hAnsi="Times New Roman" w:cs="Times New Roman"/>
          <w:sz w:val="20"/>
          <w:szCs w:val="20"/>
        </w:rPr>
        <w:t xml:space="preserve"> </w:t>
      </w:r>
      <w:r w:rsidRPr="00A861BE">
        <w:rPr>
          <w:rFonts w:ascii="Times New Roman" w:hAnsi="Times New Roman" w:cs="Times New Roman"/>
          <w:sz w:val="20"/>
          <w:szCs w:val="20"/>
        </w:rPr>
        <w:t xml:space="preserve">during the scaffold fabrication </w:t>
      </w:r>
      <w:r w:rsidR="004841E7">
        <w:rPr>
          <w:rFonts w:ascii="Times New Roman" w:hAnsi="Times New Roman" w:cs="Times New Roman"/>
          <w:sz w:val="20"/>
          <w:szCs w:val="20"/>
        </w:rPr>
        <w:t>process</w:t>
      </w:r>
      <w:r w:rsidR="00775C70">
        <w:rPr>
          <w:rFonts w:ascii="Times New Roman" w:hAnsi="Times New Roman" w:cs="Times New Roman"/>
          <w:sz w:val="20"/>
          <w:szCs w:val="20"/>
        </w:rPr>
        <w:t>.</w:t>
      </w:r>
      <w:r w:rsidR="00A861BE" w:rsidRPr="00A861BE">
        <w:rPr>
          <w:rFonts w:ascii="Times New Roman" w:hAnsi="Times New Roman" w:cs="Times New Roman"/>
          <w:sz w:val="20"/>
          <w:szCs w:val="20"/>
        </w:rPr>
        <w:t xml:space="preserve"> A widely used method of growth factor delivery in</w:t>
      </w:r>
      <w:r w:rsidR="00A861BE">
        <w:rPr>
          <w:rFonts w:ascii="Times New Roman" w:hAnsi="Times New Roman" w:cs="Times New Roman"/>
          <w:sz w:val="20"/>
          <w:szCs w:val="20"/>
        </w:rPr>
        <w:t xml:space="preserve"> </w:t>
      </w:r>
      <w:r w:rsidR="00A861BE" w:rsidRPr="00A861BE">
        <w:rPr>
          <w:rFonts w:ascii="Times New Roman" w:hAnsi="Times New Roman" w:cs="Times New Roman"/>
          <w:sz w:val="20"/>
          <w:szCs w:val="20"/>
        </w:rPr>
        <w:t xml:space="preserve">tissue </w:t>
      </w:r>
      <w:r w:rsidR="00A861BE" w:rsidRPr="00A861BE">
        <w:rPr>
          <w:rFonts w:ascii="Times New Roman" w:hAnsi="Times New Roman" w:cs="Times New Roman"/>
          <w:sz w:val="20"/>
          <w:szCs w:val="20"/>
        </w:rPr>
        <w:lastRenderedPageBreak/>
        <w:t>engineering has been simple physical adsorption of biomolecules on</w:t>
      </w:r>
      <w:r w:rsidR="00A861BE">
        <w:rPr>
          <w:rFonts w:ascii="Times New Roman" w:hAnsi="Times New Roman" w:cs="Times New Roman"/>
          <w:sz w:val="20"/>
          <w:szCs w:val="20"/>
        </w:rPr>
        <w:t xml:space="preserve"> </w:t>
      </w:r>
      <w:r w:rsidR="00A861BE" w:rsidRPr="00A861BE">
        <w:rPr>
          <w:rFonts w:ascii="Times New Roman" w:hAnsi="Times New Roman" w:cs="Times New Roman"/>
          <w:sz w:val="20"/>
          <w:szCs w:val="20"/>
        </w:rPr>
        <w:t>the biomaterial or scaffold surface. The growth factors act by binding to the extracellular domain of a target</w:t>
      </w:r>
      <w:r w:rsidR="00A861BE">
        <w:rPr>
          <w:rFonts w:ascii="Times New Roman" w:hAnsi="Times New Roman" w:cs="Times New Roman"/>
          <w:sz w:val="20"/>
          <w:szCs w:val="20"/>
        </w:rPr>
        <w:t xml:space="preserve"> </w:t>
      </w:r>
      <w:r w:rsidR="00A861BE" w:rsidRPr="00A861BE">
        <w:rPr>
          <w:rFonts w:ascii="Times New Roman" w:hAnsi="Times New Roman" w:cs="Times New Roman"/>
          <w:sz w:val="20"/>
          <w:szCs w:val="20"/>
        </w:rPr>
        <w:t>growth factor receptor, which in turn activates intracellular signal transduction</w:t>
      </w:r>
      <w:r w:rsidR="00A861BE">
        <w:rPr>
          <w:rFonts w:ascii="Times New Roman" w:hAnsi="Times New Roman" w:cs="Times New Roman"/>
          <w:sz w:val="20"/>
          <w:szCs w:val="20"/>
        </w:rPr>
        <w:t xml:space="preserve"> </w:t>
      </w:r>
      <w:r w:rsidR="00A861BE" w:rsidRPr="00A861BE">
        <w:rPr>
          <w:rFonts w:ascii="Times New Roman" w:hAnsi="Times New Roman" w:cs="Times New Roman"/>
          <w:sz w:val="20"/>
          <w:szCs w:val="20"/>
        </w:rPr>
        <w:t>pathways. Many growth factors, such as bone morphogenetic protein (BMP),</w:t>
      </w:r>
      <w:r w:rsidR="00A861BE">
        <w:rPr>
          <w:rFonts w:ascii="Times New Roman" w:hAnsi="Times New Roman" w:cs="Times New Roman"/>
          <w:sz w:val="20"/>
          <w:szCs w:val="20"/>
        </w:rPr>
        <w:t xml:space="preserve"> </w:t>
      </w:r>
      <w:r w:rsidR="00A861BE" w:rsidRPr="00A861BE">
        <w:rPr>
          <w:rFonts w:ascii="Times New Roman" w:hAnsi="Times New Roman" w:cs="Times New Roman"/>
          <w:sz w:val="20"/>
          <w:szCs w:val="20"/>
        </w:rPr>
        <w:t>transforming growth factors (TGF), fibroblast growth factor (FGF) and</w:t>
      </w:r>
      <w:r w:rsidR="00A861BE">
        <w:rPr>
          <w:rFonts w:ascii="Times New Roman" w:hAnsi="Times New Roman" w:cs="Times New Roman"/>
          <w:sz w:val="20"/>
          <w:szCs w:val="20"/>
        </w:rPr>
        <w:t xml:space="preserve"> </w:t>
      </w:r>
      <w:r w:rsidR="00A861BE" w:rsidRPr="00A861BE">
        <w:rPr>
          <w:rFonts w:ascii="Times New Roman" w:hAnsi="Times New Roman" w:cs="Times New Roman"/>
          <w:sz w:val="20"/>
          <w:szCs w:val="20"/>
        </w:rPr>
        <w:t>vascular endothelial growth factor (VEGF), have been found to be expressed</w:t>
      </w:r>
      <w:r w:rsidR="00A861BE">
        <w:rPr>
          <w:rFonts w:ascii="Times New Roman" w:hAnsi="Times New Roman" w:cs="Times New Roman"/>
          <w:sz w:val="20"/>
          <w:szCs w:val="20"/>
        </w:rPr>
        <w:t xml:space="preserve"> </w:t>
      </w:r>
      <w:r w:rsidR="00A861BE" w:rsidRPr="00A861BE">
        <w:rPr>
          <w:rFonts w:ascii="Times New Roman" w:hAnsi="Times New Roman" w:cs="Times New Roman"/>
          <w:sz w:val="20"/>
          <w:szCs w:val="20"/>
        </w:rPr>
        <w:t>during tooth formation and repair</w:t>
      </w:r>
      <w:r w:rsidR="009E17B6">
        <w:rPr>
          <w:rFonts w:ascii="Times New Roman" w:hAnsi="Times New Roman" w:cs="Times New Roman"/>
          <w:sz w:val="20"/>
          <w:szCs w:val="20"/>
          <w:vertAlign w:val="superscript"/>
        </w:rPr>
        <w:t>5</w:t>
      </w:r>
      <w:r w:rsidR="00A861BE">
        <w:rPr>
          <w:rFonts w:ascii="Times New Roman" w:hAnsi="Times New Roman" w:cs="Times New Roman"/>
          <w:sz w:val="20"/>
          <w:szCs w:val="20"/>
        </w:rPr>
        <w:t xml:space="preserve">. </w:t>
      </w:r>
    </w:p>
    <w:p w:rsidR="00C74746" w:rsidRDefault="00C74746" w:rsidP="00C74746">
      <w:pPr>
        <w:pStyle w:val="ListParagraph"/>
        <w:spacing w:after="0" w:line="240" w:lineRule="auto"/>
        <w:ind w:left="360" w:firstLine="360"/>
        <w:jc w:val="both"/>
        <w:rPr>
          <w:rFonts w:ascii="Times New Roman" w:hAnsi="Times New Roman" w:cs="Times New Roman"/>
          <w:sz w:val="20"/>
          <w:szCs w:val="20"/>
        </w:rPr>
      </w:pPr>
    </w:p>
    <w:p w:rsidR="00A861BE" w:rsidRDefault="00A861BE" w:rsidP="00C74746">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Scaffolds – </w:t>
      </w:r>
    </w:p>
    <w:p w:rsidR="00A861BE" w:rsidRDefault="00A861BE" w:rsidP="00C74746">
      <w:pPr>
        <w:pStyle w:val="ListParagraph"/>
        <w:spacing w:after="0" w:line="240" w:lineRule="auto"/>
        <w:ind w:left="360" w:firstLine="360"/>
        <w:jc w:val="both"/>
        <w:rPr>
          <w:rFonts w:ascii="Times New Roman" w:hAnsi="Times New Roman" w:cs="Times New Roman"/>
          <w:sz w:val="20"/>
          <w:szCs w:val="20"/>
        </w:rPr>
      </w:pPr>
      <w:r w:rsidRPr="00A861BE">
        <w:rPr>
          <w:rFonts w:ascii="Times New Roman" w:hAnsi="Times New Roman" w:cs="Times New Roman"/>
          <w:sz w:val="20"/>
          <w:szCs w:val="20"/>
        </w:rPr>
        <w:t>For the creation of an autologous imp</w:t>
      </w:r>
      <w:r>
        <w:rPr>
          <w:rFonts w:ascii="Times New Roman" w:hAnsi="Times New Roman" w:cs="Times New Roman"/>
          <w:sz w:val="20"/>
          <w:szCs w:val="20"/>
        </w:rPr>
        <w:t xml:space="preserve">lant, donor tissue is harvested </w:t>
      </w:r>
      <w:r w:rsidRPr="00A861BE">
        <w:rPr>
          <w:rFonts w:ascii="Times New Roman" w:hAnsi="Times New Roman" w:cs="Times New Roman"/>
          <w:sz w:val="20"/>
          <w:szCs w:val="20"/>
        </w:rPr>
        <w:t>and dissociated into individual cells, and the cells are attached and cultured</w:t>
      </w:r>
      <w:r>
        <w:rPr>
          <w:rFonts w:ascii="Times New Roman" w:hAnsi="Times New Roman" w:cs="Times New Roman"/>
          <w:sz w:val="20"/>
          <w:szCs w:val="20"/>
        </w:rPr>
        <w:t xml:space="preserve"> </w:t>
      </w:r>
      <w:r w:rsidRPr="00A861BE">
        <w:rPr>
          <w:rFonts w:ascii="Times New Roman" w:hAnsi="Times New Roman" w:cs="Times New Roman"/>
          <w:sz w:val="20"/>
          <w:szCs w:val="20"/>
        </w:rPr>
        <w:t>onto a proper substrate that is ultimately implanted back at the desired site of</w:t>
      </w:r>
      <w:r>
        <w:rPr>
          <w:rFonts w:ascii="Times New Roman" w:hAnsi="Times New Roman" w:cs="Times New Roman"/>
          <w:sz w:val="20"/>
          <w:szCs w:val="20"/>
        </w:rPr>
        <w:t xml:space="preserve"> </w:t>
      </w:r>
      <w:r w:rsidRPr="00A861BE">
        <w:rPr>
          <w:rFonts w:ascii="Times New Roman" w:hAnsi="Times New Roman" w:cs="Times New Roman"/>
          <w:sz w:val="20"/>
          <w:szCs w:val="20"/>
        </w:rPr>
        <w:t>the functioning tissue. Because many isolated cell populations can be</w:t>
      </w:r>
      <w:r>
        <w:rPr>
          <w:rFonts w:ascii="Times New Roman" w:hAnsi="Times New Roman" w:cs="Times New Roman"/>
          <w:sz w:val="20"/>
          <w:szCs w:val="20"/>
        </w:rPr>
        <w:t xml:space="preserve"> </w:t>
      </w:r>
      <w:r w:rsidRPr="00A861BE">
        <w:rPr>
          <w:rFonts w:ascii="Times New Roman" w:hAnsi="Times New Roman" w:cs="Times New Roman"/>
          <w:sz w:val="20"/>
          <w:szCs w:val="20"/>
        </w:rPr>
        <w:t xml:space="preserve">expanded </w:t>
      </w:r>
      <w:r w:rsidRPr="005B6B2C">
        <w:rPr>
          <w:rFonts w:ascii="Times New Roman" w:hAnsi="Times New Roman" w:cs="Times New Roman"/>
          <w:i/>
          <w:sz w:val="20"/>
          <w:szCs w:val="20"/>
        </w:rPr>
        <w:t>in</w:t>
      </w:r>
      <w:r w:rsidR="005B6B2C" w:rsidRPr="005B6B2C">
        <w:rPr>
          <w:rFonts w:ascii="Times New Roman" w:hAnsi="Times New Roman" w:cs="Times New Roman"/>
          <w:i/>
          <w:sz w:val="20"/>
          <w:szCs w:val="20"/>
        </w:rPr>
        <w:t xml:space="preserve"> </w:t>
      </w:r>
      <w:r w:rsidRPr="005B6B2C">
        <w:rPr>
          <w:rFonts w:ascii="Times New Roman" w:hAnsi="Times New Roman" w:cs="Times New Roman"/>
          <w:i/>
          <w:sz w:val="20"/>
          <w:szCs w:val="20"/>
        </w:rPr>
        <w:t>vitro</w:t>
      </w:r>
      <w:r w:rsidRPr="00A861BE">
        <w:rPr>
          <w:rFonts w:ascii="Times New Roman" w:hAnsi="Times New Roman" w:cs="Times New Roman"/>
          <w:sz w:val="20"/>
          <w:szCs w:val="20"/>
        </w:rPr>
        <w:t xml:space="preserve"> using cell culture techniques, only a very small number of</w:t>
      </w:r>
      <w:r>
        <w:rPr>
          <w:rFonts w:ascii="Times New Roman" w:hAnsi="Times New Roman" w:cs="Times New Roman"/>
          <w:sz w:val="20"/>
          <w:szCs w:val="20"/>
        </w:rPr>
        <w:t xml:space="preserve"> </w:t>
      </w:r>
      <w:r w:rsidRPr="00A861BE">
        <w:rPr>
          <w:rFonts w:ascii="Times New Roman" w:hAnsi="Times New Roman" w:cs="Times New Roman"/>
          <w:sz w:val="20"/>
          <w:szCs w:val="20"/>
        </w:rPr>
        <w:t>donor cells may be needed to prepare such implants. However, it is believed</w:t>
      </w:r>
      <w:r>
        <w:rPr>
          <w:rFonts w:ascii="Times New Roman" w:hAnsi="Times New Roman" w:cs="Times New Roman"/>
          <w:sz w:val="20"/>
          <w:szCs w:val="20"/>
        </w:rPr>
        <w:t xml:space="preserve"> </w:t>
      </w:r>
      <w:r w:rsidRPr="00A861BE">
        <w:rPr>
          <w:rFonts w:ascii="Times New Roman" w:hAnsi="Times New Roman" w:cs="Times New Roman"/>
          <w:sz w:val="20"/>
          <w:szCs w:val="20"/>
        </w:rPr>
        <w:t>that isolated cells cannot form new tissues by themselves. Most primary organ cells are believed to be anchorage-dependent and require specific</w:t>
      </w:r>
      <w:r>
        <w:rPr>
          <w:rFonts w:ascii="Times New Roman" w:hAnsi="Times New Roman" w:cs="Times New Roman"/>
          <w:sz w:val="20"/>
          <w:szCs w:val="20"/>
        </w:rPr>
        <w:t xml:space="preserve"> </w:t>
      </w:r>
      <w:r w:rsidRPr="00A861BE">
        <w:rPr>
          <w:rFonts w:ascii="Times New Roman" w:hAnsi="Times New Roman" w:cs="Times New Roman"/>
          <w:sz w:val="20"/>
          <w:szCs w:val="20"/>
        </w:rPr>
        <w:t>environments that very often include the presence of a supporting material to</w:t>
      </w:r>
      <w:r>
        <w:rPr>
          <w:rFonts w:ascii="Times New Roman" w:hAnsi="Times New Roman" w:cs="Times New Roman"/>
          <w:sz w:val="20"/>
          <w:szCs w:val="20"/>
        </w:rPr>
        <w:t xml:space="preserve"> </w:t>
      </w:r>
      <w:r w:rsidRPr="00A861BE">
        <w:rPr>
          <w:rFonts w:ascii="Times New Roman" w:hAnsi="Times New Roman" w:cs="Times New Roman"/>
          <w:sz w:val="20"/>
          <w:szCs w:val="20"/>
        </w:rPr>
        <w:t>act as a temp</w:t>
      </w:r>
      <w:r w:rsidR="00775C70">
        <w:rPr>
          <w:rFonts w:ascii="Times New Roman" w:hAnsi="Times New Roman" w:cs="Times New Roman"/>
          <w:sz w:val="20"/>
          <w:szCs w:val="20"/>
        </w:rPr>
        <w:t>late for growth</w:t>
      </w:r>
      <w:r w:rsidR="00792121">
        <w:rPr>
          <w:rFonts w:ascii="Times New Roman" w:hAnsi="Times New Roman" w:cs="Times New Roman"/>
          <w:sz w:val="20"/>
          <w:szCs w:val="20"/>
          <w:vertAlign w:val="superscript"/>
        </w:rPr>
        <w:t>5</w:t>
      </w:r>
      <w:r w:rsidR="00775C70">
        <w:rPr>
          <w:rFonts w:ascii="Times New Roman" w:hAnsi="Times New Roman" w:cs="Times New Roman"/>
          <w:sz w:val="20"/>
          <w:szCs w:val="20"/>
        </w:rPr>
        <w:t xml:space="preserve">. </w:t>
      </w:r>
    </w:p>
    <w:p w:rsidR="003B7E50" w:rsidRDefault="00A861BE" w:rsidP="00C74746">
      <w:pPr>
        <w:pStyle w:val="ListParagraph"/>
        <w:spacing w:after="0" w:line="240" w:lineRule="auto"/>
        <w:ind w:left="360" w:firstLine="360"/>
        <w:jc w:val="both"/>
        <w:rPr>
          <w:rFonts w:ascii="Times New Roman" w:hAnsi="Times New Roman" w:cs="Times New Roman"/>
          <w:sz w:val="20"/>
          <w:szCs w:val="20"/>
        </w:rPr>
      </w:pPr>
      <w:r w:rsidRPr="00A861BE">
        <w:rPr>
          <w:rFonts w:ascii="Times New Roman" w:hAnsi="Times New Roman" w:cs="Times New Roman"/>
          <w:sz w:val="20"/>
          <w:szCs w:val="20"/>
        </w:rPr>
        <w:t>In most native tissues, cells are contained within a tissue spe</w:t>
      </w:r>
      <w:r>
        <w:rPr>
          <w:rFonts w:ascii="Times New Roman" w:hAnsi="Times New Roman" w:cs="Times New Roman"/>
          <w:sz w:val="20"/>
          <w:szCs w:val="20"/>
        </w:rPr>
        <w:t xml:space="preserve">cific, </w:t>
      </w:r>
      <w:r w:rsidRPr="00A861BE">
        <w:rPr>
          <w:rFonts w:ascii="Times New Roman" w:hAnsi="Times New Roman" w:cs="Times New Roman"/>
          <w:sz w:val="20"/>
          <w:szCs w:val="20"/>
        </w:rPr>
        <w:t>three-dimensional (3-D) extracellular matrix (ECM), which comprises a</w:t>
      </w:r>
      <w:r>
        <w:rPr>
          <w:rFonts w:ascii="Times New Roman" w:hAnsi="Times New Roman" w:cs="Times New Roman"/>
          <w:sz w:val="20"/>
          <w:szCs w:val="20"/>
        </w:rPr>
        <w:t xml:space="preserve"> </w:t>
      </w:r>
      <w:r w:rsidRPr="00A861BE">
        <w:rPr>
          <w:rFonts w:ascii="Times New Roman" w:hAnsi="Times New Roman" w:cs="Times New Roman"/>
          <w:sz w:val="20"/>
          <w:szCs w:val="20"/>
        </w:rPr>
        <w:t>complex network of nanoscale fibres forming highly structured local</w:t>
      </w:r>
      <w:r>
        <w:rPr>
          <w:rFonts w:ascii="Times New Roman" w:hAnsi="Times New Roman" w:cs="Times New Roman"/>
          <w:sz w:val="20"/>
          <w:szCs w:val="20"/>
        </w:rPr>
        <w:t xml:space="preserve"> </w:t>
      </w:r>
      <w:r w:rsidRPr="00A861BE">
        <w:rPr>
          <w:rFonts w:ascii="Times New Roman" w:hAnsi="Times New Roman" w:cs="Times New Roman"/>
          <w:sz w:val="20"/>
          <w:szCs w:val="20"/>
        </w:rPr>
        <w:t>microenvironments. Cellular communication, transport of oxygen and</w:t>
      </w:r>
      <w:r>
        <w:rPr>
          <w:rFonts w:ascii="Times New Roman" w:hAnsi="Times New Roman" w:cs="Times New Roman"/>
          <w:sz w:val="20"/>
          <w:szCs w:val="20"/>
        </w:rPr>
        <w:t xml:space="preserve"> </w:t>
      </w:r>
      <w:r w:rsidRPr="00A861BE">
        <w:rPr>
          <w:rFonts w:ascii="Times New Roman" w:hAnsi="Times New Roman" w:cs="Times New Roman"/>
          <w:sz w:val="20"/>
          <w:szCs w:val="20"/>
        </w:rPr>
        <w:t>nutrients, removal of wastes and cellular metabolism require such an</w:t>
      </w:r>
      <w:r>
        <w:rPr>
          <w:rFonts w:ascii="Times New Roman" w:hAnsi="Times New Roman" w:cs="Times New Roman"/>
          <w:sz w:val="20"/>
          <w:szCs w:val="20"/>
        </w:rPr>
        <w:t xml:space="preserve"> </w:t>
      </w:r>
      <w:r w:rsidRPr="00A861BE">
        <w:rPr>
          <w:rFonts w:ascii="Times New Roman" w:hAnsi="Times New Roman" w:cs="Times New Roman"/>
          <w:sz w:val="20"/>
          <w:szCs w:val="20"/>
        </w:rPr>
        <w:t>environment, where cellular orientation can be polarized and movement of</w:t>
      </w:r>
      <w:r>
        <w:rPr>
          <w:rFonts w:ascii="Times New Roman" w:hAnsi="Times New Roman" w:cs="Times New Roman"/>
          <w:sz w:val="20"/>
          <w:szCs w:val="20"/>
        </w:rPr>
        <w:t xml:space="preserve"> </w:t>
      </w:r>
      <w:r w:rsidRPr="00A861BE">
        <w:rPr>
          <w:rFonts w:ascii="Times New Roman" w:hAnsi="Times New Roman" w:cs="Times New Roman"/>
          <w:sz w:val="20"/>
          <w:szCs w:val="20"/>
        </w:rPr>
        <w:t>contents can be directional. Hence, in tissue engineering, a 3-D framework is</w:t>
      </w:r>
      <w:r>
        <w:rPr>
          <w:rFonts w:ascii="Times New Roman" w:hAnsi="Times New Roman" w:cs="Times New Roman"/>
          <w:sz w:val="20"/>
          <w:szCs w:val="20"/>
        </w:rPr>
        <w:t xml:space="preserve"> </w:t>
      </w:r>
      <w:r w:rsidRPr="00A861BE">
        <w:rPr>
          <w:rFonts w:ascii="Times New Roman" w:hAnsi="Times New Roman" w:cs="Times New Roman"/>
          <w:sz w:val="20"/>
          <w:szCs w:val="20"/>
        </w:rPr>
        <w:t>needed to organize the cells into a higher ordered assembly so as to achieve</w:t>
      </w:r>
      <w:r>
        <w:rPr>
          <w:rFonts w:ascii="Times New Roman" w:hAnsi="Times New Roman" w:cs="Times New Roman"/>
          <w:sz w:val="20"/>
          <w:szCs w:val="20"/>
        </w:rPr>
        <w:t xml:space="preserve"> </w:t>
      </w:r>
      <w:r w:rsidRPr="00A861BE">
        <w:rPr>
          <w:rFonts w:ascii="Times New Roman" w:hAnsi="Times New Roman" w:cs="Times New Roman"/>
          <w:sz w:val="20"/>
          <w:szCs w:val="20"/>
        </w:rPr>
        <w:t xml:space="preserve">the desired tissue function. </w:t>
      </w:r>
      <w:r w:rsidR="00775C70">
        <w:rPr>
          <w:rFonts w:ascii="Times New Roman" w:hAnsi="Times New Roman" w:cs="Times New Roman"/>
          <w:sz w:val="20"/>
          <w:szCs w:val="20"/>
        </w:rPr>
        <w:t>S</w:t>
      </w:r>
      <w:r w:rsidRPr="00A861BE">
        <w:rPr>
          <w:rFonts w:ascii="Times New Roman" w:hAnsi="Times New Roman" w:cs="Times New Roman"/>
          <w:sz w:val="20"/>
          <w:szCs w:val="20"/>
        </w:rPr>
        <w:t>caffolds can be used as bio-active agent</w:t>
      </w:r>
      <w:r>
        <w:rPr>
          <w:rFonts w:ascii="Times New Roman" w:hAnsi="Times New Roman" w:cs="Times New Roman"/>
          <w:sz w:val="20"/>
          <w:szCs w:val="20"/>
        </w:rPr>
        <w:t xml:space="preserve"> </w:t>
      </w:r>
      <w:r w:rsidRPr="00A861BE">
        <w:rPr>
          <w:rFonts w:ascii="Times New Roman" w:hAnsi="Times New Roman" w:cs="Times New Roman"/>
          <w:sz w:val="20"/>
          <w:szCs w:val="20"/>
        </w:rPr>
        <w:t>reservoirs combined with the delivery cells, providing a multitude of</w:t>
      </w:r>
      <w:r>
        <w:rPr>
          <w:rFonts w:ascii="Times New Roman" w:hAnsi="Times New Roman" w:cs="Times New Roman"/>
          <w:sz w:val="20"/>
          <w:szCs w:val="20"/>
        </w:rPr>
        <w:t xml:space="preserve"> </w:t>
      </w:r>
      <w:r w:rsidRPr="00A861BE">
        <w:rPr>
          <w:rFonts w:ascii="Times New Roman" w:hAnsi="Times New Roman" w:cs="Times New Roman"/>
          <w:sz w:val="20"/>
          <w:szCs w:val="20"/>
        </w:rPr>
        <w:t>advantages, such as a safe delivery profile, protection of bio-active agents</w:t>
      </w:r>
      <w:r>
        <w:rPr>
          <w:rFonts w:ascii="Times New Roman" w:hAnsi="Times New Roman" w:cs="Times New Roman"/>
          <w:sz w:val="20"/>
          <w:szCs w:val="20"/>
        </w:rPr>
        <w:t xml:space="preserve"> </w:t>
      </w:r>
      <w:r w:rsidRPr="00A861BE">
        <w:rPr>
          <w:rFonts w:ascii="Times New Roman" w:hAnsi="Times New Roman" w:cs="Times New Roman"/>
          <w:sz w:val="20"/>
          <w:szCs w:val="20"/>
        </w:rPr>
        <w:t>from biodegradation and the ability to deliver the bio-active agents locally</w:t>
      </w:r>
      <w:r>
        <w:rPr>
          <w:rFonts w:ascii="Times New Roman" w:hAnsi="Times New Roman" w:cs="Times New Roman"/>
          <w:sz w:val="20"/>
          <w:szCs w:val="20"/>
        </w:rPr>
        <w:t xml:space="preserve"> </w:t>
      </w:r>
      <w:r w:rsidR="003B7E50">
        <w:rPr>
          <w:rFonts w:ascii="Times New Roman" w:hAnsi="Times New Roman" w:cs="Times New Roman"/>
          <w:sz w:val="20"/>
          <w:szCs w:val="20"/>
        </w:rPr>
        <w:t>where the cells are attached</w:t>
      </w:r>
      <w:r w:rsidR="00792121">
        <w:rPr>
          <w:rFonts w:ascii="Times New Roman" w:hAnsi="Times New Roman" w:cs="Times New Roman"/>
          <w:sz w:val="20"/>
          <w:szCs w:val="20"/>
          <w:vertAlign w:val="superscript"/>
        </w:rPr>
        <w:t>6</w:t>
      </w:r>
      <w:r w:rsidR="003B7E50">
        <w:rPr>
          <w:rFonts w:ascii="Times New Roman" w:hAnsi="Times New Roman" w:cs="Times New Roman"/>
          <w:sz w:val="20"/>
          <w:szCs w:val="20"/>
        </w:rPr>
        <w:t>.</w:t>
      </w:r>
    </w:p>
    <w:p w:rsidR="00C74746" w:rsidRDefault="00C74746" w:rsidP="00C74746">
      <w:pPr>
        <w:pStyle w:val="ListParagraph"/>
        <w:spacing w:after="0" w:line="240" w:lineRule="auto"/>
        <w:ind w:left="360" w:firstLine="360"/>
        <w:jc w:val="both"/>
        <w:rPr>
          <w:rFonts w:ascii="Times New Roman" w:hAnsi="Times New Roman" w:cs="Times New Roman"/>
          <w:sz w:val="20"/>
          <w:szCs w:val="20"/>
        </w:rPr>
      </w:pPr>
    </w:p>
    <w:p w:rsidR="003B7E50" w:rsidRDefault="003B7E50" w:rsidP="00C74746">
      <w:pPr>
        <w:pStyle w:val="ListParagraph"/>
        <w:numPr>
          <w:ilvl w:val="0"/>
          <w:numId w:val="23"/>
        </w:numPr>
        <w:spacing w:after="0" w:line="240" w:lineRule="auto"/>
        <w:jc w:val="center"/>
        <w:rPr>
          <w:rFonts w:ascii="Times New Roman" w:hAnsi="Times New Roman" w:cs="Times New Roman"/>
          <w:b/>
          <w:sz w:val="20"/>
          <w:szCs w:val="20"/>
        </w:rPr>
      </w:pPr>
      <w:r w:rsidRPr="00C74746">
        <w:rPr>
          <w:rFonts w:ascii="Times New Roman" w:hAnsi="Times New Roman" w:cs="Times New Roman"/>
          <w:b/>
          <w:sz w:val="20"/>
          <w:szCs w:val="20"/>
        </w:rPr>
        <w:t>FABRICATION OF SCAFFOLD FOR TISSUE REGENERATION</w:t>
      </w:r>
    </w:p>
    <w:p w:rsidR="00C74746" w:rsidRPr="00C74746" w:rsidRDefault="00C74746" w:rsidP="00C74746">
      <w:pPr>
        <w:pStyle w:val="ListParagraph"/>
        <w:spacing w:after="0" w:line="240" w:lineRule="auto"/>
        <w:rPr>
          <w:rFonts w:ascii="Times New Roman" w:hAnsi="Times New Roman" w:cs="Times New Roman"/>
          <w:b/>
          <w:sz w:val="20"/>
          <w:szCs w:val="20"/>
        </w:rPr>
      </w:pPr>
    </w:p>
    <w:p w:rsidR="003B7E50" w:rsidRPr="003B7E50" w:rsidRDefault="003B7E50" w:rsidP="00C747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Pr="003B7E50">
        <w:rPr>
          <w:rFonts w:ascii="Times New Roman" w:hAnsi="Times New Roman" w:cs="Times New Roman"/>
          <w:sz w:val="20"/>
          <w:szCs w:val="20"/>
        </w:rPr>
        <w:t>After years of powerful progress,</w:t>
      </w:r>
      <w:r w:rsidR="00445E5B">
        <w:rPr>
          <w:rFonts w:ascii="Times New Roman" w:hAnsi="Times New Roman" w:cs="Times New Roman"/>
          <w:sz w:val="20"/>
          <w:szCs w:val="20"/>
        </w:rPr>
        <w:t xml:space="preserve"> a set of novel tissue culture, </w:t>
      </w:r>
      <w:r w:rsidRPr="003B7E50">
        <w:rPr>
          <w:rFonts w:ascii="Times New Roman" w:hAnsi="Times New Roman" w:cs="Times New Roman"/>
          <w:sz w:val="20"/>
          <w:szCs w:val="20"/>
        </w:rPr>
        <w:t>replacement and implantation technologie</w:t>
      </w:r>
      <w:r w:rsidR="00445E5B">
        <w:rPr>
          <w:rFonts w:ascii="Times New Roman" w:hAnsi="Times New Roman" w:cs="Times New Roman"/>
          <w:sz w:val="20"/>
          <w:szCs w:val="20"/>
        </w:rPr>
        <w:t xml:space="preserve">s have been developed, allowing </w:t>
      </w:r>
      <w:r w:rsidRPr="003B7E50">
        <w:rPr>
          <w:rFonts w:ascii="Times New Roman" w:hAnsi="Times New Roman" w:cs="Times New Roman"/>
          <w:sz w:val="20"/>
          <w:szCs w:val="20"/>
        </w:rPr>
        <w:t>fabricating artificial extracellular matrices,</w:t>
      </w:r>
      <w:r w:rsidR="00445E5B">
        <w:rPr>
          <w:rFonts w:ascii="Times New Roman" w:hAnsi="Times New Roman" w:cs="Times New Roman"/>
          <w:sz w:val="20"/>
          <w:szCs w:val="20"/>
        </w:rPr>
        <w:t xml:space="preserve"> namely scaffolds, to bear stem </w:t>
      </w:r>
      <w:r w:rsidRPr="003B7E50">
        <w:rPr>
          <w:rFonts w:ascii="Times New Roman" w:hAnsi="Times New Roman" w:cs="Times New Roman"/>
          <w:sz w:val="20"/>
          <w:szCs w:val="20"/>
        </w:rPr>
        <w:t>cells, growth factors, or other biological nutri</w:t>
      </w:r>
      <w:r w:rsidR="00445E5B">
        <w:rPr>
          <w:rFonts w:ascii="Times New Roman" w:hAnsi="Times New Roman" w:cs="Times New Roman"/>
          <w:sz w:val="20"/>
          <w:szCs w:val="20"/>
        </w:rPr>
        <w:t xml:space="preserve">ents aiming at repair of tissue </w:t>
      </w:r>
      <w:r w:rsidRPr="003B7E50">
        <w:rPr>
          <w:rFonts w:ascii="Times New Roman" w:hAnsi="Times New Roman" w:cs="Times New Roman"/>
          <w:sz w:val="20"/>
          <w:szCs w:val="20"/>
        </w:rPr>
        <w:t>function. Scaffolds are bulk bioactive mater</w:t>
      </w:r>
      <w:r w:rsidR="00445E5B">
        <w:rPr>
          <w:rFonts w:ascii="Times New Roman" w:hAnsi="Times New Roman" w:cs="Times New Roman"/>
          <w:sz w:val="20"/>
          <w:szCs w:val="20"/>
        </w:rPr>
        <w:t xml:space="preserve">ials with specific porosity and </w:t>
      </w:r>
      <w:r w:rsidRPr="003B7E50">
        <w:rPr>
          <w:rFonts w:ascii="Times New Roman" w:hAnsi="Times New Roman" w:cs="Times New Roman"/>
          <w:sz w:val="20"/>
          <w:szCs w:val="20"/>
        </w:rPr>
        <w:t>structure to contribute to the formation of</w:t>
      </w:r>
      <w:r w:rsidR="00445E5B">
        <w:rPr>
          <w:rFonts w:ascii="Times New Roman" w:hAnsi="Times New Roman" w:cs="Times New Roman"/>
          <w:sz w:val="20"/>
          <w:szCs w:val="20"/>
        </w:rPr>
        <w:t xml:space="preserve"> new tissues for completing the medical task</w:t>
      </w:r>
      <w:r w:rsidR="006914F9">
        <w:rPr>
          <w:rFonts w:ascii="Times New Roman" w:hAnsi="Times New Roman" w:cs="Times New Roman"/>
          <w:sz w:val="20"/>
          <w:szCs w:val="20"/>
        </w:rPr>
        <w:t>. Process of tissue engineering</w:t>
      </w:r>
      <w:r w:rsidR="00445E5B">
        <w:rPr>
          <w:rFonts w:ascii="Times New Roman" w:hAnsi="Times New Roman" w:cs="Times New Roman"/>
          <w:sz w:val="20"/>
          <w:szCs w:val="20"/>
        </w:rPr>
        <w:t xml:space="preserve"> relies </w:t>
      </w:r>
      <w:r w:rsidRPr="003B7E50">
        <w:rPr>
          <w:rFonts w:ascii="Times New Roman" w:hAnsi="Times New Roman" w:cs="Times New Roman"/>
          <w:sz w:val="20"/>
          <w:szCs w:val="20"/>
        </w:rPr>
        <w:t>extensively on the use of porous 3D scaff</w:t>
      </w:r>
      <w:r w:rsidR="00445E5B">
        <w:rPr>
          <w:rFonts w:ascii="Times New Roman" w:hAnsi="Times New Roman" w:cs="Times New Roman"/>
          <w:sz w:val="20"/>
          <w:szCs w:val="20"/>
        </w:rPr>
        <w:t xml:space="preserve">olds to provide the appropriate </w:t>
      </w:r>
      <w:r w:rsidRPr="003B7E50">
        <w:rPr>
          <w:rFonts w:ascii="Times New Roman" w:hAnsi="Times New Roman" w:cs="Times New Roman"/>
          <w:sz w:val="20"/>
          <w:szCs w:val="20"/>
        </w:rPr>
        <w:t>environment for the regeneration of tiss</w:t>
      </w:r>
      <w:r w:rsidR="006914F9">
        <w:rPr>
          <w:rFonts w:ascii="Times New Roman" w:hAnsi="Times New Roman" w:cs="Times New Roman"/>
          <w:sz w:val="20"/>
          <w:szCs w:val="20"/>
        </w:rPr>
        <w:t>ues and organs.</w:t>
      </w:r>
    </w:p>
    <w:p w:rsidR="0077144B" w:rsidRPr="0077144B" w:rsidRDefault="003B7E50" w:rsidP="00C74746">
      <w:pPr>
        <w:spacing w:after="0" w:line="240" w:lineRule="auto"/>
        <w:ind w:firstLine="720"/>
        <w:jc w:val="both"/>
        <w:rPr>
          <w:rFonts w:ascii="Times New Roman" w:hAnsi="Times New Roman" w:cs="Times New Roman"/>
          <w:sz w:val="20"/>
          <w:szCs w:val="20"/>
        </w:rPr>
      </w:pPr>
      <w:r w:rsidRPr="003B7E50">
        <w:rPr>
          <w:rFonts w:ascii="Times New Roman" w:hAnsi="Times New Roman" w:cs="Times New Roman"/>
          <w:sz w:val="20"/>
          <w:szCs w:val="20"/>
        </w:rPr>
        <w:t xml:space="preserve">The </w:t>
      </w:r>
      <w:r w:rsidR="00445E5B">
        <w:rPr>
          <w:rFonts w:ascii="Times New Roman" w:hAnsi="Times New Roman" w:cs="Times New Roman"/>
          <w:sz w:val="20"/>
          <w:szCs w:val="20"/>
        </w:rPr>
        <w:t xml:space="preserve">scaffold provides the necessary </w:t>
      </w:r>
      <w:r w:rsidRPr="003B7E50">
        <w:rPr>
          <w:rFonts w:ascii="Times New Roman" w:hAnsi="Times New Roman" w:cs="Times New Roman"/>
          <w:sz w:val="20"/>
          <w:szCs w:val="20"/>
        </w:rPr>
        <w:t>support for cells to attach, proliferate, and maintain th</w:t>
      </w:r>
      <w:r w:rsidR="00445E5B">
        <w:rPr>
          <w:rFonts w:ascii="Times New Roman" w:hAnsi="Times New Roman" w:cs="Times New Roman"/>
          <w:sz w:val="20"/>
          <w:szCs w:val="20"/>
        </w:rPr>
        <w:t xml:space="preserve">eir differentiated </w:t>
      </w:r>
      <w:r w:rsidRPr="003B7E50">
        <w:rPr>
          <w:rFonts w:ascii="Times New Roman" w:hAnsi="Times New Roman" w:cs="Times New Roman"/>
          <w:sz w:val="20"/>
          <w:szCs w:val="20"/>
        </w:rPr>
        <w:t>function. Its architecture defines the ultimate</w:t>
      </w:r>
      <w:r w:rsidR="00445E5B">
        <w:rPr>
          <w:rFonts w:ascii="Times New Roman" w:hAnsi="Times New Roman" w:cs="Times New Roman"/>
          <w:sz w:val="20"/>
          <w:szCs w:val="20"/>
        </w:rPr>
        <w:t xml:space="preserve"> shape of the new grown soft or hard tissue</w:t>
      </w:r>
      <w:r w:rsidRPr="003B7E50">
        <w:rPr>
          <w:rFonts w:ascii="Times New Roman" w:hAnsi="Times New Roman" w:cs="Times New Roman"/>
          <w:sz w:val="20"/>
          <w:szCs w:val="20"/>
        </w:rPr>
        <w:t xml:space="preserve">. The key role of scaffolds is </w:t>
      </w:r>
      <w:r w:rsidR="00445E5B">
        <w:rPr>
          <w:rFonts w:ascii="Times New Roman" w:hAnsi="Times New Roman" w:cs="Times New Roman"/>
          <w:sz w:val="20"/>
          <w:szCs w:val="20"/>
        </w:rPr>
        <w:t xml:space="preserve">to provide temporary mechanical </w:t>
      </w:r>
      <w:r w:rsidRPr="003B7E50">
        <w:rPr>
          <w:rFonts w:ascii="Times New Roman" w:hAnsi="Times New Roman" w:cs="Times New Roman"/>
          <w:sz w:val="20"/>
          <w:szCs w:val="20"/>
        </w:rPr>
        <w:t>integrity at the defect site until the damaged tis</w:t>
      </w:r>
      <w:r w:rsidR="00445E5B">
        <w:rPr>
          <w:rFonts w:ascii="Times New Roman" w:hAnsi="Times New Roman" w:cs="Times New Roman"/>
          <w:sz w:val="20"/>
          <w:szCs w:val="20"/>
        </w:rPr>
        <w:t xml:space="preserve">sue is repaired or regenerated, </w:t>
      </w:r>
      <w:r w:rsidRPr="003B7E50">
        <w:rPr>
          <w:rFonts w:ascii="Times New Roman" w:hAnsi="Times New Roman" w:cs="Times New Roman"/>
          <w:sz w:val="20"/>
          <w:szCs w:val="20"/>
        </w:rPr>
        <w:t>and normal bio</w:t>
      </w:r>
      <w:r w:rsidR="00BE2EC9">
        <w:rPr>
          <w:rFonts w:ascii="Times New Roman" w:hAnsi="Times New Roman" w:cs="Times New Roman"/>
          <w:sz w:val="20"/>
          <w:szCs w:val="20"/>
        </w:rPr>
        <w:t>mechanical function is restored</w:t>
      </w:r>
      <w:r w:rsidR="006914F9">
        <w:rPr>
          <w:rFonts w:ascii="Times New Roman" w:hAnsi="Times New Roman" w:cs="Times New Roman"/>
          <w:sz w:val="20"/>
          <w:szCs w:val="20"/>
        </w:rPr>
        <w:t>.</w:t>
      </w:r>
      <w:r w:rsidRPr="003B7E50">
        <w:rPr>
          <w:rFonts w:ascii="Times New Roman" w:hAnsi="Times New Roman" w:cs="Times New Roman"/>
          <w:sz w:val="20"/>
          <w:szCs w:val="20"/>
        </w:rPr>
        <w:t xml:space="preserve"> The scaffold also</w:t>
      </w:r>
      <w:r w:rsidR="00445E5B">
        <w:rPr>
          <w:rFonts w:ascii="Times New Roman" w:hAnsi="Times New Roman" w:cs="Times New Roman"/>
          <w:sz w:val="20"/>
          <w:szCs w:val="20"/>
        </w:rPr>
        <w:t xml:space="preserve"> serves as a carrier for cells, </w:t>
      </w:r>
      <w:r w:rsidRPr="003B7E50">
        <w:rPr>
          <w:rFonts w:ascii="Times New Roman" w:hAnsi="Times New Roman" w:cs="Times New Roman"/>
          <w:sz w:val="20"/>
          <w:szCs w:val="20"/>
        </w:rPr>
        <w:t>growth factors or other biomolecular signals. It is vital for the scaffold to mimic</w:t>
      </w:r>
      <w:r>
        <w:rPr>
          <w:rFonts w:ascii="Times New Roman" w:hAnsi="Times New Roman" w:cs="Times New Roman"/>
          <w:sz w:val="20"/>
          <w:szCs w:val="20"/>
        </w:rPr>
        <w:t xml:space="preserve"> </w:t>
      </w:r>
      <w:r w:rsidRPr="003B7E50">
        <w:rPr>
          <w:rFonts w:ascii="Times New Roman" w:hAnsi="Times New Roman" w:cs="Times New Roman"/>
          <w:sz w:val="20"/>
          <w:szCs w:val="20"/>
        </w:rPr>
        <w:t>the structure and properties of human t</w:t>
      </w:r>
      <w:r w:rsidR="00445E5B">
        <w:rPr>
          <w:rFonts w:ascii="Times New Roman" w:hAnsi="Times New Roman" w:cs="Times New Roman"/>
          <w:sz w:val="20"/>
          <w:szCs w:val="20"/>
        </w:rPr>
        <w:t>issue to direct the macroscopic process of tissue formation</w:t>
      </w:r>
      <w:r w:rsidRPr="003B7E50">
        <w:rPr>
          <w:rFonts w:ascii="Times New Roman" w:hAnsi="Times New Roman" w:cs="Times New Roman"/>
          <w:sz w:val="20"/>
          <w:szCs w:val="20"/>
        </w:rPr>
        <w:t xml:space="preserve">. During the </w:t>
      </w:r>
      <w:r w:rsidR="00445E5B">
        <w:rPr>
          <w:rFonts w:ascii="Times New Roman" w:hAnsi="Times New Roman" w:cs="Times New Roman"/>
          <w:sz w:val="20"/>
          <w:szCs w:val="20"/>
        </w:rPr>
        <w:t xml:space="preserve">cell regeneration, the scaffold </w:t>
      </w:r>
      <w:r w:rsidRPr="003B7E50">
        <w:rPr>
          <w:rFonts w:ascii="Times New Roman" w:hAnsi="Times New Roman" w:cs="Times New Roman"/>
          <w:sz w:val="20"/>
          <w:szCs w:val="20"/>
        </w:rPr>
        <w:t>temporarily help in cell regeneration and grad</w:t>
      </w:r>
      <w:r w:rsidR="00445E5B">
        <w:rPr>
          <w:rFonts w:ascii="Times New Roman" w:hAnsi="Times New Roman" w:cs="Times New Roman"/>
          <w:sz w:val="20"/>
          <w:szCs w:val="20"/>
        </w:rPr>
        <w:t xml:space="preserve">ually biodegrades either in the </w:t>
      </w:r>
      <w:r w:rsidRPr="003B7E50">
        <w:rPr>
          <w:rFonts w:ascii="Times New Roman" w:hAnsi="Times New Roman" w:cs="Times New Roman"/>
          <w:sz w:val="20"/>
          <w:szCs w:val="20"/>
        </w:rPr>
        <w:t xml:space="preserve">course of the healing process or after, and a </w:t>
      </w:r>
      <w:r w:rsidR="00445E5B">
        <w:rPr>
          <w:rFonts w:ascii="Times New Roman" w:hAnsi="Times New Roman" w:cs="Times New Roman"/>
          <w:sz w:val="20"/>
          <w:szCs w:val="20"/>
        </w:rPr>
        <w:t xml:space="preserve">new tissue with a desired shape </w:t>
      </w:r>
      <w:r w:rsidRPr="003B7E50">
        <w:rPr>
          <w:rFonts w:ascii="Times New Roman" w:hAnsi="Times New Roman" w:cs="Times New Roman"/>
          <w:sz w:val="20"/>
          <w:szCs w:val="20"/>
        </w:rPr>
        <w:t>and properties is produced. This degrada</w:t>
      </w:r>
      <w:r w:rsidR="00445E5B">
        <w:rPr>
          <w:rFonts w:ascii="Times New Roman" w:hAnsi="Times New Roman" w:cs="Times New Roman"/>
          <w:sz w:val="20"/>
          <w:szCs w:val="20"/>
        </w:rPr>
        <w:t xml:space="preserve">bility property of the scaffold </w:t>
      </w:r>
      <w:r w:rsidRPr="003B7E50">
        <w:rPr>
          <w:rFonts w:ascii="Times New Roman" w:hAnsi="Times New Roman" w:cs="Times New Roman"/>
          <w:sz w:val="20"/>
          <w:szCs w:val="20"/>
        </w:rPr>
        <w:t>obviates the need to remove the material later and thus, eliminates the si</w:t>
      </w:r>
      <w:r w:rsidR="00445E5B">
        <w:rPr>
          <w:rFonts w:ascii="Times New Roman" w:hAnsi="Times New Roman" w:cs="Times New Roman"/>
          <w:sz w:val="20"/>
          <w:szCs w:val="20"/>
        </w:rPr>
        <w:t xml:space="preserve">de </w:t>
      </w:r>
      <w:r w:rsidRPr="003B7E50">
        <w:rPr>
          <w:rFonts w:ascii="Times New Roman" w:hAnsi="Times New Roman" w:cs="Times New Roman"/>
          <w:sz w:val="20"/>
          <w:szCs w:val="20"/>
        </w:rPr>
        <w:t>effects resulted from foreign materials left i</w:t>
      </w:r>
      <w:r w:rsidR="00775C70">
        <w:rPr>
          <w:rFonts w:ascii="Times New Roman" w:hAnsi="Times New Roman" w:cs="Times New Roman"/>
          <w:sz w:val="20"/>
          <w:szCs w:val="20"/>
        </w:rPr>
        <w:t>n the body.</w:t>
      </w:r>
      <w:r w:rsidR="0077144B">
        <w:rPr>
          <w:rFonts w:ascii="Times New Roman" w:hAnsi="Times New Roman" w:cs="Times New Roman"/>
          <w:sz w:val="20"/>
          <w:szCs w:val="20"/>
        </w:rPr>
        <w:t xml:space="preserve"> Successful </w:t>
      </w:r>
      <w:r w:rsidR="0077144B" w:rsidRPr="0077144B">
        <w:rPr>
          <w:rFonts w:ascii="Times New Roman" w:hAnsi="Times New Roman" w:cs="Times New Roman"/>
          <w:sz w:val="20"/>
          <w:szCs w:val="20"/>
        </w:rPr>
        <w:t>fabrication of entirely functional scaffolds should be addressed in two levels:</w:t>
      </w:r>
    </w:p>
    <w:p w:rsidR="0077144B" w:rsidRPr="0077144B" w:rsidRDefault="0077144B" w:rsidP="00C74746">
      <w:pPr>
        <w:spacing w:after="0" w:line="240" w:lineRule="auto"/>
        <w:ind w:left="720"/>
        <w:jc w:val="both"/>
        <w:rPr>
          <w:rFonts w:ascii="Times New Roman" w:hAnsi="Times New Roman" w:cs="Times New Roman"/>
          <w:sz w:val="20"/>
          <w:szCs w:val="20"/>
        </w:rPr>
      </w:pPr>
      <w:r w:rsidRPr="0077144B">
        <w:rPr>
          <w:rFonts w:ascii="Times New Roman" w:hAnsi="Times New Roman" w:cs="Times New Roman"/>
          <w:sz w:val="20"/>
          <w:szCs w:val="20"/>
        </w:rPr>
        <w:t xml:space="preserve">(a) </w:t>
      </w:r>
      <w:r w:rsidRPr="0077144B">
        <w:rPr>
          <w:rFonts w:ascii="Times New Roman" w:hAnsi="Times New Roman" w:cs="Times New Roman"/>
          <w:b/>
          <w:sz w:val="20"/>
          <w:szCs w:val="20"/>
        </w:rPr>
        <w:t xml:space="preserve">Microscale </w:t>
      </w:r>
      <w:r w:rsidRPr="0077144B">
        <w:rPr>
          <w:rFonts w:ascii="Times New Roman" w:hAnsi="Times New Roman" w:cs="Times New Roman"/>
          <w:sz w:val="20"/>
          <w:szCs w:val="20"/>
        </w:rPr>
        <w:t>level should contain an environ</w:t>
      </w:r>
      <w:r>
        <w:rPr>
          <w:rFonts w:ascii="Times New Roman" w:hAnsi="Times New Roman" w:cs="Times New Roman"/>
          <w:sz w:val="20"/>
          <w:szCs w:val="20"/>
        </w:rPr>
        <w:t xml:space="preserve">ment suitable for cell survival </w:t>
      </w:r>
      <w:r w:rsidRPr="0077144B">
        <w:rPr>
          <w:rFonts w:ascii="Times New Roman" w:hAnsi="Times New Roman" w:cs="Times New Roman"/>
          <w:sz w:val="20"/>
          <w:szCs w:val="20"/>
        </w:rPr>
        <w:t>and function and</w:t>
      </w:r>
    </w:p>
    <w:p w:rsidR="0077144B" w:rsidRPr="003B7E50" w:rsidRDefault="0077144B" w:rsidP="00C74746">
      <w:pPr>
        <w:spacing w:after="0" w:line="240" w:lineRule="auto"/>
        <w:ind w:left="720"/>
        <w:jc w:val="both"/>
        <w:rPr>
          <w:rFonts w:ascii="Times New Roman" w:hAnsi="Times New Roman" w:cs="Times New Roman"/>
          <w:sz w:val="20"/>
          <w:szCs w:val="20"/>
        </w:rPr>
      </w:pPr>
      <w:r w:rsidRPr="0077144B">
        <w:rPr>
          <w:rFonts w:ascii="Times New Roman" w:hAnsi="Times New Roman" w:cs="Times New Roman"/>
          <w:sz w:val="20"/>
          <w:szCs w:val="20"/>
        </w:rPr>
        <w:t xml:space="preserve">(b) </w:t>
      </w:r>
      <w:r w:rsidRPr="0077144B">
        <w:rPr>
          <w:rFonts w:ascii="Times New Roman" w:hAnsi="Times New Roman" w:cs="Times New Roman"/>
          <w:b/>
          <w:sz w:val="20"/>
          <w:szCs w:val="20"/>
        </w:rPr>
        <w:t>Macroscale</w:t>
      </w:r>
      <w:r w:rsidRPr="0077144B">
        <w:rPr>
          <w:rFonts w:ascii="Times New Roman" w:hAnsi="Times New Roman" w:cs="Times New Roman"/>
          <w:sz w:val="20"/>
          <w:szCs w:val="20"/>
        </w:rPr>
        <w:t xml:space="preserve"> tissue construction sh</w:t>
      </w:r>
      <w:r>
        <w:rPr>
          <w:rFonts w:ascii="Times New Roman" w:hAnsi="Times New Roman" w:cs="Times New Roman"/>
          <w:sz w:val="20"/>
          <w:szCs w:val="20"/>
        </w:rPr>
        <w:t xml:space="preserve">ould permit the coordination of </w:t>
      </w:r>
      <w:r w:rsidRPr="0077144B">
        <w:rPr>
          <w:rFonts w:ascii="Times New Roman" w:hAnsi="Times New Roman" w:cs="Times New Roman"/>
          <w:sz w:val="20"/>
          <w:szCs w:val="20"/>
        </w:rPr>
        <w:t>multicellular processes, provide adequate tran</w:t>
      </w:r>
      <w:r>
        <w:rPr>
          <w:rFonts w:ascii="Times New Roman" w:hAnsi="Times New Roman" w:cs="Times New Roman"/>
          <w:sz w:val="20"/>
          <w:szCs w:val="20"/>
        </w:rPr>
        <w:t xml:space="preserve">sport of nutrients, and possess </w:t>
      </w:r>
      <w:r w:rsidRPr="0077144B">
        <w:rPr>
          <w:rFonts w:ascii="Times New Roman" w:hAnsi="Times New Roman" w:cs="Times New Roman"/>
          <w:sz w:val="20"/>
          <w:szCs w:val="20"/>
        </w:rPr>
        <w:t>mechanical properties.</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A number of fabrication technologies have been applied to process biodegradable and bioresorbable materials into 3D polymeric scaffolds of high porosity and surface area. The scaffolds are designed to achieve this evolution in 3D cells by providing mechanical support during tissue repair. In practice, the techniques of the fabrication of 3D scaffolds are subdivided mainly into conventional or rapid prototyping (RP) method, each producing different scaffolds with different characteristics</w:t>
      </w:r>
      <w:r w:rsidR="00792121">
        <w:rPr>
          <w:rFonts w:ascii="Times New Roman" w:hAnsi="Times New Roman" w:cs="Times New Roman"/>
          <w:sz w:val="20"/>
          <w:szCs w:val="20"/>
          <w:vertAlign w:val="superscript"/>
        </w:rPr>
        <w:t>7</w:t>
      </w:r>
      <w:r w:rsidRPr="00445E5B">
        <w:rPr>
          <w:rFonts w:ascii="Times New Roman" w:hAnsi="Times New Roman" w:cs="Times New Roman"/>
          <w:sz w:val="20"/>
          <w:szCs w:val="20"/>
        </w:rPr>
        <w:t>.</w:t>
      </w:r>
    </w:p>
    <w:p w:rsidR="00445E5B" w:rsidRPr="00C74746" w:rsidRDefault="00445E5B" w:rsidP="00C74746">
      <w:pPr>
        <w:pStyle w:val="ListParagraph"/>
        <w:numPr>
          <w:ilvl w:val="0"/>
          <w:numId w:val="25"/>
        </w:numPr>
        <w:spacing w:after="0" w:line="240" w:lineRule="auto"/>
        <w:jc w:val="both"/>
        <w:rPr>
          <w:rFonts w:ascii="Times New Roman" w:hAnsi="Times New Roman" w:cs="Times New Roman"/>
          <w:b/>
          <w:sz w:val="20"/>
          <w:szCs w:val="20"/>
        </w:rPr>
      </w:pPr>
      <w:r w:rsidRPr="00C74746">
        <w:rPr>
          <w:rFonts w:ascii="Times New Roman" w:hAnsi="Times New Roman" w:cs="Times New Roman"/>
          <w:b/>
          <w:sz w:val="20"/>
          <w:szCs w:val="20"/>
        </w:rPr>
        <w:t xml:space="preserve">Conventional fabrication technique – </w:t>
      </w:r>
    </w:p>
    <w:p w:rsidR="00AE245D" w:rsidRDefault="00445E5B" w:rsidP="00AE245D">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Conventional techniques of scaffolding fabrication include the construction of porous polymer structures such as substrates for cell adhesion, but it is difficult to obtain complex structures with tunable microscale and macroscale using conventional methods. A significant number of scaffolds have been developed conventionally for drug delivery, but they have subsequently been used in 3D cell culture in the context of tissue </w:t>
      </w:r>
      <w:r w:rsidR="004E227D">
        <w:rPr>
          <w:rFonts w:ascii="Times New Roman" w:hAnsi="Times New Roman" w:cs="Times New Roman"/>
          <w:sz w:val="20"/>
          <w:szCs w:val="20"/>
        </w:rPr>
        <w:t xml:space="preserve">engineering. </w:t>
      </w:r>
    </w:p>
    <w:p w:rsidR="003F0BAF" w:rsidRDefault="003F0BAF" w:rsidP="00C74746">
      <w:pPr>
        <w:spacing w:after="0" w:line="240" w:lineRule="auto"/>
        <w:ind w:firstLine="720"/>
        <w:jc w:val="both"/>
        <w:rPr>
          <w:rFonts w:ascii="Times New Roman" w:hAnsi="Times New Roman" w:cs="Times New Roman"/>
          <w:sz w:val="20"/>
          <w:szCs w:val="20"/>
        </w:rPr>
      </w:pPr>
    </w:p>
    <w:tbl>
      <w:tblPr>
        <w:tblStyle w:val="TableGrid"/>
        <w:tblW w:w="9170" w:type="dxa"/>
        <w:tblLook w:val="04A0" w:firstRow="1" w:lastRow="0" w:firstColumn="1" w:lastColumn="0" w:noHBand="0" w:noVBand="1"/>
      </w:tblPr>
      <w:tblGrid>
        <w:gridCol w:w="3377"/>
        <w:gridCol w:w="5793"/>
      </w:tblGrid>
      <w:tr w:rsidR="003F0BAF" w:rsidTr="003F0BAF">
        <w:trPr>
          <w:trHeight w:val="359"/>
        </w:trPr>
        <w:tc>
          <w:tcPr>
            <w:tcW w:w="3377"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center"/>
              <w:rPr>
                <w:rFonts w:ascii="Times New Roman" w:hAnsi="Times New Roman" w:cs="Times New Roman"/>
                <w:sz w:val="20"/>
              </w:rPr>
            </w:pPr>
            <w:r>
              <w:rPr>
                <w:rFonts w:ascii="Times New Roman" w:hAnsi="Times New Roman" w:cs="Times New Roman"/>
                <w:sz w:val="20"/>
              </w:rPr>
              <w:t>Method of fabrication</w:t>
            </w:r>
          </w:p>
        </w:tc>
        <w:tc>
          <w:tcPr>
            <w:tcW w:w="5793"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center"/>
              <w:rPr>
                <w:rFonts w:ascii="Times New Roman" w:hAnsi="Times New Roman" w:cs="Times New Roman"/>
                <w:sz w:val="20"/>
              </w:rPr>
            </w:pPr>
            <w:r>
              <w:rPr>
                <w:rFonts w:ascii="Times New Roman" w:hAnsi="Times New Roman" w:cs="Times New Roman"/>
                <w:sz w:val="20"/>
              </w:rPr>
              <w:t>Technique</w:t>
            </w:r>
          </w:p>
        </w:tc>
      </w:tr>
      <w:tr w:rsidR="003F0BAF" w:rsidTr="003F0BAF">
        <w:trPr>
          <w:trHeight w:val="1167"/>
        </w:trPr>
        <w:tc>
          <w:tcPr>
            <w:tcW w:w="3377"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rPr>
            </w:pPr>
            <w:r>
              <w:rPr>
                <w:rFonts w:ascii="Times New Roman" w:hAnsi="Times New Roman" w:cs="Times New Roman"/>
                <w:sz w:val="20"/>
              </w:rPr>
              <w:lastRenderedPageBreak/>
              <w:t>Solvent Casting and Particle Leaching</w:t>
            </w:r>
          </w:p>
        </w:tc>
        <w:tc>
          <w:tcPr>
            <w:tcW w:w="5793"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rPr>
            </w:pPr>
            <w:r>
              <w:rPr>
                <w:rFonts w:ascii="Times New Roman" w:hAnsi="Times New Roman" w:cs="Times New Roman"/>
                <w:sz w:val="20"/>
                <w:szCs w:val="20"/>
              </w:rPr>
              <w:t xml:space="preserve"> A solvent combined with uniformly distributed salt particles of a certain size is used to dissolve the polymer solution. The solvent evaporates leaving a matrix containing salt particles. The matrix is then submerged in water, and the salt leaches away to form a structure with high porosity.</w:t>
            </w:r>
          </w:p>
        </w:tc>
      </w:tr>
      <w:tr w:rsidR="003F0BAF" w:rsidTr="003F0BAF">
        <w:trPr>
          <w:trHeight w:val="1768"/>
        </w:trPr>
        <w:tc>
          <w:tcPr>
            <w:tcW w:w="3377"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rPr>
            </w:pPr>
            <w:r>
              <w:rPr>
                <w:rFonts w:ascii="Times New Roman" w:hAnsi="Times New Roman" w:cs="Times New Roman"/>
                <w:sz w:val="20"/>
              </w:rPr>
              <w:t>Freeze Drying</w:t>
            </w:r>
          </w:p>
        </w:tc>
        <w:tc>
          <w:tcPr>
            <w:tcW w:w="5793" w:type="dxa"/>
            <w:tcBorders>
              <w:top w:val="single" w:sz="4" w:space="0" w:color="auto"/>
              <w:left w:val="single" w:sz="4" w:space="0" w:color="auto"/>
              <w:bottom w:val="single" w:sz="4" w:space="0" w:color="auto"/>
              <w:right w:val="single" w:sz="4" w:space="0" w:color="auto"/>
            </w:tcBorders>
          </w:tcPr>
          <w:p w:rsidR="003F0BAF" w:rsidRDefault="003F0BAF" w:rsidP="00C74746">
            <w:pPr>
              <w:jc w:val="both"/>
              <w:rPr>
                <w:rFonts w:ascii="Times New Roman" w:hAnsi="Times New Roman" w:cs="Times New Roman"/>
                <w:sz w:val="20"/>
                <w:szCs w:val="20"/>
              </w:rPr>
            </w:pPr>
            <w:r>
              <w:rPr>
                <w:rFonts w:ascii="Times New Roman" w:hAnsi="Times New Roman" w:cs="Times New Roman"/>
                <w:sz w:val="20"/>
                <w:szCs w:val="20"/>
              </w:rPr>
              <w:t xml:space="preserve">Involves the use of a synthetic polymer that is first dissolved in an appropriate solvent. After dissolution, the polymer solution is cooled under the freezing point, resulting in a solid solvent that is evaporated by sublimation to leave a solid scaffold with numerous interconnected pores. In this technique, when the solution is cooled to freezing point, the solutes can be separated in the ice phase resulting in a small porous structure characterized by a “fence” of matter surrounding the ice. </w:t>
            </w:r>
          </w:p>
          <w:p w:rsidR="003F0BAF" w:rsidRDefault="003F0BAF" w:rsidP="00C74746">
            <w:pPr>
              <w:jc w:val="both"/>
              <w:rPr>
                <w:rFonts w:ascii="Times New Roman" w:hAnsi="Times New Roman" w:cs="Times New Roman"/>
                <w:sz w:val="20"/>
              </w:rPr>
            </w:pPr>
          </w:p>
        </w:tc>
      </w:tr>
      <w:tr w:rsidR="003F0BAF" w:rsidTr="003F0BAF">
        <w:trPr>
          <w:trHeight w:val="1425"/>
        </w:trPr>
        <w:tc>
          <w:tcPr>
            <w:tcW w:w="3377"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rPr>
            </w:pPr>
            <w:r>
              <w:rPr>
                <w:rFonts w:ascii="Times New Roman" w:hAnsi="Times New Roman" w:cs="Times New Roman"/>
                <w:sz w:val="20"/>
              </w:rPr>
              <w:t>Thermal-Induced Phase Separation (TIPS)</w:t>
            </w:r>
          </w:p>
        </w:tc>
        <w:tc>
          <w:tcPr>
            <w:tcW w:w="5793"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rPr>
            </w:pPr>
            <w:r>
              <w:rPr>
                <w:rFonts w:ascii="Times New Roman" w:hAnsi="Times New Roman" w:cs="Times New Roman"/>
                <w:sz w:val="20"/>
                <w:szCs w:val="20"/>
              </w:rPr>
              <w:t>TIPS is a low-temperature method designed to force phase separation via the temperature alternate related to setting the homogeneous</w:t>
            </w:r>
            <w:r>
              <w:rPr>
                <w:rFonts w:ascii="Times New Roman" w:hAnsi="Times New Roman" w:cs="Times New Roman"/>
                <w:iCs/>
                <w:sz w:val="20"/>
                <w:szCs w:val="20"/>
              </w:rPr>
              <w:t xml:space="preserve"> </w:t>
            </w:r>
            <w:r>
              <w:rPr>
                <w:rFonts w:ascii="Times New Roman" w:hAnsi="Times New Roman" w:cs="Times New Roman"/>
                <w:sz w:val="20"/>
                <w:szCs w:val="20"/>
              </w:rPr>
              <w:t>polymer solution with a high temperature in a decrease temperature environment to induce phase separation so that a polymer-rich phase, as well as a poor polymer phase, is achieved.</w:t>
            </w:r>
          </w:p>
        </w:tc>
      </w:tr>
      <w:tr w:rsidR="003F0BAF" w:rsidTr="003F0BAF">
        <w:trPr>
          <w:trHeight w:val="1421"/>
        </w:trPr>
        <w:tc>
          <w:tcPr>
            <w:tcW w:w="3377"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rPr>
            </w:pPr>
            <w:r>
              <w:rPr>
                <w:rFonts w:ascii="Times New Roman" w:hAnsi="Times New Roman" w:cs="Times New Roman"/>
                <w:sz w:val="20"/>
              </w:rPr>
              <w:t>Gas Foaming</w:t>
            </w:r>
          </w:p>
        </w:tc>
        <w:tc>
          <w:tcPr>
            <w:tcW w:w="5793"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rPr>
            </w:pPr>
            <w:r>
              <w:rPr>
                <w:rFonts w:ascii="Times New Roman" w:hAnsi="Times New Roman" w:cs="Times New Roman"/>
                <w:sz w:val="20"/>
                <w:szCs w:val="20"/>
              </w:rPr>
              <w:t xml:space="preserve">This technique uses relatively inert gas foaming agents such as carbon dioxide or nitrogen to pressurize modelled biologically degradable polymer with water or fluoroform until they are saturated or full of gas bubbles.  This technique usually produces structures like a sponge with a pore size of 30 to 700 </w:t>
            </w:r>
            <w:r>
              <w:rPr>
                <w:rFonts w:ascii="Times New Roman" w:hAnsi="Times New Roman" w:cs="Times New Roman"/>
                <w:i/>
                <w:iCs/>
                <w:sz w:val="20"/>
                <w:szCs w:val="20"/>
              </w:rPr>
              <w:t>μ</w:t>
            </w:r>
            <w:r>
              <w:rPr>
                <w:rFonts w:ascii="Times New Roman" w:hAnsi="Times New Roman" w:cs="Times New Roman"/>
                <w:sz w:val="20"/>
                <w:szCs w:val="20"/>
              </w:rPr>
              <w:t>m and a porosity up to 85%.</w:t>
            </w:r>
          </w:p>
        </w:tc>
      </w:tr>
      <w:tr w:rsidR="003F0BAF" w:rsidTr="003F0BAF">
        <w:trPr>
          <w:trHeight w:val="1775"/>
        </w:trPr>
        <w:tc>
          <w:tcPr>
            <w:tcW w:w="3377"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rPr>
            </w:pPr>
            <w:r>
              <w:rPr>
                <w:rFonts w:ascii="Times New Roman" w:hAnsi="Times New Roman" w:cs="Times New Roman"/>
                <w:sz w:val="20"/>
              </w:rPr>
              <w:t>Electrospinning</w:t>
            </w:r>
          </w:p>
        </w:tc>
        <w:tc>
          <w:tcPr>
            <w:tcW w:w="5793"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rPr>
            </w:pPr>
            <w:r>
              <w:rPr>
                <w:rFonts w:ascii="Times New Roman" w:hAnsi="Times New Roman" w:cs="Times New Roman"/>
                <w:sz w:val="20"/>
              </w:rPr>
              <w:t>A standard electrospinning system consists of four main components: a spinner with a syringe pump, a metallic needle, a high-voltage power supply, and a grounded collector. The strength of the electric field exceeds the surface tension of the droplet to produce a liquid jet that is then extended and whipped continuously by electrostatic repulsion until it is deposited on the grounded collector. The solvent evaporates in the process, and the jet is solidified to form into a nonwoven fibrous membrane.</w:t>
            </w:r>
          </w:p>
        </w:tc>
      </w:tr>
      <w:tr w:rsidR="003F0BAF" w:rsidTr="003F0BAF">
        <w:trPr>
          <w:trHeight w:val="1445"/>
        </w:trPr>
        <w:tc>
          <w:tcPr>
            <w:tcW w:w="3377"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rPr>
            </w:pPr>
            <w:r>
              <w:rPr>
                <w:rFonts w:ascii="Times New Roman" w:hAnsi="Times New Roman" w:cs="Times New Roman"/>
                <w:sz w:val="20"/>
              </w:rPr>
              <w:t>Powder forming process</w:t>
            </w:r>
          </w:p>
        </w:tc>
        <w:tc>
          <w:tcPr>
            <w:tcW w:w="5793"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rPr>
            </w:pPr>
            <w:r>
              <w:rPr>
                <w:rFonts w:ascii="Times New Roman" w:hAnsi="Times New Roman" w:cs="Times New Roman"/>
                <w:sz w:val="20"/>
                <w:szCs w:val="20"/>
              </w:rPr>
              <w:t>A suspension of ceramic particles in a suitable liquid (such as water or ethanol) called slurry is used to prepare green bodies. Fillers such as sucrose, gelatine, PMMA microbeads and a wetting agent (i.e. a surfactant) are added into the ceramic suspension, and these chemicals will produce porosity when they are evaporated or burned out during sintering.</w:t>
            </w:r>
          </w:p>
        </w:tc>
      </w:tr>
      <w:tr w:rsidR="003F0BAF" w:rsidTr="003F0BAF">
        <w:trPr>
          <w:trHeight w:val="1538"/>
        </w:trPr>
        <w:tc>
          <w:tcPr>
            <w:tcW w:w="3377"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rPr>
            </w:pPr>
            <w:r>
              <w:rPr>
                <w:rFonts w:ascii="Times New Roman" w:hAnsi="Times New Roman" w:cs="Times New Roman"/>
                <w:sz w:val="20"/>
              </w:rPr>
              <w:t>Sol gel technique</w:t>
            </w:r>
          </w:p>
        </w:tc>
        <w:tc>
          <w:tcPr>
            <w:tcW w:w="5793"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szCs w:val="20"/>
              </w:rPr>
            </w:pPr>
            <w:r>
              <w:rPr>
                <w:rFonts w:ascii="Times New Roman" w:hAnsi="Times New Roman" w:cs="Times New Roman"/>
                <w:sz w:val="20"/>
                <w:szCs w:val="20"/>
              </w:rPr>
              <w:t>This technique is based on the chemical reaction of inorganic polymerisation of metal alkoxides. Using the sol–gel process, it is possible to fabricate ceramic or glass materials in a variety of forms, including ultra-fine or spherical-shaped powders, thin-film coatings, ceramic fibres, microporous inorganic membranes, monolithic ceramics and glasses, and highly porous aerogel materials</w:t>
            </w:r>
          </w:p>
        </w:tc>
      </w:tr>
    </w:tbl>
    <w:p w:rsidR="003F0BAF" w:rsidRDefault="003F0BAF" w:rsidP="00C74746">
      <w:pPr>
        <w:spacing w:after="0" w:line="240" w:lineRule="auto"/>
        <w:jc w:val="both"/>
        <w:rPr>
          <w:rFonts w:ascii="Times New Roman" w:hAnsi="Times New Roman" w:cs="Times New Roman"/>
          <w:sz w:val="20"/>
          <w:szCs w:val="20"/>
          <w:vertAlign w:val="superscript"/>
        </w:rPr>
      </w:pPr>
      <w:r>
        <w:rPr>
          <w:rFonts w:ascii="Times New Roman" w:hAnsi="Times New Roman" w:cs="Times New Roman"/>
          <w:sz w:val="20"/>
          <w:szCs w:val="20"/>
        </w:rPr>
        <w:t>Table 1 : Methods of conventional fabrication of scaffolds</w:t>
      </w:r>
      <w:r w:rsidR="00792121">
        <w:rPr>
          <w:rFonts w:ascii="Times New Roman" w:hAnsi="Times New Roman" w:cs="Times New Roman"/>
          <w:sz w:val="20"/>
          <w:szCs w:val="20"/>
          <w:vertAlign w:val="superscript"/>
        </w:rPr>
        <w:t>7,8,9</w:t>
      </w:r>
    </w:p>
    <w:p w:rsidR="00AE245D" w:rsidRPr="00792121" w:rsidRDefault="00AE245D" w:rsidP="00C74746">
      <w:pPr>
        <w:spacing w:after="0" w:line="240" w:lineRule="auto"/>
        <w:jc w:val="both"/>
        <w:rPr>
          <w:rFonts w:ascii="Times New Roman" w:hAnsi="Times New Roman" w:cs="Times New Roman"/>
          <w:sz w:val="20"/>
          <w:szCs w:val="20"/>
          <w:vertAlign w:val="superscript"/>
        </w:rPr>
      </w:pPr>
    </w:p>
    <w:p w:rsidR="00445E5B" w:rsidRPr="00C74746" w:rsidRDefault="00445E5B" w:rsidP="00C74746">
      <w:pPr>
        <w:pStyle w:val="ListParagraph"/>
        <w:numPr>
          <w:ilvl w:val="0"/>
          <w:numId w:val="25"/>
        </w:numPr>
        <w:spacing w:after="0" w:line="240" w:lineRule="auto"/>
        <w:jc w:val="both"/>
        <w:rPr>
          <w:rFonts w:ascii="Times New Roman" w:hAnsi="Times New Roman" w:cs="Times New Roman"/>
          <w:b/>
          <w:sz w:val="20"/>
          <w:szCs w:val="20"/>
        </w:rPr>
      </w:pPr>
      <w:r w:rsidRPr="00C74746">
        <w:rPr>
          <w:rFonts w:ascii="Times New Roman" w:hAnsi="Times New Roman" w:cs="Times New Roman"/>
          <w:b/>
          <w:sz w:val="20"/>
          <w:szCs w:val="20"/>
        </w:rPr>
        <w:t xml:space="preserve">Rapid prototyping fabrication technique – </w:t>
      </w:r>
    </w:p>
    <w:p w:rsid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The RP scaffold fabrication technique provides a plethora of potential opportunities for tissue engineering. Firstly, the independent control of macroscale and microscale features allows the fabrication of multicellular structures needed for complex tissue functions. Secondly, three-dimensional vascular beds fabrication will allow support of massive tissue formation that otherwise would have been possible. Thirdly, combining clinical imaging data and 3D fabrication techniques can provide the possibility of production of customized scaffolds as well as mass production of the scaffold designs. The main benefit of these techniques is that they enable the production of customized and patient-specific scaffolds suitable for tissues and organs in question</w:t>
      </w:r>
      <w:r w:rsidR="00C66B06">
        <w:rPr>
          <w:rFonts w:ascii="Times New Roman" w:hAnsi="Times New Roman" w:cs="Times New Roman"/>
          <w:sz w:val="20"/>
          <w:szCs w:val="20"/>
        </w:rPr>
        <w:t>.</w:t>
      </w:r>
    </w:p>
    <w:tbl>
      <w:tblPr>
        <w:tblStyle w:val="TableGrid"/>
        <w:tblW w:w="9351" w:type="dxa"/>
        <w:tblLook w:val="04A0" w:firstRow="1" w:lastRow="0" w:firstColumn="1" w:lastColumn="0" w:noHBand="0" w:noVBand="1"/>
      </w:tblPr>
      <w:tblGrid>
        <w:gridCol w:w="3256"/>
        <w:gridCol w:w="6095"/>
      </w:tblGrid>
      <w:tr w:rsidR="003F0BAF" w:rsidTr="003F0BAF">
        <w:trPr>
          <w:trHeight w:val="416"/>
        </w:trPr>
        <w:tc>
          <w:tcPr>
            <w:tcW w:w="3256"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center"/>
              <w:rPr>
                <w:rFonts w:ascii="Times New Roman" w:hAnsi="Times New Roman" w:cs="Times New Roman"/>
                <w:sz w:val="20"/>
                <w:szCs w:val="20"/>
              </w:rPr>
            </w:pPr>
            <w:r>
              <w:rPr>
                <w:rFonts w:ascii="Times New Roman" w:hAnsi="Times New Roman" w:cs="Times New Roman"/>
                <w:sz w:val="20"/>
                <w:szCs w:val="20"/>
              </w:rPr>
              <w:t>Method of fabrication</w:t>
            </w:r>
          </w:p>
        </w:tc>
        <w:tc>
          <w:tcPr>
            <w:tcW w:w="6095"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center"/>
              <w:rPr>
                <w:rFonts w:ascii="Times New Roman" w:hAnsi="Times New Roman" w:cs="Times New Roman"/>
                <w:sz w:val="20"/>
                <w:szCs w:val="20"/>
              </w:rPr>
            </w:pPr>
            <w:r>
              <w:rPr>
                <w:rFonts w:ascii="Times New Roman" w:hAnsi="Times New Roman" w:cs="Times New Roman"/>
                <w:sz w:val="20"/>
                <w:szCs w:val="20"/>
              </w:rPr>
              <w:t>Technique</w:t>
            </w:r>
          </w:p>
        </w:tc>
      </w:tr>
      <w:tr w:rsidR="003F0BAF" w:rsidTr="003F0BAF">
        <w:trPr>
          <w:trHeight w:val="2678"/>
        </w:trPr>
        <w:tc>
          <w:tcPr>
            <w:tcW w:w="3256"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szCs w:val="20"/>
              </w:rPr>
            </w:pPr>
            <w:r>
              <w:rPr>
                <w:rFonts w:ascii="Times New Roman" w:hAnsi="Times New Roman" w:cs="Times New Roman"/>
                <w:sz w:val="20"/>
                <w:szCs w:val="20"/>
              </w:rPr>
              <w:lastRenderedPageBreak/>
              <w:t>Stereolithography</w:t>
            </w:r>
          </w:p>
        </w:tc>
        <w:tc>
          <w:tcPr>
            <w:tcW w:w="6095"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szCs w:val="20"/>
              </w:rPr>
            </w:pPr>
            <w:r>
              <w:rPr>
                <w:rFonts w:ascii="Times New Roman" w:hAnsi="Times New Roman" w:cs="Times New Roman"/>
                <w:sz w:val="20"/>
                <w:szCs w:val="20"/>
              </w:rPr>
              <w:t>A stereolithography system has four main components, namely, a tank with a photosensitive liquid resin, a transferable built platform, a UV laser for radiating resin, and a dynamic mirror system. The process begins with a UV laser by depositing a layer of photosensitive liquid resin on the platform. After the solidification of the initial layer, the platform is lowered vertically. A second layer is then placed on the first layer; the process is repeated until a 3D scaffold is created. Finally, the uncured resin is cleaned off, and the scaffold is postcured under UV light, therefore, this method overcomes the challenges related to wastage in subtractive fabrication methods</w:t>
            </w:r>
          </w:p>
        </w:tc>
      </w:tr>
      <w:tr w:rsidR="003F0BAF" w:rsidTr="003F0BAF">
        <w:trPr>
          <w:trHeight w:val="1125"/>
        </w:trPr>
        <w:tc>
          <w:tcPr>
            <w:tcW w:w="3256"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szCs w:val="20"/>
              </w:rPr>
            </w:pPr>
            <w:r>
              <w:rPr>
                <w:rFonts w:ascii="Times New Roman" w:hAnsi="Times New Roman" w:cs="Times New Roman"/>
                <w:sz w:val="20"/>
                <w:szCs w:val="20"/>
              </w:rPr>
              <w:t>Fused Deposition Modeling (FDM)</w:t>
            </w:r>
          </w:p>
        </w:tc>
        <w:tc>
          <w:tcPr>
            <w:tcW w:w="6095" w:type="dxa"/>
            <w:tcBorders>
              <w:top w:val="single" w:sz="4" w:space="0" w:color="auto"/>
              <w:left w:val="single" w:sz="4" w:space="0" w:color="auto"/>
              <w:bottom w:val="single" w:sz="4" w:space="0" w:color="auto"/>
              <w:right w:val="single" w:sz="4" w:space="0" w:color="auto"/>
            </w:tcBorders>
          </w:tcPr>
          <w:p w:rsidR="003F0BAF" w:rsidRDefault="003F0BAF" w:rsidP="00C74746">
            <w:pPr>
              <w:jc w:val="both"/>
              <w:rPr>
                <w:rFonts w:ascii="Times New Roman" w:hAnsi="Times New Roman" w:cs="Times New Roman"/>
                <w:sz w:val="20"/>
                <w:szCs w:val="20"/>
              </w:rPr>
            </w:pPr>
            <w:r>
              <w:rPr>
                <w:rFonts w:ascii="Times New Roman" w:hAnsi="Times New Roman" w:cs="Times New Roman"/>
                <w:sz w:val="20"/>
                <w:szCs w:val="20"/>
              </w:rPr>
              <w:t xml:space="preserve">In FDM technique, a solid polymer is cast into a hot extrusion nozzle to be melted and extruded on the surface of 3D object using a computer controlled extrusion and deposition processes; and the scaffold is made from multiple layers of adjacent microfilaments. </w:t>
            </w:r>
          </w:p>
          <w:p w:rsidR="003F0BAF" w:rsidRDefault="003F0BAF" w:rsidP="00C74746">
            <w:pPr>
              <w:jc w:val="both"/>
              <w:rPr>
                <w:rFonts w:ascii="Times New Roman" w:hAnsi="Times New Roman" w:cs="Times New Roman"/>
                <w:sz w:val="20"/>
                <w:szCs w:val="20"/>
              </w:rPr>
            </w:pPr>
          </w:p>
        </w:tc>
      </w:tr>
      <w:tr w:rsidR="003F0BAF" w:rsidTr="003F0BAF">
        <w:trPr>
          <w:trHeight w:val="1102"/>
        </w:trPr>
        <w:tc>
          <w:tcPr>
            <w:tcW w:w="3256"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szCs w:val="20"/>
              </w:rPr>
            </w:pPr>
            <w:r>
              <w:rPr>
                <w:rFonts w:ascii="Times New Roman" w:hAnsi="Times New Roman" w:cs="Times New Roman"/>
                <w:sz w:val="20"/>
                <w:szCs w:val="20"/>
              </w:rPr>
              <w:t>Selective Laser Sintering (SLS)</w:t>
            </w:r>
          </w:p>
        </w:tc>
        <w:tc>
          <w:tcPr>
            <w:tcW w:w="6095" w:type="dxa"/>
            <w:tcBorders>
              <w:top w:val="single" w:sz="4" w:space="0" w:color="auto"/>
              <w:left w:val="single" w:sz="4" w:space="0" w:color="auto"/>
              <w:bottom w:val="single" w:sz="4" w:space="0" w:color="auto"/>
              <w:right w:val="single" w:sz="4" w:space="0" w:color="auto"/>
            </w:tcBorders>
          </w:tcPr>
          <w:p w:rsidR="003F0BAF" w:rsidRDefault="003F0BAF" w:rsidP="00C74746">
            <w:pPr>
              <w:jc w:val="both"/>
              <w:rPr>
                <w:rFonts w:ascii="Times New Roman" w:hAnsi="Times New Roman" w:cs="Times New Roman"/>
                <w:sz w:val="20"/>
                <w:szCs w:val="20"/>
              </w:rPr>
            </w:pPr>
            <w:r>
              <w:rPr>
                <w:rFonts w:ascii="Times New Roman" w:hAnsi="Times New Roman" w:cs="Times New Roman"/>
                <w:sz w:val="20"/>
                <w:szCs w:val="20"/>
              </w:rPr>
              <w:t xml:space="preserve">This technique uses laser as the power source to sinter powdered material defined by a 3D model in thin layers. Due to the use of a laser, this technique has been utilized to make various materials, such as polymers, metals, or ceramics. </w:t>
            </w:r>
            <w:r>
              <w:rPr>
                <w:rFonts w:ascii="Times New Roman" w:hAnsi="Times New Roman" w:cs="Times New Roman"/>
                <w:b/>
                <w:sz w:val="20"/>
                <w:szCs w:val="20"/>
              </w:rPr>
              <w:t xml:space="preserve">                </w:t>
            </w:r>
          </w:p>
          <w:p w:rsidR="003F0BAF" w:rsidRDefault="003F0BAF" w:rsidP="00C74746">
            <w:pPr>
              <w:jc w:val="both"/>
              <w:rPr>
                <w:rFonts w:ascii="Times New Roman" w:hAnsi="Times New Roman" w:cs="Times New Roman"/>
                <w:sz w:val="20"/>
                <w:szCs w:val="20"/>
              </w:rPr>
            </w:pPr>
          </w:p>
        </w:tc>
      </w:tr>
      <w:tr w:rsidR="003F0BAF" w:rsidTr="003F0BAF">
        <w:trPr>
          <w:trHeight w:val="1501"/>
        </w:trPr>
        <w:tc>
          <w:tcPr>
            <w:tcW w:w="3256"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szCs w:val="20"/>
              </w:rPr>
            </w:pPr>
            <w:r>
              <w:rPr>
                <w:rFonts w:ascii="Times New Roman" w:hAnsi="Times New Roman" w:cs="Times New Roman"/>
                <w:sz w:val="20"/>
                <w:szCs w:val="20"/>
              </w:rPr>
              <w:t>Three-Dimensional Printing (3DP)</w:t>
            </w:r>
          </w:p>
        </w:tc>
        <w:tc>
          <w:tcPr>
            <w:tcW w:w="6095"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szCs w:val="20"/>
              </w:rPr>
            </w:pPr>
            <w:r>
              <w:rPr>
                <w:rFonts w:ascii="Times New Roman" w:hAnsi="Times New Roman" w:cs="Times New Roman"/>
                <w:sz w:val="20"/>
                <w:szCs w:val="20"/>
              </w:rPr>
              <w:t xml:space="preserve">3DP is a process of creating tools and functional prototype features directly from the computer models. 3DP technique is performed by applying the powdered material in layers and the selective fusion of the powder by </w:t>
            </w:r>
            <w:r>
              <w:rPr>
                <w:rFonts w:ascii="Times New Roman" w:hAnsi="Times New Roman" w:cs="Times New Roman"/>
                <w:b/>
                <w:sz w:val="20"/>
                <w:szCs w:val="20"/>
              </w:rPr>
              <w:t>"inkjet",</w:t>
            </w:r>
            <w:r>
              <w:rPr>
                <w:rFonts w:ascii="Times New Roman" w:hAnsi="Times New Roman" w:cs="Times New Roman"/>
                <w:sz w:val="20"/>
                <w:szCs w:val="20"/>
              </w:rPr>
              <w:t xml:space="preserve"> where the adhesive is printed. After continuous deposition of the layers, the unbound powder is taken out, yielding a complex 3D object</w:t>
            </w:r>
          </w:p>
        </w:tc>
      </w:tr>
      <w:tr w:rsidR="003F0BAF" w:rsidTr="003F0BAF">
        <w:trPr>
          <w:trHeight w:val="1975"/>
        </w:trPr>
        <w:tc>
          <w:tcPr>
            <w:tcW w:w="3256"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szCs w:val="20"/>
              </w:rPr>
            </w:pPr>
            <w:r>
              <w:rPr>
                <w:rFonts w:ascii="Times New Roman" w:hAnsi="Times New Roman" w:cs="Times New Roman"/>
                <w:sz w:val="20"/>
                <w:szCs w:val="20"/>
              </w:rPr>
              <w:t>Bioprinting</w:t>
            </w:r>
          </w:p>
        </w:tc>
        <w:tc>
          <w:tcPr>
            <w:tcW w:w="6095"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szCs w:val="20"/>
              </w:rPr>
            </w:pPr>
            <w:r>
              <w:rPr>
                <w:rFonts w:ascii="Times New Roman" w:hAnsi="Times New Roman" w:cs="Times New Roman"/>
                <w:sz w:val="20"/>
                <w:szCs w:val="20"/>
              </w:rPr>
              <w:t>Bioprinting is a 3 dimensional printing technique, defined as “using material transfer processes for developing a biological pattern and assembly of relevant materials, cells, molecules, tissues, and biodegradable biomaterials with a prescribed structure to achieve some biological functions”. The introduction of solvent-free, aqueous-based systems allows the direct printing of biomaterials on three-dimensional scaffolds for transplantation with/ without seeded cells.</w:t>
            </w:r>
          </w:p>
        </w:tc>
      </w:tr>
      <w:tr w:rsidR="003F0BAF" w:rsidTr="003F0BAF">
        <w:trPr>
          <w:trHeight w:val="2178"/>
        </w:trPr>
        <w:tc>
          <w:tcPr>
            <w:tcW w:w="3256"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szCs w:val="20"/>
              </w:rPr>
            </w:pPr>
            <w:r>
              <w:rPr>
                <w:rFonts w:ascii="Times New Roman" w:hAnsi="Times New Roman" w:cs="Times New Roman"/>
                <w:sz w:val="20"/>
                <w:szCs w:val="20"/>
              </w:rPr>
              <w:t>4D printing</w:t>
            </w:r>
          </w:p>
        </w:tc>
        <w:tc>
          <w:tcPr>
            <w:tcW w:w="6095" w:type="dxa"/>
            <w:tcBorders>
              <w:top w:val="single" w:sz="4" w:space="0" w:color="auto"/>
              <w:left w:val="single" w:sz="4" w:space="0" w:color="auto"/>
              <w:bottom w:val="single" w:sz="4" w:space="0" w:color="auto"/>
              <w:right w:val="single" w:sz="4" w:space="0" w:color="auto"/>
            </w:tcBorders>
            <w:hideMark/>
          </w:tcPr>
          <w:p w:rsidR="003F0BAF" w:rsidRDefault="003F0BAF" w:rsidP="00C74746">
            <w:pPr>
              <w:jc w:val="both"/>
              <w:rPr>
                <w:rFonts w:ascii="Times New Roman" w:hAnsi="Times New Roman" w:cs="Times New Roman"/>
                <w:sz w:val="20"/>
                <w:szCs w:val="20"/>
              </w:rPr>
            </w:pPr>
            <w:r>
              <w:rPr>
                <w:rFonts w:ascii="Times New Roman" w:hAnsi="Times New Roman" w:cs="Times New Roman"/>
                <w:sz w:val="20"/>
                <w:szCs w:val="20"/>
              </w:rPr>
              <w:t>Four-dimensional (4D) printing is a recently appeared terminology in 2013 and immediately attracts wide attention in different areas. 4D printing adds a new dimension, time, to ordinary 3D printed products, which allows materials responding to suitable stimuli or self-transform after possessing. Transformation code of 4D printed materials is hidden in the exquisite design of its structure and constituents. It offers great potential for customized medical devices given that the dynamic mechanical property of printed material accords with the behaviour of living tissues. In addition, the time-dependent property of 4D printing makes it suitable for long-term application embedded in human body.</w:t>
            </w:r>
          </w:p>
        </w:tc>
      </w:tr>
    </w:tbl>
    <w:p w:rsidR="003F0BAF" w:rsidRPr="00792121" w:rsidRDefault="003F0BAF" w:rsidP="00C74746">
      <w:pPr>
        <w:spacing w:after="0" w:line="240" w:lineRule="auto"/>
        <w:jc w:val="both"/>
        <w:rPr>
          <w:rFonts w:ascii="Times New Roman" w:hAnsi="Times New Roman" w:cs="Times New Roman"/>
          <w:sz w:val="20"/>
          <w:szCs w:val="20"/>
          <w:vertAlign w:val="superscript"/>
        </w:rPr>
      </w:pPr>
      <w:r>
        <w:rPr>
          <w:rFonts w:ascii="Times New Roman" w:hAnsi="Times New Roman" w:cs="Times New Roman"/>
          <w:sz w:val="20"/>
          <w:szCs w:val="20"/>
        </w:rPr>
        <w:t>Table 2 : Method of</w:t>
      </w:r>
      <w:r w:rsidR="00792121">
        <w:rPr>
          <w:rFonts w:ascii="Times New Roman" w:hAnsi="Times New Roman" w:cs="Times New Roman"/>
          <w:sz w:val="20"/>
          <w:szCs w:val="20"/>
        </w:rPr>
        <w:t xml:space="preserve"> Rapid prototyping of scaffolds</w:t>
      </w:r>
      <w:r w:rsidR="00792121">
        <w:rPr>
          <w:rFonts w:ascii="Times New Roman" w:hAnsi="Times New Roman" w:cs="Times New Roman"/>
          <w:sz w:val="20"/>
          <w:szCs w:val="20"/>
          <w:vertAlign w:val="superscript"/>
        </w:rPr>
        <w:t>7,8,10</w:t>
      </w:r>
    </w:p>
    <w:p w:rsidR="00C74746" w:rsidRDefault="00C74746" w:rsidP="00C74746">
      <w:pPr>
        <w:spacing w:after="0" w:line="240" w:lineRule="auto"/>
        <w:jc w:val="both"/>
        <w:rPr>
          <w:rFonts w:ascii="Times New Roman" w:hAnsi="Times New Roman" w:cs="Times New Roman"/>
          <w:sz w:val="20"/>
          <w:szCs w:val="20"/>
        </w:rPr>
      </w:pPr>
    </w:p>
    <w:p w:rsidR="00445E5B" w:rsidRPr="00C74746" w:rsidRDefault="00445E5B" w:rsidP="00C74746">
      <w:pPr>
        <w:pStyle w:val="ListParagraph"/>
        <w:numPr>
          <w:ilvl w:val="0"/>
          <w:numId w:val="23"/>
        </w:numPr>
        <w:spacing w:after="0" w:line="240" w:lineRule="auto"/>
        <w:jc w:val="center"/>
        <w:rPr>
          <w:rFonts w:ascii="Times New Roman" w:hAnsi="Times New Roman" w:cs="Times New Roman"/>
          <w:b/>
          <w:sz w:val="20"/>
          <w:szCs w:val="20"/>
        </w:rPr>
      </w:pPr>
      <w:r w:rsidRPr="00C74746">
        <w:rPr>
          <w:rFonts w:ascii="Times New Roman" w:hAnsi="Times New Roman" w:cs="Times New Roman"/>
          <w:b/>
          <w:sz w:val="20"/>
          <w:szCs w:val="20"/>
        </w:rPr>
        <w:t>IMPORTANCE OF SCAFFOLDS MATRICES IN CELL DELIVERY</w:t>
      </w:r>
    </w:p>
    <w:p w:rsidR="00C74746" w:rsidRPr="00C74746" w:rsidRDefault="00C74746" w:rsidP="00C74746">
      <w:pPr>
        <w:pStyle w:val="ListParagraph"/>
        <w:spacing w:after="0" w:line="240" w:lineRule="auto"/>
        <w:rPr>
          <w:rFonts w:ascii="Times New Roman" w:hAnsi="Times New Roman" w:cs="Times New Roman"/>
          <w:b/>
          <w:sz w:val="20"/>
          <w:szCs w:val="20"/>
        </w:rPr>
      </w:pP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(i) Scaffolds provide growth of cells ei</w:t>
      </w:r>
      <w:r>
        <w:rPr>
          <w:rFonts w:ascii="Times New Roman" w:hAnsi="Times New Roman" w:cs="Times New Roman"/>
          <w:sz w:val="20"/>
          <w:szCs w:val="20"/>
        </w:rPr>
        <w:t xml:space="preserve">ther seeded within the porous </w:t>
      </w:r>
      <w:r w:rsidRPr="00445E5B">
        <w:rPr>
          <w:rFonts w:ascii="Times New Roman" w:hAnsi="Times New Roman" w:cs="Times New Roman"/>
          <w:sz w:val="20"/>
          <w:szCs w:val="20"/>
        </w:rPr>
        <w:t>structure of the scaffold or migrating from surrounding tissue.</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(ii) Scaffold matrices can be used to achieve </w:t>
      </w:r>
      <w:r>
        <w:rPr>
          <w:rFonts w:ascii="Times New Roman" w:hAnsi="Times New Roman" w:cs="Times New Roman"/>
          <w:sz w:val="20"/>
          <w:szCs w:val="20"/>
        </w:rPr>
        <w:t xml:space="preserve">cell delivery with high loading </w:t>
      </w:r>
      <w:r w:rsidRPr="00445E5B">
        <w:rPr>
          <w:rFonts w:ascii="Times New Roman" w:hAnsi="Times New Roman" w:cs="Times New Roman"/>
          <w:sz w:val="20"/>
          <w:szCs w:val="20"/>
        </w:rPr>
        <w:t>an</w:t>
      </w:r>
      <w:r>
        <w:rPr>
          <w:rFonts w:ascii="Times New Roman" w:hAnsi="Times New Roman" w:cs="Times New Roman"/>
          <w:sz w:val="20"/>
          <w:szCs w:val="20"/>
        </w:rPr>
        <w:t>d efficiency to specific sites.</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(iii) Scaffold must provide a suitable subs</w:t>
      </w:r>
      <w:r>
        <w:rPr>
          <w:rFonts w:ascii="Times New Roman" w:hAnsi="Times New Roman" w:cs="Times New Roman"/>
          <w:sz w:val="20"/>
          <w:szCs w:val="20"/>
        </w:rPr>
        <w:t xml:space="preserve">trate for cell attachment, cell </w:t>
      </w:r>
      <w:r w:rsidRPr="00445E5B">
        <w:rPr>
          <w:rFonts w:ascii="Times New Roman" w:hAnsi="Times New Roman" w:cs="Times New Roman"/>
          <w:sz w:val="20"/>
          <w:szCs w:val="20"/>
        </w:rPr>
        <w:t>proliferation, differentiated function and cell migration.</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(iv) To permit the transport of biological si</w:t>
      </w:r>
      <w:r>
        <w:rPr>
          <w:rFonts w:ascii="Times New Roman" w:hAnsi="Times New Roman" w:cs="Times New Roman"/>
          <w:sz w:val="20"/>
          <w:szCs w:val="20"/>
        </w:rPr>
        <w:t xml:space="preserve">gnalling factors, nutrients and </w:t>
      </w:r>
      <w:r w:rsidRPr="00445E5B">
        <w:rPr>
          <w:rFonts w:ascii="Times New Roman" w:hAnsi="Times New Roman" w:cs="Times New Roman"/>
          <w:sz w:val="20"/>
          <w:szCs w:val="20"/>
        </w:rPr>
        <w:t>wastes to allow for cell survival.</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(v) Possess relatively easy process abilit</w:t>
      </w:r>
      <w:r>
        <w:rPr>
          <w:rFonts w:ascii="Times New Roman" w:hAnsi="Times New Roman" w:cs="Times New Roman"/>
          <w:sz w:val="20"/>
          <w:szCs w:val="20"/>
        </w:rPr>
        <w:t xml:space="preserve">y and malleability into desired </w:t>
      </w:r>
      <w:r w:rsidRPr="00445E5B">
        <w:rPr>
          <w:rFonts w:ascii="Times New Roman" w:hAnsi="Times New Roman" w:cs="Times New Roman"/>
          <w:sz w:val="20"/>
          <w:szCs w:val="20"/>
        </w:rPr>
        <w:t>shapes.</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(vi) Minimal stimulation of the immune or inflammatory responses invivo.</w:t>
      </w:r>
    </w:p>
    <w:p w:rsid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(vii) Highly porous with a large surface/ v</w:t>
      </w:r>
      <w:r>
        <w:rPr>
          <w:rFonts w:ascii="Times New Roman" w:hAnsi="Times New Roman" w:cs="Times New Roman"/>
          <w:sz w:val="20"/>
          <w:szCs w:val="20"/>
        </w:rPr>
        <w:t>olume ratio which provides high cell attachment</w:t>
      </w:r>
      <w:r w:rsidR="00792121">
        <w:rPr>
          <w:rFonts w:ascii="Times New Roman" w:hAnsi="Times New Roman" w:cs="Times New Roman"/>
          <w:sz w:val="20"/>
          <w:szCs w:val="20"/>
          <w:vertAlign w:val="superscript"/>
        </w:rPr>
        <w:t>11</w:t>
      </w:r>
      <w:r w:rsidRPr="00445E5B">
        <w:rPr>
          <w:rFonts w:ascii="Times New Roman" w:hAnsi="Times New Roman" w:cs="Times New Roman"/>
          <w:sz w:val="20"/>
          <w:szCs w:val="20"/>
        </w:rPr>
        <w:t>.</w:t>
      </w:r>
    </w:p>
    <w:p w:rsidR="00C74746" w:rsidRDefault="00C74746" w:rsidP="00C74746">
      <w:pPr>
        <w:spacing w:after="0" w:line="240" w:lineRule="auto"/>
        <w:jc w:val="both"/>
        <w:rPr>
          <w:rFonts w:ascii="Times New Roman" w:hAnsi="Times New Roman" w:cs="Times New Roman"/>
          <w:sz w:val="20"/>
          <w:szCs w:val="20"/>
        </w:rPr>
      </w:pPr>
    </w:p>
    <w:p w:rsidR="00445E5B" w:rsidRDefault="00445E5B" w:rsidP="00C74746">
      <w:pPr>
        <w:pStyle w:val="ListParagraph"/>
        <w:numPr>
          <w:ilvl w:val="0"/>
          <w:numId w:val="28"/>
        </w:numPr>
        <w:spacing w:after="0" w:line="240" w:lineRule="auto"/>
        <w:jc w:val="center"/>
        <w:rPr>
          <w:rFonts w:ascii="Times New Roman" w:hAnsi="Times New Roman" w:cs="Times New Roman"/>
          <w:b/>
          <w:sz w:val="20"/>
          <w:szCs w:val="20"/>
        </w:rPr>
      </w:pPr>
      <w:r w:rsidRPr="00C74746">
        <w:rPr>
          <w:rFonts w:ascii="Times New Roman" w:hAnsi="Times New Roman" w:cs="Times New Roman"/>
          <w:b/>
          <w:sz w:val="20"/>
          <w:szCs w:val="20"/>
        </w:rPr>
        <w:t>APPLICATIONS OF TISSUE ENGINEERING IN MEDICINE</w:t>
      </w:r>
    </w:p>
    <w:p w:rsidR="00C74746" w:rsidRPr="00C74746" w:rsidRDefault="00C74746" w:rsidP="00C74746">
      <w:pPr>
        <w:pStyle w:val="ListParagraph"/>
        <w:spacing w:after="0" w:line="240" w:lineRule="auto"/>
        <w:rPr>
          <w:rFonts w:ascii="Times New Roman" w:hAnsi="Times New Roman" w:cs="Times New Roman"/>
          <w:b/>
          <w:sz w:val="20"/>
          <w:szCs w:val="20"/>
        </w:rPr>
      </w:pPr>
    </w:p>
    <w:p w:rsidR="00445E5B" w:rsidRP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Biomaterials have been used in various areas of tissue engineering to regenerate tissues for augmentation, repair or replacement. These biomaterials have been vastly applied in bladder, tendons, ligament, kidney, liver, heart valves, myocardial patches, bone, cartilage, pancreas, cardiac, islet of Langerhans, vascular and skin</w:t>
      </w:r>
      <w:r w:rsidRPr="00445E5B">
        <w:rPr>
          <w:rFonts w:ascii="Times New Roman" w:hAnsi="Times New Roman" w:cs="Times New Roman"/>
          <w:b/>
          <w:bCs/>
          <w:sz w:val="20"/>
          <w:szCs w:val="20"/>
        </w:rPr>
        <w:t xml:space="preserve">. </w:t>
      </w:r>
      <w:r w:rsidRPr="00445E5B">
        <w:rPr>
          <w:rFonts w:ascii="Times New Roman" w:hAnsi="Times New Roman" w:cs="Times New Roman"/>
          <w:sz w:val="20"/>
          <w:szCs w:val="20"/>
        </w:rPr>
        <w:t>Some of these developments are further described below.</w:t>
      </w:r>
    </w:p>
    <w:p w:rsidR="00445E5B" w:rsidRDefault="00445E5B" w:rsidP="00C74746">
      <w:pPr>
        <w:numPr>
          <w:ilvl w:val="0"/>
          <w:numId w:val="11"/>
        </w:num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Hard tissue </w:t>
      </w:r>
    </w:p>
    <w:p w:rsidR="00C74746" w:rsidRPr="00445E5B" w:rsidRDefault="00C74746" w:rsidP="00C74746">
      <w:pPr>
        <w:spacing w:after="0" w:line="240" w:lineRule="auto"/>
        <w:ind w:left="360"/>
        <w:jc w:val="both"/>
        <w:rPr>
          <w:rFonts w:ascii="Times New Roman" w:hAnsi="Times New Roman" w:cs="Times New Roman"/>
          <w:b/>
          <w:sz w:val="20"/>
          <w:szCs w:val="20"/>
        </w:rPr>
      </w:pPr>
    </w:p>
    <w:p w:rsidR="00445E5B" w:rsidRPr="00445E5B" w:rsidRDefault="00445E5B" w:rsidP="00C74746">
      <w:pPr>
        <w:numPr>
          <w:ilvl w:val="0"/>
          <w:numId w:val="12"/>
        </w:num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Bone tissue engineering –</w:t>
      </w:r>
    </w:p>
    <w:p w:rsidR="00445E5B" w:rsidRP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Bones have the capability to regenerate, remodel and repair in response to injury. In order to avoid using autograft, allograft or xenograft due to infection, immunological rejection, disease transmission and many other reasons, the development and application of 3D porous scaffold with bone mimicking features was considered. Bio-ceramic scaffolds consisting of hydroxyapatite (HA) have been produced and used because it is biocompatible, bioactive, support and promote new bone formation and mimics the mineral component of the natural bone</w:t>
      </w:r>
      <w:r w:rsidR="00792121">
        <w:rPr>
          <w:rFonts w:ascii="Times New Roman" w:hAnsi="Times New Roman" w:cs="Times New Roman"/>
          <w:sz w:val="20"/>
          <w:szCs w:val="20"/>
          <w:vertAlign w:val="superscript"/>
        </w:rPr>
        <w:t>12</w:t>
      </w:r>
      <w:r w:rsidRPr="00445E5B">
        <w:rPr>
          <w:rFonts w:ascii="Times New Roman" w:hAnsi="Times New Roman" w:cs="Times New Roman"/>
          <w:sz w:val="20"/>
          <w:szCs w:val="20"/>
        </w:rPr>
        <w:t>.</w:t>
      </w:r>
    </w:p>
    <w:p w:rsid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These scaffolds are used to give mechanical stability to the defect site during healing as well as being aimed at supporting osteogenic, osteoconductive and osteoinductive features of the native tissue. Incorporation of calcium phosphate and HAp into polymeric structures has been widely used to improve the mechanical properties of the scaffolds and addition of these has also been performed to imitate the composite structure of bone due to their chemical and crystallographical similarities to the native tissue</w:t>
      </w:r>
      <w:r w:rsidR="00792121">
        <w:rPr>
          <w:rFonts w:ascii="Times New Roman" w:hAnsi="Times New Roman" w:cs="Times New Roman"/>
          <w:sz w:val="20"/>
          <w:szCs w:val="20"/>
          <w:vertAlign w:val="superscript"/>
        </w:rPr>
        <w:t>13</w:t>
      </w:r>
      <w:r w:rsidRPr="00445E5B">
        <w:rPr>
          <w:rFonts w:ascii="Times New Roman" w:hAnsi="Times New Roman" w:cs="Times New Roman"/>
          <w:sz w:val="20"/>
          <w:szCs w:val="20"/>
        </w:rPr>
        <w:t>.</w:t>
      </w:r>
    </w:p>
    <w:p w:rsidR="00C74746" w:rsidRPr="00445E5B" w:rsidRDefault="00C74746" w:rsidP="00C74746">
      <w:pPr>
        <w:spacing w:after="0" w:line="240" w:lineRule="auto"/>
        <w:ind w:firstLine="360"/>
        <w:jc w:val="both"/>
        <w:rPr>
          <w:rFonts w:ascii="Times New Roman" w:hAnsi="Times New Roman" w:cs="Times New Roman"/>
          <w:sz w:val="20"/>
          <w:szCs w:val="20"/>
        </w:rPr>
      </w:pPr>
    </w:p>
    <w:p w:rsidR="00445E5B" w:rsidRPr="00445E5B" w:rsidRDefault="00445E5B" w:rsidP="00C74746">
      <w:pPr>
        <w:numPr>
          <w:ilvl w:val="0"/>
          <w:numId w:val="12"/>
        </w:num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Cartilage tissue engineering – </w:t>
      </w:r>
    </w:p>
    <w:p w:rsidR="00445E5B" w:rsidRP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Cartilage is a human connective tissue that is stiff and flexible, made up of chondrocytes embedded in a highly hydrated ECM. The different classes of cartilage are hyaline, elastic and fibro with different components of ECM have been developed using tissue engineering techniques for the purpose of cartilage repair, joining of cells with scaffolds, mechanical stimulation and growth factors.</w:t>
      </w:r>
    </w:p>
    <w:p w:rsidR="00445E5B" w:rsidRP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 xml:space="preserve">In cartilage tissue engineering, a variety of naturally derived scaffold materials (e.g., collagen, gelatin, hyaluronic acid (HA), and biodegradable polymers like PHBV) and synthetically derived polymers (e.g., PLA, PGA, and PLGA) can be used. Collagen, the most widely used natural material, is abundantly found in the supportive structures of mammalian bodies. </w:t>
      </w:r>
      <w:r w:rsidRPr="00445E5B">
        <w:rPr>
          <w:rFonts w:ascii="Times New Roman" w:hAnsi="Times New Roman" w:cs="Times New Roman"/>
          <w:b/>
          <w:i/>
          <w:sz w:val="20"/>
          <w:szCs w:val="20"/>
        </w:rPr>
        <w:t>Kose et al</w:t>
      </w:r>
      <w:r w:rsidR="00792121">
        <w:rPr>
          <w:rFonts w:ascii="Times New Roman" w:hAnsi="Times New Roman" w:cs="Times New Roman"/>
          <w:b/>
          <w:i/>
          <w:sz w:val="20"/>
          <w:szCs w:val="20"/>
          <w:vertAlign w:val="superscript"/>
        </w:rPr>
        <w:t>14</w:t>
      </w:r>
      <w:r w:rsidRPr="00445E5B">
        <w:rPr>
          <w:rFonts w:ascii="Times New Roman" w:hAnsi="Times New Roman" w:cs="Times New Roman"/>
          <w:b/>
          <w:i/>
          <w:sz w:val="20"/>
          <w:szCs w:val="20"/>
        </w:rPr>
        <w:t>.</w:t>
      </w:r>
      <w:r w:rsidRPr="00445E5B">
        <w:rPr>
          <w:rFonts w:ascii="Times New Roman" w:hAnsi="Times New Roman" w:cs="Times New Roman"/>
          <w:sz w:val="20"/>
          <w:szCs w:val="20"/>
        </w:rPr>
        <w:t xml:space="preserve"> have observed cartilage formation using chondrocytes and macroporous PHBV under both </w:t>
      </w:r>
      <w:r w:rsidRPr="00445E5B">
        <w:rPr>
          <w:rFonts w:ascii="Times New Roman" w:hAnsi="Times New Roman" w:cs="Times New Roman"/>
          <w:i/>
          <w:sz w:val="20"/>
          <w:szCs w:val="20"/>
        </w:rPr>
        <w:t>invitro</w:t>
      </w:r>
      <w:r w:rsidRPr="00445E5B">
        <w:rPr>
          <w:rFonts w:ascii="Times New Roman" w:hAnsi="Times New Roman" w:cs="Times New Roman"/>
          <w:sz w:val="20"/>
          <w:szCs w:val="20"/>
        </w:rPr>
        <w:t xml:space="preserve"> and </w:t>
      </w:r>
      <w:r w:rsidRPr="00445E5B">
        <w:rPr>
          <w:rFonts w:ascii="Times New Roman" w:hAnsi="Times New Roman" w:cs="Times New Roman"/>
          <w:i/>
          <w:sz w:val="20"/>
          <w:szCs w:val="20"/>
        </w:rPr>
        <w:t>invivo</w:t>
      </w:r>
      <w:r w:rsidRPr="00445E5B">
        <w:rPr>
          <w:rFonts w:ascii="Times New Roman" w:hAnsi="Times New Roman" w:cs="Times New Roman"/>
          <w:sz w:val="20"/>
          <w:szCs w:val="20"/>
        </w:rPr>
        <w:t xml:space="preserve"> conditions. </w:t>
      </w:r>
      <w:r w:rsidRPr="00445E5B">
        <w:rPr>
          <w:rFonts w:ascii="Times New Roman" w:hAnsi="Times New Roman" w:cs="Times New Roman"/>
          <w:b/>
          <w:i/>
          <w:sz w:val="20"/>
          <w:szCs w:val="20"/>
        </w:rPr>
        <w:t>Svensson et al.</w:t>
      </w:r>
      <w:r w:rsidRPr="00445E5B">
        <w:rPr>
          <w:rFonts w:ascii="Times New Roman" w:hAnsi="Times New Roman" w:cs="Times New Roman"/>
          <w:sz w:val="20"/>
          <w:szCs w:val="20"/>
        </w:rPr>
        <w:t>,</w:t>
      </w:r>
      <w:r w:rsidR="00792121">
        <w:rPr>
          <w:rFonts w:ascii="Times New Roman" w:hAnsi="Times New Roman" w:cs="Times New Roman"/>
          <w:sz w:val="20"/>
          <w:szCs w:val="20"/>
          <w:vertAlign w:val="superscript"/>
        </w:rPr>
        <w:t>15</w:t>
      </w:r>
      <w:r w:rsidRPr="00445E5B">
        <w:rPr>
          <w:rFonts w:ascii="Times New Roman" w:hAnsi="Times New Roman" w:cs="Times New Roman"/>
          <w:sz w:val="20"/>
          <w:szCs w:val="20"/>
        </w:rPr>
        <w:t xml:space="preserve"> investigating the potential of native and chemically modified bacterial cellulose to support primary bovine chondrocytes, have found that these scaffolds are good cell carriers for tissue engineering of cartilage. </w:t>
      </w:r>
    </w:p>
    <w:p w:rsid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Synthetic polymers are also widely used materials in cartilage tissue engineering. PGA scaffolds seeded with chondrocytes have been shown to form a cartilage tissue that has similar properties to native cartilage after 20 weeks. PLA scaffolds can induce the formation of a cartilage-like tissue. Poly(ethylene oxide) (PEO) has been tested as an injectable matrix material for chondrocyte transplantation. Poly(</w:t>
      </w:r>
      <w:r w:rsidRPr="00445E5B">
        <w:rPr>
          <w:rFonts w:ascii="Times New Roman" w:hAnsi="Times New Roman" w:cs="Times New Roman"/>
          <w:i/>
          <w:iCs/>
          <w:sz w:val="20"/>
          <w:szCs w:val="20"/>
        </w:rPr>
        <w:t>N</w:t>
      </w:r>
      <w:r w:rsidRPr="00445E5B">
        <w:rPr>
          <w:rFonts w:ascii="Times New Roman" w:hAnsi="Times New Roman" w:cs="Times New Roman"/>
          <w:sz w:val="20"/>
          <w:szCs w:val="20"/>
        </w:rPr>
        <w:t>-isopropylacrylamide) (PNIPAM) is one of the most commonly studied thermoreversible synthetic biomaterials.</w:t>
      </w:r>
    </w:p>
    <w:p w:rsidR="00C74746" w:rsidRPr="00445E5B" w:rsidRDefault="00C74746" w:rsidP="00C74746">
      <w:pPr>
        <w:spacing w:after="0" w:line="240" w:lineRule="auto"/>
        <w:ind w:firstLine="360"/>
        <w:jc w:val="both"/>
        <w:rPr>
          <w:rFonts w:ascii="Times New Roman" w:hAnsi="Times New Roman" w:cs="Times New Roman"/>
          <w:sz w:val="20"/>
          <w:szCs w:val="20"/>
        </w:rPr>
      </w:pPr>
    </w:p>
    <w:p w:rsidR="00445E5B" w:rsidRDefault="00445E5B" w:rsidP="00C74746">
      <w:pPr>
        <w:numPr>
          <w:ilvl w:val="0"/>
          <w:numId w:val="11"/>
        </w:num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Soft tissue </w:t>
      </w:r>
    </w:p>
    <w:p w:rsidR="00C74746" w:rsidRPr="00445E5B" w:rsidRDefault="00C74746" w:rsidP="00C74746">
      <w:pPr>
        <w:spacing w:after="0" w:line="240" w:lineRule="auto"/>
        <w:ind w:left="360"/>
        <w:jc w:val="both"/>
        <w:rPr>
          <w:rFonts w:ascii="Times New Roman" w:hAnsi="Times New Roman" w:cs="Times New Roman"/>
          <w:b/>
          <w:sz w:val="20"/>
          <w:szCs w:val="20"/>
        </w:rPr>
      </w:pPr>
    </w:p>
    <w:p w:rsidR="00445E5B" w:rsidRPr="00445E5B" w:rsidRDefault="00445E5B" w:rsidP="00C74746">
      <w:pPr>
        <w:numPr>
          <w:ilvl w:val="0"/>
          <w:numId w:val="13"/>
        </w:num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Nerve regeneration – </w:t>
      </w:r>
    </w:p>
    <w:p w:rsidR="00445E5B" w:rsidRP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 xml:space="preserve">Peripheral nervous system (PNS) axons have the capacity for regeneration after injury, but if an axon is damaged over a significant distance (longer than 6 mm), it cannot regenerate; outside intervention is needed. An ideal nerve conduit should be neuroinductive and neuroconductive. Scaffolds need to assist regeneration of axons through physical guidance and growth factor presentation. </w:t>
      </w:r>
    </w:p>
    <w:p w:rsidR="00445E5B" w:rsidRP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Growth factors, released from microspheres, Schwann cells and neural progenitors embedded in gels within the tubes provide a similar environment to the autografts and show improvements in recovery. Natural or synthetic gels containing collagen or laminin have also been developed. Guidance is a critical issue in highly anisotropic tissues like those of the nervous system. Patterned surfaces and fibrous materials are used to mimic the complex architecture of this tissue.</w:t>
      </w:r>
    </w:p>
    <w:p w:rsid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Many factors influence the choice of materials, such as the degradation rate, swelling, biocompatibility, and possibility of the incorporation of proteins or neurotrophic factors in the ECM can increase the adhesion and growth potential of cells. One of the most successful materials for nerve regeneration has been observed in PGA. Hydrogels have also been studied as scaffolds for nervous system regeneration</w:t>
      </w:r>
      <w:r w:rsidR="00792121">
        <w:rPr>
          <w:rFonts w:ascii="Times New Roman" w:hAnsi="Times New Roman" w:cs="Times New Roman"/>
          <w:sz w:val="20"/>
          <w:szCs w:val="20"/>
          <w:vertAlign w:val="superscript"/>
        </w:rPr>
        <w:t>16</w:t>
      </w:r>
      <w:r w:rsidRPr="00445E5B">
        <w:rPr>
          <w:rFonts w:ascii="Times New Roman" w:hAnsi="Times New Roman" w:cs="Times New Roman"/>
          <w:sz w:val="20"/>
          <w:szCs w:val="20"/>
        </w:rPr>
        <w:t>.</w:t>
      </w:r>
    </w:p>
    <w:p w:rsidR="00C74746" w:rsidRPr="00445E5B" w:rsidRDefault="00C74746" w:rsidP="00C74746">
      <w:pPr>
        <w:spacing w:after="0" w:line="240" w:lineRule="auto"/>
        <w:ind w:firstLine="360"/>
        <w:jc w:val="both"/>
        <w:rPr>
          <w:rFonts w:ascii="Times New Roman" w:hAnsi="Times New Roman" w:cs="Times New Roman"/>
          <w:sz w:val="20"/>
          <w:szCs w:val="20"/>
        </w:rPr>
      </w:pPr>
    </w:p>
    <w:p w:rsidR="00445E5B" w:rsidRPr="00445E5B" w:rsidRDefault="00445E5B" w:rsidP="00C74746">
      <w:pPr>
        <w:numPr>
          <w:ilvl w:val="0"/>
          <w:numId w:val="13"/>
        </w:num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Muscle regeneration –</w:t>
      </w:r>
    </w:p>
    <w:p w:rsidR="00445E5B" w:rsidRP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 xml:space="preserve">Between the three types of muscle tissue – cardiac, smooth and skeletal – the cardiac muscle regeneration is of particular importance due to limited regeneration capabilities in mammals. </w:t>
      </w:r>
    </w:p>
    <w:p w:rsidR="00445E5B" w:rsidRP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lastRenderedPageBreak/>
        <w:t>For construction of tissue-engineered products, cardiac muscle cells (cardiomyocytes) have been obtained from human ESCs and human induced pluripotent stem cells. In addition to cell sources, the type of cells, seeding density and composition of the culture medium are parameters that have to be taken into consideration when constructing a heart muscle substitute.</w:t>
      </w:r>
    </w:p>
    <w:p w:rsidR="00445E5B" w:rsidRP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Scaffolds made from the nanofibers of PCL and collagen have been evaluated for smooth muscle tissue engineering. The growth of cells were directed by nanofiber orientation, and the cells were able to maintain a typical phenotype shape.</w:t>
      </w:r>
    </w:p>
    <w:p w:rsid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Skeletal muscle has a massive capacity for regeneration without external intervention. Muscle tissue is constantly being destroyed, repaired and remodelled. Although in the case of very hard injury, the regeneration capacity could be limited or lost. Popular biomaterials as scaffolds for the regeneration of skeletal muscle tissue are hydrogels or fibrous meshes. In the development of regenerative methods based on various scaffolds for muscle tissue engineering, electrical stimulation was shown to support better differentiation potential of muscle precursor cells</w:t>
      </w:r>
      <w:r w:rsidR="00792121">
        <w:rPr>
          <w:rFonts w:ascii="Times New Roman" w:hAnsi="Times New Roman" w:cs="Times New Roman"/>
          <w:sz w:val="20"/>
          <w:szCs w:val="20"/>
          <w:vertAlign w:val="superscript"/>
        </w:rPr>
        <w:t>13</w:t>
      </w:r>
      <w:r w:rsidRPr="00445E5B">
        <w:rPr>
          <w:rFonts w:ascii="Times New Roman" w:hAnsi="Times New Roman" w:cs="Times New Roman"/>
          <w:sz w:val="20"/>
          <w:szCs w:val="20"/>
        </w:rPr>
        <w:t>.</w:t>
      </w:r>
    </w:p>
    <w:p w:rsidR="00C74746" w:rsidRPr="00445E5B" w:rsidRDefault="00C74746" w:rsidP="00C74746">
      <w:pPr>
        <w:spacing w:after="0" w:line="240" w:lineRule="auto"/>
        <w:ind w:firstLine="360"/>
        <w:jc w:val="both"/>
        <w:rPr>
          <w:rFonts w:ascii="Times New Roman" w:hAnsi="Times New Roman" w:cs="Times New Roman"/>
          <w:sz w:val="20"/>
          <w:szCs w:val="20"/>
        </w:rPr>
      </w:pPr>
    </w:p>
    <w:p w:rsidR="00445E5B" w:rsidRPr="00445E5B" w:rsidRDefault="00445E5B" w:rsidP="00C74746">
      <w:pPr>
        <w:numPr>
          <w:ilvl w:val="0"/>
          <w:numId w:val="13"/>
        </w:num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Tendon and ligament regeneration – </w:t>
      </w:r>
    </w:p>
    <w:p w:rsidR="00445E5B" w:rsidRP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 xml:space="preserve">Tendon and ligament injuries are quite common injuries of connective tissue. Surgical repair is the most commonly used method but often leads to degeneration of the frayed tissue. Tendons do not naturally regenerate very well after even minor injuries. Hence, 3D scaffolds are of major importance for regeneration purposes. The 3D scaffolds must provide a suitable bio-environment and adequate mechanical properties such as elastic modulus, toughness and ultimate strength. The natural grafts often fail to bring back the mechanical and structural properties of the original tissue. </w:t>
      </w:r>
    </w:p>
    <w:p w:rsid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The major attention in ligament TE is given to the anterior cruciate ligament (ACL), which stabilizes the knee, because of its poor healing capabilities. For the reconstitution of ACL, the PLLA combined with silk fibers has been tested to mimic the natural mechanical properties and to deliver growth factors. The mechanically strong PLLA nanofibers combined with flexible PCL nanofibers have also been tested for ACL regeneration. This material was able to release growth factors and support the proliferation of human mesenchymal stem cells (hMSC), and regenerative tissues express critical ligament markers</w:t>
      </w:r>
      <w:r w:rsidR="00792121">
        <w:rPr>
          <w:rFonts w:ascii="Times New Roman" w:hAnsi="Times New Roman" w:cs="Times New Roman"/>
          <w:sz w:val="20"/>
          <w:szCs w:val="20"/>
          <w:vertAlign w:val="superscript"/>
        </w:rPr>
        <w:t>13</w:t>
      </w:r>
      <w:r w:rsidRPr="00445E5B">
        <w:rPr>
          <w:rFonts w:ascii="Times New Roman" w:hAnsi="Times New Roman" w:cs="Times New Roman"/>
          <w:sz w:val="20"/>
          <w:szCs w:val="20"/>
        </w:rPr>
        <w:t>.</w:t>
      </w:r>
    </w:p>
    <w:p w:rsidR="00C74746" w:rsidRPr="00445E5B" w:rsidRDefault="00C74746" w:rsidP="00C74746">
      <w:pPr>
        <w:spacing w:after="0" w:line="240" w:lineRule="auto"/>
        <w:ind w:firstLine="360"/>
        <w:jc w:val="both"/>
        <w:rPr>
          <w:rFonts w:ascii="Times New Roman" w:hAnsi="Times New Roman" w:cs="Times New Roman"/>
          <w:sz w:val="20"/>
          <w:szCs w:val="20"/>
        </w:rPr>
      </w:pPr>
    </w:p>
    <w:p w:rsidR="00445E5B" w:rsidRPr="00445E5B" w:rsidRDefault="00445E5B" w:rsidP="00C74746">
      <w:pPr>
        <w:numPr>
          <w:ilvl w:val="0"/>
          <w:numId w:val="13"/>
        </w:num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Skin tissue engineering – </w:t>
      </w:r>
    </w:p>
    <w:p w:rsidR="00445E5B" w:rsidRP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 xml:space="preserve">The most common and appropriate way of treating skin defects is to use autologous skin grafts. This method includes harvesting skin from the patient and transferring it to the injured area. Besides being a painful procedure, harvesting causes morbidity at the donor site, and it cannot be applied for defects larger than 50% of the total body surface area (TBSA). In addition, large and deep wounds cannot be covered with autologous skin grafts since only areas smaller than 2% of the TBSA are suitable for application of full-thickness skin grafts. Skin tissue engineering products have been designed to cover the injured area, preventing microbial infection and heat and fluid loss, as well as promoting the healing process, no matter how large the wound. </w:t>
      </w:r>
    </w:p>
    <w:p w:rsidR="00445E5B" w:rsidRP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 xml:space="preserve">Skin substitutes can be acellular or cellular, carrying either autologous or allogenic cells. Acellular skin substitutions are generally used for the treatment of partial-thickness wounds. Allogenic cellular skin substitutes are generally for temporary rather than permanent use. Grafts with allogenic cells achieve wound coverage and promote wound healing, but allogenic cells do not survive in the patient after the healing process is accomplished. Cells for autologous cellular skin substitutes are obtained from biopsies of the patients’ own tissue or </w:t>
      </w:r>
      <w:r w:rsidR="003F7418">
        <w:rPr>
          <w:rFonts w:ascii="Times New Roman" w:hAnsi="Times New Roman" w:cs="Times New Roman"/>
          <w:sz w:val="20"/>
          <w:szCs w:val="20"/>
        </w:rPr>
        <w:t>from the outer root sheath</w:t>
      </w:r>
      <w:r w:rsidRPr="00445E5B">
        <w:rPr>
          <w:rFonts w:ascii="Times New Roman" w:hAnsi="Times New Roman" w:cs="Times New Roman"/>
          <w:sz w:val="20"/>
          <w:szCs w:val="20"/>
        </w:rPr>
        <w:t xml:space="preserve"> of hair follicles. Cells are allowed to proliferate in cell culture and are then applied as epithelial sheets or combined with biopolymers. Autologous cellular substitutes are considered permanent skin substitutes. </w:t>
      </w:r>
    </w:p>
    <w:p w:rsid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Even though scaffold-based skin substitutes have been widely used, they still have several limitations, with vascularization being the most serious problem. The most common approach for vascularization is introduction of VEGF to the scaffold. The limit of the thickness of an artificial skin that can become vascularized easily is said to be around 0.4 mm. Substitutes thicker than this can be applied with a two-step approach that allows the skin substitute adequate time to vascularize in between</w:t>
      </w:r>
      <w:r w:rsidR="00792121">
        <w:rPr>
          <w:rFonts w:ascii="Times New Roman" w:hAnsi="Times New Roman" w:cs="Times New Roman"/>
          <w:sz w:val="20"/>
          <w:szCs w:val="20"/>
          <w:vertAlign w:val="superscript"/>
        </w:rPr>
        <w:t>13</w:t>
      </w:r>
      <w:r w:rsidRPr="00445E5B">
        <w:rPr>
          <w:rFonts w:ascii="Times New Roman" w:hAnsi="Times New Roman" w:cs="Times New Roman"/>
          <w:sz w:val="20"/>
          <w:szCs w:val="20"/>
        </w:rPr>
        <w:t>.</w:t>
      </w:r>
    </w:p>
    <w:p w:rsidR="00C74746" w:rsidRPr="00445E5B" w:rsidRDefault="00C74746" w:rsidP="00C74746">
      <w:pPr>
        <w:spacing w:after="0" w:line="240" w:lineRule="auto"/>
        <w:ind w:firstLine="360"/>
        <w:jc w:val="both"/>
        <w:rPr>
          <w:rFonts w:ascii="Times New Roman" w:hAnsi="Times New Roman" w:cs="Times New Roman"/>
          <w:sz w:val="20"/>
          <w:szCs w:val="20"/>
        </w:rPr>
      </w:pPr>
    </w:p>
    <w:p w:rsidR="00445E5B" w:rsidRPr="00445E5B" w:rsidRDefault="00445E5B" w:rsidP="00C74746">
      <w:pPr>
        <w:numPr>
          <w:ilvl w:val="0"/>
          <w:numId w:val="13"/>
        </w:num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Vascular tissue engineering – </w:t>
      </w:r>
    </w:p>
    <w:p w:rsidR="00445E5B" w:rsidRP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 xml:space="preserve">The use of natural tissues as blood vessel substitutes is presumed to make the graft more resistant and less immunogenic. Detergents and enzymes are used to remove the cells (decellularization) and their surface antigens to prepare acellular matrices to be used as scaffolds. The reconstitution of biological structures by decellularization is an attempt to mimic the natural vascular architecture because these materials have mechanical, biological and chemical advantages over synthetic materials. </w:t>
      </w:r>
    </w:p>
    <w:p w:rsid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The use of these matrices with repopulation by human cells can be contemplated in the building of perfusable constructs. Collagen has low antigenic, low inflammatory, and almost no cytotoxic responses, and thus represents a preferential natural scaffold material. Elastin confers elasticity and recoiling ability to blood vessels and is the main ECM protein of the arterial wall</w:t>
      </w:r>
      <w:r w:rsidR="00792121">
        <w:rPr>
          <w:rFonts w:ascii="Times New Roman" w:hAnsi="Times New Roman" w:cs="Times New Roman"/>
          <w:sz w:val="20"/>
          <w:szCs w:val="20"/>
          <w:vertAlign w:val="superscript"/>
        </w:rPr>
        <w:t>13</w:t>
      </w:r>
      <w:r w:rsidRPr="00445E5B">
        <w:rPr>
          <w:rFonts w:ascii="Times New Roman" w:hAnsi="Times New Roman" w:cs="Times New Roman"/>
          <w:sz w:val="20"/>
          <w:szCs w:val="20"/>
        </w:rPr>
        <w:t>.</w:t>
      </w:r>
    </w:p>
    <w:p w:rsidR="00C74746" w:rsidRPr="00445E5B" w:rsidRDefault="00C74746" w:rsidP="00C74746">
      <w:pPr>
        <w:spacing w:after="0" w:line="240" w:lineRule="auto"/>
        <w:ind w:firstLine="360"/>
        <w:jc w:val="both"/>
        <w:rPr>
          <w:rFonts w:ascii="Times New Roman" w:hAnsi="Times New Roman" w:cs="Times New Roman"/>
          <w:sz w:val="20"/>
          <w:szCs w:val="20"/>
        </w:rPr>
      </w:pPr>
    </w:p>
    <w:p w:rsidR="00445E5B" w:rsidRPr="00445E5B" w:rsidRDefault="00445E5B" w:rsidP="00C74746">
      <w:pPr>
        <w:numPr>
          <w:ilvl w:val="0"/>
          <w:numId w:val="13"/>
        </w:num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lastRenderedPageBreak/>
        <w:t xml:space="preserve">Cornea tissue engineering – </w:t>
      </w:r>
    </w:p>
    <w:p w:rsidR="00445E5B" w:rsidRDefault="00445E5B" w:rsidP="00C74746">
      <w:pPr>
        <w:spacing w:after="0" w:line="240" w:lineRule="auto"/>
        <w:ind w:firstLine="360"/>
        <w:jc w:val="both"/>
        <w:rPr>
          <w:rFonts w:ascii="Times New Roman" w:hAnsi="Times New Roman" w:cs="Times New Roman"/>
          <w:sz w:val="20"/>
          <w:szCs w:val="20"/>
        </w:rPr>
      </w:pPr>
      <w:r w:rsidRPr="00445E5B">
        <w:rPr>
          <w:rFonts w:ascii="Times New Roman" w:hAnsi="Times New Roman" w:cs="Times New Roman"/>
          <w:sz w:val="20"/>
          <w:szCs w:val="20"/>
        </w:rPr>
        <w:t>The fact that the cornea is avascular is a major challenge that obtained its physiological needs from lachrymal fluids at the front and aqueous humour due to need for donor corneas and rejection. The use of suitable scaffold and the patient’s limbal cells to colonise the substrate was considered in the recent research for a new cornea by tissue engineers</w:t>
      </w:r>
      <w:r w:rsidR="00792121">
        <w:rPr>
          <w:rFonts w:ascii="Times New Roman" w:hAnsi="Times New Roman" w:cs="Times New Roman"/>
          <w:sz w:val="20"/>
          <w:szCs w:val="20"/>
          <w:vertAlign w:val="superscript"/>
        </w:rPr>
        <w:t>13</w:t>
      </w:r>
      <w:r w:rsidRPr="00445E5B">
        <w:rPr>
          <w:rFonts w:ascii="Times New Roman" w:hAnsi="Times New Roman" w:cs="Times New Roman"/>
          <w:sz w:val="20"/>
          <w:szCs w:val="20"/>
        </w:rPr>
        <w:t>.</w:t>
      </w:r>
    </w:p>
    <w:p w:rsidR="00C74746" w:rsidRPr="00445E5B" w:rsidRDefault="00C74746" w:rsidP="00C74746">
      <w:pPr>
        <w:spacing w:after="0" w:line="240" w:lineRule="auto"/>
        <w:ind w:firstLine="360"/>
        <w:jc w:val="both"/>
        <w:rPr>
          <w:rFonts w:ascii="Times New Roman" w:hAnsi="Times New Roman" w:cs="Times New Roman"/>
          <w:sz w:val="20"/>
          <w:szCs w:val="20"/>
        </w:rPr>
      </w:pPr>
    </w:p>
    <w:p w:rsidR="00445E5B" w:rsidRPr="00C74746" w:rsidRDefault="00445E5B" w:rsidP="00C74746">
      <w:pPr>
        <w:pStyle w:val="ListParagraph"/>
        <w:numPr>
          <w:ilvl w:val="0"/>
          <w:numId w:val="30"/>
        </w:numPr>
        <w:spacing w:after="0" w:line="240" w:lineRule="auto"/>
        <w:jc w:val="center"/>
        <w:rPr>
          <w:rFonts w:ascii="Times New Roman" w:hAnsi="Times New Roman" w:cs="Times New Roman"/>
          <w:b/>
          <w:sz w:val="20"/>
          <w:szCs w:val="20"/>
        </w:rPr>
      </w:pPr>
      <w:r w:rsidRPr="00C74746">
        <w:rPr>
          <w:rFonts w:ascii="Times New Roman" w:hAnsi="Times New Roman" w:cs="Times New Roman"/>
          <w:b/>
          <w:sz w:val="20"/>
          <w:szCs w:val="20"/>
        </w:rPr>
        <w:t>APPLICATIONS OF TISSUE ENGINEERING IN DENTISTRY</w:t>
      </w:r>
    </w:p>
    <w:p w:rsidR="00C74746" w:rsidRDefault="00C74746" w:rsidP="00C74746">
      <w:pPr>
        <w:spacing w:after="0" w:line="240" w:lineRule="auto"/>
        <w:jc w:val="both"/>
        <w:rPr>
          <w:rFonts w:ascii="Times New Roman" w:hAnsi="Times New Roman" w:cs="Times New Roman"/>
          <w:sz w:val="20"/>
          <w:szCs w:val="20"/>
        </w:rPr>
      </w:pP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Caries, trauma, erosion and periodontal disease are pathologies characterized by the damage and loss of dental tissues and sometimes loss of the whole tooth. Restorations of damaged tooth tissues and substitution of missing teeth with artificial prostheses represent the traditional therapeutic solutions</w:t>
      </w:r>
      <w:r w:rsidR="00792121">
        <w:rPr>
          <w:rFonts w:ascii="Times New Roman" w:hAnsi="Times New Roman" w:cs="Times New Roman"/>
          <w:sz w:val="20"/>
          <w:szCs w:val="20"/>
          <w:vertAlign w:val="superscript"/>
        </w:rPr>
        <w:t>17</w:t>
      </w:r>
      <w:r w:rsidRPr="00445E5B">
        <w:rPr>
          <w:rFonts w:ascii="Times New Roman" w:hAnsi="Times New Roman" w:cs="Times New Roman"/>
          <w:sz w:val="20"/>
          <w:szCs w:val="20"/>
        </w:rPr>
        <w:t>. Dental implants, such as titanium implants, has the advantage that it can rapidly recover tooth function with a natural appearance</w:t>
      </w:r>
      <w:r w:rsidR="00792121">
        <w:rPr>
          <w:rFonts w:ascii="Times New Roman" w:hAnsi="Times New Roman" w:cs="Times New Roman"/>
          <w:sz w:val="20"/>
          <w:szCs w:val="20"/>
          <w:vertAlign w:val="superscript"/>
        </w:rPr>
        <w:t>18</w:t>
      </w:r>
      <w:r w:rsidRPr="00445E5B">
        <w:rPr>
          <w:rFonts w:ascii="Times New Roman" w:hAnsi="Times New Roman" w:cs="Times New Roman"/>
          <w:sz w:val="20"/>
          <w:szCs w:val="20"/>
        </w:rPr>
        <w:t>. However, dental implants function through osseointegration, the direct connection between the implant and the surrounding alveolar bone, and lack periodontal and cementum tissues present in naturally formed teeth, which function to cushion and modulate the mechanical stress of mastication. These disadvantages have prompted an ongoing search for alternative methods that would overcome the need for root canal treatment, autologous tooth harvest for auto-transplan</w:t>
      </w:r>
      <w:r w:rsidR="0026778E">
        <w:rPr>
          <w:rFonts w:ascii="Times New Roman" w:hAnsi="Times New Roman" w:cs="Times New Roman"/>
          <w:sz w:val="20"/>
          <w:szCs w:val="20"/>
        </w:rPr>
        <w:t>t</w:t>
      </w:r>
      <w:r w:rsidRPr="00445E5B">
        <w:rPr>
          <w:rFonts w:ascii="Times New Roman" w:hAnsi="Times New Roman" w:cs="Times New Roman"/>
          <w:sz w:val="20"/>
          <w:szCs w:val="20"/>
        </w:rPr>
        <w:t>ation and dental implants.</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Scientific advances in stem cell biology and tissue engineering technology have shown the potential use of dental stem cells, combined with biodegradable scaffolds supplied with bio-active agents, such as growth factors, to control the spatial and temporal organization of dental progenitor cell proliferation, differentiation and function. Tooth engineering involving epithelial–mesenchymal interactions could be a model system to evaluate not only tooth development but also the revascularization and reinnervation of the bio-engineered tooth. Therefore, tissue engineering efforts have been focused on the development of new culture systems, part or whole tooth regeneration and vascularization and periodontium regeneration. Natural tooth formation is a highly complicated molecular process, where the spatiotemporal expression and interactions of growth factors, cytokines and transcription factors direct macromorphological (crown size, tooth length) and micromorphological (cusp number and position, root formation) tooth development. Proper control of these interactions is needed in order to generate bio-engineered teeth of specified size and shape.</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For the tissue engineering of any dental tissues, the biomimetic of the original tissue should be carefully developed to reproduce the natural tissue, respecting its morphological and functional characteristics. For that, scaffolds should ha</w:t>
      </w:r>
      <w:r w:rsidR="003F7418">
        <w:rPr>
          <w:rFonts w:ascii="Times New Roman" w:hAnsi="Times New Roman" w:cs="Times New Roman"/>
          <w:sz w:val="20"/>
          <w:szCs w:val="20"/>
        </w:rPr>
        <w:t>ve adequate stability</w:t>
      </w:r>
      <w:r w:rsidRPr="00445E5B">
        <w:rPr>
          <w:rFonts w:ascii="Times New Roman" w:hAnsi="Times New Roman" w:cs="Times New Roman"/>
          <w:sz w:val="20"/>
          <w:szCs w:val="20"/>
        </w:rPr>
        <w:t>, biocompatibility, and bioprocess control; these characteristics are needful considering cell signalling processes. In addition, cells should have besides adequate environment and should be present high adhesion for allowing their tissue differentiation and no migration, and the nutrient perfusion should reach the cellular component into different scaffold gradients</w:t>
      </w:r>
      <w:r w:rsidR="00792121">
        <w:rPr>
          <w:rFonts w:ascii="Times New Roman" w:hAnsi="Times New Roman" w:cs="Times New Roman"/>
          <w:sz w:val="20"/>
          <w:szCs w:val="20"/>
          <w:vertAlign w:val="superscript"/>
        </w:rPr>
        <w:t>19</w:t>
      </w:r>
      <w:r w:rsidRPr="00445E5B">
        <w:rPr>
          <w:rFonts w:ascii="Times New Roman" w:hAnsi="Times New Roman" w:cs="Times New Roman"/>
          <w:sz w:val="20"/>
          <w:szCs w:val="20"/>
        </w:rPr>
        <w:t>.</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Scaffolds for regeneration of pulp - dentine complex – </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Despite the high clinical success rate of traditional root canal therapy following removal of a dental pulp (pulpectomy), other consequences need to be considered. For instance:</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b/>
          <w:bCs/>
          <w:sz w:val="20"/>
          <w:szCs w:val="20"/>
        </w:rPr>
        <w:t xml:space="preserve">1. </w:t>
      </w:r>
      <w:r w:rsidRPr="00445E5B">
        <w:rPr>
          <w:rFonts w:ascii="Times New Roman" w:hAnsi="Times New Roman" w:cs="Times New Roman"/>
          <w:sz w:val="20"/>
          <w:szCs w:val="20"/>
        </w:rPr>
        <w:t>In a root canal–treated tooth, the esthetics are of the tooth crown, which are affected through structural loss of tissues or discoloration of the crown by staining from the endodontic filling material.</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b/>
          <w:bCs/>
          <w:sz w:val="20"/>
          <w:szCs w:val="20"/>
        </w:rPr>
        <w:t xml:space="preserve">2. </w:t>
      </w:r>
      <w:r w:rsidRPr="00445E5B">
        <w:rPr>
          <w:rFonts w:ascii="Times New Roman" w:hAnsi="Times New Roman" w:cs="Times New Roman"/>
          <w:sz w:val="20"/>
          <w:szCs w:val="20"/>
        </w:rPr>
        <w:t>The structural integrity of root canal–treated teeth may also be undermined because of loss of tooth structure and subsequent restorative procedures.</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b/>
          <w:bCs/>
          <w:sz w:val="20"/>
          <w:szCs w:val="20"/>
        </w:rPr>
        <w:t xml:space="preserve">3. </w:t>
      </w:r>
      <w:r w:rsidRPr="00445E5B">
        <w:rPr>
          <w:rFonts w:ascii="Times New Roman" w:hAnsi="Times New Roman" w:cs="Times New Roman"/>
          <w:sz w:val="20"/>
          <w:szCs w:val="20"/>
        </w:rPr>
        <w:t>Pulpless teeth lose some of their ability to sense environmental changes, which may lead to the progression of caries being unnoticed by patients.</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b/>
          <w:bCs/>
          <w:sz w:val="20"/>
          <w:szCs w:val="20"/>
        </w:rPr>
        <w:t xml:space="preserve">4. </w:t>
      </w:r>
      <w:r w:rsidRPr="00445E5B">
        <w:rPr>
          <w:rFonts w:ascii="Times New Roman" w:hAnsi="Times New Roman" w:cs="Times New Roman"/>
          <w:sz w:val="20"/>
          <w:szCs w:val="20"/>
        </w:rPr>
        <w:t>Long-term studies have shown that tooth loss is higher for root canal–treated teeth than non-treated because of secondary caries and associated complex restoration problems.</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Advances in tissue engineering and biotechnology have opened new directions for designing biological methods for pulp treatment that are aimed at </w:t>
      </w:r>
      <w:r w:rsidRPr="00445E5B">
        <w:rPr>
          <w:rFonts w:ascii="Times New Roman" w:hAnsi="Times New Roman" w:cs="Times New Roman"/>
          <w:i/>
          <w:sz w:val="20"/>
          <w:szCs w:val="20"/>
        </w:rPr>
        <w:t xml:space="preserve">insitu </w:t>
      </w:r>
      <w:r w:rsidRPr="00445E5B">
        <w:rPr>
          <w:rFonts w:ascii="Times New Roman" w:hAnsi="Times New Roman" w:cs="Times New Roman"/>
          <w:sz w:val="20"/>
          <w:szCs w:val="20"/>
        </w:rPr>
        <w:t xml:space="preserve">regeneration of partial pulp or </w:t>
      </w:r>
      <w:r w:rsidRPr="00445E5B">
        <w:rPr>
          <w:rFonts w:ascii="Times New Roman" w:hAnsi="Times New Roman" w:cs="Times New Roman"/>
          <w:i/>
          <w:sz w:val="20"/>
          <w:szCs w:val="20"/>
        </w:rPr>
        <w:t>denovo</w:t>
      </w:r>
      <w:r w:rsidRPr="00445E5B">
        <w:rPr>
          <w:rFonts w:ascii="Times New Roman" w:hAnsi="Times New Roman" w:cs="Times New Roman"/>
          <w:sz w:val="20"/>
          <w:szCs w:val="20"/>
        </w:rPr>
        <w:t xml:space="preserve"> synthesis of total pulp replacement. The approaches include </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(1) An effort to harness the pulp’s own regenerative capacity, i.e., induce host cells from the apical region of the pulp to migrate toward the interior of the root canal or</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(2) The replacement of the entire pulp tissue by transplantation of </w:t>
      </w:r>
      <w:r w:rsidRPr="00445E5B">
        <w:rPr>
          <w:rFonts w:ascii="Times New Roman" w:hAnsi="Times New Roman" w:cs="Times New Roman"/>
          <w:i/>
          <w:sz w:val="20"/>
          <w:szCs w:val="20"/>
        </w:rPr>
        <w:t>invitro</w:t>
      </w:r>
      <w:r w:rsidRPr="00445E5B">
        <w:rPr>
          <w:rFonts w:ascii="Times New Roman" w:hAnsi="Times New Roman" w:cs="Times New Roman"/>
          <w:sz w:val="20"/>
          <w:szCs w:val="20"/>
        </w:rPr>
        <w:t xml:space="preserve"> engineered pulp tissue</w:t>
      </w:r>
      <w:r w:rsidR="00792121">
        <w:rPr>
          <w:rFonts w:ascii="Times New Roman" w:hAnsi="Times New Roman" w:cs="Times New Roman"/>
          <w:sz w:val="20"/>
          <w:szCs w:val="20"/>
          <w:vertAlign w:val="superscript"/>
        </w:rPr>
        <w:t>19</w:t>
      </w:r>
      <w:r w:rsidRPr="00445E5B">
        <w:rPr>
          <w:rFonts w:ascii="Times New Roman" w:hAnsi="Times New Roman" w:cs="Times New Roman"/>
          <w:sz w:val="20"/>
          <w:szCs w:val="20"/>
        </w:rPr>
        <w:t>.</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b/>
          <w:sz w:val="20"/>
          <w:szCs w:val="20"/>
        </w:rPr>
        <w:t>Cell homing</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The American Association of Endodontists (AAE) has focused its regenerative endodontics effort on revitalization of dental pulp and continuous root development in immature permanent teeth. The current goal of regenerative endodontics is to restore the vitality of dental pulp in immature, developing permanent teeth and to enable otherwise arrested root development. Studies conducted by them have finally lead to a procedure called cell homing</w:t>
      </w:r>
      <w:r w:rsidR="00792121">
        <w:rPr>
          <w:rFonts w:ascii="Times New Roman" w:hAnsi="Times New Roman" w:cs="Times New Roman"/>
          <w:sz w:val="20"/>
          <w:szCs w:val="20"/>
          <w:vertAlign w:val="superscript"/>
        </w:rPr>
        <w:t>20</w:t>
      </w:r>
      <w:r w:rsidRPr="00445E5B">
        <w:rPr>
          <w:rFonts w:ascii="Times New Roman" w:hAnsi="Times New Roman" w:cs="Times New Roman"/>
          <w:sz w:val="20"/>
          <w:szCs w:val="20"/>
        </w:rPr>
        <w:t xml:space="preserve">.   </w:t>
      </w:r>
    </w:p>
    <w:p w:rsidR="00445E5B" w:rsidRPr="00445E5B" w:rsidRDefault="0015288C"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noProof/>
          <w:sz w:val="20"/>
          <w:szCs w:val="20"/>
          <w:lang w:eastAsia="en-IN"/>
        </w:rPr>
        <w:lastRenderedPageBreak/>
        <w:drawing>
          <wp:anchor distT="0" distB="0" distL="114300" distR="114300" simplePos="0" relativeHeight="251667456" behindDoc="0" locked="0" layoutInCell="1" allowOverlap="1" wp14:anchorId="5C17DCCA" wp14:editId="1A7E290C">
            <wp:simplePos x="0" y="0"/>
            <wp:positionH relativeFrom="column">
              <wp:posOffset>1585595</wp:posOffset>
            </wp:positionH>
            <wp:positionV relativeFrom="paragraph">
              <wp:posOffset>1147445</wp:posOffset>
            </wp:positionV>
            <wp:extent cx="2552700" cy="1698178"/>
            <wp:effectExtent l="57150" t="57150" r="114300" b="11176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3199"/>
                    <a:stretch/>
                  </pic:blipFill>
                  <pic:spPr bwMode="auto">
                    <a:xfrm>
                      <a:off x="0" y="0"/>
                      <a:ext cx="2552700" cy="169817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445E5B" w:rsidRPr="00445E5B">
        <w:rPr>
          <w:rFonts w:ascii="Times New Roman" w:hAnsi="Times New Roman" w:cs="Times New Roman"/>
          <w:sz w:val="20"/>
          <w:szCs w:val="20"/>
        </w:rPr>
        <w:t xml:space="preserve">Cell homing is regarded as an active means of recruitment of endogenous cells, including stem/progenitor cells, into an anatomical location. The regenerative technique by chemotactic cell homing represents an alternative approach for pulp regeneration compared with mainstream cell transplantation. Such an approach was also proposed for </w:t>
      </w:r>
      <w:r w:rsidR="00445E5B" w:rsidRPr="00445E5B">
        <w:rPr>
          <w:rFonts w:ascii="Times New Roman" w:hAnsi="Times New Roman" w:cs="Times New Roman"/>
          <w:i/>
          <w:sz w:val="20"/>
          <w:szCs w:val="20"/>
        </w:rPr>
        <w:t>in</w:t>
      </w:r>
      <w:r w:rsidR="003F7418">
        <w:rPr>
          <w:rFonts w:ascii="Times New Roman" w:hAnsi="Times New Roman" w:cs="Times New Roman"/>
          <w:i/>
          <w:sz w:val="20"/>
          <w:szCs w:val="20"/>
        </w:rPr>
        <w:t xml:space="preserve"> </w:t>
      </w:r>
      <w:r w:rsidR="00445E5B" w:rsidRPr="00445E5B">
        <w:rPr>
          <w:rFonts w:ascii="Times New Roman" w:hAnsi="Times New Roman" w:cs="Times New Roman"/>
          <w:i/>
          <w:sz w:val="20"/>
          <w:szCs w:val="20"/>
        </w:rPr>
        <w:t>situ</w:t>
      </w:r>
      <w:r w:rsidR="00445E5B" w:rsidRPr="00445E5B">
        <w:rPr>
          <w:rFonts w:ascii="Times New Roman" w:hAnsi="Times New Roman" w:cs="Times New Roman"/>
          <w:sz w:val="20"/>
          <w:szCs w:val="20"/>
        </w:rPr>
        <w:t xml:space="preserve"> pulp and periodontal tissue regeneration. In this concept, different bioactive cues were adsorbed or encapsulated into biomaterial scaffolds. Upon release of these bioactive cues into endodontically treated root canals, local and/or systemic cells, including stem/progenitor cells, migrated and homed </w:t>
      </w:r>
      <w:r w:rsidR="00445E5B" w:rsidRPr="00445E5B">
        <w:rPr>
          <w:rFonts w:ascii="Times New Roman" w:hAnsi="Times New Roman" w:cs="Times New Roman"/>
          <w:i/>
          <w:sz w:val="20"/>
          <w:szCs w:val="20"/>
        </w:rPr>
        <w:t>in</w:t>
      </w:r>
      <w:r w:rsidR="003F7418">
        <w:rPr>
          <w:rFonts w:ascii="Times New Roman" w:hAnsi="Times New Roman" w:cs="Times New Roman"/>
          <w:i/>
          <w:sz w:val="20"/>
          <w:szCs w:val="20"/>
        </w:rPr>
        <w:t xml:space="preserve"> </w:t>
      </w:r>
      <w:r w:rsidR="00445E5B" w:rsidRPr="00445E5B">
        <w:rPr>
          <w:rFonts w:ascii="Times New Roman" w:hAnsi="Times New Roman" w:cs="Times New Roman"/>
          <w:i/>
          <w:sz w:val="20"/>
          <w:szCs w:val="20"/>
        </w:rPr>
        <w:t>vivo</w:t>
      </w:r>
      <w:r w:rsidR="00445E5B" w:rsidRPr="00445E5B">
        <w:rPr>
          <w:rFonts w:ascii="Times New Roman" w:hAnsi="Times New Roman" w:cs="Times New Roman"/>
          <w:sz w:val="20"/>
          <w:szCs w:val="20"/>
        </w:rPr>
        <w:t xml:space="preserve"> into the root canal, leading to subsequent pulp regeneration</w:t>
      </w:r>
      <w:r w:rsidR="006E5282">
        <w:rPr>
          <w:rFonts w:ascii="Times New Roman" w:hAnsi="Times New Roman" w:cs="Times New Roman"/>
          <w:sz w:val="20"/>
          <w:szCs w:val="20"/>
          <w:vertAlign w:val="superscript"/>
        </w:rPr>
        <w:t>21</w:t>
      </w:r>
      <w:r w:rsidR="00445E5B" w:rsidRPr="00445E5B">
        <w:rPr>
          <w:rFonts w:ascii="Times New Roman" w:hAnsi="Times New Roman" w:cs="Times New Roman"/>
          <w:sz w:val="20"/>
          <w:szCs w:val="20"/>
        </w:rPr>
        <w:t>.</w:t>
      </w:r>
    </w:p>
    <w:p w:rsidR="00445E5B" w:rsidRDefault="00AE245D" w:rsidP="00C747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61C48">
        <w:rPr>
          <w:rFonts w:ascii="Times New Roman" w:hAnsi="Times New Roman" w:cs="Times New Roman"/>
          <w:sz w:val="20"/>
          <w:szCs w:val="20"/>
        </w:rPr>
        <w:t>Figure 3: Infusion of bioactive cues in scaffolds</w:t>
      </w:r>
    </w:p>
    <w:p w:rsidR="00AE245D" w:rsidRPr="00445E5B" w:rsidRDefault="00AE245D" w:rsidP="00C74746">
      <w:pPr>
        <w:spacing w:after="0" w:line="240" w:lineRule="auto"/>
        <w:jc w:val="both"/>
        <w:rPr>
          <w:rFonts w:ascii="Times New Roman" w:hAnsi="Times New Roman" w:cs="Times New Roman"/>
          <w:sz w:val="20"/>
          <w:szCs w:val="20"/>
        </w:rPr>
      </w:pPr>
    </w:p>
    <w:p w:rsidR="00445E5B" w:rsidRPr="00445E5B" w:rsidRDefault="00445E5B" w:rsidP="00C74746">
      <w:pPr>
        <w:numPr>
          <w:ilvl w:val="0"/>
          <w:numId w:val="19"/>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Bioactive cues can be adsorbed, tethered, or encapsulated in biomaterial scaffolds. Upon release of bioactive cues, such as from endodontically treated root canals, local and/or systemic cells, including stem/progenitor cells, can be homed </w:t>
      </w:r>
      <w:r w:rsidRPr="00445E5B">
        <w:rPr>
          <w:rFonts w:ascii="Times New Roman" w:hAnsi="Times New Roman" w:cs="Times New Roman"/>
          <w:i/>
          <w:sz w:val="20"/>
          <w:szCs w:val="20"/>
        </w:rPr>
        <w:t>in</w:t>
      </w:r>
      <w:r w:rsidR="003F7418">
        <w:rPr>
          <w:rFonts w:ascii="Times New Roman" w:hAnsi="Times New Roman" w:cs="Times New Roman"/>
          <w:i/>
          <w:sz w:val="20"/>
          <w:szCs w:val="20"/>
        </w:rPr>
        <w:t xml:space="preserve"> </w:t>
      </w:r>
      <w:r w:rsidRPr="00445E5B">
        <w:rPr>
          <w:rFonts w:ascii="Times New Roman" w:hAnsi="Times New Roman" w:cs="Times New Roman"/>
          <w:i/>
          <w:sz w:val="20"/>
          <w:szCs w:val="20"/>
        </w:rPr>
        <w:t>vivo</w:t>
      </w:r>
      <w:r w:rsidRPr="00445E5B">
        <w:rPr>
          <w:rFonts w:ascii="Times New Roman" w:hAnsi="Times New Roman" w:cs="Times New Roman"/>
          <w:sz w:val="20"/>
          <w:szCs w:val="20"/>
        </w:rPr>
        <w:t xml:space="preserve"> into an anatomic compartment that serves as a native scaffold</w:t>
      </w:r>
      <w:r w:rsidR="006E5282">
        <w:rPr>
          <w:rFonts w:ascii="Times New Roman" w:hAnsi="Times New Roman" w:cs="Times New Roman"/>
          <w:sz w:val="20"/>
          <w:szCs w:val="20"/>
          <w:vertAlign w:val="superscript"/>
        </w:rPr>
        <w:t>22</w:t>
      </w:r>
      <w:r w:rsidRPr="00445E5B">
        <w:rPr>
          <w:rFonts w:ascii="Times New Roman" w:hAnsi="Times New Roman" w:cs="Times New Roman"/>
          <w:sz w:val="20"/>
          <w:szCs w:val="20"/>
        </w:rPr>
        <w:t>.</w:t>
      </w:r>
    </w:p>
    <w:p w:rsidR="00445E5B" w:rsidRPr="00445E5B" w:rsidRDefault="00445E5B" w:rsidP="00C74746">
      <w:pPr>
        <w:spacing w:after="0" w:line="240" w:lineRule="auto"/>
        <w:ind w:left="360"/>
        <w:jc w:val="both"/>
        <w:rPr>
          <w:rFonts w:ascii="Times New Roman" w:hAnsi="Times New Roman" w:cs="Times New Roman"/>
          <w:sz w:val="20"/>
          <w:szCs w:val="20"/>
        </w:rPr>
      </w:pPr>
      <w:r w:rsidRPr="00445E5B">
        <w:rPr>
          <w:rFonts w:ascii="Times New Roman" w:hAnsi="Times New Roman" w:cs="Times New Roman"/>
          <w:b/>
          <w:sz w:val="20"/>
          <w:szCs w:val="20"/>
        </w:rPr>
        <w:t>(B1)</w:t>
      </w:r>
      <w:r w:rsidRPr="00445E5B">
        <w:rPr>
          <w:rFonts w:ascii="Times New Roman" w:hAnsi="Times New Roman" w:cs="Times New Roman"/>
          <w:sz w:val="20"/>
          <w:szCs w:val="20"/>
        </w:rPr>
        <w:t xml:space="preserve"> Current root canal treatment of diseased dental pulp </w:t>
      </w:r>
    </w:p>
    <w:p w:rsidR="00445E5B" w:rsidRPr="00445E5B" w:rsidRDefault="00445E5B" w:rsidP="00C74746">
      <w:pPr>
        <w:spacing w:after="0" w:line="240" w:lineRule="auto"/>
        <w:ind w:left="360"/>
        <w:jc w:val="both"/>
        <w:rPr>
          <w:rFonts w:ascii="Times New Roman" w:hAnsi="Times New Roman" w:cs="Times New Roman"/>
          <w:sz w:val="20"/>
          <w:szCs w:val="20"/>
        </w:rPr>
      </w:pPr>
      <w:r w:rsidRPr="00445E5B">
        <w:rPr>
          <w:rFonts w:ascii="Times New Roman" w:hAnsi="Times New Roman" w:cs="Times New Roman"/>
          <w:b/>
          <w:sz w:val="20"/>
          <w:szCs w:val="20"/>
        </w:rPr>
        <w:t>(B2,B3)</w:t>
      </w:r>
      <w:r w:rsidRPr="00445E5B">
        <w:rPr>
          <w:rFonts w:ascii="Times New Roman" w:hAnsi="Times New Roman" w:cs="Times New Roman"/>
          <w:sz w:val="20"/>
          <w:szCs w:val="20"/>
        </w:rPr>
        <w:t xml:space="preserve"> Removal of substantial enamel and dentin structures because obturation of gutta percha requires unobstructed access</w:t>
      </w:r>
    </w:p>
    <w:p w:rsidR="00AE245D" w:rsidRPr="00445E5B" w:rsidRDefault="00E25B7D" w:rsidP="00AE245D">
      <w:pPr>
        <w:spacing w:after="0" w:line="240" w:lineRule="auto"/>
        <w:ind w:left="360"/>
        <w:jc w:val="both"/>
        <w:rPr>
          <w:rFonts w:ascii="Times New Roman" w:hAnsi="Times New Roman" w:cs="Times New Roman"/>
          <w:sz w:val="20"/>
          <w:szCs w:val="20"/>
        </w:rPr>
      </w:pPr>
      <w:r w:rsidRPr="00445E5B">
        <w:rPr>
          <w:rFonts w:ascii="Times New Roman" w:hAnsi="Times New Roman" w:cs="Times New Roman"/>
          <w:noProof/>
          <w:sz w:val="20"/>
          <w:szCs w:val="20"/>
          <w:lang w:eastAsia="en-IN"/>
        </w:rPr>
        <w:drawing>
          <wp:anchor distT="0" distB="0" distL="114300" distR="114300" simplePos="0" relativeHeight="251661312" behindDoc="0" locked="0" layoutInCell="1" allowOverlap="1" wp14:anchorId="6BB0CD89" wp14:editId="78C9FE7F">
            <wp:simplePos x="0" y="0"/>
            <wp:positionH relativeFrom="column">
              <wp:posOffset>785495</wp:posOffset>
            </wp:positionH>
            <wp:positionV relativeFrom="paragraph">
              <wp:posOffset>207645</wp:posOffset>
            </wp:positionV>
            <wp:extent cx="4229100" cy="2870835"/>
            <wp:effectExtent l="57150" t="57150" r="114300" b="1200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46919" r="885"/>
                    <a:stretch/>
                  </pic:blipFill>
                  <pic:spPr bwMode="auto">
                    <a:xfrm>
                      <a:off x="0" y="0"/>
                      <a:ext cx="4229100" cy="28708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5E5B" w:rsidRPr="00445E5B">
        <w:rPr>
          <w:rFonts w:ascii="Times New Roman" w:hAnsi="Times New Roman" w:cs="Times New Roman"/>
          <w:b/>
          <w:sz w:val="20"/>
          <w:szCs w:val="20"/>
        </w:rPr>
        <w:t>(B4)</w:t>
      </w:r>
      <w:r w:rsidR="00445E5B" w:rsidRPr="00445E5B">
        <w:rPr>
          <w:rFonts w:ascii="Times New Roman" w:hAnsi="Times New Roman" w:cs="Times New Roman"/>
          <w:sz w:val="20"/>
          <w:szCs w:val="20"/>
        </w:rPr>
        <w:t xml:space="preserve"> De-vitalized tooth </w:t>
      </w:r>
    </w:p>
    <w:p w:rsidR="00D61C48" w:rsidRDefault="00AE245D" w:rsidP="00C7474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 xml:space="preserve">                 </w:t>
      </w:r>
      <w:r w:rsidR="00D61C48" w:rsidRPr="00D61C48">
        <w:rPr>
          <w:rFonts w:ascii="Times New Roman" w:hAnsi="Times New Roman" w:cs="Times New Roman"/>
          <w:sz w:val="20"/>
          <w:szCs w:val="20"/>
        </w:rPr>
        <w:t xml:space="preserve">Figure 4: </w:t>
      </w:r>
      <w:r w:rsidR="00D61C48">
        <w:rPr>
          <w:rFonts w:ascii="Times New Roman" w:hAnsi="Times New Roman" w:cs="Times New Roman"/>
          <w:sz w:val="20"/>
          <w:szCs w:val="20"/>
        </w:rPr>
        <w:t>Advantage of cell homing over conventional RCT</w:t>
      </w:r>
    </w:p>
    <w:p w:rsidR="00AE245D" w:rsidRPr="00D61C48" w:rsidRDefault="00AE245D" w:rsidP="00C74746">
      <w:pPr>
        <w:spacing w:after="0" w:line="240" w:lineRule="auto"/>
        <w:ind w:left="360"/>
        <w:jc w:val="both"/>
        <w:rPr>
          <w:rFonts w:ascii="Times New Roman" w:hAnsi="Times New Roman" w:cs="Times New Roman"/>
          <w:sz w:val="20"/>
          <w:szCs w:val="20"/>
        </w:rPr>
      </w:pPr>
    </w:p>
    <w:p w:rsidR="00445E5B" w:rsidRPr="00445E5B" w:rsidRDefault="00445E5B" w:rsidP="00C74746">
      <w:pPr>
        <w:spacing w:after="0" w:line="240" w:lineRule="auto"/>
        <w:ind w:left="360"/>
        <w:jc w:val="both"/>
        <w:rPr>
          <w:rFonts w:ascii="Times New Roman" w:hAnsi="Times New Roman" w:cs="Times New Roman"/>
          <w:sz w:val="20"/>
          <w:szCs w:val="20"/>
        </w:rPr>
      </w:pPr>
      <w:r w:rsidRPr="00445E5B">
        <w:rPr>
          <w:rFonts w:ascii="Times New Roman" w:hAnsi="Times New Roman" w:cs="Times New Roman"/>
          <w:b/>
          <w:sz w:val="20"/>
          <w:szCs w:val="20"/>
        </w:rPr>
        <w:t>(B5,B6)</w:t>
      </w:r>
      <w:r w:rsidRPr="00445E5B">
        <w:rPr>
          <w:rFonts w:ascii="Times New Roman" w:hAnsi="Times New Roman" w:cs="Times New Roman"/>
          <w:sz w:val="20"/>
          <w:szCs w:val="20"/>
        </w:rPr>
        <w:t xml:space="preserve"> Instead, the diseased dental pulp is tr</w:t>
      </w:r>
      <w:r w:rsidR="0015288C">
        <w:rPr>
          <w:rFonts w:ascii="Times New Roman" w:hAnsi="Times New Roman" w:cs="Times New Roman"/>
          <w:sz w:val="20"/>
          <w:szCs w:val="20"/>
        </w:rPr>
        <w:t>eated with a revised, minimally</w:t>
      </w:r>
      <w:r w:rsidRPr="00445E5B">
        <w:rPr>
          <w:rFonts w:ascii="Times New Roman" w:hAnsi="Times New Roman" w:cs="Times New Roman"/>
          <w:sz w:val="20"/>
          <w:szCs w:val="20"/>
        </w:rPr>
        <w:t xml:space="preserve"> invasive root canal therapy as the delivery </w:t>
      </w:r>
      <w:r w:rsidR="00490983">
        <w:rPr>
          <w:rFonts w:ascii="Times New Roman" w:hAnsi="Times New Roman" w:cs="Times New Roman"/>
          <w:sz w:val="20"/>
          <w:szCs w:val="20"/>
        </w:rPr>
        <w:t xml:space="preserve">of injectable bioactive cues </w:t>
      </w:r>
      <w:r w:rsidR="003F7418">
        <w:rPr>
          <w:rFonts w:ascii="Times New Roman" w:hAnsi="Times New Roman" w:cs="Times New Roman"/>
          <w:sz w:val="20"/>
          <w:szCs w:val="20"/>
        </w:rPr>
        <w:t xml:space="preserve">does not </w:t>
      </w:r>
      <w:r w:rsidRPr="00445E5B">
        <w:rPr>
          <w:rFonts w:ascii="Times New Roman" w:hAnsi="Times New Roman" w:cs="Times New Roman"/>
          <w:sz w:val="20"/>
          <w:szCs w:val="20"/>
        </w:rPr>
        <w:t>require unobstructed access to</w:t>
      </w:r>
      <w:r w:rsidR="00490983">
        <w:rPr>
          <w:rFonts w:ascii="Times New Roman" w:hAnsi="Times New Roman" w:cs="Times New Roman"/>
          <w:sz w:val="20"/>
          <w:szCs w:val="20"/>
        </w:rPr>
        <w:t xml:space="preserve"> pulp chamber and root </w:t>
      </w:r>
      <w:r w:rsidRPr="00445E5B">
        <w:rPr>
          <w:rFonts w:ascii="Times New Roman" w:hAnsi="Times New Roman" w:cs="Times New Roman"/>
          <w:sz w:val="20"/>
          <w:szCs w:val="20"/>
        </w:rPr>
        <w:t>canal. Although residual inflammation i</w:t>
      </w:r>
      <w:r w:rsidR="00490983">
        <w:rPr>
          <w:rFonts w:ascii="Times New Roman" w:hAnsi="Times New Roman" w:cs="Times New Roman"/>
          <w:sz w:val="20"/>
          <w:szCs w:val="20"/>
        </w:rPr>
        <w:t xml:space="preserve">n endodontically treated root </w:t>
      </w:r>
      <w:r w:rsidRPr="00445E5B">
        <w:rPr>
          <w:rFonts w:ascii="Times New Roman" w:hAnsi="Times New Roman" w:cs="Times New Roman"/>
          <w:sz w:val="20"/>
          <w:szCs w:val="20"/>
        </w:rPr>
        <w:t>canal and peri-apical region are anticipate</w:t>
      </w:r>
      <w:r w:rsidR="00490983">
        <w:rPr>
          <w:rFonts w:ascii="Times New Roman" w:hAnsi="Times New Roman" w:cs="Times New Roman"/>
          <w:sz w:val="20"/>
          <w:szCs w:val="20"/>
        </w:rPr>
        <w:t xml:space="preserve">d to present challenges for </w:t>
      </w:r>
      <w:r w:rsidRPr="00445E5B">
        <w:rPr>
          <w:rFonts w:ascii="Times New Roman" w:hAnsi="Times New Roman" w:cs="Times New Roman"/>
          <w:sz w:val="20"/>
          <w:szCs w:val="20"/>
        </w:rPr>
        <w:t>pulp regeneration, chemotaxis-induce</w:t>
      </w:r>
      <w:r w:rsidR="00490983">
        <w:rPr>
          <w:rFonts w:ascii="Times New Roman" w:hAnsi="Times New Roman" w:cs="Times New Roman"/>
          <w:sz w:val="20"/>
          <w:szCs w:val="20"/>
        </w:rPr>
        <w:t xml:space="preserve">d angiogenesis as shown in the </w:t>
      </w:r>
      <w:r w:rsidRPr="00445E5B">
        <w:rPr>
          <w:rFonts w:ascii="Times New Roman" w:hAnsi="Times New Roman" w:cs="Times New Roman"/>
          <w:sz w:val="20"/>
          <w:szCs w:val="20"/>
        </w:rPr>
        <w:t>present may provide the potential for na</w:t>
      </w:r>
      <w:r w:rsidR="00490983">
        <w:rPr>
          <w:rFonts w:ascii="Times New Roman" w:hAnsi="Times New Roman" w:cs="Times New Roman"/>
          <w:sz w:val="20"/>
          <w:szCs w:val="20"/>
        </w:rPr>
        <w:t xml:space="preserve">tive defense mechanisms that </w:t>
      </w:r>
      <w:r w:rsidRPr="00445E5B">
        <w:rPr>
          <w:rFonts w:ascii="Times New Roman" w:hAnsi="Times New Roman" w:cs="Times New Roman"/>
          <w:sz w:val="20"/>
          <w:szCs w:val="20"/>
        </w:rPr>
        <w:t>may counteract residue infection in the root canal</w:t>
      </w:r>
      <w:r w:rsidR="00490983">
        <w:rPr>
          <w:rFonts w:ascii="Times New Roman" w:hAnsi="Times New Roman" w:cs="Times New Roman"/>
          <w:sz w:val="20"/>
          <w:szCs w:val="20"/>
        </w:rPr>
        <w:t>.</w:t>
      </w:r>
    </w:p>
    <w:p w:rsidR="00445E5B" w:rsidRPr="00445E5B" w:rsidRDefault="00445E5B" w:rsidP="00C74746">
      <w:pPr>
        <w:spacing w:after="0" w:line="240" w:lineRule="auto"/>
        <w:ind w:left="360"/>
        <w:jc w:val="both"/>
        <w:rPr>
          <w:rFonts w:ascii="Times New Roman" w:hAnsi="Times New Roman" w:cs="Times New Roman"/>
          <w:sz w:val="20"/>
          <w:szCs w:val="20"/>
        </w:rPr>
      </w:pPr>
      <w:r w:rsidRPr="00445E5B">
        <w:rPr>
          <w:rFonts w:ascii="Times New Roman" w:hAnsi="Times New Roman" w:cs="Times New Roman"/>
          <w:b/>
          <w:sz w:val="20"/>
          <w:szCs w:val="20"/>
        </w:rPr>
        <w:t>(B7)</w:t>
      </w:r>
      <w:r w:rsidRPr="00445E5B">
        <w:rPr>
          <w:rFonts w:ascii="Times New Roman" w:hAnsi="Times New Roman" w:cs="Times New Roman"/>
          <w:sz w:val="20"/>
          <w:szCs w:val="20"/>
        </w:rPr>
        <w:t xml:space="preserve"> Vital tooth with regenerated dental pulp.</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Scaffolds for periodontal tissue engineering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lastRenderedPageBreak/>
        <w:t>The goal of periodontal regenerative techniques is to restore damaged periodontal tissues, for example, due to trauma, tumor, or inflammation; by promoting bone regeneration and/or restoring tooth attachment. The complex structure of the periodontium presents a challenge in periodontal tissue engineering, because it comprises both soft and hard tissues that all need to be restored around the tooth to achieve functionality. In addition, to achieve regeneration of the periodontium, not only the migration and differentiation of specific cells to the wound area and a substrate promoting formation of new tissue growth are important, but also signaling molecules and growth factors to regulate the process as well as a vascular network bringing nutrients and oxygen to the cells are required in the establishment of new tissues</w:t>
      </w:r>
      <w:r w:rsidR="006E5282">
        <w:rPr>
          <w:rFonts w:ascii="Times New Roman" w:hAnsi="Times New Roman" w:cs="Times New Roman"/>
          <w:sz w:val="20"/>
          <w:szCs w:val="20"/>
          <w:vertAlign w:val="superscript"/>
        </w:rPr>
        <w:t>19</w:t>
      </w:r>
      <w:r w:rsidR="00036799">
        <w:rPr>
          <w:rFonts w:ascii="Times New Roman" w:hAnsi="Times New Roman" w:cs="Times New Roman"/>
          <w:sz w:val="20"/>
          <w:szCs w:val="20"/>
        </w:rPr>
        <w:t>.</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Scaffolds for gingival tissue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Reconstruction of gingival tissues is a challenging treatment in periodontology. The final goal of periodontal therapy is regeneration of the lost tissues, but reaching this goal is difficult because improper treatment will lead to scarring which has adverse effects on function and esthetics. </w:t>
      </w:r>
    </w:p>
    <w:p w:rsidR="00445E5B" w:rsidRPr="00445E5B" w:rsidRDefault="00445E5B" w:rsidP="00C74746">
      <w:pPr>
        <w:spacing w:after="0" w:line="240" w:lineRule="auto"/>
        <w:jc w:val="both"/>
        <w:rPr>
          <w:rFonts w:ascii="Times New Roman" w:hAnsi="Times New Roman" w:cs="Times New Roman"/>
          <w:sz w:val="20"/>
          <w:szCs w:val="20"/>
          <w:u w:val="single"/>
        </w:rPr>
      </w:pPr>
      <w:r w:rsidRPr="00445E5B">
        <w:rPr>
          <w:rFonts w:ascii="Times New Roman" w:hAnsi="Times New Roman" w:cs="Times New Roman"/>
          <w:sz w:val="20"/>
          <w:szCs w:val="20"/>
          <w:u w:val="single"/>
        </w:rPr>
        <w:t xml:space="preserve">Guided gingival tissue regeneration: </w:t>
      </w:r>
    </w:p>
    <w:p w:rsidR="00445E5B" w:rsidRPr="00445E5B" w:rsidRDefault="00445E5B" w:rsidP="00C74746">
      <w:pPr>
        <w:spacing w:after="0" w:line="240" w:lineRule="auto"/>
        <w:ind w:firstLine="720"/>
        <w:jc w:val="both"/>
        <w:rPr>
          <w:rFonts w:ascii="Times New Roman" w:hAnsi="Times New Roman" w:cs="Times New Roman"/>
          <w:sz w:val="20"/>
          <w:szCs w:val="20"/>
          <w:u w:val="single"/>
        </w:rPr>
      </w:pPr>
      <w:r w:rsidRPr="00445E5B">
        <w:rPr>
          <w:rFonts w:ascii="Times New Roman" w:hAnsi="Times New Roman" w:cs="Times New Roman"/>
          <w:sz w:val="20"/>
          <w:szCs w:val="20"/>
        </w:rPr>
        <w:t>One of the treatment modalities in periodontal therapy is guided tissue regeneration (GTR). The concept of guided tissue regeneration is based on preventing the migration of epithelial and gingival connective tissue cells into previously diseased root surface. A basic part of GTR is placement of a physical barrier for prevention of apical migration of the epithelium and gingival connective tissue cells. The turnover of soft tissue is faster than bone formation, hence barrier scaffold is used to prevent the infiltration of soft tissue. Barrier scaffolds also stabilize the graft materials and preserve graft and reduce the rate of graft resorption. The guided tissue regeneration is used for periodontal tissue engineering and periimplant diseases treatment.</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In regenerative dentistry, one of the most important necessities in a tissue engineering scaffold is facilitating bone or new gingival tissue formation. These scaffolds are named as </w:t>
      </w:r>
      <w:r w:rsidRPr="00445E5B">
        <w:rPr>
          <w:rFonts w:ascii="Times New Roman" w:hAnsi="Times New Roman" w:cs="Times New Roman"/>
          <w:b/>
          <w:sz w:val="20"/>
          <w:szCs w:val="20"/>
        </w:rPr>
        <w:t>conductive scaffolds</w:t>
      </w:r>
      <w:r w:rsidRPr="00445E5B">
        <w:rPr>
          <w:rFonts w:ascii="Times New Roman" w:hAnsi="Times New Roman" w:cs="Times New Roman"/>
          <w:sz w:val="20"/>
          <w:szCs w:val="20"/>
        </w:rPr>
        <w:t>. This matrix facilitates cell penetration, attachment, proliferation, and differentiation. There are two main types of gingival scaffolds:</w:t>
      </w:r>
    </w:p>
    <w:p w:rsidR="00445E5B" w:rsidRPr="00C74746" w:rsidRDefault="00445E5B" w:rsidP="00C74746">
      <w:pPr>
        <w:pStyle w:val="ListParagraph"/>
        <w:numPr>
          <w:ilvl w:val="0"/>
          <w:numId w:val="31"/>
        </w:numPr>
        <w:spacing w:after="0" w:line="240" w:lineRule="auto"/>
        <w:jc w:val="both"/>
        <w:rPr>
          <w:rFonts w:ascii="Times New Roman" w:hAnsi="Times New Roman" w:cs="Times New Roman"/>
          <w:sz w:val="20"/>
          <w:szCs w:val="20"/>
          <w:u w:val="single"/>
        </w:rPr>
      </w:pPr>
      <w:r w:rsidRPr="00C74746">
        <w:rPr>
          <w:rFonts w:ascii="Times New Roman" w:hAnsi="Times New Roman" w:cs="Times New Roman"/>
          <w:sz w:val="20"/>
          <w:szCs w:val="20"/>
          <w:u w:val="single"/>
        </w:rPr>
        <w:t>Non resorbable gingival membrane:</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There have been different non-resorbable gingival membranes for regenerative purposes. Among different materials, polytetrafluoroethylene (PTFE) scaffold was first developed in 1958 and widely used in bone regeneration. It is composed of an inner cell occlusive area and outer cell adherent. Hence these scaffolds can selectively exclude migration of epithelial and gingival connective tissue cells.</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Expanded polytetrafluoroethylene (ePTFE) based scaffolds – </w:t>
      </w:r>
    </w:p>
    <w:p w:rsidR="00445E5B" w:rsidRPr="00445E5B" w:rsidRDefault="00445E5B" w:rsidP="00C74746">
      <w:pPr>
        <w:numPr>
          <w:ilvl w:val="0"/>
          <w:numId w:val="15"/>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One of the best materials for gingival regeneration.</w:t>
      </w:r>
    </w:p>
    <w:p w:rsidR="00445E5B" w:rsidRPr="00445E5B" w:rsidRDefault="00445E5B" w:rsidP="00C74746">
      <w:pPr>
        <w:numPr>
          <w:ilvl w:val="0"/>
          <w:numId w:val="15"/>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Subtype of ePTFE scaffolds is titanium reinforcement that is indicated when the defect anatomy is not supported.</w:t>
      </w:r>
    </w:p>
    <w:p w:rsidR="00445E5B" w:rsidRPr="003F7418" w:rsidRDefault="00445E5B" w:rsidP="00C74746">
      <w:pPr>
        <w:pStyle w:val="ListParagraph"/>
        <w:numPr>
          <w:ilvl w:val="0"/>
          <w:numId w:val="15"/>
        </w:numPr>
        <w:spacing w:after="0" w:line="240" w:lineRule="auto"/>
        <w:jc w:val="both"/>
        <w:rPr>
          <w:rFonts w:ascii="Times New Roman" w:hAnsi="Times New Roman" w:cs="Times New Roman"/>
          <w:sz w:val="20"/>
          <w:szCs w:val="20"/>
        </w:rPr>
      </w:pPr>
      <w:r w:rsidRPr="003F7418">
        <w:rPr>
          <w:rFonts w:ascii="Times New Roman" w:hAnsi="Times New Roman" w:cs="Times New Roman"/>
          <w:sz w:val="20"/>
          <w:szCs w:val="20"/>
        </w:rPr>
        <w:t xml:space="preserve">Disadvantages – </w:t>
      </w:r>
    </w:p>
    <w:p w:rsidR="00445E5B" w:rsidRPr="00445E5B" w:rsidRDefault="00445E5B" w:rsidP="00C74746">
      <w:pPr>
        <w:numPr>
          <w:ilvl w:val="0"/>
          <w:numId w:val="18"/>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High frequency of early spontaneous exposure to oral environment, compromising their effectiveness.</w:t>
      </w:r>
    </w:p>
    <w:p w:rsidR="00445E5B" w:rsidRPr="0015288C" w:rsidRDefault="00445E5B" w:rsidP="00C74746">
      <w:pPr>
        <w:numPr>
          <w:ilvl w:val="0"/>
          <w:numId w:val="18"/>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Should be removed after 5 – 8 weeks. </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Non restorable polytetrafluoroethylene (nPTFE) based scaffolds – </w:t>
      </w:r>
    </w:p>
    <w:p w:rsidR="00445E5B" w:rsidRPr="00445E5B" w:rsidRDefault="00445E5B" w:rsidP="00C74746">
      <w:pPr>
        <w:numPr>
          <w:ilvl w:val="0"/>
          <w:numId w:val="16"/>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Barrier material that only small molecules can penetrate into it. </w:t>
      </w:r>
    </w:p>
    <w:p w:rsidR="00445E5B" w:rsidRDefault="00445E5B" w:rsidP="00C74746">
      <w:pPr>
        <w:numPr>
          <w:ilvl w:val="0"/>
          <w:numId w:val="16"/>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Risk associated with soft tissue cells or bacterial penetration is relatively low.</w:t>
      </w:r>
    </w:p>
    <w:p w:rsidR="003F7418" w:rsidRPr="00445E5B" w:rsidRDefault="003F7418" w:rsidP="00C747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Drawbacks of </w:t>
      </w:r>
      <w:r w:rsidR="008C7011" w:rsidRPr="003F7418">
        <w:rPr>
          <w:rFonts w:ascii="Times New Roman" w:hAnsi="Times New Roman" w:cs="Times New Roman"/>
          <w:sz w:val="20"/>
          <w:szCs w:val="20"/>
        </w:rPr>
        <w:t>ePTFE and n-PTFE scaffolds</w:t>
      </w:r>
      <w:r w:rsidR="008C7011">
        <w:rPr>
          <w:rFonts w:ascii="Times New Roman" w:hAnsi="Times New Roman" w:cs="Times New Roman"/>
          <w:sz w:val="20"/>
          <w:szCs w:val="20"/>
        </w:rPr>
        <w:t>.</w:t>
      </w:r>
    </w:p>
    <w:p w:rsidR="00445E5B" w:rsidRPr="003F7418" w:rsidRDefault="008C7011" w:rsidP="00C74746">
      <w:pPr>
        <w:pStyle w:val="ListParagraph"/>
        <w:numPr>
          <w:ilvl w:val="0"/>
          <w:numId w:val="2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I</w:t>
      </w:r>
      <w:r w:rsidR="00445E5B" w:rsidRPr="003F7418">
        <w:rPr>
          <w:rFonts w:ascii="Times New Roman" w:hAnsi="Times New Roman" w:cs="Times New Roman"/>
          <w:sz w:val="20"/>
          <w:szCs w:val="20"/>
        </w:rPr>
        <w:t xml:space="preserve">nhibit healing of soft tissue fenestration defect. </w:t>
      </w:r>
    </w:p>
    <w:p w:rsidR="00445E5B" w:rsidRPr="003F7418" w:rsidRDefault="00445E5B" w:rsidP="00C74746">
      <w:pPr>
        <w:pStyle w:val="ListParagraph"/>
        <w:numPr>
          <w:ilvl w:val="0"/>
          <w:numId w:val="20"/>
        </w:numPr>
        <w:spacing w:after="0" w:line="240" w:lineRule="auto"/>
        <w:jc w:val="both"/>
        <w:rPr>
          <w:rFonts w:ascii="Times New Roman" w:hAnsi="Times New Roman" w:cs="Times New Roman"/>
          <w:sz w:val="20"/>
          <w:szCs w:val="20"/>
        </w:rPr>
      </w:pPr>
      <w:r w:rsidRPr="003F7418">
        <w:rPr>
          <w:rFonts w:ascii="Times New Roman" w:hAnsi="Times New Roman" w:cs="Times New Roman"/>
          <w:sz w:val="20"/>
          <w:szCs w:val="20"/>
        </w:rPr>
        <w:t>Lesion size and inflammation intensity increase</w:t>
      </w:r>
      <w:r w:rsidR="008C7011">
        <w:rPr>
          <w:rFonts w:ascii="Times New Roman" w:hAnsi="Times New Roman" w:cs="Times New Roman"/>
          <w:sz w:val="20"/>
          <w:szCs w:val="20"/>
        </w:rPr>
        <w:t>s</w:t>
      </w:r>
      <w:r w:rsidRPr="003F7418">
        <w:rPr>
          <w:rFonts w:ascii="Times New Roman" w:hAnsi="Times New Roman" w:cs="Times New Roman"/>
          <w:sz w:val="20"/>
          <w:szCs w:val="20"/>
        </w:rPr>
        <w:t xml:space="preserve"> with time. </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Dense polytetrafluoroethylene (dPTFE) based scaffolds – </w:t>
      </w:r>
    </w:p>
    <w:p w:rsidR="00445E5B" w:rsidRPr="00445E5B" w:rsidRDefault="00445E5B" w:rsidP="00C74746">
      <w:pPr>
        <w:numPr>
          <w:ilvl w:val="0"/>
          <w:numId w:val="17"/>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Reduces the mortality rate of patients due to elimination of the need for primary closure after bone grafting.</w:t>
      </w:r>
    </w:p>
    <w:p w:rsidR="00445E5B" w:rsidRPr="00445E5B" w:rsidRDefault="00445E5B" w:rsidP="00C74746">
      <w:pPr>
        <w:numPr>
          <w:ilvl w:val="0"/>
          <w:numId w:val="17"/>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Preserve hard and soft tissue in extraction sites</w:t>
      </w:r>
      <w:r w:rsidR="006E5282">
        <w:rPr>
          <w:rFonts w:ascii="Times New Roman" w:hAnsi="Times New Roman" w:cs="Times New Roman"/>
          <w:sz w:val="20"/>
          <w:szCs w:val="20"/>
          <w:vertAlign w:val="superscript"/>
        </w:rPr>
        <w:t>19</w:t>
      </w:r>
    </w:p>
    <w:p w:rsidR="00445E5B" w:rsidRPr="00C74746" w:rsidRDefault="00445E5B" w:rsidP="00C74746">
      <w:pPr>
        <w:pStyle w:val="ListParagraph"/>
        <w:numPr>
          <w:ilvl w:val="0"/>
          <w:numId w:val="31"/>
        </w:numPr>
        <w:spacing w:after="0" w:line="240" w:lineRule="auto"/>
        <w:jc w:val="both"/>
        <w:rPr>
          <w:rFonts w:ascii="Times New Roman" w:hAnsi="Times New Roman" w:cs="Times New Roman"/>
          <w:sz w:val="20"/>
          <w:szCs w:val="20"/>
        </w:rPr>
      </w:pPr>
      <w:r w:rsidRPr="00C74746">
        <w:rPr>
          <w:rFonts w:ascii="Times New Roman" w:hAnsi="Times New Roman" w:cs="Times New Roman"/>
          <w:sz w:val="20"/>
          <w:szCs w:val="20"/>
          <w:u w:val="single"/>
        </w:rPr>
        <w:t xml:space="preserve"> Resorbable gingival membranes:</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Collagen –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Widely used and promising biomaterial which is naturally a fibrous protein, extracted by various techniques of animal tissues. Resorption rate of this scaffold ranges between 6</w:t>
      </w:r>
      <w:r w:rsidRPr="00445E5B">
        <w:rPr>
          <w:rFonts w:ascii="Times New Roman" w:hAnsi="Times New Roman" w:cs="Times New Roman" w:hint="eastAsia"/>
          <w:sz w:val="20"/>
          <w:szCs w:val="20"/>
        </w:rPr>
        <w:t>–</w:t>
      </w:r>
      <w:r w:rsidRPr="00445E5B">
        <w:rPr>
          <w:rFonts w:ascii="Times New Roman" w:hAnsi="Times New Roman" w:cs="Times New Roman"/>
          <w:sz w:val="20"/>
          <w:szCs w:val="20"/>
        </w:rPr>
        <w:t xml:space="preserve">8 weeks to 6-8 months depending on their technical characteristic. Collagen attracts and activates gingival fibroblast cells and stimulates the fibroblast DNA synthesis. Collagen scaffolds accelerate flap stability, vascularization, and epithelization. Using collagen scaffolds, fenestration defects are healed almost completely. Inflammatory cell infiltration inside and around collagen scaffolds is relatively low.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3703B7">
        <w:rPr>
          <w:rFonts w:ascii="Times New Roman" w:hAnsi="Times New Roman" w:cs="Times New Roman"/>
          <w:b/>
          <w:i/>
          <w:sz w:val="20"/>
          <w:szCs w:val="20"/>
        </w:rPr>
        <w:t>Wang et al.</w:t>
      </w:r>
      <w:r w:rsidR="006E5282">
        <w:rPr>
          <w:rFonts w:ascii="Times New Roman" w:hAnsi="Times New Roman" w:cs="Times New Roman"/>
          <w:b/>
          <w:i/>
          <w:sz w:val="20"/>
          <w:szCs w:val="20"/>
          <w:vertAlign w:val="superscript"/>
        </w:rPr>
        <w:t>23</w:t>
      </w:r>
      <w:r w:rsidRPr="003703B7">
        <w:rPr>
          <w:rFonts w:ascii="Times New Roman" w:hAnsi="Times New Roman" w:cs="Times New Roman"/>
          <w:sz w:val="20"/>
          <w:szCs w:val="20"/>
        </w:rPr>
        <w:t xml:space="preserve"> proposed concepts for immobilization of scaffold with alkaline phosphatase, bioactive glass or hydroxyapatite nanoparticles in collagen scaffolds to control degradation and enhancement of osteogenic potential. Studies conducted by </w:t>
      </w:r>
      <w:r w:rsidRPr="003703B7">
        <w:rPr>
          <w:rFonts w:ascii="Times New Roman" w:hAnsi="Times New Roman" w:cs="Times New Roman"/>
          <w:b/>
          <w:i/>
          <w:sz w:val="20"/>
          <w:szCs w:val="20"/>
        </w:rPr>
        <w:t>J.Kozlowska and A.Sionkowska</w:t>
      </w:r>
      <w:r w:rsidR="006E5282">
        <w:rPr>
          <w:rFonts w:ascii="Times New Roman" w:hAnsi="Times New Roman" w:cs="Times New Roman"/>
          <w:b/>
          <w:i/>
          <w:sz w:val="20"/>
          <w:szCs w:val="20"/>
          <w:vertAlign w:val="superscript"/>
        </w:rPr>
        <w:t>24</w:t>
      </w:r>
      <w:r w:rsidRPr="003703B7">
        <w:rPr>
          <w:rFonts w:ascii="Times New Roman" w:hAnsi="Times New Roman" w:cs="Times New Roman"/>
          <w:sz w:val="20"/>
          <w:szCs w:val="20"/>
        </w:rPr>
        <w:t xml:space="preserve"> has shown that degradation rate of non–cross-linked collagen scaffolds is higher than cross-linked collagen scaffolds.</w:t>
      </w:r>
      <w:r w:rsidRPr="003703B7">
        <w:rPr>
          <w:rFonts w:ascii="Times New Roman" w:hAnsi="Times New Roman" w:cs="Times New Roman"/>
          <w:sz w:val="20"/>
          <w:szCs w:val="20"/>
          <w:vertAlign w:val="superscript"/>
        </w:rPr>
        <w:t xml:space="preserve"> </w:t>
      </w:r>
      <w:r w:rsidRPr="00445E5B">
        <w:rPr>
          <w:rFonts w:ascii="Times New Roman" w:hAnsi="Times New Roman" w:cs="Times New Roman"/>
          <w:sz w:val="20"/>
          <w:szCs w:val="20"/>
        </w:rPr>
        <w:t xml:space="preserve">Disadvantages of these scaffolds are their </w:t>
      </w:r>
      <w:r w:rsidRPr="00445E5B">
        <w:rPr>
          <w:rFonts w:ascii="Times New Roman" w:hAnsi="Times New Roman" w:cs="Times New Roman"/>
          <w:sz w:val="20"/>
          <w:szCs w:val="20"/>
        </w:rPr>
        <w:lastRenderedPageBreak/>
        <w:t>limitations for providing the space for wound and limited regeneration after their use. Other limitations include lack of control on resorption rate and risk of disease transmission and ethical issues.</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Poly(lactic-co-glycolic acid) (PLGA) –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PLGA is a synthetic copolymer of polylactic acid (PLA) and polyglycolic acid (PGA) with excellent biocompatibility, controllable biodegradability, and mechanical properties. PLGA is relatively hydrophilic which makes it suitable as gingival scaffolds. In gingival tissues, PLGA scaffolds have promoted the proliferation of human periodontal ligament cells (PDLCs). It is demonstrated better spread on the collagen-coated scaffold compared with the uncoated scaffold because of indication of excellent biocompatibility.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PLGA induces the osteogeni</w:t>
      </w:r>
      <w:r w:rsidR="0015288C">
        <w:rPr>
          <w:rFonts w:ascii="Times New Roman" w:hAnsi="Times New Roman" w:cs="Times New Roman"/>
          <w:sz w:val="20"/>
          <w:szCs w:val="20"/>
        </w:rPr>
        <w:t xml:space="preserve">c differentiation of PDL cells. </w:t>
      </w:r>
      <w:r w:rsidR="0015288C">
        <w:rPr>
          <w:rFonts w:ascii="Times New Roman" w:hAnsi="Times New Roman" w:cs="Times New Roman"/>
          <w:b/>
          <w:i/>
          <w:sz w:val="20"/>
          <w:szCs w:val="20"/>
        </w:rPr>
        <w:t>Sadeghi et al.</w:t>
      </w:r>
      <w:r w:rsidR="006E5282">
        <w:rPr>
          <w:rFonts w:ascii="Times New Roman" w:hAnsi="Times New Roman" w:cs="Times New Roman"/>
          <w:b/>
          <w:i/>
          <w:sz w:val="20"/>
          <w:szCs w:val="20"/>
          <w:vertAlign w:val="superscript"/>
        </w:rPr>
        <w:t>25</w:t>
      </w:r>
      <w:r w:rsidRPr="00445E5B">
        <w:rPr>
          <w:rFonts w:ascii="Times New Roman" w:hAnsi="Times New Roman" w:cs="Times New Roman"/>
          <w:sz w:val="20"/>
          <w:szCs w:val="20"/>
        </w:rPr>
        <w:t xml:space="preserve"> demonstrated better spread on the collagen-coated scaffold compared with the uncoated scaffold because of indication of excellent biocompatibility. Controlling degradation rate of PLGA is achieved by adjustment of its composition ratio of lactide (LA)/glycolide (GA). Furthermore, biodegradable and biocompatible nature of PLGA polymers and the benefit of easy manipulation have made PLGA an acceptable candidate for periodontal GTR scaffolds. </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Oxidized cellulose mesh barriers – </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 </w:t>
      </w:r>
      <w:r w:rsidRPr="00445E5B">
        <w:rPr>
          <w:rFonts w:ascii="Times New Roman" w:hAnsi="Times New Roman" w:cs="Times New Roman"/>
          <w:sz w:val="20"/>
          <w:szCs w:val="20"/>
        </w:rPr>
        <w:tab/>
        <w:t>Another class of resorbable hemostatic materials with acidic nature that has positive effects in GTR procedure. The oxidized material converts to a gelatinous mass and incorporates the blood clot to form a scaffold. The main part of this scaffold is resorbed within 1 week after surgery.</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Disadvantages – </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Limited wound space and delayed healing</w:t>
      </w:r>
      <w:r w:rsidR="00036799">
        <w:rPr>
          <w:rFonts w:ascii="Times New Roman" w:hAnsi="Times New Roman" w:cs="Times New Roman"/>
          <w:sz w:val="20"/>
          <w:szCs w:val="20"/>
        </w:rPr>
        <w:t xml:space="preserve"> of the bone because of acidic </w:t>
      </w:r>
      <w:r w:rsidRPr="00445E5B">
        <w:rPr>
          <w:rFonts w:ascii="Times New Roman" w:hAnsi="Times New Roman" w:cs="Times New Roman"/>
          <w:sz w:val="20"/>
          <w:szCs w:val="20"/>
        </w:rPr>
        <w:t>nature of scaffold.</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Chitosan – </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 </w:t>
      </w:r>
      <w:r w:rsidR="0011253F">
        <w:rPr>
          <w:rFonts w:ascii="Times New Roman" w:hAnsi="Times New Roman" w:cs="Times New Roman"/>
          <w:sz w:val="20"/>
          <w:szCs w:val="20"/>
        </w:rPr>
        <w:tab/>
      </w:r>
      <w:r w:rsidRPr="00445E5B">
        <w:rPr>
          <w:rFonts w:ascii="Times New Roman" w:hAnsi="Times New Roman" w:cs="Times New Roman"/>
          <w:sz w:val="20"/>
          <w:szCs w:val="20"/>
        </w:rPr>
        <w:t xml:space="preserve">Widely used biomaterial in tissue engineering produced by deacetylation of chitin which is a polysaccharide. It is shown that chitosan and hyaluronic acid composite scaffolds have potential for use in periodontal regeneration. Chitosan is osteocompatible and has an osteoconductive property. Chitosan has some advantages such as antimicrobial effects, hemostatic properties, wound healing potential, and biocompatibility. Studies conducted by </w:t>
      </w:r>
      <w:r w:rsidR="00371965">
        <w:rPr>
          <w:rFonts w:ascii="Times New Roman" w:hAnsi="Times New Roman" w:cs="Times New Roman"/>
          <w:b/>
          <w:i/>
          <w:sz w:val="20"/>
          <w:szCs w:val="20"/>
        </w:rPr>
        <w:t>Qasim et al.</w:t>
      </w:r>
      <w:r w:rsidR="006E5282">
        <w:rPr>
          <w:rFonts w:ascii="Times New Roman" w:hAnsi="Times New Roman" w:cs="Times New Roman"/>
          <w:b/>
          <w:i/>
          <w:sz w:val="20"/>
          <w:szCs w:val="20"/>
          <w:vertAlign w:val="superscript"/>
        </w:rPr>
        <w:t>26</w:t>
      </w:r>
      <w:r w:rsidRPr="00445E5B">
        <w:rPr>
          <w:rFonts w:ascii="Times New Roman" w:hAnsi="Times New Roman" w:cs="Times New Roman"/>
          <w:b/>
          <w:i/>
          <w:sz w:val="20"/>
          <w:szCs w:val="20"/>
        </w:rPr>
        <w:t xml:space="preserve"> </w:t>
      </w:r>
      <w:r w:rsidRPr="00445E5B">
        <w:rPr>
          <w:rFonts w:ascii="Times New Roman" w:hAnsi="Times New Roman" w:cs="Times New Roman"/>
          <w:sz w:val="20"/>
          <w:szCs w:val="20"/>
        </w:rPr>
        <w:t xml:space="preserve"> shown that chitosan and hyaluronic acid composite scaffolds have potential for use in periodontal regeneration.</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Alginate – </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 </w:t>
      </w:r>
      <w:r w:rsidRPr="00445E5B">
        <w:rPr>
          <w:rFonts w:ascii="Times New Roman" w:hAnsi="Times New Roman" w:cs="Times New Roman"/>
          <w:sz w:val="20"/>
          <w:szCs w:val="20"/>
        </w:rPr>
        <w:tab/>
        <w:t xml:space="preserve">Frequently used in gingival tissue engineering which is a natural polysaccharide obtained from seaweed extracted of brown algae (Phaeophyceae) including </w:t>
      </w:r>
      <w:r w:rsidRPr="00445E5B">
        <w:rPr>
          <w:rFonts w:ascii="Times New Roman" w:hAnsi="Times New Roman" w:cs="Times New Roman"/>
          <w:i/>
          <w:iCs/>
          <w:sz w:val="20"/>
          <w:szCs w:val="20"/>
        </w:rPr>
        <w:t xml:space="preserve">Laminaria hyperborea </w:t>
      </w:r>
      <w:r w:rsidRPr="00445E5B">
        <w:rPr>
          <w:rFonts w:ascii="Times New Roman" w:hAnsi="Times New Roman" w:cs="Times New Roman"/>
          <w:sz w:val="20"/>
          <w:szCs w:val="20"/>
        </w:rPr>
        <w:t xml:space="preserve">and </w:t>
      </w:r>
      <w:r w:rsidRPr="00445E5B">
        <w:rPr>
          <w:rFonts w:ascii="Times New Roman" w:hAnsi="Times New Roman" w:cs="Times New Roman"/>
          <w:i/>
          <w:iCs/>
          <w:sz w:val="20"/>
          <w:szCs w:val="20"/>
        </w:rPr>
        <w:t>Laminaria digitata</w:t>
      </w:r>
      <w:r w:rsidRPr="00445E5B">
        <w:rPr>
          <w:rFonts w:ascii="Times New Roman" w:hAnsi="Times New Roman" w:cs="Times New Roman"/>
          <w:sz w:val="20"/>
          <w:szCs w:val="20"/>
        </w:rPr>
        <w:t>. The extract is filtered and calcium chloride is mixed with the filtrate in order to precipitate alginate. Alginate composition, molecular weight, purity, and concentration used in the scaffolds play the biggest role in providing mechanical strength, biocompatibility, cell adhesion, proliferation, and osteogenic differentiation. Alginate poses no toxicity to cells and thus is biocompatible in the physiological area, making it suitable for several biomedical applications</w:t>
      </w:r>
      <w:r w:rsidR="0015288C">
        <w:rPr>
          <w:rFonts w:ascii="Times New Roman" w:hAnsi="Times New Roman" w:cs="Times New Roman"/>
          <w:sz w:val="20"/>
          <w:szCs w:val="20"/>
        </w:rPr>
        <w:t>.</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Fibrin –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Natural biomaterial that is isolated from the patient</w:t>
      </w:r>
      <w:r w:rsidR="0015288C">
        <w:rPr>
          <w:rFonts w:ascii="Times New Roman" w:hAnsi="Times New Roman" w:cs="Times New Roman"/>
          <w:sz w:val="20"/>
          <w:szCs w:val="20"/>
        </w:rPr>
        <w:t>’</w:t>
      </w:r>
      <w:r w:rsidRPr="00445E5B">
        <w:rPr>
          <w:rFonts w:ascii="Times New Roman" w:hAnsi="Times New Roman" w:cs="Times New Roman"/>
          <w:sz w:val="20"/>
          <w:szCs w:val="20"/>
        </w:rPr>
        <w:t xml:space="preserve">s blood. Fibrin scaffolds have potential to prepare suitable environment for angiogenesis. They are biocompatible and biodegradable. Other advantages include high seeding efficacy and cell distribution in a uniform pattern and adhesion capability. Fibrin hydrogels are a kind of subtype fibrin scaffolds that are used in tissue engineering of liver, skin, cardiovascular, and bone tissues. Their disadvantages include low mechanical properties, fast degradation, and gel shrinkage.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Fibrin glue is prepared from purified fibrinogen and thrombin, and its function in tissue engineering is as a delivery vehicle and as a scaffolding matrix. It has been used in tissue engineering of maxillofacial bone and periodontal tissue. For modifying the mechanical properties of fibrin glue, it can be incorporated with polymers such as gelatin, hyaluronic acid, and chondroitin 6 sulfate. </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Scaffolds that promote enamel mineralisation</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ab/>
        <w:t xml:space="preserve">Enamel results from highly complex, orchestrated, and specific natural process and, in the early stage, the enamel organ guides all process. By weight, mature enamel is </w:t>
      </w:r>
      <w:r w:rsidRPr="00445E5B">
        <w:rPr>
          <w:rFonts w:ascii="Cambria Math" w:hAnsi="Cambria Math" w:cs="Cambria Math"/>
          <w:sz w:val="20"/>
          <w:szCs w:val="20"/>
        </w:rPr>
        <w:t>∼</w:t>
      </w:r>
      <w:r w:rsidRPr="00445E5B">
        <w:rPr>
          <w:rFonts w:ascii="Times New Roman" w:hAnsi="Times New Roman" w:cs="Times New Roman"/>
          <w:sz w:val="20"/>
          <w:szCs w:val="20"/>
        </w:rPr>
        <w:t xml:space="preserve">95% mineral, </w:t>
      </w:r>
      <w:r w:rsidRPr="00445E5B">
        <w:rPr>
          <w:rFonts w:ascii="Cambria Math" w:hAnsi="Cambria Math" w:cs="Cambria Math"/>
          <w:sz w:val="20"/>
          <w:szCs w:val="20"/>
        </w:rPr>
        <w:t>∼</w:t>
      </w:r>
      <w:r w:rsidRPr="00445E5B">
        <w:rPr>
          <w:rFonts w:ascii="Times New Roman" w:hAnsi="Times New Roman" w:cs="Times New Roman"/>
          <w:sz w:val="20"/>
          <w:szCs w:val="20"/>
        </w:rPr>
        <w:t>1%</w:t>
      </w:r>
      <w:r w:rsidRPr="00445E5B">
        <w:rPr>
          <w:rFonts w:ascii="Times New Roman" w:hAnsi="Times New Roman" w:cs="Times New Roman" w:hint="eastAsia"/>
          <w:sz w:val="20"/>
          <w:szCs w:val="20"/>
        </w:rPr>
        <w:t>–</w:t>
      </w:r>
      <w:r w:rsidRPr="00445E5B">
        <w:rPr>
          <w:rFonts w:ascii="Times New Roman" w:hAnsi="Times New Roman" w:cs="Times New Roman"/>
          <w:sz w:val="20"/>
          <w:szCs w:val="20"/>
        </w:rPr>
        <w:t xml:space="preserve">2% organic material, and </w:t>
      </w:r>
      <w:r w:rsidRPr="00445E5B">
        <w:rPr>
          <w:rFonts w:ascii="Cambria Math" w:hAnsi="Cambria Math" w:cs="Cambria Math"/>
          <w:sz w:val="20"/>
          <w:szCs w:val="20"/>
        </w:rPr>
        <w:t>∼</w:t>
      </w:r>
      <w:r w:rsidRPr="00445E5B">
        <w:rPr>
          <w:rFonts w:ascii="Times New Roman" w:hAnsi="Times New Roman" w:cs="Times New Roman"/>
          <w:sz w:val="20"/>
          <w:szCs w:val="20"/>
        </w:rPr>
        <w:t>2%</w:t>
      </w:r>
      <w:r w:rsidRPr="00445E5B">
        <w:rPr>
          <w:rFonts w:ascii="Times New Roman" w:hAnsi="Times New Roman" w:cs="Times New Roman" w:hint="eastAsia"/>
          <w:sz w:val="20"/>
          <w:szCs w:val="20"/>
        </w:rPr>
        <w:t>–</w:t>
      </w:r>
      <w:r w:rsidRPr="00445E5B">
        <w:rPr>
          <w:rFonts w:ascii="Times New Roman" w:hAnsi="Times New Roman" w:cs="Times New Roman"/>
          <w:sz w:val="20"/>
          <w:szCs w:val="20"/>
        </w:rPr>
        <w:t xml:space="preserve"> 4% water. In the earlier stages, it is possible to find 25%</w:t>
      </w:r>
      <w:r w:rsidRPr="00445E5B">
        <w:rPr>
          <w:rFonts w:ascii="Times New Roman" w:hAnsi="Times New Roman" w:cs="Times New Roman" w:hint="eastAsia"/>
          <w:sz w:val="20"/>
          <w:szCs w:val="20"/>
        </w:rPr>
        <w:t>–</w:t>
      </w:r>
      <w:r w:rsidRPr="00445E5B">
        <w:rPr>
          <w:rFonts w:ascii="Times New Roman" w:hAnsi="Times New Roman" w:cs="Times New Roman"/>
          <w:sz w:val="20"/>
          <w:szCs w:val="20"/>
        </w:rPr>
        <w:t>30% of protein. It is highly probable that proteins play an important role in the process of enamel mineralization. Amelogenin and enamelin are principal proteins present in developing enamel. Mature enamel is compounded by hydroxyapatite. Proteins and peptides constitute less than 0.1% by weight. There are traces of lactic acid, citric acid, carbohydrates, and lipids.</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ab/>
        <w:t>Common repair of defective enamel using materials such as amalgam, composite resin, and ceramics, which do not have a chemical component like crystal structures and physicochemical properties observed in the enamel. Because of that great difference, the performance of reparative material is generally below of natural enamel. Because of the high specific nature of enamel, evidentially, it is very difficult to find a reasonable method to improve an artificial production of this material. Polymeric composites based on hydroxyapatite are more commonly used as scaffolds for enamel biomimetic structures.</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The principal biomaterials used for enamel scaffolds are the following:</w:t>
      </w:r>
    </w:p>
    <w:p w:rsidR="00445E5B" w:rsidRPr="00445E5B" w:rsidRDefault="00445E5B" w:rsidP="00C74746">
      <w:pPr>
        <w:numPr>
          <w:ilvl w:val="0"/>
          <w:numId w:val="14"/>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Decellularized tooth bud</w:t>
      </w:r>
    </w:p>
    <w:p w:rsidR="00445E5B" w:rsidRPr="00445E5B" w:rsidRDefault="00445E5B" w:rsidP="00C74746">
      <w:pPr>
        <w:numPr>
          <w:ilvl w:val="0"/>
          <w:numId w:val="14"/>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Nanohydroxyapatite</w:t>
      </w:r>
    </w:p>
    <w:p w:rsidR="00445E5B" w:rsidRPr="00445E5B" w:rsidRDefault="00445E5B" w:rsidP="00C74746">
      <w:pPr>
        <w:numPr>
          <w:ilvl w:val="0"/>
          <w:numId w:val="14"/>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lastRenderedPageBreak/>
        <w:t>Polymers/hydroxyapatite composites. The common polymers are poly(l-lactic acid) (PLLA), poly(glycolic acid) (PGA), poly(lactic-co- glycolic acid) (PLGA), poly(ethylene glycol) (PEG), polycaprolactone (PLC).</w:t>
      </w:r>
    </w:p>
    <w:p w:rsidR="00445E5B" w:rsidRPr="00445E5B" w:rsidRDefault="00445E5B" w:rsidP="00C74746">
      <w:pPr>
        <w:numPr>
          <w:ilvl w:val="0"/>
          <w:numId w:val="14"/>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Collagen/apatite</w:t>
      </w:r>
    </w:p>
    <w:p w:rsidR="00445E5B" w:rsidRPr="00445E5B" w:rsidRDefault="00445E5B" w:rsidP="00C74746">
      <w:pPr>
        <w:numPr>
          <w:ilvl w:val="0"/>
          <w:numId w:val="14"/>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Silk</w:t>
      </w:r>
    </w:p>
    <w:p w:rsidR="00445E5B" w:rsidRPr="00445E5B" w:rsidRDefault="00445E5B" w:rsidP="00C74746">
      <w:pPr>
        <w:numPr>
          <w:ilvl w:val="0"/>
          <w:numId w:val="14"/>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Polysaccharides</w:t>
      </w:r>
      <w:r w:rsidRPr="00445E5B">
        <w:rPr>
          <w:rFonts w:ascii="Times New Roman" w:hAnsi="Times New Roman" w:cs="Times New Roman" w:hint="eastAsia"/>
          <w:sz w:val="20"/>
          <w:szCs w:val="20"/>
        </w:rPr>
        <w:t>–</w:t>
      </w:r>
      <w:r w:rsidRPr="00445E5B">
        <w:rPr>
          <w:rFonts w:ascii="Times New Roman" w:hAnsi="Times New Roman" w:cs="Times New Roman"/>
          <w:sz w:val="20"/>
          <w:szCs w:val="20"/>
        </w:rPr>
        <w:t>cellulose, alginate, hyaluronic acid, chitosan.</w:t>
      </w:r>
    </w:p>
    <w:p w:rsidR="00445E5B" w:rsidRPr="00445E5B" w:rsidRDefault="00445E5B" w:rsidP="00C74746">
      <w:pPr>
        <w:numPr>
          <w:ilvl w:val="0"/>
          <w:numId w:val="14"/>
        </w:num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Gelatin</w:t>
      </w:r>
      <w:r w:rsidR="006E5282">
        <w:rPr>
          <w:rFonts w:ascii="Times New Roman" w:hAnsi="Times New Roman" w:cs="Times New Roman"/>
          <w:sz w:val="20"/>
          <w:szCs w:val="20"/>
          <w:vertAlign w:val="superscript"/>
        </w:rPr>
        <w:t>19</w:t>
      </w:r>
    </w:p>
    <w:p w:rsidR="00445E5B" w:rsidRPr="00445E5B" w:rsidRDefault="00445E5B" w:rsidP="00C74746">
      <w:pPr>
        <w:spacing w:after="0" w:line="240" w:lineRule="auto"/>
        <w:jc w:val="both"/>
        <w:rPr>
          <w:rFonts w:ascii="Times New Roman" w:hAnsi="Times New Roman" w:cs="Times New Roman"/>
          <w:b/>
          <w:bCs/>
          <w:iCs/>
          <w:sz w:val="20"/>
          <w:szCs w:val="20"/>
        </w:rPr>
      </w:pPr>
      <w:r w:rsidRPr="00445E5B">
        <w:rPr>
          <w:rFonts w:ascii="Times New Roman" w:hAnsi="Times New Roman" w:cs="Times New Roman"/>
          <w:b/>
          <w:bCs/>
          <w:iCs/>
          <w:sz w:val="20"/>
          <w:szCs w:val="20"/>
        </w:rPr>
        <w:t>Biomimetic methods</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In this method, the scaffold is generated firstly by natural enamel and after by newly formed hydroxyapatite. This looks like a dynamic scaffold quasi-bi dimensional. Biomaterials for biomimetic procedures are prepared in the laboratory under very close physiological microenvironment conditions found in ECM. The system design should have a special membrane that allows only calcium ions to enter the system in a one-way form and synthetic amelogenin protein or ECM should to be trapped between the two layers of membranes to initiate mineralization. Talking in the simple way, enamel remineralization is like building something layer by layer. On the eroded enamel surface, amelogenin derivates or its derivate peptides have to apply and wait for a time to grow hydroxyapatite.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b/>
          <w:i/>
          <w:sz w:val="20"/>
          <w:szCs w:val="20"/>
        </w:rPr>
        <w:t>Chung</w:t>
      </w:r>
      <w:r w:rsidR="006E5282">
        <w:rPr>
          <w:rFonts w:ascii="Times New Roman" w:hAnsi="Times New Roman" w:cs="Times New Roman"/>
          <w:b/>
          <w:i/>
          <w:sz w:val="20"/>
          <w:szCs w:val="20"/>
          <w:vertAlign w:val="superscript"/>
        </w:rPr>
        <w:t>27</w:t>
      </w:r>
      <w:r w:rsidRPr="00445E5B">
        <w:rPr>
          <w:rFonts w:ascii="Times New Roman" w:hAnsi="Times New Roman" w:cs="Times New Roman"/>
          <w:sz w:val="20"/>
          <w:szCs w:val="20"/>
        </w:rPr>
        <w:t xml:space="preserve"> used triplet repeats of asparagine–serine–serine peptide (3NSS) to regulate enamel remineralization. The biomimetic process provides hydroxyapatite recrystallization and greatly enhances nanohardness and elastic modulus in treated lesions. </w:t>
      </w:r>
      <w:r w:rsidR="0015288C">
        <w:rPr>
          <w:rFonts w:ascii="Times New Roman" w:hAnsi="Times New Roman" w:cs="Times New Roman"/>
          <w:b/>
          <w:i/>
          <w:sz w:val="20"/>
          <w:szCs w:val="20"/>
        </w:rPr>
        <w:t>Zhou et al</w:t>
      </w:r>
      <w:r w:rsidR="006E5282">
        <w:rPr>
          <w:rFonts w:ascii="Times New Roman" w:hAnsi="Times New Roman" w:cs="Times New Roman"/>
          <w:b/>
          <w:i/>
          <w:sz w:val="20"/>
          <w:szCs w:val="20"/>
        </w:rPr>
        <w:t>.</w:t>
      </w:r>
      <w:r w:rsidR="006E5282">
        <w:rPr>
          <w:rFonts w:ascii="Times New Roman" w:hAnsi="Times New Roman" w:cs="Times New Roman"/>
          <w:b/>
          <w:i/>
          <w:sz w:val="20"/>
          <w:szCs w:val="20"/>
          <w:vertAlign w:val="superscript"/>
        </w:rPr>
        <w:t>28</w:t>
      </w:r>
      <w:r w:rsidRPr="00445E5B">
        <w:rPr>
          <w:rFonts w:ascii="Times New Roman" w:hAnsi="Times New Roman" w:cs="Times New Roman"/>
          <w:sz w:val="20"/>
          <w:szCs w:val="20"/>
        </w:rPr>
        <w:t xml:space="preserve"> developed an elastin-like polypeptide (ELP)–assisted process for </w:t>
      </w:r>
      <w:r w:rsidRPr="00445E5B">
        <w:rPr>
          <w:rFonts w:ascii="Times New Roman" w:hAnsi="Times New Roman" w:cs="Times New Roman"/>
          <w:i/>
          <w:sz w:val="20"/>
          <w:szCs w:val="20"/>
        </w:rPr>
        <w:t>insitu</w:t>
      </w:r>
      <w:r w:rsidRPr="00445E5B">
        <w:rPr>
          <w:rFonts w:ascii="Times New Roman" w:hAnsi="Times New Roman" w:cs="Times New Roman"/>
          <w:sz w:val="20"/>
          <w:szCs w:val="20"/>
        </w:rPr>
        <w:t xml:space="preserve"> synthesis of artificial enamel in simulated oral fluid. The new compound is based on a complex between ELP and amorphous calcium phosphate deposited on acid-etched enamel surface. Images from SEM presented pilled and prismatic formation of hydroxyapatite near a natural enamel.</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b/>
          <w:i/>
          <w:sz w:val="20"/>
          <w:szCs w:val="20"/>
        </w:rPr>
        <w:t>Mukherjee</w:t>
      </w:r>
      <w:r w:rsidR="006E5282">
        <w:rPr>
          <w:rFonts w:ascii="Times New Roman" w:hAnsi="Times New Roman" w:cs="Times New Roman"/>
          <w:b/>
          <w:i/>
          <w:sz w:val="20"/>
          <w:szCs w:val="20"/>
          <w:vertAlign w:val="superscript"/>
        </w:rPr>
        <w:t>29</w:t>
      </w:r>
      <w:r w:rsidRPr="00445E5B">
        <w:rPr>
          <w:rFonts w:ascii="Times New Roman" w:hAnsi="Times New Roman" w:cs="Times New Roman"/>
          <w:sz w:val="20"/>
          <w:szCs w:val="20"/>
        </w:rPr>
        <w:t xml:space="preserve"> performed a biomimetic in vitro approach using full-length amelogenin (rP172) and leucine-rich amelogenin peptide (LRAP) to promote remineralization of enamel to improve biointegration and mechanical strength. </w:t>
      </w:r>
      <w:r w:rsidRPr="00445E5B">
        <w:rPr>
          <w:rFonts w:ascii="Times New Roman" w:hAnsi="Times New Roman" w:cs="Times New Roman"/>
          <w:b/>
          <w:i/>
          <w:sz w:val="20"/>
          <w:szCs w:val="20"/>
        </w:rPr>
        <w:t>Dogan et al.</w:t>
      </w:r>
      <w:r w:rsidR="006E5282">
        <w:rPr>
          <w:rFonts w:ascii="Times New Roman" w:hAnsi="Times New Roman" w:cs="Times New Roman"/>
          <w:b/>
          <w:i/>
          <w:sz w:val="20"/>
          <w:szCs w:val="20"/>
          <w:vertAlign w:val="superscript"/>
        </w:rPr>
        <w:t>30</w:t>
      </w:r>
      <w:r w:rsidR="0015288C">
        <w:rPr>
          <w:rFonts w:ascii="Times New Roman" w:hAnsi="Times New Roman" w:cs="Times New Roman"/>
          <w:sz w:val="20"/>
          <w:szCs w:val="20"/>
        </w:rPr>
        <w:t xml:space="preserve"> </w:t>
      </w:r>
      <w:r w:rsidRPr="00445E5B">
        <w:rPr>
          <w:rFonts w:ascii="Times New Roman" w:hAnsi="Times New Roman" w:cs="Times New Roman"/>
          <w:sz w:val="20"/>
          <w:szCs w:val="20"/>
        </w:rPr>
        <w:t>worked with shADP5, a 15-amino acid-long amelogenin-derived peptide, which was shown to promote cell-free and rapid formation of mineral layer on demineralized human root dentin. The results showed high peptide-guided remineralization of white spot lesions in the enamel from human teeth samples.</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b/>
          <w:bCs/>
          <w:iCs/>
          <w:sz w:val="20"/>
          <w:szCs w:val="20"/>
        </w:rPr>
        <w:t>Self-assembling peptide methods</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Professor </w:t>
      </w:r>
      <w:r w:rsidRPr="00445E5B">
        <w:rPr>
          <w:rFonts w:ascii="Times New Roman" w:hAnsi="Times New Roman" w:cs="Times New Roman"/>
          <w:b/>
          <w:i/>
          <w:sz w:val="20"/>
          <w:szCs w:val="20"/>
        </w:rPr>
        <w:t>Collin Robinson</w:t>
      </w:r>
      <w:r w:rsidRPr="00445E5B">
        <w:rPr>
          <w:rFonts w:ascii="Times New Roman" w:hAnsi="Times New Roman" w:cs="Times New Roman"/>
          <w:sz w:val="20"/>
          <w:szCs w:val="20"/>
        </w:rPr>
        <w:t xml:space="preserve"> and colleagues from the University of Leeds develop a manner to reproduce the enamel matrix inside enamel lesions and promote remineralization using self-assembling peptides. This kind of biomolecules act over spontaneous folding of proteins and the formation of DNA double helix. In this technique, eroded enamel is filled with monomeric P114, which diffuses through the pores of the hypermineralized plate into the subsurface lesion body. Then, the peptide monomers spontaneously form a 3D matrix via hydrogen bonds. After that, crystallization around the matrix starts and calcium phosphate from saliva crystallizes around the matrix, forming new enamel. This peptide acts like a scaffold. The process filling is fundamental because there is a necessity to reach at bottom of eroded hole for high efficiency remineralization. </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bCs/>
          <w:iCs/>
          <w:sz w:val="20"/>
          <w:szCs w:val="20"/>
        </w:rPr>
        <w:t>Regeneration of enamel using hydroxyapatite as</w:t>
      </w:r>
      <w:r w:rsidRPr="00445E5B">
        <w:rPr>
          <w:rFonts w:ascii="Times New Roman" w:hAnsi="Times New Roman" w:cs="Times New Roman"/>
          <w:b/>
          <w:sz w:val="20"/>
          <w:szCs w:val="20"/>
        </w:rPr>
        <w:t xml:space="preserve"> </w:t>
      </w:r>
      <w:r w:rsidRPr="00445E5B">
        <w:rPr>
          <w:rFonts w:ascii="Times New Roman" w:hAnsi="Times New Roman" w:cs="Times New Roman"/>
          <w:b/>
          <w:bCs/>
          <w:iCs/>
          <w:sz w:val="20"/>
          <w:szCs w:val="20"/>
        </w:rPr>
        <w:t>basement method</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This methodology is based on the use of hydroxyapatite nanoparticles, hydroxyapatite nanocompounds, calcium phosphates, and compounds as cement for plugholes in eroded enamel. The principal application is product toothpaste with up to 5% concentration.</w:t>
      </w:r>
    </w:p>
    <w:p w:rsidR="00445E5B" w:rsidRPr="00445E5B" w:rsidRDefault="00445E5B" w:rsidP="00C74746">
      <w:pPr>
        <w:spacing w:after="0" w:line="240" w:lineRule="auto"/>
        <w:jc w:val="both"/>
        <w:rPr>
          <w:rFonts w:ascii="Times New Roman" w:hAnsi="Times New Roman" w:cs="Times New Roman"/>
          <w:b/>
          <w:bCs/>
          <w:iCs/>
          <w:sz w:val="20"/>
          <w:szCs w:val="20"/>
        </w:rPr>
      </w:pPr>
      <w:r w:rsidRPr="00445E5B">
        <w:rPr>
          <w:rFonts w:ascii="Times New Roman" w:hAnsi="Times New Roman" w:cs="Times New Roman"/>
          <w:b/>
          <w:bCs/>
          <w:iCs/>
          <w:sz w:val="20"/>
          <w:szCs w:val="20"/>
        </w:rPr>
        <w:t>Natural or semisynthetic scaffold with stem cell methodology</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The use of natural scaffold with stem cell always needs an enamel matrix derivative (EMD) to promote reseed and differentiation. The first step of the process is to stimulate the cell proliferation and ligament formation. EMD protein precipitation is governed by physical and chemical characteristics of the material used as grafts or scaffold used. Besides, temperature set to 37°C, and the ideal pH contro</w:t>
      </w:r>
      <w:r w:rsidR="00036799">
        <w:rPr>
          <w:rFonts w:ascii="Times New Roman" w:hAnsi="Times New Roman" w:cs="Times New Roman"/>
          <w:sz w:val="20"/>
          <w:szCs w:val="20"/>
        </w:rPr>
        <w:t>l should be between 3.9 and 4.2</w:t>
      </w:r>
      <w:r w:rsidRPr="00445E5B">
        <w:rPr>
          <w:rFonts w:ascii="Times New Roman" w:hAnsi="Times New Roman" w:cs="Times New Roman"/>
          <w:sz w:val="20"/>
          <w:szCs w:val="20"/>
        </w:rPr>
        <w:t>.</w:t>
      </w:r>
    </w:p>
    <w:p w:rsidR="00445E5B" w:rsidRPr="00445E5B" w:rsidRDefault="00445E5B" w:rsidP="00C74746">
      <w:pPr>
        <w:spacing w:after="0" w:line="240" w:lineRule="auto"/>
        <w:jc w:val="both"/>
        <w:rPr>
          <w:rFonts w:ascii="Times New Roman" w:hAnsi="Times New Roman" w:cs="Times New Roman"/>
          <w:b/>
          <w:bCs/>
          <w:iCs/>
          <w:sz w:val="20"/>
          <w:szCs w:val="20"/>
        </w:rPr>
      </w:pPr>
      <w:r w:rsidRPr="00445E5B">
        <w:rPr>
          <w:rFonts w:ascii="Times New Roman" w:hAnsi="Times New Roman" w:cs="Times New Roman"/>
          <w:b/>
          <w:bCs/>
          <w:iCs/>
          <w:sz w:val="20"/>
          <w:szCs w:val="20"/>
        </w:rPr>
        <w:t>Synthetic scaffolds</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Generally talking, the use of synthetic scaffolds for enamel restoration is based on natural mineralization of hydroxyapatite from natural or artificial saliva. The principal problem of this methodology is its inherent limited biosorption of scaffolds and the more complex study for the toxicology because of newly synthesized molecules; besides, the process is very time dependent as observed in the biomimetic deposition of hydroxyapatite.</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b/>
          <w:sz w:val="20"/>
          <w:szCs w:val="20"/>
        </w:rPr>
        <w:t xml:space="preserve">Scaffolds for dental cementum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Cementum is a critical part of the tooth, attaching the tooth to the underlying bone and repairing minor damage to the root. As the cementum is located below the gingival tissue, a complete repair of cemental defects is not possible. Hence, an extensive research is being carried out in discovering suitable methods for dental repair using tissue engineering scaffolding. The challenge lies in a biomaterial that needs to be produced to allow good porosity, mechanical strength and that encourages cell proliferation within the scaffold; all while ensuring biocompatibility and that the product is not rejected from the body, causing adverse reactions</w:t>
      </w:r>
      <w:r w:rsidR="00E25B7D">
        <w:rPr>
          <w:rFonts w:ascii="Times New Roman" w:hAnsi="Times New Roman" w:cs="Times New Roman"/>
          <w:sz w:val="20"/>
          <w:szCs w:val="20"/>
        </w:rPr>
        <w:t>.</w:t>
      </w:r>
    </w:p>
    <w:p w:rsidR="00445E5B" w:rsidRPr="005204B9" w:rsidRDefault="00445E5B" w:rsidP="00C74746">
      <w:pPr>
        <w:spacing w:after="0" w:line="240" w:lineRule="auto"/>
        <w:jc w:val="both"/>
        <w:rPr>
          <w:rFonts w:ascii="Times New Roman" w:hAnsi="Times New Roman" w:cs="Times New Roman"/>
          <w:b/>
          <w:sz w:val="20"/>
          <w:szCs w:val="20"/>
          <w:u w:val="single"/>
        </w:rPr>
      </w:pPr>
      <w:r w:rsidRPr="005204B9">
        <w:rPr>
          <w:rFonts w:ascii="Times New Roman" w:hAnsi="Times New Roman" w:cs="Times New Roman"/>
          <w:b/>
          <w:sz w:val="20"/>
          <w:szCs w:val="20"/>
          <w:u w:val="single"/>
        </w:rPr>
        <w:t xml:space="preserve">Various biomaterials used for cementum scaffolds </w:t>
      </w:r>
    </w:p>
    <w:p w:rsidR="00445E5B" w:rsidRPr="004A37D8" w:rsidRDefault="00445E5B" w:rsidP="00C74746">
      <w:pPr>
        <w:spacing w:after="0" w:line="240" w:lineRule="auto"/>
        <w:jc w:val="both"/>
        <w:rPr>
          <w:rFonts w:ascii="Times New Roman" w:hAnsi="Times New Roman" w:cs="Times New Roman"/>
          <w:b/>
          <w:bCs/>
          <w:sz w:val="20"/>
          <w:szCs w:val="20"/>
          <w:u w:val="single"/>
        </w:rPr>
      </w:pPr>
      <w:r w:rsidRPr="004A37D8">
        <w:rPr>
          <w:rFonts w:ascii="Times New Roman" w:hAnsi="Times New Roman" w:cs="Times New Roman"/>
          <w:b/>
          <w:bCs/>
          <w:sz w:val="20"/>
          <w:szCs w:val="20"/>
          <w:u w:val="single"/>
        </w:rPr>
        <w:t>Nonrigid biomaterials</w:t>
      </w:r>
    </w:p>
    <w:p w:rsidR="00445E5B" w:rsidRPr="00445E5B" w:rsidRDefault="00445E5B" w:rsidP="00C74746">
      <w:pPr>
        <w:spacing w:after="0" w:line="240" w:lineRule="auto"/>
        <w:ind w:firstLine="720"/>
        <w:jc w:val="both"/>
        <w:rPr>
          <w:rFonts w:ascii="Times New Roman" w:hAnsi="Times New Roman" w:cs="Times New Roman"/>
          <w:bCs/>
          <w:sz w:val="20"/>
          <w:szCs w:val="20"/>
        </w:rPr>
      </w:pPr>
      <w:r w:rsidRPr="00445E5B">
        <w:rPr>
          <w:rFonts w:ascii="Times New Roman" w:hAnsi="Times New Roman" w:cs="Times New Roman"/>
          <w:bCs/>
          <w:sz w:val="20"/>
          <w:szCs w:val="20"/>
        </w:rPr>
        <w:lastRenderedPageBreak/>
        <w:t>These biomaterials are capable of dissolving in water, and so they need to be mixed with other materials such as HA or CaP, to be able to form a three-dimensional structure. Commonly non</w:t>
      </w:r>
      <w:r w:rsidR="008C7011">
        <w:rPr>
          <w:rFonts w:ascii="Times New Roman" w:hAnsi="Times New Roman" w:cs="Times New Roman"/>
          <w:bCs/>
          <w:sz w:val="20"/>
          <w:szCs w:val="20"/>
        </w:rPr>
        <w:t>-</w:t>
      </w:r>
      <w:r w:rsidRPr="00445E5B">
        <w:rPr>
          <w:rFonts w:ascii="Times New Roman" w:hAnsi="Times New Roman" w:cs="Times New Roman"/>
          <w:bCs/>
          <w:sz w:val="20"/>
          <w:szCs w:val="20"/>
        </w:rPr>
        <w:t>rigid or soft biomaterials come in the form of hydrogels, which can be injected rather than have to be implanted into tissue. Due to hydrogels</w:t>
      </w:r>
      <w:r w:rsidRPr="00445E5B">
        <w:rPr>
          <w:rFonts w:ascii="Times New Roman" w:hAnsi="Times New Roman" w:cs="Times New Roman" w:hint="eastAsia"/>
          <w:bCs/>
          <w:sz w:val="20"/>
          <w:szCs w:val="20"/>
        </w:rPr>
        <w:t xml:space="preserve"> </w:t>
      </w:r>
      <w:r w:rsidRPr="00445E5B">
        <w:rPr>
          <w:rFonts w:ascii="Times New Roman" w:hAnsi="Times New Roman" w:cs="Times New Roman"/>
          <w:bCs/>
          <w:sz w:val="20"/>
          <w:szCs w:val="20"/>
        </w:rPr>
        <w:t>non</w:t>
      </w:r>
      <w:r w:rsidR="005204B9">
        <w:rPr>
          <w:rFonts w:ascii="Times New Roman" w:hAnsi="Times New Roman" w:cs="Times New Roman"/>
          <w:bCs/>
          <w:sz w:val="20"/>
          <w:szCs w:val="20"/>
        </w:rPr>
        <w:t xml:space="preserve"> </w:t>
      </w:r>
      <w:r w:rsidRPr="00445E5B">
        <w:rPr>
          <w:rFonts w:ascii="Times New Roman" w:hAnsi="Times New Roman" w:cs="Times New Roman"/>
          <w:bCs/>
          <w:sz w:val="20"/>
          <w:szCs w:val="20"/>
        </w:rPr>
        <w:t>rigid property, they are a good biomaterial for injecting into areas such as the cementum. When injected into the desired location hydrogel changes from a solution to a gel, its softness allowing envelopment of surrounding tissues.</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Poly ethylene glycol (PEG)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PEG can have a linear or branched chain structure, it can become flexible when altering the cross-linking properties, enabling properties of the PEG to be best suited to allow tissue growth and cell enveloping. PEG can be cross-linked with covalent PEGs with reactive chain ends, giving a high water content, enabling hydrogel formation. PEG does not inflict an immune response within the body and has good biocompatibility. The degradation rate of PEG varies and occurs in the presence of oxygen, rates can be altered by lowering the temperature or implementing antioxidants into it</w:t>
      </w:r>
      <w:r w:rsidR="00E25B7D">
        <w:rPr>
          <w:rFonts w:ascii="Times New Roman" w:hAnsi="Times New Roman" w:cs="Times New Roman"/>
          <w:sz w:val="20"/>
          <w:szCs w:val="20"/>
        </w:rPr>
        <w:t>.</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Hyaluronic acid</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Hyaluronic acid is a linear polysaccharide glycosaminoglycan found naturally in the ECM of most vertebrates and can be found in the cementum in small amounts. Hyaluronic acid interacts with growth factors, cellular and extracellular structures, aiding the tissue to maintain structure and homogeneities. It is biocompatible and rarely produces an immunological reaction, however it degrades rapidly and has low mechanical strength. Adding a hydrophobic group to the hyaluronic acids chemical group, slows degradation and increases the mechanical stability of scaffolds.</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b/>
          <w:sz w:val="20"/>
          <w:szCs w:val="20"/>
        </w:rPr>
        <w:t xml:space="preserve">Chitosan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Chitosan is a natural linear polysaccharide, it is both biodegradable and biocompatible, serving as a good biomaterial that will not cause the human body to reject or have a cytotoxic reaction to it. Chitosan has very flexible usability, which can be formed into hydrogels, nanofibers, sponges, and bead-type scaffolds. Collagen type 1 has been used alongside chitosan, seeding epithelial-mesenchymal cells into its matrix, concluding that the collagen and chitosan combination allowed mesenchymal-derived dental pulp stem cells and HAT-7 epithelial cells to migrate and differentiate. If chitosan is used as a hydrogel, it needs chemical alteration, as chitosan would not dissolve in the body, reducing the usability of the scaffold.</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Silk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Silk proteins are natural proteins, with good cellular biocompatibility and are biodegradable, however they have small pore size and mechanical property control. Additionally, the main fractions of natural </w:t>
      </w:r>
      <w:r w:rsidRPr="00445E5B">
        <w:rPr>
          <w:rFonts w:ascii="Times New Roman" w:hAnsi="Times New Roman" w:cs="Times New Roman"/>
          <w:i/>
          <w:iCs/>
          <w:sz w:val="20"/>
          <w:szCs w:val="20"/>
        </w:rPr>
        <w:t xml:space="preserve">Bombyx mori </w:t>
      </w:r>
      <w:r w:rsidRPr="00445E5B">
        <w:rPr>
          <w:rFonts w:ascii="Times New Roman" w:hAnsi="Times New Roman" w:cs="Times New Roman"/>
          <w:sz w:val="20"/>
          <w:szCs w:val="20"/>
        </w:rPr>
        <w:t>silk (heavy chain and light chain) fibroin have variable physical and mechanical properties and can be isolated using formic acid for further scaffold synthesis. Silk-based scaffolds were tested with combinations of enamel matrix derivatives (EMD) and/or induced pluripotent stem cells (iPSCs), this was to study how it could perform in repairing a periodontal defect. Silk-fibroin scaffolds with CaP coating have shown high porosity, good biodegradability, and improved bone contact, allowing stimulation of bone MSCs, with the combination of iPSCs and EMD encouraging cementum formation, alveolar bone and PDL.</w:t>
      </w:r>
    </w:p>
    <w:p w:rsidR="00445E5B" w:rsidRPr="004A37D8" w:rsidRDefault="00445E5B" w:rsidP="00C74746">
      <w:pPr>
        <w:spacing w:after="0" w:line="240" w:lineRule="auto"/>
        <w:jc w:val="both"/>
        <w:rPr>
          <w:rFonts w:ascii="Times New Roman" w:hAnsi="Times New Roman" w:cs="Times New Roman"/>
          <w:b/>
          <w:sz w:val="20"/>
          <w:szCs w:val="20"/>
          <w:u w:val="single"/>
        </w:rPr>
      </w:pPr>
      <w:r w:rsidRPr="004A37D8">
        <w:rPr>
          <w:rFonts w:ascii="Times New Roman" w:hAnsi="Times New Roman" w:cs="Times New Roman"/>
          <w:b/>
          <w:sz w:val="20"/>
          <w:szCs w:val="20"/>
          <w:u w:val="single"/>
        </w:rPr>
        <w:t xml:space="preserve">Rigid biomaterials </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b/>
          <w:sz w:val="20"/>
          <w:szCs w:val="20"/>
        </w:rPr>
        <w:tab/>
      </w:r>
      <w:r w:rsidRPr="00445E5B">
        <w:rPr>
          <w:rFonts w:ascii="Times New Roman" w:hAnsi="Times New Roman" w:cs="Times New Roman"/>
          <w:sz w:val="20"/>
          <w:szCs w:val="20"/>
        </w:rPr>
        <w:t xml:space="preserve">Rigid biomaterials can act to sustain loads from teeth movement, acting as a structural substitute, however a rigid biomaterial may not be necessary as it could be too rigid to allow the biomaterial to attach to the native cementum of the tooth. If a scaffold were made to incorporate not just cementum formation, but alveolar bone formation also, rigid materials would need to be utilized to enable structure recreation at a defect site. </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Polylactic acid (PLA)</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PLA is a synthetic polymer with excellent biocompatibility and biodegradability. PLA releases lactic acid when degrading </w:t>
      </w:r>
      <w:r w:rsidRPr="00445E5B">
        <w:rPr>
          <w:rFonts w:ascii="Times New Roman" w:hAnsi="Times New Roman" w:cs="Times New Roman"/>
          <w:i/>
          <w:sz w:val="20"/>
          <w:szCs w:val="20"/>
        </w:rPr>
        <w:t>in</w:t>
      </w:r>
      <w:r w:rsidR="008C7011">
        <w:rPr>
          <w:rFonts w:ascii="Times New Roman" w:hAnsi="Times New Roman" w:cs="Times New Roman"/>
          <w:i/>
          <w:sz w:val="20"/>
          <w:szCs w:val="20"/>
        </w:rPr>
        <w:t xml:space="preserve"> </w:t>
      </w:r>
      <w:r w:rsidRPr="00445E5B">
        <w:rPr>
          <w:rFonts w:ascii="Times New Roman" w:hAnsi="Times New Roman" w:cs="Times New Roman"/>
          <w:i/>
          <w:sz w:val="20"/>
          <w:szCs w:val="20"/>
        </w:rPr>
        <w:t>vivo</w:t>
      </w:r>
      <w:r w:rsidRPr="00445E5B">
        <w:rPr>
          <w:rFonts w:ascii="Times New Roman" w:hAnsi="Times New Roman" w:cs="Times New Roman"/>
          <w:sz w:val="20"/>
          <w:szCs w:val="20"/>
        </w:rPr>
        <w:t>, which can be removed naturally by metabolic activities in the body. Hydrolysis degrades PLA without the need for enzymes. Lactic acid, the building block of PLA, can be easily sourced due to its natural presence in the environment and its production via the fermentation process to acquire lactic acid from renewable sources such as sugar cane.</w:t>
      </w: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Polylactic-coglycolide (PLGA)</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PLGA is a synthetic polymer, which is formed from the combination of PLA and PGA, through ester bonding. These two polymers are combined because when used individually, their mechanical properties are poor, and the degradation rate is too fast to serve as a scaffold for bone-like structures, potentially causing premature scaffold collapse. </w:t>
      </w:r>
      <w:r w:rsidRPr="00445E5B">
        <w:rPr>
          <w:rFonts w:ascii="Times New Roman" w:hAnsi="Times New Roman" w:cs="Times New Roman"/>
          <w:b/>
          <w:i/>
          <w:sz w:val="20"/>
          <w:szCs w:val="20"/>
        </w:rPr>
        <w:t>N.</w:t>
      </w:r>
      <w:r w:rsidRPr="00445E5B">
        <w:rPr>
          <w:rFonts w:ascii="Times New Roman" w:hAnsi="Times New Roman" w:cs="Times New Roman"/>
          <w:sz w:val="20"/>
          <w:szCs w:val="20"/>
        </w:rPr>
        <w:t xml:space="preserve"> </w:t>
      </w:r>
      <w:r w:rsidRPr="00445E5B">
        <w:rPr>
          <w:rFonts w:ascii="Times New Roman" w:hAnsi="Times New Roman" w:cs="Times New Roman"/>
          <w:b/>
          <w:i/>
          <w:sz w:val="20"/>
          <w:szCs w:val="20"/>
        </w:rPr>
        <w:t>Tanataweethum, W. Liu, W. Goebel, D. Li and T. Chu</w:t>
      </w:r>
      <w:r w:rsidR="006E5282">
        <w:rPr>
          <w:rFonts w:ascii="Times New Roman" w:hAnsi="Times New Roman" w:cs="Times New Roman"/>
          <w:b/>
          <w:i/>
          <w:sz w:val="20"/>
          <w:szCs w:val="20"/>
          <w:vertAlign w:val="superscript"/>
        </w:rPr>
        <w:t>31</w:t>
      </w:r>
      <w:r w:rsidRPr="00445E5B">
        <w:rPr>
          <w:rFonts w:ascii="Times New Roman" w:hAnsi="Times New Roman" w:cs="Times New Roman"/>
          <w:b/>
          <w:i/>
          <w:sz w:val="20"/>
          <w:szCs w:val="20"/>
        </w:rPr>
        <w:t xml:space="preserve"> </w:t>
      </w:r>
      <w:r w:rsidRPr="00445E5B">
        <w:rPr>
          <w:rFonts w:ascii="Times New Roman" w:hAnsi="Times New Roman" w:cs="Times New Roman"/>
          <w:sz w:val="20"/>
          <w:szCs w:val="20"/>
        </w:rPr>
        <w:t xml:space="preserve">combined PLGA with CaP, to reduce the inflammation when implanting these scaffolds. The ratio of PLA to PGA can be altered, resulting in different properties, such as slower or faster degradation rates, to suit the required application. </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b/>
          <w:sz w:val="20"/>
          <w:szCs w:val="20"/>
        </w:rPr>
        <w:t>Polyglycolic acid (PGA)</w:t>
      </w:r>
    </w:p>
    <w:p w:rsid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PGA is a synthetic biomaterial which quickly degrades, is hydrophilic and highly crystalline, but has low mechanical strength. When degradation occurs, the metabolic processes remove the glycolic acid produced and result in it being excreted through the urine. PGA has been shown to be a great biomaterial to culture DPSCs, </w:t>
      </w:r>
      <w:r w:rsidRPr="00445E5B">
        <w:rPr>
          <w:rFonts w:ascii="Times New Roman" w:hAnsi="Times New Roman" w:cs="Times New Roman"/>
          <w:sz w:val="20"/>
          <w:szCs w:val="20"/>
        </w:rPr>
        <w:lastRenderedPageBreak/>
        <w:t>giving a high-density tissue with great collagen deposition when compared to collagen and alginate hydrogels, of which cell growth was insufficient for these materials.</w:t>
      </w:r>
    </w:p>
    <w:p w:rsidR="002336CA" w:rsidRPr="00445E5B" w:rsidRDefault="002336CA" w:rsidP="00C74746">
      <w:pPr>
        <w:spacing w:after="0" w:line="240" w:lineRule="auto"/>
        <w:ind w:firstLine="720"/>
        <w:jc w:val="both"/>
        <w:rPr>
          <w:rFonts w:ascii="Times New Roman" w:hAnsi="Times New Roman" w:cs="Times New Roman"/>
          <w:sz w:val="20"/>
          <w:szCs w:val="20"/>
        </w:rPr>
      </w:pPr>
      <w:bookmarkStart w:id="0" w:name="_GoBack"/>
      <w:bookmarkEnd w:id="0"/>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Scaffolds for engineering tooth – ligament interfaces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The periodontium complex is a highly hierarchical organ composed of interlinked hard and soft tissues, including cementum, periodontal ligament (PDL), and alveolar bone, and as such represents an anatomically unique structure. The function of the periodontium is to biomechanically support the teeth by absorbing and transferring compressive stresses into the mandible and surrounding cranial structures caused by masticatory function. The periodontal ligament inserts into the cementum by the so-called Sharpey’s fibers, which form various angles with the root surface that reflect the distribution of the physiological load, thus exemplifying the role of the periodontal ligament tooth anchorage and masticatory force distribution.</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Periodontitis is an inflammatory disease initiated by the infiltration of bacteria, leading to the destruction of soft and hard tissue. Current clinical techniques are efficient at controlling the inflammatory aspect of the disease and rely on the mechanical removal of plaque from the tooth surface, and implement purpose designed instruments for scaling and root debridement. These therapies are successful at limiting the progression of the disease by reducing the inflammatory response caused by the presence of bacteria. However, it only results in partial soft tissue reattachment, forming an inferior connection known as the long junctional epithelium, without the formation of new periodontal ligament attachment.  </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The concept of </w:t>
      </w:r>
      <w:r w:rsidRPr="00445E5B">
        <w:rPr>
          <w:rFonts w:ascii="Times New Roman" w:hAnsi="Times New Roman" w:cs="Times New Roman" w:hint="eastAsia"/>
          <w:b/>
          <w:sz w:val="20"/>
          <w:szCs w:val="20"/>
        </w:rPr>
        <w:t>“</w:t>
      </w:r>
      <w:r w:rsidRPr="00445E5B">
        <w:rPr>
          <w:rFonts w:ascii="Times New Roman" w:hAnsi="Times New Roman" w:cs="Times New Roman"/>
          <w:b/>
          <w:sz w:val="20"/>
          <w:szCs w:val="20"/>
        </w:rPr>
        <w:t>Guided Tissue Regeneration</w:t>
      </w:r>
      <w:r w:rsidRPr="00445E5B">
        <w:rPr>
          <w:rFonts w:ascii="Times New Roman" w:hAnsi="Times New Roman" w:cs="Times New Roman" w:hint="eastAsia"/>
          <w:b/>
          <w:sz w:val="20"/>
          <w:szCs w:val="20"/>
        </w:rPr>
        <w:t>”</w:t>
      </w:r>
      <w:r w:rsidRPr="00445E5B">
        <w:rPr>
          <w:rFonts w:ascii="Times New Roman" w:hAnsi="Times New Roman" w:cs="Times New Roman" w:hint="eastAsia"/>
          <w:b/>
          <w:sz w:val="20"/>
          <w:szCs w:val="20"/>
        </w:rPr>
        <w:t xml:space="preserve"> </w:t>
      </w:r>
      <w:r w:rsidRPr="00445E5B">
        <w:rPr>
          <w:rFonts w:ascii="Times New Roman" w:hAnsi="Times New Roman" w:cs="Times New Roman"/>
          <w:b/>
          <w:sz w:val="20"/>
          <w:szCs w:val="20"/>
        </w:rPr>
        <w:t>(GTR)</w:t>
      </w:r>
      <w:r w:rsidRPr="00445E5B">
        <w:rPr>
          <w:rFonts w:ascii="Times New Roman" w:hAnsi="Times New Roman" w:cs="Times New Roman"/>
          <w:sz w:val="20"/>
          <w:szCs w:val="20"/>
        </w:rPr>
        <w:t xml:space="preserve"> was introduced in the early 1980s. This technique relies on three principles: </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 (1)  Wound stabilization,</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 (2) Space maintenance allowing bone ingrowth, and </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 xml:space="preserve"> (3) Selective cell repopulation of the root surface.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This surgical procedure combines root debridement with the insertion of an occlusive membrane over the defect. The membrane, either resorbable or non</w:t>
      </w:r>
      <w:r w:rsidR="008C7011">
        <w:rPr>
          <w:rFonts w:ascii="Times New Roman" w:hAnsi="Times New Roman" w:cs="Times New Roman"/>
          <w:sz w:val="20"/>
          <w:szCs w:val="20"/>
        </w:rPr>
        <w:t xml:space="preserve"> </w:t>
      </w:r>
      <w:r w:rsidRPr="00445E5B">
        <w:rPr>
          <w:rFonts w:ascii="Times New Roman" w:hAnsi="Times New Roman" w:cs="Times New Roman"/>
          <w:sz w:val="20"/>
          <w:szCs w:val="20"/>
        </w:rPr>
        <w:t>resorbable, enables selective cell repopulation of bone and periodontal progenitor cells to the defect void, while restricting the infiltration of rapidly migrating gingival epithelial cells. This creates space for the repopulation of the defect with bone and periodontal ligament cells that have the capacity to regenerate the tissue, at the expense of gingival tissues that lack this ability.</w:t>
      </w:r>
    </w:p>
    <w:p w:rsid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GTR technology has critical limitations that result in limited clinical reproducibility, poor predictability, and a lack of truly functional regeneration. Even though, the literature shows that GTR can be efficient in selected cases, predictable periodontal regeneration remains elusive. Recent advancements in the field have advocated for the utilization of tissue engineered constructs, which could potentially circumvent the aforementioned limitation of GTR and achieve appropriate periodontal regeneration</w:t>
      </w:r>
      <w:r w:rsidR="00693101">
        <w:rPr>
          <w:rFonts w:ascii="Times New Roman" w:hAnsi="Times New Roman" w:cs="Times New Roman"/>
          <w:sz w:val="20"/>
          <w:szCs w:val="20"/>
          <w:vertAlign w:val="superscript"/>
        </w:rPr>
        <w:t>19</w:t>
      </w:r>
      <w:r w:rsidRPr="00445E5B">
        <w:rPr>
          <w:rFonts w:ascii="Times New Roman" w:hAnsi="Times New Roman" w:cs="Times New Roman"/>
          <w:sz w:val="20"/>
          <w:szCs w:val="20"/>
        </w:rPr>
        <w:t>.</w:t>
      </w:r>
    </w:p>
    <w:p w:rsidR="002336CA" w:rsidRPr="00445E5B" w:rsidRDefault="002336CA" w:rsidP="00C74746">
      <w:pPr>
        <w:spacing w:after="0" w:line="240" w:lineRule="auto"/>
        <w:ind w:firstLine="720"/>
        <w:jc w:val="both"/>
        <w:rPr>
          <w:rFonts w:ascii="Times New Roman" w:hAnsi="Times New Roman" w:cs="Times New Roman"/>
          <w:sz w:val="20"/>
          <w:szCs w:val="20"/>
        </w:rPr>
      </w:pPr>
    </w:p>
    <w:p w:rsid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Scaffolds for periodontal regeneration:</w:t>
      </w:r>
    </w:p>
    <w:p w:rsidR="002336CA" w:rsidRPr="00445E5B" w:rsidRDefault="002336CA" w:rsidP="00C74746">
      <w:pPr>
        <w:spacing w:after="0" w:line="240" w:lineRule="auto"/>
        <w:jc w:val="both"/>
        <w:rPr>
          <w:rFonts w:ascii="Times New Roman" w:hAnsi="Times New Roman" w:cs="Times New Roman"/>
          <w:b/>
          <w:sz w:val="20"/>
          <w:szCs w:val="20"/>
        </w:rPr>
      </w:pPr>
    </w:p>
    <w:p w:rsidR="00445E5B" w:rsidRPr="00445E5B" w:rsidRDefault="00445E5B" w:rsidP="00C74746">
      <w:pPr>
        <w:spacing w:after="0" w:line="240" w:lineRule="auto"/>
        <w:jc w:val="both"/>
        <w:rPr>
          <w:rFonts w:ascii="Times New Roman" w:hAnsi="Times New Roman" w:cs="Times New Roman"/>
          <w:b/>
          <w:bCs/>
          <w:iCs/>
          <w:sz w:val="20"/>
          <w:szCs w:val="20"/>
        </w:rPr>
      </w:pPr>
      <w:r w:rsidRPr="00445E5B">
        <w:rPr>
          <w:rFonts w:ascii="Times New Roman" w:hAnsi="Times New Roman" w:cs="Times New Roman"/>
          <w:b/>
          <w:bCs/>
          <w:iCs/>
          <w:sz w:val="20"/>
          <w:szCs w:val="20"/>
        </w:rPr>
        <w:t>Monophasic scaffolds</w:t>
      </w:r>
    </w:p>
    <w:p w:rsidR="00445E5B" w:rsidRPr="00445E5B" w:rsidRDefault="00445E5B" w:rsidP="00C74746">
      <w:pPr>
        <w:spacing w:after="0" w:line="240" w:lineRule="auto"/>
        <w:ind w:firstLine="720"/>
        <w:jc w:val="both"/>
        <w:rPr>
          <w:rFonts w:ascii="Times New Roman" w:hAnsi="Times New Roman" w:cs="Times New Roman"/>
          <w:b/>
          <w:bCs/>
          <w:iCs/>
          <w:sz w:val="20"/>
          <w:szCs w:val="20"/>
        </w:rPr>
      </w:pPr>
      <w:r w:rsidRPr="00445E5B">
        <w:rPr>
          <w:rFonts w:ascii="Times New Roman" w:hAnsi="Times New Roman" w:cs="Times New Roman"/>
          <w:sz w:val="20"/>
          <w:szCs w:val="20"/>
        </w:rPr>
        <w:t xml:space="preserve">The concept of tissue engineering is based on the implantation of a resorbable structure, referred to as the scaffold. Monophasic scaffolds are the most basic application of tissue engineering methodology toward periodontal regeneration. The effective implementation of a scaffold requires key physical attributes, such as a unique and precise geometry (possibly patient specific), potential cellular and growth factor delivery, capacity for extracellular matrix (ECM) formation, and vascularization along with timely degradation </w:t>
      </w:r>
      <w:r w:rsidR="00036799">
        <w:rPr>
          <w:rFonts w:ascii="Times New Roman" w:hAnsi="Times New Roman" w:cs="Times New Roman"/>
          <w:i/>
          <w:sz w:val="20"/>
          <w:szCs w:val="20"/>
        </w:rPr>
        <w:t>in</w:t>
      </w:r>
      <w:r w:rsidR="00F35192">
        <w:rPr>
          <w:rFonts w:ascii="Times New Roman" w:hAnsi="Times New Roman" w:cs="Times New Roman"/>
          <w:i/>
          <w:sz w:val="20"/>
          <w:szCs w:val="20"/>
        </w:rPr>
        <w:t xml:space="preserve"> </w:t>
      </w:r>
      <w:r w:rsidR="00036799">
        <w:rPr>
          <w:rFonts w:ascii="Times New Roman" w:hAnsi="Times New Roman" w:cs="Times New Roman"/>
          <w:i/>
          <w:sz w:val="20"/>
          <w:szCs w:val="20"/>
        </w:rPr>
        <w:t>vivo</w:t>
      </w:r>
      <w:r w:rsidRPr="00445E5B">
        <w:rPr>
          <w:rFonts w:ascii="Times New Roman" w:hAnsi="Times New Roman" w:cs="Times New Roman"/>
          <w:sz w:val="20"/>
          <w:szCs w:val="20"/>
        </w:rPr>
        <w:t>.</w:t>
      </w:r>
    </w:p>
    <w:p w:rsid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The vast majority of tissue engineering approaches using monophasic scaffolds targeting periodontal regeneration are directly or indirectly inspired by GTR, and hence the scaffold is designed to maintain both space and wound dimension, while allowing for selective cell repopulation. Although the utilization of monophasic scaffold has shown some efficacy toward periodontal regeneration, the complex architecture of the native tissue requires a highly coordinated spatiotemporal healing response to achieve functional regeneration. To this end, scaffold compartmentalization via the design of multiphasic structures has been advocated to facilitate such a complex regeneration process.</w:t>
      </w:r>
    </w:p>
    <w:p w:rsidR="002336CA" w:rsidRPr="00445E5B" w:rsidRDefault="002336CA" w:rsidP="00C74746">
      <w:pPr>
        <w:spacing w:after="0" w:line="240" w:lineRule="auto"/>
        <w:ind w:firstLine="720"/>
        <w:jc w:val="both"/>
        <w:rPr>
          <w:rFonts w:ascii="Times New Roman" w:hAnsi="Times New Roman" w:cs="Times New Roman"/>
          <w:sz w:val="20"/>
          <w:szCs w:val="20"/>
        </w:rPr>
      </w:pP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Multiphasic scaffolds</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The novel development of additive biomanufacturing via 3D printing and associated technologies initiated a new phase in scaffold manufacturing with advanced architectural design. Computer-aided design models integrated with improved additive biomanufacturing technologies allowed the fabrication of scaffolds possessing variable architectures to a micro- and mesoscale. Subsequently, greater control of structural arrangements enabled mimicry of periodontal compartmentalized tissues and thus resulted in the emergence of a new generation of </w:t>
      </w:r>
      <w:r w:rsidRPr="00445E5B">
        <w:rPr>
          <w:rFonts w:ascii="Times New Roman" w:hAnsi="Times New Roman" w:cs="Times New Roman" w:hint="eastAsia"/>
          <w:sz w:val="20"/>
          <w:szCs w:val="20"/>
        </w:rPr>
        <w:t>“</w:t>
      </w:r>
      <w:r w:rsidRPr="00445E5B">
        <w:rPr>
          <w:rFonts w:ascii="Times New Roman" w:hAnsi="Times New Roman" w:cs="Times New Roman"/>
          <w:sz w:val="20"/>
          <w:szCs w:val="20"/>
        </w:rPr>
        <w:t>multiphasic scaffolds.</w:t>
      </w:r>
      <w:r w:rsidRPr="00445E5B">
        <w:rPr>
          <w:rFonts w:ascii="Times New Roman" w:hAnsi="Times New Roman" w:cs="Times New Roman" w:hint="eastAsia"/>
          <w:sz w:val="20"/>
          <w:szCs w:val="20"/>
        </w:rPr>
        <w:t>”</w:t>
      </w:r>
    </w:p>
    <w:p w:rsid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These multiphase constructs are envisioned as a solution to many of the insufficiencies of earlier attempts at periodontal regeneration using monophasic scaffolds, particularly regarding spatiotemporal control over regeneration to improve integration of multi</w:t>
      </w:r>
      <w:r w:rsidR="00036799">
        <w:rPr>
          <w:rFonts w:ascii="Times New Roman" w:hAnsi="Times New Roman" w:cs="Times New Roman"/>
          <w:sz w:val="20"/>
          <w:szCs w:val="20"/>
        </w:rPr>
        <w:t xml:space="preserve"> </w:t>
      </w:r>
      <w:r w:rsidRPr="00445E5B">
        <w:rPr>
          <w:rFonts w:ascii="Times New Roman" w:hAnsi="Times New Roman" w:cs="Times New Roman"/>
          <w:sz w:val="20"/>
          <w:szCs w:val="20"/>
        </w:rPr>
        <w:t xml:space="preserve">tissue structures. Based on the number of phases included in the </w:t>
      </w:r>
      <w:r w:rsidRPr="00445E5B">
        <w:rPr>
          <w:rFonts w:ascii="Times New Roman" w:hAnsi="Times New Roman" w:cs="Times New Roman"/>
          <w:sz w:val="20"/>
          <w:szCs w:val="20"/>
        </w:rPr>
        <w:lastRenderedPageBreak/>
        <w:t>scaffold architecture, multiphasic scaffolds are divided into biphasic (i.e., PDL and alveolar bone compartments) and triphasic (i.e., PDL, alveolar bone,</w:t>
      </w:r>
      <w:r w:rsidR="00036799">
        <w:rPr>
          <w:rFonts w:ascii="Times New Roman" w:hAnsi="Times New Roman" w:cs="Times New Roman"/>
          <w:sz w:val="20"/>
          <w:szCs w:val="20"/>
        </w:rPr>
        <w:t xml:space="preserve"> </w:t>
      </w:r>
      <w:r w:rsidRPr="00445E5B">
        <w:rPr>
          <w:rFonts w:ascii="Times New Roman" w:hAnsi="Times New Roman" w:cs="Times New Roman"/>
          <w:sz w:val="20"/>
          <w:szCs w:val="20"/>
        </w:rPr>
        <w:t>and cementum compartments).</w:t>
      </w:r>
    </w:p>
    <w:p w:rsidR="002336CA" w:rsidRPr="00445E5B" w:rsidRDefault="002336CA" w:rsidP="00C74746">
      <w:pPr>
        <w:spacing w:after="0" w:line="240" w:lineRule="auto"/>
        <w:ind w:firstLine="720"/>
        <w:jc w:val="both"/>
        <w:rPr>
          <w:rFonts w:ascii="Times New Roman" w:hAnsi="Times New Roman" w:cs="Times New Roman"/>
          <w:sz w:val="20"/>
          <w:szCs w:val="20"/>
        </w:rPr>
      </w:pP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 xml:space="preserve">Tissue engineered alloplastic scaffolds for reconstruction of alveolar defects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The alveolar ridge is present along the inferior surface of the maxilla and the superior aspect of the body of the mandible. This structure comprises of bony sockets in which dental organs are located. As a platform of insertion for the dentition, the alveolar ridge structurally contributes to speech, facial appearance, and mastication. Extensive alveolar defects can lead to significant quality-of-life issues, including social stigma, nutritional deficiency, and challenges with speech. </w:t>
      </w:r>
    </w:p>
    <w:p w:rsid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Various etiologies exist for alveolar bone defects, including congenital defects, infective/inflammatory processes, trauma, and iatrogenic resection of benign and malignant tumors. Approximately one-third of all birth defects affect the craniofacial region. Bone loss in the alveolar region usually leads to one of the three primary types of ridge deficiency: horizontal, vertical, or a complex configuration, where both vertical and horizontal component dimensions should ideally be re-established for adequate restoration of masticatory function through dental implants</w:t>
      </w:r>
      <w:r w:rsidR="00693101">
        <w:rPr>
          <w:rFonts w:ascii="Times New Roman" w:hAnsi="Times New Roman" w:cs="Times New Roman"/>
          <w:sz w:val="20"/>
          <w:szCs w:val="20"/>
          <w:vertAlign w:val="superscript"/>
        </w:rPr>
        <w:t>19</w:t>
      </w:r>
      <w:r w:rsidRPr="00445E5B">
        <w:rPr>
          <w:rFonts w:ascii="Times New Roman" w:hAnsi="Times New Roman" w:cs="Times New Roman"/>
          <w:sz w:val="20"/>
          <w:szCs w:val="20"/>
        </w:rPr>
        <w:t xml:space="preserve">. </w:t>
      </w:r>
    </w:p>
    <w:p w:rsidR="002336CA" w:rsidRPr="00445E5B" w:rsidRDefault="002336CA" w:rsidP="00C74746">
      <w:pPr>
        <w:spacing w:after="0" w:line="240" w:lineRule="auto"/>
        <w:ind w:firstLine="720"/>
        <w:jc w:val="both"/>
        <w:rPr>
          <w:rFonts w:ascii="Times New Roman" w:hAnsi="Times New Roman" w:cs="Times New Roman"/>
          <w:sz w:val="20"/>
          <w:szCs w:val="20"/>
        </w:rPr>
      </w:pP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Additive manufacturing of synthetic biomaterials for alveolar bone regeneration</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Although there are many different biomaterials, which can be utilized for bone tissue engineering, bioactive calcium phosphates have the broadest use in humans due to their safety profile and biocompatibility that have been well documented for decades. Calcium phosphate (CaPO</w:t>
      </w:r>
      <w:r w:rsidRPr="00445E5B">
        <w:rPr>
          <w:rFonts w:ascii="Times New Roman" w:hAnsi="Times New Roman" w:cs="Times New Roman"/>
          <w:sz w:val="20"/>
          <w:szCs w:val="20"/>
          <w:vertAlign w:val="subscript"/>
        </w:rPr>
        <w:t>4</w:t>
      </w:r>
      <w:r w:rsidRPr="00445E5B">
        <w:rPr>
          <w:rFonts w:ascii="Times New Roman" w:hAnsi="Times New Roman" w:cs="Times New Roman"/>
          <w:sz w:val="20"/>
          <w:szCs w:val="20"/>
        </w:rPr>
        <w:t>)</w:t>
      </w:r>
      <w:r w:rsidRPr="00445E5B">
        <w:rPr>
          <w:rFonts w:ascii="Times New Roman" w:hAnsi="Times New Roman" w:cs="Times New Roman" w:hint="eastAsia"/>
          <w:sz w:val="20"/>
          <w:szCs w:val="20"/>
        </w:rPr>
        <w:t xml:space="preserve"> </w:t>
      </w:r>
      <w:r w:rsidRPr="00445E5B">
        <w:rPr>
          <w:rFonts w:ascii="Times New Roman" w:hAnsi="Times New Roman" w:cs="Times New Roman"/>
          <w:sz w:val="20"/>
          <w:szCs w:val="20"/>
        </w:rPr>
        <w:t xml:space="preserve">based bioactive ceramics have been utilized as an alternative to autogenous bone grafts in a multitude of clinical scenarios because of their similarities in composition to the inorganic phase of bone. To date, the most commonly utilized material has been hydroxyapatite (HA), which is the predominant inorganic component of bone. HA has proven to be both biocompatible and osseoconductive, making it a logical selection as a bone substitute.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Ceramics have yielded unfavorable outcomes, to bone replacement, providing the impetus to altering/improving construct designs in an effort to improve performance. These bioactive ceramics commonly exist in powder form or in prefabricated bulk shapes, and fabrication of personalized alveolar bone defects with fit-and-fill designs remains an elusive challenge. However, 3D printing technology has evolved, and protocols capable of printing viscous colloidal inks have been established, allowing the fabrication of personalized devices that are capable of fitting and filling bony defects of different size and complex tri-dimensional shape. </w:t>
      </w:r>
    </w:p>
    <w:p w:rsid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A lattice structure presenting tailored surface texture can also be incorporated within the scaffold to facilitate osseoconduction, vascular ingrowth, and scaffold degradation/absorption. Hence, through additive manufacturing methods, customized modifications to scaffold design can be systematically incorporated on the macro-, meso-, micro-, and nanometer level. </w:t>
      </w:r>
    </w:p>
    <w:p w:rsidR="002336CA" w:rsidRPr="00445E5B" w:rsidRDefault="002336CA" w:rsidP="00C74746">
      <w:pPr>
        <w:spacing w:after="0" w:line="240" w:lineRule="auto"/>
        <w:ind w:firstLine="720"/>
        <w:jc w:val="both"/>
        <w:rPr>
          <w:rFonts w:ascii="Times New Roman" w:hAnsi="Times New Roman" w:cs="Times New Roman"/>
          <w:sz w:val="20"/>
          <w:szCs w:val="20"/>
        </w:rPr>
      </w:pP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Pediatric alveolar cleft defect regeneration</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b/>
          <w:sz w:val="20"/>
          <w:szCs w:val="20"/>
        </w:rPr>
        <w:tab/>
      </w:r>
      <w:r w:rsidRPr="00445E5B">
        <w:rPr>
          <w:rFonts w:ascii="Times New Roman" w:hAnsi="Times New Roman" w:cs="Times New Roman"/>
          <w:sz w:val="20"/>
          <w:szCs w:val="20"/>
        </w:rPr>
        <w:t>Three of every four patients affected by cleft lip and palate have an alveolar osseous defect or an alveolar cleft. Such defects result in the patient presenting with insufficient osseous support of the dentition, nasal regurgitation through a nasolabial fistula, and facial asymmetry. Autogenous bone graft is the gold standard intervention for this bony defect and is commonly performed during the mixed dentition stage (6</w:t>
      </w:r>
      <w:r w:rsidRPr="00445E5B">
        <w:rPr>
          <w:rFonts w:ascii="Times New Roman" w:hAnsi="Times New Roman" w:cs="Times New Roman" w:hint="eastAsia"/>
          <w:sz w:val="20"/>
          <w:szCs w:val="20"/>
        </w:rPr>
        <w:t>–</w:t>
      </w:r>
      <w:r w:rsidRPr="00445E5B">
        <w:rPr>
          <w:rFonts w:ascii="Times New Roman" w:hAnsi="Times New Roman" w:cs="Times New Roman"/>
          <w:sz w:val="20"/>
          <w:szCs w:val="20"/>
        </w:rPr>
        <w:t>11 years of age) of dental development. Successful treatment provides structural support for tooth eruption, closure of the nasolabial fistula, enhanced speech ability, and augmentation of the dental arch for improved esthetic outcome. Despite cases of exceptional long-term outcomes, this procedure is associated with donor site morbidity and requirement for hospitalization. Graft resorption has been well documented, with many studies reporting the need for secondary procedures and revision rates from 12% to 40%, with patients presenting with wider or bilateral clefts having poorer prognosis.</w:t>
      </w: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sz w:val="20"/>
          <w:szCs w:val="20"/>
        </w:rPr>
        <w:tab/>
        <w:t>Based on the promising preclinical results seen in experiments reconstructing mandibular defects, the application of dipyridamole-loaded bioceramic scaffolds has also been investigated in critical-sized alveolar defects in translational skeletally immature rabbit models. This experiment demonstrated the regenerative properties of 3D-printed scaffolds with dipyridamole to induce dose-dependent bone growth in the alveolar bone of rabbits. Furthermore, bone formation spanned the length of the established critical-sized defect</w:t>
      </w:r>
      <w:r w:rsidR="00036799">
        <w:rPr>
          <w:rFonts w:ascii="Times New Roman" w:hAnsi="Times New Roman" w:cs="Times New Roman"/>
          <w:sz w:val="20"/>
          <w:szCs w:val="20"/>
        </w:rPr>
        <w:t>.</w:t>
      </w:r>
      <w:r w:rsidRPr="00445E5B">
        <w:rPr>
          <w:rFonts w:ascii="Times New Roman" w:hAnsi="Times New Roman" w:cs="Times New Roman"/>
          <w:sz w:val="20"/>
          <w:szCs w:val="20"/>
        </w:rPr>
        <w:t xml:space="preserve">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Analysis of bone quality via nano-indentation suggested that scaffold-treated animals had superior bone healing</w:t>
      </w:r>
      <w:r w:rsidRPr="00445E5B">
        <w:rPr>
          <w:rFonts w:ascii="Times New Roman" w:hAnsi="Times New Roman" w:cs="Times New Roman" w:hint="eastAsia"/>
          <w:sz w:val="20"/>
          <w:szCs w:val="20"/>
        </w:rPr>
        <w:t xml:space="preserve"> </w:t>
      </w:r>
      <w:r w:rsidRPr="00445E5B">
        <w:rPr>
          <w:rFonts w:ascii="Times New Roman" w:hAnsi="Times New Roman" w:cs="Times New Roman"/>
          <w:sz w:val="20"/>
          <w:szCs w:val="20"/>
        </w:rPr>
        <w:t xml:space="preserve">unlike the random bone formation that occurs with bone grafts, new bone was present both within the scaffold and at the interface between osteotomy and construct. The new bone was also highly cellular and vascularized. Furthermore, results suggested that the scaffold’s inherent osseoconductivity was effective and bolstered by dipyridamole’s local effects, but not overwhelmed by dipyridamole’s osteogenic potential.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Of note for pediatric patients, even at doses of one to two logarithmic increases more than that needed to increase bone formation, the premaxillary</w:t>
      </w:r>
      <w:r w:rsidRPr="00445E5B">
        <w:rPr>
          <w:rFonts w:ascii="Times New Roman" w:hAnsi="Times New Roman" w:cs="Times New Roman" w:hint="eastAsia"/>
          <w:sz w:val="20"/>
          <w:szCs w:val="20"/>
        </w:rPr>
        <w:t>–</w:t>
      </w:r>
      <w:r w:rsidRPr="00445E5B">
        <w:rPr>
          <w:rFonts w:ascii="Times New Roman" w:hAnsi="Times New Roman" w:cs="Times New Roman"/>
          <w:sz w:val="20"/>
          <w:szCs w:val="20"/>
        </w:rPr>
        <w:t xml:space="preserve">maxillary suture remained patent. This is in direct contrast to compounds such as rhBMP-2, which cause a wide array of adverse events, such as premature suture closure, and </w:t>
      </w:r>
      <w:r w:rsidRPr="00445E5B">
        <w:rPr>
          <w:rFonts w:ascii="Times New Roman" w:hAnsi="Times New Roman" w:cs="Times New Roman"/>
          <w:sz w:val="20"/>
          <w:szCs w:val="20"/>
        </w:rPr>
        <w:lastRenderedPageBreak/>
        <w:t xml:space="preserve">therefore are contraindicated in pediatric patients as per FDA guidelines. Long-term experiments have since been conducted to assess outcomes following scaffold implantation. </w:t>
      </w:r>
    </w:p>
    <w:p w:rsid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Initial findings from a 24-week experiment directly comparing DIPY-coated 3D-printed </w:t>
      </w:r>
      <w:r w:rsidRPr="00445E5B">
        <w:rPr>
          <w:rFonts w:ascii="Times New Roman" w:hAnsi="Times New Roman" w:cs="Times New Roman" w:hint="eastAsia"/>
          <w:sz w:val="20"/>
          <w:szCs w:val="20"/>
        </w:rPr>
        <w:t>β</w:t>
      </w:r>
      <w:r w:rsidRPr="00445E5B">
        <w:rPr>
          <w:rFonts w:ascii="Times New Roman" w:hAnsi="Times New Roman" w:cs="Times New Roman"/>
          <w:sz w:val="20"/>
          <w:szCs w:val="20"/>
        </w:rPr>
        <w:t xml:space="preserve">-TCP to autologous bone graft are encouraging. After 6 months, both horizontal and vertical augmentation were visualized with substantial scaffold degradation compared with that at 8 weeks. Bone repair was comparable between experimental animals and control animals treated with autologous bone graft. Importantly, craniofacial growth also appeared comparable between 3D-printed </w:t>
      </w:r>
      <w:r w:rsidRPr="00445E5B">
        <w:rPr>
          <w:rFonts w:ascii="Times New Roman" w:hAnsi="Times New Roman" w:cs="Times New Roman" w:hint="eastAsia"/>
          <w:sz w:val="20"/>
          <w:szCs w:val="20"/>
        </w:rPr>
        <w:t>β</w:t>
      </w:r>
      <w:r w:rsidRPr="00445E5B">
        <w:rPr>
          <w:rFonts w:ascii="Times New Roman" w:hAnsi="Times New Roman" w:cs="Times New Roman"/>
          <w:sz w:val="20"/>
          <w:szCs w:val="20"/>
        </w:rPr>
        <w:t>-TCP scaffold and autologous bone graft control</w:t>
      </w:r>
      <w:r w:rsidRPr="00445E5B">
        <w:rPr>
          <w:rFonts w:ascii="Times New Roman" w:hAnsi="Times New Roman" w:cs="Times New Roman" w:hint="eastAsia"/>
          <w:sz w:val="20"/>
          <w:szCs w:val="20"/>
        </w:rPr>
        <w:t>—</w:t>
      </w:r>
      <w:r w:rsidRPr="00445E5B">
        <w:rPr>
          <w:rFonts w:ascii="Times New Roman" w:hAnsi="Times New Roman" w:cs="Times New Roman"/>
          <w:sz w:val="20"/>
          <w:szCs w:val="20"/>
        </w:rPr>
        <w:t xml:space="preserve">there was no readily evident increase in asymmetry, ectopic bone formation, or morbidity or mortality associated with DIPY-coated 3D-printed </w:t>
      </w:r>
      <w:r w:rsidRPr="00445E5B">
        <w:rPr>
          <w:rFonts w:ascii="Times New Roman" w:hAnsi="Times New Roman" w:cs="Times New Roman" w:hint="eastAsia"/>
          <w:sz w:val="20"/>
          <w:szCs w:val="20"/>
        </w:rPr>
        <w:t>β</w:t>
      </w:r>
      <w:r w:rsidRPr="00445E5B">
        <w:rPr>
          <w:rFonts w:ascii="Times New Roman" w:hAnsi="Times New Roman" w:cs="Times New Roman"/>
          <w:sz w:val="20"/>
          <w:szCs w:val="20"/>
        </w:rPr>
        <w:t>-TCP scaffold-treated animals</w:t>
      </w:r>
      <w:r w:rsidR="00693101">
        <w:rPr>
          <w:rFonts w:ascii="Times New Roman" w:hAnsi="Times New Roman" w:cs="Times New Roman"/>
          <w:sz w:val="20"/>
          <w:szCs w:val="20"/>
          <w:vertAlign w:val="superscript"/>
        </w:rPr>
        <w:t>19</w:t>
      </w:r>
      <w:r w:rsidRPr="00445E5B">
        <w:rPr>
          <w:rFonts w:ascii="Times New Roman" w:hAnsi="Times New Roman" w:cs="Times New Roman"/>
          <w:sz w:val="20"/>
          <w:szCs w:val="20"/>
        </w:rPr>
        <w:t>.</w:t>
      </w:r>
    </w:p>
    <w:p w:rsidR="002336CA" w:rsidRPr="00445E5B" w:rsidRDefault="002336CA" w:rsidP="00C74746">
      <w:pPr>
        <w:spacing w:after="0" w:line="240" w:lineRule="auto"/>
        <w:ind w:firstLine="720"/>
        <w:jc w:val="both"/>
        <w:rPr>
          <w:rFonts w:ascii="Times New Roman" w:hAnsi="Times New Roman" w:cs="Times New Roman"/>
          <w:sz w:val="20"/>
          <w:szCs w:val="20"/>
        </w:rPr>
      </w:pPr>
    </w:p>
    <w:p w:rsidR="00445E5B" w:rsidRPr="00445E5B" w:rsidRDefault="00445E5B" w:rsidP="00C74746">
      <w:pPr>
        <w:spacing w:after="0" w:line="240" w:lineRule="auto"/>
        <w:jc w:val="both"/>
        <w:rPr>
          <w:rFonts w:ascii="Times New Roman" w:hAnsi="Times New Roman" w:cs="Times New Roman"/>
          <w:b/>
          <w:sz w:val="20"/>
          <w:szCs w:val="20"/>
        </w:rPr>
      </w:pPr>
      <w:r w:rsidRPr="00445E5B">
        <w:rPr>
          <w:rFonts w:ascii="Times New Roman" w:hAnsi="Times New Roman" w:cs="Times New Roman"/>
          <w:b/>
          <w:sz w:val="20"/>
          <w:szCs w:val="20"/>
        </w:rPr>
        <w:t>Whole tooth reconstruction</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The interest of tissue engineering within periodontics has predominantly been associated with the regeneration of the tooth</w:t>
      </w:r>
      <w:r w:rsidRPr="00445E5B">
        <w:rPr>
          <w:rFonts w:ascii="Times New Roman" w:hAnsi="Times New Roman" w:cs="Times New Roman" w:hint="eastAsia"/>
          <w:sz w:val="20"/>
          <w:szCs w:val="20"/>
        </w:rPr>
        <w:t>–</w:t>
      </w:r>
      <w:r w:rsidRPr="00445E5B">
        <w:rPr>
          <w:rFonts w:ascii="Times New Roman" w:hAnsi="Times New Roman" w:cs="Times New Roman"/>
          <w:sz w:val="20"/>
          <w:szCs w:val="20"/>
        </w:rPr>
        <w:t>ligament</w:t>
      </w:r>
      <w:r w:rsidRPr="00445E5B">
        <w:rPr>
          <w:rFonts w:ascii="Times New Roman" w:hAnsi="Times New Roman" w:cs="Times New Roman" w:hint="eastAsia"/>
          <w:sz w:val="20"/>
          <w:szCs w:val="20"/>
        </w:rPr>
        <w:t>–</w:t>
      </w:r>
      <w:r w:rsidRPr="00445E5B">
        <w:rPr>
          <w:rFonts w:ascii="Times New Roman" w:hAnsi="Times New Roman" w:cs="Times New Roman"/>
          <w:sz w:val="20"/>
          <w:szCs w:val="20"/>
        </w:rPr>
        <w:t xml:space="preserve">bone interfaces. Considerable research, however, has also been conducted toward the intriguing notion of bioengineered teeth. Whole tooth tissue engineering is based on recapitulation of the complex and highly coordinated biological events occurring during odontogenesis. The fundamental requirements for tooth tissue engineering are no different to engineering of other organs, which involves scaffold production, the addition of cells and/ or growth factors, and implantation in a human host.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Regeneration of a whole tooth involves the total rebuilding of functionality and morphology of the tooth crown and root, thus implicating multiple tissue groups, including enamel, cementum, dentin, and the neurovascular core known as the dental pulp. To achieve functional tooth regeneration, these structures must be integrated in the mandible, and therefore, mature PDL fibers attachment is, here also, a fundamental requirement.</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In 2002, </w:t>
      </w:r>
      <w:r w:rsidRPr="00445E5B">
        <w:rPr>
          <w:rFonts w:ascii="Times New Roman" w:hAnsi="Times New Roman" w:cs="Times New Roman"/>
          <w:b/>
          <w:i/>
          <w:sz w:val="20"/>
          <w:szCs w:val="20"/>
        </w:rPr>
        <w:t>Young et al.</w:t>
      </w:r>
      <w:r w:rsidR="00693101">
        <w:rPr>
          <w:rFonts w:ascii="Times New Roman" w:hAnsi="Times New Roman" w:cs="Times New Roman"/>
          <w:b/>
          <w:i/>
          <w:sz w:val="20"/>
          <w:szCs w:val="20"/>
          <w:vertAlign w:val="superscript"/>
        </w:rPr>
        <w:t>32</w:t>
      </w:r>
      <w:r w:rsidRPr="00445E5B">
        <w:rPr>
          <w:rFonts w:ascii="Times New Roman" w:hAnsi="Times New Roman" w:cs="Times New Roman"/>
          <w:sz w:val="20"/>
          <w:szCs w:val="20"/>
        </w:rPr>
        <w:t xml:space="preserve"> first endeavored to regenerate the tooth by seeding a PGA/ poly-L-lactic (PLLA) monophasic scaffold with dissociated porcine-derived tooth bud cells in a single-cell suspension, resulting in the formation of multiple small tooth structures, containing dentin and enamel-specific proteins. This signified the first real example of tissue-engineered tooth like structures being formed </w:t>
      </w:r>
      <w:r w:rsidRPr="00445E5B">
        <w:rPr>
          <w:rFonts w:ascii="Times New Roman" w:hAnsi="Times New Roman" w:cs="Times New Roman"/>
          <w:i/>
          <w:sz w:val="20"/>
          <w:szCs w:val="20"/>
        </w:rPr>
        <w:t>in</w:t>
      </w:r>
      <w:r w:rsidR="00F35192">
        <w:rPr>
          <w:rFonts w:ascii="Times New Roman" w:hAnsi="Times New Roman" w:cs="Times New Roman"/>
          <w:i/>
          <w:sz w:val="20"/>
          <w:szCs w:val="20"/>
        </w:rPr>
        <w:t xml:space="preserve"> </w:t>
      </w:r>
      <w:r w:rsidRPr="00445E5B">
        <w:rPr>
          <w:rFonts w:ascii="Times New Roman" w:hAnsi="Times New Roman" w:cs="Times New Roman"/>
          <w:i/>
          <w:sz w:val="20"/>
          <w:szCs w:val="20"/>
        </w:rPr>
        <w:t>vivo</w:t>
      </w:r>
      <w:r w:rsidRPr="00445E5B">
        <w:rPr>
          <w:rFonts w:ascii="Times New Roman" w:hAnsi="Times New Roman" w:cs="Times New Roman"/>
          <w:sz w:val="20"/>
          <w:szCs w:val="20"/>
        </w:rPr>
        <w:t xml:space="preserve">, and although it was not successful at precisely controlling both the structures and the number of teeth formed, it demonstrated the feasibility of the approach. </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b/>
          <w:i/>
          <w:sz w:val="20"/>
          <w:szCs w:val="20"/>
        </w:rPr>
        <w:t>Young</w:t>
      </w:r>
      <w:r w:rsidRPr="00445E5B">
        <w:rPr>
          <w:rFonts w:ascii="Times New Roman" w:hAnsi="Times New Roman" w:cs="Times New Roman"/>
          <w:sz w:val="20"/>
          <w:szCs w:val="20"/>
        </w:rPr>
        <w:t xml:space="preserve"> and coworkers refined their technology by subsequently developing a PGAPLGA hybrid tooth</w:t>
      </w:r>
      <w:r w:rsidRPr="00445E5B">
        <w:rPr>
          <w:rFonts w:ascii="Times New Roman" w:hAnsi="Times New Roman" w:cs="Times New Roman" w:hint="eastAsia"/>
          <w:sz w:val="20"/>
          <w:szCs w:val="20"/>
        </w:rPr>
        <w:t>–</w:t>
      </w:r>
      <w:r w:rsidRPr="00445E5B">
        <w:rPr>
          <w:rFonts w:ascii="Times New Roman" w:hAnsi="Times New Roman" w:cs="Times New Roman"/>
          <w:sz w:val="20"/>
          <w:szCs w:val="20"/>
        </w:rPr>
        <w:t xml:space="preserve">bone scaffold combining osteoblast and tooth bud cells. In this approach, tooth regeneration was obtained via a combination of </w:t>
      </w:r>
      <w:r w:rsidRPr="00445E5B">
        <w:rPr>
          <w:rFonts w:ascii="Times New Roman" w:hAnsi="Times New Roman" w:cs="Times New Roman"/>
          <w:i/>
          <w:sz w:val="20"/>
          <w:szCs w:val="20"/>
        </w:rPr>
        <w:t>in</w:t>
      </w:r>
      <w:r w:rsidR="00F35192">
        <w:rPr>
          <w:rFonts w:ascii="Times New Roman" w:hAnsi="Times New Roman" w:cs="Times New Roman"/>
          <w:i/>
          <w:sz w:val="20"/>
          <w:szCs w:val="20"/>
        </w:rPr>
        <w:t xml:space="preserve"> </w:t>
      </w:r>
      <w:r w:rsidRPr="00445E5B">
        <w:rPr>
          <w:rFonts w:ascii="Times New Roman" w:hAnsi="Times New Roman" w:cs="Times New Roman"/>
          <w:i/>
          <w:sz w:val="20"/>
          <w:szCs w:val="20"/>
        </w:rPr>
        <w:t>vitro</w:t>
      </w:r>
      <w:r w:rsidRPr="00445E5B">
        <w:rPr>
          <w:rFonts w:ascii="Times New Roman" w:hAnsi="Times New Roman" w:cs="Times New Roman"/>
          <w:sz w:val="20"/>
          <w:szCs w:val="20"/>
        </w:rPr>
        <w:t xml:space="preserve"> culture and </w:t>
      </w:r>
      <w:r w:rsidRPr="00445E5B">
        <w:rPr>
          <w:rFonts w:ascii="Times New Roman" w:hAnsi="Times New Roman" w:cs="Times New Roman"/>
          <w:i/>
          <w:sz w:val="20"/>
          <w:szCs w:val="20"/>
        </w:rPr>
        <w:t>in</w:t>
      </w:r>
      <w:r w:rsidR="00F35192">
        <w:rPr>
          <w:rFonts w:ascii="Times New Roman" w:hAnsi="Times New Roman" w:cs="Times New Roman"/>
          <w:i/>
          <w:sz w:val="20"/>
          <w:szCs w:val="20"/>
        </w:rPr>
        <w:t xml:space="preserve"> </w:t>
      </w:r>
      <w:r w:rsidRPr="00445E5B">
        <w:rPr>
          <w:rFonts w:ascii="Times New Roman" w:hAnsi="Times New Roman" w:cs="Times New Roman"/>
          <w:i/>
          <w:sz w:val="20"/>
          <w:szCs w:val="20"/>
        </w:rPr>
        <w:t>vivo</w:t>
      </w:r>
      <w:r w:rsidRPr="00445E5B">
        <w:rPr>
          <w:rFonts w:ascii="Times New Roman" w:hAnsi="Times New Roman" w:cs="Times New Roman"/>
          <w:sz w:val="20"/>
          <w:szCs w:val="20"/>
        </w:rPr>
        <w:t xml:space="preserve"> maturation before combining with the osteoblast-seeded scaffold and subsequent implantation. This resulted in the formation of histologically verified tooth like structures (dentin and enamel) along with the presence of collagen type III at the interface between the bioengineered tooth and the bioengineered bone</w:t>
      </w:r>
      <w:r w:rsidR="00693101">
        <w:rPr>
          <w:rFonts w:ascii="Times New Roman" w:hAnsi="Times New Roman" w:cs="Times New Roman"/>
          <w:sz w:val="20"/>
          <w:szCs w:val="20"/>
          <w:vertAlign w:val="superscript"/>
        </w:rPr>
        <w:t>32</w:t>
      </w:r>
      <w:r w:rsidRPr="00445E5B">
        <w:rPr>
          <w:rFonts w:ascii="Times New Roman" w:hAnsi="Times New Roman" w:cs="Times New Roman"/>
          <w:sz w:val="20"/>
          <w:szCs w:val="20"/>
        </w:rPr>
        <w:t xml:space="preserve">. </w:t>
      </w:r>
    </w:p>
    <w:p w:rsid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The first example of controlled single tooth germ regeneration was performed by </w:t>
      </w:r>
      <w:r w:rsidRPr="00445E5B">
        <w:rPr>
          <w:rFonts w:ascii="Times New Roman" w:hAnsi="Times New Roman" w:cs="Times New Roman"/>
          <w:b/>
          <w:i/>
          <w:sz w:val="20"/>
          <w:szCs w:val="20"/>
        </w:rPr>
        <w:t>Honda et al</w:t>
      </w:r>
      <w:r w:rsidR="00693101">
        <w:rPr>
          <w:rFonts w:ascii="Times New Roman" w:hAnsi="Times New Roman" w:cs="Times New Roman"/>
          <w:b/>
          <w:i/>
          <w:sz w:val="20"/>
          <w:szCs w:val="20"/>
          <w:vertAlign w:val="superscript"/>
        </w:rPr>
        <w:t>33</w:t>
      </w:r>
      <w:r w:rsidRPr="00445E5B">
        <w:rPr>
          <w:rFonts w:ascii="Times New Roman" w:hAnsi="Times New Roman" w:cs="Times New Roman"/>
          <w:b/>
          <w:i/>
          <w:sz w:val="20"/>
          <w:szCs w:val="20"/>
        </w:rPr>
        <w:t>.</w:t>
      </w:r>
      <w:r w:rsidRPr="00445E5B">
        <w:rPr>
          <w:rFonts w:ascii="Times New Roman" w:hAnsi="Times New Roman" w:cs="Times New Roman"/>
          <w:sz w:val="20"/>
          <w:szCs w:val="20"/>
        </w:rPr>
        <w:t xml:space="preserve"> who 2 years later in 2006 developed an original technique involving controlled interactions between the cells by sequentially seeding mesenchymal and epithelial cells in a collagen scaffold. This resulted in the development of an enamel</w:t>
      </w:r>
      <w:r w:rsidRPr="00445E5B">
        <w:rPr>
          <w:rFonts w:ascii="Times New Roman" w:hAnsi="Times New Roman" w:cs="Times New Roman" w:hint="eastAsia"/>
          <w:sz w:val="20"/>
          <w:szCs w:val="20"/>
        </w:rPr>
        <w:t>–</w:t>
      </w:r>
      <w:r w:rsidRPr="00445E5B">
        <w:rPr>
          <w:rFonts w:ascii="Times New Roman" w:hAnsi="Times New Roman" w:cs="Times New Roman"/>
          <w:sz w:val="20"/>
          <w:szCs w:val="20"/>
        </w:rPr>
        <w:t xml:space="preserve">dentin complex, established 5 weeks faster than in previously reported investigations. Furthermore, the tooth structures were more similar to native teeth. </w:t>
      </w:r>
    </w:p>
    <w:p w:rsidR="002336CA" w:rsidRPr="00445E5B" w:rsidRDefault="002336CA" w:rsidP="00C74746">
      <w:pPr>
        <w:spacing w:after="0" w:line="240" w:lineRule="auto"/>
        <w:ind w:firstLine="720"/>
        <w:jc w:val="both"/>
        <w:rPr>
          <w:rFonts w:ascii="Times New Roman" w:hAnsi="Times New Roman" w:cs="Times New Roman"/>
          <w:sz w:val="20"/>
          <w:szCs w:val="20"/>
        </w:rPr>
      </w:pPr>
    </w:p>
    <w:p w:rsidR="00445E5B" w:rsidRPr="00445E5B" w:rsidRDefault="00445E5B" w:rsidP="00C74746">
      <w:pPr>
        <w:spacing w:after="0" w:line="240" w:lineRule="auto"/>
        <w:jc w:val="both"/>
        <w:rPr>
          <w:rFonts w:ascii="Times New Roman" w:hAnsi="Times New Roman" w:cs="Times New Roman"/>
          <w:sz w:val="20"/>
          <w:szCs w:val="20"/>
        </w:rPr>
      </w:pPr>
      <w:r w:rsidRPr="00445E5B">
        <w:rPr>
          <w:rFonts w:ascii="Times New Roman" w:hAnsi="Times New Roman" w:cs="Times New Roman"/>
          <w:b/>
          <w:sz w:val="20"/>
          <w:szCs w:val="20"/>
        </w:rPr>
        <w:t>Teeth as natural scaffolds for tissue engineering</w:t>
      </w:r>
    </w:p>
    <w:p w:rsidR="00445E5B" w:rsidRP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 xml:space="preserve">The advantage of decellularized scaffolds is the maintenance of the original organ morphology, internal architecture, and biochemical composition (ECM and remaining growth factor), whereas the decellularization reduces immune-rejection by the removal of the cellular component. In 2014, </w:t>
      </w:r>
      <w:r w:rsidRPr="00445E5B">
        <w:rPr>
          <w:rFonts w:ascii="Times New Roman" w:hAnsi="Times New Roman" w:cs="Times New Roman"/>
          <w:b/>
          <w:i/>
          <w:sz w:val="20"/>
          <w:szCs w:val="20"/>
        </w:rPr>
        <w:t>Ravindran et al</w:t>
      </w:r>
      <w:r w:rsidR="00693101">
        <w:rPr>
          <w:rFonts w:ascii="Times New Roman" w:hAnsi="Times New Roman" w:cs="Times New Roman"/>
          <w:b/>
          <w:i/>
          <w:sz w:val="20"/>
          <w:szCs w:val="20"/>
          <w:vertAlign w:val="superscript"/>
        </w:rPr>
        <w:t>34</w:t>
      </w:r>
      <w:r w:rsidRPr="00445E5B">
        <w:rPr>
          <w:rFonts w:ascii="Times New Roman" w:hAnsi="Times New Roman" w:cs="Times New Roman"/>
          <w:b/>
          <w:i/>
          <w:sz w:val="20"/>
          <w:szCs w:val="20"/>
        </w:rPr>
        <w:t>.</w:t>
      </w:r>
      <w:r w:rsidRPr="00445E5B">
        <w:rPr>
          <w:rFonts w:ascii="Times New Roman" w:hAnsi="Times New Roman" w:cs="Times New Roman"/>
          <w:sz w:val="20"/>
          <w:szCs w:val="20"/>
        </w:rPr>
        <w:t xml:space="preserve"> used decellularized teeth as a bioactive 3D ECM scaffold. The natural scaffold demonstrated odontogenic differentiation in hPDL stem cells and human dental pulp stem cells, as demonstrated by the formation of dental pulp like tissue with dentin sialoprotein and dentin phosphophoryn expression in a nude mice model. </w:t>
      </w:r>
    </w:p>
    <w:p w:rsidR="00445E5B" w:rsidRDefault="00445E5B" w:rsidP="00C74746">
      <w:pPr>
        <w:spacing w:after="0" w:line="240" w:lineRule="auto"/>
        <w:ind w:firstLine="720"/>
        <w:jc w:val="both"/>
        <w:rPr>
          <w:rFonts w:ascii="Times New Roman" w:hAnsi="Times New Roman" w:cs="Times New Roman"/>
          <w:sz w:val="20"/>
          <w:szCs w:val="20"/>
        </w:rPr>
      </w:pPr>
      <w:r w:rsidRPr="00445E5B">
        <w:rPr>
          <w:rFonts w:ascii="Times New Roman" w:hAnsi="Times New Roman" w:cs="Times New Roman"/>
          <w:sz w:val="20"/>
          <w:szCs w:val="20"/>
        </w:rPr>
        <w:t>In another comprehensive work,</w:t>
      </w:r>
      <w:r w:rsidRPr="00445E5B">
        <w:rPr>
          <w:rFonts w:ascii="Times New Roman" w:hAnsi="Times New Roman" w:cs="Times New Roman"/>
          <w:b/>
          <w:i/>
          <w:sz w:val="20"/>
          <w:szCs w:val="20"/>
        </w:rPr>
        <w:t xml:space="preserve"> Zhang et al.</w:t>
      </w:r>
      <w:r w:rsidR="00693101">
        <w:rPr>
          <w:rFonts w:ascii="Times New Roman" w:hAnsi="Times New Roman" w:cs="Times New Roman"/>
          <w:b/>
          <w:i/>
          <w:sz w:val="20"/>
          <w:szCs w:val="20"/>
          <w:vertAlign w:val="superscript"/>
        </w:rPr>
        <w:t>35</w:t>
      </w:r>
      <w:r w:rsidRPr="00445E5B">
        <w:rPr>
          <w:rFonts w:ascii="Times New Roman" w:hAnsi="Times New Roman" w:cs="Times New Roman"/>
          <w:sz w:val="20"/>
          <w:szCs w:val="20"/>
        </w:rPr>
        <w:t xml:space="preserve"> investigated </w:t>
      </w:r>
      <w:r w:rsidRPr="00445E5B">
        <w:rPr>
          <w:rFonts w:ascii="Times New Roman" w:hAnsi="Times New Roman" w:cs="Times New Roman"/>
          <w:i/>
          <w:sz w:val="20"/>
          <w:szCs w:val="20"/>
        </w:rPr>
        <w:t>in</w:t>
      </w:r>
      <w:r w:rsidR="00F35192">
        <w:rPr>
          <w:rFonts w:ascii="Times New Roman" w:hAnsi="Times New Roman" w:cs="Times New Roman"/>
          <w:i/>
          <w:sz w:val="20"/>
          <w:szCs w:val="20"/>
        </w:rPr>
        <w:t xml:space="preserve"> </w:t>
      </w:r>
      <w:r w:rsidRPr="00445E5B">
        <w:rPr>
          <w:rFonts w:ascii="Times New Roman" w:hAnsi="Times New Roman" w:cs="Times New Roman"/>
          <w:i/>
          <w:sz w:val="20"/>
          <w:szCs w:val="20"/>
        </w:rPr>
        <w:t xml:space="preserve">vivo </w:t>
      </w:r>
      <w:r w:rsidRPr="00445E5B">
        <w:rPr>
          <w:rFonts w:ascii="Times New Roman" w:hAnsi="Times New Roman" w:cs="Times New Roman"/>
          <w:sz w:val="20"/>
          <w:szCs w:val="20"/>
        </w:rPr>
        <w:t xml:space="preserve">decellularized tooth buds seeded with various cell types to determine the ideal cell combination for whole teeth bioengineering. Human dental pulp cells, porcine dental epithelial cells, and human umbilical vein endothelial cells were seeded, and the recellularized tooth buds displayed enhanced regeneration compared with experimental and control groups. </w:t>
      </w:r>
      <w:r w:rsidRPr="00445E5B">
        <w:rPr>
          <w:rFonts w:ascii="Times New Roman" w:hAnsi="Times New Roman" w:cs="Times New Roman"/>
          <w:b/>
          <w:i/>
          <w:sz w:val="20"/>
          <w:szCs w:val="20"/>
        </w:rPr>
        <w:t>Zhang et al.</w:t>
      </w:r>
      <w:r w:rsidRPr="00445E5B">
        <w:rPr>
          <w:rFonts w:ascii="Times New Roman" w:hAnsi="Times New Roman" w:cs="Times New Roman"/>
          <w:sz w:val="20"/>
          <w:szCs w:val="20"/>
        </w:rPr>
        <w:t xml:space="preserve"> acknowledged the importance of their work, as the first case of decellularized tooth buds capable of whole tooth regeneration.</w:t>
      </w:r>
    </w:p>
    <w:p w:rsidR="00C74746" w:rsidRDefault="00C74746" w:rsidP="00C74746">
      <w:pPr>
        <w:spacing w:after="0" w:line="240" w:lineRule="auto"/>
        <w:ind w:firstLine="720"/>
        <w:jc w:val="both"/>
        <w:rPr>
          <w:rFonts w:ascii="Times New Roman" w:hAnsi="Times New Roman" w:cs="Times New Roman"/>
          <w:sz w:val="20"/>
          <w:szCs w:val="20"/>
        </w:rPr>
      </w:pPr>
    </w:p>
    <w:p w:rsidR="00184B11" w:rsidRPr="001E3CBD" w:rsidRDefault="00184B11" w:rsidP="001E3CBD">
      <w:pPr>
        <w:pStyle w:val="ListParagraph"/>
        <w:numPr>
          <w:ilvl w:val="0"/>
          <w:numId w:val="30"/>
        </w:numPr>
        <w:spacing w:after="0" w:line="240" w:lineRule="auto"/>
        <w:jc w:val="center"/>
        <w:rPr>
          <w:rFonts w:ascii="Times New Roman" w:hAnsi="Times New Roman" w:cs="Times New Roman"/>
          <w:b/>
          <w:sz w:val="20"/>
          <w:szCs w:val="20"/>
        </w:rPr>
      </w:pPr>
      <w:r w:rsidRPr="001E3CBD">
        <w:rPr>
          <w:rFonts w:ascii="Times New Roman" w:hAnsi="Times New Roman" w:cs="Times New Roman"/>
          <w:b/>
          <w:sz w:val="20"/>
          <w:szCs w:val="20"/>
        </w:rPr>
        <w:t>CONCLUSION</w:t>
      </w:r>
    </w:p>
    <w:p w:rsidR="00C74746" w:rsidRDefault="00C74746" w:rsidP="00C74746">
      <w:pPr>
        <w:spacing w:after="0" w:line="240" w:lineRule="auto"/>
        <w:jc w:val="both"/>
        <w:rPr>
          <w:rFonts w:ascii="Times New Roman" w:hAnsi="Times New Roman" w:cs="Times New Roman"/>
          <w:sz w:val="20"/>
          <w:szCs w:val="20"/>
        </w:rPr>
      </w:pPr>
    </w:p>
    <w:p w:rsidR="00445E5B" w:rsidRDefault="00184B11" w:rsidP="00C74746">
      <w:pPr>
        <w:spacing w:after="0" w:line="240" w:lineRule="auto"/>
        <w:ind w:firstLine="720"/>
        <w:jc w:val="both"/>
        <w:rPr>
          <w:rFonts w:ascii="Times New Roman" w:hAnsi="Times New Roman" w:cs="Times New Roman"/>
          <w:sz w:val="20"/>
          <w:szCs w:val="20"/>
        </w:rPr>
      </w:pPr>
      <w:r w:rsidRPr="00184B11">
        <w:rPr>
          <w:rFonts w:ascii="Times New Roman" w:hAnsi="Times New Roman" w:cs="Times New Roman"/>
          <w:sz w:val="20"/>
          <w:szCs w:val="20"/>
        </w:rPr>
        <w:t>The tooth is a complex biological org</w:t>
      </w:r>
      <w:r>
        <w:rPr>
          <w:rFonts w:ascii="Times New Roman" w:hAnsi="Times New Roman" w:cs="Times New Roman"/>
          <w:sz w:val="20"/>
          <w:szCs w:val="20"/>
        </w:rPr>
        <w:t xml:space="preserve">an, whose formation requires an </w:t>
      </w:r>
      <w:r w:rsidRPr="00184B11">
        <w:rPr>
          <w:rFonts w:ascii="Times New Roman" w:hAnsi="Times New Roman" w:cs="Times New Roman"/>
          <w:sz w:val="20"/>
          <w:szCs w:val="20"/>
        </w:rPr>
        <w:t>intricate cascade of molecular signals and gene</w:t>
      </w:r>
      <w:r>
        <w:rPr>
          <w:rFonts w:ascii="Times New Roman" w:hAnsi="Times New Roman" w:cs="Times New Roman"/>
          <w:sz w:val="20"/>
          <w:szCs w:val="20"/>
        </w:rPr>
        <w:t xml:space="preserve"> expression. Understanding </w:t>
      </w:r>
      <w:r w:rsidRPr="00184B11">
        <w:rPr>
          <w:rFonts w:ascii="Times New Roman" w:hAnsi="Times New Roman" w:cs="Times New Roman"/>
          <w:sz w:val="20"/>
          <w:szCs w:val="20"/>
        </w:rPr>
        <w:t xml:space="preserve">the biological processes and interactions of </w:t>
      </w:r>
      <w:r>
        <w:rPr>
          <w:rFonts w:ascii="Times New Roman" w:hAnsi="Times New Roman" w:cs="Times New Roman"/>
          <w:sz w:val="20"/>
          <w:szCs w:val="20"/>
        </w:rPr>
        <w:t xml:space="preserve">various growth factors and gene </w:t>
      </w:r>
      <w:r w:rsidRPr="00184B11">
        <w:rPr>
          <w:rFonts w:ascii="Times New Roman" w:hAnsi="Times New Roman" w:cs="Times New Roman"/>
          <w:sz w:val="20"/>
          <w:szCs w:val="20"/>
        </w:rPr>
        <w:t>expression underlying tooth development will be c</w:t>
      </w:r>
      <w:r>
        <w:rPr>
          <w:rFonts w:ascii="Times New Roman" w:hAnsi="Times New Roman" w:cs="Times New Roman"/>
          <w:sz w:val="20"/>
          <w:szCs w:val="20"/>
        </w:rPr>
        <w:t xml:space="preserve">ritical for tooth regeneration. </w:t>
      </w:r>
      <w:r w:rsidRPr="00184B11">
        <w:rPr>
          <w:rFonts w:ascii="Times New Roman" w:hAnsi="Times New Roman" w:cs="Times New Roman"/>
          <w:sz w:val="20"/>
          <w:szCs w:val="20"/>
        </w:rPr>
        <w:t>Importantly, the successful differentiation of dental stem cells into s</w:t>
      </w:r>
      <w:r>
        <w:rPr>
          <w:rFonts w:ascii="Times New Roman" w:hAnsi="Times New Roman" w:cs="Times New Roman"/>
          <w:sz w:val="20"/>
          <w:szCs w:val="20"/>
        </w:rPr>
        <w:t xml:space="preserve">pecific </w:t>
      </w:r>
      <w:r w:rsidRPr="00184B11">
        <w:rPr>
          <w:rFonts w:ascii="Times New Roman" w:hAnsi="Times New Roman" w:cs="Times New Roman"/>
          <w:sz w:val="20"/>
          <w:szCs w:val="20"/>
        </w:rPr>
        <w:t>lineages is one of the main ch</w:t>
      </w:r>
      <w:r>
        <w:rPr>
          <w:rFonts w:ascii="Times New Roman" w:hAnsi="Times New Roman" w:cs="Times New Roman"/>
          <w:sz w:val="20"/>
          <w:szCs w:val="20"/>
        </w:rPr>
        <w:t>allenges in stem cell research.</w:t>
      </w:r>
      <w:r w:rsidR="00F35192">
        <w:rPr>
          <w:rFonts w:ascii="Times New Roman" w:hAnsi="Times New Roman" w:cs="Times New Roman"/>
          <w:sz w:val="20"/>
          <w:szCs w:val="20"/>
        </w:rPr>
        <w:t xml:space="preserve"> Tissue engineering based on stem or progenitor cells is a promising approach for </w:t>
      </w:r>
      <w:r w:rsidR="00EE675D">
        <w:rPr>
          <w:rFonts w:ascii="Times New Roman" w:hAnsi="Times New Roman" w:cs="Times New Roman"/>
          <w:sz w:val="20"/>
          <w:szCs w:val="20"/>
        </w:rPr>
        <w:t xml:space="preserve">restoring the integrity </w:t>
      </w:r>
      <w:r w:rsidR="00EE675D">
        <w:rPr>
          <w:rFonts w:ascii="Times New Roman" w:hAnsi="Times New Roman" w:cs="Times New Roman"/>
          <w:sz w:val="20"/>
          <w:szCs w:val="20"/>
        </w:rPr>
        <w:lastRenderedPageBreak/>
        <w:t>of dental and maxillofacial structures.</w:t>
      </w:r>
      <w:r>
        <w:rPr>
          <w:rFonts w:ascii="Times New Roman" w:hAnsi="Times New Roman" w:cs="Times New Roman"/>
          <w:sz w:val="20"/>
          <w:szCs w:val="20"/>
        </w:rPr>
        <w:t xml:space="preserve"> Improvements </w:t>
      </w:r>
      <w:r w:rsidRPr="00184B11">
        <w:rPr>
          <w:rFonts w:ascii="Times New Roman" w:hAnsi="Times New Roman" w:cs="Times New Roman"/>
          <w:sz w:val="20"/>
          <w:szCs w:val="20"/>
        </w:rPr>
        <w:t xml:space="preserve">in the tissue engineering field may </w:t>
      </w:r>
      <w:r w:rsidR="00EE675D">
        <w:rPr>
          <w:rFonts w:ascii="Times New Roman" w:hAnsi="Times New Roman" w:cs="Times New Roman"/>
          <w:sz w:val="20"/>
          <w:szCs w:val="20"/>
        </w:rPr>
        <w:t xml:space="preserve">also </w:t>
      </w:r>
      <w:r w:rsidRPr="00184B11">
        <w:rPr>
          <w:rFonts w:ascii="Times New Roman" w:hAnsi="Times New Roman" w:cs="Times New Roman"/>
          <w:sz w:val="20"/>
          <w:szCs w:val="20"/>
        </w:rPr>
        <w:t>help the clini</w:t>
      </w:r>
      <w:r>
        <w:rPr>
          <w:rFonts w:ascii="Times New Roman" w:hAnsi="Times New Roman" w:cs="Times New Roman"/>
          <w:sz w:val="20"/>
          <w:szCs w:val="20"/>
        </w:rPr>
        <w:t xml:space="preserve">cians in the replacement of the </w:t>
      </w:r>
      <w:r w:rsidRPr="00184B11">
        <w:rPr>
          <w:rFonts w:ascii="Times New Roman" w:hAnsi="Times New Roman" w:cs="Times New Roman"/>
          <w:sz w:val="20"/>
          <w:szCs w:val="20"/>
        </w:rPr>
        <w:t xml:space="preserve">damaged tooth structure with tissue engineered </w:t>
      </w:r>
      <w:r>
        <w:rPr>
          <w:rFonts w:ascii="Times New Roman" w:hAnsi="Times New Roman" w:cs="Times New Roman"/>
          <w:sz w:val="20"/>
          <w:szCs w:val="20"/>
        </w:rPr>
        <w:t xml:space="preserve">scaffolds in future, instead of </w:t>
      </w:r>
      <w:r w:rsidRPr="00184B11">
        <w:rPr>
          <w:rFonts w:ascii="Times New Roman" w:hAnsi="Times New Roman" w:cs="Times New Roman"/>
          <w:sz w:val="20"/>
          <w:szCs w:val="20"/>
        </w:rPr>
        <w:t xml:space="preserve">replacing these structures with acellular lumps </w:t>
      </w:r>
      <w:r>
        <w:rPr>
          <w:rFonts w:ascii="Times New Roman" w:hAnsi="Times New Roman" w:cs="Times New Roman"/>
          <w:sz w:val="20"/>
          <w:szCs w:val="20"/>
        </w:rPr>
        <w:t>of restorative material without any healing function</w:t>
      </w:r>
      <w:r w:rsidRPr="00184B11">
        <w:rPr>
          <w:rFonts w:ascii="Times New Roman" w:hAnsi="Times New Roman" w:cs="Times New Roman"/>
          <w:sz w:val="20"/>
          <w:szCs w:val="20"/>
        </w:rPr>
        <w:t>.</w:t>
      </w:r>
      <w:r w:rsidR="00F35192">
        <w:rPr>
          <w:rFonts w:ascii="Times New Roman" w:hAnsi="Times New Roman" w:cs="Times New Roman"/>
          <w:sz w:val="20"/>
          <w:szCs w:val="20"/>
        </w:rPr>
        <w:t xml:space="preserve"> </w:t>
      </w:r>
    </w:p>
    <w:p w:rsidR="001E3CBD" w:rsidRPr="00445E5B" w:rsidRDefault="001E3CBD" w:rsidP="00C74746">
      <w:pPr>
        <w:spacing w:after="0" w:line="240" w:lineRule="auto"/>
        <w:ind w:firstLine="720"/>
        <w:jc w:val="both"/>
        <w:rPr>
          <w:rFonts w:ascii="Times New Roman" w:hAnsi="Times New Roman" w:cs="Times New Roman"/>
          <w:sz w:val="20"/>
          <w:szCs w:val="20"/>
        </w:rPr>
      </w:pPr>
    </w:p>
    <w:p w:rsidR="00445E5B" w:rsidRPr="001E3CBD" w:rsidRDefault="001D3F6D" w:rsidP="001E3CBD">
      <w:pPr>
        <w:spacing w:after="0" w:line="240" w:lineRule="auto"/>
        <w:jc w:val="center"/>
        <w:rPr>
          <w:rFonts w:ascii="Times New Roman" w:hAnsi="Times New Roman" w:cs="Times New Roman"/>
          <w:b/>
          <w:sz w:val="20"/>
          <w:szCs w:val="20"/>
        </w:rPr>
      </w:pPr>
      <w:r w:rsidRPr="001E3CBD">
        <w:rPr>
          <w:rFonts w:ascii="Times New Roman" w:hAnsi="Times New Roman" w:cs="Times New Roman"/>
          <w:b/>
          <w:sz w:val="20"/>
          <w:szCs w:val="20"/>
        </w:rPr>
        <w:t>REFERENCES</w:t>
      </w:r>
    </w:p>
    <w:p w:rsidR="001E3CBD" w:rsidRDefault="001E3CBD" w:rsidP="00C74746">
      <w:pPr>
        <w:spacing w:after="0" w:line="240" w:lineRule="auto"/>
        <w:jc w:val="both"/>
        <w:rPr>
          <w:rFonts w:ascii="Times New Roman" w:hAnsi="Times New Roman" w:cs="Times New Roman"/>
          <w:sz w:val="20"/>
          <w:szCs w:val="20"/>
        </w:rPr>
      </w:pP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Matichescu A, Ardelean LC, Rusu LC, Craciun D, Bratu EA, Babucea M, Leretter M. Advanced Biomaterials and Techniques for Oral Tissue Engineering and Regeneration-A Review. Materials (Basel). 2020 Nov 23;13(22):5303. doi: 10.3390/ma13225303.</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Granz CL, Gorji A. Dental stem cell</w:t>
      </w:r>
      <w:r w:rsidR="00604B45" w:rsidRPr="00693101">
        <w:rPr>
          <w:rFonts w:ascii="Times New Roman" w:hAnsi="Times New Roman" w:cs="Times New Roman"/>
          <w:sz w:val="16"/>
          <w:szCs w:val="16"/>
        </w:rPr>
        <w:t xml:space="preserve">s: The role of biomaterials and </w:t>
      </w:r>
      <w:r w:rsidRPr="00693101">
        <w:rPr>
          <w:rFonts w:ascii="Times New Roman" w:hAnsi="Times New Roman" w:cs="Times New Roman"/>
          <w:sz w:val="16"/>
          <w:szCs w:val="16"/>
        </w:rPr>
        <w:t>scaffolds in developing novel thera</w:t>
      </w:r>
      <w:r w:rsidR="00604B45" w:rsidRPr="00693101">
        <w:rPr>
          <w:rFonts w:ascii="Times New Roman" w:hAnsi="Times New Roman" w:cs="Times New Roman"/>
          <w:sz w:val="16"/>
          <w:szCs w:val="16"/>
        </w:rPr>
        <w:t xml:space="preserve">peutic strategies. World J Stem </w:t>
      </w:r>
      <w:r w:rsidRPr="00693101">
        <w:rPr>
          <w:rFonts w:ascii="Times New Roman" w:hAnsi="Times New Roman" w:cs="Times New Roman"/>
          <w:sz w:val="16"/>
          <w:szCs w:val="16"/>
        </w:rPr>
        <w:t>Cells. 2020 Sep 26;12(9):897-921. doi: 10.4252/wjsc.v12.i9.897.</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Shao Z, Lyu C, Teng L, Xie X, Sun J, Zo</w:t>
      </w:r>
      <w:r w:rsidR="00604B45" w:rsidRPr="00693101">
        <w:rPr>
          <w:rFonts w:ascii="Times New Roman" w:hAnsi="Times New Roman" w:cs="Times New Roman"/>
          <w:sz w:val="16"/>
          <w:szCs w:val="16"/>
        </w:rPr>
        <w:t xml:space="preserve">u D, Lu J. An Injectable Fibrin </w:t>
      </w:r>
      <w:r w:rsidRPr="00693101">
        <w:rPr>
          <w:rFonts w:ascii="Times New Roman" w:hAnsi="Times New Roman" w:cs="Times New Roman"/>
          <w:sz w:val="16"/>
          <w:szCs w:val="16"/>
        </w:rPr>
        <w:t xml:space="preserve">Scaffold </w:t>
      </w:r>
      <w:r w:rsidR="00604B45" w:rsidRPr="00693101">
        <w:rPr>
          <w:rFonts w:ascii="Times New Roman" w:hAnsi="Times New Roman" w:cs="Times New Roman"/>
          <w:sz w:val="16"/>
          <w:szCs w:val="16"/>
        </w:rPr>
        <w:t xml:space="preserve">Rich in Growth Factors for Skin </w:t>
      </w:r>
      <w:r w:rsidRPr="00693101">
        <w:rPr>
          <w:rFonts w:ascii="Times New Roman" w:hAnsi="Times New Roman" w:cs="Times New Roman"/>
          <w:sz w:val="16"/>
          <w:szCs w:val="16"/>
        </w:rPr>
        <w:t>Re</w:t>
      </w:r>
      <w:r w:rsidR="00604B45" w:rsidRPr="00693101">
        <w:rPr>
          <w:rFonts w:ascii="Times New Roman" w:hAnsi="Times New Roman" w:cs="Times New Roman"/>
          <w:sz w:val="16"/>
          <w:szCs w:val="16"/>
        </w:rPr>
        <w:t xml:space="preserve">pair. Biomed Res Int. 2021 </w:t>
      </w:r>
      <w:r w:rsidRPr="00693101">
        <w:rPr>
          <w:rFonts w:ascii="Times New Roman" w:hAnsi="Times New Roman" w:cs="Times New Roman"/>
          <w:sz w:val="16"/>
          <w:szCs w:val="16"/>
        </w:rPr>
        <w:t>Feb 8;2021:. doi: 10.1155/2021/8094932.</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Sakiyama-Elbert SE, Hubbell JA. Develo</w:t>
      </w:r>
      <w:r w:rsidR="00604B45" w:rsidRPr="00693101">
        <w:rPr>
          <w:rFonts w:ascii="Times New Roman" w:hAnsi="Times New Roman" w:cs="Times New Roman"/>
          <w:sz w:val="16"/>
          <w:szCs w:val="16"/>
        </w:rPr>
        <w:t xml:space="preserve">pment of fibrin derivatives for </w:t>
      </w:r>
      <w:r w:rsidRPr="00693101">
        <w:rPr>
          <w:rFonts w:ascii="Times New Roman" w:hAnsi="Times New Roman" w:cs="Times New Roman"/>
          <w:sz w:val="16"/>
          <w:szCs w:val="16"/>
        </w:rPr>
        <w:t>controlled release of heparin-binding gro</w:t>
      </w:r>
      <w:r w:rsidR="00604B45" w:rsidRPr="00693101">
        <w:rPr>
          <w:rFonts w:ascii="Times New Roman" w:hAnsi="Times New Roman" w:cs="Times New Roman"/>
          <w:sz w:val="16"/>
          <w:szCs w:val="16"/>
        </w:rPr>
        <w:t xml:space="preserve">wth factors. J Control Release. </w:t>
      </w:r>
      <w:r w:rsidRPr="00693101">
        <w:rPr>
          <w:rFonts w:ascii="Times New Roman" w:hAnsi="Times New Roman" w:cs="Times New Roman"/>
          <w:sz w:val="16"/>
          <w:szCs w:val="16"/>
        </w:rPr>
        <w:t>2000 Apr 3;65(3):389-402. doi: 10.1016/s0168-3659(99)00221-7.</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Yang S, Leong KF, Du Z, Chua CK. The</w:t>
      </w:r>
      <w:r w:rsidR="00604B45" w:rsidRPr="00693101">
        <w:rPr>
          <w:rFonts w:ascii="Times New Roman" w:hAnsi="Times New Roman" w:cs="Times New Roman"/>
          <w:sz w:val="16"/>
          <w:szCs w:val="16"/>
        </w:rPr>
        <w:t xml:space="preserve"> design of scaffolds for use in </w:t>
      </w:r>
      <w:r w:rsidRPr="00693101">
        <w:rPr>
          <w:rFonts w:ascii="Times New Roman" w:hAnsi="Times New Roman" w:cs="Times New Roman"/>
          <w:sz w:val="16"/>
          <w:szCs w:val="16"/>
        </w:rPr>
        <w:t>tissue engineering. Part II. Rapid prot</w:t>
      </w:r>
      <w:r w:rsidR="00604B45" w:rsidRPr="00693101">
        <w:rPr>
          <w:rFonts w:ascii="Times New Roman" w:hAnsi="Times New Roman" w:cs="Times New Roman"/>
          <w:sz w:val="16"/>
          <w:szCs w:val="16"/>
        </w:rPr>
        <w:t xml:space="preserve">otyping techniques. Tissue Eng. </w:t>
      </w:r>
      <w:r w:rsidRPr="00693101">
        <w:rPr>
          <w:rFonts w:ascii="Times New Roman" w:hAnsi="Times New Roman" w:cs="Times New Roman"/>
          <w:sz w:val="16"/>
          <w:szCs w:val="16"/>
        </w:rPr>
        <w:t>2002 Feb;8(1):1-11. doi: 10.1089/107632702753503009.</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Monteiro N, Yelick PC. Advances a</w:t>
      </w:r>
      <w:r w:rsidR="00604B45" w:rsidRPr="00693101">
        <w:rPr>
          <w:rFonts w:ascii="Times New Roman" w:hAnsi="Times New Roman" w:cs="Times New Roman"/>
          <w:sz w:val="16"/>
          <w:szCs w:val="16"/>
        </w:rPr>
        <w:t xml:space="preserve">nd perspectives in tooth tissue </w:t>
      </w:r>
      <w:r w:rsidRPr="00693101">
        <w:rPr>
          <w:rFonts w:ascii="Times New Roman" w:hAnsi="Times New Roman" w:cs="Times New Roman"/>
          <w:sz w:val="16"/>
          <w:szCs w:val="16"/>
        </w:rPr>
        <w:t>engineering. J Tissue Eng Regen</w:t>
      </w:r>
      <w:r w:rsidR="00604B45" w:rsidRPr="00693101">
        <w:rPr>
          <w:rFonts w:ascii="Times New Roman" w:hAnsi="Times New Roman" w:cs="Times New Roman"/>
          <w:sz w:val="16"/>
          <w:szCs w:val="16"/>
        </w:rPr>
        <w:t xml:space="preserve"> Med. 2017 Sep;11(9):2443-2461. </w:t>
      </w:r>
      <w:r w:rsidRPr="00693101">
        <w:rPr>
          <w:rFonts w:ascii="Times New Roman" w:hAnsi="Times New Roman" w:cs="Times New Roman"/>
          <w:sz w:val="16"/>
          <w:szCs w:val="16"/>
        </w:rPr>
        <w:t>doi: 10.1002/term.2134.</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Abdalla Eltom, Gaoyan Z</w:t>
      </w:r>
      <w:r w:rsidR="00604B45" w:rsidRPr="00693101">
        <w:rPr>
          <w:rFonts w:ascii="Times New Roman" w:hAnsi="Times New Roman" w:cs="Times New Roman"/>
          <w:sz w:val="16"/>
          <w:szCs w:val="16"/>
        </w:rPr>
        <w:t xml:space="preserve">hong, Ameen Muhammad, "Scaffold </w:t>
      </w:r>
      <w:r w:rsidRPr="00693101">
        <w:rPr>
          <w:rFonts w:ascii="Times New Roman" w:hAnsi="Times New Roman" w:cs="Times New Roman"/>
          <w:sz w:val="16"/>
          <w:szCs w:val="16"/>
        </w:rPr>
        <w:t>Techniques and Designs in T</w:t>
      </w:r>
      <w:r w:rsidR="00604B45" w:rsidRPr="00693101">
        <w:rPr>
          <w:rFonts w:ascii="Times New Roman" w:hAnsi="Times New Roman" w:cs="Times New Roman"/>
          <w:sz w:val="16"/>
          <w:szCs w:val="16"/>
        </w:rPr>
        <w:t xml:space="preserve">issue Engineering Functions and </w:t>
      </w:r>
      <w:r w:rsidRPr="00693101">
        <w:rPr>
          <w:rFonts w:ascii="Times New Roman" w:hAnsi="Times New Roman" w:cs="Times New Roman"/>
          <w:sz w:val="16"/>
          <w:szCs w:val="16"/>
        </w:rPr>
        <w:t>Purposes: A Review", A</w:t>
      </w:r>
      <w:r w:rsidR="00604B45" w:rsidRPr="00693101">
        <w:rPr>
          <w:rFonts w:ascii="Times New Roman" w:hAnsi="Times New Roman" w:cs="Times New Roman"/>
          <w:sz w:val="16"/>
          <w:szCs w:val="16"/>
        </w:rPr>
        <w:t xml:space="preserve">dvances in Material Science and </w:t>
      </w:r>
      <w:r w:rsidRPr="00693101">
        <w:rPr>
          <w:rFonts w:ascii="Times New Roman" w:hAnsi="Times New Roman" w:cs="Times New Roman"/>
          <w:sz w:val="16"/>
          <w:szCs w:val="16"/>
        </w:rPr>
        <w:t>Engineering, vol. 2019, 13 pages, 2019.</w:t>
      </w:r>
      <w:r w:rsidR="00604B45" w:rsidRPr="00693101">
        <w:rPr>
          <w:rFonts w:ascii="Times New Roman" w:hAnsi="Times New Roman" w:cs="Times New Roman"/>
          <w:sz w:val="16"/>
          <w:szCs w:val="16"/>
        </w:rPr>
        <w:t xml:space="preserve"> https://doi.org/10.1155/2019/3</w:t>
      </w:r>
      <w:r w:rsidRPr="00693101">
        <w:rPr>
          <w:rFonts w:ascii="Times New Roman" w:hAnsi="Times New Roman" w:cs="Times New Roman"/>
          <w:sz w:val="16"/>
          <w:szCs w:val="16"/>
        </w:rPr>
        <w:t>429527</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Turnbull G, Clarke J, Picard F, Riches P</w:t>
      </w:r>
      <w:r w:rsidR="00604B45" w:rsidRPr="00693101">
        <w:rPr>
          <w:rFonts w:ascii="Times New Roman" w:hAnsi="Times New Roman" w:cs="Times New Roman"/>
          <w:sz w:val="16"/>
          <w:szCs w:val="16"/>
        </w:rPr>
        <w:t xml:space="preserve">, Jia L, Han F, Li B, Shu W. 3D </w:t>
      </w:r>
      <w:r w:rsidRPr="00693101">
        <w:rPr>
          <w:rFonts w:ascii="Times New Roman" w:hAnsi="Times New Roman" w:cs="Times New Roman"/>
          <w:sz w:val="16"/>
          <w:szCs w:val="16"/>
        </w:rPr>
        <w:t xml:space="preserve">bioactive composite scaffolds for </w:t>
      </w:r>
      <w:r w:rsidR="00604B45" w:rsidRPr="00693101">
        <w:rPr>
          <w:rFonts w:ascii="Times New Roman" w:hAnsi="Times New Roman" w:cs="Times New Roman"/>
          <w:sz w:val="16"/>
          <w:szCs w:val="16"/>
        </w:rPr>
        <w:t xml:space="preserve">bone tissue engineering. Bioact </w:t>
      </w:r>
      <w:r w:rsidRPr="00693101">
        <w:rPr>
          <w:rFonts w:ascii="Times New Roman" w:hAnsi="Times New Roman" w:cs="Times New Roman"/>
          <w:sz w:val="16"/>
          <w:szCs w:val="16"/>
        </w:rPr>
        <w:t>Mater. 2017 Dec 1;3(3):278-314. doi: 10.1016/j.bioactmat.2017.10.001.</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Nuge, Tamrin, Ziqian Liu, Xiaoling Li</w:t>
      </w:r>
      <w:r w:rsidR="00604B45" w:rsidRPr="00693101">
        <w:rPr>
          <w:rFonts w:ascii="Times New Roman" w:hAnsi="Times New Roman" w:cs="Times New Roman"/>
          <w:sz w:val="16"/>
          <w:szCs w:val="16"/>
        </w:rPr>
        <w:t xml:space="preserve">u, Bee C. Ang, Andri Andriyana, </w:t>
      </w:r>
      <w:r w:rsidRPr="00693101">
        <w:rPr>
          <w:rFonts w:ascii="Times New Roman" w:hAnsi="Times New Roman" w:cs="Times New Roman"/>
          <w:sz w:val="16"/>
          <w:szCs w:val="16"/>
        </w:rPr>
        <w:t>Hendrik S.C. Metselaar, and M</w:t>
      </w:r>
      <w:r w:rsidR="00604B45" w:rsidRPr="00693101">
        <w:rPr>
          <w:rFonts w:ascii="Times New Roman" w:hAnsi="Times New Roman" w:cs="Times New Roman"/>
          <w:sz w:val="16"/>
          <w:szCs w:val="16"/>
        </w:rPr>
        <w:t xml:space="preserve">d E. Hoque. "Recent Advances in </w:t>
      </w:r>
      <w:r w:rsidRPr="00693101">
        <w:rPr>
          <w:rFonts w:ascii="Times New Roman" w:hAnsi="Times New Roman" w:cs="Times New Roman"/>
          <w:sz w:val="16"/>
          <w:szCs w:val="16"/>
        </w:rPr>
        <w:t>Scaffolding from Natural-Based</w:t>
      </w:r>
      <w:r w:rsidR="00604B45" w:rsidRPr="00693101">
        <w:rPr>
          <w:rFonts w:ascii="Times New Roman" w:hAnsi="Times New Roman" w:cs="Times New Roman"/>
          <w:sz w:val="16"/>
          <w:szCs w:val="16"/>
        </w:rPr>
        <w:t xml:space="preserve"> Polymers for Volumetric Muscle </w:t>
      </w:r>
      <w:r w:rsidRPr="00693101">
        <w:rPr>
          <w:rFonts w:ascii="Times New Roman" w:hAnsi="Times New Roman" w:cs="Times New Roman"/>
          <w:sz w:val="16"/>
          <w:szCs w:val="16"/>
        </w:rPr>
        <w:t>Injury" Molecules 2021 Jan 26(3): 699.</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Liu, J.; Yan, C. 3D Printing of Scaffold</w:t>
      </w:r>
      <w:r w:rsidR="00604B45" w:rsidRPr="00693101">
        <w:rPr>
          <w:rFonts w:ascii="Times New Roman" w:hAnsi="Times New Roman" w:cs="Times New Roman"/>
          <w:sz w:val="16"/>
          <w:szCs w:val="16"/>
        </w:rPr>
        <w:t xml:space="preserve">s for Tissue Engineering. In 3D </w:t>
      </w:r>
      <w:r w:rsidRPr="00693101">
        <w:rPr>
          <w:rFonts w:ascii="Times New Roman" w:hAnsi="Times New Roman" w:cs="Times New Roman"/>
          <w:sz w:val="16"/>
          <w:szCs w:val="16"/>
        </w:rPr>
        <w:t>Printing; IntechOpen: London, UK, 2018 Oct . DOI: 10.5772</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Garg T, Bilandi A, Kapoor B, Kum</w:t>
      </w:r>
      <w:r w:rsidR="00604B45" w:rsidRPr="00693101">
        <w:rPr>
          <w:rFonts w:ascii="Times New Roman" w:hAnsi="Times New Roman" w:cs="Times New Roman"/>
          <w:sz w:val="16"/>
          <w:szCs w:val="16"/>
        </w:rPr>
        <w:t xml:space="preserve">ar S, Joshi R. Scaffold: Tissue </w:t>
      </w:r>
      <w:r w:rsidRPr="00693101">
        <w:rPr>
          <w:rFonts w:ascii="Times New Roman" w:hAnsi="Times New Roman" w:cs="Times New Roman"/>
          <w:sz w:val="16"/>
          <w:szCs w:val="16"/>
        </w:rPr>
        <w:t xml:space="preserve">engineering and regenerative </w:t>
      </w:r>
      <w:r w:rsidR="00604B45" w:rsidRPr="00693101">
        <w:rPr>
          <w:rFonts w:ascii="Times New Roman" w:hAnsi="Times New Roman" w:cs="Times New Roman"/>
          <w:sz w:val="16"/>
          <w:szCs w:val="16"/>
        </w:rPr>
        <w:t>medicine. Int Res J Pharm 2011;</w:t>
      </w:r>
      <w:r w:rsidRPr="00693101">
        <w:rPr>
          <w:rFonts w:ascii="Times New Roman" w:hAnsi="Times New Roman" w:cs="Times New Roman"/>
          <w:sz w:val="16"/>
          <w:szCs w:val="16"/>
        </w:rPr>
        <w:t>2(12):37-42.</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Tamunonengiofori Banigo, A., Chidi Iw</w:t>
      </w:r>
      <w:r w:rsidR="00604B45" w:rsidRPr="00693101">
        <w:rPr>
          <w:rFonts w:ascii="Times New Roman" w:hAnsi="Times New Roman" w:cs="Times New Roman"/>
          <w:sz w:val="16"/>
          <w:szCs w:val="16"/>
        </w:rPr>
        <w:t xml:space="preserve">uji, S., and Chibuike Iheaturu, </w:t>
      </w:r>
      <w:r w:rsidRPr="00693101">
        <w:rPr>
          <w:rFonts w:ascii="Times New Roman" w:hAnsi="Times New Roman" w:cs="Times New Roman"/>
          <w:sz w:val="16"/>
          <w:szCs w:val="16"/>
        </w:rPr>
        <w:t>N.Application of biomaterials in tissue engineering: a review. J. Chem.Pharm. Res.2019:11, 1–16</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Demirbag B, Huri PY, Kose GT, Buy</w:t>
      </w:r>
      <w:r w:rsidR="00604B45" w:rsidRPr="00693101">
        <w:rPr>
          <w:rFonts w:ascii="Times New Roman" w:hAnsi="Times New Roman" w:cs="Times New Roman"/>
          <w:sz w:val="16"/>
          <w:szCs w:val="16"/>
        </w:rPr>
        <w:t xml:space="preserve">uksungur A, Hasirci V. Advanced </w:t>
      </w:r>
      <w:r w:rsidRPr="00693101">
        <w:rPr>
          <w:rFonts w:ascii="Times New Roman" w:hAnsi="Times New Roman" w:cs="Times New Roman"/>
          <w:sz w:val="16"/>
          <w:szCs w:val="16"/>
        </w:rPr>
        <w:t>cell therapies with and withou</w:t>
      </w:r>
      <w:r w:rsidR="00604B45" w:rsidRPr="00693101">
        <w:rPr>
          <w:rFonts w:ascii="Times New Roman" w:hAnsi="Times New Roman" w:cs="Times New Roman"/>
          <w:sz w:val="16"/>
          <w:szCs w:val="16"/>
        </w:rPr>
        <w:t xml:space="preserve">t scaffolds. Biotechnol J. 2011 </w:t>
      </w:r>
      <w:r w:rsidRPr="00693101">
        <w:rPr>
          <w:rFonts w:ascii="Times New Roman" w:hAnsi="Times New Roman" w:cs="Times New Roman"/>
          <w:sz w:val="16"/>
          <w:szCs w:val="16"/>
        </w:rPr>
        <w:t>Dec;6(12):1437-53. doi: 10.1002/biot.201100261.</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Kose, G.T., Korkusuz, F., Ozkul, A., So</w:t>
      </w:r>
      <w:r w:rsidR="00604B45" w:rsidRPr="00693101">
        <w:rPr>
          <w:rFonts w:ascii="Times New Roman" w:hAnsi="Times New Roman" w:cs="Times New Roman"/>
          <w:sz w:val="16"/>
          <w:szCs w:val="16"/>
        </w:rPr>
        <w:t xml:space="preserve">ysal,Y. et al,Tissue engineered </w:t>
      </w:r>
      <w:r w:rsidRPr="00693101">
        <w:rPr>
          <w:rFonts w:ascii="Times New Roman" w:hAnsi="Times New Roman" w:cs="Times New Roman"/>
          <w:sz w:val="16"/>
          <w:szCs w:val="16"/>
        </w:rPr>
        <w:t>cartilage on collagen and PHBV m</w:t>
      </w:r>
      <w:r w:rsidR="00604B45" w:rsidRPr="00693101">
        <w:rPr>
          <w:rFonts w:ascii="Times New Roman" w:hAnsi="Times New Roman" w:cs="Times New Roman"/>
          <w:sz w:val="16"/>
          <w:szCs w:val="16"/>
        </w:rPr>
        <w:t xml:space="preserve">atrices. Biomaterials 2005, 26, </w:t>
      </w:r>
      <w:r w:rsidRPr="00693101">
        <w:rPr>
          <w:rFonts w:ascii="Times New Roman" w:hAnsi="Times New Roman" w:cs="Times New Roman"/>
          <w:sz w:val="16"/>
          <w:szCs w:val="16"/>
        </w:rPr>
        <w:t>5187–5197.</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Svensson, A., Nicklasson, E., Harrah, T., P</w:t>
      </w:r>
      <w:r w:rsidR="00604B45" w:rsidRPr="00693101">
        <w:rPr>
          <w:rFonts w:ascii="Times New Roman" w:hAnsi="Times New Roman" w:cs="Times New Roman"/>
          <w:sz w:val="16"/>
          <w:szCs w:val="16"/>
        </w:rPr>
        <w:t xml:space="preserve">anilaitis, B. et al., Bacterial </w:t>
      </w:r>
      <w:r w:rsidRPr="00693101">
        <w:rPr>
          <w:rFonts w:ascii="Times New Roman" w:hAnsi="Times New Roman" w:cs="Times New Roman"/>
          <w:sz w:val="16"/>
          <w:szCs w:val="16"/>
        </w:rPr>
        <w:t>cellulose as a potential scaffold for t</w:t>
      </w:r>
      <w:r w:rsidR="00604B45" w:rsidRPr="00693101">
        <w:rPr>
          <w:rFonts w:ascii="Times New Roman" w:hAnsi="Times New Roman" w:cs="Times New Roman"/>
          <w:sz w:val="16"/>
          <w:szCs w:val="16"/>
        </w:rPr>
        <w:t xml:space="preserve">issue engineering of cartilage. </w:t>
      </w:r>
      <w:r w:rsidRPr="00693101">
        <w:rPr>
          <w:rFonts w:ascii="Times New Roman" w:hAnsi="Times New Roman" w:cs="Times New Roman"/>
          <w:sz w:val="16"/>
          <w:szCs w:val="16"/>
        </w:rPr>
        <w:t>Biomaterials 2005, 26, 419–431.</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Janoušková O. Synthetic polymer scaffol</w:t>
      </w:r>
      <w:r w:rsidR="00604B45" w:rsidRPr="00693101">
        <w:rPr>
          <w:rFonts w:ascii="Times New Roman" w:hAnsi="Times New Roman" w:cs="Times New Roman"/>
          <w:sz w:val="16"/>
          <w:szCs w:val="16"/>
        </w:rPr>
        <w:t xml:space="preserve">ds for soft tissue engineering. </w:t>
      </w:r>
      <w:r w:rsidRPr="00693101">
        <w:rPr>
          <w:rFonts w:ascii="Times New Roman" w:hAnsi="Times New Roman" w:cs="Times New Roman"/>
          <w:sz w:val="16"/>
          <w:szCs w:val="16"/>
        </w:rPr>
        <w:t>Physiol Res. 2018 Oct</w:t>
      </w:r>
      <w:r w:rsidR="00604B45" w:rsidRPr="00693101">
        <w:rPr>
          <w:rFonts w:ascii="Times New Roman" w:hAnsi="Times New Roman" w:cs="Times New Roman"/>
          <w:sz w:val="16"/>
          <w:szCs w:val="16"/>
        </w:rPr>
        <w:t xml:space="preserve"> 30;67(Suppl 2):S335-S348. doi: </w:t>
      </w:r>
      <w:r w:rsidRPr="00693101">
        <w:rPr>
          <w:rFonts w:ascii="Times New Roman" w:hAnsi="Times New Roman" w:cs="Times New Roman"/>
          <w:sz w:val="16"/>
          <w:szCs w:val="16"/>
        </w:rPr>
        <w:t>10.33549/physiolres.933983.</w:t>
      </w:r>
    </w:p>
    <w:p w:rsidR="00FA4986" w:rsidRPr="00693101" w:rsidRDefault="00FA4986"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E. Battistella, S. Mele, and L. Rimondin</w:t>
      </w:r>
      <w:r w:rsidR="00604B45" w:rsidRPr="00693101">
        <w:rPr>
          <w:rFonts w:ascii="Times New Roman" w:hAnsi="Times New Roman" w:cs="Times New Roman"/>
          <w:sz w:val="16"/>
          <w:szCs w:val="16"/>
        </w:rPr>
        <w:t xml:space="preserve">i. Dental tissue engineering: a </w:t>
      </w:r>
      <w:r w:rsidRPr="00693101">
        <w:rPr>
          <w:rFonts w:ascii="Times New Roman" w:hAnsi="Times New Roman" w:cs="Times New Roman"/>
          <w:sz w:val="16"/>
          <w:szCs w:val="16"/>
        </w:rPr>
        <w:t>new approach to dental tissue recon</w:t>
      </w:r>
      <w:r w:rsidR="00604B45" w:rsidRPr="00693101">
        <w:rPr>
          <w:rFonts w:ascii="Times New Roman" w:hAnsi="Times New Roman" w:cs="Times New Roman"/>
          <w:sz w:val="16"/>
          <w:szCs w:val="16"/>
        </w:rPr>
        <w:t xml:space="preserve">struction. Biomimetics Learning </w:t>
      </w:r>
      <w:r w:rsidRPr="00693101">
        <w:rPr>
          <w:rFonts w:ascii="Times New Roman" w:hAnsi="Times New Roman" w:cs="Times New Roman"/>
          <w:sz w:val="16"/>
          <w:szCs w:val="16"/>
        </w:rPr>
        <w:t>from Nature., InTech, Open Access Book, 2010.</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Han J, Kim DS, Jang H, Kim HR, Kang HW. Bioprinting of threedimensional dentin-pulp complex with local differentiation of human dental pulp stem cells. J Tissue Eng. 2019 May 19. doi: 10.1177/2041731419845849.</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Masoud Mozafari, Farshid Sefat, Anthony Atala ; Handbook of tissue engineering scaffolds, Volume one.</w:t>
      </w:r>
    </w:p>
    <w:p w:rsidR="00FA4986"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He L, Zhong J, Gong Q, et al. Regenerative Endodontics by Cell Homing. Dent Clin North Am. 2017;61(1):143-159. doi:10.1016/j.cden. 2016.08.010</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Kim SG, Zheng Y, Zhou J, et al. Dentin and dental pulp regeneration by the patient's endogenous cells. Endod Topics. 2013;28(1):106-117. doi:10.1111/etp.12037</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Kim, J. Y., Xin, X., Moioli, E. K., Chung, J., Lee, C. H., Chen, M., Fu, S. Y., Koch, P. D., &amp; Mao, J. J. Regeneration of dental-pulp-like tissue by chemotaxis-induced cell homing. Tissue engineering. Part A, 2010:16(10), 3023–3031.</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Wang X, Wu X, Xing H, et al. Porous Nanohydroxyapatite/Collagen Scaffolds Loading Insulin PLGA Particles for Restoration of Critical Size Bone Defect. ACS Appl Mater Interfaces. 2017;9(13):11380- 11391. doi:10.1021/acsami.6b13566</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Kozłowska J, Sionkowska A. Effects of different crosslinking methods on the properties of collagen-calcium phosphate composite materials. Int J Biol Macromol. 2015;74:397-403. doi:10.1016/j.ijbiomac.2014.12.023</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Sadeghi AR, Nokhasteh S, Molavi AM, Khorsand-Ghayeni M, Naderi- Meshkin H, Mahdizadeh A. Surface modification of electrospun PLGA scaffold with collagen for bioengineered skin substitutes [published correction appears in Mater Sci Eng C Mater Biol Appl. 2016 Nov 1;68:995]. Mater Sci Eng C Mater Biol Appl. 2016;66:130-137. doi:10.1016/j.msec.2016.04.073</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Qasim SB, Delaine-Smith RM, Fey T, Rawlinson A, Rehman IU. Freeze gelated porous membranes for periodontal tissue regeneration. Acta Biomater. 2015;23:317-328. doi:10.1016/j.actbio.2015.05.001</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Chung H-Y, Li C-C. Asparagine–serine–serine peptide regulates enamel remineralization in vitro. J of Mater Research. Cambridge University Press; 2013;28(20):2890–6.</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Zhou Y , Zhou Y , Gao L , Wu C , Chang J . Synthesis of artificial dental enamel by an elastin-like polypeptide assisted biomimetic approach. J Mater Chem B. 2018;6(5):844-853. doi:10.1039/c7tb02576a</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Mukherjee K, Ruan Q, Nutt S, Tao J, De Yoreo JJ, Moradian-Oldak J. Peptide-Based Bioinspired Approach to Regrowing Multilayered Aprismatic Enamel. ACS Omega. 2018;3(3):2546-2557. doi:10.1021/acsomega.7b02004</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Dogan S, Fong H, Yucesoy DT, et al. Biomimetic Tooth Repair: Amelogenin-Derived Peptide Enables in Vitro Remineralization of Human Enamel. ACS Biomater Sci Eng. 2018;4(5):1788-1796. doi:10.1021/acsbiomaterials.7b00959</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Tanataweethum N, Liu WC, Goebel WS, Li D, Chu TM. Fabrication of Poly-l-lactic Acid/Dicalcium Phosphate Dihydrate Composite Scaffolds with High Mechanical Strength-Implications for Bone Tissue Engineering. J Funct Biomater. 2015;6(4):1036-1053. Published 2015 Nov 4. doi:10.3390/jfb6041036</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Young CS, Terada S, Vacanti JP, Honda M, Bartlett JD, Yelick PC. Tissue engineering of complex tooth structures on biodegradable polymer scaffolds. J Dent Res. 2002 Oct;81(10):695-700. doi:10.1177/154405910208101008.</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Honda MJ, Tsuchiya S, Sumita Y, Sagara H, Ueda M. The sequential seeding of epithelial and mesenchymal cells for tissue-engineered tooth regeneration. Biomaterials. 2007 Feb;28(4):680-9. doi:10.1016/j.biomaterials.2006.09.039.</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lastRenderedPageBreak/>
        <w:t>Ravindran S, Zhang Y, Huang CC, George A. Odontogenic induction of dental stem cells by extracellular matrix-inspired three-dimensional scaffold. Tissue Eng Part A. 2014 Jan;20(1-2):92-102. doi:10.1089/ten.TEA.2013.0192.</w:t>
      </w:r>
    </w:p>
    <w:p w:rsidR="00604B45" w:rsidRPr="00693101" w:rsidRDefault="00604B45" w:rsidP="00C74746">
      <w:pPr>
        <w:pStyle w:val="ListParagraph"/>
        <w:numPr>
          <w:ilvl w:val="0"/>
          <w:numId w:val="21"/>
        </w:numPr>
        <w:spacing w:after="0" w:line="240" w:lineRule="auto"/>
        <w:jc w:val="both"/>
        <w:rPr>
          <w:rFonts w:ascii="Times New Roman" w:hAnsi="Times New Roman" w:cs="Times New Roman"/>
          <w:sz w:val="16"/>
          <w:szCs w:val="16"/>
        </w:rPr>
      </w:pPr>
      <w:r w:rsidRPr="00693101">
        <w:rPr>
          <w:rFonts w:ascii="Times New Roman" w:hAnsi="Times New Roman" w:cs="Times New Roman"/>
          <w:sz w:val="16"/>
          <w:szCs w:val="16"/>
        </w:rPr>
        <w:t>Zhang W, Vazquez B, Oreadi D, Yelick PC. Decellularized Tooth Bud Scaffolds for Tooth Regeneration. J Dent Res. 2017 May;96(5):516- 523. doi: 10.1177/0022034516689082.</w:t>
      </w:r>
    </w:p>
    <w:p w:rsidR="00445E5B" w:rsidRPr="00445E5B" w:rsidRDefault="00445E5B" w:rsidP="00C74746">
      <w:pPr>
        <w:spacing w:after="0" w:line="240" w:lineRule="auto"/>
        <w:ind w:firstLine="720"/>
        <w:jc w:val="both"/>
        <w:rPr>
          <w:rFonts w:ascii="Times New Roman" w:hAnsi="Times New Roman" w:cs="Times New Roman"/>
          <w:sz w:val="20"/>
          <w:szCs w:val="20"/>
        </w:rPr>
      </w:pPr>
    </w:p>
    <w:p w:rsidR="00445E5B" w:rsidRPr="003B7E50" w:rsidRDefault="00445E5B" w:rsidP="00C74746">
      <w:pPr>
        <w:spacing w:after="0" w:line="240" w:lineRule="auto"/>
        <w:ind w:firstLine="720"/>
        <w:jc w:val="both"/>
        <w:rPr>
          <w:rFonts w:ascii="Times New Roman" w:hAnsi="Times New Roman" w:cs="Times New Roman"/>
          <w:sz w:val="20"/>
          <w:szCs w:val="20"/>
        </w:rPr>
      </w:pPr>
    </w:p>
    <w:sectPr w:rsidR="00445E5B" w:rsidRPr="003B7E50" w:rsidSect="00D347ED">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F43" w:rsidRDefault="00F33F43" w:rsidP="006E185B">
      <w:pPr>
        <w:spacing w:after="0" w:line="240" w:lineRule="auto"/>
      </w:pPr>
      <w:r>
        <w:separator/>
      </w:r>
    </w:p>
  </w:endnote>
  <w:endnote w:type="continuationSeparator" w:id="0">
    <w:p w:rsidR="00F33F43" w:rsidRDefault="00F33F43" w:rsidP="006E1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F43" w:rsidRDefault="00F33F43" w:rsidP="006E185B">
      <w:pPr>
        <w:spacing w:after="0" w:line="240" w:lineRule="auto"/>
      </w:pPr>
      <w:r>
        <w:separator/>
      </w:r>
    </w:p>
  </w:footnote>
  <w:footnote w:type="continuationSeparator" w:id="0">
    <w:p w:rsidR="00F33F43" w:rsidRDefault="00F33F43" w:rsidP="006E18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C34AC"/>
    <w:multiLevelType w:val="hybridMultilevel"/>
    <w:tmpl w:val="CFAA5C6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24376CD"/>
    <w:multiLevelType w:val="hybridMultilevel"/>
    <w:tmpl w:val="B5D06666"/>
    <w:lvl w:ilvl="0" w:tplc="19AA08B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CBD52DA"/>
    <w:multiLevelType w:val="hybridMultilevel"/>
    <w:tmpl w:val="C0D2CF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EB27F7D"/>
    <w:multiLevelType w:val="hybridMultilevel"/>
    <w:tmpl w:val="04BE55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2852BB1"/>
    <w:multiLevelType w:val="hybridMultilevel"/>
    <w:tmpl w:val="90127906"/>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14437687"/>
    <w:multiLevelType w:val="hybridMultilevel"/>
    <w:tmpl w:val="5EDCA4C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17F82BEA"/>
    <w:multiLevelType w:val="hybridMultilevel"/>
    <w:tmpl w:val="2EC6C072"/>
    <w:lvl w:ilvl="0" w:tplc="221278B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89F3F49"/>
    <w:multiLevelType w:val="hybridMultilevel"/>
    <w:tmpl w:val="C8D40936"/>
    <w:lvl w:ilvl="0" w:tplc="062634D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18B51D48"/>
    <w:multiLevelType w:val="hybridMultilevel"/>
    <w:tmpl w:val="FC8669E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226968"/>
    <w:multiLevelType w:val="hybridMultilevel"/>
    <w:tmpl w:val="DCB24508"/>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nsid w:val="194C3D61"/>
    <w:multiLevelType w:val="hybridMultilevel"/>
    <w:tmpl w:val="D9EAA6D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68C7785"/>
    <w:multiLevelType w:val="hybridMultilevel"/>
    <w:tmpl w:val="1282486E"/>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281020D5"/>
    <w:multiLevelType w:val="hybridMultilevel"/>
    <w:tmpl w:val="732A7BA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A9A241D"/>
    <w:multiLevelType w:val="hybridMultilevel"/>
    <w:tmpl w:val="B8B8FBD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EE94C40"/>
    <w:multiLevelType w:val="hybridMultilevel"/>
    <w:tmpl w:val="AC86336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2F731B17"/>
    <w:multiLevelType w:val="hybridMultilevel"/>
    <w:tmpl w:val="C402FC32"/>
    <w:lvl w:ilvl="0" w:tplc="0CB49BF0">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30E87DAB"/>
    <w:multiLevelType w:val="hybridMultilevel"/>
    <w:tmpl w:val="C43227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1B408A2"/>
    <w:multiLevelType w:val="hybridMultilevel"/>
    <w:tmpl w:val="B3F6842A"/>
    <w:lvl w:ilvl="0" w:tplc="40090015">
      <w:start w:val="2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977CF5"/>
    <w:multiLevelType w:val="hybridMultilevel"/>
    <w:tmpl w:val="08B68C8A"/>
    <w:lvl w:ilvl="0" w:tplc="1A78C7D6">
      <w:start w:val="1"/>
      <w:numFmt w:val="upperLetter"/>
      <w:lvlText w:val="(%1)"/>
      <w:lvlJc w:val="left"/>
      <w:pPr>
        <w:ind w:left="810" w:hanging="45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5A10F9F"/>
    <w:multiLevelType w:val="hybridMultilevel"/>
    <w:tmpl w:val="13E47136"/>
    <w:lvl w:ilvl="0" w:tplc="2F3ECF44">
      <w:start w:val="6"/>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5B34CB1"/>
    <w:multiLevelType w:val="hybridMultilevel"/>
    <w:tmpl w:val="AEDA54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C4023A9"/>
    <w:multiLevelType w:val="hybridMultilevel"/>
    <w:tmpl w:val="D362EDDC"/>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nsid w:val="42BB3FFC"/>
    <w:multiLevelType w:val="hybridMultilevel"/>
    <w:tmpl w:val="D18A4BCE"/>
    <w:lvl w:ilvl="0" w:tplc="9FCCE5C4">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3">
    <w:nsid w:val="4618428C"/>
    <w:multiLevelType w:val="hybridMultilevel"/>
    <w:tmpl w:val="6BD0767C"/>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
    <w:nsid w:val="47F00907"/>
    <w:multiLevelType w:val="hybridMultilevel"/>
    <w:tmpl w:val="D40ED85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53076ADE"/>
    <w:multiLevelType w:val="hybridMultilevel"/>
    <w:tmpl w:val="47A62532"/>
    <w:lvl w:ilvl="0" w:tplc="40090011">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31232EF"/>
    <w:multiLevelType w:val="hybridMultilevel"/>
    <w:tmpl w:val="EB8AA78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6DE3610E"/>
    <w:multiLevelType w:val="hybridMultilevel"/>
    <w:tmpl w:val="88B87AC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3EA1A26"/>
    <w:multiLevelType w:val="hybridMultilevel"/>
    <w:tmpl w:val="D20211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C575D68"/>
    <w:multiLevelType w:val="hybridMultilevel"/>
    <w:tmpl w:val="A0EE35C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CEF2B0B"/>
    <w:multiLevelType w:val="hybridMultilevel"/>
    <w:tmpl w:val="2BDE4B4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26"/>
  </w:num>
  <w:num w:numId="2">
    <w:abstractNumId w:val="30"/>
  </w:num>
  <w:num w:numId="3">
    <w:abstractNumId w:val="21"/>
  </w:num>
  <w:num w:numId="4">
    <w:abstractNumId w:val="23"/>
  </w:num>
  <w:num w:numId="5">
    <w:abstractNumId w:val="4"/>
  </w:num>
  <w:num w:numId="6">
    <w:abstractNumId w:val="24"/>
  </w:num>
  <w:num w:numId="7">
    <w:abstractNumId w:val="5"/>
  </w:num>
  <w:num w:numId="8">
    <w:abstractNumId w:val="1"/>
  </w:num>
  <w:num w:numId="9">
    <w:abstractNumId w:val="7"/>
  </w:num>
  <w:num w:numId="10">
    <w:abstractNumId w:val="15"/>
  </w:num>
  <w:num w:numId="11">
    <w:abstractNumId w:val="14"/>
  </w:num>
  <w:num w:numId="12">
    <w:abstractNumId w:val="9"/>
  </w:num>
  <w:num w:numId="13">
    <w:abstractNumId w:val="11"/>
  </w:num>
  <w:num w:numId="14">
    <w:abstractNumId w:val="20"/>
  </w:num>
  <w:num w:numId="15">
    <w:abstractNumId w:val="3"/>
  </w:num>
  <w:num w:numId="16">
    <w:abstractNumId w:val="2"/>
  </w:num>
  <w:num w:numId="17">
    <w:abstractNumId w:val="16"/>
  </w:num>
  <w:num w:numId="18">
    <w:abstractNumId w:val="22"/>
  </w:num>
  <w:num w:numId="19">
    <w:abstractNumId w:val="18"/>
  </w:num>
  <w:num w:numId="20">
    <w:abstractNumId w:val="25"/>
  </w:num>
  <w:num w:numId="21">
    <w:abstractNumId w:val="28"/>
  </w:num>
  <w:num w:numId="22">
    <w:abstractNumId w:val="6"/>
  </w:num>
  <w:num w:numId="23">
    <w:abstractNumId w:val="27"/>
  </w:num>
  <w:num w:numId="24">
    <w:abstractNumId w:val="12"/>
  </w:num>
  <w:num w:numId="25">
    <w:abstractNumId w:val="13"/>
  </w:num>
  <w:num w:numId="26">
    <w:abstractNumId w:val="8"/>
  </w:num>
  <w:num w:numId="27">
    <w:abstractNumId w:val="10"/>
  </w:num>
  <w:num w:numId="28">
    <w:abstractNumId w:val="17"/>
  </w:num>
  <w:num w:numId="29">
    <w:abstractNumId w:val="0"/>
  </w:num>
  <w:num w:numId="30">
    <w:abstractNumId w:val="19"/>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A5A"/>
    <w:rsid w:val="00035332"/>
    <w:rsid w:val="00036799"/>
    <w:rsid w:val="000600D4"/>
    <w:rsid w:val="000A176A"/>
    <w:rsid w:val="0011253F"/>
    <w:rsid w:val="00145726"/>
    <w:rsid w:val="0015288C"/>
    <w:rsid w:val="00184B11"/>
    <w:rsid w:val="001C16E3"/>
    <w:rsid w:val="001D3F6D"/>
    <w:rsid w:val="001E3CBD"/>
    <w:rsid w:val="00215492"/>
    <w:rsid w:val="002336CA"/>
    <w:rsid w:val="0026778E"/>
    <w:rsid w:val="00271F2E"/>
    <w:rsid w:val="002A40A7"/>
    <w:rsid w:val="002C49DF"/>
    <w:rsid w:val="003703B7"/>
    <w:rsid w:val="00371965"/>
    <w:rsid w:val="0039181B"/>
    <w:rsid w:val="003B7E50"/>
    <w:rsid w:val="003E4A5A"/>
    <w:rsid w:val="003F0BAF"/>
    <w:rsid w:val="003F7418"/>
    <w:rsid w:val="0040326B"/>
    <w:rsid w:val="00431EC4"/>
    <w:rsid w:val="00445E5B"/>
    <w:rsid w:val="004725B7"/>
    <w:rsid w:val="004841E7"/>
    <w:rsid w:val="00490983"/>
    <w:rsid w:val="004A37D8"/>
    <w:rsid w:val="004E227D"/>
    <w:rsid w:val="004E3810"/>
    <w:rsid w:val="004F07BE"/>
    <w:rsid w:val="00505CC2"/>
    <w:rsid w:val="005204B9"/>
    <w:rsid w:val="005B1AF6"/>
    <w:rsid w:val="005B6B2C"/>
    <w:rsid w:val="005C1680"/>
    <w:rsid w:val="00600EB5"/>
    <w:rsid w:val="00604B45"/>
    <w:rsid w:val="006914F9"/>
    <w:rsid w:val="00693101"/>
    <w:rsid w:val="006C34B2"/>
    <w:rsid w:val="006E185B"/>
    <w:rsid w:val="006E5282"/>
    <w:rsid w:val="006F6DB8"/>
    <w:rsid w:val="0077144B"/>
    <w:rsid w:val="00775C70"/>
    <w:rsid w:val="00784338"/>
    <w:rsid w:val="007854E6"/>
    <w:rsid w:val="00792121"/>
    <w:rsid w:val="007A7BB9"/>
    <w:rsid w:val="007F4FD2"/>
    <w:rsid w:val="00842C1B"/>
    <w:rsid w:val="00851157"/>
    <w:rsid w:val="008C7011"/>
    <w:rsid w:val="008D329A"/>
    <w:rsid w:val="0096024C"/>
    <w:rsid w:val="009E17B6"/>
    <w:rsid w:val="00A34093"/>
    <w:rsid w:val="00A539B0"/>
    <w:rsid w:val="00A57832"/>
    <w:rsid w:val="00A861BE"/>
    <w:rsid w:val="00AD7FCA"/>
    <w:rsid w:val="00AE245D"/>
    <w:rsid w:val="00AF430A"/>
    <w:rsid w:val="00BC5E8D"/>
    <w:rsid w:val="00BE2EC9"/>
    <w:rsid w:val="00BF7567"/>
    <w:rsid w:val="00C20CAD"/>
    <w:rsid w:val="00C66B06"/>
    <w:rsid w:val="00C74746"/>
    <w:rsid w:val="00CC2E85"/>
    <w:rsid w:val="00CD5BC0"/>
    <w:rsid w:val="00D347ED"/>
    <w:rsid w:val="00D61C48"/>
    <w:rsid w:val="00D61E42"/>
    <w:rsid w:val="00D71C96"/>
    <w:rsid w:val="00D82963"/>
    <w:rsid w:val="00D84BED"/>
    <w:rsid w:val="00E25B7D"/>
    <w:rsid w:val="00E44CBB"/>
    <w:rsid w:val="00E6234F"/>
    <w:rsid w:val="00EB1D16"/>
    <w:rsid w:val="00ED0492"/>
    <w:rsid w:val="00EE675D"/>
    <w:rsid w:val="00F277A8"/>
    <w:rsid w:val="00F33F43"/>
    <w:rsid w:val="00F35192"/>
    <w:rsid w:val="00F87DB9"/>
    <w:rsid w:val="00F91392"/>
    <w:rsid w:val="00FA49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C20E98-5039-4A14-ADA7-C45A5BEEF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E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0A7"/>
    <w:pPr>
      <w:ind w:left="720"/>
      <w:contextualSpacing/>
    </w:pPr>
  </w:style>
  <w:style w:type="paragraph" w:styleId="Header">
    <w:name w:val="header"/>
    <w:basedOn w:val="Normal"/>
    <w:link w:val="HeaderChar"/>
    <w:uiPriority w:val="99"/>
    <w:unhideWhenUsed/>
    <w:rsid w:val="00445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E5B"/>
  </w:style>
  <w:style w:type="paragraph" w:styleId="Footer">
    <w:name w:val="footer"/>
    <w:basedOn w:val="Normal"/>
    <w:link w:val="FooterChar"/>
    <w:uiPriority w:val="99"/>
    <w:unhideWhenUsed/>
    <w:rsid w:val="00445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E5B"/>
  </w:style>
  <w:style w:type="paragraph" w:styleId="BalloonText">
    <w:name w:val="Balloon Text"/>
    <w:basedOn w:val="Normal"/>
    <w:link w:val="BalloonTextChar"/>
    <w:uiPriority w:val="99"/>
    <w:semiHidden/>
    <w:unhideWhenUsed/>
    <w:rsid w:val="00445E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E5B"/>
    <w:rPr>
      <w:rFonts w:ascii="Tahoma" w:hAnsi="Tahoma" w:cs="Tahoma"/>
      <w:sz w:val="16"/>
      <w:szCs w:val="16"/>
    </w:rPr>
  </w:style>
  <w:style w:type="table" w:styleId="TableGrid">
    <w:name w:val="Table Grid"/>
    <w:basedOn w:val="TableNormal"/>
    <w:uiPriority w:val="39"/>
    <w:rsid w:val="003F0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137206">
      <w:bodyDiv w:val="1"/>
      <w:marLeft w:val="0"/>
      <w:marRight w:val="0"/>
      <w:marTop w:val="0"/>
      <w:marBottom w:val="0"/>
      <w:divBdr>
        <w:top w:val="none" w:sz="0" w:space="0" w:color="auto"/>
        <w:left w:val="none" w:sz="0" w:space="0" w:color="auto"/>
        <w:bottom w:val="none" w:sz="0" w:space="0" w:color="auto"/>
        <w:right w:val="none" w:sz="0" w:space="0" w:color="auto"/>
      </w:divBdr>
    </w:div>
    <w:div w:id="730888536">
      <w:bodyDiv w:val="1"/>
      <w:marLeft w:val="0"/>
      <w:marRight w:val="0"/>
      <w:marTop w:val="0"/>
      <w:marBottom w:val="0"/>
      <w:divBdr>
        <w:top w:val="none" w:sz="0" w:space="0" w:color="auto"/>
        <w:left w:val="none" w:sz="0" w:space="0" w:color="auto"/>
        <w:bottom w:val="none" w:sz="0" w:space="0" w:color="auto"/>
        <w:right w:val="none" w:sz="0" w:space="0" w:color="auto"/>
      </w:divBdr>
    </w:div>
    <w:div w:id="105338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ikirankillada@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manjushadumpala@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70DF9-295B-4E9F-AC29-94AB41B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1157</TotalTime>
  <Pages>19</Pages>
  <Words>12672</Words>
  <Characters>72237</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praveen</dc:creator>
  <cp:keywords/>
  <dc:description/>
  <cp:lastModifiedBy>D praveen</cp:lastModifiedBy>
  <cp:revision>37</cp:revision>
  <dcterms:created xsi:type="dcterms:W3CDTF">2023-08-22T13:53:00Z</dcterms:created>
  <dcterms:modified xsi:type="dcterms:W3CDTF">2023-08-31T11:06:00Z</dcterms:modified>
</cp:coreProperties>
</file>