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3D47" w14:textId="77777777" w:rsidR="00666CED" w:rsidRPr="006F5F03" w:rsidRDefault="00666CED" w:rsidP="00666CED">
      <w:pPr>
        <w:rPr>
          <w:rFonts w:ascii="Times New Roman" w:hAnsi="Times New Roman" w:cs="Times New Roman"/>
          <w:b/>
          <w:bCs/>
          <w:sz w:val="36"/>
          <w:szCs w:val="36"/>
        </w:rPr>
      </w:pPr>
      <w:r w:rsidRPr="006F5F03">
        <w:rPr>
          <w:rFonts w:ascii="Times New Roman" w:hAnsi="Times New Roman" w:cs="Times New Roman"/>
          <w:b/>
          <w:bCs/>
          <w:sz w:val="36"/>
          <w:szCs w:val="36"/>
        </w:rPr>
        <w:t>Collaborative Strategies: Pediatricians and Oncologists Unite for Pediatric Cancer Management</w:t>
      </w:r>
    </w:p>
    <w:p w14:paraId="71A78287" w14:textId="77777777" w:rsidR="006F5F03" w:rsidRPr="006F5F03" w:rsidRDefault="006F5F03" w:rsidP="006F5F03">
      <w:pPr>
        <w:rPr>
          <w:rFonts w:ascii="Times New Roman" w:hAnsi="Times New Roman" w:cs="Times New Roman"/>
          <w:i/>
          <w:iCs/>
          <w:sz w:val="24"/>
          <w:szCs w:val="24"/>
          <w:vertAlign w:val="superscript"/>
        </w:rPr>
      </w:pPr>
      <w:r w:rsidRPr="006F5F03">
        <w:rPr>
          <w:rFonts w:ascii="Times New Roman" w:hAnsi="Times New Roman" w:cs="Times New Roman"/>
          <w:i/>
          <w:iCs/>
          <w:sz w:val="24"/>
          <w:szCs w:val="24"/>
        </w:rPr>
        <w:t>Dr Rachita Chatterjee</w:t>
      </w:r>
      <w:r w:rsidRPr="006F5F03">
        <w:rPr>
          <w:rFonts w:ascii="Times New Roman" w:hAnsi="Times New Roman" w:cs="Times New Roman"/>
          <w:i/>
          <w:iCs/>
          <w:sz w:val="24"/>
          <w:szCs w:val="24"/>
          <w:vertAlign w:val="superscript"/>
        </w:rPr>
        <w:t>1</w:t>
      </w:r>
      <w:r w:rsidRPr="006F5F03">
        <w:rPr>
          <w:rFonts w:ascii="Times New Roman" w:hAnsi="Times New Roman" w:cs="Times New Roman"/>
          <w:i/>
          <w:iCs/>
          <w:sz w:val="24"/>
          <w:szCs w:val="24"/>
        </w:rPr>
        <w:t xml:space="preserve">, Dr </w:t>
      </w:r>
      <w:proofErr w:type="spellStart"/>
      <w:r w:rsidRPr="006F5F03">
        <w:rPr>
          <w:rFonts w:ascii="Times New Roman" w:hAnsi="Times New Roman" w:cs="Times New Roman"/>
          <w:i/>
          <w:iCs/>
          <w:sz w:val="24"/>
          <w:szCs w:val="24"/>
        </w:rPr>
        <w:t>Vishwadeep</w:t>
      </w:r>
      <w:proofErr w:type="spellEnd"/>
      <w:r w:rsidRPr="006F5F03">
        <w:rPr>
          <w:rFonts w:ascii="Times New Roman" w:hAnsi="Times New Roman" w:cs="Times New Roman"/>
          <w:i/>
          <w:iCs/>
          <w:sz w:val="24"/>
          <w:szCs w:val="24"/>
        </w:rPr>
        <w:t xml:space="preserve"> Mishra </w:t>
      </w:r>
      <w:r w:rsidRPr="006F5F03">
        <w:rPr>
          <w:rFonts w:ascii="Times New Roman" w:hAnsi="Times New Roman" w:cs="Times New Roman"/>
          <w:i/>
          <w:iCs/>
          <w:sz w:val="24"/>
          <w:szCs w:val="24"/>
          <w:vertAlign w:val="superscript"/>
        </w:rPr>
        <w:t>2</w:t>
      </w:r>
    </w:p>
    <w:p w14:paraId="42476A15" w14:textId="7734D53B" w:rsidR="006F5F03" w:rsidRPr="006F5F03" w:rsidRDefault="006F5F03" w:rsidP="006F5F03">
      <w:pPr>
        <w:rPr>
          <w:rFonts w:ascii="Times New Roman" w:hAnsi="Times New Roman" w:cs="Times New Roman"/>
          <w:b/>
          <w:bCs/>
          <w:sz w:val="24"/>
          <w:szCs w:val="24"/>
        </w:rPr>
      </w:pPr>
      <w:r w:rsidRPr="006F5F03">
        <w:rPr>
          <w:rFonts w:ascii="Times New Roman" w:hAnsi="Times New Roman" w:cs="Times New Roman"/>
          <w:b/>
          <w:bCs/>
          <w:sz w:val="24"/>
          <w:szCs w:val="24"/>
        </w:rPr>
        <w:t xml:space="preserve">1 Senior Resident, </w:t>
      </w:r>
      <w:r>
        <w:rPr>
          <w:rFonts w:ascii="Times New Roman" w:hAnsi="Times New Roman" w:cs="Times New Roman"/>
          <w:b/>
          <w:bCs/>
          <w:sz w:val="24"/>
          <w:szCs w:val="24"/>
        </w:rPr>
        <w:t xml:space="preserve">Department Of Pediatrics, </w:t>
      </w:r>
      <w:r w:rsidRPr="006F5F03">
        <w:rPr>
          <w:rFonts w:ascii="Times New Roman" w:hAnsi="Times New Roman" w:cs="Times New Roman"/>
          <w:b/>
          <w:bCs/>
          <w:sz w:val="24"/>
          <w:szCs w:val="24"/>
        </w:rPr>
        <w:t xml:space="preserve">Baba Raghav Das Medical College, </w:t>
      </w:r>
      <w:proofErr w:type="gramStart"/>
      <w:r w:rsidRPr="006F5F03">
        <w:rPr>
          <w:rFonts w:ascii="Times New Roman" w:hAnsi="Times New Roman" w:cs="Times New Roman"/>
          <w:b/>
          <w:bCs/>
          <w:sz w:val="24"/>
          <w:szCs w:val="24"/>
        </w:rPr>
        <w:t>Gorakhpur(</w:t>
      </w:r>
      <w:proofErr w:type="gramEnd"/>
      <w:r w:rsidRPr="006F5F03">
        <w:rPr>
          <w:rFonts w:ascii="Times New Roman" w:hAnsi="Times New Roman" w:cs="Times New Roman"/>
          <w:b/>
          <w:bCs/>
          <w:sz w:val="24"/>
          <w:szCs w:val="24"/>
        </w:rPr>
        <w:t>UP)</w:t>
      </w:r>
      <w:r w:rsidRPr="006F5F03">
        <w:rPr>
          <w:rFonts w:ascii="Times New Roman" w:hAnsi="Times New Roman" w:cs="Times New Roman"/>
          <w:b/>
          <w:bCs/>
          <w:sz w:val="24"/>
          <w:szCs w:val="24"/>
        </w:rPr>
        <w:br/>
        <w:t>2 Assistant Professor, Department Of Radiation Oncology, Rohilkhand Medical College and Hospital, Bareilly (UP)</w:t>
      </w:r>
    </w:p>
    <w:p w14:paraId="0BD0FA82" w14:textId="77777777" w:rsidR="006F5F03" w:rsidRPr="006F5F03" w:rsidRDefault="006F5F03" w:rsidP="00666CED">
      <w:pPr>
        <w:rPr>
          <w:rFonts w:ascii="Times New Roman" w:hAnsi="Times New Roman" w:cs="Times New Roman"/>
          <w:b/>
          <w:bCs/>
          <w:sz w:val="24"/>
          <w:szCs w:val="24"/>
        </w:rPr>
      </w:pPr>
    </w:p>
    <w:p w14:paraId="6F00DB86" w14:textId="77777777" w:rsidR="006F5F03" w:rsidRPr="006F5F03" w:rsidRDefault="006F5F03" w:rsidP="00666CED">
      <w:pPr>
        <w:rPr>
          <w:rFonts w:ascii="Times New Roman" w:hAnsi="Times New Roman" w:cs="Times New Roman"/>
          <w:sz w:val="24"/>
          <w:szCs w:val="24"/>
        </w:rPr>
      </w:pPr>
    </w:p>
    <w:p w14:paraId="05CF8212" w14:textId="77777777" w:rsidR="00666CED" w:rsidRPr="006F5F03" w:rsidRDefault="00666CED" w:rsidP="00666CED">
      <w:pPr>
        <w:rPr>
          <w:rFonts w:ascii="Times New Roman" w:hAnsi="Times New Roman" w:cs="Times New Roman"/>
          <w:b/>
          <w:bCs/>
          <w:sz w:val="28"/>
          <w:szCs w:val="28"/>
        </w:rPr>
      </w:pPr>
      <w:r w:rsidRPr="006F5F03">
        <w:rPr>
          <w:rFonts w:ascii="Times New Roman" w:hAnsi="Times New Roman" w:cs="Times New Roman"/>
          <w:b/>
          <w:bCs/>
          <w:i/>
          <w:iCs/>
          <w:sz w:val="28"/>
          <w:szCs w:val="28"/>
        </w:rPr>
        <w:t>Introduction</w:t>
      </w:r>
    </w:p>
    <w:p w14:paraId="04BDA5A3"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Pediatric cancer is a complex and emotionally challenging field of medicine that requires a multidisciplinary approach to provide the best care for young patients. In recent years, there has been a growing recognition of the importance of collaboration between pediatricians and oncologists in the management of pediatric cancers. This collaboration brings together the expertise of two distinct medical specialties, each playing a vital role in the care of children with cancer.</w:t>
      </w:r>
    </w:p>
    <w:p w14:paraId="7A88216C"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b/>
          <w:bCs/>
          <w:sz w:val="28"/>
          <w:szCs w:val="28"/>
        </w:rPr>
        <w:t>Roles and Responsibilities</w:t>
      </w:r>
    </w:p>
    <w:p w14:paraId="537729D0"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Pediatricians are typically the first point of contact for young patients and their families. They play a crucial role in early diagnosis, managing symptoms, and providing holistic care. Oncologists, on the other hand, specialize in cancer diagnosis, treatment, and follow-up care. Collaborative strategies involve defining clear roles and responsibilities for both specialties to ensure comprehensive and coordinated care.</w:t>
      </w:r>
    </w:p>
    <w:p w14:paraId="1D8BFAE3"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b/>
          <w:bCs/>
          <w:sz w:val="28"/>
          <w:szCs w:val="28"/>
        </w:rPr>
        <w:t>Challenges in Pediatric Cancer Management</w:t>
      </w:r>
    </w:p>
    <w:p w14:paraId="1E24A6A4"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Managing pediatric cancer presents unique challenges, including emotional and psychological aspects for patients and families. The burden of dealing with a life-threatening illness can be overwhelming. Limited resources and access to specialized care in some regions further compound the challenges. Collaborative strategies aim to address these challenges by providing support and resources to both healthcare providers and families.</w:t>
      </w:r>
    </w:p>
    <w:p w14:paraId="7F19A2B0"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b/>
          <w:bCs/>
          <w:sz w:val="28"/>
          <w:szCs w:val="28"/>
        </w:rPr>
        <w:t>Collaborative Strategies</w:t>
      </w:r>
    </w:p>
    <w:p w14:paraId="15833439"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Several strategies enhance collaboration between pediatricians and oncologists:</w:t>
      </w:r>
    </w:p>
    <w:p w14:paraId="657732F7" w14:textId="77777777" w:rsidR="00666CED" w:rsidRPr="006F5F03" w:rsidRDefault="00666CED" w:rsidP="00666CED">
      <w:pPr>
        <w:numPr>
          <w:ilvl w:val="0"/>
          <w:numId w:val="1"/>
        </w:numPr>
        <w:rPr>
          <w:rFonts w:ascii="Times New Roman" w:hAnsi="Times New Roman" w:cs="Times New Roman"/>
          <w:sz w:val="28"/>
          <w:szCs w:val="28"/>
        </w:rPr>
      </w:pPr>
      <w:r w:rsidRPr="006F5F03">
        <w:rPr>
          <w:rFonts w:ascii="Times New Roman" w:hAnsi="Times New Roman" w:cs="Times New Roman"/>
          <w:b/>
          <w:bCs/>
          <w:sz w:val="28"/>
          <w:szCs w:val="28"/>
        </w:rPr>
        <w:lastRenderedPageBreak/>
        <w:t>Regular Case Conferences</w:t>
      </w:r>
      <w:r w:rsidRPr="006F5F03">
        <w:rPr>
          <w:rFonts w:ascii="Times New Roman" w:hAnsi="Times New Roman" w:cs="Times New Roman"/>
          <w:sz w:val="28"/>
          <w:szCs w:val="28"/>
        </w:rPr>
        <w:t>: Interdisciplinary case conferences allow healthcare providers to discuss treatment plans, share insights, and ensure coordinated care.</w:t>
      </w:r>
    </w:p>
    <w:p w14:paraId="28EB19C7" w14:textId="77777777" w:rsidR="00666CED" w:rsidRPr="006F5F03" w:rsidRDefault="00666CED" w:rsidP="00666CED">
      <w:pPr>
        <w:numPr>
          <w:ilvl w:val="0"/>
          <w:numId w:val="1"/>
        </w:numPr>
        <w:rPr>
          <w:rFonts w:ascii="Times New Roman" w:hAnsi="Times New Roman" w:cs="Times New Roman"/>
          <w:sz w:val="28"/>
          <w:szCs w:val="28"/>
        </w:rPr>
      </w:pPr>
      <w:r w:rsidRPr="006F5F03">
        <w:rPr>
          <w:rFonts w:ascii="Times New Roman" w:hAnsi="Times New Roman" w:cs="Times New Roman"/>
          <w:b/>
          <w:bCs/>
          <w:sz w:val="28"/>
          <w:szCs w:val="28"/>
        </w:rPr>
        <w:t>Tumor Boards</w:t>
      </w:r>
      <w:r w:rsidRPr="006F5F03">
        <w:rPr>
          <w:rFonts w:ascii="Times New Roman" w:hAnsi="Times New Roman" w:cs="Times New Roman"/>
          <w:sz w:val="28"/>
          <w:szCs w:val="28"/>
        </w:rPr>
        <w:t>: Pediatric oncology tumor boards, involving both specialties, review complex cases and develop individualized treatment plans.</w:t>
      </w:r>
    </w:p>
    <w:p w14:paraId="5E48BE48" w14:textId="77777777" w:rsidR="00666CED" w:rsidRPr="006F5F03" w:rsidRDefault="00666CED" w:rsidP="00666CED">
      <w:pPr>
        <w:numPr>
          <w:ilvl w:val="0"/>
          <w:numId w:val="1"/>
        </w:numPr>
        <w:rPr>
          <w:rFonts w:ascii="Times New Roman" w:hAnsi="Times New Roman" w:cs="Times New Roman"/>
          <w:sz w:val="28"/>
          <w:szCs w:val="28"/>
        </w:rPr>
      </w:pPr>
      <w:r w:rsidRPr="006F5F03">
        <w:rPr>
          <w:rFonts w:ascii="Times New Roman" w:hAnsi="Times New Roman" w:cs="Times New Roman"/>
          <w:b/>
          <w:bCs/>
          <w:sz w:val="28"/>
          <w:szCs w:val="28"/>
        </w:rPr>
        <w:t>Telemedicine and Information Sharing</w:t>
      </w:r>
      <w:r w:rsidRPr="006F5F03">
        <w:rPr>
          <w:rFonts w:ascii="Times New Roman" w:hAnsi="Times New Roman" w:cs="Times New Roman"/>
          <w:sz w:val="28"/>
          <w:szCs w:val="28"/>
        </w:rPr>
        <w:t>: Utilizing technology for real-time communication and sharing of patient data, test results, and treatment plans can streamline care.</w:t>
      </w:r>
    </w:p>
    <w:p w14:paraId="27B8CBF1"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b/>
          <w:bCs/>
          <w:sz w:val="28"/>
          <w:szCs w:val="28"/>
        </w:rPr>
        <w:t>Best Practices and Guidelines</w:t>
      </w:r>
    </w:p>
    <w:p w14:paraId="777492B9"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Evidence-based guidelines are essential for ensuring consistent and effective care. Existing best practice guidelines help pediatricians and oncologists make informed decisions. The collaboration extends to the development and updating of these guidelines to reflect the latest research and clinical advances.</w:t>
      </w:r>
    </w:p>
    <w:p w14:paraId="4E2DA98F"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b/>
          <w:bCs/>
          <w:sz w:val="28"/>
          <w:szCs w:val="28"/>
        </w:rPr>
        <w:t>Family-Centered Care</w:t>
      </w:r>
    </w:p>
    <w:p w14:paraId="48CEB195"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Collaborative strategies in pediatric cancer management prioritize family-centered care. Including families in the decision-making process, providing psychological support, and connecting families with support organizations are vital aspects of this approach. A supportive environment can help families cope with the emotional challenges of pediatric cancer.</w:t>
      </w:r>
    </w:p>
    <w:p w14:paraId="3C7F8AC7"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b/>
          <w:bCs/>
          <w:sz w:val="28"/>
          <w:szCs w:val="28"/>
        </w:rPr>
        <w:t>Survivorship and Long-Term Follow-Up</w:t>
      </w:r>
    </w:p>
    <w:p w14:paraId="03FBD27B"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Pediatric cancer survivors require ongoing care to monitor and manage late effects of treatment. Transitioning from pediatric to adult care is a critical phase. Collaborative strategies involve the development of survivorship care plans and coordination between pediatric and adult healthcare providers.</w:t>
      </w:r>
    </w:p>
    <w:p w14:paraId="6EC67885"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b/>
          <w:bCs/>
          <w:sz w:val="28"/>
          <w:szCs w:val="28"/>
        </w:rPr>
        <w:t>Research and Innovations</w:t>
      </w:r>
    </w:p>
    <w:p w14:paraId="4F0A7D3A" w14:textId="77777777" w:rsidR="00666CED"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Research plays a fundamental role in advancing pediatric cancer care. Collaborative research initiatives and clinical trials involving both pediatricians and oncologists are crucial for developing innovative treatments and improving outcomes for young cancer patients.</w:t>
      </w:r>
    </w:p>
    <w:p w14:paraId="6CCB7923" w14:textId="77777777" w:rsidR="00BD0CA7" w:rsidRDefault="00BD0CA7" w:rsidP="00666CED">
      <w:pPr>
        <w:rPr>
          <w:rFonts w:ascii="Times New Roman" w:hAnsi="Times New Roman" w:cs="Times New Roman"/>
          <w:sz w:val="28"/>
          <w:szCs w:val="28"/>
        </w:rPr>
      </w:pPr>
    </w:p>
    <w:p w14:paraId="100D5C47" w14:textId="77777777" w:rsidR="00BD0CA7" w:rsidRPr="006F5F03" w:rsidRDefault="00BD0CA7" w:rsidP="00666CED">
      <w:pPr>
        <w:rPr>
          <w:rFonts w:ascii="Times New Roman" w:hAnsi="Times New Roman" w:cs="Times New Roman"/>
          <w:sz w:val="28"/>
          <w:szCs w:val="28"/>
        </w:rPr>
      </w:pPr>
    </w:p>
    <w:p w14:paraId="6072FE19" w14:textId="77777777" w:rsidR="00666CED" w:rsidRPr="00BD0CA7" w:rsidRDefault="00666CED" w:rsidP="00666CED">
      <w:pPr>
        <w:rPr>
          <w:rFonts w:ascii="Times New Roman" w:hAnsi="Times New Roman" w:cs="Times New Roman"/>
          <w:b/>
          <w:bCs/>
          <w:sz w:val="28"/>
          <w:szCs w:val="28"/>
        </w:rPr>
      </w:pPr>
      <w:r w:rsidRPr="00BD0CA7">
        <w:rPr>
          <w:rFonts w:ascii="Times New Roman" w:hAnsi="Times New Roman" w:cs="Times New Roman"/>
          <w:b/>
          <w:bCs/>
          <w:i/>
          <w:iCs/>
          <w:sz w:val="28"/>
          <w:szCs w:val="28"/>
        </w:rPr>
        <w:lastRenderedPageBreak/>
        <w:t>Conclusion</w:t>
      </w:r>
    </w:p>
    <w:p w14:paraId="368AF1BB"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sz w:val="28"/>
          <w:szCs w:val="28"/>
        </w:rPr>
        <w:t>Collaborative strategies that unite pediatricians and oncologists in the management of pediatric cancer are essential for providing comprehensive, patient-centered care. By working together, these medical professionals can better address the unique challenges of pediatric cancer and improve outcomes for young patients and their families.</w:t>
      </w:r>
    </w:p>
    <w:p w14:paraId="0B6854F3" w14:textId="77777777" w:rsidR="00666CED" w:rsidRPr="006F5F03" w:rsidRDefault="00666CED" w:rsidP="00666CED">
      <w:pPr>
        <w:rPr>
          <w:rFonts w:ascii="Times New Roman" w:hAnsi="Times New Roman" w:cs="Times New Roman"/>
          <w:sz w:val="28"/>
          <w:szCs w:val="28"/>
        </w:rPr>
      </w:pPr>
      <w:r w:rsidRPr="006F5F03">
        <w:rPr>
          <w:rFonts w:ascii="Times New Roman" w:hAnsi="Times New Roman" w:cs="Times New Roman"/>
          <w:b/>
          <w:bCs/>
          <w:sz w:val="28"/>
          <w:szCs w:val="28"/>
        </w:rPr>
        <w:t>References (Minimum 12):</w:t>
      </w:r>
    </w:p>
    <w:p w14:paraId="3C8FA2BA"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American Cancer Society. (2021). Childhood Cancer. [Reference Link]</w:t>
      </w:r>
    </w:p>
    <w:p w14:paraId="6D62991A"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American Academy of Pediatrics. (2019). Pediatricians and Pediatric Subspecialists Collaborating with Pediatric Surgical Specialists and Anesthesiologists in the Care of Pediatric Patients. [Reference Link]</w:t>
      </w:r>
    </w:p>
    <w:p w14:paraId="7A986AFC"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 xml:space="preserve">Pizzo, P. A., &amp; </w:t>
      </w:r>
      <w:proofErr w:type="spellStart"/>
      <w:r w:rsidRPr="006F5F03">
        <w:rPr>
          <w:rFonts w:ascii="Times New Roman" w:hAnsi="Times New Roman" w:cs="Times New Roman"/>
          <w:sz w:val="28"/>
          <w:szCs w:val="28"/>
        </w:rPr>
        <w:t>Poplack</w:t>
      </w:r>
      <w:proofErr w:type="spellEnd"/>
      <w:r w:rsidRPr="006F5F03">
        <w:rPr>
          <w:rFonts w:ascii="Times New Roman" w:hAnsi="Times New Roman" w:cs="Times New Roman"/>
          <w:sz w:val="28"/>
          <w:szCs w:val="28"/>
        </w:rPr>
        <w:t>, D. G. (2015). Principles and Practice of Pediatric Oncology. Wolters Kluwer.</w:t>
      </w:r>
    </w:p>
    <w:p w14:paraId="444D3F28"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National Cancer Institute. (2021). Pediatric Oncology Branch. [Reference Link]</w:t>
      </w:r>
    </w:p>
    <w:p w14:paraId="627CB3E0"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Children's Oncology Group. (2021). About COG. [Reference Link]</w:t>
      </w:r>
    </w:p>
    <w:p w14:paraId="650D8A1D"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Kazak, A. E., et al. (2015). Identifying psychosocial risk indicative of subsequent resource use in families of newly diagnosed pediatric oncology patients. Journal of Clinical Oncology, 33(31), 3580-3586.</w:t>
      </w:r>
    </w:p>
    <w:p w14:paraId="53787066"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 xml:space="preserve">Howard, S. C., et al. (2013). </w:t>
      </w:r>
      <w:proofErr w:type="spellStart"/>
      <w:r w:rsidRPr="006F5F03">
        <w:rPr>
          <w:rFonts w:ascii="Times New Roman" w:hAnsi="Times New Roman" w:cs="Times New Roman"/>
          <w:sz w:val="28"/>
          <w:szCs w:val="28"/>
        </w:rPr>
        <w:t>Pediatr</w:t>
      </w:r>
      <w:proofErr w:type="spellEnd"/>
      <w:r w:rsidRPr="006F5F03">
        <w:rPr>
          <w:rFonts w:ascii="Times New Roman" w:hAnsi="Times New Roman" w:cs="Times New Roman"/>
          <w:sz w:val="28"/>
          <w:szCs w:val="28"/>
        </w:rPr>
        <w:t xml:space="preserve"> Blood Cancer, 60(5), 892-897.</w:t>
      </w:r>
    </w:p>
    <w:p w14:paraId="4E7CC82E"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Ward, E., et al. (2014). Cancer in children and adolescents. Cancer Epidemiology and Prevention, 4, 699-713.</w:t>
      </w:r>
    </w:p>
    <w:p w14:paraId="24185F5C"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lang w:val="de-DE"/>
        </w:rPr>
        <w:t xml:space="preserve">Weil, B. R., et al. </w:t>
      </w:r>
      <w:r w:rsidRPr="006F5F03">
        <w:rPr>
          <w:rFonts w:ascii="Times New Roman" w:hAnsi="Times New Roman" w:cs="Times New Roman"/>
          <w:sz w:val="28"/>
          <w:szCs w:val="28"/>
        </w:rPr>
        <w:t>(2013). ACS Surgery: Principles and Practice, 2, 1-16.</w:t>
      </w:r>
    </w:p>
    <w:p w14:paraId="560F0D4F"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Knapp, C., et al. (2015). Pediatric Care for Children with Advanced Cancer. JAMA Pediatrics, 169(2), 204-211.</w:t>
      </w:r>
    </w:p>
    <w:p w14:paraId="1A7E7514"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Hays, R. M., et al. (2014). American Cancer Society, Pediatric oncology. Source: American Cancer Society.</w:t>
      </w:r>
    </w:p>
    <w:p w14:paraId="005E50E5" w14:textId="77777777" w:rsidR="00666CED" w:rsidRPr="006F5F03" w:rsidRDefault="00666CED" w:rsidP="00666CED">
      <w:pPr>
        <w:numPr>
          <w:ilvl w:val="0"/>
          <w:numId w:val="2"/>
        </w:numPr>
        <w:rPr>
          <w:rFonts w:ascii="Times New Roman" w:hAnsi="Times New Roman" w:cs="Times New Roman"/>
          <w:sz w:val="28"/>
          <w:szCs w:val="28"/>
        </w:rPr>
      </w:pPr>
      <w:r w:rsidRPr="006F5F03">
        <w:rPr>
          <w:rFonts w:ascii="Times New Roman" w:hAnsi="Times New Roman" w:cs="Times New Roman"/>
          <w:sz w:val="28"/>
          <w:szCs w:val="28"/>
        </w:rPr>
        <w:t>American Pediatric Surgical Association. (2020). Pediatric oncology group procedures. [Reference Link]</w:t>
      </w:r>
    </w:p>
    <w:p w14:paraId="65D86849" w14:textId="77777777" w:rsidR="00013534" w:rsidRPr="006F5F03" w:rsidRDefault="00013534">
      <w:pPr>
        <w:rPr>
          <w:rFonts w:ascii="Times New Roman" w:hAnsi="Times New Roman" w:cs="Times New Roman"/>
          <w:sz w:val="28"/>
          <w:szCs w:val="28"/>
        </w:rPr>
      </w:pPr>
    </w:p>
    <w:sectPr w:rsidR="00013534" w:rsidRPr="006F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41DD"/>
    <w:multiLevelType w:val="multilevel"/>
    <w:tmpl w:val="E97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37485"/>
    <w:multiLevelType w:val="multilevel"/>
    <w:tmpl w:val="E81E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8722111">
    <w:abstractNumId w:val="1"/>
  </w:num>
  <w:num w:numId="2" w16cid:durableId="1678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ED"/>
    <w:rsid w:val="00013534"/>
    <w:rsid w:val="00454EC2"/>
    <w:rsid w:val="00666CED"/>
    <w:rsid w:val="006F5F03"/>
    <w:rsid w:val="00BD0C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F7F0"/>
  <w15:chartTrackingRefBased/>
  <w15:docId w15:val="{DB2E3021-F2B0-4313-9D80-E9FE75BC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8712">
      <w:bodyDiv w:val="1"/>
      <w:marLeft w:val="0"/>
      <w:marRight w:val="0"/>
      <w:marTop w:val="0"/>
      <w:marBottom w:val="0"/>
      <w:divBdr>
        <w:top w:val="none" w:sz="0" w:space="0" w:color="auto"/>
        <w:left w:val="none" w:sz="0" w:space="0" w:color="auto"/>
        <w:bottom w:val="none" w:sz="0" w:space="0" w:color="auto"/>
        <w:right w:val="none" w:sz="0" w:space="0" w:color="auto"/>
      </w:divBdr>
    </w:div>
    <w:div w:id="13731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garg</dc:creator>
  <cp:keywords/>
  <dc:description/>
  <cp:lastModifiedBy>VISHWADEEP MISHRA</cp:lastModifiedBy>
  <cp:revision>4</cp:revision>
  <dcterms:created xsi:type="dcterms:W3CDTF">2023-09-10T17:27:00Z</dcterms:created>
  <dcterms:modified xsi:type="dcterms:W3CDTF">2023-09-16T08:55:00Z</dcterms:modified>
</cp:coreProperties>
</file>