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3FE8" w14:textId="48EA0DDC" w:rsidR="005914AF" w:rsidRPr="003F7121" w:rsidRDefault="005914AF" w:rsidP="005914AF">
      <w:pPr>
        <w:spacing w:line="360" w:lineRule="auto"/>
        <w:jc w:val="both"/>
        <w:rPr>
          <w:rFonts w:ascii="Times New Roman" w:hAnsi="Times New Roman" w:cs="Times New Roman"/>
          <w:b/>
          <w:bCs/>
          <w:sz w:val="24"/>
          <w:szCs w:val="24"/>
        </w:rPr>
      </w:pPr>
      <w:r w:rsidRPr="003F7121">
        <w:rPr>
          <w:rFonts w:ascii="Times New Roman" w:hAnsi="Times New Roman" w:cs="Times New Roman"/>
          <w:b/>
          <w:bCs/>
          <w:sz w:val="24"/>
          <w:szCs w:val="24"/>
        </w:rPr>
        <w:t xml:space="preserve">Title: Nanotechnology Intervention to Alleviate </w:t>
      </w:r>
      <w:r w:rsidR="0084506C" w:rsidRPr="003F7121">
        <w:rPr>
          <w:rFonts w:ascii="Times New Roman" w:hAnsi="Times New Roman" w:cs="Times New Roman"/>
          <w:b/>
          <w:bCs/>
          <w:sz w:val="24"/>
          <w:szCs w:val="24"/>
        </w:rPr>
        <w:t>D</w:t>
      </w:r>
      <w:r w:rsidRPr="003F7121">
        <w:rPr>
          <w:rFonts w:ascii="Times New Roman" w:hAnsi="Times New Roman" w:cs="Times New Roman"/>
          <w:b/>
          <w:bCs/>
          <w:sz w:val="24"/>
          <w:szCs w:val="24"/>
        </w:rPr>
        <w:t>isease-</w:t>
      </w:r>
      <w:r w:rsidR="0084506C" w:rsidRPr="003F7121">
        <w:rPr>
          <w:rFonts w:ascii="Times New Roman" w:hAnsi="Times New Roman" w:cs="Times New Roman"/>
          <w:b/>
          <w:bCs/>
          <w:sz w:val="24"/>
          <w:szCs w:val="24"/>
        </w:rPr>
        <w:t>S</w:t>
      </w:r>
      <w:r w:rsidRPr="003F7121">
        <w:rPr>
          <w:rFonts w:ascii="Times New Roman" w:hAnsi="Times New Roman" w:cs="Times New Roman"/>
          <w:b/>
          <w:bCs/>
          <w:sz w:val="24"/>
          <w:szCs w:val="24"/>
        </w:rPr>
        <w:t xml:space="preserve">pecific </w:t>
      </w:r>
      <w:r w:rsidR="0084506C" w:rsidRPr="003F7121">
        <w:rPr>
          <w:rFonts w:ascii="Times New Roman" w:hAnsi="Times New Roman" w:cs="Times New Roman"/>
          <w:b/>
          <w:bCs/>
          <w:sz w:val="24"/>
          <w:szCs w:val="24"/>
        </w:rPr>
        <w:t>D</w:t>
      </w:r>
      <w:r w:rsidRPr="003F7121">
        <w:rPr>
          <w:rFonts w:ascii="Times New Roman" w:hAnsi="Times New Roman" w:cs="Times New Roman"/>
          <w:b/>
          <w:bCs/>
          <w:sz w:val="24"/>
          <w:szCs w:val="24"/>
        </w:rPr>
        <w:t xml:space="preserve">ysbiotic </w:t>
      </w:r>
      <w:r w:rsidR="0084506C" w:rsidRPr="003F7121">
        <w:rPr>
          <w:rFonts w:ascii="Times New Roman" w:hAnsi="Times New Roman" w:cs="Times New Roman"/>
          <w:b/>
          <w:bCs/>
          <w:sz w:val="24"/>
          <w:szCs w:val="24"/>
        </w:rPr>
        <w:t>M</w:t>
      </w:r>
      <w:r w:rsidRPr="003F7121">
        <w:rPr>
          <w:rFonts w:ascii="Times New Roman" w:hAnsi="Times New Roman" w:cs="Times New Roman"/>
          <w:b/>
          <w:bCs/>
          <w:sz w:val="24"/>
          <w:szCs w:val="24"/>
        </w:rPr>
        <w:t xml:space="preserve">icrobiome </w:t>
      </w:r>
    </w:p>
    <w:p w14:paraId="421975E1" w14:textId="186E1F6D" w:rsidR="0084506C" w:rsidRPr="003F7121" w:rsidRDefault="0084506C" w:rsidP="0084506C">
      <w:pPr>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Suyash A</w:t>
      </w:r>
      <w:r w:rsidR="00964C5D">
        <w:rPr>
          <w:rFonts w:ascii="Times New Roman" w:eastAsia="Times New Roman" w:hAnsi="Times New Roman" w:cs="Times New Roman"/>
          <w:sz w:val="24"/>
          <w:szCs w:val="24"/>
          <w:lang w:eastAsia="en-IN"/>
        </w:rPr>
        <w:t>runrao</w:t>
      </w:r>
      <w:r w:rsidRPr="003F7121">
        <w:rPr>
          <w:rFonts w:ascii="Times New Roman" w:eastAsia="Times New Roman" w:hAnsi="Times New Roman" w:cs="Times New Roman"/>
          <w:sz w:val="24"/>
          <w:szCs w:val="24"/>
          <w:lang w:eastAsia="en-IN"/>
        </w:rPr>
        <w:t xml:space="preserve"> Kathade</w:t>
      </w:r>
      <w:r w:rsidRPr="003F7121">
        <w:rPr>
          <w:rFonts w:ascii="Times New Roman" w:eastAsia="Times New Roman" w:hAnsi="Times New Roman" w:cs="Times New Roman"/>
          <w:sz w:val="24"/>
          <w:szCs w:val="24"/>
          <w:lang w:eastAsia="en-IN"/>
        </w:rPr>
        <w:tab/>
      </w:r>
      <w:r w:rsidRPr="003F7121">
        <w:rPr>
          <w:rFonts w:ascii="Times New Roman" w:eastAsia="Times New Roman" w:hAnsi="Times New Roman" w:cs="Times New Roman"/>
          <w:sz w:val="24"/>
          <w:szCs w:val="24"/>
          <w:lang w:eastAsia="en-IN"/>
        </w:rPr>
        <w:tab/>
      </w:r>
      <w:hyperlink r:id="rId8" w:history="1">
        <w:r w:rsidRPr="003F7121">
          <w:rPr>
            <w:rFonts w:ascii="Times New Roman" w:eastAsia="Times New Roman" w:hAnsi="Times New Roman" w:cs="Times New Roman"/>
            <w:sz w:val="24"/>
            <w:szCs w:val="24"/>
            <w:lang w:eastAsia="en-IN"/>
          </w:rPr>
          <w:t>suyash.kathade9@gmail.com</w:t>
        </w:r>
      </w:hyperlink>
    </w:p>
    <w:p w14:paraId="65CC1FB0" w14:textId="77777777" w:rsidR="0084506C" w:rsidRPr="003F7121" w:rsidRDefault="0084506C" w:rsidP="0084506C">
      <w:pPr>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 xml:space="preserve">School of Life Sciences, Swami Ramanand </w:t>
      </w:r>
      <w:proofErr w:type="spellStart"/>
      <w:r w:rsidRPr="003F7121">
        <w:rPr>
          <w:rFonts w:ascii="Times New Roman" w:eastAsia="Times New Roman" w:hAnsi="Times New Roman" w:cs="Times New Roman"/>
          <w:sz w:val="24"/>
          <w:szCs w:val="24"/>
          <w:lang w:eastAsia="en-IN"/>
        </w:rPr>
        <w:t>Teerth</w:t>
      </w:r>
      <w:proofErr w:type="spellEnd"/>
      <w:r w:rsidRPr="003F7121">
        <w:rPr>
          <w:rFonts w:ascii="Times New Roman" w:eastAsia="Times New Roman" w:hAnsi="Times New Roman" w:cs="Times New Roman"/>
          <w:sz w:val="24"/>
          <w:szCs w:val="24"/>
          <w:lang w:eastAsia="en-IN"/>
        </w:rPr>
        <w:t xml:space="preserve"> Marathwada University, Nanded.  Maharashtra, India</w:t>
      </w:r>
    </w:p>
    <w:p w14:paraId="0144531F" w14:textId="77777777" w:rsidR="0084506C" w:rsidRPr="003F7121" w:rsidRDefault="0084506C" w:rsidP="0084506C">
      <w:pPr>
        <w:rPr>
          <w:rFonts w:ascii="Times New Roman" w:eastAsia="Times New Roman" w:hAnsi="Times New Roman" w:cs="Times New Roman"/>
          <w:sz w:val="24"/>
          <w:szCs w:val="24"/>
          <w:lang w:eastAsia="en-IN"/>
        </w:rPr>
      </w:pPr>
      <w:proofErr w:type="spellStart"/>
      <w:r w:rsidRPr="003F7121">
        <w:rPr>
          <w:rFonts w:ascii="Times New Roman" w:eastAsia="Times New Roman" w:hAnsi="Times New Roman" w:cs="Times New Roman"/>
          <w:sz w:val="24"/>
          <w:szCs w:val="24"/>
          <w:lang w:eastAsia="en-IN"/>
        </w:rPr>
        <w:t>Akib</w:t>
      </w:r>
      <w:proofErr w:type="spellEnd"/>
      <w:r w:rsidRPr="003F7121">
        <w:rPr>
          <w:rFonts w:ascii="Times New Roman" w:eastAsia="Times New Roman" w:hAnsi="Times New Roman" w:cs="Times New Roman"/>
          <w:sz w:val="24"/>
          <w:szCs w:val="24"/>
          <w:lang w:eastAsia="en-IN"/>
        </w:rPr>
        <w:t xml:space="preserve"> Nisar </w:t>
      </w:r>
      <w:r w:rsidRPr="003F7121">
        <w:rPr>
          <w:rFonts w:ascii="Times New Roman" w:eastAsia="Times New Roman" w:hAnsi="Times New Roman" w:cs="Times New Roman"/>
          <w:sz w:val="24"/>
          <w:szCs w:val="24"/>
          <w:lang w:eastAsia="en-IN"/>
        </w:rPr>
        <w:tab/>
      </w:r>
      <w:r w:rsidRPr="003F7121">
        <w:rPr>
          <w:rFonts w:ascii="Times New Roman" w:eastAsia="Times New Roman" w:hAnsi="Times New Roman" w:cs="Times New Roman"/>
          <w:sz w:val="24"/>
          <w:szCs w:val="24"/>
          <w:lang w:eastAsia="en-IN"/>
        </w:rPr>
        <w:tab/>
      </w:r>
      <w:r w:rsidRPr="003F7121">
        <w:rPr>
          <w:rFonts w:ascii="Times New Roman" w:eastAsia="Times New Roman" w:hAnsi="Times New Roman" w:cs="Times New Roman"/>
          <w:sz w:val="24"/>
          <w:szCs w:val="24"/>
          <w:lang w:eastAsia="en-IN"/>
        </w:rPr>
        <w:tab/>
        <w:t>aakib.nisar@gmail.com</w:t>
      </w:r>
    </w:p>
    <w:p w14:paraId="35358210" w14:textId="04A3800C" w:rsidR="0084506C" w:rsidRPr="003F7121" w:rsidRDefault="00666D44" w:rsidP="0084506C">
      <w:pPr>
        <w:rPr>
          <w:rFonts w:ascii="Times New Roman" w:eastAsia="Times New Roman" w:hAnsi="Times New Roman" w:cs="Times New Roman"/>
          <w:sz w:val="24"/>
          <w:szCs w:val="24"/>
          <w:lang w:eastAsia="en-IN"/>
        </w:rPr>
      </w:pPr>
      <w:proofErr w:type="spellStart"/>
      <w:r w:rsidRPr="00666D44">
        <w:rPr>
          <w:rFonts w:ascii="Times New Roman" w:eastAsia="Times New Roman" w:hAnsi="Times New Roman" w:cs="Times New Roman"/>
          <w:sz w:val="24"/>
          <w:szCs w:val="24"/>
          <w:lang w:eastAsia="en-IN"/>
        </w:rPr>
        <w:t>PharmaACE</w:t>
      </w:r>
      <w:proofErr w:type="spellEnd"/>
      <w:r w:rsidRPr="00666D44">
        <w:rPr>
          <w:rFonts w:ascii="Times New Roman" w:eastAsia="Times New Roman" w:hAnsi="Times New Roman" w:cs="Times New Roman"/>
          <w:sz w:val="24"/>
          <w:szCs w:val="24"/>
          <w:lang w:eastAsia="en-IN"/>
        </w:rPr>
        <w:t xml:space="preserve"> Analytics </w:t>
      </w:r>
      <w:proofErr w:type="spellStart"/>
      <w:r w:rsidRPr="00666D44">
        <w:rPr>
          <w:rFonts w:ascii="Times New Roman" w:eastAsia="Times New Roman" w:hAnsi="Times New Roman" w:cs="Times New Roman"/>
          <w:sz w:val="24"/>
          <w:szCs w:val="24"/>
          <w:lang w:eastAsia="en-IN"/>
        </w:rPr>
        <w:t>Pvt.</w:t>
      </w:r>
      <w:proofErr w:type="spellEnd"/>
      <w:r w:rsidRPr="00666D44">
        <w:rPr>
          <w:rFonts w:ascii="Times New Roman" w:eastAsia="Times New Roman" w:hAnsi="Times New Roman" w:cs="Times New Roman"/>
          <w:sz w:val="24"/>
          <w:szCs w:val="24"/>
          <w:lang w:eastAsia="en-IN"/>
        </w:rPr>
        <w:t xml:space="preserve"> Ltd</w:t>
      </w:r>
      <w:r>
        <w:rPr>
          <w:rFonts w:ascii="Times New Roman" w:eastAsia="Times New Roman" w:hAnsi="Times New Roman" w:cs="Times New Roman"/>
          <w:sz w:val="24"/>
          <w:szCs w:val="24"/>
          <w:lang w:eastAsia="en-IN"/>
        </w:rPr>
        <w:t>.</w:t>
      </w:r>
      <w:r w:rsidR="0084506C" w:rsidRPr="003F7121">
        <w:rPr>
          <w:rFonts w:ascii="Times New Roman" w:eastAsia="Times New Roman" w:hAnsi="Times New Roman" w:cs="Times New Roman"/>
          <w:sz w:val="24"/>
          <w:szCs w:val="24"/>
          <w:lang w:eastAsia="en-IN"/>
        </w:rPr>
        <w:t>, Pune, Maharashtra, India.</w:t>
      </w:r>
    </w:p>
    <w:p w14:paraId="38C254B0" w14:textId="02DA2028" w:rsidR="0084506C" w:rsidRPr="003F7121" w:rsidRDefault="0084506C" w:rsidP="0084506C">
      <w:pPr>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Mayur A</w:t>
      </w:r>
      <w:r w:rsidR="00964C5D">
        <w:rPr>
          <w:rFonts w:ascii="Times New Roman" w:eastAsia="Times New Roman" w:hAnsi="Times New Roman" w:cs="Times New Roman"/>
          <w:sz w:val="24"/>
          <w:szCs w:val="24"/>
          <w:lang w:eastAsia="en-IN"/>
        </w:rPr>
        <w:t>rjun</w:t>
      </w:r>
      <w:r w:rsidRPr="003F7121">
        <w:rPr>
          <w:rFonts w:ascii="Times New Roman" w:eastAsia="Times New Roman" w:hAnsi="Times New Roman" w:cs="Times New Roman"/>
          <w:sz w:val="24"/>
          <w:szCs w:val="24"/>
          <w:lang w:eastAsia="en-IN"/>
        </w:rPr>
        <w:t xml:space="preserve"> Aswani</w:t>
      </w:r>
      <w:r w:rsidRPr="003F7121">
        <w:rPr>
          <w:rFonts w:ascii="Times New Roman" w:eastAsia="Times New Roman" w:hAnsi="Times New Roman" w:cs="Times New Roman"/>
          <w:sz w:val="24"/>
          <w:szCs w:val="24"/>
          <w:lang w:eastAsia="en-IN"/>
        </w:rPr>
        <w:tab/>
      </w:r>
      <w:r w:rsidRPr="003F7121">
        <w:rPr>
          <w:rFonts w:ascii="Times New Roman" w:eastAsia="Times New Roman" w:hAnsi="Times New Roman" w:cs="Times New Roman"/>
          <w:sz w:val="24"/>
          <w:szCs w:val="24"/>
          <w:lang w:eastAsia="en-IN"/>
        </w:rPr>
        <w:tab/>
      </w:r>
      <w:hyperlink r:id="rId9" w:history="1">
        <w:r w:rsidRPr="003F7121">
          <w:rPr>
            <w:rFonts w:ascii="Times New Roman" w:eastAsia="Times New Roman" w:hAnsi="Times New Roman" w:cs="Times New Roman"/>
            <w:sz w:val="24"/>
            <w:szCs w:val="24"/>
            <w:lang w:eastAsia="en-IN"/>
          </w:rPr>
          <w:t>mayuraswani7@gmail.com</w:t>
        </w:r>
      </w:hyperlink>
    </w:p>
    <w:p w14:paraId="3EA6E97E" w14:textId="77777777" w:rsidR="0084506C" w:rsidRPr="003F7121" w:rsidRDefault="0084506C" w:rsidP="0084506C">
      <w:pPr>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Interactive Research School for Health Affairs, Bharati Vidyapeeth (Deemed to be University), Pune, Maharashtra, India.</w:t>
      </w:r>
    </w:p>
    <w:p w14:paraId="71CEEA51" w14:textId="77777777" w:rsidR="0084506C" w:rsidRPr="003F7121" w:rsidRDefault="0084506C" w:rsidP="0084506C">
      <w:pPr>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Corresponding author:</w:t>
      </w:r>
    </w:p>
    <w:p w14:paraId="2A001A17" w14:textId="1322B7EC" w:rsidR="0084506C" w:rsidRPr="003F7121" w:rsidRDefault="0084506C" w:rsidP="0084506C">
      <w:pPr>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Dr. Suyash Arunrao Kathade</w:t>
      </w:r>
    </w:p>
    <w:p w14:paraId="60F5B726" w14:textId="51982FD4" w:rsidR="0084506C" w:rsidRPr="003F7121" w:rsidRDefault="0084506C" w:rsidP="0084506C">
      <w:pPr>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 xml:space="preserve">Address: School of Life Sciences, Swami Ramanand </w:t>
      </w:r>
      <w:proofErr w:type="spellStart"/>
      <w:r w:rsidRPr="003F7121">
        <w:rPr>
          <w:rFonts w:ascii="Times New Roman" w:eastAsia="Times New Roman" w:hAnsi="Times New Roman" w:cs="Times New Roman"/>
          <w:sz w:val="24"/>
          <w:szCs w:val="24"/>
          <w:lang w:eastAsia="en-IN"/>
        </w:rPr>
        <w:t>Teerth</w:t>
      </w:r>
      <w:proofErr w:type="spellEnd"/>
      <w:r w:rsidRPr="003F7121">
        <w:rPr>
          <w:rFonts w:ascii="Times New Roman" w:eastAsia="Times New Roman" w:hAnsi="Times New Roman" w:cs="Times New Roman"/>
          <w:sz w:val="24"/>
          <w:szCs w:val="24"/>
          <w:lang w:eastAsia="en-IN"/>
        </w:rPr>
        <w:t xml:space="preserve"> Marathwada University, Nanded.  Maharashtra, India (431603).</w:t>
      </w:r>
    </w:p>
    <w:p w14:paraId="4D8021FE" w14:textId="2BF1F660" w:rsidR="0084506C" w:rsidRPr="003F7121" w:rsidRDefault="0084506C" w:rsidP="0084506C">
      <w:pPr>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Phone: 9511267388</w:t>
      </w:r>
    </w:p>
    <w:p w14:paraId="0A035791" w14:textId="556352AF" w:rsidR="00666D44" w:rsidRDefault="0084506C" w:rsidP="0084506C">
      <w:pPr>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 xml:space="preserve">E-mail: </w:t>
      </w:r>
      <w:hyperlink r:id="rId10" w:history="1">
        <w:r w:rsidR="00666D44" w:rsidRPr="00425007">
          <w:rPr>
            <w:rStyle w:val="Hyperlink"/>
            <w:rFonts w:ascii="Times New Roman" w:eastAsia="Times New Roman" w:hAnsi="Times New Roman" w:cs="Times New Roman"/>
            <w:sz w:val="24"/>
            <w:szCs w:val="24"/>
            <w:lang w:eastAsia="en-IN"/>
          </w:rPr>
          <w:t>suyash.kathade9@gmail.com</w:t>
        </w:r>
      </w:hyperlink>
    </w:p>
    <w:p w14:paraId="52FEEDA9" w14:textId="77777777" w:rsidR="00666D44" w:rsidRDefault="00666D44" w:rsidP="0084506C">
      <w:pPr>
        <w:rPr>
          <w:rFonts w:ascii="Times New Roman" w:eastAsia="Times New Roman" w:hAnsi="Times New Roman" w:cs="Times New Roman"/>
          <w:sz w:val="24"/>
          <w:szCs w:val="24"/>
          <w:lang w:eastAsia="en-IN"/>
        </w:rPr>
      </w:pPr>
    </w:p>
    <w:p w14:paraId="47A4EA69" w14:textId="5E67E667" w:rsidR="0084506C" w:rsidRPr="003F7121" w:rsidRDefault="0084506C" w:rsidP="0084506C">
      <w:pPr>
        <w:rPr>
          <w:rFonts w:ascii="Times New Roman" w:hAnsi="Times New Roman" w:cs="Times New Roman"/>
        </w:rPr>
      </w:pPr>
      <w:r w:rsidRPr="003F7121">
        <w:rPr>
          <w:rFonts w:ascii="Times New Roman" w:hAnsi="Times New Roman" w:cs="Times New Roman"/>
        </w:rPr>
        <w:br w:type="page"/>
      </w:r>
    </w:p>
    <w:p w14:paraId="06A79308" w14:textId="556EA85E" w:rsidR="005914AF" w:rsidRPr="003F7121" w:rsidRDefault="005914AF" w:rsidP="005914AF">
      <w:pPr>
        <w:shd w:val="clear" w:color="auto" w:fill="FFFFFF" w:themeFill="background1"/>
        <w:spacing w:line="360" w:lineRule="auto"/>
        <w:jc w:val="both"/>
        <w:rPr>
          <w:rFonts w:ascii="Times New Roman" w:hAnsi="Times New Roman" w:cs="Times New Roman"/>
          <w:b/>
          <w:bCs/>
          <w:sz w:val="24"/>
          <w:szCs w:val="24"/>
        </w:rPr>
      </w:pPr>
      <w:r w:rsidRPr="003F7121">
        <w:rPr>
          <w:rFonts w:ascii="Times New Roman" w:hAnsi="Times New Roman" w:cs="Times New Roman"/>
          <w:b/>
          <w:bCs/>
          <w:sz w:val="24"/>
          <w:szCs w:val="24"/>
        </w:rPr>
        <w:lastRenderedPageBreak/>
        <w:t>Abstract</w:t>
      </w:r>
    </w:p>
    <w:p w14:paraId="0833BBC0" w14:textId="399D0E41" w:rsidR="005914AF" w:rsidRPr="003F7121" w:rsidRDefault="005914AF" w:rsidP="005914AF">
      <w:pPr>
        <w:pStyle w:val="NormalWeb"/>
        <w:shd w:val="clear" w:color="auto" w:fill="FFFFFF" w:themeFill="background1"/>
        <w:spacing w:before="0" w:beforeAutospacing="0" w:after="160" w:afterAutospacing="0" w:line="360" w:lineRule="auto"/>
        <w:jc w:val="both"/>
      </w:pPr>
      <w:r w:rsidRPr="003F7121">
        <w:t xml:space="preserve">Dysbiosis of the microbiome, characterized by an imbalance in the composition and functionality of microbial communities, has been linked to various diseases and disorders. The emerging field of nanotechnology offers promising strategies to address these dysbiotic conditions and restore microbial homeostasis. This abstract explores the application of nanotechnology interventions in alleviating disease-specific dysbiotic microbiomes. </w:t>
      </w:r>
      <w:r w:rsidR="00666D44">
        <w:t>Nanoparticles</w:t>
      </w:r>
      <w:r w:rsidRPr="003F7121">
        <w:t xml:space="preserve"> </w:t>
      </w:r>
      <w:r w:rsidR="00666D44">
        <w:t xml:space="preserve">in </w:t>
      </w:r>
      <w:r w:rsidRPr="003F7121">
        <w:t xml:space="preserve">delivery systems provide </w:t>
      </w:r>
      <w:r w:rsidR="00666D44">
        <w:t>unique</w:t>
      </w:r>
      <w:r w:rsidRPr="003F7121">
        <w:t xml:space="preserve"> opportunities for targeted and controlled delivery of therapeutic agents to the affected sites within the microbiome. Functionalized nanoparticles can be engineered to specifically interact with dysbiotic microbial populations, selectively delivering antimicrobial agents, probiotics, or prebiotics to restore a healthy microbial balance. Moreover, nanomaterials can be designed to enhance drug stability, solubility, and bioavailability, enabling precise modulation of microbial communities. Additionally, nanotechnology-based biosensors and diagnostic tools offer efficient and sensitive means for early detection and monitoring of dysbiosis. Miniaturized nanodevices can detect and quantify microbial markers, metabolites, and inflammatory biomarkers, enabling rapid and accurate diagnosis of dysbiotic conditions. These technologies can provide critical insights into disease progression, facilitate personalized treatment strategies, and monitor treatment efficacy. However, the translation of nanotechnology-based interventions for dysbiotic microbiomes into clinical applications requires addressing concerns related to safety, biocompatibility, and long-term effects. Comprehensive investigations of potential nanomaterial toxicity and environmental impacts are essential for ensuring the responsible development and deployment of nanotechnology in microbiome therapeutics. Further research and development efforts are necessary to advance these interventions benefiting patients suffering from dysbiotic microbiome-related conditions.</w:t>
      </w:r>
    </w:p>
    <w:p w14:paraId="1E8AAD16" w14:textId="77777777" w:rsidR="005914AF" w:rsidRPr="003F7121" w:rsidRDefault="005914AF" w:rsidP="005914AF">
      <w:pPr>
        <w:spacing w:line="360" w:lineRule="auto"/>
        <w:jc w:val="both"/>
        <w:rPr>
          <w:rFonts w:ascii="Times New Roman" w:hAnsi="Times New Roman" w:cs="Times New Roman"/>
          <w:sz w:val="24"/>
          <w:szCs w:val="24"/>
        </w:rPr>
      </w:pPr>
      <w:r w:rsidRPr="003F7121">
        <w:rPr>
          <w:rFonts w:ascii="Times New Roman" w:hAnsi="Times New Roman" w:cs="Times New Roman"/>
          <w:sz w:val="24"/>
          <w:szCs w:val="24"/>
        </w:rPr>
        <w:t xml:space="preserve">Keywords: Microbiome, Disease, Health, Probiotics, Immunomodulation. </w:t>
      </w:r>
    </w:p>
    <w:p w14:paraId="16688692" w14:textId="77777777" w:rsidR="005914AF" w:rsidRPr="003F7121" w:rsidRDefault="005914AF" w:rsidP="005914AF">
      <w:pPr>
        <w:spacing w:line="360" w:lineRule="auto"/>
        <w:jc w:val="both"/>
        <w:rPr>
          <w:rFonts w:ascii="Times New Roman" w:hAnsi="Times New Roman" w:cs="Times New Roman"/>
          <w:b/>
          <w:bCs/>
          <w:sz w:val="24"/>
          <w:szCs w:val="24"/>
        </w:rPr>
      </w:pPr>
      <w:r w:rsidRPr="003F7121">
        <w:rPr>
          <w:rFonts w:ascii="Times New Roman" w:hAnsi="Times New Roman" w:cs="Times New Roman"/>
          <w:b/>
          <w:bCs/>
          <w:sz w:val="24"/>
          <w:szCs w:val="24"/>
        </w:rPr>
        <w:t>Introduction</w:t>
      </w:r>
    </w:p>
    <w:p w14:paraId="42FF412B" w14:textId="1A51FDA4" w:rsidR="005914AF" w:rsidRPr="003F7121" w:rsidRDefault="005914AF" w:rsidP="005914AF">
      <w:pPr>
        <w:spacing w:line="360" w:lineRule="auto"/>
        <w:ind w:firstLine="567"/>
        <w:jc w:val="both"/>
        <w:rPr>
          <w:rFonts w:ascii="Times New Roman" w:hAnsi="Times New Roman" w:cs="Times New Roman"/>
          <w:sz w:val="24"/>
          <w:szCs w:val="24"/>
        </w:rPr>
      </w:pPr>
      <w:bookmarkStart w:id="0" w:name="_Hlk114735750"/>
      <w:r w:rsidRPr="003F7121">
        <w:rPr>
          <w:rFonts w:ascii="Times New Roman" w:hAnsi="Times New Roman" w:cs="Times New Roman"/>
          <w:sz w:val="24"/>
          <w:szCs w:val="24"/>
        </w:rPr>
        <w:t xml:space="preserve">A human body contains about 100 trillion cells, and more than 1000 trillion bacterial cells are present in the human body which is 10 times more than human cells. The 30 thousand human genes present in a body are responsible for the expression of different characteristics that are 100 times more than microbial genes. These microorganisms present in our body are called microbiome and microorganisms present in our gut are specifically called the gut microbiome. These microbes are not passively present in our bodies but are extremely </w:t>
      </w:r>
      <w:r w:rsidRPr="003F7121">
        <w:rPr>
          <w:rFonts w:ascii="Times New Roman" w:hAnsi="Times New Roman" w:cs="Times New Roman"/>
          <w:sz w:val="24"/>
          <w:szCs w:val="24"/>
        </w:rPr>
        <w:lastRenderedPageBreak/>
        <w:t>important. They digest our food, make vitamins, and also educate the immune system to keep bad microbes out. Scientific studies depicted that the specific microbial community modulation is responsible for the specific disease condition. Numerous investigations revealed a recurrent pattern of the microbiome that was unique to the condition; certain diseases were connected with over 50 genera, while others were found to have 10-15 genus-level modulations. Recent advancements in this field state that reverting to normal flora can overcome the disease by a therapeutic approach. The main problem is the lack of specificity in target-oriented modulation of the microbiota and metabolites. This limitation can be addressed using nanotechnology, as the usage of nanoparticles (NPs) in disease diagnosis and treatment has increased over the last few decades. Research on nanomedicine formulations for diagnostic and therapeutic purposes has produced a number of successful platforms, including those for integrated diagnosis, targeted drug delivery, and therapeutics. The development of nanoparticles with the proper sizes, morphologies, chemical compositions, and concentrations may be able to get around this fundamental barrier. Using nanoparticles as a delivery system for gut microbiota influences the route of biomarker detection and the route of the interaction of nanoparticles with target cells.</w:t>
      </w:r>
    </w:p>
    <w:p w14:paraId="5573D5F4" w14:textId="2B078FC1" w:rsidR="005914AF" w:rsidRPr="003F7121" w:rsidRDefault="005914AF" w:rsidP="005914AF">
      <w:pPr>
        <w:spacing w:line="360" w:lineRule="auto"/>
        <w:ind w:firstLine="567"/>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 xml:space="preserve">In recent studies on the microbiome and its impact on health is a </w:t>
      </w:r>
      <w:proofErr w:type="gramStart"/>
      <w:r w:rsidRPr="003F7121">
        <w:rPr>
          <w:rFonts w:ascii="Times New Roman" w:eastAsia="Times New Roman" w:hAnsi="Times New Roman" w:cs="Times New Roman"/>
          <w:sz w:val="24"/>
          <w:szCs w:val="24"/>
          <w:lang w:eastAsia="en-IN"/>
        </w:rPr>
        <w:t>topics of interest</w:t>
      </w:r>
      <w:proofErr w:type="gramEnd"/>
      <w:r w:rsidRPr="003F7121">
        <w:rPr>
          <w:rFonts w:ascii="Times New Roman" w:eastAsia="Times New Roman" w:hAnsi="Times New Roman" w:cs="Times New Roman"/>
          <w:sz w:val="24"/>
          <w:szCs w:val="24"/>
          <w:lang w:eastAsia="en-IN"/>
        </w:rPr>
        <w:t xml:space="preserve"> and the gut microbiome contributes to more than 90% part of the study. Trillions of microorganisms are present in our body majorly located inside the gut. Majorly there are two types of microbial community present in our body which is good and bad microorganisms. Good microorganisms are also called probiotic microorganisms </w:t>
      </w:r>
      <w:r w:rsidRPr="003F7121">
        <w:rPr>
          <w:rFonts w:ascii="Times New Roman" w:eastAsia="Times New Roman" w:hAnsi="Times New Roman" w:cs="Times New Roman"/>
          <w:sz w:val="24"/>
          <w:szCs w:val="24"/>
          <w:lang w:eastAsia="en-IN"/>
        </w:rPr>
        <w:fldChar w:fldCharType="begin" w:fldLock="1"/>
      </w:r>
      <w:r w:rsidRPr="003F7121">
        <w:rPr>
          <w:rFonts w:ascii="Times New Roman" w:eastAsia="Times New Roman" w:hAnsi="Times New Roman" w:cs="Times New Roman"/>
          <w:sz w:val="24"/>
          <w:szCs w:val="24"/>
          <w:lang w:eastAsia="en-IN"/>
        </w:rPr>
        <w:instrText>ADDIN CSL_CITATION {"citationItems":[{"id":"ITEM-1","itemData":{"DOI":"10.1038/ismej.2007.3","ISSN":"1751-7362 (Print)","PMID":"18043614","abstract":"Antibiotic administration is known to cause short-term disturbances in the  microbiota of the human gastrointestinal tract, but the potential long-term consequences have not been well studied. The aims of this study were to analyse the long-term impact of a 7-day clindamycin treatment on the faecal microbiota and to simultaneously monitor the ecological stability of the microbiota in a control group as a baseline for reference. Faecal samples from four clindamycin-exposed and four control subjects were collected at nine different time points over 2 years. Using a polyphasic approach, we observed highly significant disturbances in the bacterial community that persisted throughout the sampling period. In particular, a sharp decline in the clonal diversity of Bacteroides isolates, as assessed by repetitive sequence-based PCR (rep-PCR) and long-term persistence of highly resistant clones were found as a direct response to the antibiotic exposure. The Bacteroides community never returned to its original composition during the study period as assessed using the molecular fingerprinting technique, terminal restriction fragment length polymorphism (T-RFLP). Furthermore, using real-time PCR we found a dramatic and persistent increase in levels of specific resistance genes in DNA extracted from the faeces after clindamycin administration. The temporal variations in the microbiota of the control group were minor compared to the large and persistent shift seen in the exposed group. These results demonstrate that long after the selection pressure from a short antibiotic exposure has been removed, there are still persistent long term impacts on the human intestinal microbiota that remain for up to 2 years post-treatment.","author":[{"dropping-particle":"","family":"Jernberg","given":"Cecilia","non-dropping-particle":"","parse-names":false,"suffix":""},{"dropping-particle":"","family":"Löfmark","given":"Sonja","non-dropping-particle":"","parse-names":false,"suffix":""},{"dropping-particle":"","family":"Edlund","given":"Charlotta","non-dropping-particle":"","parse-names":false,"suffix":""},{"dropping-particle":"","family":"Jansson","given":"Janet K","non-dropping-particle":"","parse-names":false,"suffix":""}],"container-title":"The ISME journal","id":"ITEM-1","issue":"1","issued":{"date-parts":[["2007","5"]]},"language":"eng","page":"56-66","publisher-place":"England","title":"Long-term ecological impacts of antibiotic administration on the human intestinal  microbiota.","type":"article-journal","volume":"1"},"uris":["http://www.mendeley.com/documents/?uuid=607dd146-f6fe-4875-88cf-e8e4e05347b3"]},{"id":"ITEM-2","itemData":{"DOI":"10.7845/kjm.2020.0038","ISSN":"23839902","abstract":"Probiotics are live microorganisms which upon ingestion confer health benefits to the host such as prevention of infection in the digestive tract, activate, and modulate the immune response and increase the number of native bacteria in the gut. The present study was aimed to isolate bacteria from donkey dung and characterize for probiotic activity. Bacterial cultures were isolated from excreta of infant donkey and were characterized using standard procedures. Cultures were grown anaerobically, and in total 16 cultures showing Lactobacillus morphology were further screened for the probiotic property. Isolate LB-VII was found to be non-hemolytic and has the ability to tolerate 1.2% bile, pH 1.5~10, 8% NaCl as well as showed growth at 42°C. The culture survived gastric and intestinal environment and showed bile salt hydrolysis activity. LB-VII exhibited 100% auto-aggregation and hydrophobic reaction. The culture could also co-aggregate with Escherichia coli, Enterococcus faecalis, and Staphylococcus aureus, a property, which is required to control pathogens. Moreover, the isolate resist a wide range of antibiotic. All these characters make LB-VII a good probiotic culture and was identified as L. plantarum by molecular methods. Copyright 2020, The Microbiological Society of Korea.","author":[{"dropping-particle":"","family":"Kathade","given":"Suyash Arunrao","non-dropping-particle":"","parse-names":false,"suffix":""},{"dropping-particle":"","family":"Aswani","given":"Mayur Arjun","non-dropping-particle":"","parse-names":false,"suffix":""},{"dropping-particle":"","family":"Anand","given":"Pashmin Kaur","non-dropping-particle":"","parse-names":false,"suffix":""},{"dropping-particle":"","family":"Jagtap","given":"Suresh","non-dropping-particle":"","parse-names":false,"suffix":""},{"dropping-particle":"","family":"Bipinraj","given":"Niricharan Kunchiraman","non-dropping-particle":"","parse-names":false,"suffix":""}],"container-title":"Korean Journal of Microbiology","id":"ITEM-2","issue":"2","issued":{"date-parts":[["2020"]]},"page":"160-169","title":"Isolation of Lactobacillus from donkey dung and its probiotic characterization","type":"article-journal","volume":"56"},"uris":["http://www.mendeley.com/documents/?uuid=11c37b99-897c-4d65-9a12-9335f5658cb9"]}],"mendeley":{"formattedCitation":"[1,2]","plainTextFormattedCitation":"[1,2]","previouslyFormattedCitation":"[232,291]"},"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[1,2]</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Probiotics are live microorganisms when administrated in an adequate amount confers health benefits to the host </w:t>
      </w:r>
      <w:r w:rsidRPr="003F7121">
        <w:rPr>
          <w:rFonts w:ascii="Times New Roman" w:eastAsia="Times New Roman" w:hAnsi="Times New Roman" w:cs="Times New Roman"/>
          <w:sz w:val="24"/>
          <w:szCs w:val="24"/>
          <w:lang w:eastAsia="en-IN"/>
        </w:rPr>
        <w:fldChar w:fldCharType="begin" w:fldLock="1"/>
      </w:r>
      <w:r w:rsidRPr="003F7121">
        <w:rPr>
          <w:rFonts w:ascii="Times New Roman" w:eastAsia="Times New Roman" w:hAnsi="Times New Roman" w:cs="Times New Roman"/>
          <w:sz w:val="24"/>
          <w:szCs w:val="24"/>
          <w:lang w:eastAsia="en-IN"/>
        </w:rPr>
        <w:instrText>ADDIN CSL_CITATION {"citationItems":[{"id":"ITEM-1","itemData":{"abstract":"There has been an increased influx of probiotic products in the Indian market during the last decade. However, there has been no systematic approach for evaluation of probiotics in food to ensure their safety and efficacy. An initiative was, therefore, taken by the Indian Council of Medical Research (ICMR) along with the Department of Biotechnology (DBT) to formulate guidelines for regulation of probiotic products in the country. These guidelines define a set of parameters required for a product/strain to be termed as 'probiotic'. These include identification of the strain, &lt;i&gt;in vitro&lt;/i&gt; screening for probiotic characteristics, animal studies to establish safety and &lt;i&gt;in vivo&lt;/i&gt; animal and human studies to establish efficacy. The guidelines also include requirements for labeling of the probiotic products with strain specification, viable numbers at the end of shelf life, storage conditions, &lt;i&gt;etc&lt;/i&gt;., which would be helpful to the consumers to safeguard their own interest.","author":[{"dropping-particle":"","family":"Ganguly","given":"N","non-dropping-particle":"","parse-names":false,"suffix":""},{"dropping-particle":"","family":"Bhattacharya","given":"S","non-dropping-particle":"","parse-names":false,"suffix":""},{"dropping-particle":"","family":"Sesikeran","given":"B","non-dropping-particle":"","parse-names":false,"suffix":""},{"dropping-particle":"","family":"Nair","given":"G","non-dropping-particle":"","parse-names":false,"suffix":""},{"dropping-particle":"","family":"Ramakrishna","given":"B","non-dropping-particle":"","parse-names":false,"suffix":""},{"dropping-particle":"","family":"Sachdev","given":"H P S","non-dropping-particle":"","parse-names":false,"suffix":""},{"dropping-particle":"","family":"Batish","given":"V","non-dropping-particle":"","parse-names":false,"suffix":""},{"dropping-particle":"","family":"Kanagasabapathy","given":"A","non-dropping-particle":"","parse-names":false,"suffix":""},{"dropping-particle":"","family":"Muthuswamy","given":"Vasantha","non-dropping-particle":"","parse-names":false,"suffix":""},{"dropping-particle":"","family":"Kathuria","given":"S","non-dropping-particle":"","parse-names":false,"suffix":""},{"dropping-particle":"","family":"Katoch","given":"V","non-dropping-particle":"","parse-names":false,"suffix":""},{"dropping-particle":"","family":"Satyanarayana","given":"K","non-dropping-particle":"","parse-names":false,"suffix":""},{"dropping-particle":"","family":"Toteja","given":"G","non-dropping-particle":"","parse-names":false,"suffix":""},{"dropping-particle":"","family":"Rahi","given":"Manju","non-dropping-particle":"","parse-names":false,"suffix":""},{"dropping-particle":"","family":"Rao","given":"Spriha","non-dropping-particle":"","parse-names":false,"suffix":""},{"dropping-particle":"","family":"Bhan","given":"M","non-dropping-particle":"","parse-names":false,"suffix":""},{"dropping-particle":"","family":"Kapur","given":"Rajesh","non-dropping-particle":"","parse-names":false,"suffix":""},{"dropping-particle":"","family":"Hemalatha","given":"R","non-dropping-particle":"","parse-names":false,"suffix":""}],"container-title":"Indian Journal of Medical Research","id":"ITEM-1","issue":"1","issued":{"date-parts":[["2011","7","1"]]},"page":"22-25","title":"ICMR-DBT Guidelines for Evaluation of Probiotics in Food","type":"article-journal","volume":"134"},"uris":["http://www.mendeley.com/documents/?uuid=db488fe0-71b9-4d20-bbe3-8cc5696bd75f"]},{"id":"ITEM-2","itemData":{"author":[{"dropping-particle":"","family":"Kathade","given":"Suyash Arunrao","non-dropping-particle":"","parse-names":false,"suffix":""},{"dropping-particle":"","family":"Aswani","given":"Mayur Arjun","non-dropping-particle":"","parse-names":false,"suffix":""},{"dropping-particle":"","family":"Anand","given":"Pashmin Kaur","non-dropping-particle":"","parse-names":false,"suffix":""},{"dropping-particle":"","family":"Kunchiraman","given":"Bipinraj Nirichan","non-dropping-particle":"","parse-names":false,"suffix":""}],"id":"ITEM-2","issue":"7","issued":{"date-parts":[["2020"]]},"page":"23-39","title":"Probiotic characterization and cholesterol assimilation ability of Pichia kudriavzevii isolated from the gut of the edible freshwater snail “ Pila globosa ”. disease .","type":"article-journal","volume":"24"},"uris":["http://www.mendeley.com/documents/?uuid=7e02419a-67ae-40ff-8708-e8414ec67845"]}],"mendeley":{"formattedCitation":"[3,4]","plainTextFormattedCitation":"[3,4]","previouslyFormattedCitation":"[292,293]"},"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[3,4]</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Once established, these probiotic bacteria can exert their beneficial effect in many ways. Some reports showed the ability of probiotics that can produce vitamins, maintain gut pH, and modulate the host’s immune response. Moreover, they are well characterized for their ability to maintain the gut microflora, especially after an antibiotic course </w:t>
      </w:r>
      <w:r w:rsidRPr="003F7121">
        <w:rPr>
          <w:rFonts w:ascii="Times New Roman" w:eastAsia="Times New Roman" w:hAnsi="Times New Roman" w:cs="Times New Roman"/>
          <w:sz w:val="24"/>
          <w:szCs w:val="24"/>
          <w:lang w:eastAsia="en-IN"/>
        </w:rPr>
        <w:fldChar w:fldCharType="begin" w:fldLock="1"/>
      </w:r>
      <w:r w:rsidRPr="003F7121">
        <w:rPr>
          <w:rFonts w:ascii="Times New Roman" w:eastAsia="Times New Roman" w:hAnsi="Times New Roman" w:cs="Times New Roman"/>
          <w:sz w:val="24"/>
          <w:szCs w:val="24"/>
          <w:lang w:eastAsia="en-IN"/>
        </w:rPr>
        <w:instrText>ADDIN CSL_CITATION {"citationItems":[{"id":"ITEM-1","itemData":{"DOI":"10.7845/kjm.2020.0038","ISSN":"23839902","abstract":"Probiotics are live microorganisms which upon ingestion confer health benefits to the host such as prevention of infection in the digestive tract, activate, and modulate the immune response and increase the number of native bacteria in the gut. The present study was aimed to isolate bacteria from donkey dung and characterize for probiotic activity. Bacterial cultures were isolated from excreta of infant donkey and were characterized using standard procedures. Cultures were grown anaerobically, and in total 16 cultures showing Lactobacillus morphology were further screened for the probiotic property. Isolate LB-VII was found to be non-hemolytic and has the ability to tolerate 1.2% bile, pH 1.5~10, 8% NaCl as well as showed growth at 42°C. The culture survived gastric and intestinal environment and showed bile salt hydrolysis activity. LB-VII exhibited 100% auto-aggregation and hydrophobic reaction. The culture could also co-aggregate with Escherichia coli, Enterococcus faecalis, and Staphylococcus aureus, a property, which is required to control pathogens. Moreover, the isolate resist a wide range of antibiotic. All these characters make LB-VII a good probiotic culture and was identified as L. plantarum by molecular methods. Copyright 2020, The Microbiological Society of Korea.","author":[{"dropping-particle":"","family":"Kathade","given":"Suyash Arunrao","non-dropping-particle":"","parse-names":false,"suffix":""},{"dropping-particle":"","family":"Aswani","given":"Mayur Arjun","non-dropping-particle":"","parse-names":false,"suffix":""},{"dropping-particle":"","family":"Anand","given":"Pashmin Kaur","non-dropping-particle":"","parse-names":false,"suffix":""},{"dropping-particle":"","family":"Jagtap","given":"Suresh","non-dropping-particle":"","parse-names":false,"suffix":""},{"dropping-particle":"","family":"Bipinraj","given":"Niricharan Kunchiraman","non-dropping-particle":"","parse-names":false,"suffix":""}],"container-title":"Korean Journal of Microbiology","id":"ITEM-1","issue":"2","issued":{"date-parts":[["2020"]]},"page":"160-169","title":"Isolation of Lactobacillus from donkey dung and its probiotic characterization","type":"article-journal","volume":"56"},"uris":["http://www.mendeley.com/documents/?uuid=11c37b99-897c-4d65-9a12-9335f5658cb9"]},{"id":"ITEM-2","itemData":{"DOI":"10.22037/afb.v8i3.31729","ISSN":"24234214","abstract":"Background and Objective: Cholesterol hyper-accumulation is an increasing risk factor causing cardiovascular diseases. Cardiovascular diseases are leading causes of death worldwide, accounting for 16.7 million deaths annually. An increase from 25.7 to 54.7 million cases of cardiovascular diseases is reported in India. Since 1990, changes in dietary patterns have been the major causes of this condition. However, current treatments such as statins and β-blockers are inadequate and include systemic toxicity such as stent thrombosis and chronic inflammation. Probiotics with cholesterol-lowering ability are ideal safe choices for the prevention of cardiovascular diseases. Material and Methods: The present study involved culture-dependent method for the enumeration of microorganisms from Pyrrharctia isabella. Microorganisms were isolated and purified and their morphology was studied microscopically. Strains that showed yeast morphology were selected for further probiotic characterization. These isolates were further characterized for probiotic potential based on guidelines from World Health Organization, Indian Council of Medical Research and World Gastroenterology Organisation. The present study assessed cholesterol-lowering potential of the best characterized isolate. Results and Conclusion: Culture-dependent approach resulted in the isolation of four yeast cultures from the frass of Pyrrharctia isabella caterpillars. Cultures showed antimicrobial activity and other probiotic characteristics such as resisted pH, bile and temperature, similar to the reports by Khisti et al., 2019. However, the novel strain isolated from Pyrrhactia isabella could survive high concentrations of NaCl (1.02M) with an 80.32% survival rate, showing 40.23% hydrophobicity. CP-I culture showed bile salt hydrolase activity as well as susceptibility to sulphatried, penicillin-G, tetracycline and chloramphenicol. This isolate showed the potential to decrease cholesterol levels by 9.16% under in-vitro conditions. Molecular identification of the novel isolate demonstrated that it belonged to Saccharomyces cerevisiae with 97% genetic similarity. Thus, this study demonstrated for the first-time isolation of cholesterol-lowering probiotic yeast Saccharomyces cerevisiae from caterpillar frass under in-vitro conditions. Conflict of interest: The authors declare no conflict of interest.","author":[{"dropping-particle":"","family":"Aswani","given":"Mayur Arjun","non-dropping-particle":"","parse-names":false,"suffix":""},{"dropping-particle":"","family":"Kathade","given":"Suyash Arunrao","non-dropping-particle":"","parse-names":false,"suffix":""},{"dropping-particle":"","family":"Anand","given":"Pashmin Kaur","non-dropping-particle":"","parse-names":false,"suffix":""},{"dropping-particle":"","family":"Kunchiraman","given":"Bipinraj Nirichan","non-dropping-particle":"","parse-names":false,"suffix":""},{"dropping-particle":"","family":"Dhumma","given":"Pavan Rajendra","non-dropping-particle":"","parse-names":false,"suffix":""},{"dropping-particle":"","family":"Jagtap","given":"Suresh Dnyandeo","non-dropping-particle":"","parse-names":false,"suffix":""}],"container-title":"Applied Food Biotechnology","id":"ITEM-2","issue":"3","issued":{"date-parts":[["2021"]]},"page":"189-198","title":"Probiotic Characterization of Cholesterol-Lowering Saccharomyces cerevisiae Isolated from Frass of Pyrrharctia isabella Caterpillars","type":"article-journal","volume":"8"},"uris":["http://www.mendeley.com/documents/?uuid=81f1e05b-34e4-4d24-aca5-5c88b7dd62d8"]}],"mendeley":{"formattedCitation":"[2,5]","plainTextFormattedCitation":"[2,5]","previouslyFormattedCitation":"[228,232]"},"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[2,5]</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w:t>
      </w:r>
    </w:p>
    <w:p w14:paraId="57E3C87B" w14:textId="6AF340AF" w:rsidR="005914AF" w:rsidRPr="003F7121" w:rsidRDefault="005914AF" w:rsidP="005914AF">
      <w:pPr>
        <w:spacing w:line="360" w:lineRule="auto"/>
        <w:ind w:firstLine="567"/>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 xml:space="preserve">Imbalance in the gut flora, also known as dysbiosis is the decrease in the number of desirable microorganisms and an increase in the number of undesirable microorganisms in the gut </w:t>
      </w:r>
      <w:r w:rsidRPr="003F7121">
        <w:rPr>
          <w:rFonts w:ascii="Times New Roman" w:eastAsia="Times New Roman" w:hAnsi="Times New Roman" w:cs="Times New Roman"/>
          <w:sz w:val="24"/>
          <w:szCs w:val="24"/>
          <w:lang w:eastAsia="en-IN"/>
        </w:rPr>
        <w:fldChar w:fldCharType="begin" w:fldLock="1"/>
      </w:r>
      <w:r w:rsidRPr="003F7121">
        <w:rPr>
          <w:rFonts w:ascii="Times New Roman" w:eastAsia="Times New Roman" w:hAnsi="Times New Roman" w:cs="Times New Roman"/>
          <w:sz w:val="24"/>
          <w:szCs w:val="24"/>
          <w:lang w:eastAsia="en-IN"/>
        </w:rPr>
        <w:instrText>ADDIN CSL_CITATION {"citationItems":[{"id":"ITEM-1","itemData":{"DOI":"10.5114/pg.2018.76005","ISSN":"1895-5770","abstract":"The gut microbiota acts as a real organ. It exerts important metabolic functions, and regulates the inflammatory response by stimulating the immune system. Gut microbial imbalance (dysbiosis) has been linked to important human diseases and inflammation-related disorders. The symbiotic interactions between resident microorganisms and the gastrointestinal tract significantly contribute to maintaining gut homeostasis. The present review summarizes our knowledge regarding the impact of different antibiotics causing such long-term consequences as decreased microbial diversity, modulation of the Bacteroidetes/Firmicutes ratio, Clostridium difficile overgrowth, and increased expansion of the opportunistic pathogens Salmonella typhimurium, Escherichia spp., and Klebsiella spp. Also, food additives, such as emulsifiers and artificial sweeteners, which are meant to reduce the risk of obesity and diabetes, may actually increase the risk of diseases due to microbial alterations. On the other hand, dietary components such as polyphenols, omega-3 acids or curcumin may positively affect gut microbiota composition.","author":[{"dropping-particle":"","family":"Dudek-Wicher","given":"Ruth K","non-dropping-particle":"","parse-names":false,"suffix":""},{"dropping-particle":"","family":"Junka","given":"Adam","non-dropping-particle":"","parse-names":false,"suffix":""},{"dropping-particle":"","family":"Bartoszewicz","given":"Marzenna","non-dropping-particle":"","parse-names":false,"suffix":""}],"container-title":"Przeglad gastroenterologiczny","edition":"2018/05/25","id":"ITEM-1","issue":"2","issued":{"date-parts":[["2018"]]},"language":"eng","page":"85-92","publisher":"Termedia Publishing House","title":"The influence of antibiotics and dietary components on gut microbiota","type":"article-journal","volume":"13"},"uris":["http://www.mendeley.com/documents/?uuid=3392ec2b-04be-4b2d-90ce-f171ad46e9a6"]}],"mendeley":{"formattedCitation":"[6]","plainTextFormattedCitation":"[6]","previouslyFormattedCitation":"[294]"},"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[6]</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Dysbiosis can lead to infections, poor nutrition, lack of nutrient absorption, etc. </w:t>
      </w:r>
      <w:r w:rsidRPr="003F7121">
        <w:rPr>
          <w:rFonts w:ascii="Times New Roman" w:eastAsia="Times New Roman" w:hAnsi="Times New Roman" w:cs="Times New Roman"/>
          <w:sz w:val="24"/>
          <w:szCs w:val="24"/>
          <w:lang w:eastAsia="en-IN"/>
        </w:rPr>
        <w:fldChar w:fldCharType="begin" w:fldLock="1"/>
      </w:r>
      <w:r w:rsidRPr="003F7121">
        <w:rPr>
          <w:rFonts w:ascii="Times New Roman" w:eastAsia="Times New Roman" w:hAnsi="Times New Roman" w:cs="Times New Roman"/>
          <w:sz w:val="24"/>
          <w:szCs w:val="24"/>
          <w:lang w:eastAsia="en-IN"/>
        </w:rPr>
        <w:instrText>ADDIN CSL_CITATION {"citationItems":[{"id":"ITEM-1","itemData":{"DOI":"10.1073/pnas.1000087107","ISBN":"1000087107","ISSN":"10916490","PMID":"20847294","abstract":"The indigenous human microbiota is essential to the health of the host. Although the microbiota can be affected by many features of modern life, we know little about its responses to disturbance, especially repeated disturbances, and how these changes compare with baseline temporal variation. We examined the distal gut microbiota of three individuals over 10mo that spannedtwo courses of the antibiotic ciprofloxacin, analyzing more than 1.7 million bacterial 16S rRNA hypervariable region sequences from 52 to 56 samples per subject. Interindividual variation was the major source of variability between samples. Day-to-day temporal variability was evident but constrained around an average community composition that was stable over severalmonths in the absence of deliberate perturbation. The effect of ciprofloxacin on the gut microbiota was profound and rapid, with a loss of diversity and a shift in community composition occurringwithin 3-4 d of druginitiation. By1wk after the end of each course, communities began to return to their initial state, but the return was often incomplete. Although broadly similar, community changes after ciprofloxacin varied among subjects and between the twocourseswithinsubjects. In all subjects, thecompositionof thegut microbiota stabilized by the end of the experiment but was altered from its initial state. As with other ecosystems, the human distal gut microbiome at baseline is a dynamic regimen with a stable average state. Antibiotic perturbation may cause a shift to an alternative stable state, the full consequences of which remain unknown.","author":[{"dropping-particle":"","family":"Dethlefsen","given":"Les","non-dropping-particle":"","parse-names":false,"suffix":""},{"dropping-particle":"","family":"Relman","given":"David A.","non-dropping-particle":"","parse-names":false,"suffix":""}],"container-title":"Proceedings of the National Academy of Sciences of the United States of America","id":"ITEM-1","issue":"SUPPL. 1","issued":{"date-parts":[["2011"]]},"page":"4554-4561","title":"Incomplete recovery and individualized responses of the human distal gut microbiota to repeated antibiotic perturbation","type":"article-journal","volume":"108"},"uris":["http://www.mendeley.com/documents/?uuid=de2711a7-e77b-40b4-8f96-b369fcbf7f5d"]}],"mendeley":{"formattedCitation":"[7]","plainTextFormattedCitation":"[7]","previouslyFormattedCitation":"[295]"},"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[7]</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as well as acute and chronic disorders such as Irritable bowel syndrome (IBS) and inflammatory bowel disease (IBD).</w:t>
      </w:r>
      <w:bookmarkEnd w:id="0"/>
      <w:r w:rsidRPr="003F7121">
        <w:rPr>
          <w:rFonts w:ascii="Times New Roman" w:eastAsia="Times New Roman" w:hAnsi="Times New Roman" w:cs="Times New Roman"/>
          <w:sz w:val="24"/>
          <w:szCs w:val="24"/>
          <w:lang w:eastAsia="en-IN"/>
        </w:rPr>
        <w:t xml:space="preserve"> Probiotics are generally regarded as living drugs with immunomodulatory, anti-carcinogenic, anti-allergic and anti-inflammatory effects </w:t>
      </w:r>
      <w:r w:rsidRPr="003F7121">
        <w:rPr>
          <w:rFonts w:ascii="Times New Roman" w:eastAsia="Times New Roman" w:hAnsi="Times New Roman" w:cs="Times New Roman"/>
          <w:sz w:val="24"/>
          <w:szCs w:val="24"/>
          <w:lang w:eastAsia="en-IN"/>
        </w:rPr>
        <w:fldChar w:fldCharType="begin" w:fldLock="1"/>
      </w:r>
      <w:r w:rsidRPr="003F7121">
        <w:rPr>
          <w:rFonts w:ascii="Times New Roman" w:eastAsia="Times New Roman" w:hAnsi="Times New Roman" w:cs="Times New Roman"/>
          <w:sz w:val="24"/>
          <w:szCs w:val="24"/>
          <w:lang w:eastAsia="en-IN"/>
        </w:rPr>
        <w:instrText>ADDIN CSL_CITATION {"citationItems":[{"id":"ITEM-1","itemData":{"DOI":"10.1371/journal.pone.0153351","ISSN":"19326203","abstract":"The probiotic yeast Saccharomyces boulardii has been shown to ameliorate disease severity in the context of many infectious and inflammatory conditions. However, use of S. boulardii as a prophylactic agent or therapeutic delivery vector would require delivery of S. boulardii to a healthy, uninflamed intestine. In contrast to inflamed mucosal tissue, the diverse microbiota, intact epithelial barrier, and fewer inflammatory immune cells within the healthy intestine may all limit the degree to which S. boulardii contacts and influences the host mucosal immune system. Understanding the nature of these interactions is crucial for application of S. boulardii as a prophylactic agent or therapeutic delivery vehicle. In this study, we explore both intrinsic and immunomodulatory properties of S. boulardii in the healthy mucosal immune system. Genomic sequencing and morphological analysis of S. boulardii reveals changes in cell wall components compared to non-probiotic S. cerevisiae that may partially account for probiotic functions of S. boulardii. Flow cytometry and immunohistochemistry demonstrate limited S. boulardii association with murine Peyer's patches. We also show that although S. boulardii induces a systemic humoral immune response, this response is small in magnitude and not directed against S. boulardii itself. RNA-seq of the draining mesenteric lymph nodes indicates that even repeated administration of S. boulardii induces few transcriptional changes in the healthy intestine. Together these data strongly suggest that interaction between S. boulardii and the mucosal immune system in the healthy intestine is limited, with important implications for future work examining S. boulardii as a prophylactic agent and therapeutic delivery vehicle.","author":[{"dropping-particle":"","family":"Hudson","given":"Lauren E.","non-dropping-particle":"","parse-names":false,"suffix":""},{"dropping-particle":"","family":"McDermott","given":"Courtney D.","non-dropping-particle":"","parse-names":false,"suffix":""},{"dropping-particle":"","family":"Stewart","given":"Taryn P.","non-dropping-particle":"","parse-names":false,"suffix":""},{"dropping-particle":"","family":"Hudson","given":"William H.","non-dropping-particle":"","parse-names":false,"suffix":""},{"dropping-particle":"","family":"Rios","given":"Daniel","non-dropping-particle":"","parse-names":false,"suffix":""},{"dropping-particle":"","family":"Fasken","given":"Milo B.","non-dropping-particle":"","parse-names":false,"suffix":""},{"dropping-particle":"","family":"Corbett","given":"Anita H.","non-dropping-particle":"","parse-names":false,"suffix":""},{"dropping-particle":"","family":"Lamb","given":"Tracey J.","non-dropping-particle":"","parse-names":false,"suffix":""}],"container-title":"PLoS ONE","id":"ITEM-1","issue":"4","issued":{"date-parts":[["2016"]]},"page":"1-21","title":"Characterization of the probiotic yeast Saccharomyces boulardii in the healthy mucosal immune system","type":"article-journal","volume":"11"},"uris":["http://www.mendeley.com/documents/?uuid=86b50ff2-9447-471d-8a52-0d6f0f69ffa4"]}],"mendeley":{"formattedCitation":"[8]","plainTextFormattedCitation":"[8]","previouslyFormattedCitation":"[296]"},"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[8]</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Even though many reports are available regarding the inhibition of pathogenic microorganisms by </w:t>
      </w:r>
      <w:r w:rsidRPr="003F7121">
        <w:rPr>
          <w:rFonts w:ascii="Times New Roman" w:eastAsia="Times New Roman" w:hAnsi="Times New Roman" w:cs="Times New Roman"/>
          <w:sz w:val="24"/>
          <w:szCs w:val="24"/>
          <w:lang w:eastAsia="en-IN"/>
        </w:rPr>
        <w:lastRenderedPageBreak/>
        <w:t xml:space="preserve">probiotics, </w:t>
      </w:r>
      <w:r w:rsidRPr="003F7121">
        <w:rPr>
          <w:rFonts w:ascii="Times New Roman" w:hAnsi="Times New Roman" w:cs="Times New Roman"/>
          <w:sz w:val="24"/>
          <w:szCs w:val="24"/>
        </w:rPr>
        <w:t>lack of specificity in target-oriented modulation of the microbiota and metabolites is the main problem. This limitation can be addressed using nanotechnology.</w:t>
      </w:r>
    </w:p>
    <w:p w14:paraId="588F0487" w14:textId="4F48C56A" w:rsidR="005914AF" w:rsidRPr="003F7121" w:rsidRDefault="005914AF" w:rsidP="005914AF">
      <w:pPr>
        <w:autoSpaceDE w:val="0"/>
        <w:autoSpaceDN w:val="0"/>
        <w:adjustRightInd w:val="0"/>
        <w:spacing w:line="360" w:lineRule="auto"/>
        <w:ind w:right="-46" w:firstLine="567"/>
        <w:jc w:val="both"/>
        <w:rPr>
          <w:rFonts w:ascii="Times New Roman" w:hAnsi="Times New Roman" w:cs="Times New Roman"/>
          <w:sz w:val="24"/>
          <w:szCs w:val="24"/>
        </w:rPr>
      </w:pPr>
      <w:r w:rsidRPr="003F7121">
        <w:rPr>
          <w:rFonts w:ascii="Times New Roman" w:hAnsi="Times New Roman" w:cs="Times New Roman"/>
          <w:sz w:val="24"/>
          <w:szCs w:val="24"/>
        </w:rPr>
        <w:t xml:space="preserve">Nanotechnology is an applied scientific discipline and has diverse practical applications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{"citationItems":[{"id":"ITEM-1","itemData":{"author":[{"dropping-particle":"","family":"Rastogi A, Singh P, Haraz FA","given":"Barhoum A","non-dropping-particle":"","parse-names":false,"suffix":""}],"container-title":"Elsevier Inc, Typeset by Thomson Digital, India","id":"ITEM-1","issued":{"date-parts":[["2018"]]},"page":"571-604","title":"Biological synthesis of nanoparticles: an environmentally benign approach. In: Fundamentals of Nanoparticles.","type":"chapter"},"uris":["http://www.mendeley.com/documents/?uuid=340501dd-8024-4361-ac64-e2d9fe863d3c"]}],"mendeley":{"formattedCitation":"[9]","plainTextFormattedCitation":"[9]","previouslyFormattedCitation":"[297]"},"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[9]</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The term "nanotechnology" was initially used by the Japanese professor Norio Taniguchi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{"citationItems":[{"id":"ITEM-1","itemData":{"author":[{"dropping-particle":"","family":"Taniguchi N, Arakawa C","given":"Kobayashi T","non-dropping-particle":"","parse-names":false,"suffix":""}],"container-title":"Japan Society of Precision Engineering, Tokyo","id":"ITEM-1","issued":{"date-parts":[["1974"]]},"page":"18-23","title":"On the basic concept of ‘nano- technology’. In: Proceedings of the international conference on production engineering","type":"chapter"},"uris":["http://www.mendeley.com/documents/?uuid=90c15b74-2609-4c02-9323-7a8a68bee62f"]}],"mendeley":{"formattedCitation":"[10]","plainTextFormattedCitation":"[10]","previouslyFormattedCitation":"[298]"},"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[10]</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A nanoparticle is a material with a diameter of 100 nm or less and is regarded as the fundamental unit of nanotechnology. Mycoplasma, the smallest microbe known to science, with a length of about 200 nm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{"citationItems":[{"id":"ITEM-1","itemData":{"author":[{"dropping-particle":"","family":"KW","given":"Guo","non-dropping-particle":"","parse-names":false,"suffix":""}],"container-title":"Blackwell Publishing Ltd, Oxford","id":"ITEM-1","issued":{"date-parts":[["2013"]]},"page":"311-354","title":"An overview of green nanotechnology. In: Bio-nanotechnology: a revolution in food, biomedical and health sciences.","type":"chapter"},"uris":["http://www.mendeley.com/documents/?uuid=09addab3-e830-4f9d-85a2-c530b03dbaa4"]}],"mendeley":{"formattedCitation":"[11]","plainTextFormattedCitation":"[11]","previouslyFormattedCitation":"[299]"},"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[11]</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The Greek word "nano," which meaning "very small," is the basis of nanotechnology. Nanotechnology is a multidisciplinary science that combines several scientific fields including biotechnology, biology, chemistry, physics, medicine, pharmacy and engineering, etc.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{"citationItems":[{"id":"ITEM-1","itemData":{"DOI":"10.4103/0974-2077.63301","ISSN":"0974-2077","abstract":"Nanotechnology is an exciting new area in science, with many possible applications in medicine. This article seeks to outline the role of different areas such as diagnosis of diseases, drug delivery, imaging, and so on.","author":[{"dropping-particle":"","family":"Saini","given":"Rajiv","non-dropping-particle":"","parse-names":false,"suffix":""},{"dropping-particle":"","family":"Saini","given":"Santosh","non-dropping-particle":"","parse-names":false,"suffix":""},{"dropping-particle":"","family":"Sharma","given":"Sugandha","non-dropping-particle":"","parse-names":false,"suffix":""}],"container-title":"Journal of Cutaneous and Aesthetic Surgery","id":"ITEM-1","issue":"1","issued":{"date-parts":[["2010"]]},"page":"32","title":"Nanotechnology: The future medicine","type":"article-journal","volume":"3"},"uris":["http://www.mendeley.com/documents/?uuid=31487736-386e-42b5-a678-44ad9683ce9b"]}],"mendeley":{"formattedCitation":"[12]","plainTextFormattedCitation":"[12]","previouslyFormattedCitation":"[300]"},"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[12]</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With nanotechnology intervention and interaction with microbiome to modulate hence alleviate dysbiosis. In this </w:t>
      </w:r>
      <w:r w:rsidRPr="003F7121">
        <w:rPr>
          <w:rFonts w:ascii="Times New Roman" w:eastAsia="Times New Roman" w:hAnsi="Times New Roman" w:cs="Times New Roman"/>
          <w:sz w:val="24"/>
          <w:szCs w:val="24"/>
          <w:lang w:eastAsia="en-IN"/>
        </w:rPr>
        <w:t>chapter we focus on the nanotechnology intervention to alleviate microbiome and addresses various diseases.</w:t>
      </w:r>
    </w:p>
    <w:p w14:paraId="01AD93D3" w14:textId="77777777" w:rsidR="005914AF" w:rsidRPr="003F7121" w:rsidRDefault="005914AF" w:rsidP="005914AF">
      <w:pPr>
        <w:spacing w:line="360" w:lineRule="auto"/>
        <w:jc w:val="both"/>
        <w:outlineLvl w:val="1"/>
        <w:rPr>
          <w:rFonts w:ascii="Times New Roman" w:eastAsia="Times New Roman" w:hAnsi="Times New Roman" w:cs="Times New Roman"/>
          <w:sz w:val="24"/>
          <w:szCs w:val="24"/>
          <w:lang w:eastAsia="en-IN"/>
        </w:rPr>
      </w:pPr>
      <w:bookmarkStart w:id="1" w:name="_Hlk99979248"/>
      <w:r w:rsidRPr="003F7121">
        <w:rPr>
          <w:rFonts w:ascii="Times New Roman" w:eastAsia="Times New Roman" w:hAnsi="Times New Roman" w:cs="Times New Roman"/>
          <w:b/>
          <w:bCs/>
          <w:sz w:val="24"/>
          <w:szCs w:val="24"/>
          <w:lang w:eastAsia="en-IN"/>
        </w:rPr>
        <w:t>Health benefits of probiotic microbiome</w:t>
      </w:r>
    </w:p>
    <w:p w14:paraId="7B0CC4E3" w14:textId="71A02309" w:rsidR="005914AF" w:rsidRPr="003F7121" w:rsidRDefault="005914AF" w:rsidP="005914AF">
      <w:pPr>
        <w:spacing w:line="360" w:lineRule="auto"/>
        <w:ind w:firstLine="567"/>
        <w:jc w:val="both"/>
        <w:rPr>
          <w:rFonts w:ascii="Times New Roman" w:eastAsia="Times New Roman" w:hAnsi="Times New Roman" w:cs="Times New Roman"/>
          <w:sz w:val="24"/>
          <w:szCs w:val="24"/>
          <w:lang w:eastAsia="en-IN"/>
        </w:rPr>
      </w:pPr>
      <w:bookmarkStart w:id="2" w:name="_Hlk99979298"/>
      <w:bookmarkEnd w:id="1"/>
      <w:r w:rsidRPr="003F7121">
        <w:rPr>
          <w:rFonts w:ascii="Times New Roman" w:eastAsia="Times New Roman" w:hAnsi="Times New Roman" w:cs="Times New Roman"/>
          <w:sz w:val="24"/>
          <w:szCs w:val="24"/>
          <w:lang w:eastAsia="en-IN"/>
        </w:rPr>
        <w:t xml:space="preserve">The term “Probiotics” was derived from the Greek word for life </w:t>
      </w:r>
      <w:r w:rsidRPr="003F7121">
        <w:rPr>
          <w:rFonts w:ascii="Times New Roman" w:eastAsia="Times New Roman" w:hAnsi="Times New Roman" w:cs="Times New Roman"/>
          <w:sz w:val="24"/>
          <w:szCs w:val="24"/>
          <w:lang w:eastAsia="en-IN"/>
        </w:rPr>
        <w:fldChar w:fldCharType="begin" w:fldLock="1"/>
      </w:r>
      <w:r w:rsidRPr="003F7121">
        <w:rPr>
          <w:rFonts w:ascii="Times New Roman" w:eastAsia="Times New Roman" w:hAnsi="Times New Roman" w:cs="Times New Roman"/>
          <w:sz w:val="24"/>
          <w:szCs w:val="24"/>
          <w:lang w:eastAsia="en-IN"/>
        </w:rPr>
        <w:instrText>ADDIN CSL_CITATION {"citationItems":[{"id":"ITEM-1","itemData":{"DOI":"10.1016/s0924-8579(99)00050-3","ISSN":"0924-8579 (Print)","PMID":"10493604","abstract":"There is evidence that the oral consumption of micro-organisms produces a protective  effect on the gut flora. A significant number of studies suggests that probiotics might have beneficial effects on several microbial disorders of the gut, but it is very difficult to define the clinical efficacy of such products. In this review, we report the results of studies on traveller's diarrhoea (TD), antibiotic associated diarrhoea (AAD) and acute diarrhoea (AD) in which various probiotic preparations have been used in controlled trials and been shown to have a beneficial therapeutic or prophylactic effect.","author":[{"dropping-particle":"","family":"Gismondo","given":"M R","non-dropping-particle":"","parse-names":false,"suffix":""},{"dropping-particle":"","family":"Drago","given":"L","non-dropping-particle":"","parse-names":false,"suffix":""},{"dropping-particle":"","family":"Lombardi","given":"A","non-dropping-particle":"","parse-names":false,"suffix":""}],"container-title":"International journal of antimicrobial agents","id":"ITEM-1","issue":"4","issued":{"date-parts":[["1999","8"]]},"language":"eng","page":"287-292","publisher-place":"Netherlands","title":"Review of probiotics available to modify gastrointestinal flora.","type":"article-journal","volume":"12"},"uris":["http://www.mendeley.com/documents/?uuid=ddce8d4d-95de-421f-aa6e-e783a4de45c8"]}],"mendeley":{"formattedCitation":"[13]","plainTextFormattedCitation":"[13]","previouslyFormattedCitation":"[44]"},"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[13]</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Ellie Metchnikoff was the first researcher to propose the health benefits of probiotics, after observing the correlation between daily consumption of fermented food and health in Bulgarian populations. She explained that the microbiota present in fermented food plays a major role in maintaining a healthy gut environment. </w:t>
      </w:r>
      <w:bookmarkStart w:id="3" w:name="_Hlk114735819"/>
      <w:r w:rsidRPr="003F7121">
        <w:rPr>
          <w:rFonts w:ascii="Times New Roman" w:eastAsia="Times New Roman" w:hAnsi="Times New Roman" w:cs="Times New Roman"/>
          <w:sz w:val="24"/>
          <w:szCs w:val="24"/>
          <w:lang w:eastAsia="en-IN"/>
        </w:rPr>
        <w:t xml:space="preserve">Recently, researchers have proven the ability of probiotics to control cholesterol in the blood as well as shown the link of probiotics in reducing heart disease, cancer and diabetes </w:t>
      </w:r>
      <w:r w:rsidRPr="003F7121">
        <w:rPr>
          <w:rFonts w:ascii="Times New Roman" w:eastAsia="Times New Roman" w:hAnsi="Times New Roman" w:cs="Times New Roman"/>
          <w:sz w:val="24"/>
          <w:szCs w:val="24"/>
          <w:lang w:eastAsia="en-IN"/>
        </w:rPr>
        <w:fldChar w:fldCharType="begin" w:fldLock="1"/>
      </w:r>
      <w:r w:rsidRPr="003F7121">
        <w:rPr>
          <w:rFonts w:ascii="Times New Roman" w:eastAsia="Times New Roman" w:hAnsi="Times New Roman" w:cs="Times New Roman"/>
          <w:sz w:val="24"/>
          <w:szCs w:val="24"/>
          <w:lang w:eastAsia="en-IN"/>
        </w:rPr>
        <w:instrText>ADDIN CSL_CITATION {"citationItems":[{"id":"ITEM-1","itemData":{"DOI":"10.3390/ijms20092073","ISSN":"1422-0067","abstract":"A total of 85 strains of lactic acid bacteria were isolated from corn silage in this study and analyzed in vitro for their cholesterol removal, NPC1L1 protein down-regulation and bile salt deconjugation ability, respectively. Nineteen strains were selected for further analysis for their probiotic potential. Finally, 3 strains showing better probiotic potential were evaluated for their cholesterol-lowering activity in hamsters. The strains showing the greater cholesterol removal and NPC1L1 protein down-regulation activity had no significant effects on serum and hepatic cholesterol levels in hamsters (p &gt; 0.05). However, Lactobacillus plantarum CAAS 18008 (1 × 10(9) CFU/d) showing the greater bile salt deconjugation ability significantly reduced serum low-density lipoprotein cholesterol, total cholesterol, and hepatic total cholesterol levels by 28.8%, 21.7%, and 30.9%, respectively (p &lt; 0.05). The cholesterol-lowering mechanism was attributed to its bile salt hydrolase activity, which enhanced daily fecal bile acid excretion levels and thereby accelerated new bile acid synthesis from cholesterol in liver. This study demonstrated that the strains showing greater cholesterol removal and NPC1L1 protein down-regulation activity in vitro hardly reveal cholesterol-lowering activity in vivo, whereas the strains showing greater bile salt deconjugation ability in vitro has large potential to decrease serum cholesterol levels in vivo.","author":[{"dropping-particle":"","family":"Ma","given":"Changlu","non-dropping-particle":"","parse-names":false,"suffix":""},{"dropping-particle":"","family":"Zhang","given":"Shuwen","non-dropping-particle":"","parse-names":false,"suffix":""},{"dropping-particle":"","family":"Lu","given":"Jing","non-dropping-particle":"","parse-names":false,"suffix":""},{"dropping-particle":"","family":"Zhang","given":"Cai","non-dropping-particle":"","parse-names":false,"suffix":""},{"dropping-particle":"","family":"Pang","given":"Xiaoyang","non-dropping-particle":"","parse-names":false,"suffix":""},{"dropping-particle":"","family":"Lv","given":"Jiaping","non-dropping-particle":"","parse-names":false,"suffix":""}],"container-title":"International journal of molecular sciences","id":"ITEM-1","issue":"9","issued":{"date-parts":[["2019","4","26"]]},"language":"eng","page":"2073","publisher":"MDPI","title":"Screening for Cholesterol-Lowering Probiotics from Lactic Acid Bacteria Isolated from Corn Silage Based on Three Hypothesized Pathways","type":"article-journal","volume":"20"},"uris":["http://www.mendeley.com/documents/?uuid=b74c1c50-e5e4-4b01-a448-8703e3fe3cfa"]}],"mendeley":{"formattedCitation":"[14]","plainTextFormattedCitation":"[14]","previouslyFormattedCitation":"[301]"},"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[14]</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There is a proven link between the types of microflora present in the gut and the onset of disease. Evidence accumulated in the last decade clearly emphasizes probiotic intervention's importance for good microbiome health and clinical applications </w:t>
      </w:r>
      <w:r w:rsidRPr="003F7121">
        <w:rPr>
          <w:rFonts w:ascii="Times New Roman" w:eastAsia="Times New Roman" w:hAnsi="Times New Roman" w:cs="Times New Roman"/>
          <w:sz w:val="24"/>
          <w:szCs w:val="24"/>
          <w:lang w:eastAsia="en-IN"/>
        </w:rPr>
        <w:fldChar w:fldCharType="begin" w:fldLock="1"/>
      </w:r>
      <w:r w:rsidRPr="003F7121">
        <w:rPr>
          <w:rFonts w:ascii="Times New Roman" w:eastAsia="Times New Roman" w:hAnsi="Times New Roman" w:cs="Times New Roman"/>
          <w:sz w:val="24"/>
          <w:szCs w:val="24"/>
          <w:lang w:eastAsia="en-IN"/>
        </w:rPr>
        <w:instrText>ADDIN CSL_CITATION {"citationItems":[{"id":"ITEM-1","itemData":{"DOI":"10.1038/s41575-019-0173-3","ISSN":"17595053","abstract":"Probiotics and prebiotics are microbiota-management tools for improving host health. They target gastrointestinal effects via the gut, although direct application to other sites such as the oral cavity, vaginal tract and skin is being explored. Here, we describe gut-derived effects in humans. In the past decade, research on the gut microbiome has rapidly accumulated and has been accompanied by increased interest in probiotics and prebiotics as a means to modulate the gut microbiota. Given the importance of these approaches for public health, it is timely to reiterate factual and supporting information on their clinical application and use. In this Review, we discuss scientific evidence on probiotics and prebiotics, including mechanistic insights into health effects. Strains of Lactobacillus, Bifidobacterium and Saccharomyces have a long history of safe and effective use as probiotics, but Roseburia spp., Akkermansia spp., Propionibacterium spp. and Faecalibacterium spp. show promise for the future. For prebiotics, glucans and fructans are well proven, and evidence is building on the prebiotic effects of other substances (for example, oligomers of mannose, glucose, xylose, pectin, starches, human milk and polyphenols).","author":[{"dropping-particle":"","family":"Sanders","given":"Mary Ellen","non-dropping-particle":"","parse-names":false,"suffix":""},{"dropping-particle":"","family":"Merenstein","given":"Daniel J.","non-dropping-particle":"","parse-names":false,"suffix":""},{"dropping-particle":"","family":"Reid","given":"Gregor","non-dropping-particle":"","parse-names":false,"suffix":""},{"dropping-particle":"","family":"Gibson","given":"Glenn R.","non-dropping-particle":"","parse-names":false,"suffix":""},{"dropping-particle":"","family":"Rastall","given":"Robert A.","non-dropping-particle":"","parse-names":false,"suffix":""}],"container-title":"Nature Reviews Gastroenterology and Hepatology","id":"ITEM-1","issue":"10","issued":{"date-parts":[["2019"]]},"page":"605-616","publisher":"Springer US","title":"Probiotics and prebiotics in intestinal health and disease: from biology to the clinic","type":"article-journal","volume":"16"},"uris":["http://www.mendeley.com/documents/?uuid=658bc7ec-3169-4964-af3b-ead90e324086"]}],"mendeley":{"formattedCitation":"[15]","plainTextFormattedCitation":"[15]","previouslyFormattedCitation":"[302]"},"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[15]</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w:t>
      </w:r>
      <w:bookmarkEnd w:id="3"/>
    </w:p>
    <w:p w14:paraId="33EA445C" w14:textId="77777777" w:rsidR="005914AF" w:rsidRPr="003F7121" w:rsidRDefault="005914AF" w:rsidP="005914AF">
      <w:pPr>
        <w:spacing w:line="360" w:lineRule="auto"/>
        <w:jc w:val="both"/>
        <w:rPr>
          <w:rFonts w:ascii="Times New Roman" w:eastAsia="Times New Roman" w:hAnsi="Times New Roman" w:cs="Times New Roman"/>
          <w:sz w:val="24"/>
          <w:szCs w:val="24"/>
          <w:lang w:eastAsia="en-IN"/>
        </w:rPr>
      </w:pPr>
      <w:bookmarkStart w:id="4" w:name="_Hlk99979382"/>
      <w:bookmarkEnd w:id="2"/>
      <w:r w:rsidRPr="003F7121">
        <w:rPr>
          <w:rFonts w:ascii="Times New Roman" w:eastAsia="Times New Roman" w:hAnsi="Times New Roman" w:cs="Times New Roman"/>
          <w:b/>
          <w:bCs/>
          <w:sz w:val="24"/>
          <w:szCs w:val="24"/>
          <w:lang w:eastAsia="en-IN"/>
        </w:rPr>
        <w:t>Disease-specific microbiome and the role of nanotechnology</w:t>
      </w:r>
    </w:p>
    <w:p w14:paraId="3D4D4C9F" w14:textId="033C272E"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t xml:space="preserve">Recent advances have been made in the understanding of probiotics and their beneficial and appropriate uses as therapeutic agents. It can be disease-specific probiotics which are stated by reported studies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{"citationItems":[{"id":"ITEM-1","itemData":{"DOI":"10.1097/MIB.0000000000000084","ISSN":"1536-4844 (Electronic)","PMID":"24918321","abstract":"BACKGROUND: VSL#3 is a probiotic mix preparation reported to be effective in the  treatment of mild to moderately active ulcerative colitis. We aimed to perform a systematic review of the literature and a meta-analysis of studies on its efficacy. METHODS: The searched databases included PubMed, Scopus, and ScienceDirect. The Mantel-Haenszel method was used to pool the effect- ize across studies, and the odds ratios (ORs) and 95% confidence intervals (CIs) of experiencing a specific outcome were calculated. RESULTS: Five studies with 441 patients were identified. The pooled remission rate was 49.4% (95% CI, 42.7-56.1). Only 3 low risk of bias studies with 319 patients met the inclusion criteria for further analysis. A total of 162 patients received 3.6 × 10 CFU/d VSL#3, and 157 patients received placebo. A total of 95% of patients received concomitant therapies with 5-ASA and/or immunomodulators. The Ulcerative Colitis Disease Activity Index was used to define response and remission. A &gt;50% decrease in the Ulcerative Colitis Disease Activity Index was achieved in 44.6% of the VSL#3-treated patients versus 25.1% of the patients given placebo (P = 0008; OR, 2.793; 95% CI, 1.375-5.676; number needed to treat = 4-5). The response rate was 53.4% in VSL#3-treated patients versus 29.3% in patients given placebo (P &lt; 0001; OR, 3.03; 95% CI, 1.89-4.83; number needed to treat = 3-4). The remission rate was 43.8% in VSL#3-treated patients versus 24.8% in patients given placebo (P = 0007; OR, 2.4; 95% CI, 1.48-3.88; number needed to treat = 4-5). No serious side effects were reported. CONCLUSIONS: VSL#3, when added to conventional therapy at a daily dose of 3.6 × 10 CFU/d, is safe and more effective than conventional therapy alone in achieving higher response and remission rates in mild to moderately active ulcerative colitis.","author":[{"dropping-particle":"","family":"Mardini","given":"Houssam E","non-dropping-particle":"","parse-names":false,"suffix":""},{"dropping-particle":"","family":"Grigorian","given":"Alla Y","non-dropping-particle":"","parse-names":false,"suffix":""}],"container-title":"Inflammatory bowel diseases","id":"ITEM-1","issue":"9","issued":{"date-parts":[["2014","9"]]},"language":"eng","page":"1562-1567","publisher-place":"England","title":"Probiotic mix VSL#3 is effective adjunctive therapy for mild to moderately active  ulcerative colitis: a meta-analysis.","type":"article-journal","volume":"20"},"uris":["http://www.mendeley.com/documents/?uuid=55dc2ad0-9ed2-4a72-8f92-c31208de8b9a"]}],"mendeley":{"formattedCitation":"[16]","plainTextFormattedCitation":"[16]","previouslyFormattedCitation":"[207]"},"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[16]</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Change in the gut microbiome may be the </w:t>
      </w:r>
      <w:proofErr w:type="spellStart"/>
      <w:r w:rsidRPr="003F7121">
        <w:rPr>
          <w:rFonts w:ascii="Times New Roman" w:eastAsia="Times New Roman" w:hAnsi="Times New Roman" w:cs="Times New Roman"/>
          <w:spacing w:val="-1"/>
          <w:sz w:val="24"/>
          <w:szCs w:val="24"/>
          <w:lang w:val="en-US"/>
        </w:rPr>
        <w:t>centre</w:t>
      </w:r>
      <w:proofErr w:type="spellEnd"/>
      <w:r w:rsidRPr="003F7121">
        <w:rPr>
          <w:rFonts w:ascii="Times New Roman" w:eastAsia="Times New Roman" w:hAnsi="Times New Roman" w:cs="Times New Roman"/>
          <w:spacing w:val="-1"/>
          <w:sz w:val="24"/>
          <w:szCs w:val="24"/>
          <w:lang w:val="en-US"/>
        </w:rPr>
        <w:t xml:space="preserve"> point that can be responsible for various clinical conditions and maintaining the normal flora of the gut may be the best therapy to overcome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{"citationItems":[{"id":"ITEM-1","itemData":{"DOI":"10.1038/s41467-017-01973-8","ISSN":"20411723","abstract":"Hundreds of clinical studies have demonstrated associations between the human microbiome and disease, yet fundamental questions remain on how we can generalize this knowledge. Results from individual studies can be inconsistent, and comparing published data is further complicated by a lack of standard processing and analysis methods. Here we introduce the MicrobiomeHD database, which includes 28 published case-control gut microbiome studies spanning ten diseases. We perform a cross-disease meta-analysis of these studies using standardized methods. We find consistent patterns characterizing disease-associated microbiome changes. Some diseases are associated with over 50 genera, while most show only 10-15 genus-level changes. Some diseases are marked by the presence of potentially pathogenic microbes, whereas others are characterized by a depletion of health-associated bacteria. Furthermore, we show that about half of genera associated with individual studies are bacteria that respond to more than one disease. Thus, many associations found in case-control studies are likely not disease-specific but rather part of a non-specific, shared response to health and disease.","author":[{"dropping-particle":"","family":"Duvallet","given":"Claire","non-dropping-particle":"","parse-names":false,"suffix":""},{"dropping-particle":"","family":"Gibbons","given":"Sean M.","non-dropping-particle":"","parse-names":false,"suffix":""},{"dropping-particle":"","family":"Gurry","given":"Thomas","non-dropping-particle":"","parse-names":false,"suffix":""},{"dropping-particle":"","family":"Irizarry","given":"Rafael A.","non-dropping-particle":"","parse-names":false,"suffix":""},{"dropping-particle":"","family":"Alm","given":"Eric J.","non-dropping-particle":"","parse-names":false,"suffix":""}],"container-title":"Nature Communications","id":"ITEM-1","issue":"1","issued":{"date-parts":[["2017"]]},"title":"Meta-analysis of gut microbiome studies identifies disease-specific and shared responses","type":"article-journal","volume":"8"},"uris":["http://www.mendeley.com/documents/?uuid=834a9dde-8d1f-4297-9011-6d4f049d75da"]}],"mendeley":{"formattedCitation":"[17]","plainTextFormattedCitation":"[17]","previouslyFormattedCitation":"[197]"},"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[17]</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Hundreds of studies are carried out on the association of the human microbiome and diseases and reported study states that the consistent pattern of the microbiome was found in specific diseases and can vary from disease to disease, some of the diseases associated with over 50 genera and some are 10-15 genus-level change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{"citationItems":[{"id":"ITEM-1","itemData":{"DOI":"10.1002/hep.26093","ISSN":"1527-3350 (Electronic)","PMID":"23055155","abstract":"Nonalcoholic steatohepatitis (NASH) is a serious liver disease associated with  obesity. Characterized by metabolic syndrome, hepatic steatosis, and liver inflammation, NASH is believed to be under the influence of the gut microflora. Here, the composition of gut bacterial communities of NASH, obese, and healthy children was determined by 16S ribosomal RNA pyrosequencing. In addition, peripheral blood ethanol was analyzed to monitor endogenous ethanol production of patients and healthy controls. UniFrac-based principle coordinates analysis indicated that most of the microbiome samples clustered by disease status. Each group was associated with a unique pattern of enterotypes. Differences were abundant at phylum, family, and genus levels between healthy subjects and obese patients (with or without NASH), and relatively fewer differences were observed between obese and the NASH microbiomes. Among those taxa with greater than 1% representation in any of the disease groups, Proteobacteria, Enterobacteriaceae, and Escherichia were the only phylum, family and genus types exhibiting significant difference between obese and NASH microbiomes. Similar blood-ethanol concentrations were observed between healthy subjects and obese non-NASH patients, but NASH patients exhibited significantly elevated blood ethanol levels. CONCLUSIONS: The increased abundance of alcohol-producing bacteria in NASH microbiomes, elevated blood-ethanol concentration in NASH patients, and the well-established role of alcohol metabolism in oxidative stress and, consequently, liver inflammation suggest a role for alcohol-producing microbiota in the pathogenesis of NASH. We postulate that the distinct composition of the gut microbiome among NASH, obese, and healthy controls could offer a target for intervention or a marker for disease.","author":[{"dropping-particle":"","family":"Zhu","given":"Lixin","non-dropping-particle":"","parse-names":false,"suffix":""},{"dropping-particle":"","family":"Baker","given":"Susan S","non-dropping-particle":"","parse-names":false,"suffix":""},{"dropping-particle":"","family":"Gill","given":"Chelsea","non-dropping-particle":"","parse-names":false,"suffix":""},{"dropping-particle":"","family":"Liu","given":"Wensheng","non-dropping-particle":"","parse-names":false,"suffix":""},{"dropping-particle":"","family":"Alkhouri","given":"Razan","non-dropping-particle":"","parse-names":false,"suffix":""},{"dropping-particle":"","family":"Baker","given":"Robert D","non-dropping-particle":"","parse-names":false,"suffix":""},{"dropping-particle":"","family":"Gill","given":"Steven R","non-dropping-particle":"","parse-names":false,"suffix":""}],"container-title":"Hepatology (Baltimore, Md.)","id":"ITEM-1","issue":"2","issued":{"date-parts":[["2013","2"]]},"language":"eng","page":"601-609","publisher-place":"United States","title":"Characterization of gut microbiomes in nonalcoholic steatohepatitis (NASH) patients:  a connection between endogenous alcohol and NASH.","type":"article-journal","volume":"57"},"uris":["http://www.mendeley.com/documents/?uuid=c026c715-88c4-475e-8e7c-8324f4d3c38e"]}],"mendeley":{"formattedCitation":"[18]","plainTextFormattedCitation":"[18]","previouslyFormattedCitation":"[198]"},"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[18]</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w:t>
      </w:r>
    </w:p>
    <w:p w14:paraId="59814960" w14:textId="77777777"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lastRenderedPageBreak/>
        <w:t xml:space="preserve">According to WHO there are 35% of adults aged more than 20 and 400 million people were obese in 2008 and till 2015 it reaches 700 million found be obese research states that these changes are because by changes in eating habits, intake of abundant food and decrease in expenditure energy and because of high-fat sugar, and low </w:t>
      </w:r>
      <w:proofErr w:type="spellStart"/>
      <w:r w:rsidRPr="003F7121">
        <w:rPr>
          <w:rFonts w:ascii="Times New Roman" w:eastAsia="Times New Roman" w:hAnsi="Times New Roman" w:cs="Times New Roman"/>
          <w:spacing w:val="-1"/>
          <w:sz w:val="24"/>
          <w:szCs w:val="24"/>
          <w:lang w:val="en-US"/>
        </w:rPr>
        <w:t>fibre</w:t>
      </w:r>
      <w:proofErr w:type="spellEnd"/>
      <w:r w:rsidRPr="003F7121">
        <w:rPr>
          <w:rFonts w:ascii="Times New Roman" w:eastAsia="Times New Roman" w:hAnsi="Times New Roman" w:cs="Times New Roman"/>
          <w:spacing w:val="-1"/>
          <w:sz w:val="24"/>
          <w:szCs w:val="24"/>
          <w:lang w:val="en-US"/>
        </w:rPr>
        <w:t xml:space="preserve"> playing a key role in chronic diseases and metabolic syndrome such as obesity, diabetes, cardiovascular etc.</w:t>
      </w:r>
    </w:p>
    <w:p w14:paraId="4FE8CB01" w14:textId="65EDC8AB"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t xml:space="preserve">In a recent study, we come to know microbial ecosystems in obese and lean people are different, when obese lost weight then microflora revert back was observed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{"citationItems":[{"id":"ITEM-1","itemData":{"DOI":"10.1186/1476-511X-10-116","ISSN":"1476-511X","abstract":"Recent studies have reported the preventive effects of probiotics on obesity. Among commensal bacteria, bifidobacteria is one of the most numerous probiotics in the mammalian gut and are a type of lactic acid bacteria. The aim of this study was to assess the antiobesity and lipid-lowering effects of Bifidobacterium spp. isolated from healthy Korean on high fat diet-induced obese rats.","author":[{"dropping-particle":"","family":"An","given":"Hyang Mi","non-dropping-particle":"","parse-names":false,"suffix":""},{"dropping-particle":"","family":"Park","given":"Shin Young","non-dropping-particle":"","parse-names":false,"suffix":""},{"dropping-particle":"","family":"Lee","given":"Do Kyung","non-dropping-particle":"","parse-names":false,"suffix":""},{"dropping-particle":"","family":"Kim","given":"Jung Rae","non-dropping-particle":"","parse-names":false,"suffix":""},{"dropping-particle":"","family":"Cha","given":"Min Kyeong","non-dropping-particle":"","parse-names":false,"suffix":""},{"dropping-particle":"","family":"Lee","given":"Si Won","non-dropping-particle":"","parse-names":false,"suffix":""},{"dropping-particle":"","family":"Lim","given":"Hyung Taeck","non-dropping-particle":"","parse-names":false,"suffix":""},{"dropping-particle":"","family":"Kim","given":"Kyung Jae","non-dropping-particle":"","parse-names":false,"suffix":""},{"dropping-particle":"","family":"Ha","given":"Nam Joo","non-dropping-particle":"","parse-names":false,"suffix":""}],"container-title":"Lipids in Health and Disease","id":"ITEM-1","issue":"1","issued":{"date-parts":[["2011"]]},"page":"116","title":"Antiobesity and lipid-lowering effects of Bifidobacterium spp. in high fat diet-induced obese rats","type":"article-journal","volume":"10"},"uris":["http://www.mendeley.com/documents/?uuid=dc1b5283-3670-4e60-9b64-b32ab92ae021"]}],"mendeley":{"formattedCitation":"[19]","plainTextFormattedCitation":"[19]","previouslyFormattedCitation":"[187]"},"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[19]</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Data also suggests that probiotics can modulate the markers of metabolic stress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{"citationItems":[{"id":"ITEM-1","itemData":{"DOI":"10.3945/ajcn.2009.28095","ISSN":"1938-3207 (Electronic)","PMID":"19776140","abstract":"BACKGROUND: We have previously shown that gut microbial fermentation of prebiotics  promotes satiety and lowers hunger and energy intake in humans. In rodents, these effects are associated with an increase in plasma gut peptide concentrations, which are involved in appetite regulation and glucose homeostasis. OBJECTIVE: Our aim was to examine the effects of prebiotic supplementation on satiety and related hormones during a test meal for human volunteers by using a noninvasive micromethod for blood sampling to measure plasma gut peptide concentrations. DESIGN: This study was a randomized, double-blind, parallel, placebo-controlled trial. A total of 10 healthy adults (5 men and 5 women) were randomly assigned to groups that received either 16 g prebiotics/d or 16 g dextrin maltose/d for 2 wk. Meal tolerance tests were performed in the morning to measure the following: hydrogen breath test, satiety, glucose homeostasis, and related hormone response. RESULTS: We show that the prebiotic treatment increased breath-hydrogen excretion (a marker of gut microbiota fermentation) by approximately 3-fold and lowered hunger rates. Prebiotics increased plasma glucagon-like peptide 1 and peptide YY concentrations, whereas postprandial plasma glucose responses decreased after the standardized meal. The areas under the curve for plasma glucagon-like peptide 1 and breath-hydrogen excretion measured after the meal (0-60 min) were significantly correlated (r = 0.85, P = 0.007). The glucose response was inversely correlated with the breath-hydrogen excretion areas under the curve (0-180 min; r = -0.73, P = 0.02). CONCLUSION: Prebiotic supplementation was associated with an increase in plasma gut peptide concentrations (glucagon-like peptide 1 and peptide YY), which may contribute in part to changes in appetite sensation and glucose excursion responses after a meal in healthy subjects.","author":[{"dropping-particle":"","family":"Cani","given":"Patrice D","non-dropping-particle":"","parse-names":false,"suffix":""},{"dropping-particle":"","family":"Lecourt","given":"Elodie","non-dropping-particle":"","parse-names":false,"suffix":""},{"dropping-particle":"","family":"Dewulf","given":"Evelyne M","non-dropping-particle":"","parse-names":false,"suffix":""},{"dropping-particle":"","family":"Sohet","given":"Florence M","non-dropping-particle":"","parse-names":false,"suffix":""},{"dropping-particle":"","family":"Pachikian","given":"Barbara D","non-dropping-particle":"","parse-names":false,"suffix":""},{"dropping-particle":"","family":"Naslain","given":"Damien","non-dropping-particle":"","parse-names":false,"suffix":""},{"dropping-particle":"","family":"Backer","given":"Fabienne","non-dropping-particle":"De","parse-names":false,"suffix":""},{"dropping-particle":"","family":"Neyrinck","given":"Audrey M","non-dropping-particle":"","parse-names":false,"suffix":""},{"dropping-particle":"","family":"Delzenne","given":"Nathalie M","non-dropping-particle":"","parse-names":false,"suffix":""}],"container-title":"The American journal of clinical nutrition","id":"ITEM-1","issue":"5","issued":{"date-parts":[["2009","11"]]},"language":"eng","page":"1236-1243","publisher-place":"United States","title":"Gut microbiota fermentation of prebiotics increases satietogenic and incretin gut  peptide production with consequences for appetite sensation and glucose response after a meal.","type":"article-journal","volume":"90"},"uris":["http://www.mendeley.com/documents/?uuid=f8ba605b-19be-4c79-af90-63e625a02a0c"]}],"mendeley":{"formattedCitation":"[20]","plainTextFormattedCitation":"[20]","previouslyFormattedCitation":"[188]"},"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[20]</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and also help to decrease adiposity, fatty liver and glucose levels in different mice models. Manipulation of the microbial environment composition in the gut may be a novel method for the treatment of obesity. </w:t>
      </w:r>
      <w:bookmarkStart w:id="5" w:name="_Hlk114735913"/>
      <w:r w:rsidRPr="003F7121">
        <w:rPr>
          <w:rFonts w:ascii="Times New Roman" w:eastAsia="Times New Roman" w:hAnsi="Times New Roman" w:cs="Times New Roman"/>
          <w:spacing w:val="-1"/>
          <w:sz w:val="24"/>
          <w:szCs w:val="24"/>
          <w:lang w:val="en-US"/>
        </w:rPr>
        <w:t xml:space="preserve">The gut microbiome plays important role in increasing body weight and insulin resistance which can be associated with increased energy harvest, increased blood LPS level and low-grade inflammation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{"citationItems":[{"id":"ITEM-1","itemData":{"DOI":"10.1371/journal.pone.0013087","ISSN":"1932-6203 (Electronic)","PMID":"20927337","abstract":"BACKGROUND: Intervention strategies for obesity are global issues that require  immediate attention. One approach is to exploit the growing consensus that beneficial gut microbiota could be of use in intervention regimes. Our objective was to determine the mechanism by which the probiotic bacteria Lactobacillus paracasei ssp paracasei F19 (F19) could alter fat storage. Angiopoietin-like 4 (ANGPTL4) is a circulating lipoprotein lipase (LPL) inhibitor that controls triglyceride deposition into adipocytes and has been reported to be regulated by gut microbes. METHODOLOGY/PRINCIPAL FINDINGS: A diet intervention study of mice fed high-fat chow supplemented with F19 was carried out to study potential mechanistic effects on fat storage. Mice given F19 displayed significantly less body fat, as assessed by magnetic resonance imaging, and a changed lipoprotein profile. Given that previous studies on fat storage have identified ANGPTL4 as an effector, we also investigated circulating levels of ANGPTL4, which proved to be higher in the F19-treated group. This increase, together with total body fat and triglyceride levels told a story of inhibited LPL action through ANGPTL4 leading to decreased fat storage. Co-culture experiments of colonic cell lines and F19 were set up in order to monitor any ensuing alterations in ANGPTL4 expression by qPCR. We observed that potentially secreted factors from F19 can induce ANGPTL4 gene expression, acting in part through the peroxisome proliferator activated receptors alpha and gamma. To prove validity of in vitro findings, germ-free mice were monocolonized with F19. Here we again found changes in serum triglycerides as well as ANGPTL4 in response to F19. CONCLUSIONS/SIGNIFICANCE: Our results provide an interesting mechanism whereby modifying ANGPTL4, a central player in fat storage regulation, through manipulating gut flora could be an important gateway upon which intervention trials of weight management can be based.","author":[{"dropping-particle":"","family":"Aronsson","given":"Linda","non-dropping-particle":"","parse-names":false,"suffix":""},{"dropping-particle":"","family":"Huang","given":"Ying","non-dropping-particle":"","parse-names":false,"suffix":""},{"dropping-particle":"","family":"Parini","given":"Paolo","non-dropping-particle":"","parse-names":false,"suffix":""},{"dropping-particle":"","family":"Korach-André","given":"Marion","non-dropping-particle":"","parse-names":false,"suffix":""},{"dropping-particle":"","family":"Håkansson","given":"Janet","non-dropping-particle":"","parse-names":false,"suffix":""},{"dropping-particle":"","family":"Gustafsson","given":"Jan-Åke","non-dropping-particle":"","parse-names":false,"suffix":""},{"dropping-particle":"","family":"Pettersson","given":"Sven","non-dropping-particle":"","parse-names":false,"suffix":""},{"dropping-particle":"","family":"Arulampalam","given":"Velmurugesan","non-dropping-particle":"","parse-names":false,"suffix":""},{"dropping-particle":"","family":"Rafter","given":"Joseph","non-dropping-particle":"","parse-names":false,"suffix":""}],"container-title":"PloS one","id":"ITEM-1","issue":"9","issued":{"date-parts":[["2010","9"]]},"language":"eng","title":"Decreased fat storage by Lactobacillus paracasei is associated with increased levels  of angiopoietin-like 4 protein (ANGPTL4).","type":"article-journal","volume":"5"},"uris":["http://www.mendeley.com/documents/?uuid=4f5c8901-4870-416b-ab64-857f05d5f859"]}],"mendeley":{"formattedCitation":"[21]","plainTextFormattedCitation":"[21]","previouslyFormattedCitation":"[193]"},"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[21]</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w:t>
      </w:r>
      <w:bookmarkEnd w:id="5"/>
    </w:p>
    <w:p w14:paraId="30C0CB1E" w14:textId="751BFF2C"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bookmarkStart w:id="6" w:name="_Hlk114735945"/>
      <w:r w:rsidRPr="003F7121">
        <w:rPr>
          <w:rFonts w:ascii="Times New Roman" w:eastAsia="Times New Roman" w:hAnsi="Times New Roman" w:cs="Times New Roman"/>
          <w:spacing w:val="-1"/>
          <w:sz w:val="24"/>
          <w:szCs w:val="24"/>
          <w:lang w:val="en-US"/>
        </w:rPr>
        <w:t>Modulation of gut microflora can be a potential target to treat obesity and diabetes, </w:t>
      </w:r>
      <w:r w:rsidRPr="003F7121">
        <w:rPr>
          <w:rFonts w:ascii="Times New Roman" w:eastAsia="Times New Roman" w:hAnsi="Times New Roman" w:cs="Times New Roman"/>
          <w:i/>
          <w:iCs/>
          <w:spacing w:val="-1"/>
          <w:sz w:val="24"/>
          <w:szCs w:val="24"/>
          <w:lang w:val="en-US"/>
        </w:rPr>
        <w:t>Bifidobacterium</w:t>
      </w:r>
      <w:r w:rsidRPr="003F7121">
        <w:rPr>
          <w:rFonts w:ascii="Times New Roman" w:eastAsia="Times New Roman" w:hAnsi="Times New Roman" w:cs="Times New Roman"/>
          <w:spacing w:val="-1"/>
          <w:sz w:val="24"/>
          <w:szCs w:val="24"/>
          <w:lang w:val="en-US"/>
        </w:rPr>
        <w:t> and </w:t>
      </w:r>
      <w:r w:rsidRPr="003F7121">
        <w:rPr>
          <w:rFonts w:ascii="Times New Roman" w:eastAsia="Times New Roman" w:hAnsi="Times New Roman" w:cs="Times New Roman"/>
          <w:i/>
          <w:iCs/>
          <w:spacing w:val="-1"/>
          <w:sz w:val="24"/>
          <w:szCs w:val="24"/>
          <w:lang w:val="en-US"/>
        </w:rPr>
        <w:t>Lactobacillus</w:t>
      </w:r>
      <w:r w:rsidRPr="003F7121">
        <w:rPr>
          <w:rFonts w:ascii="Times New Roman" w:eastAsia="Times New Roman" w:hAnsi="Times New Roman" w:cs="Times New Roman"/>
          <w:spacing w:val="-1"/>
          <w:sz w:val="24"/>
          <w:szCs w:val="24"/>
          <w:lang w:val="en-US"/>
        </w:rPr>
        <w:t> showed beneficial effects on obesity and diabetes. </w:t>
      </w:r>
      <w:r w:rsidRPr="003F7121">
        <w:rPr>
          <w:rFonts w:ascii="Times New Roman" w:eastAsia="Times New Roman" w:hAnsi="Times New Roman" w:cs="Times New Roman"/>
          <w:i/>
          <w:iCs/>
          <w:spacing w:val="-1"/>
          <w:sz w:val="24"/>
          <w:szCs w:val="24"/>
          <w:lang w:val="en-US"/>
        </w:rPr>
        <w:t>Lactobacillus acidophilus</w:t>
      </w:r>
      <w:r w:rsidRPr="003F7121">
        <w:rPr>
          <w:rFonts w:ascii="Times New Roman" w:eastAsia="Times New Roman" w:hAnsi="Times New Roman" w:cs="Times New Roman"/>
          <w:spacing w:val="-1"/>
          <w:sz w:val="24"/>
          <w:szCs w:val="24"/>
          <w:lang w:val="en-US"/>
        </w:rPr>
        <w:t xml:space="preserve"> reported a decrease in insulin resistance and inflammatory markers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{"citationItems":[{"id":"ITEM-1","itemData":{"DOI":"10.1371/journal.pone.0009085","ISSN":"1932-6203 (Electronic)","PMID":"20140211","abstract":"BACKGROUND: Recent evidence suggests that there is a link between metabolic diseases  and bacterial populations in the gut. The aim of this study was to assess the differences between the composition of the intestinal microbiota in humans with type 2 diabetes and non-diabetic persons as control. METHODS AND FINDINGS: The study included 36 male adults with a broad range of age and body-mass indices (BMIs), among which 18 subjects were diagnosed with diabetes type 2. The fecal bacterial composition was investigated by real-time quantitative PCR (qPCR) and in a subgroup of subjects (N = 20) by tag-encoded amplicon pyrosequencing of the V4 region of the 16S rRNA gene. The proportions of phylum Firmicutes and class Clostridia were significantly reduced in the diabetic group compared to the control group (P = 0.03). Furthermore, the ratios of Bacteroidetes to Firmicutes as well as the ratios of Bacteroides-Prevotella group to C. coccoides-E. rectale group correlated positively and significantly with plasma glucose concentration (P = 0.04) but not with BMIs. Similarly, class Betaproteobacteria was highly enriched in diabetic compared to non-diabetic persons (P = 0.02) and positively correlated with plasma glucose (P = 0.04). CONCLUSIONS: The results of this study indicate that type 2 diabetes in humans is associated with compositional changes in intestinal microbiota. The level of glucose tolerance should be considered when linking microbiota with metabolic diseases such as obesity and developing strategies to control metabolic diseases by modifying the gut microbiota.","author":[{"dropping-particle":"","family":"Larsen","given":"Nadja","non-dropping-particle":"","parse-names":false,"suffix":""},{"dropping-particle":"","family":"Vogensen","given":"Finn K","non-dropping-particle":"","parse-names":false,"suffix":""},{"dropping-particle":"","family":"Berg","given":"Frans W J","non-dropping-particle":"van den","parse-names":false,"suffix":""},{"dropping-particle":"","family":"Nielsen","given":"Dennis Sandris","non-dropping-particle":"","parse-names":false,"suffix":""},{"dropping-particle":"","family":"Andreasen","given":"Anne Sofie","non-dropping-particle":"","parse-names":false,"suffix":""},{"dropping-particle":"","family":"Pedersen","given":"Bente K","non-dropping-particle":"","parse-names":false,"suffix":""},{"dropping-particle":"","family":"Al-Soud","given":"Waleed Abu","non-dropping-particle":"","parse-names":false,"suffix":""},{"dropping-particle":"","family":"Sørensen","given":"Søren J","non-dropping-particle":"","parse-names":false,"suffix":""},{"dropping-particle":"","family":"Hansen","given":"Lars H","non-dropping-particle":"","parse-names":false,"suffix":""},{"dropping-particle":"","family":"Jakobsen","given":"Mogens","non-dropping-particle":"","parse-names":false,"suffix":""}],"container-title":"PloS one","id":"ITEM-1","issue":"2","issued":{"date-parts":[["2010","2"]]},"language":"eng","page":"e9085","title":"Gut microbiota in human adults with type 2 diabetes differs from non-diabetic  adults.","type":"article-journal","volume":"5"},"uris":["http://www.mendeley.com/documents/?uuid=b2be211b-0dde-4e2e-9916-68a6edd72efe"]}],"mendeley":{"formattedCitation":"[22]","plainTextFormattedCitation":"[22]","previouslyFormattedCitation":"[122]"},"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[22]</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The researcher found increased phyla Bacteroidetes as compared to Firmicutes in the diabetic condition which leads to decreased glucose tolerance which is a key problem of diabetes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{"citationItems":[{"id":"ITEM-1","itemData":{"DOI":"10.1016/j.nut.2006.09.002","ISSN":"0899-9007 (Print)","PMID":"17084593","abstract":"OBJECTIVE: We investigated the effect of low-fat (2.5%) dahi containing probiotic  Lactobacillus acidophilus and Lactobacillus casei on progression of high fructose-induced type 2 diabetes in rats. METHODS: Diabetes was induced in male albino Wistar rats by feeding 21% fructose in water. The body weight, food and water intakes, fasting blood glucose, glycosylated hemoglobin, oral glucose tolerance test, plasma insulin, liver glycogen content, and blood lipid profile were recorded. The oxidative status in terms of thiobarbituric acid-reactive substances and reduced glutathione contents in liver and pancreatic tissues were also measured. RESULTS: Values for blood glucose, glycosylated hemoglobin, glucose intolerance, plasma insulin, liver glycogen, plasma total cholesterol, triacylglycerol, low-density lipoprotein cholesterol, very low-density lipoprotein cholesterol, and blood free fatty acids were increased significantly after 8 wk of high fructose feeding; however, the dahi-supplemented diet restricted the elevation of these parameters in comparison with the high fructose-fed control group. In contrast, high-density lipoprotein cholesterol decreased slightly and was retained in the dahi-fed group. The dahi-fed group also exhibited lower values of thiobarbituric acid-reactive substances and higher values of reduced glutathione in liver and pancreatic tissues compared with the high fructose-fed control group. CONCLUSION: The probiotic dahi-supplemented diet significantly delayed the onset of glucose intolerance, hyperglycemia, hyperinsulinemia, dyslipidemia, and oxidative stress in high fructose-induced diabetic rats, indicating a lower risk of diabetes and its complications.","author":[{"dropping-particle":"","family":"Yadav","given":"Hariom","non-dropping-particle":"","parse-names":false,"suffix":""},{"dropping-particle":"","family":"Jain","given":"Shalini","non-dropping-particle":"","parse-names":false,"suffix":""},{"dropping-particle":"","family":"Sinha","given":"P R","non-dropping-particle":"","parse-names":false,"suffix":""}],"container-title":"Nutrition (Burbank, Los Angeles County, Calif.)","id":"ITEM-1","issue":"1","issued":{"date-parts":[["2007","1"]]},"language":"eng","page":"62-68","publisher-place":"United States","title":"Antidiabetic effect of probiotic dahi containing Lactobacillus acidophilus and  Lactobacillus casei in high fructose fed rats.","type":"article-journal","volume":"23"},"uris":["http://www.mendeley.com/documents/?uuid=5d585ecb-6fa6-43ed-8fe4-b80dc925c135"]}],"mendeley":{"formattedCitation":"[23]","plainTextFormattedCitation":"[23]","previouslyFormattedCitation":"[170]"},"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[23]</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Lowering blood glucose by decreasing insulin resistance would be a possible way and it also lowers the hypertensive condition which is closely related to diabetes, Bifidobacterium was reported for levering insulin resistance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{"citationItems":[{"id":"ITEM-1","itemData":{"DOI":"10.1016/j.cmet.2015.11.009","ISSN":"19327420","PMID":"26636494","abstract":"Prospects for using the gut microbiome for personalized medicine are substantial since the gut microbiome is known to modulate metabolism and varies substantially among individuals. Zeevi et al. (2015) demonstrate that the gut microbiota can be used to predict individualized blood glucose responses to particular foods, which differ between individuals.","author":[{"dropping-particle":"","family":"Vanamala","given":"Jairam K.P.","non-dropping-particle":"","parse-names":false,"suffix":""},{"dropping-particle":"","family":"Knight","given":"Rob","non-dropping-particle":"","parse-names":false,"suffix":""},{"dropping-particle":"","family":"Spector","given":"Timothy D.","non-dropping-particle":"","parse-names":false,"suffix":""}],"container-title":"Cell Metabolism","id":"ITEM-1","issue":"6","issued":{"date-parts":[["2015"]]},"page":"960-961","publisher":"Elsevier Inc.","title":"Can Your Microbiome Tell You What to Eat?","type":"article-journal","volume":"22"},"uris":["http://www.mendeley.com/documents/?uuid=85e5a6ee-7ce8-4af6-837d-4b6ab4934d11"]}],"mendeley":{"formattedCitation":"[24]","plainTextFormattedCitation":"[24]","previouslyFormattedCitation":"[195]"},"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[24]</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A recent study indicates that dietary polyphenols contribute to maintaining gut microbial health stimulation of a good microbiome which is very low in diabetic patients polyphenols may reduce postprandial glucose response by increasing gut microbial health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{"citationItems":[{"id":"ITEM-1","itemData":{"DOI":"10.1017/S0007114513000123","ISSN":"1475-2662 (Electronic)","PMID":"23507010","abstract":"In vitro experiments have shown that isolated human gut bacteria are able to  metabolise PUFA into conjugated PUFA like conjugated linoleic acids (CLA). The hypothesis of the present paper was that high-fat (HF) diet feeding and supplementation with fermentable carbohydrates that have prebiotic properties modulate the in vivo production of CLA by the mouse gut microbiota. Mice were treated for 4 weeks as follows: control (CT) groups were fed a standard diet; HF groups were fed a HF diet rich in linoleic acid (18 : 2n-6); the third groups were fed with the HF diet supplemented with either inulin-type fructans (HF-ITF) or arabinoxylans (HF-Ax). HF diet feeding increased rumenic acid (cis-9,trans-11-18 : 2 CLA) content both in the caecal and liver tissues compared with the CT groups. ITF supplementation had no major effect compared with the HF diet whereas Ax supplementation increased further rumenic acid (cis-9,trans-11-18 : 2 CLA) in the caecal tissue. These differences between both prebiotics may be linked to the high fat-binding capacity of Ax that provides more substrates for bacterial metabolism and to differential modulation of the gut microbiota (specific increase in Roseburia spp. in HF-Ax v. HF). In conclusion, these experiments supply the proof of concept that the mouse gut microbiota produces CLA in vivo, with consequences on the level of CLA in the caecal and liver tissues. We postulate that the CLA-producing bacteria could be a mediator to consider in the metabolic effects of both HF diet feeding and prebiotic supplementation.","author":[{"dropping-particle":"","family":"Druart","given":"Céline","non-dropping-particle":"","parse-names":false,"suffix":""},{"dropping-particle":"","family":"Neyrinck","given":"Audrey M","non-dropping-particle":"","parse-names":false,"suffix":""},{"dropping-particle":"","family":"Dewulf","given":"Evelyne M","non-dropping-particle":"","parse-names":false,"suffix":""},{"dropping-particle":"","family":"Backer","given":"Fabienne C","non-dropping-particle":"De","parse-names":false,"suffix":""},{"dropping-particle":"","family":"Possemiers","given":"Sam","non-dropping-particle":"","parse-names":false,"suffix":""},{"dropping-particle":"","family":"Wiele","given":"Tom","non-dropping-particle":"Van de","parse-names":false,"suffix":""},{"dropping-particle":"","family":"Moens","given":"Frédéric","non-dropping-particle":"","parse-names":false,"suffix":""},{"dropping-particle":"","family":"Vuyst","given":"Luc","non-dropping-particle":"De","parse-names":false,"suffix":""},{"dropping-particle":"","family":"Cani","given":"Patrice D","non-dropping-particle":"","parse-names":false,"suffix":""},{"dropping-particle":"","family":"Larondelle","given":"Yvan","non-dropping-particle":"","parse-names":false,"suffix":""},{"dropping-particle":"","family":"Delzenne","given":"Nathalie M","non-dropping-particle":"","parse-names":false,"suffix":""}],"container-title":"The British journal of nutrition","id":"ITEM-1","issue":"6","issued":{"date-parts":[["2013","9"]]},"language":"eng","page":"998-1011","publisher-place":"England","title":"Implication of fermentable carbohydrates targeting the gut microbiota on conjugated  linoleic acid production in high-fat-fed mice.","type":"article-journal","volume":"110"},"uris":["http://www.mendeley.com/documents/?uuid=8854f7f3-8a42-4842-be39-92e251b68079"]}],"mendeley":{"formattedCitation":"[25]","plainTextFormattedCitation":"[25]","previouslyFormattedCitation":"[196]"},"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[25]</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w:t>
      </w:r>
    </w:p>
    <w:bookmarkEnd w:id="6"/>
    <w:p w14:paraId="6F3D0AFF" w14:textId="3FB81F68"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t xml:space="preserve">Changes in the gut microbiome depicted many diseases hypothesize associated with modulation of the specific microbial community in the specific disease condition, it includes metabolic disorders, inflammatory and autoimmune diseases, neurological conditions and cancer among others (Table. 1) but there is a lack of understanding precisely how microbial community and specific microbes with these community contribute to disease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{"citationItems":[{"id":"ITEM-1","itemData":{"DOI":"10.1016/s0022-3476(99)70053-3","ISSN":"0022-3476 (Print)","PMID":"10547243","abstract":"OBJECTIVE: The objective of this study was to determine the efficacy of  Lactobacillus casei sps. rhamnosus (Lactobacillus GG) (LGG) in reducing the incidence of antibiotic-associated diarrhea when coadministered with an oral antibiotic in children with acute infectious disorders. STUDY DESIGN: Two hundred two children between 6 months and 10 years of age were enrolled; 188 completed all phases of the protocol. LGG, 1 x 10(10) - 2 x 10(10) colony forming units per day, or comparable placebo was administered in a double-blind randomized trial to children receiving oral antibiotic therapy in an outpatient setting. The primary caregiver was questioned every 3 days regarding the incidence of gastrointestinal symptoms, predominantly stool frequency and consistency, through telephone contact by blinded investigators. RESULTS: Twenty-five placebo-treated but only 7 LGG-treated patients had diarrhea as defined by liquid stools numbering 2 or greater per day. Lactobacillus GG overall significantly reduced stool frequency and increased stool consistency during antibiotic therapy by the tenth day compared with the placebo group. CONCLUSION: Lactobacillus GG reduces the incidence of antibiotic-associated diarrhea in children treated with oral antibiotics for common childhood infections.","author":[{"dropping-particle":"","family":"Vanderhoof","given":"J A","non-dropping-particle":"","parse-names":false,"suffix":""},{"dropping-particle":"","family":"Whitney","given":"D B","non-dropping-particle":"","parse-names":false,"suffix":""},{"dropping-particle":"","family":"Antonson","given":"D L","non-dropping-particle":"","parse-names":false,"suffix":""},{"dropping-particle":"","family":"Hanner","given":"T L","non-dropping-particle":"","parse-names":false,"suffix":""},{"dropping-particle":"V","family":"Lupo","given":"J","non-dropping-particle":"","parse-names":false,"suffix":""},{"dropping-particle":"","family":"Young","given":"R J","non-dropping-particle":"","parse-names":false,"suffix":""}],"container-title":"The Journal of pediatrics","id":"ITEM-1","issue":"5","issued":{"date-parts":[["1999","11"]]},"language":"eng","page":"564-568","publisher-place":"United States","title":"Lactobacillus GG in the prevention of antibiotic-associated diarrhea in children.","type":"article-journal","volume":"135"},"uris":["http://www.mendeley.com/documents/?uuid=7d21d5a0-e242-4fff-af2f-18bcedeaf605"]}],"mendeley":{"formattedCitation":"[26]","plainTextFormattedCitation":"[26]","previouslyFormattedCitation":"[202]"},"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[26]</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There are clinical indications for certain probiotic strains such as probiotics for necrotizing enterocolitis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{"citationItems":[{"id":"ITEM-1","itemData":{"DOI":"10.1097/mpg.0b013e318182e716","ISSN":"1536-4801 (Electronic)","PMID":"19330931","abstract":"OBJECTIVE: To determine the effectiveness of Lactobacillus GG (LGG) in children with  Helicobacter pylori infection undergoing eradication therapy. MATERIALS AND METHODS: We conducted a double-blind, placebo-controlled, randomized trial comparing a 7-day, triple eradication regimen consisting of 2 antibiotics (amoxicillin tablets, 25 mg/kg twice per day, and clarithromycin tablets, 10 mg/kg twice per day) plus a proton pump inhibitor (omeprazole capsules, 0.5 mg/kg twice per day) supplemented with LGG (109 colony-forming units) or placebo in 83 children with H pylori infection confirmed by 2 of 3 tests (13C-urea breath test, histopathology, rapid urease test). The primary outcome measure was the H pylori eradication rate. The secondary outcome measure was the proportion of patients who experienced therapy-related adverse effects during anti-H pylori treatment. RESULTS: The groups did not differ with respect to H pylori eradication rates. Of the 34 children in the LGG group, 23 (69%) experienced eradication, compared with 22 of 32 children (68%) in the placebo group (RR 0.98, 95% CI 0.7-1.4). The groups did not differ with respect to adverse effects. CONCLUSIONS: In children with H pylori infection, supplementation of standard triple therapy with LGG did not significantly alter the eradication rate or side effects.","author":[{"dropping-particle":"","family":"Szajewska","given":"Hania","non-dropping-particle":"","parse-names":false,"suffix":""},{"dropping-particle":"","family":"Albrecht","given":"Piotr","non-dropping-particle":"","parse-names":false,"suffix":""},{"dropping-particle":"","family":"Topczewska-Cabanek","given":"Agnieszka","non-dropping-particle":"","parse-names":false,"suffix":""}],"container-title":"Journal of pediatric gastroenterology and nutrition","id":"ITEM-1","issue":"4","issued":{"date-parts":[["2009","4"]]},"language":"eng","page":"431-436","publisher-place":"United States","title":"Randomized, double-blind, placebo-controlled trial: effect of lactobacillus GG  supplementation on Helicobacter pylori eradication rates and side effects during treatment in children.","type":"article-journal","volume":"48"},"uris":["http://www.mendeley.com/documents/?uuid=4fc34705-9d4b-40f1-a0ba-9b4a6d440429"]}],"mendeley":{"formattedCitation":"[27]","plainTextFormattedCitation":"[27]","previouslyFormattedCitation":"[203]"},"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[27]</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Antibiotic-associated </w:t>
      </w:r>
      <w:proofErr w:type="spellStart"/>
      <w:r w:rsidRPr="003F7121">
        <w:rPr>
          <w:rFonts w:ascii="Times New Roman" w:eastAsia="Times New Roman" w:hAnsi="Times New Roman" w:cs="Times New Roman"/>
          <w:spacing w:val="-1"/>
          <w:sz w:val="24"/>
          <w:szCs w:val="24"/>
          <w:lang w:val="en-US"/>
        </w:rPr>
        <w:t>diarrhoea</w:t>
      </w:r>
      <w:proofErr w:type="spellEnd"/>
      <w:r w:rsidRPr="003F7121">
        <w:rPr>
          <w:rFonts w:ascii="Times New Roman" w:eastAsia="Times New Roman" w:hAnsi="Times New Roman" w:cs="Times New Roman"/>
          <w:spacing w:val="-1"/>
          <w:sz w:val="24"/>
          <w:szCs w:val="24"/>
          <w:lang w:val="en-US"/>
        </w:rPr>
        <w:t xml:space="preserve"> and </w:t>
      </w:r>
      <w:r w:rsidRPr="003F7121">
        <w:rPr>
          <w:rFonts w:ascii="Times New Roman" w:eastAsia="Times New Roman" w:hAnsi="Times New Roman" w:cs="Times New Roman"/>
          <w:i/>
          <w:iCs/>
          <w:spacing w:val="-1"/>
          <w:sz w:val="24"/>
          <w:szCs w:val="24"/>
          <w:lang w:val="en-US"/>
        </w:rPr>
        <w:t>H. pylori</w:t>
      </w:r>
      <w:r w:rsidRPr="003F7121">
        <w:rPr>
          <w:rFonts w:ascii="Times New Roman" w:eastAsia="Times New Roman" w:hAnsi="Times New Roman" w:cs="Times New Roman"/>
          <w:spacing w:val="-1"/>
          <w:sz w:val="24"/>
          <w:szCs w:val="24"/>
          <w:lang w:val="en-US"/>
        </w:rPr>
        <w:t xml:space="preserve"> infections defecation frequency infantile colic mild to moderate ulcerative colitis, IBS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{"citationItems":[{"id":"ITEM-1","itemData":{"DOI":"10.2147/CEG.S186235","ISSN":"1178-7023 (Print)","PMID":"30774408","abstract":"PURPOSE: Imbalance in the microbiota, dysbiosis, has been identified in inflammatory  bowel disease (IBD). We explored the fecal microbiota in pediatric patients with treatment-naïve IBD, non-IBD patients with gastrointestinal symptoms and healthy children, its relation to IBD subgroups, and treatment outcomes. PATIENTS AND METHODS: Fecal samples were collected from 235 children below 18 years of age. Eighty children had Crohn's disease (CD), 27 ulcerative colitis (UC), 3 IBD unclassified, 50 were non-IBD symptomatic patients, and 75 were healthy. The bacterial abundance of 54 predefined DNA markers was measured with a 16S rRNA DNA-based test using GA-Map(™) technology at diagnosis and after therapy in IBD patients. RESULTS: Bacterial abundance was similarly reduced in IBD and non-IBD patients in 51 of 54 markers compared to healthy patients (P&lt;0.001). Only Prevotella was more abundant in patients (P&lt;0.01). IBD patients with ileocolitis or total colitis had more Ruminococcus gnavus (P=0.02) than patients with colonic CD or left-sided UC. CD patients with upper gastrointestinal manifestations had higher Veillonella abundance (P&lt;0.01). IBD patients (58%) who received biologic therapy had lower baseline Firmicutes and Mycoplasma hominis abundance (P&lt;0.01) than conventionally treated. High Proteobacteria abundance was associated with stricturing/penetrating CD, surgery (P&lt;0.01), and nonmucosal healing (P&lt;0.03). Low Faecalibacterium prausnitzii abundance was associated with prior antibiotic therapy (P=0.001), surgery (P=0.02), and nonmucosal healing (P&lt;0.03). After therapy, IBD patients had unchanged dysbiosis. CONCLUSION: Fecal microbiota profiles differentiated IBD and non-IBD symptomatic children from healthy children, but displayed similar dysbiosis in IBD and non-IBD symptomatic patients. Pretreatment fecal microbiota profiles may be of prognostic value and aid in treatment individualization in pediatric IBD as severe dysbiosis was associated with an extensive, complicated phenotype, biologic therapy, and nonmucosal healing. The dysbiosis persisted after therapy, regardless of treatments and mucosal healing.","author":[{"dropping-particle":"","family":"Olbjørn","given":"Christine","non-dropping-particle":"","parse-names":false,"suffix":""},{"dropping-particle":"","family":"Cvancarova Småstuen","given":"Milada","non-dropping-particle":"","parse-names":false,"suffix":""},{"dropping-particle":"","family":"Thiis-Evensen","given":"Espen","non-dropping-particle":"","parse-names":false,"suffix":""},{"dropping-particle":"","family":"Nakstad","given":"Britt","non-dropping-particle":"","parse-names":false,"suffix":""},{"dropping-particle":"","family":"Vatn","given":"Morten Harald","non-dropping-particle":"","parse-names":false,"suffix":""},{"dropping-particle":"","family":"Jahnsen","given":"Jørgen","non-dropping-particle":"","parse-names":false,"suffix":""},{"dropping-particle":"","family":"Ricanek","given":"Petr","non-dropping-particle":"","parse-names":false,"suffix":""},{"dropping-particle":"","family":"Vatn","given":"Simen","non-dropping-particle":"","parse-names":false,"suffix":""},{"dropping-particle":"","family":"Moen","given":"Aina E F","non-dropping-particle":"","parse-names":false,"suffix":""},{"dropping-particle":"","family":"Tannæs","given":"Tone M","non-dropping-particle":"","parse-names":false,"suffix":""},{"dropping-particle":"","family":"Lindstrøm","given":"Jonas C","non-dropping-particle":"","parse-names":false,"suffix":""},{"dropping-particle":"","family":"Söderholm","given":"Johan D","non-dropping-particle":"","parse-names":false,"suffix":""},{"dropping-particle":"","family":"Halfvarson","given":"Jonas","non-dropping-particle":"","parse-names":false,"suffix":""},{"dropping-particle":"","family":"Gomollón","given":"Fernando","non-dropping-particle":"","parse-names":false,"suffix":""},{"dropping-particle":"","family":"Casén","given":"Christina","non-dropping-particle":"","parse-names":false,"suffix":""},{"dropping-particle":"","family":"Karlsson","given":"Magdalena K","non-dropping-particle":"","parse-names":false,"suffix":""},{"dropping-particle":"","family":"Kalla","given":"Rahul","non-dropping-particle":"","parse-names":false,"suffix":""},{"dropping-particle":"","family":"Adams","given":"Alex T","non-dropping-particle":"","parse-names":false,"suffix":""},{"dropping-particle":"","family":"Satsangi","given":"Jack","non-dropping-particle":"","parse-names":false,"suffix":""},{"dropping-particle":"","family":"Perminow","given":"Gøri","non-dropping-particle":"","parse-names":false,"suffix":""}],"container-title":"Clinical and experimental gastroenterology","id":"ITEM-1","issued":{"date-parts":[["2019"]]},"language":"eng","page":"37-49","title":"Fecal microbiota profiles in treatment-naïve pediatric inflammatory bowel disease -  associations with disease phenotype, treatment, and outcome.","type":"article-journal","volume":"12"},"uris":["http://www.mendeley.com/documents/?uuid=d021b937-968c-4aa5-b2d1-a6c91e8a8e14"]}],"mendeley":{"formattedCitation":"[28]","plainTextFormattedCitation":"[28]","previouslyFormattedCitation":"[210]"},"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[28]</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Acute </w:t>
      </w:r>
      <w:proofErr w:type="spellStart"/>
      <w:r w:rsidRPr="003F7121">
        <w:rPr>
          <w:rFonts w:ascii="Times New Roman" w:eastAsia="Times New Roman" w:hAnsi="Times New Roman" w:cs="Times New Roman"/>
          <w:spacing w:val="-1"/>
          <w:sz w:val="24"/>
          <w:szCs w:val="24"/>
          <w:lang w:val="en-US"/>
        </w:rPr>
        <w:t>diarrhoea</w:t>
      </w:r>
      <w:proofErr w:type="spellEnd"/>
      <w:r w:rsidRPr="003F7121">
        <w:rPr>
          <w:rFonts w:ascii="Times New Roman" w:eastAsia="Times New Roman" w:hAnsi="Times New Roman" w:cs="Times New Roman"/>
          <w:spacing w:val="-1"/>
          <w:sz w:val="24"/>
          <w:szCs w:val="24"/>
          <w:lang w:val="en-US"/>
        </w:rPr>
        <w:t xml:space="preserve"> etc.</w:t>
      </w:r>
    </w:p>
    <w:tbl>
      <w:tblPr>
        <w:tblStyle w:val="TableGrid"/>
        <w:tblW w:w="0" w:type="auto"/>
        <w:tblInd w:w="825" w:type="dxa"/>
        <w:tblLook w:val="04A0" w:firstRow="1" w:lastRow="0" w:firstColumn="1" w:lastColumn="0" w:noHBand="0" w:noVBand="1"/>
      </w:tblPr>
      <w:tblGrid>
        <w:gridCol w:w="2703"/>
        <w:gridCol w:w="4995"/>
      </w:tblGrid>
      <w:tr w:rsidR="005914AF" w:rsidRPr="003F7121" w14:paraId="790417D1" w14:textId="77777777" w:rsidTr="00482E93">
        <w:tc>
          <w:tcPr>
            <w:tcW w:w="0" w:type="auto"/>
            <w:shd w:val="clear" w:color="auto" w:fill="auto"/>
          </w:tcPr>
          <w:p w14:paraId="13DBD552" w14:textId="77777777" w:rsidR="005914AF" w:rsidRPr="003F7121" w:rsidRDefault="005914AF" w:rsidP="005914AF">
            <w:pPr>
              <w:spacing w:line="360" w:lineRule="auto"/>
              <w:jc w:val="both"/>
              <w:rPr>
                <w:rFonts w:ascii="Times New Roman" w:eastAsia="SimSun" w:hAnsi="Times New Roman"/>
                <w:sz w:val="24"/>
                <w:szCs w:val="24"/>
              </w:rPr>
            </w:pPr>
            <w:r w:rsidRPr="003F7121">
              <w:rPr>
                <w:rFonts w:ascii="Times New Roman" w:eastAsia="SimSun" w:hAnsi="Times New Roman"/>
                <w:sz w:val="24"/>
                <w:szCs w:val="24"/>
              </w:rPr>
              <w:lastRenderedPageBreak/>
              <w:t>Probiotic culture</w:t>
            </w:r>
          </w:p>
        </w:tc>
        <w:tc>
          <w:tcPr>
            <w:tcW w:w="0" w:type="auto"/>
            <w:shd w:val="clear" w:color="auto" w:fill="auto"/>
          </w:tcPr>
          <w:p w14:paraId="739367DA" w14:textId="77777777" w:rsidR="005914AF" w:rsidRPr="003F7121" w:rsidRDefault="005914AF" w:rsidP="005914AF">
            <w:pPr>
              <w:spacing w:line="360" w:lineRule="auto"/>
              <w:jc w:val="both"/>
              <w:rPr>
                <w:rFonts w:ascii="Times New Roman" w:eastAsia="SimSun" w:hAnsi="Times New Roman"/>
                <w:sz w:val="24"/>
                <w:szCs w:val="24"/>
              </w:rPr>
            </w:pPr>
            <w:r w:rsidRPr="003F7121">
              <w:rPr>
                <w:rFonts w:ascii="Times New Roman" w:eastAsia="SimSun" w:hAnsi="Times New Roman"/>
                <w:sz w:val="24"/>
                <w:szCs w:val="24"/>
              </w:rPr>
              <w:t>Effective against</w:t>
            </w:r>
          </w:p>
        </w:tc>
      </w:tr>
      <w:tr w:rsidR="005914AF" w:rsidRPr="003F7121" w14:paraId="3E0D0319" w14:textId="77777777" w:rsidTr="00482E93">
        <w:tc>
          <w:tcPr>
            <w:tcW w:w="0" w:type="auto"/>
            <w:shd w:val="clear" w:color="auto" w:fill="auto"/>
          </w:tcPr>
          <w:p w14:paraId="2D12B66C" w14:textId="77777777" w:rsidR="005914AF" w:rsidRPr="003F7121" w:rsidRDefault="005914AF" w:rsidP="005914AF">
            <w:pPr>
              <w:spacing w:line="360" w:lineRule="auto"/>
              <w:jc w:val="both"/>
              <w:rPr>
                <w:rFonts w:ascii="Times New Roman" w:eastAsia="SimSun" w:hAnsi="Times New Roman"/>
                <w:i/>
                <w:iCs/>
                <w:sz w:val="24"/>
                <w:szCs w:val="24"/>
                <w:shd w:val="clear" w:color="auto" w:fill="FFFFFF"/>
              </w:rPr>
            </w:pPr>
            <w:r w:rsidRPr="003F7121">
              <w:rPr>
                <w:rFonts w:ascii="Times New Roman" w:eastAsia="SimSun" w:hAnsi="Times New Roman"/>
                <w:i/>
                <w:iCs/>
                <w:sz w:val="24"/>
                <w:szCs w:val="24"/>
                <w:shd w:val="clear" w:color="auto" w:fill="FFFFFF"/>
              </w:rPr>
              <w:t>Lactobacillus acidophilus</w:t>
            </w:r>
          </w:p>
        </w:tc>
        <w:tc>
          <w:tcPr>
            <w:tcW w:w="0" w:type="auto"/>
            <w:shd w:val="clear" w:color="auto" w:fill="auto"/>
          </w:tcPr>
          <w:p w14:paraId="41ED0CB3" w14:textId="77777777" w:rsidR="005914AF" w:rsidRPr="003F7121" w:rsidRDefault="005914AF" w:rsidP="005914AF">
            <w:pPr>
              <w:spacing w:line="360" w:lineRule="auto"/>
              <w:jc w:val="both"/>
              <w:rPr>
                <w:rFonts w:ascii="Times New Roman" w:eastAsia="SimSun" w:hAnsi="Times New Roman"/>
                <w:sz w:val="24"/>
                <w:szCs w:val="24"/>
                <w:shd w:val="clear" w:color="auto" w:fill="FFFFFF"/>
              </w:rPr>
            </w:pPr>
            <w:r w:rsidRPr="003F7121">
              <w:rPr>
                <w:rFonts w:ascii="Times New Roman" w:eastAsia="SimSun" w:hAnsi="Times New Roman"/>
                <w:sz w:val="24"/>
                <w:szCs w:val="24"/>
                <w:shd w:val="clear" w:color="auto" w:fill="FFFFFF"/>
              </w:rPr>
              <w:t>Maintain normal intestinal microbiota</w:t>
            </w:r>
          </w:p>
        </w:tc>
      </w:tr>
      <w:tr w:rsidR="005914AF" w:rsidRPr="003F7121" w14:paraId="7461B852" w14:textId="77777777" w:rsidTr="00482E93">
        <w:tc>
          <w:tcPr>
            <w:tcW w:w="0" w:type="auto"/>
            <w:shd w:val="clear" w:color="auto" w:fill="auto"/>
          </w:tcPr>
          <w:p w14:paraId="143CA848" w14:textId="77777777" w:rsidR="005914AF" w:rsidRPr="003F7121" w:rsidRDefault="005914AF" w:rsidP="005914AF">
            <w:pPr>
              <w:spacing w:line="360" w:lineRule="auto"/>
              <w:jc w:val="both"/>
              <w:rPr>
                <w:rFonts w:ascii="Times New Roman" w:eastAsia="SimSun" w:hAnsi="Times New Roman"/>
                <w:i/>
                <w:iCs/>
                <w:sz w:val="24"/>
                <w:szCs w:val="24"/>
                <w:shd w:val="clear" w:color="auto" w:fill="FFFFFF"/>
              </w:rPr>
            </w:pPr>
            <w:r w:rsidRPr="003F7121">
              <w:rPr>
                <w:rFonts w:ascii="Times New Roman" w:eastAsia="SimSun" w:hAnsi="Times New Roman"/>
                <w:i/>
                <w:iCs/>
                <w:sz w:val="24"/>
                <w:szCs w:val="24"/>
                <w:shd w:val="clear" w:color="auto" w:fill="FFFFFF"/>
              </w:rPr>
              <w:t>Lactobacillus paracasei</w:t>
            </w:r>
          </w:p>
        </w:tc>
        <w:tc>
          <w:tcPr>
            <w:tcW w:w="0" w:type="auto"/>
            <w:shd w:val="clear" w:color="auto" w:fill="auto"/>
          </w:tcPr>
          <w:p w14:paraId="76108F98" w14:textId="77777777" w:rsidR="005914AF" w:rsidRPr="003F7121" w:rsidRDefault="005914AF" w:rsidP="005914AF">
            <w:pPr>
              <w:spacing w:line="360" w:lineRule="auto"/>
              <w:jc w:val="both"/>
              <w:rPr>
                <w:rFonts w:ascii="Times New Roman" w:eastAsia="SimSun" w:hAnsi="Times New Roman"/>
                <w:sz w:val="24"/>
                <w:szCs w:val="24"/>
                <w:shd w:val="clear" w:color="auto" w:fill="FFFFFF"/>
              </w:rPr>
            </w:pPr>
            <w:r w:rsidRPr="003F7121">
              <w:rPr>
                <w:rFonts w:ascii="Times New Roman" w:eastAsia="SimSun" w:hAnsi="Times New Roman"/>
                <w:sz w:val="24"/>
                <w:szCs w:val="24"/>
                <w:shd w:val="clear" w:color="auto" w:fill="FFFFFF"/>
              </w:rPr>
              <w:t>Has antibacterial and anticandidal activity</w:t>
            </w:r>
          </w:p>
        </w:tc>
      </w:tr>
      <w:tr w:rsidR="005914AF" w:rsidRPr="003F7121" w14:paraId="3EAEC3CB" w14:textId="77777777" w:rsidTr="00482E93">
        <w:tc>
          <w:tcPr>
            <w:tcW w:w="0" w:type="auto"/>
            <w:shd w:val="clear" w:color="auto" w:fill="auto"/>
          </w:tcPr>
          <w:p w14:paraId="63E9169A" w14:textId="77777777" w:rsidR="005914AF" w:rsidRPr="003F7121" w:rsidRDefault="005914AF" w:rsidP="005914AF">
            <w:pPr>
              <w:spacing w:line="360" w:lineRule="auto"/>
              <w:jc w:val="both"/>
              <w:rPr>
                <w:rFonts w:ascii="Times New Roman" w:eastAsia="SimSun" w:hAnsi="Times New Roman"/>
                <w:i/>
                <w:iCs/>
                <w:sz w:val="24"/>
                <w:szCs w:val="24"/>
                <w:shd w:val="clear" w:color="auto" w:fill="FFFFFF"/>
              </w:rPr>
            </w:pPr>
            <w:r w:rsidRPr="003F7121">
              <w:rPr>
                <w:rFonts w:ascii="Times New Roman" w:eastAsia="SimSun" w:hAnsi="Times New Roman"/>
                <w:i/>
                <w:iCs/>
                <w:sz w:val="24"/>
                <w:szCs w:val="24"/>
                <w:shd w:val="clear" w:color="auto" w:fill="FFFFFF"/>
              </w:rPr>
              <w:t>Lactobacillus rhamnosus</w:t>
            </w:r>
          </w:p>
        </w:tc>
        <w:tc>
          <w:tcPr>
            <w:tcW w:w="0" w:type="auto"/>
            <w:shd w:val="clear" w:color="auto" w:fill="auto"/>
          </w:tcPr>
          <w:p w14:paraId="0014F2AF" w14:textId="77777777" w:rsidR="005914AF" w:rsidRPr="003F7121" w:rsidRDefault="005914AF" w:rsidP="005914AF">
            <w:pPr>
              <w:spacing w:line="360" w:lineRule="auto"/>
              <w:jc w:val="both"/>
              <w:rPr>
                <w:rFonts w:ascii="Times New Roman" w:eastAsia="SimSun" w:hAnsi="Times New Roman"/>
                <w:sz w:val="24"/>
                <w:szCs w:val="24"/>
                <w:shd w:val="clear" w:color="auto" w:fill="FFFFFF"/>
              </w:rPr>
            </w:pPr>
            <w:r w:rsidRPr="003F7121">
              <w:rPr>
                <w:rFonts w:ascii="Times New Roman" w:eastAsia="SimSun" w:hAnsi="Times New Roman"/>
                <w:sz w:val="24"/>
                <w:szCs w:val="24"/>
                <w:shd w:val="clear" w:color="auto" w:fill="FFFFFF"/>
              </w:rPr>
              <w:t xml:space="preserve">Treat infectious diarrhoea </w:t>
            </w:r>
          </w:p>
        </w:tc>
      </w:tr>
      <w:tr w:rsidR="005914AF" w:rsidRPr="003F7121" w14:paraId="35BF3B35" w14:textId="77777777" w:rsidTr="00482E93">
        <w:tc>
          <w:tcPr>
            <w:tcW w:w="0" w:type="auto"/>
            <w:shd w:val="clear" w:color="auto" w:fill="auto"/>
          </w:tcPr>
          <w:p w14:paraId="519A20A2" w14:textId="77777777" w:rsidR="005914AF" w:rsidRPr="003F7121" w:rsidRDefault="005914AF" w:rsidP="005914AF">
            <w:pPr>
              <w:spacing w:line="360" w:lineRule="auto"/>
              <w:jc w:val="both"/>
              <w:rPr>
                <w:rFonts w:ascii="Times New Roman" w:eastAsia="SimSun" w:hAnsi="Times New Roman"/>
                <w:i/>
                <w:iCs/>
                <w:sz w:val="24"/>
                <w:szCs w:val="24"/>
                <w:shd w:val="clear" w:color="auto" w:fill="FFFFFF"/>
              </w:rPr>
            </w:pPr>
            <w:r w:rsidRPr="003F7121">
              <w:rPr>
                <w:rFonts w:ascii="Times New Roman" w:eastAsia="SimSun" w:hAnsi="Times New Roman"/>
                <w:i/>
                <w:iCs/>
                <w:sz w:val="24"/>
                <w:szCs w:val="24"/>
                <w:shd w:val="clear" w:color="auto" w:fill="FFFFFF"/>
              </w:rPr>
              <w:t>Lactic acid bacillus</w:t>
            </w:r>
          </w:p>
        </w:tc>
        <w:tc>
          <w:tcPr>
            <w:tcW w:w="0" w:type="auto"/>
            <w:shd w:val="clear" w:color="auto" w:fill="auto"/>
          </w:tcPr>
          <w:p w14:paraId="20E2BED2" w14:textId="77777777" w:rsidR="005914AF" w:rsidRPr="003F7121" w:rsidRDefault="005914AF" w:rsidP="005914AF">
            <w:pPr>
              <w:spacing w:line="360" w:lineRule="auto"/>
              <w:jc w:val="both"/>
              <w:rPr>
                <w:rFonts w:ascii="Times New Roman" w:eastAsia="SimSun" w:hAnsi="Times New Roman"/>
                <w:sz w:val="24"/>
                <w:szCs w:val="24"/>
                <w:shd w:val="clear" w:color="auto" w:fill="FFFFFF"/>
              </w:rPr>
            </w:pPr>
            <w:r w:rsidRPr="003F7121">
              <w:rPr>
                <w:rFonts w:ascii="Times New Roman" w:eastAsia="SimSun" w:hAnsi="Times New Roman"/>
                <w:sz w:val="24"/>
                <w:szCs w:val="24"/>
                <w:shd w:val="clear" w:color="auto" w:fill="FFFFFF"/>
              </w:rPr>
              <w:t xml:space="preserve">Alleviates intestinal bowel disease symptoms </w:t>
            </w:r>
          </w:p>
        </w:tc>
      </w:tr>
      <w:tr w:rsidR="005914AF" w:rsidRPr="003F7121" w14:paraId="15E5CDFB" w14:textId="77777777" w:rsidTr="00482E93">
        <w:tc>
          <w:tcPr>
            <w:tcW w:w="0" w:type="auto"/>
            <w:shd w:val="clear" w:color="auto" w:fill="auto"/>
          </w:tcPr>
          <w:p w14:paraId="044F2D95" w14:textId="77777777" w:rsidR="005914AF" w:rsidRPr="003F7121" w:rsidRDefault="005914AF" w:rsidP="005914AF">
            <w:pPr>
              <w:spacing w:line="360" w:lineRule="auto"/>
              <w:jc w:val="both"/>
              <w:rPr>
                <w:rFonts w:ascii="Times New Roman" w:eastAsia="SimSun" w:hAnsi="Times New Roman"/>
                <w:i/>
                <w:iCs/>
                <w:sz w:val="24"/>
                <w:szCs w:val="24"/>
                <w:shd w:val="clear" w:color="auto" w:fill="FFFFFF"/>
              </w:rPr>
            </w:pPr>
            <w:r w:rsidRPr="003F7121">
              <w:rPr>
                <w:rFonts w:ascii="Times New Roman" w:eastAsia="SimSun" w:hAnsi="Times New Roman"/>
                <w:i/>
                <w:iCs/>
                <w:sz w:val="24"/>
                <w:szCs w:val="24"/>
                <w:shd w:val="clear" w:color="auto" w:fill="FFFFFF"/>
              </w:rPr>
              <w:t>Bifidobacterium lactis</w:t>
            </w:r>
          </w:p>
        </w:tc>
        <w:tc>
          <w:tcPr>
            <w:tcW w:w="0" w:type="auto"/>
            <w:shd w:val="clear" w:color="auto" w:fill="auto"/>
          </w:tcPr>
          <w:p w14:paraId="6C9471FC" w14:textId="77777777" w:rsidR="005914AF" w:rsidRPr="003F7121" w:rsidRDefault="005914AF" w:rsidP="005914AF">
            <w:pPr>
              <w:spacing w:line="360" w:lineRule="auto"/>
              <w:jc w:val="both"/>
              <w:rPr>
                <w:rFonts w:ascii="Times New Roman" w:eastAsia="SimSun" w:hAnsi="Times New Roman"/>
                <w:sz w:val="24"/>
                <w:szCs w:val="24"/>
                <w:shd w:val="clear" w:color="auto" w:fill="FFFFFF"/>
              </w:rPr>
            </w:pPr>
            <w:r w:rsidRPr="003F7121">
              <w:rPr>
                <w:rFonts w:ascii="Times New Roman" w:eastAsia="SimSun" w:hAnsi="Times New Roman"/>
                <w:sz w:val="24"/>
                <w:szCs w:val="24"/>
                <w:shd w:val="clear" w:color="auto" w:fill="FFFFFF"/>
              </w:rPr>
              <w:t>Eases ulcerative colitis</w:t>
            </w:r>
          </w:p>
        </w:tc>
      </w:tr>
      <w:tr w:rsidR="005914AF" w:rsidRPr="003F7121" w14:paraId="3F858BA1" w14:textId="77777777" w:rsidTr="00482E93">
        <w:tc>
          <w:tcPr>
            <w:tcW w:w="0" w:type="auto"/>
            <w:shd w:val="clear" w:color="auto" w:fill="auto"/>
          </w:tcPr>
          <w:p w14:paraId="2C1BCC5C" w14:textId="77777777" w:rsidR="005914AF" w:rsidRPr="003F7121" w:rsidRDefault="005914AF" w:rsidP="005914AF">
            <w:pPr>
              <w:spacing w:line="360" w:lineRule="auto"/>
              <w:jc w:val="both"/>
              <w:rPr>
                <w:rFonts w:ascii="Times New Roman" w:eastAsia="SimSun" w:hAnsi="Times New Roman"/>
                <w:i/>
                <w:iCs/>
                <w:sz w:val="24"/>
                <w:szCs w:val="24"/>
                <w:shd w:val="clear" w:color="auto" w:fill="FFFFFF"/>
              </w:rPr>
            </w:pPr>
            <w:r w:rsidRPr="003F7121">
              <w:rPr>
                <w:rFonts w:ascii="Times New Roman" w:eastAsia="SimSun" w:hAnsi="Times New Roman"/>
                <w:i/>
                <w:iCs/>
                <w:sz w:val="24"/>
                <w:szCs w:val="24"/>
                <w:shd w:val="clear" w:color="auto" w:fill="FFFFFF"/>
              </w:rPr>
              <w:t>Streptococcus faecalis</w:t>
            </w:r>
          </w:p>
        </w:tc>
        <w:tc>
          <w:tcPr>
            <w:tcW w:w="0" w:type="auto"/>
            <w:shd w:val="clear" w:color="auto" w:fill="auto"/>
          </w:tcPr>
          <w:p w14:paraId="417BA569" w14:textId="77777777" w:rsidR="005914AF" w:rsidRPr="003F7121" w:rsidRDefault="005914AF" w:rsidP="005914AF">
            <w:pPr>
              <w:spacing w:line="360" w:lineRule="auto"/>
              <w:jc w:val="both"/>
              <w:rPr>
                <w:rFonts w:ascii="Times New Roman" w:eastAsia="SimSun" w:hAnsi="Times New Roman"/>
                <w:sz w:val="24"/>
                <w:szCs w:val="24"/>
                <w:shd w:val="clear" w:color="auto" w:fill="FFFFFF"/>
              </w:rPr>
            </w:pPr>
            <w:r w:rsidRPr="003F7121">
              <w:rPr>
                <w:rFonts w:ascii="Times New Roman" w:eastAsia="SimSun" w:hAnsi="Times New Roman"/>
                <w:sz w:val="24"/>
                <w:szCs w:val="24"/>
                <w:shd w:val="clear" w:color="auto" w:fill="FFFFFF"/>
              </w:rPr>
              <w:t>Reduce typical symptoms of IBS</w:t>
            </w:r>
          </w:p>
        </w:tc>
      </w:tr>
      <w:tr w:rsidR="005914AF" w:rsidRPr="003F7121" w14:paraId="436D2B18" w14:textId="77777777" w:rsidTr="00482E93">
        <w:tc>
          <w:tcPr>
            <w:tcW w:w="0" w:type="auto"/>
            <w:shd w:val="clear" w:color="auto" w:fill="auto"/>
          </w:tcPr>
          <w:p w14:paraId="014A7B34" w14:textId="77777777" w:rsidR="005914AF" w:rsidRPr="003F7121" w:rsidRDefault="005914AF" w:rsidP="005914AF">
            <w:pPr>
              <w:spacing w:line="360" w:lineRule="auto"/>
              <w:jc w:val="both"/>
              <w:rPr>
                <w:rFonts w:ascii="Times New Roman" w:eastAsia="SimSun" w:hAnsi="Times New Roman"/>
                <w:i/>
                <w:iCs/>
                <w:sz w:val="24"/>
                <w:szCs w:val="24"/>
                <w:shd w:val="clear" w:color="auto" w:fill="FFFFFF"/>
              </w:rPr>
            </w:pPr>
            <w:r w:rsidRPr="003F7121">
              <w:rPr>
                <w:rFonts w:ascii="Times New Roman" w:eastAsia="SimSun" w:hAnsi="Times New Roman"/>
                <w:i/>
                <w:iCs/>
                <w:sz w:val="24"/>
                <w:szCs w:val="24"/>
                <w:shd w:val="clear" w:color="auto" w:fill="FFFFFF"/>
              </w:rPr>
              <w:t>Bacillus clausii spores</w:t>
            </w:r>
          </w:p>
        </w:tc>
        <w:tc>
          <w:tcPr>
            <w:tcW w:w="0" w:type="auto"/>
            <w:shd w:val="clear" w:color="auto" w:fill="auto"/>
          </w:tcPr>
          <w:p w14:paraId="216539F5" w14:textId="77777777" w:rsidR="005914AF" w:rsidRPr="003F7121" w:rsidRDefault="005914AF" w:rsidP="005914AF">
            <w:pPr>
              <w:spacing w:line="360" w:lineRule="auto"/>
              <w:jc w:val="both"/>
              <w:rPr>
                <w:rFonts w:ascii="Times New Roman" w:eastAsia="SimSun" w:hAnsi="Times New Roman"/>
                <w:sz w:val="24"/>
                <w:szCs w:val="24"/>
                <w:shd w:val="clear" w:color="auto" w:fill="FFFFFF"/>
              </w:rPr>
            </w:pPr>
            <w:r w:rsidRPr="003F7121">
              <w:rPr>
                <w:rFonts w:ascii="Times New Roman" w:eastAsia="SimSun" w:hAnsi="Times New Roman"/>
                <w:sz w:val="24"/>
                <w:szCs w:val="24"/>
                <w:shd w:val="clear" w:color="auto" w:fill="FFFFFF"/>
              </w:rPr>
              <w:t xml:space="preserve">Prevents side effects of </w:t>
            </w:r>
            <w:r w:rsidRPr="003F7121">
              <w:rPr>
                <w:rFonts w:ascii="Times New Roman" w:eastAsia="SimSun" w:hAnsi="Times New Roman"/>
                <w:i/>
                <w:iCs/>
                <w:sz w:val="24"/>
                <w:szCs w:val="24"/>
                <w:shd w:val="clear" w:color="auto" w:fill="FFFFFF"/>
              </w:rPr>
              <w:t>Helicobacter pylori</w:t>
            </w:r>
          </w:p>
        </w:tc>
      </w:tr>
      <w:tr w:rsidR="005914AF" w:rsidRPr="003F7121" w14:paraId="3CB66E95" w14:textId="77777777" w:rsidTr="00482E93">
        <w:tc>
          <w:tcPr>
            <w:tcW w:w="0" w:type="auto"/>
            <w:shd w:val="clear" w:color="auto" w:fill="auto"/>
          </w:tcPr>
          <w:p w14:paraId="4E1B1AD0" w14:textId="77777777" w:rsidR="005914AF" w:rsidRPr="003F7121" w:rsidRDefault="005914AF" w:rsidP="005914AF">
            <w:pPr>
              <w:spacing w:line="360" w:lineRule="auto"/>
              <w:jc w:val="both"/>
              <w:rPr>
                <w:rFonts w:ascii="Times New Roman" w:eastAsia="SimSun" w:hAnsi="Times New Roman"/>
                <w:i/>
                <w:iCs/>
                <w:sz w:val="24"/>
                <w:szCs w:val="24"/>
                <w:shd w:val="clear" w:color="auto" w:fill="FFFFFF"/>
              </w:rPr>
            </w:pPr>
            <w:r w:rsidRPr="003F7121">
              <w:rPr>
                <w:rFonts w:ascii="Times New Roman" w:eastAsia="SimSun" w:hAnsi="Times New Roman"/>
                <w:i/>
                <w:iCs/>
                <w:sz w:val="24"/>
                <w:szCs w:val="24"/>
                <w:shd w:val="clear" w:color="auto" w:fill="FFFFFF"/>
              </w:rPr>
              <w:t>Saccharomyces boulardii</w:t>
            </w:r>
          </w:p>
        </w:tc>
        <w:tc>
          <w:tcPr>
            <w:tcW w:w="0" w:type="auto"/>
            <w:shd w:val="clear" w:color="auto" w:fill="auto"/>
          </w:tcPr>
          <w:p w14:paraId="00E06CB1" w14:textId="77777777" w:rsidR="005914AF" w:rsidRPr="003F7121" w:rsidRDefault="005914AF" w:rsidP="005914AF">
            <w:pPr>
              <w:spacing w:line="360" w:lineRule="auto"/>
              <w:jc w:val="both"/>
              <w:rPr>
                <w:rFonts w:ascii="Times New Roman" w:eastAsia="SimSun" w:hAnsi="Times New Roman"/>
                <w:sz w:val="24"/>
                <w:szCs w:val="24"/>
                <w:shd w:val="clear" w:color="auto" w:fill="FFFFFF"/>
              </w:rPr>
            </w:pPr>
            <w:r w:rsidRPr="003F7121">
              <w:rPr>
                <w:rFonts w:ascii="Times New Roman" w:eastAsia="SimSun" w:hAnsi="Times New Roman"/>
                <w:sz w:val="24"/>
                <w:szCs w:val="24"/>
                <w:shd w:val="clear" w:color="auto" w:fill="FFFFFF"/>
              </w:rPr>
              <w:t>Prevent antibiotic-associated diarrhoea</w:t>
            </w:r>
          </w:p>
        </w:tc>
      </w:tr>
      <w:tr w:rsidR="005914AF" w:rsidRPr="003F7121" w14:paraId="3DDFB93C" w14:textId="77777777" w:rsidTr="00482E93">
        <w:trPr>
          <w:trHeight w:val="414"/>
        </w:trPr>
        <w:tc>
          <w:tcPr>
            <w:tcW w:w="0" w:type="auto"/>
            <w:shd w:val="clear" w:color="auto" w:fill="auto"/>
          </w:tcPr>
          <w:p w14:paraId="3DBD3162" w14:textId="77777777" w:rsidR="005914AF" w:rsidRPr="003F7121" w:rsidRDefault="005914AF" w:rsidP="005914AF">
            <w:pPr>
              <w:spacing w:line="360" w:lineRule="auto"/>
              <w:jc w:val="both"/>
              <w:rPr>
                <w:rFonts w:ascii="Times New Roman" w:eastAsia="SimSun" w:hAnsi="Times New Roman"/>
                <w:i/>
                <w:iCs/>
                <w:sz w:val="24"/>
                <w:szCs w:val="24"/>
                <w:shd w:val="clear" w:color="auto" w:fill="FFFFFF"/>
              </w:rPr>
            </w:pPr>
            <w:r w:rsidRPr="003F7121">
              <w:rPr>
                <w:rFonts w:ascii="Times New Roman" w:eastAsia="SimSun" w:hAnsi="Times New Roman"/>
                <w:i/>
                <w:iCs/>
                <w:sz w:val="24"/>
                <w:szCs w:val="24"/>
                <w:shd w:val="clear" w:color="auto" w:fill="FFFFFF"/>
              </w:rPr>
              <w:t>Clostridium butyricum</w:t>
            </w:r>
          </w:p>
        </w:tc>
        <w:tc>
          <w:tcPr>
            <w:tcW w:w="0" w:type="auto"/>
            <w:shd w:val="clear" w:color="auto" w:fill="auto"/>
          </w:tcPr>
          <w:p w14:paraId="1E1C4715" w14:textId="77777777" w:rsidR="005914AF" w:rsidRPr="003F7121" w:rsidRDefault="005914AF" w:rsidP="005914AF">
            <w:pPr>
              <w:spacing w:line="360" w:lineRule="auto"/>
              <w:jc w:val="both"/>
              <w:rPr>
                <w:rFonts w:ascii="Times New Roman" w:eastAsia="SimSun" w:hAnsi="Times New Roman"/>
                <w:sz w:val="24"/>
                <w:szCs w:val="24"/>
                <w:shd w:val="clear" w:color="auto" w:fill="FFFFFF"/>
              </w:rPr>
            </w:pPr>
            <w:r w:rsidRPr="003F7121">
              <w:rPr>
                <w:rFonts w:ascii="Times New Roman" w:eastAsia="SimSun" w:hAnsi="Times New Roman"/>
                <w:sz w:val="24"/>
                <w:szCs w:val="24"/>
                <w:shd w:val="clear" w:color="auto" w:fill="FFFFFF"/>
              </w:rPr>
              <w:t xml:space="preserve">Effective against </w:t>
            </w:r>
            <w:r w:rsidRPr="003F7121">
              <w:rPr>
                <w:rFonts w:ascii="Times New Roman" w:eastAsia="SimSun" w:hAnsi="Times New Roman"/>
                <w:i/>
                <w:iCs/>
                <w:sz w:val="24"/>
                <w:szCs w:val="24"/>
                <w:shd w:val="clear" w:color="auto" w:fill="FFFFFF"/>
              </w:rPr>
              <w:t>Clostridium difficile</w:t>
            </w:r>
            <w:r w:rsidRPr="003F7121">
              <w:rPr>
                <w:rFonts w:ascii="Times New Roman" w:eastAsia="SimSun" w:hAnsi="Times New Roman"/>
                <w:sz w:val="24"/>
                <w:szCs w:val="24"/>
                <w:shd w:val="clear" w:color="auto" w:fill="FFFFFF"/>
              </w:rPr>
              <w:t xml:space="preserve"> infection</w:t>
            </w:r>
          </w:p>
        </w:tc>
      </w:tr>
      <w:tr w:rsidR="005914AF" w:rsidRPr="003F7121" w14:paraId="6C11E14E" w14:textId="77777777" w:rsidTr="00482E93">
        <w:trPr>
          <w:trHeight w:val="401"/>
        </w:trPr>
        <w:tc>
          <w:tcPr>
            <w:tcW w:w="0" w:type="auto"/>
            <w:shd w:val="clear" w:color="auto" w:fill="auto"/>
          </w:tcPr>
          <w:p w14:paraId="4AD20D03" w14:textId="77777777" w:rsidR="005914AF" w:rsidRPr="003F7121" w:rsidRDefault="005914AF" w:rsidP="005914AF">
            <w:pPr>
              <w:spacing w:line="360" w:lineRule="auto"/>
              <w:jc w:val="both"/>
              <w:rPr>
                <w:rFonts w:ascii="Times New Roman" w:eastAsia="SimSun" w:hAnsi="Times New Roman"/>
                <w:i/>
                <w:iCs/>
                <w:sz w:val="24"/>
                <w:szCs w:val="24"/>
                <w:shd w:val="clear" w:color="auto" w:fill="FFFFFF"/>
              </w:rPr>
            </w:pPr>
            <w:r w:rsidRPr="003F7121">
              <w:rPr>
                <w:rFonts w:ascii="Times New Roman" w:eastAsia="SimSun" w:hAnsi="Times New Roman"/>
                <w:i/>
                <w:iCs/>
                <w:sz w:val="24"/>
                <w:szCs w:val="24"/>
                <w:shd w:val="clear" w:color="auto" w:fill="FFFFFF"/>
              </w:rPr>
              <w:t>Bacillus mesentericus</w:t>
            </w:r>
          </w:p>
        </w:tc>
        <w:tc>
          <w:tcPr>
            <w:tcW w:w="0" w:type="auto"/>
            <w:shd w:val="clear" w:color="auto" w:fill="auto"/>
          </w:tcPr>
          <w:p w14:paraId="7749FA3D" w14:textId="77777777" w:rsidR="005914AF" w:rsidRPr="003F7121" w:rsidRDefault="005914AF" w:rsidP="005914AF">
            <w:pPr>
              <w:spacing w:line="360" w:lineRule="auto"/>
              <w:jc w:val="both"/>
              <w:rPr>
                <w:rFonts w:ascii="Times New Roman" w:eastAsia="SimSun" w:hAnsi="Times New Roman"/>
                <w:sz w:val="24"/>
                <w:szCs w:val="24"/>
                <w:shd w:val="clear" w:color="auto" w:fill="FFFFFF"/>
              </w:rPr>
            </w:pPr>
            <w:r w:rsidRPr="003F7121">
              <w:rPr>
                <w:rFonts w:ascii="Times New Roman" w:eastAsia="SimSun" w:hAnsi="Times New Roman"/>
                <w:sz w:val="24"/>
                <w:szCs w:val="24"/>
                <w:shd w:val="clear" w:color="auto" w:fill="FFFFFF"/>
              </w:rPr>
              <w:t>Decreases potentially pathogenic microorganisms</w:t>
            </w:r>
          </w:p>
        </w:tc>
      </w:tr>
    </w:tbl>
    <w:p w14:paraId="04FD63F4" w14:textId="77777777" w:rsidR="005914AF" w:rsidRPr="003F7121" w:rsidRDefault="005914AF" w:rsidP="005914AF">
      <w:pPr>
        <w:spacing w:line="360" w:lineRule="auto"/>
        <w:jc w:val="center"/>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Table no 1: List of reported disease-specific probiotics</w:t>
      </w:r>
    </w:p>
    <w:p w14:paraId="07F02970" w14:textId="51592115" w:rsidR="005914AF" w:rsidRPr="003F7121" w:rsidRDefault="005914AF" w:rsidP="005914AF">
      <w:pPr>
        <w:autoSpaceDE w:val="0"/>
        <w:autoSpaceDN w:val="0"/>
        <w:adjustRightInd w:val="0"/>
        <w:spacing w:line="360" w:lineRule="auto"/>
        <w:ind w:firstLine="720"/>
        <w:jc w:val="both"/>
        <w:rPr>
          <w:rFonts w:ascii="Times New Roman" w:hAnsi="Times New Roman" w:cs="Times New Roman"/>
          <w:sz w:val="24"/>
          <w:szCs w:val="24"/>
        </w:rPr>
      </w:pPr>
      <w:r w:rsidRPr="003F7121">
        <w:rPr>
          <w:rFonts w:ascii="Times New Roman" w:hAnsi="Times New Roman" w:cs="Times New Roman"/>
          <w:sz w:val="24"/>
          <w:szCs w:val="24"/>
        </w:rPr>
        <w:t xml:space="preserve">Owing to the potential benefits, the nanotechnological intervention aims to develop more effective tools for the prevention and treatment of various diseases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{"citationItems":[{"id":"ITEM-1","itemData":{"DOI":"10.1208/s12248-012-9339-4","ISSN":"1550-7416 (Electronic)","PMID":"22407288","abstract":"In recent years, nanotechnology has been increasingly applied to the area of drug  development. Nanoparticle-based therapeutics can confer the ability to overcome biological barriers, effectively deliver hydrophobic drugs and biologics, and preferentially target sites of disease. However, despite these potential advantages, only a relatively small number of nanoparticle-based medicines have been approved for clinical use, with numerous challenges and hurdles at different stages of development. The complexity of nanoparticles as multi-component three dimensional constructs requires careful design and engineering, detailed orthogonal analysis methods, and reproducible scale-up and manufacturing process to achieve a consistent product with the intended physicochemical characteristics, biological behaviors, and pharmacological profiles. The safety and efficacy of nanomedicines can be influenced by minor variations in multiple parameters and need to be carefully examined in preclinical and clinical studies, particularly in context of the biodistribution, targeting to intended sites, and potential immune toxicities. Overall, nanomedicines may present additional development and regulatory considerations compared with conventional medicines, and while there is generally a lack of regulatory standards in the examination of nanoparticle-based medicines as a unique category of therapeutic agents, efforts are being made in this direction. This review summarizes challenges likely to be encountered during the development and approval of nanoparticle-based therapeutics, and discusses potential strategies for drug developers and regulatory agencies to accelerate the growth of this important field.","author":[{"dropping-particle":"","family":"Desai","given":"Neil","non-dropping-particle":"","parse-names":false,"suffix":""}],"container-title":"The AAPS journal","id":"ITEM-1","issue":"2","issued":{"date-parts":[["2012","6"]]},"language":"eng","page":"282-295","title":"Challenges in development of nanoparticle-based therapeutics.","type":"article-journal","volume":"14"},"uris":["http://www.mendeley.com/documents/?uuid=e36b0f76-5e91-4fab-b84b-e9b3a8e71638"]}],"mendeley":{"formattedCitation":"[29]","plainTextFormattedCitation":"[29]","previouslyFormattedCitation":"[303]"},"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[29]</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This could also offer solutions to long-lasting issues in medical research, such as poor drug solubility and a lack of target specificity for therapeutic compounds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{"citationItems":[{"id":"ITEM-1","itemData":{"DOI":"10.2174/156720111795256156","ISSN":"1875-5704 (Electronic)","PMID":"21291376","abstract":"There is enormous excitement and expectation surrounding the multidisciplinary  field of nanomedicine - the application of nanotechnology to healthcare - which is already influencing the pharmaceutical industry. This is especially true in the design, formulation and delivery of therapeutics. Currently, nanomedicine is poised at a critical stage. However, regulatory guidance in this area is generally lacking and critically needed to provide clarity and legal certainty to manufacturers, policymakers, healthcare providers as well as public. There are hundreds, if not thousands, of nanoproducts on the market for human use but little is known of their health risks, safety data and toxicity profiles. Less is known of nanoproducts that are released into the environment and that come in contact with humans. These nanoproducts, whether they are a drug, device, biologic or combination of any of these, are creating challenges for the Food and Drug Administration (FDA), as regulators struggle to accumulate data and formulate testing criteria to ensure development of safe and efficacious nanoproducts (products incorporating nanoscale technologies). Evidence continues to mount that many nanoproducts inherently posses novel size-based properties and toxicity profiles. Yet, this scientific fact has been generally ignored by the FDA and the agency continues to adopt a precautionary approach to the issue in hopes of countering future potential negative public opinion. As a result, the FDA has simply maintained the status quo with regard to its regulatory policies pertaining to nanomedicine. Therefore, there are no specific laws or mechanisms in place for oversight of nanomedicine and the FDA continues to treat nanoproducts as substantially equivalent (\"bioequivalent\") to their bulk counterparts. So, for now nanoproducts submitted for FDA review will continue to be subjected to an uncertain regulatory pathway. Such regulatory uncertainty could negatively impact venture funding, stifle nanomedicine research and development (R&amp;D) and erode public acceptance of nanoproducts. The end-result of this could be a delay or loss of commercialized nanoproducts. Whether the FDA eventually creates new regulations, tweaks existing ones or establishes a new regulatory center to handle nanoproducts, for the time being it should at least look at nanoproducts on a case-by-case basis. The FDA should not attempt regulation of nanomedicine by applying existing statutes alone, especially where…","author":[{"dropping-particle":"","family":"Bawa","given":"Raj","non-dropping-particle":"","parse-names":false,"suffix":""}],"container-title":"Current drug delivery","id":"ITEM-1","issue":"3","issued":{"date-parts":[["2011","5"]]},"language":"eng","page":"227-234","publisher-place":"United Arab Emirates","title":"Regulating nanomedicine - can the FDA handle it?","type":"article-journal","volume":"8"},"uris":["http://www.mendeley.com/documents/?uuid=17c67314-a77f-45be-95cd-35b52cc9799c"]}],"mendeley":{"formattedCitation":"[30]","plainTextFormattedCitation":"[30]","previouslyFormattedCitation":"[304]"},"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[30]</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It has been shown that designing NPs with natural sources and lining them up into a methodical drug delivery mechanism is advantageous to gut microbiota. Curcumin and ginger-derived NPs are shown to improve absorption by gut microbiota, so that they can produce their respective effects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{"citationItems":[{"id":"ITEM-1","itemData":{"DOI":"10.1371/journal.pone.0185999","ISSN":"1932-6203 (Electronic)","PMID":"28985227","abstract":"BACKGROUND AND AIMS: Curcumin is a hydrophobic polyphenol derived from turmeric,  a traditional Indian spice. Curcumin exhibits various biological functions, but its clinical application is limited due to its poor absorbability after oral administration. A newly developed nanoparticle curcumin shows improved absorbability in vivo. In this study, we examined the effects of nanoparticle curcumin (named Theracurmin) on experimental colitis in mice. METHODS: BALB/c mice were fed with 3% dextran sulfate sodium (DSS) in water. Mucosal cytokine expression and lymphocyte subpopulation were analyzed by real-time PCR and flow cytometry, respectively. The profile of the gut microbiota was analyzed by real-time PCR. RESULTS: Treatment with nanoparticle curcumin significantly attenuated body weight loss, disease activity index, histological colitis score and significantly improved mucosal permeability. Immunoblot analysis showed that NF-κB activation in colonic epithelial cells was significantly suppressed by treatment with nanoparticle curcumin. Mucosal mRNA expression of inflammatory mediators was significantly suppressed by treatment with nanoparticle curcumin. Treatment with nanoparticle curcumin increased the abundance of butyrate-producing bacteria and fecal butyrate level. This was accompanied by increased expansion of CD4+ Foxp3+ regulatory T cells and CD103+ CD8α- regulatory dendritic cells in the colonic mucosa. CONCLUSIONS: Treatment with nanoparticle curcumin suppressed the development of DSS-induced colitis potentially via modulation of gut microbial structure. These responses were associated with induction of mucosal immune cells with regulatory properties. Nanoparticle curcumin is one of the promising candidates as a therapeutic option for the treatment of IBD.","author":[{"dropping-particle":"","family":"Ohno","given":"Masashi","non-dropping-particle":"","parse-names":false,"suffix":""},{"dropping-particle":"","family":"Nishida","given":"Atsushi","non-dropping-particle":"","parse-names":false,"suffix":""},{"dropping-particle":"","family":"Sugitani","given":"Yoshihiko","non-dropping-particle":"","parse-names":false,"suffix":""},{"dropping-particle":"","family":"Nishino","given":"Kyohei","non-dropping-particle":"","parse-names":false,"suffix":""},{"dropping-particle":"","family":"Inatomi","given":"Osamu","non-dropping-particle":"","parse-names":false,"suffix":""},{"dropping-particle":"","family":"Sugimoto","given":"Mitsushige","non-dropping-particle":"","parse-names":false,"suffix":""},{"dropping-particle":"","family":"Kawahara","given":"Masahiro","non-dropping-particle":"","parse-names":false,"suffix":""},{"dropping-particle":"","family":"Andoh","given":"Akira","non-dropping-particle":"","parse-names":false,"suffix":""}],"container-title":"PloS one","id":"ITEM-1","issue":"10","issued":{"date-parts":[["2017"]]},"language":"eng","page":"e0185999","title":"Nanoparticle curcumin ameliorates experimental colitis via modulation of gut  microbiota and induction of regulatory T cells.","type":"article-journal","volume":"12"},"uris":["http://www.mendeley.com/documents/?uuid=33013d24-5442-4108-bebc-a34bb597512c"]},{"id":"ITEM-2","itemData":{"DOI":"10.1016/j.chom.2018.10.001","ISSN":"1934-6069 (Electronic)","PMID":"30449315","abstract":"The gut microbiota can be altered by dietary interventions to prevent and treat  various diseases. However, the mechanisms by which food products modulate commensals remain largely unknown. We demonstrate that plant-derived exosome-like nanoparticles (ELNs) are taken up by the gut microbiota and contain RNAs that alter microbiome composition and host physiology. Ginger ELNs (GELNs) are preferentially taken up by Lactobacillaceae in a GELN lipid-dependent manner and contain microRNAs that target various genes in Lactobacillus rhamnosus (LGG). Among these, GELN mdo-miR7267-3p-mediated targeting of the LGG monooxygenase ycnE yields increased indole-3-carboxaldehyde (I3A). GELN-RNAs or I3A, a ligand for aryl hydrocarbon receptor, are sufficient to induce production of IL-22, which is linked to barrier function improvement. These functions of GELN-RNAs can ameliorate mouse colitis via IL-22-dependent mechanisms. These findings reveal how plant products and their effects on the microbiome may be used to target specific host processes to alleviate disease.","author":[{"dropping-particle":"","family":"Teng","given":"Yun","non-dropping-particle":"","parse-names":false,"suffix":""},{"dropping-particle":"","family":"Ren","given":"Yi","non-dropping-particle":"","parse-names":false,"suffix":""},{"dropping-particle":"","family":"Sayed","given":"Mohammed","non-dropping-particle":"","parse-names":false,"suffix":""},{"dropping-particle":"","family":"Hu","given":"Xin","non-dropping-particle":"","parse-names":false,"suffix":""},{"dropping-particle":"","family":"Lei","given":"Chao","non-dropping-particle":"","parse-names":false,"suffix":""},{"dropping-particle":"","family":"Kumar","given":"Anil","non-dropping-particle":"","parse-names":false,"suffix":""},{"dropping-particle":"","family":"Hutchins","given":"Elizabeth","non-dropping-particle":"","parse-names":false,"suffix":""},{"dropping-particle":"","family":"Mu","given":"Jingyao","non-dropping-particle":"","parse-names":false,"suffix":""},{"dropping-particle":"","family":"Deng","given":"Zhongbin","non-dropping-particle":"","parse-names":false,"suffix":""},{"dropping-particle":"","family":"Luo","given":"Chao","non-dropping-particle":"","parse-names":false,"suffix":""},{"dropping-particle":"","family":"Sundaram","given":"Kumaran","non-dropping-particle":"","parse-names":false,"suffix":""},{"dropping-particle":"","family":"Sriwastva","given":"Mukesh K","non-dropping-particle":"","parse-names":false,"suffix":""},{"dropping-particle":"","family":"Zhang","given":"Lifeng","non-dropping-particle":"","parse-names":false,"suffix":""},{"dropping-particle":"","family":"Hsieh","given":"Michael","non-dropping-particle":"","parse-names":false,"suffix":""},{"dropping-particle":"","family":"Reiman","given":"Rebecca","non-dropping-particle":"","parse-names":false,"suffix":""},{"dropping-particle":"","family":"Haribabu","given":"Bodduluri","non-dropping-particle":"","parse-names":false,"suffix":""},{"dropping-particle":"","family":"Yan","given":"Jun","non-dropping-particle":"","parse-names":false,"suffix":""},{"dropping-particle":"","family":"Jala","given":"Venkatakrishna Rao","non-dropping-particle":"","parse-names":false,"suffix":""},{"dropping-particle":"","family":"Miller","given":"Donald M","non-dropping-particle":"","parse-names":false,"suffix":""},{"dropping-particle":"","family":"Keuren-Jensen","given":"Kendall","non-dropping-particle":"Van","parse-names":false,"suffix":""},{"dropping-particle":"","family":"Merchant","given":"Michael L","non-dropping-particle":"","parse-names":false,"suffix":""},{"dropping-particle":"","family":"McClain","given":"Craig J","non-dropping-particle":"","parse-names":false,"suffix":""},{"dropping-particle":"","family":"Park","given":"Juw Won","non-dropping-particle":"","parse-names":false,"suffix":""},{"dropping-particle":"","family":"Egilmez","given":"Nejat K","non-dropping-particle":"","parse-names":false,"suffix":""},{"dropping-particle":"","family":"Zhang","given":"Huang-Ge","non-dropping-particle":"","parse-names":false,"suffix":""}],"container-title":"Cell host &amp; microbe","id":"ITEM-2","issue":"5","issued":{"date-parts":[["2018","11"]]},"language":"eng","page":"637-652.e8","title":"Plant-Derived Exosomal MicroRNAs Shape the Gut Microbiota.","type":"article-journal","volume":"24"},"uris":["http://www.mendeley.com/documents/?uuid=fb768754-472a-4487-b9b3-6f12987fc680"]}],"mendeley":{"formattedCitation":"[31,32]","plainTextFormattedCitation":"[31,32]","previouslyFormattedCitation":"[305,306]"},"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[31,32]</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Ginger NPs are made to contain microRNA that may help mice colitis, whereas studies have indicated that curcumin NPs inhibit the development of mouse colitis by increasing butyrate-producing bacteria and regulatory T cells (Tregs). Extracellular vesicles from other natural sources, such as milk, altered intestinal short chain fatty acids (SCFA) metabolites boosted gut immunity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{"citationItems":[{"id":"ITEM-1","itemData":{"DOI":"10.1002/mnfr.201901251","ISSN":"1613-4133 (Electronic)","PMID":"32180343","abstract":"SCOPE: Milk-derived extracellular vesicles (mEVs) as nanoparticles are being  developed as novel drug vehicles due to their pivotal role in cell-cell communication. As an important bioactive component in milk, little is known about their effect on the gut microbiota and intestinal immunity. Therefore, the effects of mEVs on gut microbiota and intestinal immunity in mice are investigated. METHODS AND RESULTS: First, a new method to obtain high-yield mEVs is developed. Afterward, the colonic contents from C57BL/6 mice fed different doses of mEVs (8 weeks) are collected and the microbial composition via 16S rRNA gene sequencing is analyzed. It is found that mEVs could alter the gut microbiota composition and modulate their metabolites-short-chain fatty acids (SCFAs). Furthermore, the effects of mEVs on intestinal immunity are evaluated. It is observed that the expression levels of Muc2, RegIIIγ, Myd88, GATA4 genes, and IgA, sIgA are increased in the intestine, which are significant for the integrity of the mucus layer. CONCLUSION: These findings reveal that the genes with critical importance for intestinal barrier function and immune regulation are modified in mice by oral administration mEVs, which also result in the changes of the relative composition of gut microbiome and SCFAs.","author":[{"dropping-particle":"","family":"Tong","given":"Lingjun","non-dropping-particle":"","parse-names":false,"suffix":""},{"dropping-particle":"","family":"Hao","given":"Haining","non-dropping-particle":"","parse-names":false,"suffix":""},{"dropping-particle":"","family":"Zhang","given":"Xinyi","non-dropping-particle":"","parse-names":false,"suffix":""},{"dropping-particle":"","family":"Zhang","given":"Zhe","non-dropping-particle":"","parse-names":false,"suffix":""},{"dropping-particle":"","family":"Lv","given":"Youyou","non-dropping-particle":"","parse-names":false,"suffix":""},{"dropping-particle":"","family":"Zhang","given":"Lanwei","non-dropping-particle":"","parse-names":false,"suffix":""},{"dropping-particle":"","family":"Yi","given":"Huaxi","non-dropping-particle":"","parse-names":false,"suffix":""}],"container-title":"Molecular nutrition &amp; food research","id":"ITEM-1","issue":"8","issued":{"date-parts":[["2020","4"]]},"language":"eng","page":"e1901251","publisher-place":"Germany","title":"Oral Administration of Bovine Milk-Derived Extracellular Vesicles Alters the Gut  Microbiota and Enhances Intestinal Immunity in Mice.","type":"article-journal","volume":"64"},"uris":["http://www.mendeley.com/documents/?uuid=364c1698-beb9-464c-9a5e-b6f176061fc1"]}],"mendeley":{"formattedCitation":"[33]","plainTextFormattedCitation":"[33]","previouslyFormattedCitation":"[307]"},"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[33]</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w:t>
      </w:r>
    </w:p>
    <w:p w14:paraId="23725E18" w14:textId="0BCAC376" w:rsidR="005914AF" w:rsidRPr="003F7121" w:rsidRDefault="005914AF" w:rsidP="005914AF">
      <w:pPr>
        <w:autoSpaceDE w:val="0"/>
        <w:autoSpaceDN w:val="0"/>
        <w:adjustRightInd w:val="0"/>
        <w:spacing w:line="360" w:lineRule="auto"/>
        <w:ind w:firstLine="720"/>
        <w:jc w:val="both"/>
        <w:rPr>
          <w:rFonts w:ascii="Times New Roman" w:hAnsi="Times New Roman" w:cs="Times New Roman"/>
          <w:sz w:val="24"/>
          <w:szCs w:val="24"/>
        </w:rPr>
      </w:pPr>
      <w:r w:rsidRPr="003F7121">
        <w:rPr>
          <w:rFonts w:ascii="Times New Roman" w:hAnsi="Times New Roman" w:cs="Times New Roman"/>
          <w:sz w:val="24"/>
          <w:szCs w:val="24"/>
        </w:rPr>
        <w:t xml:space="preserve">The ability to conceal NPs with natural cell membrane coating allows for their continued circulation and ultimate targeted administration. One of the most researched cell membrane-based nanocarriers for medication delivery to target tumour cells is red blood cell (RBC) membrane-coated NPs. Furthermore, inorganic NPs, particularly, such as silver, titanium dioxide, silicon dioxide and zinc oxide have been shown to affect gut microbiota through their interaction with the immune system. This alteration in the gut microbiota-immune axis is associated with many chronic diseases such as inflammatory bowel disease (IBD), diabetes and even colorectal cancer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{"citationItems":[{"id":"ITEM-1","itemData":{"DOI":"10.1038/ni.3772","ISSN":"1529-2916","abstract":"Beyaert, Karin and colleagues discuss the key molecular mechanisms that contribute to the self-limiting nature of inflammatory signaling, with emphasis on the negative regulation of the NF-κB pathway and the NLRP3 inflammasome.","author":[{"dropping-particle":"","family":"Afonina","given":"Inna S","non-dropping-particle":"","parse-names":false,"suffix":""},{"dropping-particle":"","family":"Zhong","given":"Zhenyu","non-dropping-particle":"","parse-names":false,"suffix":""},{"dropping-particle":"","family":"Karin","given":"Michael","non-dropping-particle":"","parse-names":false,"suffix":""},{"dropping-particle":"","family":"Beyaert","given":"Rudi","non-dropping-particle":"","parse-names":false,"suffix":""}],"container-title":"Nature Immunology","id":"ITEM-1","issue":"8","issued":{"date-parts":[["2017"]]},"page":"861-869","title":"Limiting inflammation—the negative regulation of NF-κB and the NLRP3 inflammasome","type":"article-journal","volume":"18"},"uris":["http://www.mendeley.com/documents/?uuid=6fa3cc31-fa70-497e-8c3f-97edb9097154"]},{"id":"ITEM-2","itemData":{"DOI":"10.1210/er.2017-00192","ISSN":"1945-7189 (Electronic)","PMID":"29309555","abstract":"The pathophysiology of obesity and obesity-related diseases such as type 2  diabetes mellitus (T2DM) is complex and driven by many factors. One of the most recently identified factors in development of these metabolic pathologies is the gut microbiota. The introduction of affordable, high-throughput sequencing technologies has substantially expanded our understanding of the role of the gut microbiome in modulation of host metabolism and (cardio)metabolic disease development. Nevertheless, evidence for a role of the gut microbiome as a causal, driving factor in disease development mainly originates from studies in mouse models: data showing causality in humans are scarce. In this review, we will discuss the quality of evidence supporting a causal role for the gut microbiome in the development of obesity and diabetes, in particular T2DM, in humans. Considering overlap in potential mechanisms, the role of the gut microbiome in type 1 diabetes mellitus will also be addressed. We will elaborate on factors that drive microbiome composition in humans and discuss how alterations in microbial composition or microbial metabolite production contribute to disease development. Challenging aspects in determining causality in humans will be postulated together with strategies that might hold potential to overcome these challenges. Furthermore, we will discuss means to modify gut microbiome composition in humans to help establish causality and discuss systems biology approaches that might hold the key to unravelling the role of the gut microbiome in obesity and T2DM.","author":[{"dropping-particle":"","family":"Meijnikman","given":"Abraham S","non-dropping-particle":"","parse-names":false,"suffix":""},{"dropping-particle":"","family":"Gerdes","given":"Victor E","non-dropping-particle":"","parse-names":false,"suffix":""},{"dropping-particle":"","family":"Nieuwdorp","given":"Max","non-dropping-particle":"","parse-names":false,"suffix":""},{"dropping-particle":"","family":"Herrema","given":"Hilde","non-dropping-particle":"","parse-names":false,"suffix":""}],"container-title":"Endocrine reviews","id":"ITEM-2","issue":"2","issued":{"date-parts":[["2018","4"]]},"language":"eng","page":"133-153","publisher-place":"United States","title":"Evaluating Causality of Gut Microbiota in Obesity and Diabetes in Humans.","type":"article-journal","volume":"39"},"uris":["http://www.mendeley.com/documents/?uuid=85af0e50-02c1-4622-a835-8a0f5f3ccadf"]}],"mendeley":{"formattedCitation":"[34,35]","plainTextFormattedCitation":"[34,35]","previouslyFormattedCitation":"[308,309]"},"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[34,35]</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Silver NPs are used in hundreds of commercial </w:t>
      </w:r>
      <w:r w:rsidRPr="003F7121">
        <w:rPr>
          <w:rFonts w:ascii="Times New Roman" w:hAnsi="Times New Roman" w:cs="Times New Roman"/>
          <w:sz w:val="24"/>
          <w:szCs w:val="24"/>
        </w:rPr>
        <w:lastRenderedPageBreak/>
        <w:t xml:space="preserve">products due to their anti-microbial properties and intentional and accidental uptake of silver NPs, which might affect the gut microbiome, are underestimated. Titanium dioxide nanoparticles, which are typically found in daily necessities, also alter the morphology and metabolism of the gut microbiota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{"citationItems":[{"id":"ITEM-1","itemData":{"DOI":"10.1186/s11671-018-2834-5","ISSN":"1556276X","abstract":"Titanium dioxide nanoparticles (TiO 2 NPs) were used worldwide for decades, and pregnant women are unable to avoid exposing to them. Studies revealed that TiO 2 NPs could kill many kinds of bacteria, but whether they would affect the composition of gut microbiota, especially during pregnancy, was seldom reported. And, what adverse effects may be brought to pregnant females was also unknown. In this study, we established the prenatal exposure model of rats to explore the effects of TiO 2 NPs on gut microbiota. We observed an increasing trend, but not a significant change of alpha-diversity among control and exposure groups at gestation day (GD) 10 and GD 17 during normal pregnancy process. Each different time point had unique gut microbiota operational taxonomic units (OTUs) characteristics. The abundance of Ellin6075 decreased at GD 10 and GD 17, Clostridiales increased at GD 10, and Dehalobacteriaceae decreased at GD 17 after TiO 2 NPs exposure. Further phylogenetic investigation of communities by reconstruction of unobserved states (PICRUSt) prediction indicated that the type 2 diabetes mellitus related genes were enhanced, and taurine metabolism was weakened at the second-trimester. Further study showed that the rats’ fasting blood glucose levels significantly increased at GD 10 (P &lt; 0.05) and GD 17 (P &lt; 0.01) after exposure. Our study pointed out that TiO 2 NPs induced the alteration of gut microbiota during pregnancy and increased the fasting blood glucose of pregnant rats, which might increase the potential risk of gestational diabetes of pregnant women.","author":[{"dropping-particle":"","family":"Mao","given":"Zhilei","non-dropping-particle":"","parse-names":false,"suffix":""},{"dropping-particle":"","family":"Li","given":"Yaqi","non-dropping-particle":"","parse-names":false,"suffix":""},{"dropping-particle":"","family":"Dong","given":"Tianyu","non-dropping-particle":"","parse-names":false,"suffix":""},{"dropping-particle":"","family":"Zhang","given":"Lina","non-dropping-particle":"","parse-names":false,"suffix":""},{"dropping-particle":"","family":"Zhang","given":"Yuqing","non-dropping-particle":"","parse-names":false,"suffix":""},{"dropping-particle":"","family":"Li","given":"Shushu","non-dropping-particle":"","parse-names":false,"suffix":""},{"dropping-particle":"","family":"Hu","given":"Haiting","non-dropping-particle":"","parse-names":false,"suffix":""},{"dropping-particle":"","family":"Sun","given":"Caifeng","non-dropping-particle":"","parse-names":false,"suffix":""},{"dropping-particle":"","family":"Xia","given":"Yankai","non-dropping-particle":"","parse-names":false,"suffix":""}],"container-title":"Nanoscale Research Letters","id":"ITEM-1","issued":{"date-parts":[["2019"]]},"publisher":"Nanoscale Research Letters","title":"Exposure to Titanium Dioxide Nanoparticles During Pregnancy Changed Maternal Gut Microbiota and Increased Blood Glucose of Rat","type":"article-journal","volume":"14"},"uris":["http://www.mendeley.com/documents/?uuid=fac67cd7-7e43-45c6-acad-b091dbad3088"]},{"id":"ITEM-2","itemData":{"DOI":"10.1039/C9NR07580A","author":[{"dropping-particle":"","family":"Chen","given":"Zhangjian","non-dropping-particle":"","parse-names":false,"suffix":""},{"dropping-particle":"","family":"Han","given":"Shuo","non-dropping-particle":"","parse-names":false,"suffix":""},{"dropping-particle":"","family":"Zhou Di","given":"</w:instrText>
      </w:r>
      <w:r w:rsidRPr="003F7121">
        <w:rPr>
          <w:rFonts w:ascii="Times New Roman" w:eastAsia="MS Gothic" w:hAnsi="Times New Roman" w:cs="Times New Roman"/>
          <w:sz w:val="24"/>
          <w:szCs w:val="24"/>
        </w:rPr>
        <w:instrText>周迪</w:instrText>
      </w:r>
      <w:r w:rsidRPr="003F7121">
        <w:rPr>
          <w:rFonts w:ascii="Times New Roman" w:hAnsi="Times New Roman" w:cs="Times New Roman"/>
          <w:sz w:val="24"/>
          <w:szCs w:val="24"/>
        </w:rPr>
        <w:instrText>","non-dropping-particle":"","parse-names":false,"suffix":""},{"dropping-particle":"","family":"Zhou","given":"Shupei","non-dropping-particle":"","parse-names":false,"suffix":""},{"dropping-particle":"","family":"Jia","given":"Guang","non-dropping-particle":"","parse-names":false,"suffix":""}],"container-title":"Nanoscale","id":"ITEM-2","issued":{"date-parts":[["2019","10","23"]]},"title":"Effects of oral exposure to titanium dioxide nanoparticles on gut microbiota and gut-associated metabolism in vivo","type":"article-journal","volume":"11"},"uris":["http://www.mendeley.com/documents/?uuid=0a61029b-8d0d-421f-9690-e8a8d472b43c"]}],"mendeley":{"formattedCitation":"[36,37]","plainTextFormattedCitation":"[36,37]","previouslyFormattedCitation":"[310,311]"},"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[36,37]</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The detailed discerption for major diseases and the use of nanotechnology in targeted disease and gut microbiome is given below.</w:t>
      </w:r>
    </w:p>
    <w:p w14:paraId="75907F3B" w14:textId="77777777" w:rsidR="005914AF" w:rsidRPr="003F7121" w:rsidRDefault="005914AF" w:rsidP="005914AF">
      <w:pPr>
        <w:pStyle w:val="ListParagraph"/>
        <w:widowControl/>
        <w:numPr>
          <w:ilvl w:val="0"/>
          <w:numId w:val="2"/>
        </w:numPr>
        <w:autoSpaceDE/>
        <w:autoSpaceDN/>
        <w:spacing w:after="160" w:line="360" w:lineRule="auto"/>
        <w:jc w:val="both"/>
        <w:rPr>
          <w:rFonts w:ascii="Times New Roman" w:eastAsia="Times New Roman" w:hAnsi="Times New Roman" w:cs="Times New Roman"/>
          <w:b/>
          <w:bCs/>
          <w:vanish/>
          <w:sz w:val="24"/>
          <w:szCs w:val="24"/>
          <w:lang w:eastAsia="en-IN"/>
        </w:rPr>
      </w:pPr>
    </w:p>
    <w:p w14:paraId="436DE355" w14:textId="77777777" w:rsidR="005914AF" w:rsidRPr="003F7121" w:rsidRDefault="005914AF" w:rsidP="005914AF">
      <w:pPr>
        <w:pStyle w:val="ListParagraph"/>
        <w:widowControl/>
        <w:numPr>
          <w:ilvl w:val="0"/>
          <w:numId w:val="2"/>
        </w:numPr>
        <w:autoSpaceDE/>
        <w:autoSpaceDN/>
        <w:spacing w:after="160" w:line="360" w:lineRule="auto"/>
        <w:jc w:val="both"/>
        <w:rPr>
          <w:rFonts w:ascii="Times New Roman" w:eastAsia="Times New Roman" w:hAnsi="Times New Roman" w:cs="Times New Roman"/>
          <w:b/>
          <w:bCs/>
          <w:vanish/>
          <w:sz w:val="24"/>
          <w:szCs w:val="24"/>
          <w:lang w:eastAsia="en-IN"/>
        </w:rPr>
      </w:pPr>
    </w:p>
    <w:p w14:paraId="69B7191B" w14:textId="77777777" w:rsidR="005914AF" w:rsidRPr="003F7121" w:rsidRDefault="005914AF" w:rsidP="005914AF">
      <w:pPr>
        <w:spacing w:line="360" w:lineRule="auto"/>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b/>
          <w:bCs/>
          <w:sz w:val="24"/>
          <w:szCs w:val="24"/>
          <w:lang w:eastAsia="en-IN"/>
        </w:rPr>
        <w:t>Inflammation/Arthritis</w:t>
      </w:r>
    </w:p>
    <w:p w14:paraId="304B09DC" w14:textId="037291C4"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t xml:space="preserve">Probiotics are exhibit a direct effect on the gastrointestinal tract, these effects lead to an impact on immunity, via changes in inflammatory cytokines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{"citationItems":[{"id":"ITEM-1","itemData":{"DOI":"10.1038/nri3312","ISSN":"1474-1741 (Electronic)","PMID":"23007572","abstract":"Probiotics and prebiotics are increasingly being added to foodstuffs with claims of  health benefits. Probiotics are live microorganisms that are thought to have beneficial effects on the host, whereas prebiotics are ingredients that stimulate the growth and/or function of beneficial intestinal microorganisms. But can these products directly modulate immune function and influence inflammatory diseases? Here, Nature Reviews Immunology asks four experts to discuss these issues and provide their thoughts on the future application of probiotics as a disease therapy.","author":[{"dropping-particle":"","family":"Klaenhammer","given":"Todd R","non-dropping-particle":"","parse-names":false,"suffix":""},{"dropping-particle":"","family":"Kleerebezem","given":"Michiel","non-dropping-particle":"","parse-names":false,"suffix":""},{"dropping-particle":"","family":"Kopp","given":"Matthias Volkmar","non-dropping-particle":"","parse-names":false,"suffix":""},{"dropping-particle":"","family":"Rescigno","given":"Maria","non-dropping-particle":"","parse-names":false,"suffix":""}],"container-title":"Nature reviews. Immunology","id":"ITEM-1","issue":"10","issued":{"date-parts":[["2012","10"]]},"language":"eng","page":"728-734","publisher-place":"England","title":"The impact of probiotics and prebiotics on the immune system.","type":"article","volume":"12"},"uris":["http://www.mendeley.com/documents/?uuid=0e19d53e-0775-4dba-a075-1f6eed75d1cb"]}],"mendeley":{"formattedCitation":"[38]","plainTextFormattedCitation":"[38]","previouslyFormattedCitation":"[212]"},"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[38]</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Inflammation associated with rheumatoid arthritis may be modulated by the use of probiotics. </w:t>
      </w:r>
      <w:r w:rsidRPr="003F7121">
        <w:rPr>
          <w:rFonts w:ascii="Times New Roman" w:eastAsia="Times New Roman" w:hAnsi="Times New Roman" w:cs="Times New Roman"/>
          <w:i/>
          <w:iCs/>
          <w:spacing w:val="-1"/>
          <w:sz w:val="24"/>
          <w:szCs w:val="24"/>
          <w:lang w:val="en-US"/>
        </w:rPr>
        <w:t>Lactobacillus</w:t>
      </w:r>
      <w:r w:rsidRPr="003F7121">
        <w:rPr>
          <w:rFonts w:ascii="Times New Roman" w:eastAsia="Times New Roman" w:hAnsi="Times New Roman" w:cs="Times New Roman"/>
          <w:spacing w:val="-1"/>
          <w:sz w:val="24"/>
          <w:szCs w:val="24"/>
          <w:lang w:val="en-US"/>
        </w:rPr>
        <w:t xml:space="preserve"> GG has a potential character to reinforce mucosal barrier mechanisms in inflammation. Probiotics are known to increase phagocytosis and also help to increase anti-inflammatory cytokines like TNF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{"citationItems":[{"id":"ITEM-1","itemData":{"DOI":"10.1093/ajcn/73.2.361s","ISSN":"0002-9165 (Print)","PMID":"11157342","abstract":"Definitions of different pro-, pre-, and synbiotics suggested by different  investigators are critically discussed. On the basis of this analysis, the probiotic concept is confined to effects exerted by viable microorganisms but is applicable independent of the site of action and route of administration. It therefore may include sites such as the oral cavity, the intestine, the vagina, and the skin.","author":[{"dropping-particle":"","family":"Schrezenmeir","given":"J","non-dropping-particle":"","parse-names":false,"suffix":""},{"dropping-particle":"","family":"Vrese","given":"M","non-dropping-particle":"de","parse-names":false,"suffix":""}],"container-title":"The American journal of clinical nutrition","id":"ITEM-1","issue":"2 Suppl","issued":{"date-parts":[["2001","2"]]},"language":"eng","page":"361S-364S","publisher-place":"United States","title":"Probiotics, prebiotics, and synbiotics--approaching a definition.","type":"article-journal","volume":"73"},"uris":["http://www.mendeley.com/documents/?uuid=464a37ae-bcab-466d-b5ae-c5da94847306"]}],"mendeley":{"formattedCitation":"[39]","plainTextFormattedCitation":"[39]","previouslyFormattedCitation":"[171]"},"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[39]</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Nanotechnology is proven for modulation of microbiome and induce the secretion of short chain fatty acids such as butyrate, propionate etc. which is reported to decrease inflammation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{"citationItems":[{"id":"ITEM-1","itemData":{"DOI":"10.2217/nnm.13.63","ISSN":"1748-6963 (Electronic)","PMID":"23656266","abstract":"The understanding of the interactions between biological systems and  nanoengineered devices is crucial in several research fields, including tissue engineering, biomechanics, synthetic biology and biomedical devices. This review discusses the current knowledge of the interactions between bacteria and abiotic nanostructured substrates. First, the effects of randomly organized nanoscale topography on bacterial adhesion and persistence are described. Second, the interactions between microorganisms and highly organized/ordered micro- and nano-patterns are discussed. Finally, we survey the most promising approaches for the fabrication of silver polymeric nanocomposites, which have important applications as antimicrobial materials. The advantages, drawbacks and limitations of such nanotechnologies are critically discussed in view of potential future applications.","author":[{"dropping-particle":"","family":"Rizzello","given":"Loris","non-dropping-particle":"","parse-names":false,"suffix":""},{"dropping-particle":"","family":"Cingolani","given":"Roberto","non-dropping-particle":"","parse-names":false,"suffix":""},{"dropping-particle":"","family":"Pompa","given":"Pier Paolo","non-dropping-particle":"","parse-names":false,"suffix":""}],"container-title":"Nanomedicine (London, England)","id":"ITEM-1","issue":"5","issued":{"date-parts":[["2013","5"]]},"language":"eng","page":"807-821","publisher-place":"England","title":"Nanotechnology tools for antibacterial materials.","type":"article-journal","volume":"8"},"uris":["http://www.mendeley.com/documents/?uuid=ee766563-1e27-4eb5-a188-c6fbe0c0ae5a"]}],"mendeley":{"formattedCitation":"[40]","plainTextFormattedCitation":"[40]","previouslyFormattedCitation":"[312]"},"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[40]</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w:t>
      </w:r>
    </w:p>
    <w:p w14:paraId="49C609B9" w14:textId="411E444F" w:rsidR="005914AF" w:rsidRPr="003F7121" w:rsidRDefault="005914AF" w:rsidP="005914AF">
      <w:pPr>
        <w:autoSpaceDE w:val="0"/>
        <w:autoSpaceDN w:val="0"/>
        <w:adjustRightInd w:val="0"/>
        <w:spacing w:line="360" w:lineRule="auto"/>
        <w:ind w:right="-46" w:firstLine="567"/>
        <w:jc w:val="both"/>
        <w:rPr>
          <w:rFonts w:ascii="Times New Roman" w:hAnsi="Times New Roman" w:cs="Times New Roman"/>
          <w:sz w:val="24"/>
          <w:szCs w:val="24"/>
        </w:rPr>
      </w:pPr>
      <w:r w:rsidRPr="003F7121">
        <w:rPr>
          <w:rFonts w:ascii="Times New Roman" w:hAnsi="Times New Roman" w:cs="Times New Roman"/>
          <w:sz w:val="24"/>
          <w:szCs w:val="24"/>
        </w:rPr>
        <w:t xml:space="preserve">Free radicals have been linked to a number of pathological diseases, including cancer, ageing, diabetes, atherosclerosis, Alzheimer's, cardiovascular diseases, and more. However, excessive free radical production causes oxidative damage, which in turn results in a number of chronic diseases. Because of their harmful toxicity in synthetic materials, the use of synthetic antioxidants is restricted. As a result, natural antioxidants are now the focus of research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{"citationItems":[{"id":"ITEM-1","itemData":{"DOI":"10.4172/0974-8369.1000290","ISSN":"09748369","abstract":"In this paper, green synthesis of gold nanoparticles (AuNPs) using leaf extract of Lavender (Lavandula angustifolia) and their antioxidant activity was evaluated under the ambient aqueous phase condition. Assynthesized AuNPs were characterized by visual, ultraviolet-visible-near infrared (UV-vis-NIR) spectroscopy, transmission electron microscopy (TEM), and dynamic light scattering (DLS) technique. Formation of AuNPs produces an intense absorbance peak at 530 and 1055 nm in UV-visible spectroscopy. TEM and DLS results confirmed that the synthesized AuNPs were crystalline, polydisperse, quasi-spherical and triangular shape with an average size ranging from 34-300 nm. UV-vis-NIR, TEM, and DLS study showed that the phytochemicals from the Lavender leaf extract have dual properties of reducing and stabilizing agents. Further, AuNPs (21.53%, 0.2 mL) showed higher antioxidant activity than Lavender leaf extract (4.73%, 0.2 mL) against 2,2-diphenyl-1-picrylhydrazyl. On looking these advantages, green synthesis of AuNPs without inert atmosphere is highly recommended for future medicinal and industrial application.","author":[{"dropping-particle":"","family":"Kumar","given":"Brajesh","non-dropping-particle":"","parse-names":false,"suffix":""},{"dropping-particle":"","family":"Smita","given":"Kumari","non-dropping-particle":"","parse-names":false,"suffix":""},{"dropping-particle":"","family":"Vizuete","given":"Karla Sofía","non-dropping-particle":"","parse-names":false,"suffix":""},{"dropping-particle":"","family":"Cumbal","given":"Luis","non-dropping-particle":"","parse-names":false,"suffix":""}],"container-title":"Biology and Medicine","id":"ITEM-1","issue":"3","issued":{"date-parts":[["2016"]]},"page":"1-4","title":"Aqueous phase lavender leaf mediated green synthesis of gold nanoparticles and evaluation of its antioxidant activity","type":"article-journal","volume":"8"},"uris":["http://www.mendeley.com/documents/?uuid=a2bf035b-117c-498b-a995-d79048b8ec1e"]}],"mendeley":{"formattedCitation":"[41]","plainTextFormattedCitation":"[41]","previouslyFormattedCitation":"[313]"},"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[41]</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One of the key uses of the biologically created NPs is the search for green synthesised NPs for treating such free radical-related medical disorders.</w:t>
      </w:r>
    </w:p>
    <w:p w14:paraId="4D6FDF04" w14:textId="77777777" w:rsidR="005914AF" w:rsidRPr="003F7121" w:rsidRDefault="005914AF" w:rsidP="005914AF">
      <w:pPr>
        <w:spacing w:line="360" w:lineRule="auto"/>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b/>
          <w:bCs/>
          <w:sz w:val="24"/>
          <w:szCs w:val="24"/>
          <w:lang w:eastAsia="en-IN"/>
        </w:rPr>
        <w:t>Lactose intolerance</w:t>
      </w:r>
    </w:p>
    <w:p w14:paraId="57CB6A01" w14:textId="283D178F"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t xml:space="preserve">Lactose intolerance is the inability to digest milk sugar (lactose), or lactose digestive enzyme lactase. Consumption of lactose by those lacking lactase production in the small intestine can lead to lactose intolerance symptoms are gas, cramps, nausea, </w:t>
      </w:r>
      <w:proofErr w:type="spellStart"/>
      <w:r w:rsidRPr="003F7121">
        <w:rPr>
          <w:rFonts w:ascii="Times New Roman" w:eastAsia="Times New Roman" w:hAnsi="Times New Roman" w:cs="Times New Roman"/>
          <w:spacing w:val="-1"/>
          <w:sz w:val="24"/>
          <w:szCs w:val="24"/>
          <w:lang w:val="en-US"/>
        </w:rPr>
        <w:t>diarrhoea</w:t>
      </w:r>
      <w:proofErr w:type="spellEnd"/>
      <w:r w:rsidRPr="003F7121">
        <w:rPr>
          <w:rFonts w:ascii="Times New Roman" w:eastAsia="Times New Roman" w:hAnsi="Times New Roman" w:cs="Times New Roman"/>
          <w:spacing w:val="-1"/>
          <w:sz w:val="24"/>
          <w:szCs w:val="24"/>
          <w:lang w:val="en-US"/>
        </w:rPr>
        <w:t>, abdominal pain and flatulence. Lactose intolerance can be cured by administrating probiotic bacteria. Probiotic microorganisms like </w:t>
      </w:r>
      <w:r w:rsidRPr="003F7121">
        <w:rPr>
          <w:rFonts w:ascii="Times New Roman" w:eastAsia="Times New Roman" w:hAnsi="Times New Roman" w:cs="Times New Roman"/>
          <w:i/>
          <w:iCs/>
          <w:spacing w:val="-1"/>
          <w:sz w:val="24"/>
          <w:szCs w:val="24"/>
          <w:lang w:val="en-US"/>
        </w:rPr>
        <w:t>L. acidophilus</w:t>
      </w:r>
      <w:r w:rsidRPr="003F7121">
        <w:rPr>
          <w:rFonts w:ascii="Times New Roman" w:eastAsia="Times New Roman" w:hAnsi="Times New Roman" w:cs="Times New Roman"/>
          <w:spacing w:val="-1"/>
          <w:sz w:val="24"/>
          <w:szCs w:val="24"/>
          <w:lang w:val="en-US"/>
        </w:rPr>
        <w:t> and </w:t>
      </w:r>
      <w:r w:rsidRPr="003F7121">
        <w:rPr>
          <w:rFonts w:ascii="Times New Roman" w:eastAsia="Times New Roman" w:hAnsi="Times New Roman" w:cs="Times New Roman"/>
          <w:i/>
          <w:iCs/>
          <w:spacing w:val="-1"/>
          <w:sz w:val="24"/>
          <w:szCs w:val="24"/>
          <w:lang w:val="en-US"/>
        </w:rPr>
        <w:t>Bifidobacterial</w:t>
      </w:r>
      <w:r w:rsidRPr="003F7121">
        <w:rPr>
          <w:rFonts w:ascii="Times New Roman" w:eastAsia="Times New Roman" w:hAnsi="Times New Roman" w:cs="Times New Roman"/>
          <w:spacing w:val="-1"/>
          <w:sz w:val="24"/>
          <w:szCs w:val="24"/>
          <w:lang w:val="en-US"/>
        </w:rPr>
        <w:t xml:space="preserve"> reported improving lactose digestion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{"citationItems":[{"id":"ITEM-1","itemData":{"DOI":"10.1186/1476-511X-10-116","ISSN":"0099-2240 (Print)","PMID":"12906100","abstract":"We report the identification and chemical characterization of four antifungal substances, 3-(R)-hydroxydecanoic acid, 3-hydroxy-5-cis-dodecenoic acid, 3-(R)-hydroxydodecanoic acid and 3-(R)-hydroxytetradecanoic acid, from Lactobacillus plantarum MiLAB 14. The concentrations of the 3-hydroxy fatty acids in the supernatant followed the bacterial growth. Racemic mixtures of the saturated 3-hydroxy fatty acids showed antifungal activity against different molds and yeasts with MICs between 10 and 100 micrograms ml-1.","author":[{"dropping-particle":"","family":"Lebeer","given":"Sarah","non-dropping-particle":"","parse-names":false,"suffix":""},{"dropping-particle":"","family":"Vanderleyden","given":"Jos","non-dropping-particle":"","parse-names":false,"suffix":""},{"dropping-particle":"","family":"Keersmaecker","given":"Sigrid C J","non-dropping-particle":"De","parse-names":false,"suffix":""},{"dropping-particle":"","family":"Guarner","given":"Francisco","non-dropping-particle":"","parse-names":false,"suffix":""},{"dropping-particle":"","family":"Perdigon","given":"Gabriela","non-dropping-particle":"","parse-names":false,"suffix":""},{"dropping-particle":"","family":"Corthier","given":"Gérard","non-dropping-particle":"","parse-names":false,"suffix":""},{"dropping-particle":"","family":"Salminen","given":"Seppo J","non-dropping-particle":"","parse-names":false,"suffix":""},{"dropping-particle":"","family":"Koletzko","given":"Berthold","non-dropping-particle":"","parse-names":false,"suffix":""},{"dropping-particle":"","family":"Morelli","given":"Lorenzo","non-dropping-particle":"","parse-names":false,"suffix":""},{"dropping-particle":"","family":"Naidu","given":"A S","non-dropping-particle":"","parse-names":false,"suffix":""},{"dropping-particle":"","family":"Bidlack","given":"W R","non-dropping-particle":"","parse-names":false,"suffix":""},{"dropping-particle":"","family":"Clemens","given":"R A","non-dropping-particle":"","parse-names":false,"suffix":""},{"dropping-particle":"","family":"Buck","given":"B Logan","non-dropping-particle":"","parse-names":false,"suffix":""},{"dropping-particle":"","family":"Altermann","given":"Eric","non-dropping-particle":"","parse-names":false,"suffix":""},{"dropping-particle":"","family":"Svingerud","given":"Tina","non-dropping-particle":"","parse-names":false,"suffix":""},{"dropping-particle":"","family":"Klaenhammer","given":"Todd R","non-dropping-particle":"","parse-names":false,"suffix":""},{"dropping-particle":"","family":"Tassell","given":"Maxwell L","non-dropping-particle":"Van","parse-names":false,"suffix":""},{"dropping-particle":"","family":"Miller","given":"Michael J","non-dropping-particle":"","parse-names":false,"suffix":""},{"dropping-particle":"","family":"Schiffrin","given":"E J","non-dropping-particle":"","parse-names":false,"suffix":""},{"dropping-particle":"","family":"Brassart","given":"D","non-dropping-particle":"","parse-names":false,"suffix":""},{"dropping-particle":"","family":"Servin","given":"Alain L","non-dropping-particle":"","parse-names":false,"suffix":""},{"dropping-particle":"","family":"Rochat","given":"F","non-dropping-particle":"","parse-names":false,"suffix":""},{"dropping-particle":"","family":"Donnet-Hughes","given":"A","non-dropping-particle":"","parse-names":false,"suffix":""},{"dropping-particle":"","family":"Juntunen","given":"M","non-dropping-particle":"","parse-names":false,"suffix":""},{"dropping-particle":"V","family":"Kirjavainen","given":"P","non-dropping-particle":"","parse-names":false,"suffix":""},{"dropping-particle":"","family":"Ouwehand","given":"Arthur C","non-dropping-particle":"","parse-names":false,"suffix":""},{"dropping-particle":"","family":"Salminen","given":"Seppo J","non-dropping-particle":"","parse-names":false,"suffix":""},{"dropping-particle":"","family":"Isolauri","given":"E","non-dropping-particle":"","parse-names":false,"suffix":""},{"dropping-particle":"","family":"Kim","given":"Young S","non-dropping-particle":"","parse-names":false,"suffix":""},{"dropping-particle":"","family":"Ho","given":"Samuel B","non-dropping-particle":"","parse-names":false,"suffix":""},{"dropping-particle":"","family":"Larsen","given":"Nadja","non-dropping-particle":"","parse-names":false,"suffix":""},{"dropping-particle":"","family":"Vogensen","given":"Finn K","non-dropping-particle":"","parse-names":false,"suffix":""},{"dropping-particle":"","family":"Berg","given":"Frans W J","non-dropping-particle":"van den","parse-names":false,"suffix":""},{"dropping-particle":"","family":"Nielsen","given":"Dennis Sandris","non-dropping-particle":"","parse-names":false,"suffix":""},{"dropping-particle":"","family":"Andreasen","given":"Anne Sofie","non-dropping-particle":"","parse-names":false,"suffix":""},{"dropping-particle":"","family":"Pedersen","given":"Bente Klarlund","non-dropping-particle":"","parse-names":false,"suffix":""},{"dropping-particle":"","family":"Al-Soud","given":"Waleed Abu","non-dropping-particle":"","parse-names":false,"suffix":""},{"dropping-particle":"","family":"Sørensen","given":"Søren J","non-dropping-particle":"","parse-names":false,"suffix":""},{"dropping-particle":"","family":"Hansen","given":"Lars H","non-dropping-particle":"","parse-names":false,"suffix":""},{"dropping-particle":"","family":"Jakobsen","given":"Mogens","non-dropping-particle":"","parse-names":false,"suffix":""},{"dropping-particle":"","family":"Hirano","given":"Jyunko","non-dropping-particle":"","parse-names":false,"suffix":""},{"dropping-particle":"","family":"Yoshida","given":"Tomoaki","non-dropping-particle":"","parse-names":false,"suffix":""},{"dropping-particle":"","family":"Sugiyama","given":"Tsuyoshi","non-dropping-particle":"","parse-names":false,"suffix":""},{"dropping-particle":"","family":"Koide","given":"Naoki","non-dropping-particle":"","parse-names":false,"suffix":""},{"dropping-particle":"","family":"Mori","given":"Isamu","non-dropping-particle":"","parse-names":false,"suffix":""},{"dropping-particle":"","family":"Yokochi","given":"Takashi","non-dropping-particle":"","parse-names":false,"suffix":""},{"dropping-particle":"","family":"Gismondo","given":"M R","non-dropping-particle":"","parse-names":false,"suffix":""},{"dropping-particle":"","family":"Drago","given":"L","non-dropping-particle":"","parse-names":false,"suffix":""},{"dropping-particle":"","family":"Lombardi","given":"A","non-dropping-particle":"","parse-names":false,"suffix":""},{"dropping-particle":"","family":"Ohland","given":"Christina L","non-dropping-particle":"","parse-names":false,"suffix":""},{"dropping-particle":"","family":"Macnaughton","given":"Wallace K","non-dropping-particle":"","parse-names":false,"suffix":""},{"dropping-particle":"","family":"Alakomi","given":"H L","non-dropping-particle":"","parse-names":false,"suffix":""},{"dropping-particle":"","family":"Skyttä","given":"E","non-dropping-particle":"","parse-names":false,"suffix":""},{"dropping-particle":"","family":"Saarela","given":"M","non-dropping-particle":"","parse-names":false,"suffix":""},{"dropping-particle":"","family":"Mattila-Sandholm","given":"T","non-dropping-particle":"","parse-names":false,"suffix":""},{"dropping-particle":"","family":"Latva-Kala","given":"K","non-dropping-particle":"","parse-names":false,"suffix":""},{"dropping-particle":"","family":"Helander","given":"I M","non-dropping-particle":"","parse-names":false,"suffix":""},{"dropping-particle":"","family":"Pereira","given":"Dora I A","non-dropping-particle":"","parse-names":false,"suffix":""},{"dropping-particle":"","family":"Gibson","given":"Glenn R.","non-dropping-particle":"","parse-names":false,"suffix":""},{"dropping-particle":"","family":"Usman","given":"","non-dropping-particle":"","parse-names":false,"suffix":""},{"dropping-particle":"","family":"Hosono","given":"A","non-dropping-particle":"","parse-names":false,"suffix":""},{"dropping-particle":"","family":"PULUSANI","given":"S R","non-dropping-particle":"","parse-names":false,"suffix":""},{"dropping-particle":"","family":"RAO","given":"D R","non-dropping-particle":"","parse-names":false,"suffix":""},{"dropping-particle":"","family":"Fair","given":"Richard J","non-dropping-particle":"","parse-names":false,"suffix":""},{"dropping-particle":"","family":"Tor","given":"Yitzhak","non-dropping-particle":"","parse-names":false,"suffix":""},{"dropping-particle":"","family":"Gionchetti","given":"P","non-dropping-particle":"","parse-names":false,"suffix":""},{"dropping-particle":"","family":"Rizzello","given":"F","non-dropping-particle":"","parse-names":false,"suffix":""},{"dropping-particle":"","family":"Venturi","given":"A","non-dropping-particle":"","parse-names":false,"suffix":""},{"dropping-particle":"","family":"Campieri","given":"M","non-dropping-particle":"","parse-names":false,"suffix":""},{"dropping-particle":"","family":"Gorbach","given":"S L","non-dropping-particle":"","parse-names":false,"suffix":""},{"dropping-particle":"","family":"Chang","given":"T W","non-dropping-particle":"","parse-names":false,"suffix":""},{"dropping-particle":"","family":"Goldin","given":"B","non-dropping-particle":"","parse-names":false,"suffix":""},{"dropping-particle":"","family":"Pelto","given":"L","non-dropping-particle":"","parse-names":false,"suffix":""},{"dropping-particle":"","family":"Isolauri","given":"E","non-dropping-particle":"","parse-names":false,"suffix":""},{"dropping-particle":"","family":"Lilius","given":"E M","non-dropping-particle":"","parse-names":false,"suffix":""},{"dropping-particle":"","family":"Nuutila","given":"J","non-dropping-particle":"","parse-names":false,"suffix":""},{"dropping-particle":"","family":"Salminen","given":"Seppo J","non-dropping-particle":"","parse-names":false,"suffix":""},{"dropping-particle":"","family":"Vanderhoof","given":"J A","non-dropping-particle":"","parse-names":false,"suffix":""},{"dropping-particle":"","family":"Young","given":"R J","non-dropping-particle":"","parse-names":false,"suffix":""},{"dropping-particle":"","family":"Walker","given":"W A","non-dropping-particle":"","parse-names":false,"suffix":""},{"dropping-particle":"","family":"Schrezenmeir","given":"Jürgen","non-dropping-particle":"","parse-names":false,"suffix":""},{"dropping-particle":"","family":"Vrese","given":"Michael","non-dropping-particle":"de","parse-names":false,"suffix":""},{"dropping-particle":"","family":"Cunningham-Rundles","given":"S","non-dropping-particle":"","parse-names":false,"suffix":""},{"dropping-particle":"","family":"Ahrné","given":"S","non-dropping-particle":"","parse-names":false,"suffix":""},{"dropping-particle":"","family":"Bengmark","given":"S","non-dropping-particle":"","parse-names":false,"suffix":""},{"dropping-particle":"","family":"Johann-Liang","given":"R","non-dropping-particle":"","parse-names":false,"suffix":""},{"dropping-particle":"","family":"Marshall","given":"F","non-dropping-particle":"","parse-names":false,"suffix":""},{"dropping-particle":"","family":"Metakis","given":"L","non-dropping-particle":"","parse-names":false,"suffix":""},{"dropping-particle":"","family":"Califano","given":"C","non-dropping-particle":"","parse-names":false,"suffix":""},{"dropping-particle":"","family":"Dunn","given":"A M","non-dropping-particle":"","parse-names":false,"suffix":""},{"dropping-particle":"","family":"Grassey","given":"C","non-dropping-particle":"","parse-names":false,"suffix":""},{"dropping-particle":"","family":"Hinds","given":"G","non-dropping-particle":"","parse-names":false,"suffix":""},{"dropping-particle":"","family":"Cervia","given":"J","non-dropping-particle":"","parse-names":false,"suffix":""},{"dropping-particle":"","family":"Klaenhammer","given":"Todd R","non-dropping-particle":"","parse-names":false,"suffix":""},{"dropping-particle":"","family":"Kleerebezem","given":"Michiel","non-dropping-particle":"","parse-names":false,"suffix":""},{"dropping-particle":"","family":"Kopp","given":"Matthias Volkmar","non-dropping-particle":"","parse-names":false,"suffix":""},{"dropping-particle":"","family":"Rescigno","given":"Maria","non-dropping-particle":"","parse-names":false,"suffix":""},{"dropping-particle":"","family":"Madsen*","given":"Karen L","non-dropping-particle":"","parse-names":false,"suffix":""},{"dropping-particle":"","family":"Doyle‡","given":"Jason S","non-dropping-particle":"","parse-names":false,"suffix":""},{"dropping-particle":"","family":"Jewell‡","given":"Laurence D","non-dropping-particle":"","parse-names":false,"suffix":""},{"dropping-particle":"","family":"Tavernini*","given":"Michele M","non-dropping-particle":"","parse-names":false,"suffix":""},{"dropping-particle":"","family":"Fedorak*","given":"Richard N","non-dropping-particle":"","parse-names":false,"suffix":""},{"dropping-particle":"","family":"Brown","given":"Amy C","non-dropping-particle":"","parse-names":false,"suffix":""},{"dropping-particle":"","family":"Valiere","given":"Ana","non-dropping-particle":"","parse-names":false,"suffix":""},{"dropping-particle":"","family":"Olbjørn","given":"Christine","non-dropping-particle":"","parse-names":false,"suffix":""},{"dropping-particle":"","family":"Cvancarova Småstuen","given":"Milada","non-dropping-particle":"","parse-names":false,"suffix":""},{"dropping-particle":"","family":"Thiis-Evensen","given":"Espen","non-dropping-particle":"","parse-names":false,"suffix":""},{"dropping-particle":"","family":"Nakstad","given":"Britt","non-dropping-particle":"","parse-names":false,"suffix":""},{"dropping-particle":"","family":"Vatn","given":"Morten Harald","non-dropping-particle":"","parse-names":false,"suffix":""},{"dropping-particle":"","family":"Jahnsen","given":"Jørgen","non-dropping-particle":"","parse-names":false,"suffix":""},{"dropping-particle":"","family":"Ricanek","given":"Petr","non-dropping-particle":"","parse-names":false,"suffix":""},{"dropping-particle":"","family":"Vatn","given":"Simen","non-dropping-particle":"","parse-names":false,"suffix":""},{"dropping-particle":"","family":"Moen","given":"Aina E F","non-dropping-particle":"","parse-names":false,"suffix":""},{"dropping-particle":"","family":"Tannæs","given":"Tone M","non-dropping-particle":"","parse-names":false,"suffix":""},{"dropping-particle":"","family":"Lindstrøm","given":"Jonas C","non-dropping-particle":"","parse-names":false,"suffix":""},{"dropping-particle":"","family":"Söderholm","given":"Johan D","non-dropping-particle":"","parse-names":false,"suffix":""},{"dropping-particle":"","family":"Halfvarson","given":"Jonas","non-dropping-particle":"","parse-names":false,"suffix":""},{"dropping-particle":"","family":"Gomollón","given":"Fernando","non-dropping-particle":"","parse-names":false,"suffix":""},{"dropping-particle":"","family":"Casén","given":"Christina","non-dropping-particle":"","parse-names":false,"suffix":""},{"dropping-particle":"","family":"Karlsson","given":"Magdalena K","non-dropping-particle":"","parse-names":false,"suffix":""},{"dropping-particle":"","family":"Kalla","given":"Rahul","non-dropping-particle":"","parse-names":false,"suffix":""},{"dropping-particle":"","family":"Adams","given":"Alex T","non-dropping-particle":"","parse-names":false,"suffix":""},{"dropping-particle":"","family":"Satsangi","given":"Jack","non-dropping-particle":"","parse-names":false,"suffix":""},{"dropping-particle":"","family":"Perminow","given":"Gøri","non-dropping-particle":"","parse-names":false,"suffix":""},{"dropping-particle":"","family":"Szajewska","given":"Hania","non-dropping-particle":"","parse-names":false,"suffix":""},{"dropping-particle":"","family":"Kołodziej","given":"Maciej","non-dropping-particle":"","parse-names":false,"suffix":""},{"dropping-particle":"","family":"Gieruszczak-Białek","given":"Dorota","non-dropping-particle":"","parse-names":false,"suffix":""},{"dropping-particle":"","family":"Skórka","given":"Agata","non-dropping-particle":"","parse-names":false,"suffix":""},{"dropping-particle":"","family":"Ruszczyński","given":"Marek","non-dropping-particle":"","parse-names":false,"suffix":""},{"dropping-particle":"","family":"Shamir","given":"Raanan","non-dropping-particle":"","parse-names":false,"suffix":""},{"dropping-particle":"","family":"Whorwell","given":"Peter J","non-dropping-particle":"","parse-names":false,"suffix":""},{"dropping-particle":"","family":"Altringer","given":"Linda","non-dropping-particle":"","parse-names":false,"suffix":""},{"dropping-particle":"","family":"Morel","given":"Jorge","non-dropping-particle":"","parse-names":false,"suffix":""},{"dropping-particle":"","family":"Bond","given":"Yvonne","non-dropping-particle":"","parse-names":false,"suffix":""},{"dropping-particle":"","family":"Charbonneau","given":"Duane","non-dropping-particle":"","parse-names":false,"suffix":""},{"dropping-particle":"","family":"O'Mahony","given":"Liam","non-dropping-particle":"","parse-names":false,"suffix":""},{"dropping-particle":"","family":"Kiely","given":"Barry","non-dropping-particle":"","parse-names":false,"suffix":""},{"dropping-particle":"","family":"Shanahan","given":"Fergus","non-dropping-particle":"","parse-names":false,"suffix":""},{"dropping-particle":"","family":"Quigley","given":"Eamonn M M","non-dropping-particle":"","parse-names":false,"suffix":""},{"dropping-particle":"","family":"Mardini","given":"Houssam E","non-dropping-particle":"","parse-names":false,"suffix":""},{"dropping-particle":"","family":"Grigorian","given":"Alla Y","non-dropping-particle":"","parse-names":false,"suffix":""},{"dropping-particle":"","family":"Sung","given":"Valerie","non-dropping-particle":"","parse-names":false,"suffix":""},{"dropping-particle":"","family":"D’Amico","given":"Frank","non-dropping-particle":"","parse-names":false,"suffix":""},{"dropping-particle":"","family":"Cabana","given":"Michael D","non-dropping-particle":"","parse-names":false,"suffix":""},{"dropping-particle":"","family":"Chau","given":"Kim","non-dropping-particle":"","parse-names":false,"suffix":""},{"dropping-particle":"","family":"Koren","given":"Gideon","non-dropping-particle":"","parse-names":false,"suffix":""},{"dropping-particle":"","family":"Savino","given":"Francesco","non-dropping-particle":"","parse-names":false,"suffix":""},{"dropping-particle":"","family":"Szajewska","given":"Hania","non-dropping-particle":"","parse-names":false,"suffix":""},{"dropping-particle":"","family":"Deshpande","given":"Girish","non-dropping-particle":"","parse-names":false,"suffix":""},{"dropping-particle":"","family":"Dupont","given":"Christophe","non-dropping-particle":"","parse-names":false,"suffix":""},{"dropping-particle":"","family":"Indrio","given":"Flavia","non-dropping-particle":"","parse-names":false,"suffix":""},{"dropping-particle":"","family":"Mentula","given":"Silja","non-dropping-particle":"","parse-names":false,"suffix":""},{"dropping-particle":"","family":"Partty","given":"Anna","non-dropping-particle":"","parse-names":false,"suffix":""},{"dropping-particle":"","family":"Tancredi","given":"Daniel","non-dropping-particle":"","parse-names":false,"suffix":""},{"dropping-particle":"","family":"Yang","given":"Yue-Xin","non-dropping-particle":"","parse-names":false,"suffix":""},{"dropping-particle":"","family":"He","given":"Mei","non-dropping-particle":"","parse-names":false,"suffix":""},{"dropping-particle":"","family":"Hu","given":"Gang","non-dropping-particle":"","parse-names":false,"suffix":""},{"dropping-particle":"","family":"Wei","given":"Jie","non-dropping-particle":"","parse-names":false,"suffix":""},{"dropping-particle":"","family":"Pages","given":"Philippe","non-dropping-particle":"","parse-names":false,"suffix":""},{"dropping-particle":"","family":"Yang","given":"Xian-Hua","non-dropping-particle":"","parse-names":false,"suffix":""},{"dropping-particle":"","family":"Bourdu-Naturel","given":"Sophie","non-dropping-particle":"","parse-names":false,"suffix":""},{"dropping-particle":"","family":"Guo","given":"Qin","non-dropping-particle":"","parse-names":false,"suffix":""},{"dropping-particle":"","family":"Goldenberg","given":"Joshua Z","non-dropping-particle":"","parse-names":false,"suffix":""},{"dropping-particle":"","family":"Humphrey","given":"Claire","non-dropping-particle":"","parse-names":false,"suffix":""},{"dropping-particle":"","family":"Dib","given":"Regina","non-dropping-particle":"El","parse-names":false,"suffix":""},{"dropping-particle":"","family":"Johnston","given":"Bradley C","non-dropping-particle":"","parse-names":false,"suffix":""},{"dropping-particle":"","family":"Szajewska","given":"Hania","non-dropping-particle":"","parse-names":false,"suffix":""},{"dropping-particle":"","family":"Albrecht","given":"Piotr","non-dropping-particle":"","parse-names":false,"suffix":""},{"dropping-particle":"","family":"Topczewska-Cabanek","given":"Agnieszka","non-dropping-particle":"","parse-names":false,"suffix":""},{"dropping-particle":"","family":"Vanderhoof","given":"J A","non-dropping-particle":"","parse-names":false,"suffix":""},{"dropping-particle":"","family":"Whitney","given":"D B","non-dropping-particle":"","parse-names":false,"suffix":""},{"dropping-particle":"","family":"Antonson","given":"D L","non-dropping-particle":"","parse-names":false,"suffix":""},{"dropping-particle":"","family":"Hanner","given":"T L","non-dropping-particle":"","parse-names":false,"suffix":""},{"dropping-particle":"V","family":"Lupo","given":"J","non-dropping-particle":"","parse-names":false,"suffix":""},{"dropping-particle":"","family":"Young","given":"R J","non-dropping-particle":"","parse-names":false,"suffix":""},{"dropping-particle":"","family":"AlFaleh","given":"Khalid","non-dropping-particle":"","parse-names":false,"suffix":""},{"dropping-particle":"","family":"Anabrees","given":"Jasim","non-dropping-particle":"","parse-names":false,"suffix":""},{"dropping-particle":"","family":"Walters","given":"William A","non-dropping-particle":"","parse-names":false,"suffix":""},{"dropping-particle":"","family":"Xu","given":"Zech","non-dropping-particle":"","parse-names":false,"suffix":""},{"dropping-particle":"","family":"Knight","given":"Robin D","non-dropping-particle":"","parse-names":false,"suffix":""},{"dropping-particle":"","family":"Wang","given":"Tingting","non-dropping-particle":"","parse-names":false,"suffix":""},{"dropping-particle":"","family":"Cai","given":"Guoxiang","non-dropping-particle":"","parse-names":false,"suffix":""},{"dropping-particle":"","family":"Qiu","given":"Yunping","non-dropping-particle":"","parse-names":false,"suffix":""},{"dropping-particle":"","family":"Fei","given":"Na","non-dropping-particle":"","parse-names":false,"suffix":""},{"dropping-particle":"","family":"Zhang","given":"Menghui","non-dropping-particle":"","parse-names":false,"suffix":""},{"dropping-particle":"","family":"Pang","given":"Xiaoyan","non-dropping-particle":"","parse-names":false,"suffix":""},{"dropping-particle":"","family":"Jia","given":"Wei","non-dropping-particle":"","parse-names":false,"suffix":""},{"dropping-particle":"","family":"Cai","given":"Sanjun","non-dropping-particle":"","parse-names":false,"suffix":""},{"dropping-particle":"","family":"Zhao","given":"Liping","non-dropping-particle":"","parse-names":false,"suffix":""},{"dropping-particle":"","family":"Zhu","given":"Lixin","non-dropping-particle":"","parse-names":false,"suffix":""},{"dropping-particle":"","family":"Baker","given":"Susan S","non-dropping-particle":"","parse-names":false,"suffix":""},{"dropping-particle":"","family":"Gill","given":"Chelsea","non-dropping-particle":"","parse-names":false,"suffix":""},{"dropping-particle":"","family":"Liu","given":"Wensheng","non-dropping-particle":"","parse-names":false,"suffix":""},{"dropping-particle":"","family":"Alkhouri","given":"Razan","non-dropping-particle":"","parse-names":false,"suffix":""},{"dropping-particle":"","family":"Baker","given":"Robert D","non-dropping-particle":"","parse-names":false,"suffix":""},{"dropping-particle":"","family":"Gill","given":"Steven R","non-dropping-particle":"","parse-names":false,"suffix":""},{"dropping-particle":"","family":"Nood","given":"Els","non-dropping-particle":"van","parse-names":false,"suffix":""},{"dropping-particle":"","family":"Vrieze","given":"Anne","non-dropping-particle":"","parse-names":false,"suffix":""},{"dropping-particle":"","family":"Nieuwdorp","given":"Max","non-dropping-particle":"","parse-names":false,"suffix":""},{"dropping-particle":"","family":"Fuentes","given":"Susana","non-dropping-particle":"","parse-names":false,"suffix":""},{"dropping-particle":"","family":"Zoetendal","given":"Erwin G","non-dropping-particle":"","parse-names":false,"suffix":""},{"dropping-particle":"","family":"Vos","given":"Willem M","non-dropping-particle":"de","parse-names":false,"suffix":""},{"dropping-particle":"","family":"Visser","given":"Caroline E","non-dropping-particle":"","parse-names":false,"suffix":""},{"dropping-particle":"","family":"Kuijper","given":"Ed J","non-dropping-particle":"","parse-names":false,"suffix":""},{"dropping-particle":"","family":"Bartelsman","given":"Joep F W M","non-dropping-particle":"","parse-names":false,"suffix":""},{"dropping-particle":"","family":"Tijssen","given":"Jan G P","non-dropping-particle":"","parse-names":false,"suffix":""},{"dropping-particle":"","family":"Speelman","given":"Peter","non-dropping-particle":"","parse-names":false,"suffix":""},{"dropping-particle":"","family":"Dijkgraaf","given":"Marcel G W","non-dropping-particle":"","parse-names":false,"suffix":""},{"dropping-particle":"","family":"Keller","given":"Josbert J","non-dropping-particle":"","parse-names":false,"suffix":""},{"dropping-particle":"","family":"Cani","given":"Patrice D","non-dropping-particle":"","parse-names":false,"suffix":""},{"dropping-particle":"","family":"Delzenne","given":"Nathalie M","non-dropping-particle":"","parse-names":false,"suffix":""},{"dropping-particle":"","family":"Vajro","given":"Pietro","non-dropping-particle":"","parse-names":false,"suffix":""},{"dropping-particle":"","family":"Mandato","given":"Claudia","non-dropping-particle":"","parse-names":false,"suffix":""},{"dropping-particle":"","family":"Licenziati","given":"Maria Rosaria","non-dropping-particle":"","parse-names":false,"suffix":""},{"dropping-particle":"","family":"Franzese","given":"Adriana","non-dropping-particle":"","parse-names":false,"suffix":""},{"dropping-particle":"","family":"Vitale","given":"Dino Franco","non-dropping-particle":"","parse-names":false,"suffix":""},{"dropping-particle":"","family":"Lenta","given":"Selvaggia","non-dropping-particle":"","parse-names":false,"suffix":""},{"dropping-particle":"","family":"Caropreso","given":"Maria","non-dropping-particle":"","parse-names":false,"suffix":""},{"dropping-particle":"","family":"Vallone","given":"Gianfranco","non-dropping-particle":"","parse-names":false,"suffix":""},{"dropping-particle":"","family":"Meli","given":"Rosaria","non-dropping-particle":"","parse-names":false,"suffix":""},{"dropping-particle":"","family":"Andreasen","given":"Anne Sofie","non-dropping-particle":"","parse-names":false,"suffix":""},{"dropping-particle":"","family":"Larsen","given":"Nadja","non-dropping-particle":"","parse-names":false,"suffix":""},{"dropping-particle":"","family":"Pedersen-Skovsgaard","given":"Theis","non-dropping-particle":"","parse-names":false,"suffix":""},{"dropping-particle":"","family":"Berg","given":"Ronan M G","non-dropping-particle":"","parse-names":false,"suffix":""},{"dropping-particle":"","family":"Møller","given":"Kirsten","non-dropping-particle":"","parse-names":false,"suffix":""},{"dropping-particle":"","family":"Svendsen","given":"Kira Dynnes","non-dropping-particle":"","parse-names":false,"suffix":""},{"dropping-particle":"","family":"Jakobsen","given":"Mogens","non-dropping-particle":"","parse-names":false,"suffix":""},{"dropping-particle":"","family":"Pedersen","given":"Bente Klarlund","non-dropping-particle":"","parse-names":false,"suffix":""},{"dropping-particle":"","family":"Aronsson","given":"Linda","non-dropping-particle":"","parse-names":false,"suffix":""},{"dropping-particle":"","family":"Huang","given":"Ying","non-dropping-particle":"","parse-names":false,"suffix":""},{"dropping-particle":"","family":"Parini","given":"Paolo","non-dropping-particle":"","parse-names":false,"suffix":""},{"dropping-particle":"","family":"Korach-André","given":"Marion","non-dropping-particle":"","parse-names":false,"suffix":""},{"dropping-particle":"","family":"Håkansson","given":"Janet","non-dropping-particle":"","parse-names":false,"suffix":""},{"dropping-particle":"","family":"Gustafsson","given":"Jan-Åke","non-dropping-particle":"","parse-names":false,"suffix":""},{"dropping-particle":"","family":"Pettersson","given":"Sven","non-dropping-particle":"","parse-names":false,"suffix":""},{"dropping-particle":"","family":"Arulampalam","given":"Velmurugesan","non-dropping-particle":"","parse-names":false,"suffix":""},{"dropping-particle":"","family":"Rafter","given":"Joseph","non-dropping-particle":"","parse-names":false,"suffix":""},{"dropping-particle":"","family":"Delzenne","given":"Nathalie M","non-dropping-particle":"","parse-names":false,"suffix":""},{"dropping-particle":"","family":"Neyrinck","given":"Audrey M","non-dropping-particle":"","parse-names":false,"suffix":""},{"dropping-particle":"","family":"Bäckhed","given":"Fredrik","non-dropping-particle":"","parse-names":false,"suffix":""},{"dropping-particle":"","family":"Cani","given":"Patrice D","non-dropping-particle":"","parse-names":false,"suffix":""},{"dropping-particle":"","family":"Ley","given":"Ruth E","non-dropping-particle":"","parse-names":false,"suffix":""},{"dropping-particle":"","family":"Turnbaugh","given":"Peter J","non-dropping-particle":"","parse-names":false,"suffix":""},{"dropping-particle":"","family":"Klein","given":"Samuel","non-dropping-particle":"","parse-names":false,"suffix":""},{"dropping-particle":"","family":"Gordon","given":"Jeffrey I","non-dropping-particle":"","parse-names":false,"suffix":""},{"dropping-particle":"","family":"Bäckhed","given":"Fredrik","non-dropping-particle":"","parse-names":false,"suffix":""},{"dropping-particle":"","family":"Turnbaugh","given":"Peter J","non-dropping-particle":"","parse-names":false,"suffix":""},{"dropping-particle":"","family":"Lozupone","given":"Catherine A","non-dropping-particle":"","parse-names":false,"suffix":""},{"dropping-particle":"","family":"Knight","given":"Robin D","non-dropping-particle":"","parse-names":false,"suffix":""},{"dropping-particle":"","family":"Gordon","given":"Jeffrey I","non-dropping-particle":"","parse-names":false,"suffix":""},{"dropping-particle":"","family":"Cox","given":"Laura M","non-dropping-particle":"","parse-names":false,"suffix":""},{"dropping-particle":"","family":"Cho","given":"Ilseung","non-dropping-particle":"","parse-names":false,"suffix":""},{"dropping-particle":"","family":"Young","given":"Scott A","non-dropping-particle":"","parse-names":false,"suffix":""},{"dropping-particle":"","family":"Anderson","given":"W H Kerr","non-dropping-particle":"","parse-names":false,"suffix":""},{"dropping-particle":"","family":"Waters","given":"Bartholomew J","non-dropping-particle":"","parse-names":false,"suffix":""},{"dropping-particle":"","family":"Hung","given":"Shao-Ching","non-dropping-particle":"","parse-names":false,"suffix":""},{"dropping-particle":"","family":"Gao","given":"Zhan","non-dropping-particle":"","parse-names":false,"suffix":""},{"dropping-particle":"","family":"Mahana","given":"Douglas","non-dropping-particle":"","parse-names":false,"suffix":""},{"dropping-particle":"","family":"Bihan","given":"Monika","non-dropping-particle":"","parse-names":false,"suffix":""},{"dropping-particle":"V","family":"Alekseyenko","given":"Alexander","non-dropping-particle":"","parse-names":false,"suffix":""},{"dropping-particle":"","family":"Methé","given":"Barbara A","non-dropping-particle":"","parse-names":false,"suffix":""},{"dropping-particle":"","family":"Blaser","given":"Martin J","non-dropping-particle":"","parse-names":false,"suffix":""},{"dropping-particle":"","family":"Cani","given":"Patrice D","non-dropping-particle":"","parse-names":false,"suffix":""},{"dropping-particle":"","family":"Lecourt","given":"Elodie","non-dropping-particle":"","parse-names":false,"suffix":""},{"dropping-particle":"","family":"Dewulf","given":"Evelyne M","non-dropping-particle":"","parse-names":false,"suffix":""},{"dropping-particle":"","family":"Sohet","given":"Florence M","non-dropping-particle":"","parse-names":false,"suffix":""},{"dropping-particle":"","family":"Pachikian","given":"Barbara D","non-dropping-particle":"","parse-names":false,"suffix":""},{"dropping-particle":"","family":"Naslain","given":"Damien","non-dropping-particle":"","parse-names":false,"suffix":""},{"dropping-particle":"","family":"Backer","given":"Fabienne","non-dropping-particle":"De","parse-names":false,"suffix":""},{"dropping-particle":"","family":"Neyrinck","given":"Audrey M","non-dropping-particle":"","parse-names":false,"suffix":""},{"dropping-particle":"","family":"Delzenne","given":"Nathalie M","non-dropping-particle":"","parse-names":false,"suffix":""},{"dropping-particle":"","family":"An","given":"Hyang Mi","non-dropping-particle":"","parse-names":false,"suffix":""},{"dropping-particle":"","family":"Park","given":"Shin Young","non-dropping-particle":"","parse-names":false,"suffix":""},{"dropping-particle":"","family":"Lee","given":"Do Kyung","non-dropping-particle":"","parse-names":false,"suffix":""},{"dropping-particle":"","family":"Kim","given":"Jung Rae","non-dropping-particle":"","parse-names":false,"suffix":""},{"dropping-particle":"","family":"Cha","given":"Min Kyeong","non-dropping-particle":"","parse-names":false,"suffix":""},{"dropping-particle":"","family":"Lee","given":"Si Won","non-dropping-particle":"","parse-names":false,"suffix":""},{"dropping-particle":"","family":"Lim","given":"Hyung Taeck","non-dropping-particle":"","parse-names":false,"suffix":""},{"dropping-particle":"","family":"Kim","given":"Kyung Jae","non-dropping-particle":"","parse-names":false,"suffix":""},{"dropping-particle":"","family":"Ha","given":"Nam Joo","non-dropping-particle":"","parse-names":false,"suffix":""},{"dropping-particle":"","family":"Courvalin","given":"Patrice","non-dropping-particle":"","parse-names":false,"suffix":""},{"dropping-particle":"","family":"Ríos-Covián","given":"David","non-dropping-particle":"","parse-names":false,"suffix":""},{"dropping-particle":"","family":"Ruas-Madiedo","given":"Patricia","non-dropping-particle":"","parse-names":false,"suffix":""},{"dropping-particle":"","family":"Margolles","given":"Abelardo","non-dropping-particle":"","parse-names":false,"suffix":""},{"dropping-particle":"","family":"Gueimonde","given":"Miguel","non-dropping-particle":"","parse-names":false,"suffix":""},{"dropping-particle":"","family":"Los Reyes-Gavilán","given":"Clara G","non-dropping-particle":"de","parse-names":false,"suffix":""},{"dropping-particle":"","family":"Salazar","given":"Nuria","non-dropping-particle":"","parse-names":false,"suffix":""},{"dropping-particle":"","family":"Aoudia","given":"Nabil","non-dropping-particle":"","parse-names":false,"suffix":""},{"dropping-particle":"","family":"Rieu","given":"Aurélie","non-dropping-particle":"","parse-names":false,"suffix":""},{"dropping-particle":"","family":"Briandet","given":"Romain","non-dropping-particle":"","parse-names":false,"suffix":""},{"dropping-particle":"","family":"Deschamps","given":"Julien","non-dropping-particle":"","parse-names":false,"suffix":""},{"dropping-particle":"","family":"Chluba","given":"Johanna","non-dropping-particle":"","parse-names":false,"suffix":""},{"dropping-particle":"","family":"Jego","given":"Gaëtan","non-dropping-particle":"","parse-names":false,"suffix":""},{"dropping-particle":"","family":"Garrido","given":"Carmen","non-dropping-particle":"","parse-names":false,"suffix":""},{"dropping-particle":"","family":"Guzzo","given":"Jean","non-dropping-particle":"","parse-names":false,"suffix":""},{"dropping-particle":"","family":"Flint","given":"Harry J","non-dropping-particle":"","parse-names":false,"suffix":""},{"dropping-particle":"","family":"Duncan","given":"Sylvia H","non-dropping-particle":"","parse-names":false,"suffix":""},{"dropping-particle":"","family":"Scott","given":"Karen P","non-dropping-particle":"","parse-names":false,"suffix":""},{"dropping-particle":"","family":"Louis","given":"Petra","non-dropping-particle":"","parse-names":false,"suffix":""},{"dropping-particle":"","family":"Vulevic","given":"Jelena","non-dropping-particle":"","parse-names":false,"suffix":""},{"dropping-particle":"","family":"Juric","given":"Aleksandra","non-dropping-particle":"","parse-names":false,"suffix":""},{"dropping-particle":"","family":"Walton","given":"Gemma E","non-dropping-particle":"","parse-names":false,"suffix":""},{"dropping-particle":"","family":"Claus","given":"Sandrine P","non-dropping-particle":"","parse-names":false,"suffix":""},{"dropping-particle":"","family":"Tzortzis","given":"George","non-dropping-particle":"","parse-names":false,"suffix":""},{"dropping-particle":"","family":"Toward","given":"Ruth E","non-dropping-particle":"","parse-names":false,"suffix":""},{"dropping-particle":"","family":"Gibson","given":"Glenn R.","non-dropping-particle":"","parse-names":false,"suffix":""},{"dropping-particle":"","family":"Drakoularakou","given":"Alexandra","non-dropping-particle":"","parse-names":false,"suffix":""},{"dropping-particle":"","family":"Yaqoob","given":"Parveen","non-dropping-particle":"","parse-names":false,"suffix":""},{"dropping-particle":"","family":"Tzortzis","given":"George","non-dropping-particle":"","parse-names":false,"suffix":""},{"dropping-particle":"","family":"Gibson","given":"Glenn R.","non-dropping-particle":"","parse-names":false,"suffix":""},{"dropping-particle":"","family":"Childs","given":"Caroline E","non-dropping-particle":"","parse-names":false,"suffix":""},{"dropping-particle":"","family":"Röytiö","given":"Henna","non-dropping-particle":"","parse-names":false,"suffix":""},{"dropping-particle":"","family":"Alhoniemi","given":"Esa","non-dropping-particle":"","parse-names":false,"suffix":""},{"dropping-particle":"","family":"Fekete","given":"Agnes A","non-dropping-particle":"","parse-names":false,"suffix":""},{"dropping-particle":"","family":"Forssten","given":"Sofia D","non-dropping-particle":"","parse-names":false,"suffix":""},{"dropping-particle":"","family":"Hudjec","given":"Natasa","non-dropping-particle":"","parse-names":false,"suffix":""},{"dropping-particle":"","family":"Lim","given":"Ying Ni","non-dropping-particle":"","parse-names":false,"suffix":""},{"dropping-particle":"","family":"Steger","given":"Cara J","non-dropping-particle":"","parse-names":false,"suffix":""},{"dropping-particle":"","family":"Yaqoob","given":"Parveen","non-dropping-particle":"","parse-names":false,"suffix":""},{"dropping-particle":"","family":"Tuohy","given":"Kieran M","non-dropping-particle":"","parse-names":false,"suffix":""},{"dropping-particle":"","family":"Rastall","given":"Robert A.","non-dropping-particle":"","parse-names":false,"suffix":""},{"dropping-particle":"","family":"Ouwehand","given":"Arthur C","non-dropping-particle":"","parse-names":false,"suffix":""},{"dropping-particle":"","family":"Gibson","given":"Glenn R.","non-dropping-particle":"","parse-names":false,"suffix":""},{"dropping-particle":"","family":"Vitetta","given":"Luis","non-dropping-particle":"","parse-names":false,"suffix":""},{"dropping-particle":"","family":"Saltzman","given":"Emma Tali","non-dropping-particle":"","parse-names":false,"suffix":""},{"dropping-particle":"","family":"Thomsen","given":"Michael","non-dropping-particle":"","parse-names":false,"suffix":""},{"dropping-particle":"","family":"Nikov","given":"Tessa","non-dropping-particle":"","parse-names":false,"suffix":""},{"dropping-particle":"","family":"Hall","given":"Sean","non-dropping-particle":"","parse-names":false,"suffix":""},{"dropping-particle":"","family":"Przemska-Kosicka","given":"Agnieszka","non-dropping-particle":"","parse-names":false,"suffix":""},{"dropping-particle":"","family":"Childs","given":"Caroline E","non-dropping-particle":"","parse-names":false,"suffix":""},{"dropping-particle":"","family":"Enani","given":"Sumia","non-dropping-particle":"","parse-names":false,"suffix":""},{"dropping-particle":"","family":"Maidens","given":"Catherine","non-dropping-particle":"","parse-names":false,"suffix":""},{"dropping-particle":"","family":"Dong","given":"Honglin","non-dropping-particle":"","parse-names":false,"suffix":""},{"dropping-particle":"Bin","family":"Dayel","given":"Iman","non-dropping-particle":"","parse-names":false,"suffix":""},{"dropping-particle":"","family":"Tuohy","given":"Kieran M","non-dropping-particle":"","parse-names":false,"suffix":""},{"dropping-particle":"","family":"Todd","given":"Susan","non-dropping-particle":"","parse-names":false,"suffix":""},{"dropping-particle":"","family":"Gosney","given":"Margot A","non-dropping-particle":"","parse-names":false,"suffix":""},{"dropping-particle":"","family":"Yaqoob","given":"Parveen","non-dropping-particle":"","parse-names":false,"suffix":""},{"dropping-particle":"","family":"Wang","given":"Yizhong","non-dropping-particle":"","parse-names":false,"suffix":""},{"dropping-particle":"","family":"Li","given":"Xiaolu","non-dropping-particle":"","parse-names":false,"suffix":""},{"dropping-particle":"","family":"Ge","given":"Ting","non-dropping-particle":"","parse-names":false,"suffix":""},{"dropping-particle":"","family":"Xiao","given":"Yongmei","non-dropping-particle":"","parse-names":false,"suffix":""},{"dropping-particle":"","family":"Liao","given":"Yang","non-dropping-particle":"","parse-names":false,"suffix":""},{"dropping-particle":"","family":"Cui","given":"Yun","non-dropping-particle":"","parse-names":false,"suffix":""},{"dropping-particle":"","family":"Zhang","given":"Yucai","non-dropping-particle":"","parse-names":false,"suffix":""},{"dropping-particle":"","family":"Ho","given":"Wenzhe","non-dropping-particle":"","parse-names":false,"suffix":""},{"dropping-particle":"","family":"Yu","given":"Guangjun","non-dropping-particle":"","parse-names":false,"suffix":""},{"dropping-particle":"","family":"Zhang","given":"Ting","non-dropping-particle":"","parse-names":false,"suffix":""},{"dropping-particle":"","family":"Reid","given":"Gregor","non-dropping-particle":"","parse-names":false,"suffix":""},{"dropping-particle":"","family":"Jass","given":"Jana","non-dropping-particle":"","parse-names":false,"suffix":""},{"dropping-particle":"","family":"Sebulsky","given":"M Tom","non-dropping-particle":"","parse-names":false,"suffix":""},{"dropping-particle":"","family":"McCormick","given":"John K","non-dropping-particle":"","parse-names":false,"suffix":""},{"dropping-particle":"","family":"Gómez-Llorente","given":"Carolina","non-dropping-particle":"","parse-names":false,"suffix":""},{"dropping-particle":"","family":"Muñoz","given":"Sergio","non-dropping-particle":"","parse-names":false,"suffix":""},{"dropping-particle":"","family":"Gil","given":"Angel","non-dropping-particle":"","parse-names":false,"suffix":""},{"dropping-particle":"","family":"Liaskovs'kyĭ","given":"T M","non-dropping-particle":"","parse-names":false,"suffix":""},{"dropping-particle":"","family":"Rybalko","given":"S L","non-dropping-particle":"","parse-names":false,"suffix":""},{"dropping-particle":"","family":"Pidhors'kyĭ","given":"V S","non-dropping-particle":"","parse-names":false,"suffix":""},{"dropping-particle":"","family":"Kovalenko","given":"N K","non-dropping-particle":"","parse-names":false,"suffix":""},{"dropping-particle":"","family":"Oleshchenko","given":"L T","non-dropping-particle":"","parse-names":false,"suffix":""},{"dropping-particle":"","family":"Vrese","given":"Michael","non-dropping-particle":"de","parse-names":false,"suffix":""},{"dropping-particle":"","family":"Rautenberg","given":"Peter","non-dropping-particle":"","parse-names":false,"suffix":""},{"dropping-particle":"","family":"Laue","given":"Christiane","non-dropping-particle":"","parse-names":false,"suffix":""},{"dropping-particle":"","family":"Koopmans","given":"Marion","non-dropping-particle":"","parse-names":false,"suffix":""},{"dropping-particle":"","family":"Herremans","given":"Tineke","non-dropping-particle":"","parse-names":false,"suffix":""},{"dropping-particle":"","family":"Schrezenmeir","given":"Jürgen","non-dropping-particle":"","parse-names":false,"suffix":""},{"dropping-particle":"","family":"Yadav","given":"Hariom","non-dropping-particle":"","parse-names":false,"suffix":""},{"dropping-particle":"","family":"Jain","given":"Shalini","non-dropping-particle":"","parse-names":false,"suffix":""},{"dropping-particle":"","family":"Sinha","given":"P R","non-dropping-particle":"","parse-names":false,"suffix":""},{"dropping-particle":"","family":"Magnusson","given":"Jesper","non-dropping-particle":"","parse-names":false,"suffix":""},{"dropping-particle":"","family":"Schnürer","given":"Johan","non-dropping-particle":"","parse-names":false,"suffix":""},{"dropping-particle":"","family":"Sjögren","given":"Jörgen","non-dropping-particle":"","parse-names":false,"suffix":""},{"dropping-particle":"","family":"Magnusson","given":"Jesper","non-dropping-particle":"","parse-names":false,"suffix":""},{"dropping-particle":"","family":"Broberg","given":"Anders","non-dropping-particle":"","parse-names":false,"suffix":""},{"dropping-particle":"","family":"Schnürer","given":"Johan","non-dropping-particle":"","parse-names":false,"suffix":""},{"dropping-particle":"","family":"Kenne","given":"Lennart","non-dropping-particle":"","parse-names":false,"suffix":""},{"dropping-particle":"","family":"Niku-Paavola","given":"M L","non-dropping-particle":"","parse-names":false,"suffix":""},{"dropping-particle":"","family":"Laitila","given":"A","non-dropping-particle":"","parse-names":false,"suffix":""},{"dropping-particle":"","family":"Mattila-Sandholm","given":"T","non-dropping-particle":"","parse-names":false,"suffix":""},{"dropping-particle":"","family":"Haikara","given":"A","non-dropping-particle":"","parse-names":false,"suffix":""},{"dropping-particle":"","family":"Prema","given":"P","non-dropping-particle":"","parse-names":false,"suffix":""},{"dropping-particle":"","family":"Smila","given":"D","non-dropping-particle":"","parse-names":false,"suffix":""},{"dropping-particle":"","family":"Palavesam","given":"A","non-dropping-particle":"","parse-names":false,"suffix":""},{"dropping-particle":"","family":"Immanuel","given":"Grasian","non-dropping-particle":"","parse-names":false,"suffix":""},{"dropping-particle":"","family":"Oelschlaeger","given":"Tobias A","non-dropping-particle":"","parse-names":false,"suffix":""},{"dropping-particle":"","family":"Gibson","given":"Glenn R.","non-dropping-particle":"","parse-names":false,"suffix":""},{"dropping-particle":"","family":"Wang","given":"X","non-dropping-particle":"","parse-names":false,"suffix":""},{"dropping-particle":"","family":"Hassan","given":"M","non-dropping-particle":"","parse-names":false,"suffix":""},{"dropping-particle":"","family":"Kjos","given":"M","non-dropping-particle":"","parse-names":false,"suffix":""},{"dropping-particle":"","family":"Nes","given":"I F","non-dropping-particle":"","parse-names":false,"suffix":""},{"dropping-particle":"","family":"Diep","given":"D B","non-dropping-particle":"","parse-names":false,"suffix":""},{"dropping-particle":"","family":"Lotfipour","given":"F","non-dropping-particle":"","parse-names":false,"suffix":""},{"dropping-particle":"","family":"Russell","given":"J B","non-dropping-particle":"","parse-names":false,"suffix":""},{"dropping-particle":"","family":"Diez-Gonzalez","given":"F","non-dropping-particle":"","parse-names":false,"suffix":""},{"dropping-particle":"","family":"Makras","given":"Lefteris","non-dropping-particle":"","parse-names":false,"suffix":""},{"dropping-particle":"","family":"Triantafyllou","given":"Vagelis","non-dropping-particle":"","parse-names":false,"suffix":""},{"dropping-particle":"","family":"Fayol-Messaoudi","given":"Domitille","non-dropping-particle":"","parse-names":false,"suffix":""},{"dropping-particle":"","family":"Adriany","given":"Tom","non-dropping-particle":"","parse-names":false,"suffix":""},{"dropping-particle":"","family":"Zoumpopoulou","given":"Georgia","non-dropping-particle":"","parse-names":false,"suffix":""},{"dropping-particle":"","family":"Tsakalidou","given":"Effie","non-dropping-particle":"","parse-names":false,"suffix":""},{"dropping-particle":"","family":"Servin","given":"Alain L","non-dropping-particle":"","parse-names":false,"suffix":""},{"dropping-particle":"","family":"Vuyst","given":"Luc","non-dropping-particle":"De","parse-names":false,"suffix":""},{"dropping-particle":"","family":"Keersmaecker","given":"Sigrid C J","non-dropping-particle":"De","parse-names":false,"suffix":""},{"dropping-particle":"","family":"Verhoeven","given":"Tine L A","non-dropping-particle":"","parse-names":false,"suffix":""},{"dropping-particle":"","family":"Desair","given":"Jos","non-dropping-particle":"","parse-names":false,"suffix":""},{"dropping-particle":"","family":"Marchal","given":"Kathleen","non-dropping-particle":"","parse-names":false,"suffix":""},{"dropping-particle":"","family":"Vanderleyden","given":"Jos","non-dropping-particle":"","parse-names":false,"suffix":""},{"dropping-particle":"","family":"Nagy","given":"István","non-dropping-particle":"","parse-names":false,"suffix":""},{"dropping-particle":"","family":"Voltan","given":"Sandra","non-dropping-particle":"","parse-names":false,"suffix":""},{"dropping-particle":"","family":"Castagliuolo","given":"Ignazio","non-dropping-particle":"","parse-names":false,"suffix":""},{"dropping-particle":"","family":"Elli","given":"Marina","non-dropping-particle":"","parse-names":false,"suffix":""},{"dropping-particle":"","family":"Longo","given":"Stefano","non-dropping-particle":"","parse-names":false,"suffix":""},{"dropping-particle":"","family":"Brun","given":"Paola","non-dropping-particle":"","parse-names":false,"suffix":""},{"dropping-particle":"","family":"D'Incà","given":"Renata","non-dropping-particle":"","parse-names":false,"suffix":""},{"dropping-particle":"","family":"Porzionato","given":"Andrea","non-dropping-particle":"","parse-names":false,"suffix":""},{"dropping-particle":"","family":"Macchi","given":"Veronica","non-dropping-particle":"","parse-names":false,"suffix":""},{"dropping-particle":"","family":"Palù","given":"Giorgio","non-dropping-particle":"","parse-names":false,"suffix":""},{"dropping-particle":"","family":"Sturniolo","given":"Giacomo C","non-dropping-particle":"","parse-names":false,"suffix":""},{"dropping-particle":"","family":"Morelli","given":"Lorenzo","non-dropping-particle":"","parse-names":false,"suffix":""},{"dropping-particle":"","family":"Martines","given":"Diego","non-dropping-particle":"","parse-names":false,"suffix":""},{"dropping-particle":"","family":"Hynönen","given":"Ulla","non-dropping-particle":"","parse-names":false,"suffix":""},{"dropping-particle":"","family":"Westerlund-Wikström","given":"Benita","non-dropping-particle":"","parse-names":false,"suffix":""},{"dropping-particle":"","family":"Palva","given":"Airi","non-dropping-particle":"","parse-names":false,"suffix":""},{"dropping-particle":"","family":"Korhonen","given":"Timo K","non-dropping-particle":"","parse-names":false,"suffix":""},{"dropping-particle":"","family":"Vélez","given":"Mónica Perea","non-dropping-particle":"","parse-names":false,"suffix":""},{"dropping-particle":"","family":"Keersmaecker","given":"Sigrid C J","non-dropping-particle":"De","parse-names":false,"suffix":""},{"dropping-particle":"","family":"Vanderleyden","given":"Jos","non-dropping-particle":"","parse-names":false,"suffix":""},{"dropping-particle":"","family":"Haller","given":"D","non-dropping-particle":"","parse-names":false,"suffix":""},{"dropping-particle":"","family":"Colbus","given":"H","non-dropping-particle":"","parse-names":false,"suffix":""},{"dropping-particle":"","family":"Gänzle","given":"M G","non-dropping-particle":"","parse-names":false,"suffix":""},{"dropping-particle":"","family":"Scherenbacher","given":"P","non-dropping-particle":"","parse-names":false,"suffix":""},{"dropping-particle":"","family":"Bode","given":"C","non-dropping-particle":"","parse-names":false,"suffix":""},{"dropping-particle":"","family":"Hammes","given":"W P","non-dropping-particle":"","parse-names":false,"suffix":""},{"dropping-particle":"","family":"Ouwehand","given":"Arthur C","non-dropping-particle":"","parse-names":false,"suffix":""},{"dropping-particle":"","family":"Salminen","given":"Seppo J","non-dropping-particle":"","parse-names":false,"suffix":""},{"dropping-particle":"","family":"Tölkkö","given":"Satu","non-dropping-particle":"","parse-names":false,"suffix":""},{"dropping-particle":"","family":"Roberts","given":"Peter","non-dropping-particle":"","parse-names":false,"suffix":""},{"dropping-particle":"","family":"Ovaska","given":"Jari","non-dropping-particle":"","parse-names":false,"suffix":""},{"dropping-particle":"","family":"Salminen","given":"Eeva","non-dropping-particle":"","parse-names":false,"suffix":""},{"dropping-particle":"","family":"González-Rodríguez","given":"Irene","non-dropping-particle":"","parse-names":false,"suffix":""},{"dropping-particle":"","family":"Sánchez","given":"Borja","non-dropping-particle":"","parse-names":false,"suffix":""},{"dropping-particle":"","family":"Ruiz","given":"Lorena","non-dropping-particle":"","parse-names":false,"suffix":""},{"dropping-particle":"","family":"Turroni","given":"Francesca","non-dropping-particle":"","parse-names":false,"suffix":""},{"dropping-particle":"","family":"Ventura","given":"Marco","non-dropping-particle":"","parse-names":false,"suffix":""},{"dropping-particle":"","family":"Ruas-Madiedo","given":"Patricia","non-dropping-particle":"","parse-names":false,"suffix":""},{"dropping-particle":"","family":"Gueimonde","given":"Miguel","non-dropping-particle":"","parse-names":false,"suffix":""},{"dropping-particle":"","family":"Margolles","given":"Abelardo","non-dropping-particle":"","parse-names":false,"suffix":""},{"dropping-particle":"","family":"Castagliuolo","given":"Ignazio","non-dropping-particle":"","parse-names":false,"suffix":""},{"dropping-particle":"","family":"Galeazzi","given":"Francesca","non-dropping-particle":"","parse-names":false,"suffix":""},{"dropping-particle":"","family":"Ferrari","given":"Susanna","non-dropping-particle":"","parse-names":false,"suffix":""},{"dropping-particle":"","family":"Elli","given":"Marina","non-dropping-particle":"","parse-names":false,"suffix":""},{"dropping-particle":"","family":"Brun","given":"Paola","non-dropping-particle":"","parse-names":false,"suffix":""},{"dropping-particle":"","family":"Cavaggioni","given":"Andrea","non-dropping-particle":"","parse-names":false,"suffix":""},{"dropping-particle":"","family":"Tormen","given":"Deborah","non-dropping-particle":"","parse-names":false,"suffix":""},{"dropping-particle":"","family":"Sturniolo","given":"Giacomo C","non-dropping-particle":"","parse-names":false,"suffix":""},{"dropping-particle":"","family":"Morelli","given":"Lorenzo","non-dropping-particle":"","parse-names":false,"suffix":""},{"dropping-particle":"","family":"Palù","given":"Giorgio","non-dropping-particle":"","parse-names":false,"suffix":""},{"dropping-particle":"","family":"Collado","given":"M Carmen","non-dropping-particle":"","parse-names":false,"suffix":""},{"dropping-particle":"","family":"Gueimonde","given":"Miguel","non-dropping-particle":"","parse-names":false,"suffix":""},{"dropping-particle":"","family":"Hernández","given":"Manuel","non-dropping-particle":"","parse-names":false,"suffix":""},{"dropping-particle":"","family":"Sanz","given":"Yolanda","non-dropping-particle":"","parse-names":false,"suffix":""},{"dropping-particle":"","family":"Salminen","given":"Seppo J","non-dropping-particle":"","parse-names":false,"suffix":""},{"dropping-particle":"","family":"Bouley","given":"C","non-dropping-particle":"","parse-names":false,"suffix":""},{"dropping-particle":"","family":"Boutron-Ruault","given":"M C","non-dropping-particle":"","parse-names":false,"suffix":""},{"dropping-particle":"","family":"Cummings","given":"J H","non-dropping-particle":"","parse-names":false,"suffix":""},{"dropping-particle":"","family":"Franck","given":"A","non-dropping-particle":"","parse-names":false,"suffix":""},{"dropping-particle":"","family":"Gibson","given":"Glenn R.","non-dropping-particle":"","parse-names":false,"suffix":""},{"dropping-particle":"","family":"Isolauri","given":"E","non-dropping-particle":"","parse-names":false,"suffix":""},{"dropping-particle":"","family":"Moreau","given":"M C","non-dropping-particle":"","parse-names":false,"suffix":""},{"dropping-particle":"","family":"Roberfroid","given":"M","non-dropping-particle":"","parse-names":false,"suffix":""},{"dropping-particle":"","family":"Rowland","given":"I","non-dropping-particle":"","parse-names":false,"suffix":""},{"dropping-particle":"","family":"Beachey","given":"E H","non-dropping-particle":"","parse-names":false,"suffix":""},{"dropping-particle":"","family":"Anderson","given":"Rachel C","non-dropping-particle":"","parse-names":false,"suffix":""},{"dropping-particle":"","family":"Cookson","given":"Adrian L","non-dropping-particle":"","parse-names":false,"suffix":""},{"dropping-particle":"","family":"McNabb","given":"Warren C","non-dropping-particle":"","parse-names":false,"suffix":""},{"dropping-particle":"","family":"Park","given":"Zaneta","non-dropping-particle":"","parse-names":false,"suffix":""},{"dropping-particle":"","family":"McCann","given":"Mark J","non-dropping-particle":"","parse-names":false,"suffix":""},{"dropping-particle":"","family":"Kelly","given":"William J","non-dropping-particle":"","parse-names":false,"suffix":""},{"dropping-particle":"","family":"Roy","given":"Nicole C","non-dropping-particle":"","parse-names":false,"suffix":""},{"dropping-particle":"","family":"Sartor","given":"R Balfour","non-dropping-particle":"","parse-names":false,"suffix":""},{"dropping-particle":"V","family":"Hooper","given":"Lora","non-dropping-particle":"","parse-names":false,"suffix":""},{"dropping-particle":"","family":"Stappenbeck","given":"Thaddeus","non-dropping-particle":"","parse-names":false,"suffix":""},{"dropping-particle":"","family":"Hong","given":"Chieu","non-dropping-particle":"","parse-names":false,"suffix":""},{"dropping-particle":"","family":"Gordon","given":"Jeffrey I","non-dropping-particle":"","parse-names":false,"suffix":""},{"dropping-particle":"","family":"Wong","given":"M H","non-dropping-particle":"","parse-names":false,"suffix":""},{"dropping-particle":"","family":"Thelin","given":"A","non-dropping-particle":"","parse-names":false,"suffix":""},{"dropping-particle":"","family":"Hansson","given":"L","non-dropping-particle":"","parse-names":false,"suffix":""},{"dropping-particle":"","family":"Falk","given":"P G","non-dropping-particle":"","parse-names":false,"suffix":""},{"dropping-particle":"","family":"Gordon","given":"Jeffrey I","non-dropping-particle":"","parse-names":false,"suffix":""},{"dropping-particle":"","family":"Duvallet","given":"Claire","non-dropping-particle":"","parse-names":false,"suffix":""},{"dropping-particle":"","family":"Gibbons","given":"Sean M.","non-dropping-particle":"","parse-names":false,"suffix":""},{"dropping-particle":"","family":"Gurry","given":"Thomas","non-dropping-particle":"","parse-names":false,"suffix":""},{"dropping-particle":"","family":"Irizarry","given":"Rafael A.","non-dropping-particle":"","parse-names":false,"suffix":""},{"dropping-particle":"","family":"Alm","given":"Eric J.","non-dropping-particle":"","parse-names":false,"suffix":""},{"dropping-particle":"","family":"Markowiak","given":"Paulina","non-dropping-particle":"","parse-names":false,"suffix":""},{"dropping-particle":"","family":"Ślizewska","given":"Katarzyna","non-dropping-particle":"","parse-names":false,"suffix":""},{"dropping-particle":"","family":"Sanders","given":"Mary Ellen","non-dropping-particle":"","parse-names":false,"suffix":""},{"dropping-particle":"","family":"Merenstein","given":"Daniel J.","non-dropping-particle":"","parse-names":false,"suffix":""},{"dropping-particle":"","family":"Reid","given":"Gregor","non-dropping-particle":"","parse-names":false,"suffix":""},{"dropping-particle":"","family":"Gibson","given":"Glenn R.","non-dropping-particle":"","parse-names":false,"suffix":""},{"dropping-particle":"","family":"Rastall","given":"Robert A.","non-dropping-particle":"","parse-names":false,"suffix":""}],"container-title":"Applied and environmental microbiology","edition":"2012/03/23","id":"ITEM-1","issue":"2","issued":{"date-parts":[["2010","1","1"]]},"language":"eng","note":"From Duplicate 22 (Regulatory effects of bifidobacteria on the growth of other colonic bacteria - Gibson, G R; Wang, X)\n\ndoi: 10.1111/j.1365-2672.1994.tb03443.x\n\nFrom Duplicate 68 (Lactobacillus species prevents colitis in interleukin 10 gene–deficient mice - Madsen*, Karen L; Doyle‡, Jason S; Jewell‡, Laurence D; Tavernini*, Michele M; Fedorak*, Richard N)\n\ndoi: 10.1016/S0016-5085(99)70013-2\n\nFrom Duplicate 78 (Whole Body, Liver and Plasma Cholesterol Levels in Rats Fed Thermophilus, Bulgaricus and Acidophilus Milks - PULUSANI, S R; RAO, D R)\n\ndoi: 10.1111/j.1365-2621.1983.tb14850.x","page":"412-420","publisher":"American Society for Microbiology","publisher-place":"Centre of Microbial and Plant Genetics, K.U.Leuven, Kasteelpark Arenberg 20, bus 2460, B-3001 Leuven, Belgium., England","title":"Regulatory effects of bifidobacteria on the growth of other colonic bacteria","type":"article-journal","volume":"69"},"uris":["http://www.mendeley.com/documents/?uuid=d1982806-39dd-46bc-be4c-5c8568d78d2d"]}],"mendeley":{"formattedCitation":"[42]","plainTextFormattedCitation":"[42]","previouslyFormattedCitation":"[314]"},"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[42]</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w:t>
      </w:r>
    </w:p>
    <w:p w14:paraId="31AE8221" w14:textId="77777777" w:rsidR="005914AF" w:rsidRPr="003F7121" w:rsidRDefault="005914AF" w:rsidP="005914AF">
      <w:pPr>
        <w:spacing w:line="360" w:lineRule="auto"/>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b/>
          <w:bCs/>
          <w:sz w:val="24"/>
          <w:szCs w:val="24"/>
          <w:lang w:eastAsia="en-IN"/>
        </w:rPr>
        <w:t>Vaginosis</w:t>
      </w:r>
    </w:p>
    <w:p w14:paraId="0EC2F6B2" w14:textId="0CFB0130"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t xml:space="preserve">Microbiota is important to maintain vaginal health, vaginosis can cause by several different organisms, and in many cases. Lactobacilli predominate in the healthy vagina, and a </w:t>
      </w:r>
      <w:r w:rsidRPr="003F7121">
        <w:rPr>
          <w:rFonts w:ascii="Times New Roman" w:eastAsia="Times New Roman" w:hAnsi="Times New Roman" w:cs="Times New Roman"/>
          <w:spacing w:val="-1"/>
          <w:sz w:val="24"/>
          <w:szCs w:val="24"/>
          <w:lang w:val="en-US"/>
        </w:rPr>
        <w:lastRenderedPageBreak/>
        <w:t xml:space="preserve">lack of LAB or normal flora can lead to vaginosis. The Lactobacilli species and LAB can maintain the </w:t>
      </w:r>
      <w:proofErr w:type="spellStart"/>
      <w:r w:rsidRPr="003F7121">
        <w:rPr>
          <w:rFonts w:ascii="Times New Roman" w:eastAsia="Times New Roman" w:hAnsi="Times New Roman" w:cs="Times New Roman"/>
          <w:spacing w:val="-1"/>
          <w:sz w:val="24"/>
          <w:szCs w:val="24"/>
          <w:lang w:val="en-US"/>
        </w:rPr>
        <w:t>favourable</w:t>
      </w:r>
      <w:proofErr w:type="spellEnd"/>
      <w:r w:rsidRPr="003F7121">
        <w:rPr>
          <w:rFonts w:ascii="Times New Roman" w:eastAsia="Times New Roman" w:hAnsi="Times New Roman" w:cs="Times New Roman"/>
          <w:spacing w:val="-1"/>
          <w:sz w:val="24"/>
          <w:szCs w:val="24"/>
          <w:lang w:val="en-US"/>
        </w:rPr>
        <w:t xml:space="preserve"> pH in the vaginal tract and also produce bacteriocin, organic acid, hydrogen peroxide and other antimicrobial compounds to maintain healthy vaginal track Research suggests that Lactobacilli may help to control the incidence and duration of vaginal infections, but larger, controlled studies are needed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{"citationItems":[{"id":"ITEM-1","itemData":{"DOI":"10.1046/j.1365-2222.1998.00449.x","ISSN":"0954-7894 (Print)","PMID":"10024217","abstract":"BACKGROUND: Probiotic bacteria can influence immune responses both specifically by  stimulating antibody production and nonspecifically by enhancing phagocytosis of pathogens and modifying cytokine production. OBJECTIVE: The authors hypothesized that probiotic bacteria can alleviate hypersensitivity by influencing phagocytes. The modulation of phagocytes may be different in healthy subjects compared with hypersensitive subjects. SUBJECTS AND METHODS: In a double-blind, cross-over study, challenges with milk in milk-hypersensitive and healthy adults with or without an intestinal bacterial strain, Lactobacillus GG (ATCC 53103) were performed. The challenge-induced immunoinflammatory response was recorded by measuring the expression of phagocytosis receptors prior to and after the challenge using flow cytometry. RESULTS: In milk-hypersensitive subjects, milk challenge increased significantly the expression of CR1, FcgammaRI and FcalphaR in neutrophils and CR1, CR3 and FcalphaR in monocytes. Milk with Lactobacillus GG prevented the increase of the receptor expression. In healthy subjects, milk challenge did not influence receptor expression while milk with Lactobacillus GG increased significantly the expression of CR1, CR3, FcgammaRIII and FcalphaR in neutrophils. CONCLUSION: Probiotic bacteria appear to modulate the nonspecific immune response differently in healthy and hypersensitive subjects. This is seen as an immunostimulatory effect in healthy subjects, and as a down-regulation of immunoinflammatory response in milk-hypersensitive subjects.","author":[{"dropping-particle":"","family":"Pelto","given":"L","non-dropping-particle":"","parse-names":false,"suffix":""},{"dropping-particle":"","family":"Isolauri","given":"E","non-dropping-particle":"","parse-names":false,"suffix":""},{"dropping-particle":"","family":"Lilius","given":"E M","non-dropping-particle":"","parse-names":false,"suffix":""},{"dropping-particle":"","family":"Nuutila","given":"J","non-dropping-particle":"","parse-names":false,"suffix":""},{"dropping-particle":"","family":"Salminen","given":"S","non-dropping-particle":"","parse-names":false,"suffix":""}],"container-title":"Clinical and experimental allergy : journal of the British Society for Allergy and  Clinical Immunology","id":"ITEM-1","issue":"12","issued":{"date-parts":[["1998","12"]]},"language":"eng","page":"1474-1479","publisher-place":"England","title":"Probiotic bacteria down-regulate the milk-induced inflammatory response in  milk-hypersensitive subjects but have an immunostimulatory effect in healthy subjects.","type":"article-journal","volume":"28"},"uris":["http://www.mendeley.com/documents/?uuid=707df7f1-9e1a-4c31-9074-133128abe863"]}],"mendeley":{"formattedCitation":"[43]","plainTextFormattedCitation":"[43]","previouslyFormattedCitation":"[217]"},"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[43]</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w:t>
      </w:r>
    </w:p>
    <w:p w14:paraId="687EC1CF" w14:textId="77777777" w:rsidR="005914AF" w:rsidRPr="003F7121" w:rsidRDefault="005914AF" w:rsidP="005914AF">
      <w:pPr>
        <w:spacing w:line="360" w:lineRule="auto"/>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b/>
          <w:bCs/>
          <w:sz w:val="24"/>
          <w:szCs w:val="24"/>
          <w:lang w:eastAsia="en-IN"/>
        </w:rPr>
        <w:t>Diarrhoea </w:t>
      </w:r>
    </w:p>
    <w:p w14:paraId="61DE1669" w14:textId="424E3AB9"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t xml:space="preserve">Probiotics are widely used for diarrheal diseases. Major potential benefits are the prevention and treatment of acute viral and bacterial </w:t>
      </w:r>
      <w:proofErr w:type="spellStart"/>
      <w:r w:rsidRPr="003F7121">
        <w:rPr>
          <w:rFonts w:ascii="Times New Roman" w:eastAsia="Times New Roman" w:hAnsi="Times New Roman" w:cs="Times New Roman"/>
          <w:spacing w:val="-1"/>
          <w:sz w:val="24"/>
          <w:szCs w:val="24"/>
          <w:lang w:val="en-US"/>
        </w:rPr>
        <w:t>diarrhoea</w:t>
      </w:r>
      <w:proofErr w:type="spellEnd"/>
      <w:r w:rsidRPr="003F7121">
        <w:rPr>
          <w:rFonts w:ascii="Times New Roman" w:eastAsia="Times New Roman" w:hAnsi="Times New Roman" w:cs="Times New Roman"/>
          <w:spacing w:val="-1"/>
          <w:sz w:val="24"/>
          <w:szCs w:val="24"/>
          <w:lang w:val="en-US"/>
        </w:rPr>
        <w:t xml:space="preserve">, as well as regulation of antibiotic-associated </w:t>
      </w:r>
      <w:proofErr w:type="spellStart"/>
      <w:r w:rsidRPr="003F7121">
        <w:rPr>
          <w:rFonts w:ascii="Times New Roman" w:eastAsia="Times New Roman" w:hAnsi="Times New Roman" w:cs="Times New Roman"/>
          <w:spacing w:val="-1"/>
          <w:sz w:val="24"/>
          <w:szCs w:val="24"/>
          <w:lang w:val="en-US"/>
        </w:rPr>
        <w:t>diarrhoea</w:t>
      </w:r>
      <w:proofErr w:type="spellEnd"/>
      <w:r w:rsidRPr="003F7121">
        <w:rPr>
          <w:rFonts w:ascii="Times New Roman" w:eastAsia="Times New Roman" w:hAnsi="Times New Roman" w:cs="Times New Roman"/>
          <w:spacing w:val="-1"/>
          <w:sz w:val="24"/>
          <w:szCs w:val="24"/>
          <w:lang w:val="en-US"/>
        </w:rPr>
        <w:t>. Some particular strains, including </w:t>
      </w:r>
      <w:r w:rsidRPr="003F7121">
        <w:rPr>
          <w:rFonts w:ascii="Times New Roman" w:eastAsia="Times New Roman" w:hAnsi="Times New Roman" w:cs="Times New Roman"/>
          <w:i/>
          <w:iCs/>
          <w:spacing w:val="-1"/>
          <w:sz w:val="24"/>
          <w:szCs w:val="24"/>
          <w:lang w:val="en-US"/>
        </w:rPr>
        <w:t xml:space="preserve">Lactobacillus GG, L. reuteri, Saccharomyces boulardii, </w:t>
      </w:r>
      <w:r w:rsidRPr="003F7121">
        <w:rPr>
          <w:rFonts w:ascii="Times New Roman" w:eastAsia="Times New Roman" w:hAnsi="Times New Roman" w:cs="Times New Roman"/>
          <w:spacing w:val="-1"/>
          <w:sz w:val="24"/>
          <w:szCs w:val="24"/>
          <w:lang w:val="en-US"/>
        </w:rPr>
        <w:t xml:space="preserve">and </w:t>
      </w:r>
      <w:r w:rsidRPr="003F7121">
        <w:rPr>
          <w:rFonts w:ascii="Times New Roman" w:eastAsia="Times New Roman" w:hAnsi="Times New Roman" w:cs="Times New Roman"/>
          <w:i/>
          <w:iCs/>
          <w:spacing w:val="-1"/>
          <w:sz w:val="24"/>
          <w:szCs w:val="24"/>
          <w:lang w:val="en-US"/>
        </w:rPr>
        <w:t>Bifidobacterium</w:t>
      </w:r>
      <w:r w:rsidRPr="003F7121">
        <w:rPr>
          <w:rFonts w:ascii="Times New Roman" w:eastAsia="Times New Roman" w:hAnsi="Times New Roman" w:cs="Times New Roman"/>
          <w:spacing w:val="-1"/>
          <w:sz w:val="24"/>
          <w:szCs w:val="24"/>
          <w:lang w:val="en-US"/>
        </w:rPr>
        <w:t xml:space="preserve"> these species are reported and effective against </w:t>
      </w:r>
      <w:proofErr w:type="spellStart"/>
      <w:r w:rsidRPr="003F7121">
        <w:rPr>
          <w:rFonts w:ascii="Times New Roman" w:eastAsia="Times New Roman" w:hAnsi="Times New Roman" w:cs="Times New Roman"/>
          <w:spacing w:val="-1"/>
          <w:sz w:val="24"/>
          <w:szCs w:val="24"/>
          <w:lang w:val="en-US"/>
        </w:rPr>
        <w:t>diarrhoea</w:t>
      </w:r>
      <w:proofErr w:type="spellEnd"/>
      <w:r w:rsidRPr="003F7121">
        <w:rPr>
          <w:rFonts w:ascii="Times New Roman" w:eastAsia="Times New Roman" w:hAnsi="Times New Roman" w:cs="Times New Roman"/>
          <w:spacing w:val="-1"/>
          <w:sz w:val="24"/>
          <w:szCs w:val="24"/>
          <w:lang w:val="en-US"/>
        </w:rPr>
        <w:t xml:space="preserve">. Reported In vivo studies proved that saccharomyces boulardii is effective against antibiotic-associated </w:t>
      </w:r>
      <w:proofErr w:type="spellStart"/>
      <w:r w:rsidRPr="003F7121">
        <w:rPr>
          <w:rFonts w:ascii="Times New Roman" w:eastAsia="Times New Roman" w:hAnsi="Times New Roman" w:cs="Times New Roman"/>
          <w:spacing w:val="-1"/>
          <w:sz w:val="24"/>
          <w:szCs w:val="24"/>
          <w:lang w:val="en-US"/>
        </w:rPr>
        <w:t>diarrhoea</w:t>
      </w:r>
      <w:proofErr w:type="spellEnd"/>
      <w:r w:rsidRPr="003F7121">
        <w:rPr>
          <w:rFonts w:ascii="Times New Roman" w:eastAsia="Times New Roman" w:hAnsi="Times New Roman" w:cs="Times New Roman"/>
          <w:spacing w:val="-1"/>
          <w:sz w:val="24"/>
          <w:szCs w:val="24"/>
          <w:lang w:val="en-US"/>
        </w:rPr>
        <w:t xml:space="preserve">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{"citationItems":[{"id":"ITEM-1","itemData":{"DOI":"10.3168/jds.S0022-0302(99)75229-X","ISSN":"0022-0302 (Print)","PMID":"10068945","abstract":"Bile tolerance, deconjugation of sodium taurocholate, and the cholesterol-binding  ability of 28 strains of Lactobacillus gasseri were examined. There was significant variation among strains in growth in media containing bile and also variation in the ability to bind cholesterol. Cultures grown for 12 h at 37 degrees C bound significantly more cholesterol than did cells from a 48-h incubation. Variation among strains in the ability to deconjugate sodium taurocholate was not significantly different. Maximal deconjugation of sodium taurocholate was achieved with the cells during the stationary phase of growth (12 h). Statistical analysis showed no significant correlation between bile tolerance and sodium taurocholate deconjugation, bile tolerance and cholesterol-binding ability, or sodium taurocholate deconjugation and cholesterol-binding ability.","author":[{"dropping-particle":"","family":"Usman","given":"","non-dropping-particle":"","parse-names":false,"suffix":""},{"dropping-particle":"","family":"Hosono","given":"A","non-dropping-particle":"","parse-names":false,"suffix":""}],"container-title":"Journal of dairy science","id":"ITEM-1","issue":"2","issued":{"date-parts":[["1999","2"]]},"language":"eng","page":"243-248","publisher-place":"United States","title":"Bile tolerance, taurocholate deconjugation, and binding of cholesterol by  Lactobacillus gasseri strains.","type":"article-journal","volume":"82"},"uris":["http://www.mendeley.com/documents/?uuid=41be5d41-fdb7-4129-8b80-577fe2dd5a1e"]}],"mendeley":{"formattedCitation":"[44]","plainTextFormattedCitation":"[44]","previouslyFormattedCitation":"[220]"},"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[44]</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w:t>
      </w:r>
    </w:p>
    <w:p w14:paraId="200EAFC9" w14:textId="77777777" w:rsidR="005914AF" w:rsidRPr="003F7121" w:rsidRDefault="005914AF" w:rsidP="005914AF">
      <w:pPr>
        <w:spacing w:line="360" w:lineRule="auto"/>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b/>
          <w:bCs/>
          <w:sz w:val="24"/>
          <w:szCs w:val="24"/>
          <w:lang w:eastAsia="en-IN"/>
        </w:rPr>
        <w:t>Elevated blood cholesterol</w:t>
      </w:r>
    </w:p>
    <w:p w14:paraId="6E7A6C3C" w14:textId="1A2080F1" w:rsidR="005914AF" w:rsidRPr="003F7121" w:rsidRDefault="005914AF" w:rsidP="005914AF">
      <w:pPr>
        <w:spacing w:line="360" w:lineRule="auto"/>
        <w:ind w:firstLine="567"/>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spacing w:val="-1"/>
          <w:sz w:val="24"/>
          <w:szCs w:val="24"/>
          <w:lang w:val="en-US"/>
        </w:rPr>
        <w:t xml:space="preserve">Cholesterol is important to maintain body functions properly. Cholesterol plays an important role in the production of vitamins and hormones it acts as a precursor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{"citationItems":[{"id":"ITEM-1","itemData":{"DOI":"https://doi.org/10.1016/j.jfda.2016.12.017","ISSN":"1021-9498","abstract":"The aim of this study was to investigate probiotic attributes of Saccharomyces cerevisiae ARDMC1 isolated from traditional rice beer starter cake and its hypocholesterolemic effects on Wistar rats fed a high-cholesterol diet. The indigenous isolate ARDMC1 showed potential probiotic characteristics such as tolerance to simulated gastrointestinal stress conditions, autoaggregation properties, and adhesion to intestinal epithelium Caco-2 cell line. In addition, ARDMC1 isolate exhibited in vitro cholesterol assimilation properties in media supplemented with cholesterol. Furthermore, administration of probiotic isolate to rats fed a hypercholesterolemic diet resulted in significant reduction of serum total cholesterol, low-density lipoprotein cholesterol, and triglyceride at the end of 42 days. The present study envisages ARDMC1 as a promising starter culture for the preparation of functional foods with properties to combat cardiovascular diseases.","author":[{"dropping-particle":"","family":"Saikia","given":"Devabrata","non-dropping-particle":"","parse-names":false,"suffix":""},{"dropping-particle":"","family":"Manhar","given":"Ajay Kumar","non-dropping-particle":"","parse-names":false,"suffix":""},{"dropping-particle":"","family":"Deka","given":"Bhagyashree","non-dropping-particle":"","parse-names":false,"suffix":""},{"dropping-particle":"","family":"Roy","given":"Raju","non-dropping-particle":"","parse-names":false,"suffix":""},{"dropping-particle":"","family":"Gupta","given":"Kuldeep","non-dropping-particle":"","parse-names":false,"suffix":""},{"dropping-particle":"","family":"Namsa","given":"Nima D","non-dropping-particle":"","parse-names":false,"suffix":""},{"dropping-particle":"","family":"Chattopadhyay","given":"Pronobesh","non-dropping-particle":"","parse-names":false,"suffix":""},{"dropping-particle":"","family":"Doley","given":"Robin","non-dropping-particle":"","parse-names":false,"suffix":""},{"dropping-particle":"","family":"Mandal","given":"Manabendra","non-dropping-particle":"","parse-names":false,"suffix":""}],"container-title":"Journal of Food and Drug Analysis","id":"ITEM-1","issue":"1","issued":{"date-parts":[["2018"]]},"page":"154-162","title":"Hypocholesterolemic activity of indigenous probiotic isolate Saccharomyces cerevisiae ARDMC1 in a rat model","type":"article-journal","volume":"26"},"uris":["http://www.mendeley.com/documents/?uuid=a0459e6f-c1fc-4062-b1fe-3dda308c8b84"]}],"mendeley":{"formattedCitation":"[45]","plainTextFormattedCitation":"[45]","previouslyFormattedCitation":"[315]"},"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[45]</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In the human body, cholesterol is important to various body functions and the body synthesizes and maintains the appropriate amount for smooth function. However, cholesterol considers a risk factor for heart and cardiovascular diseases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{"citationItems":[{"id":"ITEM-1","itemData":{"DOI":"10.3390/ijerph15081679","ISSN":"1660-4601 (Electronic)","PMID":"30087270","abstract":"A microbial ecosystem in which bacteria no longer live in a mutualistic association  is called dysbiotic. Gut microbiota dysbiosis is a condition related with the pathogenesis of intestinal illnesses (irritable bowel syndrome, celiac disease, and inflammatory bowel disease) and extra-intestinal illnesses (obesity, metabolic disorder, cardiovascular syndrome, allergy, and asthma). Dysbiosis status has been related to various important pathologies, and many therapeutic strategies aimed at restoring the balance of the intestinal ecosystem have been implemented. These strategies include the administration of probiotics, prebiotics, and synbiotics; phage therapy; fecal transplantation; bacterial consortium transplantation; and a still poorly investigated approach based on predatory bacteria. This review discusses the various aspects of these strategies to counteract intestinal dysbiosis.","author":[{"dropping-particle":"","family":"Gagliardi","given":"Antonella","non-dropping-particle":"","parse-names":false,"suffix":""},{"dropping-particle":"","family":"Totino","given":"Valentina","non-dropping-particle":"","parse-names":false,"suffix":""},{"dropping-particle":"","family":"Cacciotti","given":"Fatima","non-dropping-particle":"","parse-names":false,"suffix":""},{"dropping-particle":"","family":"Iebba","given":"Valerio","non-dropping-particle":"","parse-names":false,"suffix":""},{"dropping-particle":"","family":"Neroni","given":"Bruna","non-dropping-particle":"","parse-names":false,"suffix":""},{"dropping-particle":"","family":"Bonfiglio","given":"Giulia","non-dropping-particle":"","parse-names":false,"suffix":""},{"dropping-particle":"","family":"Trancassini","given":"Maria","non-dropping-particle":"","parse-names":false,"suffix":""},{"dropping-particle":"","family":"Passariello","given":"Claudio","non-dropping-particle":"","parse-names":false,"suffix":""},{"dropping-particle":"","family":"Pantanella","given":"Fabrizio","non-dropping-particle":"","parse-names":false,"suffix":""},{"dropping-particle":"","family":"Schippa","given":"Serena","non-dropping-particle":"","parse-names":false,"suffix":""}],"container-title":"International journal of environmental research and public health","id":"ITEM-1","issue":"8","issued":{"date-parts":[["2018","8"]]},"language":"eng","title":"Rebuilding the Gut Microbiota Ecosystem.","type":"article-journal","volume":"15"},"uris":["http://www.mendeley.com/documents/?uuid=f97edeee-ca3a-46f2-b052-2b29d46b5d8f"]}],"mendeley":{"formattedCitation":"[46]","plainTextFormattedCitation":"[46]","previouslyFormattedCitation":"[316]"},"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[46]</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Probiotics are well known for excess cholesterol reduction. Probiotics have considerable effects on lowering LDL and reducing cholesterol in the blood. Some studies reported that Lactobacillus and Bifidobacterium are effective to reduce cholesterol from blood serum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{"citationItems":[{"id":"ITEM-1","itemData":{"DOI":"10.1111/j.1365-2621.1983.tb14850.x","ISSN":"0022-1147","abstract":"ABSTRACT In five dietary treatments 70 rats (146g) were fed: (1) chow + water, (2) chow + skim milk, (3) chow + skim milk fermented by Streptococcus thermophilus, (4) chow + skim milk fermented by Lactobacillus bulgaricus, and (5) chow + skim milk fermented by Lactobacillus acidophilus. After 4 wk of feeding, the mean levels of cholesterol in plasma (mg/dl) and whole body (mg/g dry matter) for treatments 1 through 5 were: 61.3, 54.7, 56.0, 57.1, and 58.1, and 3.68, 3.58, 3.27, 3.13, and 3.00, respectively (P &gt; 0.05). Whole body lipids, liver lipids, liver cholesterol and liver weights were not significantly different. Results indicate that various fermented milks do not significantly alter the distribution of cholesterol among various body pools.","author":[{"dropping-particle":"","family":"PULUSANI","given":"S R","non-dropping-particle":"","parse-names":false,"suffix":""},{"dropping-particle":"","family":"RAO","given":"D R","non-dropping-particle":"","parse-names":false,"suffix":""}],"container-title":"Journal of Food Science","id":"ITEM-1","issue":"1","issued":{"date-parts":[["1983","1","1"]]},"note":"doi: 10.1111/j.1365-2621.1983.tb14850.x","page":"280-281","publisher":"John Wiley &amp; Sons, Ltd","title":"Whole Body, Liver and Plasma Cholesterol Levels in Rats Fed Thermophilus, Bulgaricus and Acidophilus Milks","type":"article-journal","volume":"48"},"uris":["http://www.mendeley.com/documents/?uuid=a16ee048-a0d0-41e2-b3ae-b6c16f6d5427"]}],"mendeley":{"formattedCitation":"[47]","plainTextFormattedCitation":"[47]","previouslyFormattedCitation":"[222]"},"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[47]</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w:t>
      </w:r>
      <w:r w:rsidRPr="003F7121">
        <w:rPr>
          <w:rFonts w:ascii="Times New Roman" w:eastAsia="Times New Roman" w:hAnsi="Times New Roman" w:cs="Times New Roman"/>
          <w:sz w:val="24"/>
          <w:szCs w:val="24"/>
          <w:lang w:eastAsia="en-IN"/>
        </w:rPr>
        <w:t xml:space="preserve">The human microbiome plays important role in human metabolism, immunity and several diseases including coronary artery disease (CAD). However, intervention of nanotechnology along with gut microbiome enables the high efficacy and precision in therapeutic approach for </w:t>
      </w:r>
      <w:r w:rsidRPr="003F7121">
        <w:rPr>
          <w:rFonts w:ascii="Times New Roman" w:eastAsia="Times New Roman" w:hAnsi="Times New Roman" w:cs="Times New Roman"/>
          <w:spacing w:val="-1"/>
          <w:sz w:val="24"/>
          <w:szCs w:val="24"/>
          <w:lang w:val="en-US"/>
        </w:rPr>
        <w:t xml:space="preserve">CAD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10.1055/s-0040-1713680","author":[{"dropping-particle":"","family":"Hagemeyer","given":"Christoph","non-dropping-particle":"","parse-names":false,"suffix":""},{"dropping-particle":"","family":"Lisman","given":"Ton","non-dropping-particle":"","parse-names":false,"suffix":""},{"dropping-particle":"","family":"Kwaan","given":"Hau","non-dropping-particle":"","parse-names":false,"suffix":""}],"container-title":"Seminars in Thrombosis and Hemostasis","id":"ITEM-1","issued":{"date-parts":[["2020","7","1"]]},"page":"521-523","title":"Nanomedicine in Thrombosis and Hemostasis: The Future of Nanotechnology in Thrombosis and Hemostasis Research and Clinical Applications","type":"article-journal","volume":"46"},"uris":["http://www.mendeley.com/documents/?uuid=7f52e779-f6f7-4c97-a818-746242e204b2"]}],"mendeley":{"formattedCitation":"[48]","plainTextFormattedCitation":"[48]","previouslyFormattedCitation":"[317]"},"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[48]</w:t>
      </w:r>
      <w:r w:rsidRPr="003F7121">
        <w:rPr>
          <w:rFonts w:ascii="Times New Roman" w:eastAsia="Times New Roman" w:hAnsi="Times New Roman" w:cs="Times New Roman"/>
          <w:spacing w:val="-1"/>
          <w:sz w:val="24"/>
          <w:szCs w:val="24"/>
          <w:lang w:val="en-US"/>
        </w:rPr>
        <w:fldChar w:fldCharType="end"/>
      </w:r>
    </w:p>
    <w:p w14:paraId="69973F2B" w14:textId="77777777" w:rsidR="005914AF" w:rsidRPr="003F7121" w:rsidRDefault="005914AF" w:rsidP="005914AF">
      <w:pPr>
        <w:spacing w:line="360" w:lineRule="auto"/>
        <w:jc w:val="both"/>
        <w:rPr>
          <w:rFonts w:ascii="Times New Roman" w:hAnsi="Times New Roman" w:cs="Times New Roman"/>
          <w:b/>
          <w:bCs/>
          <w:sz w:val="24"/>
          <w:szCs w:val="24"/>
        </w:rPr>
      </w:pPr>
      <w:r w:rsidRPr="003F7121">
        <w:rPr>
          <w:rFonts w:ascii="Times New Roman" w:hAnsi="Times New Roman" w:cs="Times New Roman"/>
          <w:b/>
          <w:bCs/>
          <w:sz w:val="24"/>
          <w:szCs w:val="24"/>
        </w:rPr>
        <w:t>Diabetes, gut microbiome and nanotechnology</w:t>
      </w:r>
    </w:p>
    <w:p w14:paraId="6A5F3ABF" w14:textId="12CDDD59" w:rsidR="005914AF" w:rsidRPr="003F7121" w:rsidRDefault="005914AF" w:rsidP="005914AF">
      <w:pPr>
        <w:spacing w:line="360" w:lineRule="auto"/>
        <w:ind w:firstLine="720"/>
        <w:jc w:val="both"/>
        <w:rPr>
          <w:rFonts w:ascii="Times New Roman" w:hAnsi="Times New Roman" w:cs="Times New Roman"/>
          <w:sz w:val="24"/>
          <w:szCs w:val="24"/>
        </w:rPr>
      </w:pPr>
      <w:r w:rsidRPr="003F7121">
        <w:rPr>
          <w:rFonts w:ascii="Times New Roman" w:hAnsi="Times New Roman" w:cs="Times New Roman"/>
          <w:sz w:val="24"/>
          <w:szCs w:val="24"/>
        </w:rPr>
        <w:t xml:space="preserve">When dealing with a significant metabolic illness such as diabetes, maintaining a healthy microbiota composition in the gut is equally essential. Around the world, more than 380 million people are living with type 2 diabetes, and it is anticipated that this number will climb to more than 550 million by the year 2030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10.1016/S0140-6736(17)30058-2","ISSN":"0140-6736","author":[{"dropping-particle":"","family":"Chatterjee","given":"Sudesna","non-dropping-particle":"","parse-names":false,"suffix":""},{"dropping-particle":"","family":"Khunti","given":"Kamlesh","non-dropping-particle":"","parse-names":false,"suffix":""},{"dropping-particle":"","family":"Davies","given":"Melanie J","non-dropping-particle":"","parse-names":false,"suffix":""}],"container-title":"The Lancet","id":"ITEM-1","issue":"10085","issued":{"date-parts":[["2017","6"]]},"page":"2239-2251","publisher":"Elsevier","title":"Type 2 diabetes","type":"article-journal","volume":"389"},"uris":["http://www.mendeley.com/documents/?uuid=f052ad25-c527-4a05-8b53-b707f4ff08d8","http://www.mendeley.com/documents/?uuid=febe3661-3caa-452b-b40b-58a2ea7d39fa"]}],"mendeley":{"formattedCitation":"[49]","plainTextFormattedCitation":"[49]","previouslyFormattedCitation":"[318]"},"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[49]</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w:t>
      </w:r>
      <w:r w:rsidRPr="003F7121">
        <w:rPr>
          <w:rFonts w:ascii="Times New Roman" w:hAnsi="Times New Roman" w:cs="Times New Roman"/>
          <w:i/>
          <w:iCs/>
          <w:sz w:val="24"/>
          <w:szCs w:val="24"/>
        </w:rPr>
        <w:t>Bifidobacterium, Bacteroides, Faecalibacterium, Akkermansia</w:t>
      </w:r>
      <w:r w:rsidRPr="003F7121">
        <w:rPr>
          <w:rFonts w:ascii="Times New Roman" w:hAnsi="Times New Roman" w:cs="Times New Roman"/>
          <w:sz w:val="24"/>
          <w:szCs w:val="24"/>
        </w:rPr>
        <w:t>, and</w:t>
      </w:r>
      <w:r w:rsidRPr="003F7121">
        <w:rPr>
          <w:rFonts w:ascii="Times New Roman" w:hAnsi="Times New Roman" w:cs="Times New Roman"/>
          <w:i/>
          <w:iCs/>
          <w:sz w:val="24"/>
          <w:szCs w:val="24"/>
        </w:rPr>
        <w:t xml:space="preserve"> Roseburia</w:t>
      </w:r>
      <w:r w:rsidRPr="003F7121">
        <w:rPr>
          <w:rFonts w:ascii="Times New Roman" w:hAnsi="Times New Roman" w:cs="Times New Roman"/>
          <w:sz w:val="24"/>
          <w:szCs w:val="24"/>
        </w:rPr>
        <w:t xml:space="preserve"> were found to be linked to type 2 diabetes in a bad way, while </w:t>
      </w:r>
      <w:r w:rsidRPr="003F7121">
        <w:rPr>
          <w:rFonts w:ascii="Times New Roman" w:hAnsi="Times New Roman" w:cs="Times New Roman"/>
          <w:i/>
          <w:iCs/>
          <w:sz w:val="24"/>
          <w:szCs w:val="24"/>
        </w:rPr>
        <w:t>Ruminococcus, Fusobacterium</w:t>
      </w:r>
      <w:r w:rsidRPr="003F7121">
        <w:rPr>
          <w:rFonts w:ascii="Times New Roman" w:hAnsi="Times New Roman" w:cs="Times New Roman"/>
          <w:sz w:val="24"/>
          <w:szCs w:val="24"/>
        </w:rPr>
        <w:t>, and</w:t>
      </w:r>
      <w:r w:rsidRPr="003F7121">
        <w:rPr>
          <w:rFonts w:ascii="Times New Roman" w:hAnsi="Times New Roman" w:cs="Times New Roman"/>
          <w:i/>
          <w:iCs/>
          <w:sz w:val="24"/>
          <w:szCs w:val="24"/>
        </w:rPr>
        <w:t xml:space="preserve"> Blautia</w:t>
      </w:r>
      <w:r w:rsidRPr="003F7121">
        <w:rPr>
          <w:rFonts w:ascii="Times New Roman" w:hAnsi="Times New Roman" w:cs="Times New Roman"/>
          <w:sz w:val="24"/>
          <w:szCs w:val="24"/>
        </w:rPr>
        <w:t xml:space="preserve"> were linked to type 2 diabetes in </w:t>
      </w:r>
      <w:r w:rsidRPr="003F7121">
        <w:rPr>
          <w:rFonts w:ascii="Times New Roman" w:hAnsi="Times New Roman" w:cs="Times New Roman"/>
          <w:sz w:val="24"/>
          <w:szCs w:val="24"/>
        </w:rPr>
        <w:lastRenderedPageBreak/>
        <w:t xml:space="preserve">a good way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10.1016/j.ebiom.2019.11.051","ISSN":"2352-3964","author":[{"dropping-particle":"","family":"Gurung","given":"Manoj","non-dropping-particle":"","parse-names":false,"suffix":""},{"dropping-particle":"","family":"Li","given":"Zhipeng","non-dropping-particle":"","parse-names":false,"suffix":""},{"dropping-particle":"","family":"You","given":"Hannah","non-dropping-particle":"","parse-names":false,"suffix":""},{"dropping-particle":"","family":"Rodrigues","given":"Richard","non-dropping-particle":"","parse-names":false,"suffix":""},{"dropping-particle":"","family":"Jump","given":"Donald B","non-dropping-particle":"","parse-names":false,"suffix":""},{"dropping-particle":"","family":"Morgun","given":"Andrey","non-dropping-particle":"","parse-names":false,"suffix":""},{"dropping-particle":"","family":"Shulzhenko","given":"Natalia","non-dropping-particle":"","parse-names":false,"suffix":""}],"container-title":"eBioMedicine","id":"ITEM-1","issued":{"date-parts":[["2020","1"]]},"publisher":"Elsevier","title":"Role of gut microbiota in type 2 diabetes pathophysiology","type":"article-journal","volume":"51"},"uris":["http://www.mendeley.com/documents/?uuid=52982ced-f330-47b2-8552-32f7b997736e","http://www.mendeley.com/documents/?uuid=378f5cbb-8f77-4842-93a6-28b8931ded19"]}],"mendeley":{"formattedCitation":"[50]","plainTextFormattedCitation":"[50]","previouslyFormattedCitation":"[319]"},"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[50]</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Differences in the gut microbiome between people with and without type 2 diabetes may show how diet and other environmental factors affect insulin resistance and the development of type 2 diabetes. Multiple biological pathways by which gut bacteria contribute to metabolic illness and T2D have been addressed elsewhere in the recent past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{"citationItems":[{"id":"ITEM-1","itemData":{"DOI":"10.1111/jdi.12673","ISSN":"2040-1124 (Electronic)","PMID":"28390093","abstract":"Diabetes mellitus is a type of metabolic disorder whereby patients are unable to  regulate glycemia. It is currently a worldwide public health issue, and is a burden to society because of its disabling and common complications. Diabetes is multifactorial, and also induces the onset of other diseases. In the present report, we review the labyrinth encompassing the gut microbiota and gut microbiota-derived metabolites in type 1 diabetes and type 2 diabetes pathogenesis. There have been exceptional improvements in deoxyribonucleic acid sequencing and mass spectrometry technologies throughout these past years, and these have allowed the comprehensive collection of information on our unique gut ecosystem. We would like to advocate incorporating metagenome and metabolome information for a comprehensive perspective of the complex interrelationships between the gut environment, host metabolism and diabetes pathogenesis. We hope that with this improved understanding we would be able to provide exciting novel therapeutic approaches to engineer an ideal gut ecosystem for optimal health.","author":[{"dropping-particle":"","family":"Aw","given":"Wanping","non-dropping-particle":"","parse-names":false,"suffix":""},{"dropping-particle":"","family":"Fukuda","given":"Shinji","non-dropping-particle":"","parse-names":false,"suffix":""}],"container-title":"Journal of diabetes investigation","id":"ITEM-1","issue":"1","issued":{"date-parts":[["2018","1"]]},"language":"eng","page":"5-12","title":"Understanding the role of the gut ecosystem in diabetes mellitus.","type":"article-journal","volume":"9"},"uris":["http://www.mendeley.com/documents/?uuid=91f48bcb-0ee0-4893-9bf8-12576d4dfa68","http://www.mendeley.com/documents/?uuid=5510115d-0d4b-4643-9892-cc638041631c"]}],"mendeley":{"formattedCitation":"[51]","plainTextFormattedCitation":"[51]","previouslyFormattedCitation":"[320]"},"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[51]</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The gut microbiome can affect the host's insulin sensitivity, intestinal permeability, glucose and fat metabolism by interacting with food and habits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10.1016/j.ebiom.2019.11.051","ISSN":"2352-3964","author":[{"dropping-particle":"","family":"Gurung","given":"Manoj","non-dropping-particle":"","parse-names":false,"suffix":""},{"dropping-particle":"","family":"Li","given":"Zhipeng","non-dropping-particle":"","parse-names":false,"suffix":""},{"dropping-particle":"","family":"You","given":"Hannah","non-dropping-particle":"","parse-names":false,"suffix":""},{"dropping-particle":"","family":"Rodrigues","given":"Richard","non-dropping-particle":"","parse-names":false,"suffix":""},{"dropping-particle":"","family":"Jump","given":"Donald B","non-dropping-particle":"","parse-names":false,"suffix":""},{"dropping-particle":"","family":"Morgun","given":"Andrey","non-dropping-particle":"","parse-names":false,"suffix":""},{"dropping-particle":"","family":"Shulzhenko","given":"Natalia","non-dropping-particle":"","parse-names":false,"suffix":""}],"container-title":"eBioMedicine","id":"ITEM-1","issued":{"date-parts":[["2020","1"]]},"publisher":"Elsevier","title":"Role of gut microbiota in type 2 diabetes pathophysiology","type":"article-journal","volume":"51"},"uris":["http://www.mendeley.com/documents/?uuid=378f5cbb-8f77-4842-93a6-28b8931ded19","http://www.mendeley.com/documents/?uuid=52982ced-f330-47b2-8552-32f7b997736e"]}],"mendeley":{"formattedCitation":"[50]","plainTextFormattedCitation":"[50]","previouslyFormattedCitation":"[319]"},"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[50]</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The short chain fatty acids (SCFAs) work by activating the G proteins of the L-cells, which leads to the release of GLP-1 and peptide YY (PYY) to regulate glucose homeostasis. At the same time, the SCFAs also affect the intestinal barrier, up-regulate 5'-AMP-activated in muscle and liver tissues, and the protein kinase signalling pathway, all of which are linked to insulin resistance and inflammation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{"citationItems":[{"id":"ITEM-1","itemData":{"DOI":"10.1038/emm.2017.7","ISSN":"2092-6413 (Electronic)","PMID":"28408748","abstract":"Chronic obstructive pulmonary disease (COPD) is a chronic inflammatory disease, and bacterial infection plays a role in its pathogenesis. Bacteria secrete nanometer-sized extracellular vesicles (EVs), which may induce more immune dysfunction and inflammation than the bacteria themselves. We hypothesized that the microbiome of lung EVs might have distinct characteristics depending on the presence of COPD and smoking status. We analyzed and compared the microbiomes of 13 nonsmokers with normal spirometry, 13 smokers with normal spirometry (healthy smokers) and 13 patients with COPD by using 16S ribosomal RNA gene sequencing of surgical lung tissue and lung EVs. Subjects were matched for age and sex in all groups and for smoking levels in the COPD and healthy smoker groups. Each group included 12 men and 1 woman with the same mean age of 65.5 years. In all groups, EVs consistently showed more operational taxonomic units (OTUs) than lung tissue. In the healthy smoker and COPD groups, EVs had a higher Shannon index and a lower Simpson index than lung tissue and this trend was more prominent in the COPD group. Principal component analysis (PCA) showed clusters based on sample type rather than participants' clinical characteristics. Stenotrophomonas, Propionibacterium and Alicyclobacillus were the most commonly found genera. Firmicutes were highly present in the EVs of the COPD group compared with other samples or groups. Our analysis of the lung microbiome revealed that the bacterial communities present in the EVs and in the COPD group possessed distinct characteristics with differences in the OTUs, diversity indexes and PCA clustering.","author":[{"dropping-particle":"","family":"Kim","given":"Hyun Jung","non-dropping-particle":"","parse-names":false,"suffix":""},{"dropping-particle":"","family":"Kim","given":"You-Sun","non-dropping-particle":"","parse-names":false,"suffix":""},{"dropping-particle":"","family":"Kim","given":"Kang-Hyun","non-dropping-particle":"","parse-names":false,"suffix":""},{"dropping-particle":"","family":"Choi","given":"Jun-Pyo","non-dropping-particle":"","parse-names":false,"suffix":""},{"dropping-particle":"","family":"Kim","given":"Yoon-Keun","non-dropping-particle":"","parse-names":false,"suffix":""},{"dropping-particle":"","family":"Yun","given":"Sunmi","non-dropping-particle":"","parse-names":false,"suffix":""},{"dropping-particle":"","family":"Sharma","given":"Lokesh","non-dropping-particle":"","parse-names":false,"suffix":""},{"dropping-particle":"","family":"Cruz","given":"Charles S","non-dropping-particle":"Dela","parse-names":false,"suffix":""},{"dropping-particle":"","family":"Lee","given":"Jae Seung","non-dropping-particle":"","parse-names":false,"suffix":""},{"dropping-particle":"","family":"Oh","given":"Yeon-Mok","non-dropping-particle":"","parse-names":false,"suffix":""},{"dropping-particle":"","family":"Lee","given":"Sang-Do","non-dropping-particle":"","parse-names":false,"suffix":""},{"dropping-particle":"","family":"Lee","given":"Sei Won","non-dropping-particle":"","parse-names":false,"suffix":""}],"container-title":"Experimental &amp; molecular medicine","id":"ITEM-1","issue":"4","issued":{"date-parts":[["2017","4"]]},"language":"eng","page":"e316","publisher-place":"United States","title":"The microbiome of the lung and its extracellular vesicles in nonsmokers, healthy  smokers and COPD patients.","type":"article-journal","volume":"49"},"uris":["http://www.mendeley.com/documents/?uuid=7b9f9829-8881-432b-9fd8-bd3de48b8057"]}],"mendeley":{"formattedCitation":"[52]","plainTextFormattedCitation":"[52]","previouslyFormattedCitation":"[244]"},"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[52]</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w:t>
      </w:r>
    </w:p>
    <w:p w14:paraId="625DA154" w14:textId="49DAB9F6" w:rsidR="005914AF" w:rsidRPr="003F7121" w:rsidRDefault="005914AF" w:rsidP="005914AF">
      <w:pPr>
        <w:pStyle w:val="Default"/>
        <w:spacing w:after="160" w:line="360" w:lineRule="auto"/>
        <w:ind w:firstLine="720"/>
        <w:jc w:val="both"/>
        <w:rPr>
          <w:rFonts w:ascii="Times New Roman" w:hAnsi="Times New Roman" w:cs="Times New Roman"/>
          <w:color w:val="auto"/>
        </w:rPr>
      </w:pPr>
      <w:r w:rsidRPr="003F7121">
        <w:rPr>
          <w:rFonts w:ascii="Times New Roman" w:hAnsi="Times New Roman" w:cs="Times New Roman"/>
          <w:color w:val="auto"/>
        </w:rPr>
        <w:t xml:space="preserve">Nanoparticles and protein bioconjugates have been studied for multiple biomedical applications. As per the study reported by </w:t>
      </w:r>
      <w:proofErr w:type="spellStart"/>
      <w:r w:rsidRPr="003F7121">
        <w:rPr>
          <w:rFonts w:ascii="Times New Roman" w:hAnsi="Times New Roman" w:cs="Times New Roman"/>
          <w:color w:val="auto"/>
        </w:rPr>
        <w:t>Akib</w:t>
      </w:r>
      <w:proofErr w:type="spellEnd"/>
      <w:r w:rsidRPr="003F7121">
        <w:rPr>
          <w:rFonts w:ascii="Times New Roman" w:hAnsi="Times New Roman" w:cs="Times New Roman"/>
          <w:color w:val="auto"/>
        </w:rPr>
        <w:t xml:space="preserve"> Nisar et al. (2022),  the interaction and structural modifications of bovine serum albumin (BSA) with iron oxide nanoparticles (IONPs). The IONPs were green synthesized using </w:t>
      </w:r>
      <w:r w:rsidRPr="003F7121">
        <w:rPr>
          <w:rFonts w:ascii="Times New Roman" w:hAnsi="Times New Roman" w:cs="Times New Roman"/>
          <w:i/>
          <w:iCs/>
          <w:color w:val="auto"/>
        </w:rPr>
        <w:t xml:space="preserve">E. crassipes </w:t>
      </w:r>
      <w:r w:rsidRPr="003F7121">
        <w:rPr>
          <w:rFonts w:ascii="Times New Roman" w:hAnsi="Times New Roman" w:cs="Times New Roman"/>
          <w:color w:val="auto"/>
        </w:rPr>
        <w:t xml:space="preserve">leaf extract and characterized using transmission electron microscopy, energy dispersive X-ray analysis and X-ray diffraction. Native PAGE, HPLC, and FTIR analysis displayed a differential behaviour of IONPs with native and glycated BSA hence could be used against diabetes </w:t>
      </w:r>
      <w:r w:rsidRPr="003F7121">
        <w:rPr>
          <w:rFonts w:ascii="Times New Roman" w:hAnsi="Times New Roman" w:cs="Times New Roman"/>
          <w:color w:val="auto"/>
        </w:rPr>
        <w:fldChar w:fldCharType="begin" w:fldLock="1"/>
      </w:r>
      <w:r w:rsidRPr="003F7121">
        <w:rPr>
          <w:rFonts w:ascii="Times New Roman" w:hAnsi="Times New Roman" w:cs="Times New Roman"/>
          <w:color w:val="auto"/>
        </w:rPr>
        <w:instrText>ADDIN CSL_CITATION {"citationItems":[{"id":"ITEM-1","itemData":{"DOI":"10.1016/j.ijbiomac.2022.05.106","ISSN":"18790003","PMID":"35597380","abstract":"Nanoparticles and protein bioconjugates have been studied for multiple biomedical applications. We sought to investigate the interaction and structural modifications of bovine serum albumin (BSA) with iron oxide nanoparticles (IONPs). The IONPs were green synthesized using E. crassipes aqueous leaf extract following characterization using transmission electron microscopy, energy dispersive X-ray analysis and X-ray diffraction. Two different concentrations of native/glycated albumin (0.5 and 1.5 mg/ml) with IONPs were allowed to interact for 1 h at 37 °C. Glycation markers, protein modification markers, cellular antioxidant, and hemolysis studies showed structural modifications and conformational changes in albumin due to the presence of IONPs. UV–visible absorbance resulted in hyperchromic and bathochromic effects of IONPs-BSA conjugates. Fluorescence measurements of tyrosine, tryptophan, advanced glycated end products, and ANS binding assay were promising and quenching effects proved IONPs-BSA conjugate formation. In FTIR of BSA-IONPs, transmittance was increased in amide A and B bands while decreased in amide I and II bands. In summary, native PAGE, HPLC, and FTIR analysis displayed a differential behaviour of IONPs with native and glycated BSA. These results provided an understanding of the interaction and structural modifications of glycated and native BSA which may provide fundamental repercussions in future studies.","author":[{"dropping-particle":"","family":"Nisar","given":"Akib","non-dropping-particle":"","parse-names":false,"suffix":""},{"dropping-particle":"","family":"Ajabia","given":"Devangi K.","non-dropping-particle":"","parse-names":false,"suffix":""},{"dropping-particle":"","family":"Agrawal","given":"Sanskruthi B.","non-dropping-particle":"","parse-names":false,"suffix":""},{"dropping-particle":"","family":"Varma","given":"Sanjana","non-dropping-particle":"","parse-names":false,"suffix":""},{"dropping-particle":"","family":"Chaudhari","given":"Bhushan P.","non-dropping-particle":"","parse-names":false,"suffix":""},{"dropping-particle":"","family":"Tupe","given":"Rashmi S.","non-dropping-particle":"","parse-names":false,"suffix":""}],"container-title":"International Journal of Biological Macromolecules","id":"ITEM-1","issue":"May","issued":{"date-parts":[["2022"]]},"page":"232-247","publisher":"Elsevier B.V.","title":"Mechanistic insight into differential interactions of iron oxide nanoparticles with native, glycated albumin and their effect on erythrocytes parameters","type":"article-journal","volume":"212"},"uris":["http://www.mendeley.com/documents/?uuid=b5864b15-4b57-43b7-92d5-0c94e17e254c"]}],"mendeley":{"formattedCitation":"[53]","plainTextFormattedCitation":"[53]","previouslyFormattedCitation":"[321]"},"properties":{"noteIndex":0},"schema":"https://github.com/citation-style-language/schema/raw/master/csl-citation.json"}</w:instrText>
      </w:r>
      <w:r w:rsidRPr="003F7121">
        <w:rPr>
          <w:rFonts w:ascii="Times New Roman" w:hAnsi="Times New Roman" w:cs="Times New Roman"/>
          <w:color w:val="auto"/>
        </w:rPr>
        <w:fldChar w:fldCharType="separate"/>
      </w:r>
      <w:r w:rsidRPr="003F7121">
        <w:rPr>
          <w:rFonts w:ascii="Times New Roman" w:hAnsi="Times New Roman" w:cs="Times New Roman"/>
          <w:noProof/>
          <w:color w:val="auto"/>
        </w:rPr>
        <w:t>[53]</w:t>
      </w:r>
      <w:r w:rsidRPr="003F7121">
        <w:rPr>
          <w:rFonts w:ascii="Times New Roman" w:hAnsi="Times New Roman" w:cs="Times New Roman"/>
          <w:color w:val="auto"/>
        </w:rPr>
        <w:fldChar w:fldCharType="end"/>
      </w:r>
      <w:r w:rsidRPr="003F7121">
        <w:rPr>
          <w:rFonts w:ascii="Times New Roman" w:hAnsi="Times New Roman" w:cs="Times New Roman"/>
          <w:color w:val="auto"/>
        </w:rPr>
        <w:t>.</w:t>
      </w:r>
    </w:p>
    <w:p w14:paraId="3D02FB97" w14:textId="77777777" w:rsidR="005914AF" w:rsidRPr="003F7121" w:rsidRDefault="005914AF" w:rsidP="005914AF">
      <w:pPr>
        <w:spacing w:line="360" w:lineRule="auto"/>
        <w:jc w:val="both"/>
        <w:rPr>
          <w:rFonts w:ascii="Times New Roman" w:eastAsia="Times New Roman" w:hAnsi="Times New Roman" w:cs="Times New Roman"/>
          <w:b/>
          <w:sz w:val="24"/>
          <w:szCs w:val="24"/>
          <w:lang w:eastAsia="en-IN"/>
        </w:rPr>
      </w:pPr>
      <w:r w:rsidRPr="003F7121">
        <w:rPr>
          <w:rFonts w:ascii="Times New Roman" w:eastAsia="Times New Roman" w:hAnsi="Times New Roman" w:cs="Times New Roman"/>
          <w:b/>
          <w:sz w:val="24"/>
          <w:szCs w:val="24"/>
          <w:lang w:eastAsia="en-IN"/>
        </w:rPr>
        <w:t>Cancer</w:t>
      </w:r>
    </w:p>
    <w:p w14:paraId="367AB529" w14:textId="589D7A36" w:rsidR="005914AF" w:rsidRPr="003F7121" w:rsidRDefault="005914AF" w:rsidP="005914AF">
      <w:pPr>
        <w:spacing w:line="360" w:lineRule="auto"/>
        <w:ind w:firstLine="567"/>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 xml:space="preserve">Cancer emerges as a result of chronic inflammation due to various factors including microbiota. There is a drastic microbial change as seen in cancer patients that displays low microbial diversity with significant increase of pathogenic Proteobacteria and decrease in butyrate producing microbes such as Firmicutes and Actinobacteria when compared to healthy individual microbial profile </w:t>
      </w:r>
      <w:r w:rsidRPr="003F7121">
        <w:rPr>
          <w:rFonts w:ascii="Times New Roman" w:eastAsia="Times New Roman" w:hAnsi="Times New Roman" w:cs="Times New Roman"/>
          <w:sz w:val="24"/>
          <w:szCs w:val="24"/>
          <w:lang w:eastAsia="en-IN"/>
        </w:rPr>
        <w:fldChar w:fldCharType="begin" w:fldLock="1"/>
      </w:r>
      <w:r w:rsidRPr="003F7121">
        <w:rPr>
          <w:rFonts w:ascii="Times New Roman" w:eastAsia="Times New Roman" w:hAnsi="Times New Roman" w:cs="Times New Roman"/>
          <w:sz w:val="24"/>
          <w:szCs w:val="24"/>
          <w:lang w:eastAsia="en-IN"/>
        </w:rPr>
        <w:instrText>ADDIN CSL_CITATION {"citationItems":[{"id":"ITEM-1","itemData":{"DOI":"10.1128/mBio.01315-19","ISSN":"21507511","PMID":"31311881","abstract":"We have previously identified a crypt-specific core microbiota (CSCM) in the colons of healthy laboratory mice and related wild rodents. Here, we confirm that a CSCM also exists in the human colon and appears to be altered during colon cancer. The colonic microbiota is suggested to be involved in the development of colorectal cancer (CRC). Because the microbiota identified in fecal samples from CRC patients does not directly reflect the microbiota associated with tumor tissues themselves, we sought to characterize the bacterial communities from the crypts and associated adjacent mucosal surfaces of 58 patients (tumor and normal homologous tissue) and 9 controls with normal colonoscopy results. Here, we confirm that bacteria colonize human colonic crypts in both control and CRC tissues, and using lasermicrodissected tissues and 16S rRNA gene sequencing, we further show that right and left crypt- and mucosa-associated bacterial communities are significantly different. In addition to Bacteroidetes and Firmicutes, and as with murine proximal colon crypts, environmental nonfermentative Proteobacteria are found in human colonic crypts. Fusobacterium and Bacteroides fragilis are more abundant in right-side tumors, whereas Parvimonas micra is more prevalent in left-side tumors. More precisely, Fusobacterium periodonticum is more abundant in crypts from cancerous samples in the right colon than in associated nontumoral samples from adjacent areas but not in left-side colonic samples. Future analysis of the interaction between these bacteria and the crypt epithelium, particularly intestinal stem cells, will allow deciphering of their possible oncogenic potential.","author":[{"dropping-particle":"","family":"Saffarian","given":"Azadeh","non-dropping-particle":"","parse-names":false,"suffix":""},{"dropping-particle":"","family":"Mulet","given":"Céline","non-dropping-particle":"","parse-names":false,"suffix":""},{"dropping-particle":"","family":"Regnault","given":"Béatrice","non-dropping-particle":"","parse-names":false,"suffix":""},{"dropping-particle":"","family":"Amiot","given":"Aurélien","non-dropping-particle":"","parse-names":false,"suffix":""},{"dropping-particle":"","family":"Tran-Van-Nhieu","given":"Jeanne","non-dropping-particle":"","parse-names":false,"suffix":""},{"dropping-particle":"","family":"Ravel","given":"Jacques","non-dropping-particle":"","parse-names":false,"suffix":""},{"dropping-particle":"","family":"Sobhani","given":"Iradj","non-dropping-particle":"","parse-names":false,"suffix":""},{"dropping-particle":"","family":"Sansonetti","given":"Philippe J.","non-dropping-particle":"","parse-names":false,"suffix":""},{"dropping-particle":"","family":"Pédron","given":"Thierry","non-dropping-particle":"","parse-names":false,"suffix":""}],"container-title":"mBio","id":"ITEM-1","issue":"4","issued":{"date-parts":[["2019"]]},"page":"1-20","title":"Crypt- and mucosa-associated core microbiotas in humans and their alteration in colon cancer patients","type":"article-journal","volume":"10"},"uris":["http://www.mendeley.com/documents/?uuid=1fd3a0a4-6efe-40b0-bee4-5fb7085147c0","http://www.mendeley.com/documents/?uuid=e141ee92-d961-4f67-ad0a-a035007c28f2"]},{"id":"ITEM-2","itemData":{"DOI":"10.3390/cancers12061406","ISSN":"20726694","PMID":"32486066","abstract":"Colorectal cancer (CRC) is the third most common cancer worldwide and the leading cause of cancer-related deaths. Recently, several studies have demonstrated that gut microbiota can alter CRC susceptibility and progression by modulating mechanisms such as inflammation and DNA damage, and by producing metabolites involved in tumor progression or suppression. Dysbiosis of gut microbiota has been observed in patients with CRC, with a decrease in commensal bacterial species (butyrate-producing bacteria) and an enrichment of detrimental bacterial populations (pro-inflammatory opportunistic pathogens). CRC is characterized by altered production of bacterial metabolites directly involved in cancer metabolism including short-chain fatty acids and polyamines. Emerging evidence suggests that diet has an important impact on the risk of CRC development. The intake of high-fiber diets and the supplementation of diet with polyunsaturated fatty acids, polyphenols and probiotics, which are known to regulate gut microbiota, could be not only a potential mechanism for the reduction of CRC risk in a primary prevention setting, but may also be important to enhance the response to cancer therapy when used as adjuvant to conventional treatment for CRC. Therefore, a personalized modulation of the pattern of gut microbiome by diet may be a promising approach to prevent the development and progression of CRC and to improve the efficacy of antitumoral therapy.","author":[{"dropping-particle":"","family":"Sánchez-Alcoholado","given":"Lidia","non-dropping-particle":"","parse-names":false,"suffix":""},{"dropping-particle":"","family":"Ramos-Molina","given":"Bruno","non-dropping-particle":"","parse-names":false,"suffix":""},{"dropping-particle":"","family":"Otero","given":"Ana","non-dropping-particle":"","parse-names":false,"suffix":""},{"dropping-particle":"","family":"Laborda-Illanes","given":"Aurora","non-dropping-particle":"","parse-names":false,"suffix":""},{"dropping-particle":"","family":"Ordóñez","given":"Rafael","non-dropping-particle":"","parse-names":false,"suffix":""},{"dropping-particle":"","family":"Medina","given":"José Antonio","non-dropping-particle":"","parse-names":false,"suffix":""},{"dropping-particle":"","family":"Gómez-Millán","given":"Jaime","non-dropping-particle":"","parse-names":false,"suffix":""},{"dropping-particle":"","family":"Queipo-Ortuño","given":"María Isabel","non-dropping-particle":"","parse-names":false,"suffix":""}],"container-title":"Cancers","id":"ITEM-2","issue":"6","issued":{"date-parts":[["2020"]]},"page":"1-29","title":"The role of the gut microbiome in colorectal cancer development and therapy response","type":"article-journal","volume":"12"},"uris":["http://www.mendeley.com/documents/?uuid=a7740102-79b5-487d-9778-639e9666b207","http://www.mendeley.com/documents/?uuid=ce2bc1b3-0aef-4a72-b7e7-76fbcffca6c8"]}],"mendeley":{"formattedCitation":"[54,55]","plainTextFormattedCitation":"[54,55]","previouslyFormattedCitation":"[322,323]"},"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[54,55]</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These abrupt changes might trigger in pro-inflammatory opportunistic pathogens that could ultimately lead to tumour formation </w:t>
      </w:r>
      <w:r w:rsidRPr="003F7121">
        <w:rPr>
          <w:rFonts w:ascii="Times New Roman" w:eastAsia="Times New Roman" w:hAnsi="Times New Roman" w:cs="Times New Roman"/>
          <w:sz w:val="24"/>
          <w:szCs w:val="24"/>
          <w:lang w:eastAsia="en-IN"/>
        </w:rPr>
        <w:fldChar w:fldCharType="begin" w:fldLock="1"/>
      </w:r>
      <w:r w:rsidRPr="003F7121">
        <w:rPr>
          <w:rFonts w:ascii="Times New Roman" w:eastAsia="Times New Roman" w:hAnsi="Times New Roman" w:cs="Times New Roman"/>
          <w:sz w:val="24"/>
          <w:szCs w:val="24"/>
          <w:lang w:eastAsia="en-IN"/>
        </w:rPr>
        <w:instrText>ADDIN CSL_CITATION {"citationItems":[{"id":"ITEM-1","itemData":{"DOI":"10.1248/cpb.58.61","author":[{"dropping-particle":"","family":"Chan","given":"Yu-Yi","non-dropping-particle":"","parse-names":false,"suffix":""},{"dropping-particle":"","family":"Li","given":"Chan-Hao","non-dropping-particle":"","parse-names":false,"suffix":""},{"dropping-particle":"","family":"Shen","given":"Yuh-Chiang","non-dropping-particle":"","parse-names":false,"suffix":""},{"dropping-particle":"","family":"Wu","given":"Tian-Shung","non-dropping-particle":"","parse-names":false,"suffix":""}],"container-title":"Chemical and Pharmaceutical Bulletin","id":"ITEM-1","issue":"1","issued":{"date-parts":[["2010"]]},"page":"61-65","title":"Anti-inflammatory Principles from the Stem and Root Barks of &lt;i&gt;Citrus medica&lt;/i&gt;","type":"article-journal","volume":"58"},"uris":["http://www.mendeley.com/documents/?uuid=d9616e8c-dd00-45f4-8371-c2599c9e996a","http://www.mendeley.com/documents/?uuid=49c2d059-18e6-469d-96cf-4e36a8aee5d0"]}],"mendeley":{"formattedCitation":"[56]","plainTextFormattedCitation":"[56]","previouslyFormattedCitation":"[324]"},"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[56]</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Use of anti-carcinogenic probiotic bacteria such as several species of </w:t>
      </w:r>
      <w:r w:rsidRPr="003F7121">
        <w:rPr>
          <w:rFonts w:ascii="Times New Roman" w:eastAsia="Times New Roman" w:hAnsi="Times New Roman" w:cs="Times New Roman"/>
          <w:i/>
          <w:sz w:val="24"/>
          <w:szCs w:val="24"/>
          <w:lang w:eastAsia="en-IN"/>
        </w:rPr>
        <w:t>Bifidobacterium</w:t>
      </w:r>
      <w:r w:rsidRPr="003F7121">
        <w:rPr>
          <w:rFonts w:ascii="Times New Roman" w:eastAsia="Times New Roman" w:hAnsi="Times New Roman" w:cs="Times New Roman"/>
          <w:sz w:val="24"/>
          <w:szCs w:val="24"/>
          <w:lang w:eastAsia="en-IN"/>
        </w:rPr>
        <w:t xml:space="preserve"> and </w:t>
      </w:r>
      <w:r w:rsidRPr="003F7121">
        <w:rPr>
          <w:rFonts w:ascii="Times New Roman" w:eastAsia="Times New Roman" w:hAnsi="Times New Roman" w:cs="Times New Roman"/>
          <w:i/>
          <w:sz w:val="24"/>
          <w:szCs w:val="24"/>
          <w:lang w:eastAsia="en-IN"/>
        </w:rPr>
        <w:t>Lactobacillus</w:t>
      </w:r>
      <w:r w:rsidRPr="003F7121">
        <w:rPr>
          <w:rFonts w:ascii="Times New Roman" w:eastAsia="Times New Roman" w:hAnsi="Times New Roman" w:cs="Times New Roman"/>
          <w:sz w:val="24"/>
          <w:szCs w:val="24"/>
          <w:lang w:eastAsia="en-IN"/>
        </w:rPr>
        <w:t xml:space="preserve"> have been reported </w:t>
      </w:r>
      <w:r w:rsidRPr="003F7121">
        <w:rPr>
          <w:rFonts w:ascii="Times New Roman" w:eastAsia="Times New Roman" w:hAnsi="Times New Roman" w:cs="Times New Roman"/>
          <w:sz w:val="24"/>
          <w:szCs w:val="24"/>
          <w:lang w:eastAsia="en-IN"/>
        </w:rPr>
        <w:fldChar w:fldCharType="begin" w:fldLock="1"/>
      </w:r>
      <w:r w:rsidRPr="003F7121">
        <w:rPr>
          <w:rFonts w:ascii="Times New Roman" w:eastAsia="Times New Roman" w:hAnsi="Times New Roman" w:cs="Times New Roman"/>
          <w:sz w:val="24"/>
          <w:szCs w:val="24"/>
          <w:lang w:eastAsia="en-IN"/>
        </w:rPr>
        <w:instrText>ADDIN CSL_CITATION {"citationItems":[{"id":"ITEM-1","itemData":{"DOI":"10.3390/medicines5030101","abstract":"The human microbiome plays many roles in inflammation, drug metabolism, and even the development of cancer that we are only beginning to understand. Colorectal cancer has been a focus for study in this field as its pathogenesis and its response to treatment have both been linked to the functioning of microbiota. This literature review evaluates the animal and human studies that have explored this relationship. By manipulating the microbiome with interventions such as probiotic administration, we may be able to reduce colorectal cancer risk and improve the safety and effectiveness of cancer therapy even though additional clinical research is still necessary.","author":[{"dropping-particle":"","family":"Hendler","given":"Robert","non-dropping-particle":"","parse-names":false,"suffix":""},{"dropping-particle":"","family":"Zhang","given":"Yue","non-dropping-particle":"","parse-names":false,"suffix":""}],"container-title":"Medicines","id":"ITEM-1","issue":"3","issued":{"date-parts":[["2018"]]},"page":"101","title":"Probiotics in the Treatment of Colorectal Cancer","type":"article-journal","volume":"5"},"uris":["http://www.mendeley.com/documents/?uuid=075cc8d1-fc8d-4a17-8f0d-4944af51ae61","http://www.mendeley.com/documents/?uuid=e10acae4-2c67-4f1b-aec5-b3fb2e59f943"]}],"mendeley":{"formattedCitation":"[57]","plainTextFormattedCitation":"[57]","previouslyFormattedCitation":"[325]"},"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[57]</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Also, the approach of modulating and restoring microbiome through the use of prebiotics have also been reported </w:t>
      </w:r>
      <w:r w:rsidRPr="003F7121">
        <w:rPr>
          <w:rFonts w:ascii="Times New Roman" w:eastAsia="Times New Roman" w:hAnsi="Times New Roman" w:cs="Times New Roman"/>
          <w:sz w:val="24"/>
          <w:szCs w:val="24"/>
          <w:lang w:eastAsia="en-IN"/>
        </w:rPr>
        <w:fldChar w:fldCharType="begin" w:fldLock="1"/>
      </w:r>
      <w:r w:rsidRPr="003F7121">
        <w:rPr>
          <w:rFonts w:ascii="Times New Roman" w:eastAsia="Times New Roman" w:hAnsi="Times New Roman" w:cs="Times New Roman"/>
          <w:sz w:val="24"/>
          <w:szCs w:val="24"/>
          <w:lang w:eastAsia="en-IN"/>
        </w:rPr>
        <w:instrText>ADDIN CSL_CITATION {"citationItems":[{"id":"ITEM-1","itemData":{"DOI":"10.3390/microorganisms9061325","ISSN":"20762607","abstract":"Colorectal cancer (CRC), the third most common cancer in the world, has been recently rising in emerging countries due to environmental and lifestyle factors. Many of these factors are brought up by industrialization, which includes lack of physical activity, poor diet, circadian rhythm disruption, and increase in alcohol consumption. They can increase the risk of CRC by changing the colonic environment and by altering gut microbiota composition, a state referred to as gut dysbiosis. Prebiotics, which are nutrients that can help maintain intestinal microbial homeostasis and mitigate dysbiosis, could be beneficial in preventing inflammation and CRC. These nutrients can hinder the effects of dysbiosis by encouraging the growth of beneficial bacteria involved in short-chain fatty acids (SCFA) production, anti-inflammatory immunity, maintenance of the intestinal epithelial barrier, pro-apoptotic mechanisms, and other cellular mechanisms. This review aims to summarize recent reports about the implication of prebiotics, and probable mechanisms, in the prevention and treatment of CRC. Various experimental studies, specifically in gut microbiome, have effectively demonstrated the protective effect of prebiotics in the progress of CRC. Hence, comprehensive knowledge is urgent to understand the clinical applications of prebiotics in the prevention or treatment of CRC.","author":[{"dropping-particle":"","family":"Mahdavi","given":"Manijeh","non-dropping-particle":"","parse-names":false,"suffix":""},{"dropping-particle":"","family":"Laforest-Lapointe","given":"Isabelle","non-dropping-particle":"","parse-names":false,"suffix":""},{"dropping-particle":"","family":"Massé","given":"Eric","non-dropping-particle":"","parse-names":false,"suffix":""}],"container-title":"Microorganisms","id":"ITEM-1","issue":"6","issued":{"date-parts":[["2021"]]},"page":"1-16","title":"Preventing colorectal cancer through prebiotics","type":"article-journal","volume":"9"},"uris":["http://www.mendeley.com/documents/?uuid=cb67bebe-dacf-4a87-9848-eae13d221892","http://www.mendeley.com/documents/?uuid=1c11ed30-3bf7-4c73-8985-6bb4a79e07e6"]}],"mendeley":{"formattedCitation":"[58]","plainTextFormattedCitation":"[58]","previouslyFormattedCitation":"[326]"},"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[58]</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These approaches for microbiome modulation, ultimately preventing or curing disease at a primary stage lack specificity in achieving the targeted modulation i.e. they were not originally developed to target tumour cells and hence does not have the ability to interact with tumour associated bacteria (TAB) </w:t>
      </w:r>
      <w:r w:rsidRPr="003F7121">
        <w:rPr>
          <w:rFonts w:ascii="Times New Roman" w:eastAsia="Times New Roman" w:hAnsi="Times New Roman" w:cs="Times New Roman"/>
          <w:sz w:val="24"/>
          <w:szCs w:val="24"/>
          <w:lang w:eastAsia="en-IN"/>
        </w:rPr>
        <w:fldChar w:fldCharType="begin" w:fldLock="1"/>
      </w:r>
      <w:r w:rsidRPr="003F7121">
        <w:rPr>
          <w:rFonts w:ascii="Times New Roman" w:eastAsia="Times New Roman" w:hAnsi="Times New Roman" w:cs="Times New Roman"/>
          <w:sz w:val="24"/>
          <w:szCs w:val="24"/>
          <w:lang w:eastAsia="en-IN"/>
        </w:rPr>
        <w:instrText>ADDIN CSL_CITATION {"citationItems":[{"id":"ITEM-1","itemData":{"DOI":"10.1016/j.cmi.2016.09.001.Therapeutic","ISBN":"4159301800","author":[{"dropping-particle":"","family":"Young","given":"V","non-dropping-particle":"","parse-names":false,"suffix":""}],"container-title":"Clinical Microbiology and Infection","id":"ITEM-1","issue":"11","issued":{"date-parts":[["2016"]]},"page":"1-11","title":"Therapeutic Manipulation of the Microbiota: Past, Present and Considerations for the Future","type":"article-journal","volume":"22"},"uris":["http://www.mendeley.com/documents/?uuid=a9eef325-6752-4ace-ba6f-81d2854b5d5c","http://www.mendeley.com/documents/?uuid=2aba2321-4dd9-414a-98fe-4e8ba77c388e"]},{"id":"ITEM-2","itemData":{"DOI":"10.1002/btm2.10093","abstract":"************Next generation microbe-based therapeutics, inspired by the success of fecal microbiota transplants, are being actively investigated in clinical trials to displace or eliminate pathogenic microbes to treat various diseases in the gastrointestinal tract, skin, and vagina. Genetically engineered microbes are also being investigated in the clinic as drug producing factories for biologic delivery, which can provide a constant local source of drugs. In either case, microbe-therapeutics have the opportunity to address unmet clinical needs and open new areas of research by reducing clinical side effects associated with current treatment modalities or by facilitating the delivery of biologics. This review will discuss examples of past and current clinical trials that are investigating microbe-therapeutics, both microbiome-modulating and drug-producing, for the treatment of a range of diseases. We then offer a perspective on how preclinical approaches, both those focused on developing advanced delivery systems and those that use in vitro microbiome model systems to inform formulation design, will lead to the realization of next-generation microbe-therapeutics.","author":[{"dropping-particle":"","family":"Vargason","given":"Ava M.","non-dropping-particle":"","parse-names":false,"suffix":""},{"dropping-particle":"","family":"Anselmo","given":"Aaron C.","non-dropping-particle":"","parse-names":false,"suffix":""}],"container-title":"Bioengineering &amp; Translational Medicine","id":"ITEM-2","issue":"2","issued":{"date-parts":[["2018"]]},"page":"124-137","title":"Clinical translation of microbe-based therapies: Current clinical landscape and preclinical outlook","type":"article-journal","volume":"3"},"uris":["http://www.mendeley.com/documents/?uuid=d1a9b500-9db6-4dfb-b93f-707e836c29ca","http://www.mendeley.com/documents/?uuid=351fbb51-ca40-40c5-9539-3c3934e752fe"]}],"mendeley":{"formattedCitation":"[59,60]","plainTextFormattedCitation":"[59,60]","previouslyFormattedCitation":"[327,328]"},"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[59,60]</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w:t>
      </w:r>
    </w:p>
    <w:p w14:paraId="1C84AF8D" w14:textId="13CDE3DA" w:rsidR="005914AF" w:rsidRPr="003F7121" w:rsidRDefault="005914AF" w:rsidP="005914AF">
      <w:pPr>
        <w:spacing w:line="360" w:lineRule="auto"/>
        <w:ind w:firstLine="567"/>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In this context, nanotechnology seems a fruitful approach as it can (</w:t>
      </w:r>
      <w:proofErr w:type="spellStart"/>
      <w:r w:rsidRPr="003F7121">
        <w:rPr>
          <w:rFonts w:ascii="Times New Roman" w:eastAsia="Times New Roman" w:hAnsi="Times New Roman" w:cs="Times New Roman"/>
          <w:sz w:val="24"/>
          <w:szCs w:val="24"/>
          <w:lang w:eastAsia="en-IN"/>
        </w:rPr>
        <w:t>i</w:t>
      </w:r>
      <w:proofErr w:type="spellEnd"/>
      <w:r w:rsidRPr="003F7121">
        <w:rPr>
          <w:rFonts w:ascii="Times New Roman" w:eastAsia="Times New Roman" w:hAnsi="Times New Roman" w:cs="Times New Roman"/>
          <w:sz w:val="24"/>
          <w:szCs w:val="24"/>
          <w:lang w:eastAsia="en-IN"/>
        </w:rPr>
        <w:t xml:space="preserve">) navigate complex microenvironment including microbiome and tumour microenvironment; (ii) specifically </w:t>
      </w:r>
      <w:r w:rsidRPr="003F7121">
        <w:rPr>
          <w:rFonts w:ascii="Times New Roman" w:eastAsia="Times New Roman" w:hAnsi="Times New Roman" w:cs="Times New Roman"/>
          <w:sz w:val="24"/>
          <w:szCs w:val="24"/>
          <w:lang w:eastAsia="en-IN"/>
        </w:rPr>
        <w:lastRenderedPageBreak/>
        <w:t xml:space="preserve">interfere with molecular pathways; and (iii) be functional at sites beyond the primary tumour e.g. metastases </w:t>
      </w:r>
      <w:r w:rsidRPr="003F7121">
        <w:rPr>
          <w:rFonts w:ascii="Times New Roman" w:eastAsia="Times New Roman" w:hAnsi="Times New Roman" w:cs="Times New Roman"/>
          <w:sz w:val="24"/>
          <w:szCs w:val="24"/>
          <w:lang w:eastAsia="en-IN"/>
        </w:rPr>
        <w:fldChar w:fldCharType="begin" w:fldLock="1"/>
      </w:r>
      <w:r w:rsidRPr="003F7121">
        <w:rPr>
          <w:rFonts w:ascii="Times New Roman" w:eastAsia="Times New Roman" w:hAnsi="Times New Roman" w:cs="Times New Roman"/>
          <w:sz w:val="24"/>
          <w:szCs w:val="24"/>
          <w:lang w:eastAsia="en-IN"/>
        </w:rPr>
        <w:instrText>ADDIN CSL_CITATION {"citationItems":[{"id":"ITEM-1","itemData":{"DOI":"10.1038/s41565-019-0589-5","ISSN":"17483395","PMID":"31802032","abstract":"The microbiome is emerging as a key player and driver of cancer. Traditional modalities to manipulate the microbiome (for example, antibiotics, probiotics and microbiota transplants) have been shown to improve efficacy of cancer therapies in some cases, but issues such as collateral damage to the commensal microbiota and consistency of these approaches motivates efforts towards developing new technologies specifically designed for the microbiome–cancer interface. Considering the success of nanotechnology in transforming cancer diagnostics and treatment, nanotechnologies capable of manipulating interactions that occur across microscopic and molecular length scales in the microbiome and the tumour microenvironment have the potential to provide innovative strategies for cancer treatment. As such, opportunities at the intersection of nanotechnology, the microbiome and cancer are massive. In this Review, we highlight key opportunistic areas for applying nanotechnologies towards manipulating the microbiome for the treatment of cancer, give an overview of seminal work and discuss future challenges and our perspective on this emerging area.","author":[{"dropping-particle":"","family":"Song","given":"Wantong","non-dropping-particle":"","parse-names":false,"suffix":""},{"dropping-particle":"","family":"Anselmo","given":"Aaron C.","non-dropping-particle":"","parse-names":false,"suffix":""},{"dropping-particle":"","family":"Huang","given":"Leaf","non-dropping-particle":"","parse-names":false,"suffix":""}],"container-title":"Nature Nanotechnology","id":"ITEM-1","issue":"12","issued":{"date-parts":[["2019"]]},"page":"1093-1103","publisher":"Springer US","title":"Nanotechnology intervention of the microbiome for cancer therapy","type":"article-journal","volume":"14"},"uris":["http://www.mendeley.com/documents/?uuid=5ae974bb-c75d-460d-91fb-b8af87adf6ba","http://www.mendeley.com/documents/?uuid=ddb01766-24fa-4fd2-a4eb-355b03878181"]}],"mendeley":{"formattedCitation":"[61]","plainTextFormattedCitation":"[61]","previouslyFormattedCitation":"[329]"},"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[61]</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Since, the microbiome is patient unique ecosystem that dynamically changes in response to diet, drugs and so on, nanotechnology is capable of performing their targeted delivery and microbiome modulating functions even regulating metabolites that are known for carcinogenesis. Overall, the use of nanotechnology in microbiome modulation and anti-cancer applications is at nascent stage and further studies will be fruitful for exploiting the technology against cancer </w:t>
      </w:r>
      <w:r w:rsidRPr="003F7121">
        <w:rPr>
          <w:rFonts w:ascii="Times New Roman" w:eastAsia="Times New Roman" w:hAnsi="Times New Roman" w:cs="Times New Roman"/>
          <w:sz w:val="24"/>
          <w:szCs w:val="24"/>
          <w:lang w:eastAsia="en-IN"/>
        </w:rPr>
        <w:fldChar w:fldCharType="begin" w:fldLock="1"/>
      </w:r>
      <w:r w:rsidRPr="003F7121">
        <w:rPr>
          <w:rFonts w:ascii="Times New Roman" w:eastAsia="Times New Roman" w:hAnsi="Times New Roman" w:cs="Times New Roman"/>
          <w:sz w:val="24"/>
          <w:szCs w:val="24"/>
          <w:lang w:eastAsia="en-IN"/>
        </w:rPr>
        <w:instrText>ADDIN CSL_CITATION {"citationItems":[{"id":"ITEM-1","itemData":{"DOI":"10.1038/s41565-019-0589-5","ISSN":"17483395","PMID":"31802032","abstract":"The microbiome is emerging as a key player and driver of cancer. Traditional modalities to manipulate the microbiome (for example, antibiotics, probiotics and microbiota transplants) have been shown to improve efficacy of cancer therapies in some cases, but issues such as collateral damage to the commensal microbiota and consistency of these approaches motivates efforts towards developing new technologies specifically designed for the microbiome–cancer interface. Considering the success of nanotechnology in transforming cancer diagnostics and treatment, nanotechnologies capable of manipulating interactions that occur across microscopic and molecular length scales in the microbiome and the tumour microenvironment have the potential to provide innovative strategies for cancer treatment. As such, opportunities at the intersection of nanotechnology, the microbiome and cancer are massive. In this Review, we highlight key opportunistic areas for applying nanotechnologies towards manipulating the microbiome for the treatment of cancer, give an overview of seminal work and discuss future challenges and our perspective on this emerging area.","author":[{"dropping-particle":"","family":"Song","given":"Wantong","non-dropping-particle":"","parse-names":false,"suffix":""},{"dropping-particle":"","family":"Anselmo","given":"Aaron C.","non-dropping-particle":"","parse-names":false,"suffix":""},{"dropping-particle":"","family":"Huang","given":"Leaf","non-dropping-particle":"","parse-names":false,"suffix":""}],"container-title":"Nature Nanotechnology","id":"ITEM-1","issue":"12","issued":{"date-parts":[["2019"]]},"page":"1093-1103","publisher":"Springer US","title":"Nanotechnology intervention of the microbiome for cancer therapy","type":"article-journal","volume":"14"},"uris":["http://www.mendeley.com/documents/?uuid=ddb01766-24fa-4fd2-a4eb-355b03878181"]}],"mendeley":{"formattedCitation":"[61]","plainTextFormattedCitation":"[61]","previouslyFormattedCitation":"[329]"},"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[61]</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w:t>
      </w:r>
    </w:p>
    <w:p w14:paraId="294F7CE8" w14:textId="23F8E0AD" w:rsidR="005914AF" w:rsidRPr="003F7121" w:rsidRDefault="005914AF" w:rsidP="005914AF">
      <w:pPr>
        <w:autoSpaceDE w:val="0"/>
        <w:autoSpaceDN w:val="0"/>
        <w:adjustRightInd w:val="0"/>
        <w:spacing w:line="360" w:lineRule="auto"/>
        <w:ind w:firstLine="567"/>
        <w:jc w:val="both"/>
        <w:rPr>
          <w:rFonts w:ascii="Times New Roman" w:hAnsi="Times New Roman" w:cs="Times New Roman"/>
          <w:sz w:val="24"/>
          <w:szCs w:val="24"/>
        </w:rPr>
      </w:pPr>
      <w:r w:rsidRPr="003F7121">
        <w:rPr>
          <w:rFonts w:ascii="Times New Roman" w:hAnsi="Times New Roman" w:cs="Times New Roman"/>
          <w:sz w:val="24"/>
          <w:szCs w:val="24"/>
        </w:rPr>
        <w:t xml:space="preserve">The intervention of nanotechnology with the microbiome modulates the microbial metabolites and can be designed to release chemotherapeutic agents upon interaction of microbiome. Nanotechnology was used to interrupt the chemical communication between microbial metabolites and the immune system to improve immunotherapy. Also known for its uses to enable stimuli-responsive drug release of a chemotherapeutic from a nanoparticle to facilitate the suppressing of tumours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{"citationItems":[{"id":"ITEM-1","itemData":{"DOI":"10.3389/fnano.2021.681760","ISSN":"26733013","abstract":"Recent years have witnessed an unprecedented growth in the research area of nanomedicine. There is an increasing optimism that nanotechnology applied to medicine will bring significant advances in the diagnosis and treatment of various diseases, including colorectal cancer (CRC), a type of neoplasm affecting cells in the colon or the rectum. Recent findings suggest that the role of microbiota is crucial in the development of CRC and its progression. Dysbiosis is a condition that disturbs the normal microbial environment in the gut and is often observed in CRC patients. In order to detect and treat precancerous lesions, new tools such as nanotechnology-based theranostics, provide a promising option for targeted marker detection or therapy for CRC. Because the presence of gut microbiota influences the route of biomarker detection and the route of the interaction of nanoparticle/drug complexes with target cells, the development of nanoparticles with appropriate sizes, morphologies, chemical compositions and concentrations might overcome this fundamental barrier. Metallic particles are good candidates for nanoparticle-induced intestinal dysbiosis, but this aspect has been poorly explored to date. Herein, we focus on reviewing and discussing nanotechnologies with potential applications in CRC through the involvement of gut microbiota and highlight the clinical areas that would benefit from these new medical technologies.","author":[{"dropping-particle":"","family":"Perumal","given":"Komathi","non-dropping-particle":"","parse-names":false,"suffix":""},{"dropping-particle":"","family":"Ahmad","given":"Suhana","non-dropping-particle":"","parse-names":false,"suffix":""},{"dropping-particle":"","family":"Mohd-Zahid","given":"Manali Haniti","non-dropping-particle":"","parse-names":false,"suffix":""},{"dropping-particle":"","family":"Wan Hanaffi","given":"Wan Nurhidayah","non-dropping-particle":"","parse-names":false,"suffix":""},{"dropping-particle":"","family":"Z.A","given":"Iskander","non-dropping-particle":"","parse-names":false,"suffix":""},{"dropping-particle":"","family":"Six","given":"Jean Luc","non-dropping-particle":"","parse-names":false,"suffix":""},{"dropping-particle":"","family":"Ferji","given":"Khalid","non-dropping-particle":"","parse-names":false,"suffix":""},{"dropping-particle":"","family":"Jaafar","given":"Juhana","non-dropping-particle":"","parse-names":false,"suffix":""},{"dropping-particle":"","family":"Boer","given":"Jennifer C.","non-dropping-particle":"","parse-names":false,"suffix":""},{"dropping-particle":"","family":"Plebanski","given":"Magdalena","non-dropping-particle":"","parse-names":false,"suffix":""},{"dropping-particle":"","family":"Uskoković","given":"Vuk","non-dropping-particle":"","parse-names":false,"suffix":""},{"dropping-particle":"","family":"Mohamud","given":"Rohimah","non-dropping-particle":"","parse-names":false,"suffix":""}],"container-title":"Frontiers in Nanotechnology","id":"ITEM-1","issue":"July","issued":{"date-parts":[["2021"]]},"page":"1-9","title":"Nanoparticles and Gut Microbiota in Colorectal Cancer","type":"article-journal","volume":"3"},"uris":["http://www.mendeley.com/documents/?uuid=ad10d9bd-fd01-4cf5-8c17-cfd9c0d10973"]}],"mendeley":{"formattedCitation":"[62]","plainTextFormattedCitation":"[62]","previouslyFormattedCitation":"[330]"},"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[62]</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Nanotechnology for microbiome modulation plays a specific role, strategies to alter the microbiome composition towards protection from or treatment of cancer can include the addition of beneficial microbial species, deletion of cancer-causing microbial species or modulation of the existing commensal population to promote the proliferation of beneficial anti-cancer microbial species such as those that secrete the short-chain fatty acid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{"citationItems":[{"id":"ITEM-1","itemData":{"DOI":"10.1038/s41565-019-0589-5","ISSN":"17483395","PMID":"31802032","abstract":"The microbiome is emerging as a key player and driver of cancer. Traditional modalities to manipulate the microbiome (for example, antibiotics, probiotics and microbiota transplants) have been shown to improve efficacy of cancer therapies in some cases, but issues such as collateral damage to the commensal microbiota and consistency of these approaches motivates efforts towards developing new technologies specifically designed for the microbiome–cancer interface. Considering the success of nanotechnology in transforming cancer diagnostics and treatment, nanotechnologies capable of manipulating interactions that occur across microscopic and molecular length scales in the microbiome and the tumour microenvironment have the potential to provide innovative strategies for cancer treatment. As such, opportunities at the intersection of nanotechnology, the microbiome and cancer are massive. In this Review, we highlight key opportunistic areas for applying nanotechnologies towards manipulating the microbiome for the treatment of cancer, give an overview of seminal work and discuss future challenges and our perspective on this emerging area.","author":[{"dropping-particle":"","family":"Song","given":"Wantong","non-dropping-particle":"","parse-names":false,"suffix":""},{"dropping-particle":"","family":"Anselmo","given":"Aaron C.","non-dropping-particle":"","parse-names":false,"suffix":""},{"dropping-particle":"","family":"Huang","given":"Leaf","non-dropping-particle":"","parse-names":false,"suffix":""}],"container-title":"Nature Nanotechnology","id":"ITEM-1","issue":"12","issued":{"date-parts":[["2019"]]},"page":"1093-1103","publisher":"Springer US","title":"Nanotechnology intervention of the microbiome for cancer therapy","type":"article-journal","volume":"14"},"uris":["http://www.mendeley.com/documents/?uuid=c0a12f6d-75a0-4184-950f-08179c7fba19"]}],"mendeley":{"formattedCitation":"[63]","plainTextFormattedCitation":"[63]","previouslyFormattedCitation":"[331]"},"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[63]</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w:t>
      </w:r>
    </w:p>
    <w:p w14:paraId="69778B19" w14:textId="77777777" w:rsidR="005914AF" w:rsidRPr="003F7121" w:rsidRDefault="005914AF" w:rsidP="005914AF">
      <w:pPr>
        <w:spacing w:line="360" w:lineRule="auto"/>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b/>
          <w:bCs/>
          <w:sz w:val="24"/>
          <w:szCs w:val="24"/>
          <w:lang w:eastAsia="en-IN"/>
        </w:rPr>
        <w:t>Antimicrobial probiotics and their mechanism of inhibition. </w:t>
      </w:r>
    </w:p>
    <w:p w14:paraId="2A202E7A" w14:textId="6F0AC3B1"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t xml:space="preserve">There are many known antagonistic mechanisms of probiotic microorganisms, including alteration of the gut microbiota, competitive adhesion to the mucosa, epithelial reinforcement of the antimicrobial gut epithelial barrier, bacteriocins, adhesion, competitive exclusion, anti-inflammatory activity and immune system modulation to convey an advantage to the host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{"citationItems":[{"id":"ITEM-1","itemData":{"author":[{"dropping-particle":"","family":"Collado mc, gueimonde m","given":"salminen s","non-dropping-particle":"","parse-names":false,"suffix":""}],"container-title":"academic press, elsevier,","id":"ITEM-1","issued":{"date-parts":[["2010"]]},"page":"353-370","title":"probiotics in adhesion of pathogens: mechanisms of action; in watson rr, preedy vr (eds) bioactive foods in promoting health, chennai,","type":"article-journal","volume":"23"},"uris":["http://www.mendeley.com/documents/?uuid=6e33be3f-18d8-4d91-9577-08afdd9bc888"]}],"mendeley":{"formattedCitation":"[64]","plainTextFormattedCitation":"[64]","previouslyFormattedCitation":"[143]"},"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[64]</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Enhancement of epithelial barrier, Intestinal epithelial cells are in permanent contact with the diverse microbial community and epithelial integrity is essential to defend from pathogenic microorganisms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{"citationItems":[{"id":"ITEM-1","itemData":{"DOI":"10.1152/ajpgi.00243.2009","ISSN":"1522-1547 (Electronic)","PMID":"20299599","abstract":"The intestinal tract is a diverse microenvironment where more than 500 species of  bacteria thrive. A single layer of epithelium is all that separates these commensal microorganisms and pathogens from the underlying immune cells, and thus epithelial barrier function is a key component in the arsenal of defense mechanisms required to prevent infection and inflammation. The epithelial barrier consists of a dense mucous layer containing secretory IgA and antimicrobial peptides as well as dynamic junctional complexes that regulate permeability between cells. Probiotics are live microorganisms that confer benefit to the host and that have been suggested to ameliorate or prevent diseases including antibiotic-associated diarrhea, irritable bowel syndrome, and inflammatory bowel disease. Probiotics likely function through enhancement of barrier function, immunomodulation, and competitive adherence to the mucus and epithelium. This review summarizes the evidence about effects of the many available probiotics with an emphasis on intestinal barrier function and the mechanisms affected by probiotics.","author":[{"dropping-particle":"","family":"Ohland","given":"Christina L","non-dropping-particle":"","parse-names":false,"suffix":""},{"dropping-particle":"","family":"Macnaughton","given":"Wallace K","non-dropping-particle":"","parse-names":false,"suffix":""}],"container-title":"American journal of physiology. Gastrointestinal and liver physiology","id":"ITEM-1","issue":"6","issued":{"date-parts":[["2010","6"]]},"language":"eng","page":"G807-19","publisher-place":"United States","title":"Probiotic bacteria and intestinal epithelial barrier function.","type":"article-journal","volume":"298"},"uris":["http://www.mendeley.com/documents/?uuid=ee974873-da37-410b-8b58-ad4a155b2837"]}],"mendeley":{"formattedCitation":"[65]","plainTextFormattedCitation":"[65]","previouslyFormattedCitation":"[115]"},"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[65]</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Once the barrier function is disrupted bacterial food antigen can enter the submucosa and can induce an inflammatory response that leads to infectious diseases like IBD. Consumption of probiotic microorganisms which can maintain epithelial barrier and intestinal barrier function.</w:t>
      </w:r>
    </w:p>
    <w:p w14:paraId="2FA3C37B" w14:textId="4C44BEF3" w:rsidR="005914AF" w:rsidRPr="003F7121" w:rsidRDefault="005914AF" w:rsidP="005914AF">
      <w:pPr>
        <w:spacing w:line="360" w:lineRule="auto"/>
        <w:ind w:firstLine="567"/>
        <w:jc w:val="both"/>
        <w:rPr>
          <w:rFonts w:ascii="Times New Roman" w:hAnsi="Times New Roman" w:cs="Times New Roman"/>
          <w:sz w:val="24"/>
          <w:szCs w:val="24"/>
        </w:rPr>
      </w:pPr>
      <w:r w:rsidRPr="003F7121">
        <w:rPr>
          <w:rFonts w:ascii="Times New Roman" w:eastAsia="Times New Roman" w:hAnsi="Times New Roman" w:cs="Times New Roman"/>
          <w:spacing w:val="-1"/>
          <w:sz w:val="24"/>
          <w:szCs w:val="24"/>
          <w:lang w:val="en-US"/>
        </w:rPr>
        <w:t xml:space="preserve">Studies show that enhancing the expression of genes involved in tight junction signaling may be the possible mechanism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{"citationItems":[{"id":"ITEM-1","itemData":{"DOI":"10.1186/1471-2180-10-316","ISSN":"1471-2180","abstract":"Intestinal barrier function is important for preserving health, as a compromised barrier allows antigen entry and can induce inflammatory diseases. Probiotic bacteria can play a role in enhancing intestinal barrier function; however, the mechanisms are not fully understood. Existing studies have focused on the ability of probiotics to prevent alterations to tight junctions in disease models, and have been restricted to a few tight junction bridging proteins. No studies have previously investigated the effect of probiotic bacteria on healthy intestinal epithelial cell genes involved in the whole tight junction signalling pathway, including those encoding for bridging, plaque and dual location tight junction proteins. Alteration of tight junction signalling in healthy humans is a potential mechanism that could lead to the strengthening of the intestinal barrier, resulting in limiting the ability of antigens to enter the body and potentially triggering undesirable immune responses.","author":[{"dropping-particle":"","family":"Anderson","given":"Rachel C","non-dropping-particle":"","parse-names":false,"suffix":""},{"dropping-particle":"","family":"Cookson","given":"Adrian L","non-dropping-particle":"","parse-names":false,"suffix":""},{"dropping-particle":"","family":"McNabb","given":"Warren C","non-dropping-particle":"","parse-names":false,"suffix":""},{"dropping-particle":"","family":"Park","given":"Zaneta","non-dropping-particle":"","parse-names":false,"suffix":""},{"dropping-particle":"","family":"McCann","given":"Mark J","non-dropping-particle":"","parse-names":false,"suffix":""},{"dropping-particle":"","family":"Kelly","given":"William J","non-dropping-particle":"","parse-names":false,"suffix":""},{"dropping-particle":"","family":"Roy","given":"Nicole C","non-dropping-particle":"","parse-names":false,"suffix":""}],"container-title":"BMC Microbiology","id":"ITEM-1","issue":"1","issued":{"date-parts":[["2010"]]},"page":"316","title":"Lactobacillus plantarum MB452 enhances the function of the intestinal barrier by increasing the expression levels of genes involved in tight junction formation","type":"article-journal","volume":"10"},"uris":["http://www.mendeley.com/documents/?uuid=16dad0aa-e997-4969-89b8-75d55fb78a5f"]}],"mendeley":{"formattedCitation":"[66]","plainTextFormattedCitation":"[66]","previouslyFormattedCitation":"[147]"},"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[66]</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Lactobacillus can modulate the regulation of several genes and junction proteins such as E-cadherin and b-catenin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{"citationItems":[{"id":"ITEM-1","itemData":{"author":[{"dropping-particle":"","family":"hummel s, veltman k, cichon c, sonnenborn u","given":"schmidt ma","non-dropping-particle":"","parse-names":false,"suffix":""}],"container-title":"Appl environ microbiol","id":"ITEM-1","issued":{"date-parts":[["2012"]]},"page":"1140-1147","title":"differential targeting of the e-cadherin/ _ -catenin complex by gram-positive probiotic lactobacilli improves epithelial barrier function","type":"article-journal","volume":"78"},"uris":["http://www.mendeley.com/documents/?uuid=840b864a-9d64-4b55-b5e7-93890c0ea8f5"]}],"mendeley":{"formattedCitation":"[67]","plainTextFormattedCitation":"[67]","previouslyFormattedCitation":"[148]"},"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[67]</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Mucin glycoproteins (mucins) are </w:t>
      </w:r>
      <w:r w:rsidRPr="003F7121">
        <w:rPr>
          <w:rFonts w:ascii="Times New Roman" w:eastAsia="Times New Roman" w:hAnsi="Times New Roman" w:cs="Times New Roman"/>
          <w:spacing w:val="-1"/>
          <w:sz w:val="24"/>
          <w:szCs w:val="24"/>
          <w:lang w:val="en-US"/>
        </w:rPr>
        <w:lastRenderedPageBreak/>
        <w:t xml:space="preserve">significant macromolecular constituents of epithelial mucus and have been used for health and diseases for a long time. </w:t>
      </w:r>
      <w:r w:rsidRPr="003F7121">
        <w:rPr>
          <w:rFonts w:ascii="Times New Roman" w:hAnsi="Times New Roman" w:cs="Times New Roman"/>
          <w:sz w:val="24"/>
          <w:szCs w:val="24"/>
        </w:rPr>
        <w:t xml:space="preserve">However, certain problems associated with acquired resistance of microbes against antibiotics. Hence, researchers find an alternative to antibiotics as well as to minimize the risk of spreading such infectious diseases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{"citationItems":[{"id":"ITEM-1","itemData":{"DOI":"10.2217/nnm.13.63","ISSN":"1748-6963 (Electronic)","PMID":"23656266","abstract":"The understanding of the interactions between biological systems and  nanoengineered devices is crucial in several research fields, including tissue engineering, biomechanics, synthetic biology and biomedical devices. This review discusses the current knowledge of the interactions between bacteria and abiotic nanostructured substrates. First, the effects of randomly organized nanoscale topography on bacterial adhesion and persistence are described. Second, the interactions between microorganisms and highly organized/ordered micro- and nano-patterns are discussed. Finally, we survey the most promising approaches for the fabrication of silver polymeric nanocomposites, which have important applications as antimicrobial materials. The advantages, drawbacks and limitations of such nanotechnologies are critically discussed in view of potential future applications.","author":[{"dropping-particle":"","family":"Rizzello","given":"Loris","non-dropping-particle":"","parse-names":false,"suffix":""},{"dropping-particle":"","family":"Cingolani","given":"Roberto","non-dropping-particle":"","parse-names":false,"suffix":""},{"dropping-particle":"","family":"Pompa","given":"Pier Paolo","non-dropping-particle":"","parse-names":false,"suffix":""}],"container-title":"Nanomedicine (London, England)","id":"ITEM-1","issue":"5","issued":{"date-parts":[["2013","5"]]},"language":"eng","page":"807-821","publisher-place":"England","title":"Nanotechnology tools for antibacterial materials.","type":"article-journal","volume":"8"},"uris":["http://www.mendeley.com/documents/?uuid=ee766563-1e27-4eb5-a188-c6fbe0c0ae5a"]}],"mendeley":{"formattedCitation":"[40]","plainTextFormattedCitation":"[40]","previouslyFormattedCitation":"[312]"},"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[40]</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Thus, the great advancement in nanobiotechnology provides new tools to formulate innovative biologically originated NPs with antimicrobial potential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{"citationItems":[{"id":"ITEM-1","itemData":{"DOI":"10.2217/nnm.13.63","ISSN":"1748-6963 (Electronic)","PMID":"23656266","abstract":"The understanding of the interactions between biological systems and  nanoengineered devices is crucial in several research fields, including tissue engineering, biomechanics, synthetic biology and biomedical devices. This review discusses the current knowledge of the interactions between bacteria and abiotic nanostructured substrates. First, the effects of randomly organized nanoscale topography on bacterial adhesion and persistence are described. Second, the interactions between microorganisms and highly organized/ordered micro- and nano-patterns are discussed. Finally, we survey the most promising approaches for the fabrication of silver polymeric nanocomposites, which have important applications as antimicrobial materials. The advantages, drawbacks and limitations of such nanotechnologies are critically discussed in view of potential future applications.","author":[{"dropping-particle":"","family":"Rizzello","given":"Loris","non-dropping-particle":"","parse-names":false,"suffix":""},{"dropping-particle":"","family":"Cingolani","given":"Roberto","non-dropping-particle":"","parse-names":false,"suffix":""},{"dropping-particle":"","family":"Pompa","given":"Pier Paolo","non-dropping-particle":"","parse-names":false,"suffix":""}],"container-title":"Nanomedicine (London, England)","id":"ITEM-1","issue":"5","issued":{"date-parts":[["2013","5"]]},"language":"eng","page":"807-821","publisher-place":"England","title":"Nanotechnology tools for antibacterial materials.","type":"article-journal","volume":"8"},"uris":["http://www.mendeley.com/documents/?uuid=ee766563-1e27-4eb5-a188-c6fbe0c0ae5a"]}],"mendeley":{"formattedCitation":"[40]","plainTextFormattedCitation":"[40]","previouslyFormattedCitation":"[312]"},"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[40]</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w:t>
      </w:r>
    </w:p>
    <w:p w14:paraId="388F1243" w14:textId="77777777"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rPr>
      </w:pPr>
      <w:r w:rsidRPr="003F7121">
        <w:rPr>
          <w:rFonts w:ascii="Times New Roman" w:eastAsia="Times New Roman" w:hAnsi="Times New Roman" w:cs="Times New Roman"/>
          <w:sz w:val="24"/>
          <w:szCs w:val="24"/>
          <w:lang w:eastAsia="en-IN"/>
        </w:rPr>
        <w:t>Increase adherence to the intestinal mucosa </w:t>
      </w:r>
    </w:p>
    <w:p w14:paraId="63BC603E" w14:textId="1FC9365B"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t xml:space="preserve">Adherence to the interaction between the probiotics and the host is also essential for the modulation of the immune system. Antagonism against pathogens intestinal epithelial cells (IECs) secretes mucin which is a complex glycoprotein mixture that can prevent the adhesion of pathogenic microorganisms because it presents lipids, free proteins, immunoglobulins and salt to prevent mucous gel adhesion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{"citationItems":[{"id":"ITEM-1","itemData":{"author":[{"dropping-particle":"","family":"neutra mr","given":"forstner jf","non-dropping-particle":"","parse-names":false,"suffix":""}],"container-title":"New york, raven","id":"ITEM-1","issued":{"date-parts":[["1987"]]},"title":"gastrointestinal mucus: synthesis, secretion and function; in johnson lr (ed): physiology of the gastrointestinal tract , ed 2","type":"article-journal"},"uris":["http://www.mendeley.com/documents/?uuid=3f123f87-609d-4f87-930f-856708b56da6"]}],"mendeley":{"formattedCitation":"[68]","plainTextFormattedCitation":"[68]","previouslyFormattedCitation":"[154]"},"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[68]</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this interaction indicates possible competitive exclusion of pathogenic bacteria although mucous binding proteins (MBP) surface-associated proteins are present only on probiotic microorganisms. Probiotics such as </w:t>
      </w:r>
      <w:r w:rsidRPr="003F7121">
        <w:rPr>
          <w:rFonts w:ascii="Times New Roman" w:eastAsia="Times New Roman" w:hAnsi="Times New Roman" w:cs="Times New Roman"/>
          <w:i/>
          <w:iCs/>
          <w:spacing w:val="-1"/>
          <w:sz w:val="24"/>
          <w:szCs w:val="24"/>
          <w:lang w:val="en-US"/>
        </w:rPr>
        <w:t>L. reuteri</w:t>
      </w:r>
      <w:r w:rsidRPr="003F7121">
        <w:rPr>
          <w:rFonts w:ascii="Times New Roman" w:eastAsia="Times New Roman" w:hAnsi="Times New Roman" w:cs="Times New Roman"/>
          <w:spacing w:val="-1"/>
          <w:sz w:val="24"/>
          <w:szCs w:val="24"/>
          <w:lang w:val="en-US"/>
        </w:rPr>
        <w:t xml:space="preserve">, </w:t>
      </w:r>
      <w:r w:rsidRPr="003F7121">
        <w:rPr>
          <w:rFonts w:ascii="Times New Roman" w:eastAsia="Times New Roman" w:hAnsi="Times New Roman" w:cs="Times New Roman"/>
          <w:i/>
          <w:iCs/>
          <w:spacing w:val="-1"/>
          <w:sz w:val="24"/>
          <w:szCs w:val="24"/>
          <w:lang w:val="en-US"/>
        </w:rPr>
        <w:t>L. fermentum</w:t>
      </w:r>
      <w:r w:rsidRPr="003F7121">
        <w:rPr>
          <w:rFonts w:ascii="Times New Roman" w:eastAsia="Times New Roman" w:hAnsi="Times New Roman" w:cs="Times New Roman"/>
          <w:spacing w:val="-1"/>
          <w:sz w:val="24"/>
          <w:szCs w:val="24"/>
          <w:lang w:val="en-US"/>
        </w:rPr>
        <w:t xml:space="preserve">, </w:t>
      </w:r>
      <w:r w:rsidRPr="003F7121">
        <w:rPr>
          <w:rFonts w:ascii="Times New Roman" w:eastAsia="Times New Roman" w:hAnsi="Times New Roman" w:cs="Times New Roman"/>
          <w:i/>
          <w:iCs/>
          <w:spacing w:val="-1"/>
          <w:sz w:val="24"/>
          <w:szCs w:val="24"/>
          <w:lang w:val="en-US"/>
        </w:rPr>
        <w:t>L. plantarum</w:t>
      </w:r>
      <w:r w:rsidRPr="003F7121">
        <w:rPr>
          <w:rFonts w:ascii="Times New Roman" w:eastAsia="Times New Roman" w:hAnsi="Times New Roman" w:cs="Times New Roman"/>
          <w:spacing w:val="-1"/>
          <w:sz w:val="24"/>
          <w:szCs w:val="24"/>
          <w:lang w:val="en-US"/>
        </w:rPr>
        <w:t xml:space="preserve"> are reported to induce MUC2 and MUC3 mucin to produce epithelial cells, which is responsible to inhibit adherence of enteropathogenic and </w:t>
      </w:r>
      <w:r w:rsidRPr="003F7121">
        <w:rPr>
          <w:rFonts w:ascii="Times New Roman" w:eastAsia="Times New Roman" w:hAnsi="Times New Roman" w:cs="Times New Roman"/>
          <w:i/>
          <w:iCs/>
          <w:spacing w:val="-1"/>
          <w:sz w:val="24"/>
          <w:szCs w:val="24"/>
          <w:lang w:val="en-US"/>
        </w:rPr>
        <w:t xml:space="preserve">E.coli </w:t>
      </w:r>
      <w:r w:rsidRPr="003F7121">
        <w:rPr>
          <w:rFonts w:ascii="Times New Roman" w:eastAsia="Times New Roman" w:hAnsi="Times New Roman" w:cs="Times New Roman"/>
          <w:i/>
          <w:iCs/>
          <w:spacing w:val="-1"/>
          <w:sz w:val="24"/>
          <w:szCs w:val="24"/>
          <w:lang w:val="en-US"/>
        </w:rPr>
        <w:fldChar w:fldCharType="begin" w:fldLock="1"/>
      </w:r>
      <w:r w:rsidRPr="003F7121">
        <w:rPr>
          <w:rFonts w:ascii="Times New Roman" w:eastAsia="Times New Roman" w:hAnsi="Times New Roman" w:cs="Times New Roman"/>
          <w:i/>
          <w:iCs/>
          <w:spacing w:val="-1"/>
          <w:sz w:val="24"/>
          <w:szCs w:val="24"/>
          <w:lang w:val="en-US"/>
        </w:rPr>
        <w:instrText>ADDIN CSL_CITATION {"citationItems":[{"id":"ITEM-1","itemData":{"DOI":"10.1007/s11894-010-0131-2","ISSN":"1534-312X (Electronic)","PMID":"20703838","abstract":"The mucus layer coating the gastrointestinal tract is the front line of innate host  defense, largely because of the secretory products of intestinal goblet cells. Goblet cells synthesize secretory mucin glycoproteins (MUC2) and bioactive molecules such as epithelial membrane-bound mucins (MUC1, MUC3, MUC17), trefoil factor peptides (TFF), resistin-like molecule beta (RELMbeta), and Fc-gamma binding protein (Fcgbp). The MUC2 mucin protein forms trimers by disulfide bonding in cysteine-rich amino terminal von Willebrand factor (vWF) domains, coupled with crosslinking provided by TFF and Fcgbp proteins with MUC2 vWF domains, resulting in a highly viscous extracellular layer. Colonization by commensal intestinal microbiota is limited to an outer \"loose\" mucus layer, and interacts with the diverse oligosaccharides of mucin glycoproteins, whereas an \"inner\" adherent mucus layer is largely devoid of bacteria. Defective mucus layers resulting from lack of MUC2 mucin, mutated Muc2 mucin vWF domains, or from deletion of core mucin glycosyltransferase enzymes in mice result in increased bacterial adhesion to the surface epithelium, increased intestinal permeability, and enhanced susceptibility to colitis caused by dextran sodium sulfate. Changes in mucin gene expression and mucin glycan structures occur in cancers of the intestine, contributing to diverse biologic properties involved in the development and progression of cancer. Further research is needed on identification and functional significance of various components of mucus layers and the complex interactions among mucus layers, microbiota, epithelial cells, and the underlying innate and adaptive immunity. Further elucidation of the regulatory mechanisms involved in mucin changes in cancer and inflammation may lead to the development of novel therapeutic approaches.","author":[{"dropping-particle":"","family":"Kim","given":"Young S","non-dropping-particle":"","parse-names":false,"suffix":""},{"dropping-particle":"","family":"Ho","given":"Samuel B","non-dropping-particle":"","parse-names":false,"suffix":""}],"container-title":"Current gastroenterology reports","id":"ITEM-1","issue":"5","issued":{"date-parts":[["2010","10"]]},"language":"eng","page":"319-330","title":"Intestinal goblet cells and mucins in health and disease: recent insights and  progress.","type":"article-journal","volume":"12"},"uris":["http://www.mendeley.com/documents/?uuid=5d8220d9-4ba5-4876-8b48-7b2aa1065ad7"]}],"mendeley":{"formattedCitation":"[69]","plainTextFormattedCitation":"[69]","previouslyFormattedCitation":"[116]"},"properties":{"noteIndex":0},"schema":"https://github.com/citation-style-language/schema/raw/master/csl-citation.json"}</w:instrText>
      </w:r>
      <w:r w:rsidRPr="003F7121">
        <w:rPr>
          <w:rFonts w:ascii="Times New Roman" w:eastAsia="Times New Roman" w:hAnsi="Times New Roman" w:cs="Times New Roman"/>
          <w:i/>
          <w:iCs/>
          <w:spacing w:val="-1"/>
          <w:sz w:val="24"/>
          <w:szCs w:val="24"/>
          <w:lang w:val="en-US"/>
        </w:rPr>
        <w:fldChar w:fldCharType="separate"/>
      </w:r>
      <w:r w:rsidRPr="003F7121">
        <w:rPr>
          <w:rFonts w:ascii="Times New Roman" w:eastAsia="Times New Roman" w:hAnsi="Times New Roman" w:cs="Times New Roman"/>
          <w:iCs/>
          <w:noProof/>
          <w:spacing w:val="-1"/>
          <w:sz w:val="24"/>
          <w:szCs w:val="24"/>
          <w:lang w:val="en-US"/>
        </w:rPr>
        <w:t>[69]</w:t>
      </w:r>
      <w:r w:rsidRPr="003F7121">
        <w:rPr>
          <w:rFonts w:ascii="Times New Roman" w:eastAsia="Times New Roman" w:hAnsi="Times New Roman" w:cs="Times New Roman"/>
          <w:i/>
          <w:iCs/>
          <w:spacing w:val="-1"/>
          <w:sz w:val="24"/>
          <w:szCs w:val="24"/>
          <w:lang w:val="en-US"/>
        </w:rPr>
        <w:fldChar w:fldCharType="end"/>
      </w:r>
      <w:r w:rsidRPr="003F7121">
        <w:rPr>
          <w:rFonts w:ascii="Times New Roman" w:eastAsia="Times New Roman" w:hAnsi="Times New Roman" w:cs="Times New Roman"/>
          <w:spacing w:val="-1"/>
          <w:sz w:val="24"/>
          <w:szCs w:val="24"/>
          <w:lang w:val="en-US"/>
        </w:rPr>
        <w:t>. Probiotics are bound to microbial binding sites and protect against invasion by pathogens. The establishment of a stable population or commercial microbiota will reduce nutrient availability for entering pathogenic micro-organisms and inhibit their colonization.</w:t>
      </w:r>
    </w:p>
    <w:p w14:paraId="4CC50470" w14:textId="77777777" w:rsidR="005914AF" w:rsidRPr="003F7121" w:rsidRDefault="005914AF" w:rsidP="005914AF">
      <w:pPr>
        <w:spacing w:line="360" w:lineRule="auto"/>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b/>
          <w:bCs/>
          <w:sz w:val="24"/>
          <w:szCs w:val="24"/>
          <w:lang w:eastAsia="en-IN"/>
        </w:rPr>
        <w:t>Immunomodulatory Probiotics microbiome</w:t>
      </w:r>
    </w:p>
    <w:p w14:paraId="3D481554" w14:textId="1B469761"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t xml:space="preserve">Probiotic microorganisms exert an immunomodulatory effect and interact with epithelial, dendritic cells (DCs) and with monocytes/macrophages and lymphocytes. It is studied that probiotics can interact with IECs and encounter DCs which have an important role in innate and adaptive immunity, through pattern recognition receptors (PPRs). Probiotics also improve the normal immune system by increasing the concentration of IgA producing plasma cells, improving phagocytosis as well as increasing the cell concentration of T-lymphocytes and natural killer cells. Some probiotics have been shown to increase phagocytosis or natural killer cell activity and interact directly with dendritic cells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{"citationItems":[{"id":"ITEM-1","itemData":{"DOI":"10.1186/s12979-016-0061-4","ISSN":"1742-4933","abstract":"Ageing increases risk of respiratory infections and impairs the response to influenza vaccination. Pre- and probiotics offer an opportunity to modulate anti-viral defenses and the response to vaccination via alteration of the gut microbiota. This study investigated the effect of a novel probiotic, Bifidobacterium longum bv. infantis CCUG 52,486, combined with a prebiotic, gluco-oligosaccharide (B. longum + Gl-OS), on the response to seasonal influenza vaccination in young and older subjects in a double-blind, randomized controlled trial, taking into account the influence of immunosenescence markers at baseline.","author":[{"dropping-particle":"","family":"Przemska-Kosicka","given":"Agnieszka","non-dropping-particle":"","parse-names":false,"suffix":""},{"dropping-particle":"","family":"Childs","given":"Caroline E","non-dropping-particle":"","parse-names":false,"suffix":""},{"dropping-particle":"","family":"Enani","given":"Sumia","non-dropping-particle":"","parse-names":false,"suffix":""},{"dropping-particle":"","family":"Maidens","given":"Catherine","non-dropping-particle":"","parse-names":false,"suffix":""},{"dropping-particle":"","family":"Dong","given":"Honglin","non-dropping-particle":"","parse-names":false,"suffix":""},{"dropping-particle":"Bin","family":"Dayel","given":"Iman","non-dropping-particle":"","parse-names":false,"suffix":""},{"dropping-particle":"","family":"Tuohy","given":"Kieran","non-dropping-particle":"","parse-names":false,"suffix":""},{"dropping-particle":"","family":"Todd","given":"Susan","non-dropping-particle":"","parse-names":false,"suffix":""},{"dropping-particle":"","family":"Gosney","given":"Margot A","non-dropping-particle":"","parse-names":false,"suffix":""},{"dropping-particle":"","family":"Yaqoob","given":"Parveen","non-dropping-particle":"","parse-names":false,"suffix":""}],"container-title":"Immunity &amp; Ageing","id":"ITEM-1","issue":"1","issued":{"date-parts":[["2016"]]},"page":"6","title":"Effect of a synbiotic on the response to seasonal influenza vaccination is strongly influenced by degree of immunosenescence","type":"article-journal","volume":"13"},"uris":["http://www.mendeley.com/documents/?uuid=a77581f7-8387-4126-b292-52619783473f"]}],"mendeley":{"formattedCitation":"[70]","plainTextFormattedCitation":"[70]","previouslyFormattedCitation":"[177]"},"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[70]</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some are also upregulating the antibody secretion to improve </w:t>
      </w:r>
      <w:proofErr w:type="spellStart"/>
      <w:r w:rsidRPr="003F7121">
        <w:rPr>
          <w:rFonts w:ascii="Times New Roman" w:eastAsia="Times New Roman" w:hAnsi="Times New Roman" w:cs="Times New Roman"/>
          <w:spacing w:val="-1"/>
          <w:sz w:val="24"/>
          <w:szCs w:val="24"/>
          <w:lang w:val="en-US"/>
        </w:rPr>
        <w:t>defence</w:t>
      </w:r>
      <w:proofErr w:type="spellEnd"/>
      <w:r w:rsidRPr="003F7121">
        <w:rPr>
          <w:rFonts w:ascii="Times New Roman" w:eastAsia="Times New Roman" w:hAnsi="Times New Roman" w:cs="Times New Roman"/>
          <w:spacing w:val="-1"/>
          <w:sz w:val="24"/>
          <w:szCs w:val="24"/>
          <w:lang w:val="en-US"/>
        </w:rPr>
        <w:t xml:space="preserve"> against pathogenic microorganisms. Probiotics can increase the level of anti-inflammatory cytokines such as TNF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{"citationItems":[{"id":"ITEM-1","itemData":{"DOI":"10.1016/j.fm.2015.04.009","ISSN":"1095-9998 (Electronic)","PMID":"26611169","abstract":"Few studies have extensively investigated probiotic functions associated with  biofilms. Here, we show that strains of Lactobacillus plantarum and Lactobacillus fermentum are able to grow as biofilm on abiotic surfaces, but the biomass density differs between strains. We performed microtiter plate biofilm assays under growth conditions mimicking to the gastrointestinal environment. Osmolarity and low concentrations of bile significantly enhanced Lactobacillus spatial organization. Two L. plantarum strains were able to form biofilms under high concentrations of bile and mucus. We used the agar well-diffusion method to show that supernatants from all Lactobacillus except the NA4 isolate produced food pathogen inhibitory molecules in biofilm. Moreover, TNF-α production by LPS-activated human monocytoid cells was suppressed by supernatants from Lactobacillus cultivated as biofilms but not by planktonic culture supernatants. However, only L. fermentum NA4 showed anti-inflammatory effects in zebrafish embryos fed with probiotic bacteria, as assessed by cytokine transcript level (TNF-α, IL-1β and IL-10). We conclude that the biofilm mode of life is associated with beneficial probiotic properties of lactobacilli, in a strain dependent manner. Those results suggest that characterization of isolate phenotype in the biofilm state could be additional valuable information for the selection of probiotic strains.","author":[{"dropping-particle":"","family":"Aoudia","given":"Nabil","non-dropping-particle":"","parse-names":false,"suffix":""},{"dropping-particle":"","family":"Rieu","given":"Aurélie","non-dropping-particle":"","parse-names":false,"suffix":""},{"dropping-particle":"","family":"Briandet","given":"Romain","non-dropping-particle":"","parse-names":false,"suffix":""},{"dropping-particle":"","family":"Deschamps","given":"Julien","non-dropping-particle":"","parse-names":false,"suffix":""},{"dropping-particle":"","family":"Chluba","given":"Johanna","non-dropping-particle":"","parse-names":false,"suffix":""},{"dropping-particle":"","family":"Jego","given":"Gaëtan","non-dropping-particle":"","parse-names":false,"suffix":""},{"dropping-particle":"","family":"Garrido","given":"Carmen","non-dropping-particle":"","parse-names":false,"suffix":""},{"dropping-particle":"","family":"Guzzo","given":"Jean","non-dropping-particle":"","parse-names":false,"suffix":""}],"container-title":"Food microbiology","id":"ITEM-1","issue":"Pt A","issued":{"date-parts":[["2016","2"]]},"language":"eng","page":"51-59","publisher-place":"England","title":"Biofilms of Lactobacillus plantarum and Lactobacillus fermentum: Effect on stress  responses, antagonistic effects on pathogen growth and immunomodulatory properties.","type":"article-journal","volume":"53"},"uris":["http://www.mendeley.com/documents/?uuid=2a5b6a2a-49b0-4bd1-9a96-a278c73955bc"]}],"mendeley":{"formattedCitation":"[71]","plainTextFormattedCitation":"[71]","previouslyFormattedCitation":"[180]"},"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[71]</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w:t>
      </w:r>
    </w:p>
    <w:p w14:paraId="11670CCA" w14:textId="18D78AF5"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t xml:space="preserve">In probiotics mainly LAB produces lactic acid and acetic acid as an end product of carbohydrate metabolism, and an increase in butyrate and other SCFA production </w:t>
      </w:r>
      <w:r w:rsidRPr="003F7121">
        <w:rPr>
          <w:rFonts w:ascii="Times New Roman" w:eastAsia="Times New Roman" w:hAnsi="Times New Roman" w:cs="Times New Roman"/>
          <w:spacing w:val="-1"/>
          <w:sz w:val="24"/>
          <w:szCs w:val="24"/>
          <w:lang w:val="en-US"/>
        </w:rPr>
        <w:fldChar w:fldCharType="begin" w:fldLock="1"/>
      </w:r>
      <w:r w:rsidRPr="003F7121">
        <w:rPr>
          <w:rFonts w:ascii="Times New Roman" w:eastAsia="Times New Roman" w:hAnsi="Times New Roman" w:cs="Times New Roman"/>
          <w:spacing w:val="-1"/>
          <w:sz w:val="24"/>
          <w:szCs w:val="24"/>
          <w:lang w:val="en-US"/>
        </w:rPr>
        <w:instrText>ADDIN CSL_CITATION {"citationItems":[{"id":"ITEM-1","itemData":{"DOI":"10.52403/ijhsr.20220332","author":[{"dropping-particle":"","family":"Kathade","given":"Suyash Arunrao","non-dropping-particle":"","parse-names":false,"suffix":""},{"dropping-particle":"","family":"Aswani","given":"Mayur Arjun","non-dropping-particle":"","parse-names":false,"suffix":""},{"dropping-particle":"","family":"Anand","given":"Pashmin Kaur","non-dropping-particle":"","parse-names":false,"suffix":""}],"id":"ITEM-1","issue":"March","issued":{"date-parts":[["2022"]]},"title":"Isolation , Characterization , and Diversity of Probiotic Microorganisms from Different Postpartum Milk of Various Animals","type":"article-journal"},"uris":["http://www.mendeley.com/documents/?uuid=64d3bd1d-0956-43ae-81c9-5efaad98a43d"]}],"mendeley":{"formattedCitation":"[72]","plainTextFormattedCitation":"[72]","previouslyFormattedCitation":"[230]"},"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[72]</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also by </w:t>
      </w:r>
      <w:r w:rsidRPr="003F7121">
        <w:rPr>
          <w:rFonts w:ascii="Times New Roman" w:eastAsia="Times New Roman" w:hAnsi="Times New Roman" w:cs="Times New Roman"/>
          <w:spacing w:val="-1"/>
          <w:sz w:val="24"/>
          <w:szCs w:val="24"/>
          <w:lang w:val="en-US"/>
        </w:rPr>
        <w:lastRenderedPageBreak/>
        <w:t>producing, bacteriocin contains antimicrobial proteins, peptides, antibiotic compounds etc. can be active against pathogenic microorganisms. After prebiotic consumption such as Galactooligosaccharides (GOS) consumption induce immunity by enhancing phagocytosis activity and natural killer cells and also maintaining Th1/Th2, although probiotics may show positive effects by enhancing non-specific (Innate) and antigen-specific (Adaptive) Immunity. </w:t>
      </w:r>
    </w:p>
    <w:p w14:paraId="3962499F" w14:textId="65B95965" w:rsidR="005914AF" w:rsidRPr="003F7121" w:rsidRDefault="005914AF" w:rsidP="005914AF">
      <w:pPr>
        <w:spacing w:line="360" w:lineRule="auto"/>
        <w:ind w:firstLine="567"/>
        <w:jc w:val="both"/>
        <w:rPr>
          <w:rFonts w:ascii="Times New Roman" w:hAnsi="Times New Roman" w:cs="Times New Roman"/>
          <w:sz w:val="24"/>
          <w:szCs w:val="24"/>
          <w:shd w:val="clear" w:color="auto" w:fill="F7F7F7"/>
        </w:rPr>
      </w:pPr>
      <w:r w:rsidRPr="003F7121">
        <w:rPr>
          <w:rFonts w:ascii="Times New Roman" w:hAnsi="Times New Roman" w:cs="Times New Roman"/>
          <w:sz w:val="24"/>
          <w:szCs w:val="24"/>
          <w:shd w:val="clear" w:color="auto" w:fill="F7F7F7"/>
        </w:rPr>
        <w:t xml:space="preserve">Engineered nanomaterials (ENMs) have been extensively used in a variety of industrial fields as well as in everyday life, raising questions about any potential negative effects. While ENMs do not typically appear to have negative effects on immunity or cause severe inflammation, it is less clear how these effects may manifest themselves indirectly. In particular, since the gut microbiota has been tightly associated with human health and immunity, it is possible that ingested ENMs could affect intestinal immunity indirectly by modulating the microbial community composition and functions </w:t>
      </w:r>
      <w:r w:rsidRPr="003F7121">
        <w:rPr>
          <w:rFonts w:ascii="Times New Roman" w:hAnsi="Times New Roman" w:cs="Times New Roman"/>
          <w:sz w:val="24"/>
          <w:szCs w:val="24"/>
          <w:shd w:val="clear" w:color="auto" w:fill="F7F7F7"/>
        </w:rPr>
        <w:fldChar w:fldCharType="begin" w:fldLock="1"/>
      </w:r>
      <w:r w:rsidRPr="003F7121">
        <w:rPr>
          <w:rFonts w:ascii="Times New Roman" w:hAnsi="Times New Roman" w:cs="Times New Roman"/>
          <w:sz w:val="24"/>
          <w:szCs w:val="24"/>
          <w:shd w:val="clear" w:color="auto" w:fill="F7F7F7"/>
        </w:rPr>
        <w:instrText>ADDIN CSL_CITATION {"citationItems":[{"id":"ITEM-1","itemData":{"ISBN":"1664-302X","abstract":"Recent innovations in nanotechnology have transformed a number of scientific and industrial areas including the food industry. Applications of nanotechnology have emerged with increasing need of nanoparticle uses in various fields of food science and food microbiology, including food processing, food packaging, functional food development, food safety, detection of foodborne pathogens, and shelf-life extension of food and/or food products. This review summarizes the potential of nanoparticles for their uses in the food industry in order to provide consumers a safe and contamination free food and to ensure the consumer acceptability of the food with enhanced functional properties. Aspects of application of nanotechnology in relation to increasing in food nutrition and organoleptic properties of foods have also been discussed briefly along with a few insights on safety issues and regulatory concerns on nano-processed food products.","author":[{"dropping-particle":"","family":"Singh","given":"Trepti","non-dropping-particle":"","parse-names":false,"suffix":""},{"dropping-particle":"","family":"Shukla","given":"Shruti","non-dropping-particle":"","parse-names":false,"suffix":""},{"dropping-particle":"","family":"Kumar","given":"Pradeep","non-dropping-particle":"","parse-names":false,"suffix":""},{"dropping-particle":"","family":"Wahla","given":"Verinder","non-dropping-particle":"","parse-names":false,"suffix":""},{"dropping-particle":"","family":"Bajpai","given":"Vivek K","non-dropping-particle":"","parse-names":false,"suffix":""},{"dropping-particle":"","family":"Rather","given":"Irfan A","non-dropping-particle":"","parse-names":false,"suffix":""}],"container-title":"Frontiers in Microbiology  ","id":"ITEM-1","issued":{"date-parts":[["2017"]]},"title":"Application of Nanotechnology in Food Science: Perception and Overview   ","type":"article","volume":"8      "},"uris":["http://www.mendeley.com/documents/?uuid=74286382-57b9-414b-8a25-3f28d1899e4b"]}],"mendeley":{"formattedCitation":"[73]","plainTextFormattedCitation":"[73]","previouslyFormattedCitation":"[332]"},"properties":{"noteIndex":0},"schema":"https://github.com/citation-style-language/schema/raw/master/csl-citation.json"}</w:instrText>
      </w:r>
      <w:r w:rsidRPr="003F7121">
        <w:rPr>
          <w:rFonts w:ascii="Times New Roman" w:hAnsi="Times New Roman" w:cs="Times New Roman"/>
          <w:sz w:val="24"/>
          <w:szCs w:val="24"/>
          <w:shd w:val="clear" w:color="auto" w:fill="F7F7F7"/>
        </w:rPr>
        <w:fldChar w:fldCharType="separate"/>
      </w:r>
      <w:r w:rsidRPr="003F7121">
        <w:rPr>
          <w:rFonts w:ascii="Times New Roman" w:hAnsi="Times New Roman" w:cs="Times New Roman"/>
          <w:noProof/>
          <w:sz w:val="24"/>
          <w:szCs w:val="24"/>
          <w:shd w:val="clear" w:color="auto" w:fill="F7F7F7"/>
        </w:rPr>
        <w:t>[73]</w:t>
      </w:r>
      <w:r w:rsidRPr="003F7121">
        <w:rPr>
          <w:rFonts w:ascii="Times New Roman" w:hAnsi="Times New Roman" w:cs="Times New Roman"/>
          <w:sz w:val="24"/>
          <w:szCs w:val="24"/>
          <w:shd w:val="clear" w:color="auto" w:fill="F7F7F7"/>
        </w:rPr>
        <w:fldChar w:fldCharType="end"/>
      </w:r>
      <w:r w:rsidRPr="003F7121">
        <w:rPr>
          <w:rFonts w:ascii="Times New Roman" w:hAnsi="Times New Roman" w:cs="Times New Roman"/>
          <w:sz w:val="24"/>
          <w:szCs w:val="24"/>
          <w:shd w:val="clear" w:color="auto" w:fill="F7F7F7"/>
        </w:rPr>
        <w:t xml:space="preserve">. </w:t>
      </w:r>
    </w:p>
    <w:p w14:paraId="0AAF20FF" w14:textId="0B88F55E" w:rsidR="005914AF" w:rsidRPr="003F7121" w:rsidRDefault="005914AF" w:rsidP="005914AF">
      <w:pPr>
        <w:spacing w:line="360" w:lineRule="auto"/>
        <w:ind w:firstLine="567"/>
        <w:jc w:val="both"/>
        <w:rPr>
          <w:rFonts w:ascii="Times New Roman" w:hAnsi="Times New Roman" w:cs="Times New Roman"/>
          <w:sz w:val="24"/>
          <w:szCs w:val="24"/>
        </w:rPr>
      </w:pPr>
      <w:r w:rsidRPr="003F7121">
        <w:rPr>
          <w:rFonts w:ascii="Times New Roman" w:hAnsi="Times New Roman" w:cs="Times New Roman"/>
          <w:sz w:val="24"/>
          <w:szCs w:val="24"/>
        </w:rPr>
        <w:t xml:space="preserve">In this viewpoint, some supporting data shows a potential relationship between ENM exposure, gut microbiota, and host immune response. According to some experimental studies, prolonged exposure to ENMs may alter the gut microbiota, which would affect the integrity of the intestinal epithelium and the degree of inflammation. Numerous microbiota-derived substances present in this microenvironment, including but not limited to SCFAs and lipopolysaccharide (LPS), may play a significant role in the ENM effect on intestinal immunity. As a result, upon ENM exposure, the gut microbiota is implicated as a critical regulator of the intestinal immunity. In order to evaluate ENM biocompatibility and immune-safety in the future, it is necessary to include gut microbiota analysis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{"citationItems":[{"id":"ITEM-1","itemData":{"ISBN":"1664-302X","abstract":"Recent innovations in nanotechnology have transformed a number of scientific and industrial areas including the food industry. Applications of nanotechnology have emerged with increasing need of nanoparticle uses in various fields of food science and food microbiology, including food processing, food packaging, functional food development, food safety, detection of foodborne pathogens, and shelf-life extension of food and/or food products. This review summarizes the potential of nanoparticles for their uses in the food industry in order to provide consumers a safe and contamination free food and to ensure the consumer acceptability of the food with enhanced functional properties. Aspects of application of nanotechnology in relation to increasing in food nutrition and organoleptic properties of foods have also been discussed briefly along with a few insights on safety issues and regulatory concerns on nano-processed food products.","author":[{"dropping-particle":"","family":"Singh","given":"Trepti","non-dropping-particle":"","parse-names":false,"suffix":""},{"dropping-particle":"","family":"Shukla","given":"Shruti","non-dropping-particle":"","parse-names":false,"suffix":""},{"dropping-particle":"","family":"Kumar","given":"Pradeep","non-dropping-particle":"","parse-names":false,"suffix":""},{"dropping-particle":"","family":"Wahla","given":"Verinder","non-dropping-particle":"","parse-names":false,"suffix":""},{"dropping-particle":"","family":"Bajpai","given":"Vivek K","non-dropping-particle":"","parse-names":false,"suffix":""},{"dropping-particle":"","family":"Rather","given":"Irfan A","non-dropping-particle":"","parse-names":false,"suffix":""}],"container-title":"Frontiers in Microbiology  ","id":"ITEM-1","issued":{"date-parts":[["2017"]]},"title":"Application of Nanotechnology in Food Science: Perception and Overview   ","type":"article","volume":"8      "},"uris":["http://www.mendeley.com/documents/?uuid=74286382-57b9-414b-8a25-3f28d1899e4b"]}],"mendeley":{"formattedCitation":"[73]","plainTextFormattedCitation":"[73]","previouslyFormattedCitation":"[332]"},"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[73]</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w:t>
      </w:r>
    </w:p>
    <w:p w14:paraId="7B918E01" w14:textId="77777777" w:rsidR="005914AF" w:rsidRPr="003F7121" w:rsidRDefault="005914AF" w:rsidP="005914AF">
      <w:pPr>
        <w:pStyle w:val="Heading1"/>
        <w:spacing w:before="0" w:after="160" w:line="360" w:lineRule="auto"/>
        <w:ind w:left="0"/>
        <w:jc w:val="both"/>
        <w:rPr>
          <w:rFonts w:ascii="Times New Roman" w:hAnsi="Times New Roman" w:cs="Times New Roman"/>
          <w:sz w:val="24"/>
          <w:szCs w:val="24"/>
        </w:rPr>
      </w:pPr>
      <w:r w:rsidRPr="003F7121">
        <w:rPr>
          <w:rFonts w:ascii="Times New Roman" w:hAnsi="Times New Roman" w:cs="Times New Roman"/>
          <w:sz w:val="24"/>
          <w:szCs w:val="24"/>
        </w:rPr>
        <w:t>Diet-Induced Microbiota Profile and Immunity</w:t>
      </w:r>
    </w:p>
    <w:p w14:paraId="1A01C57C" w14:textId="66D884AC" w:rsidR="005914AF" w:rsidRPr="003F7121" w:rsidRDefault="005914AF" w:rsidP="005914AF">
      <w:pPr>
        <w:spacing w:line="360" w:lineRule="auto"/>
        <w:ind w:firstLine="360"/>
        <w:jc w:val="both"/>
        <w:rPr>
          <w:rFonts w:ascii="Times New Roman" w:hAnsi="Times New Roman" w:cs="Times New Roman"/>
          <w:sz w:val="24"/>
          <w:szCs w:val="24"/>
        </w:rPr>
      </w:pPr>
      <w:r w:rsidRPr="003F7121">
        <w:rPr>
          <w:rFonts w:ascii="Times New Roman" w:hAnsi="Times New Roman" w:cs="Times New Roman"/>
          <w:sz w:val="24"/>
          <w:szCs w:val="24"/>
        </w:rPr>
        <w:t>The human gastrointestinal tract (GI tract) is the site of focus where many kinds of reactions occur. However, recent discoveries have made it possible to answer the questions of how and why the GI tract is the focus of these reactions. The human GI tract lining consists of trillion cells of MOs such as bacteria, yeast, and archaea that form a complex microbial community called the gut microbiome. The gut microbiome plays a vital role in digestion, fermentation of complex dietary compounds which are indigestible to humans, protection from virulent pathogens, acting as producers of vitamins, neurotransmitters, maintaining human health by modulating host immunity, production of signalling molecules such as cytokines, maturation of immune system, etc</w:t>
      </w:r>
      <w:r w:rsidRPr="003F7121">
        <w:rPr>
          <w:rFonts w:ascii="Times New Roman" w:hAnsi="Times New Roman" w:cs="Times New Roman"/>
          <w:sz w:val="24"/>
          <w:szCs w:val="24"/>
        </w:rPr>
        <w:softHyphen/>
        <w:t xml:space="preserve">. </w:t>
      </w:r>
      <w:proofErr w:type="spellStart"/>
      <w:r w:rsidRPr="003F7121">
        <w:rPr>
          <w:rFonts w:ascii="Times New Roman" w:hAnsi="Times New Roman" w:cs="Times New Roman"/>
          <w:sz w:val="24"/>
          <w:szCs w:val="24"/>
        </w:rPr>
        <w:t>Belkacem</w:t>
      </w:r>
      <w:proofErr w:type="spellEnd"/>
      <w:r w:rsidRPr="003F7121">
        <w:rPr>
          <w:rFonts w:ascii="Times New Roman" w:hAnsi="Times New Roman" w:cs="Times New Roman"/>
          <w:sz w:val="24"/>
          <w:szCs w:val="24"/>
        </w:rPr>
        <w:t xml:space="preserve"> et al. reported that the administration of </w:t>
      </w:r>
      <w:r w:rsidRPr="003F7121">
        <w:rPr>
          <w:rFonts w:ascii="Times New Roman" w:hAnsi="Times New Roman" w:cs="Times New Roman"/>
          <w:i/>
          <w:sz w:val="24"/>
          <w:szCs w:val="24"/>
        </w:rPr>
        <w:t>Lactobacillus paracasei</w:t>
      </w:r>
      <w:r w:rsidRPr="003F7121">
        <w:rPr>
          <w:rFonts w:ascii="Times New Roman" w:hAnsi="Times New Roman" w:cs="Times New Roman"/>
          <w:sz w:val="24"/>
          <w:szCs w:val="24"/>
        </w:rPr>
        <w:t xml:space="preserve"> and </w:t>
      </w:r>
      <w:r w:rsidRPr="003F7121">
        <w:rPr>
          <w:rFonts w:ascii="Times New Roman" w:hAnsi="Times New Roman" w:cs="Times New Roman"/>
          <w:i/>
          <w:sz w:val="24"/>
          <w:szCs w:val="24"/>
        </w:rPr>
        <w:t>L. Plantarum</w:t>
      </w:r>
      <w:r w:rsidRPr="003F7121">
        <w:rPr>
          <w:rFonts w:ascii="Times New Roman" w:hAnsi="Times New Roman" w:cs="Times New Roman"/>
          <w:sz w:val="24"/>
          <w:szCs w:val="24"/>
        </w:rPr>
        <w:t xml:space="preserve"> in the GI tract modulated the immune system via regulating </w:t>
      </w:r>
      <w:r w:rsidRPr="003F7121">
        <w:rPr>
          <w:rFonts w:ascii="Times New Roman" w:hAnsi="Times New Roman" w:cs="Times New Roman"/>
          <w:sz w:val="24"/>
          <w:szCs w:val="24"/>
        </w:rPr>
        <w:lastRenderedPageBreak/>
        <w:t xml:space="preserve">cytokine secretion and increasing immune cells in the lungs such as natural killer cells, macrophages and dendritic cells in influenza virus infection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{"citationItems":[{"id":"ITEM-1","itemData":{"DOI":"10.1371/journal.pone.0184976","ISSN":"1932-6203 (Electronic)","PMID":"28931041","abstract":"Respiratory tract infections such as flu cause severe morbidity and mortality and  are among the leading causes of death in children and adults worldwide. Commensal microbiota is critical for orchestrating tissue homeostasis and immunity in the intestine. Probiotics represent an interesting source of immune modulators and several clinical studies have addressed the potential beneficial effects of probiotics against respiratory infections. Therefore, we have investigated the mechanisms of protection conferred by L. paracasei CNCM I-1518 strain in a mouse model of influenza infection. Notably, local myeloid cells accumulation is generated in the lungs after seven days feeding with L. paracasei prior to viral infection. L. paracasei-fed mice showed reduced susceptibility to the influenza infection, associated with less accumulation of inflammatory cells in the lungs, faster viral clearance and general health improvement. Interestingly, Allobaculum was significantly increased in L. paracasei-fed mice 7 days after influenza infection, even if the gut microbiota composition was not altered overall. L. paracasei-purified peptidoglycan partially recapitulated the protective phenotype observed with the entire bacteria. Collectively, our results demonstrate that oral consumption of L. paracasei CNCM I-1518 modulates lung immunity was associated with an improved control of influenza infection. These results further extend the beneficial role for certain lactobacilli to alleviate the burden of respiratory tract infections.","author":[{"dropping-particle":"","family":"Belkacem","given":"Nouria","non-dropping-particle":"","parse-names":false,"suffix":""},{"dropping-particle":"","family":"Serafini","given":"Nicolas","non-dropping-particle":"","parse-names":false,"suffix":""},{"dropping-particle":"","family":"Wheeler","given":"Richard","non-dropping-particle":"","parse-names":false,"suffix":""},{"dropping-particle":"","family":"Derrien","given":"Muriel","non-dropping-particle":"","parse-names":false,"suffix":""},{"dropping-particle":"","family":"Boucinha","given":"Lilia","non-dropping-particle":"","parse-names":false,"suffix":""},{"dropping-particle":"","family":"Couesnon","given":"Aurélie","non-dropping-particle":"","parse-names":false,"suffix":""},{"dropping-particle":"","family":"Cerf-Bensussan","given":"Nadine","non-dropping-particle":"","parse-names":false,"suffix":""},{"dropping-particle":"","family":"Gomperts Boneca","given":"Ivo","non-dropping-particle":"","parse-names":false,"suffix":""},{"dropping-particle":"","family":"Santo","given":"James P","non-dropping-particle":"Di","parse-names":false,"suffix":""},{"dropping-particle":"","family":"Taha","given":"Muhamed-Kkeir","non-dropping-particle":"","parse-names":false,"suffix":""},{"dropping-particle":"","family":"Bourdet-Sicard","given":"Raphaëlle","non-dropping-particle":"","parse-names":false,"suffix":""}],"container-title":"PloS one","id":"ITEM-1","issue":"9","issued":{"date-parts":[["2017"]]},"language":"eng","page":"e0184976","title":"Lactobacillus paracasei feeding improves immune control of influenza infection in  mice.","type":"article-journal","volume":"12"},"uris":["http://www.mendeley.com/documents/?uuid=a52e23fe-7c4a-46c1-b2d4-31d51ec7e007","http://www.mendeley.com/documents/?uuid=4917a9de-27f0-4cc9-99a4-64b4c2b990c5"]}],"mendeley":{"formattedCitation":"[74]","plainTextFormattedCitation":"[74]","previouslyFormattedCitation":"[8]"},"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bCs/>
          <w:noProof/>
          <w:sz w:val="24"/>
          <w:szCs w:val="24"/>
          <w:lang w:val="en-US"/>
        </w:rPr>
        <w:t>[74]</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However, the balance of gut microbiota profile is of utmost importance as it plays a crucial role in maintaining human health throughout the life of an individual, and also, they are vital in providing the first line of defence. The gut microbiome seems to be very sensitive and does often change into several extrinsic and intrinsic factors such as genetics, dietary habits, age, geographic location, and ethnicity. Amongst the above-mentioned factors, dietary habit seems to affect the gut microbiome with a huge impact that is substantially observed in the research studies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{"citationItems":[{"id":"ITEM-1","itemData":{"DOI":"10.1038/nature10213","ISSN":"1476-4687 (Electronic)","PMID":"21677749","abstract":"Marked changes in socio-economic status, cultural traditions, population growth and agriculture are affecting diets worldwide. Understanding how our diet and nutritional status influence the composition and dynamic operations of our gut microbial communities, and the innate and adaptive arms of our immune system, represents an area of scientific need, opportunity and challenge. The insights gleaned should help to address several pressing global health problems.","author":[{"dropping-particle":"","family":"Kau","given":"Andrew L","non-dropping-particle":"","parse-names":false,"suffix":""},{"dropping-particle":"","family":"Ahern","given":"Philip P","non-dropping-particle":"","parse-names":false,"suffix":""},{"dropping-particle":"","family":"Griffin","given":"Nicholas W","non-dropping-particle":"","parse-names":false,"suffix":""},{"dropping-particle":"","family":"Goodman","given":"Andrew L","non-dropping-particle":"","parse-names":false,"suffix":""},{"dropping-particle":"","family":"Gordon","given":"Jeffrey I","non-dropping-particle":"","parse-names":false,"suffix":""}],"container-title":"Nature","id":"ITEM-1","issue":"7351","issued":{"date-parts":[["2011","6"]]},"language":"eng","page":"327-336","publisher-place":"England","title":"Human nutrition, the gut microbiome and the immune system.","type":"article-journal","volume":"474"},"uris":["http://www.mendeley.com/documents/?uuid=0a397f5c-768f-4ab7-adb8-1f498d246dac"]}],"mendeley":{"formattedCitation":"[75]","plainTextFormattedCitation":"[75]","previouslyFormattedCitation":"[19]"},"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[75]</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w:t>
      </w:r>
    </w:p>
    <w:p w14:paraId="5101E91B" w14:textId="77777777" w:rsidR="005914AF" w:rsidRPr="003F7121" w:rsidRDefault="005914AF" w:rsidP="005914AF">
      <w:pPr>
        <w:pStyle w:val="Heading1"/>
        <w:spacing w:before="0" w:after="160" w:line="360" w:lineRule="auto"/>
        <w:ind w:left="0"/>
        <w:jc w:val="both"/>
        <w:rPr>
          <w:rFonts w:ascii="Times New Roman" w:hAnsi="Times New Roman" w:cs="Times New Roman"/>
          <w:sz w:val="24"/>
          <w:szCs w:val="24"/>
        </w:rPr>
      </w:pPr>
      <w:r w:rsidRPr="003F7121">
        <w:rPr>
          <w:rFonts w:ascii="Times New Roman" w:hAnsi="Times New Roman" w:cs="Times New Roman"/>
          <w:sz w:val="24"/>
          <w:szCs w:val="24"/>
        </w:rPr>
        <w:t>Role of microbiome in Viral Infections</w:t>
      </w:r>
    </w:p>
    <w:p w14:paraId="5158A073" w14:textId="1757A010" w:rsidR="005914AF" w:rsidRPr="003F7121" w:rsidRDefault="005914AF" w:rsidP="005914AF">
      <w:pPr>
        <w:spacing w:line="360" w:lineRule="auto"/>
        <w:ind w:firstLine="360"/>
        <w:jc w:val="both"/>
        <w:rPr>
          <w:rFonts w:ascii="Times New Roman" w:hAnsi="Times New Roman" w:cs="Times New Roman"/>
          <w:sz w:val="24"/>
          <w:szCs w:val="24"/>
        </w:rPr>
      </w:pPr>
      <w:r w:rsidRPr="003F7121">
        <w:rPr>
          <w:rFonts w:ascii="Times New Roman" w:hAnsi="Times New Roman" w:cs="Times New Roman"/>
          <w:sz w:val="24"/>
          <w:szCs w:val="24"/>
        </w:rPr>
        <w:t xml:space="preserve">The human lungs have been adapted and improved the protection mechanisms from last hundreds of years to fight the invading infective viruses using the first line of defence system </w:t>
      </w:r>
      <w:r w:rsidRPr="003F7121">
        <w:rPr>
          <w:rFonts w:ascii="Times New Roman" w:hAnsi="Times New Roman" w:cs="Times New Roman"/>
          <w:i/>
          <w:iCs/>
          <w:sz w:val="24"/>
          <w:szCs w:val="24"/>
        </w:rPr>
        <w:t>viz.</w:t>
      </w:r>
      <w:r w:rsidRPr="003F7121">
        <w:rPr>
          <w:rFonts w:ascii="Times New Roman" w:hAnsi="Times New Roman" w:cs="Times New Roman"/>
          <w:sz w:val="24"/>
          <w:szCs w:val="24"/>
        </w:rPr>
        <w:t xml:space="preserve"> mucus induction, continuous motion of cilia, nonspecific inhibitors for viral replications, secretion of Immunoglobulin A (IgA) in respiratory tract infections, etc.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{"citationItems":[{"id":"ITEM-1","itemData":{"DOI":"10.1183/09031936.00062714","ISSN":"1399-3003 (Electronic)","PMID":"25359340","abstract":"There is evidence that respiratory viruses play a key role in the development and exacerbation of obstructive respiratory diseases in children. This review attempts to juxtapose the separate profiles and prototypes of pathogenetic mechanisms represented by the two most common amongst such viruses: respiratory syncytial virus (RSV) and human rhinovirus (HRV). RSV represents the most common agent of severe airway disease in infants and young children, and is predominant in winter months. Large epidemiological studies have revealed an unequivocal relationship between RSV infection and subsequent wheezing into childhood, thought to be related to long-term changes in neuroimmune control of the airways rather than allergic sensitisation. HRV is a highly diverse group of viruses that affect subjects of all ages, is ubiquitous and occurs year-round. In contrast to RSV, infections with HRV cause minimal cytotoxicity but induce a rapid production of cytokines and chemokines with amplification of the inflammatory response. The susceptibility to HRV-induced bronchiolitis and subsequent wheezing appears to be linked to individual predisposition since it is often associated with a family or personal history of asthma/atopy. Thus, RSV probably serves as an \"inducer\" rather than a \"trigger\". Conversely, HRVs seem to serve as a \"trigger\" rather than an \"inducer\" in predisposed individuals.","author":[{"dropping-particle":"","family":"Rossi","given":"Giovanni A","non-dropping-particle":"","parse-names":false,"suffix":""},{"dropping-particle":"","family":"Colin","given":"Andrew A","non-dropping-particle":"","parse-names":false,"suffix":""}],"container-title":"The European respiratory journal","id":"ITEM-1","issue":"3","issued":{"date-parts":[["2015","3"]]},"language":"eng","page":"774-789","publisher-place":"England","title":"Infantile respiratory syncytial virus and human rhinovirus infections: respective role in inception and persistence of wheezing.","type":"article-journal","volume":"45"},"uris":["http://www.mendeley.com/documents/?uuid=5e5348b9-78d4-4618-bbcb-d8104f80b0be","http://www.mendeley.com/documents/?uuid=40ad6c28-2009-4734-be39-6098112ac4e7"]}],"mendeley":{"formattedCitation":"[76]","plainTextFormattedCitation":"[76]","previouslyFormattedCitation":"[261]"},"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bCs/>
          <w:noProof/>
          <w:sz w:val="24"/>
          <w:szCs w:val="24"/>
          <w:lang w:val="en-US"/>
        </w:rPr>
        <w:t>[76]</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At the onset of a viral infection, a cascade starts that activates the body’s natural immune mechanism. Initially, Toll-like receptors (TLRs) mediate the antiviral immune responses by recognizing virus infection and activating the signalling pathway leading to the secretion of chemokines and cytokines such as interferons (IFN) type I. Chemokines activate the natural killer cells (NK cells) that result in disruption of viral RNA and stop replication. Furthermore, the dendritic cells (DCs) lead to an activation of CD4+ and CD8+ cells and develop antigen-specific T and B lymphocytes mediated immunity that works together to get rid of the invading infective stage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{"citationItems":[{"id":"ITEM-1","itemData":{"DOI":"10.1128/CMR.18.3.541-555.2005","ISSN":"0893-8512 (Print)","PMID":"16020689","abstract":"Respiratory syncytial virus (RSV) is one of the commonest and most troublesome viruses of infancy. It causes most cases of bronchiolitis, which is associated with wheezing in later childhood. In primary infection, the peak of disease typically coincides with the development of specific T- and B-cell responses, which seem, in large part, to be responsible for disease. Animal models clearly show that a range of immune responses can enhance disease severity, particularly after vaccination with formalin-inactivated RSV. Prior immune sensitization leads to exuberant chemokine production, an excessive cellular influx, and an overabundance of cytokines during RSV challenge. Under different circumstances, specific mediators and T-cell subsets and antibody-antigen immune complex deposition are incriminated as major factors in disease. Animal models of immune enhancement permit a deep understanding of the role of specific immune responses in RSV disease, assist in vaccine design, and indicate which immunomodulatory therapy might be beneficial to children with bronchiolitis.","author":[{"dropping-particle":"","family":"Openshaw","given":"Peter J M","non-dropping-particle":"","parse-names":false,"suffix":""},{"dropping-particle":"","family":"Tregoning","given":"John S","non-dropping-particle":"","parse-names":false,"suffix":""}],"container-title":"Clinical microbiology reviews","id":"ITEM-1","issue":"3","issued":{"date-parts":[["2005","7"]]},"language":"eng","page":"541-555","publisher-place":"United States","title":"Immune responses and disease enhancement during respiratory syncytial virus infection.","type":"article-journal","volume":"18"},"uris":["http://www.mendeley.com/documents/?uuid=3e489e8d-d921-4992-9d6a-2384ac504328","http://www.mendeley.com/documents/?uuid=86d4fc57-2eaf-495d-be2e-1371f8d8670e"]}],"mendeley":{"formattedCitation":"[77]","plainTextFormattedCitation":"[77]","previouslyFormattedCitation":"[262]"},"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bCs/>
          <w:noProof/>
          <w:sz w:val="24"/>
          <w:szCs w:val="24"/>
          <w:lang w:val="en-US"/>
        </w:rPr>
        <w:t>[77]</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Microflora other than the digestive system, particularly in the lungs is also established to fight the incurring viral infections by modifying and supporting the natural immune process called immunomodulation. MOs and their secreted metabolites interact with TLRs, IFN, DCs, and T regulatory lymphocytes along with other chemokines and cytokines which are responsible to induce host immunity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{"citationItems":[{"id":"ITEM-1","itemData":{"DOI":"10.1073/pnas.1019378108","ISSN":"1091-6490 (Electronic)","PMID":"21402903","abstract":"Although commensal bacteria are crucial in maintaining immune homeostasis of the  intestine, the role of commensal bacteria in immune responses at other mucosal surfaces remains less clear. Here, we show that commensal microbiota composition critically regulates the generation of virus-specific CD4 and CD8 T cells and antibody responses following respiratory influenza virus infection. By using various antibiotic treatments, we found that neomycin-sensitive bacteria are associated with the induction of productive immune responses in the lung. Local or distal injection of Toll-like receptor (TLR) ligands could rescue the immune impairment in the antibiotic-treated mice. Intact microbiota provided signals leading to the expression of mRNA for pro-IL-1beta and pro-IL-18 at steady state. Following influenza virus infection, inflammasome activation led to migration of dendritic cells (DCs) from the lung to the draining lymph node and T-cell priming. Our results reveal the importance of commensal microbiota in regulating immunity in the respiratory mucosa through the proper activation of inflammasomes.","author":[{"dropping-particle":"","family":"Ichinohe","given":"Takeshi","non-dropping-particle":"","parse-names":false,"suffix":""},{"dropping-particle":"","family":"Pang","given":"Iris K","non-dropping-particle":"","parse-names":false,"suffix":""},{"dropping-particle":"","family":"Kumamoto","given":"Yosuke","non-dropping-particle":"","parse-names":false,"suffix":""},{"dropping-particle":"","family":"Peaper","given":"David R","non-dropping-particle":"","parse-names":false,"suffix":""},{"dropping-particle":"","family":"Ho","given":"John H","non-dropping-particle":"","parse-names":false,"suffix":""},{"dropping-particle":"","family":"Murray","given":"Thomas S","non-dropping-particle":"","parse-names":false,"suffix":""},{"dropping-particle":"","family":"Iwasaki","given":"Akiko","non-dropping-particle":"","parse-names":false,"suffix":""}],"container-title":"Proceedings of the National Academy of Sciences of the United States of America","id":"ITEM-1","issue":"13","issued":{"date-parts":[["2011","3"]]},"language":"eng","page":"5354-5359","publisher-place":"United States","title":"Microbiota regulates immune defense against respiratory tract influenza A virus infection.","type":"article-journal","volume":"108"},"uris":["http://www.mendeley.com/documents/?uuid=c96b8aa0-e3d7-4adf-974e-197d37f66039","http://www.mendeley.com/documents/?uuid=6a521552-4065-4290-8ffe-15f820eb169c"]}],"mendeley":{"formattedCitation":"[78]","plainTextFormattedCitation":"[78]","previouslyFormattedCitation":"[260]"},"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noProof/>
          <w:sz w:val="24"/>
          <w:szCs w:val="24"/>
        </w:rPr>
        <w:t>[78]</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Human microflora plays a key role to support innate and adaptive immunity whereas probiotics are proven to stimulate host immunity via immunomodulation of the immune system. These probiotic microbes translate the innate immunity and induce the acquired immunity that results in the stimulation of specific and non-specific immunity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{"citationItems":[{"id":"ITEM-1","itemData":{"DOI":"10.1111/j.1574-6968.2012.02593.x","ISSN":"03781097","abstract":"In the industrialized world, functional foods have become a part of an everyday diet and are demonstrated to offer potential health benefits beyond the widely accepted nutritional effects. Currently, the most important and frequently used functional food compounds are probiotics and prebiotics, or they are collectively known as 'synbiotics'. Moreover, with an already healthy image, dairy products appear to be an excellent mean for inventing nutritious foods. Such probiotic dairy foods beneficially affect the host by improving survival and implantation of live microbial dietary supplements in the gastrointestinal flora, by selectively stimulating the growth or activating the catabolism of one or a limited number of health-promoting bacteria in the intestinal tract, and by improving the gastrointestinal tract's microbial balance. Hence, the paper reviews the current scenario of probiotics and their prospective potential applications for functional foods for better health and nutrition of the society. © 2012 Federation of European Microbiological Societies. Published by Blackwell Publishing Ltd. All rights reserved.","author":[{"dropping-particle":"","family":"Nagpal","given":"Ravinder","non-dropping-particle":"","parse-names":false,"suffix":""},{"dropping-particle":"","family":"Kumar","given":"Ashwani","non-dropping-particle":"","parse-names":false,"suffix":""},{"dropping-particle":"","family":"Kumar","given":"Manoj","non-dropping-particle":"","parse-names":false,"suffix":""},{"dropping-particle":"V.","family":"Behare","given":"Pradip","non-dropping-particle":"","parse-names":false,"suffix":""},{"dropping-particle":"","family":"Jain","given":"Shalini","non-dropping-particle":"","parse-names":false,"suffix":""},{"dropping-particle":"","family":"Yadav","given":"Hariom","non-dropping-particle":"","parse-names":false,"suffix":""}],"container-title":"FEMS Microbiology Letters","id":"ITEM-1","issue":"1","issued":{"date-parts":[["2012"]]},"page":"1-15","title":"Probiotics, their health benefits and applications for developing healthier foods: A review","type":"article-journal","volume":"334"},"uris":["http://www.mendeley.com/documents/?uuid=f7f6a8db-271c-4039-9f46-56f56ff84df8"]}],"mendeley":{"formattedCitation":"[79]","plainTextFormattedCitation":"[79]","previouslyFormattedCitation":"[263]"},"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bCs/>
          <w:noProof/>
          <w:sz w:val="24"/>
          <w:szCs w:val="24"/>
          <w:lang w:val="en-US"/>
        </w:rPr>
        <w:t>[79]</w:t>
      </w:r>
      <w:r w:rsidRPr="003F7121">
        <w:rPr>
          <w:rStyle w:val="FootnoteReference"/>
          <w:rFonts w:ascii="Times New Roman" w:hAnsi="Times New Roman" w:cs="Times New Roman"/>
          <w:sz w:val="24"/>
          <w:szCs w:val="24"/>
        </w:rPr>
        <w:fldChar w:fldCharType="end"/>
      </w:r>
    </w:p>
    <w:p w14:paraId="50104E58" w14:textId="75058692" w:rsidR="005914AF" w:rsidRPr="003F7121" w:rsidRDefault="005914AF" w:rsidP="005914AF">
      <w:pPr>
        <w:spacing w:line="360" w:lineRule="auto"/>
        <w:ind w:firstLine="360"/>
        <w:jc w:val="both"/>
        <w:rPr>
          <w:rFonts w:ascii="Times New Roman" w:hAnsi="Times New Roman" w:cs="Times New Roman"/>
          <w:sz w:val="24"/>
          <w:szCs w:val="24"/>
        </w:rPr>
      </w:pPr>
      <w:r w:rsidRPr="003F7121">
        <w:rPr>
          <w:rFonts w:ascii="Times New Roman" w:hAnsi="Times New Roman" w:cs="Times New Roman"/>
          <w:sz w:val="24"/>
          <w:szCs w:val="24"/>
        </w:rPr>
        <w:t xml:space="preserve">There are reports that probiotics such as </w:t>
      </w:r>
      <w:r w:rsidRPr="003F7121">
        <w:rPr>
          <w:rFonts w:ascii="Times New Roman" w:hAnsi="Times New Roman" w:cs="Times New Roman"/>
          <w:i/>
          <w:iCs/>
          <w:sz w:val="24"/>
          <w:szCs w:val="24"/>
        </w:rPr>
        <w:t>Bifidobacterium breve</w:t>
      </w:r>
      <w:r w:rsidRPr="003F7121">
        <w:rPr>
          <w:rFonts w:ascii="Times New Roman" w:hAnsi="Times New Roman" w:cs="Times New Roman"/>
          <w:sz w:val="24"/>
          <w:szCs w:val="24"/>
        </w:rPr>
        <w:t xml:space="preserve"> shows anti-influenza effect by increasing the production of IgA, and IgG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{"citationItems":[{"id":"ITEM-1","itemData":{"DOI":"10.1016/j.nut.2006.09.002","ISSN":"0899-9007 (Print)","PMID":"17084593","abstract":"OBJECTIVE: We investigated the effect of low-fat (2.5%) dahi containing probiotic  Lactobacillus acidophilus and Lactobacillus casei on progression of high fructose-induced type 2 diabetes in rats. METHODS: Diabetes was induced in male albino Wistar rats by feeding 21% fructose in water. The body weight, food and water intakes, fasting blood glucose, glycosylated hemoglobin, oral glucose tolerance test, plasma insulin, liver glycogen content, and blood lipid profile were recorded. The oxidative status in terms of thiobarbituric acid-reactive substances and reduced glutathione contents in liver and pancreatic tissues were also measured. RESULTS: Values for blood glucose, glycosylated hemoglobin, glucose intolerance, plasma insulin, liver glycogen, plasma total cholesterol, triacylglycerol, low-density lipoprotein cholesterol, very low-density lipoprotein cholesterol, and blood free fatty acids were increased significantly after 8 wk of high fructose feeding; however, the dahi-supplemented diet restricted the elevation of these parameters in comparison with the high fructose-fed control group. In contrast, high-density lipoprotein cholesterol decreased slightly and was retained in the dahi-fed group. The dahi-fed group also exhibited lower values of thiobarbituric acid-reactive substances and higher values of reduced glutathione in liver and pancreatic tissues compared with the high fructose-fed control group. CONCLUSION: The probiotic dahi-supplemented diet significantly delayed the onset of glucose intolerance, hyperglycemia, hyperinsulinemia, dyslipidemia, and oxidative stress in high fructose-induced diabetic rats, indicating a lower risk of diabetes and its complications.","author":[{"dropping-particle":"","family":"Yadav","given":"Hariom","non-dropping-particle":"","parse-names":false,"suffix":""},{"dropping-particle":"","family":"Jain","given":"Shalini","non-dropping-particle":"","parse-names":false,"suffix":""},{"dropping-particle":"","family":"Sinha","given":"P R","non-dropping-particle":"","parse-names":false,"suffix":""}],"container-title":"Nutrition (Burbank, Los Angeles County, Calif.)","id":"ITEM-1","issue":"1","issued":{"date-parts":[["2007","1"]]},"language":"eng","page":"62-68","publisher-place":"United States","title":"Antidiabetic effect of probiotic dahi containing Lactobacillus acidophilus and  Lactobacillus casei in high fructose fed rats.","type":"article-journal","volume":"23"},"uris":["http://www.mendeley.com/documents/?uuid=643ed504-28ec-4043-be20-042054ca0495"]}],"mendeley":{"formattedCitation":"[23]","plainTextFormattedCitation":"[23]","previouslyFormattedCitation":"[170]"},"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bCs/>
          <w:noProof/>
          <w:sz w:val="24"/>
          <w:szCs w:val="24"/>
          <w:lang w:val="en-US"/>
        </w:rPr>
        <w:t>[23]</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Hepatitis A and B were found to be reduced by </w:t>
      </w:r>
      <w:r w:rsidRPr="003F7121">
        <w:rPr>
          <w:rFonts w:ascii="Times New Roman" w:hAnsi="Times New Roman" w:cs="Times New Roman"/>
          <w:i/>
          <w:iCs/>
          <w:sz w:val="24"/>
          <w:szCs w:val="24"/>
        </w:rPr>
        <w:t>Lactobacillus acidophilus</w:t>
      </w:r>
      <w:r w:rsidRPr="003F7121">
        <w:rPr>
          <w:rFonts w:ascii="Times New Roman" w:hAnsi="Times New Roman" w:cs="Times New Roman"/>
          <w:sz w:val="24"/>
          <w:szCs w:val="24"/>
        </w:rPr>
        <w:t xml:space="preserve"> and </w:t>
      </w:r>
      <w:r w:rsidRPr="003F7121">
        <w:rPr>
          <w:rFonts w:ascii="Times New Roman" w:hAnsi="Times New Roman" w:cs="Times New Roman"/>
          <w:i/>
          <w:iCs/>
          <w:sz w:val="24"/>
          <w:szCs w:val="24"/>
        </w:rPr>
        <w:t xml:space="preserve">Bifidobacterium bifidum </w:t>
      </w:r>
      <w:r w:rsidRPr="003F7121">
        <w:rPr>
          <w:rFonts w:ascii="Times New Roman" w:hAnsi="Times New Roman" w:cs="Times New Roman"/>
          <w:sz w:val="24"/>
          <w:szCs w:val="24"/>
        </w:rPr>
        <w:t xml:space="preserve">while </w:t>
      </w:r>
      <w:r w:rsidRPr="003F7121">
        <w:rPr>
          <w:rFonts w:ascii="Times New Roman" w:hAnsi="Times New Roman" w:cs="Times New Roman"/>
          <w:i/>
          <w:iCs/>
          <w:sz w:val="24"/>
          <w:szCs w:val="24"/>
        </w:rPr>
        <w:t>Thermophilus sp.</w:t>
      </w:r>
      <w:r w:rsidRPr="003F7121">
        <w:rPr>
          <w:rFonts w:ascii="Times New Roman" w:hAnsi="Times New Roman" w:cs="Times New Roman"/>
          <w:sz w:val="24"/>
          <w:szCs w:val="24"/>
        </w:rPr>
        <w:t xml:space="preserve"> is known to </w:t>
      </w:r>
      <w:r w:rsidRPr="003F7121">
        <w:rPr>
          <w:rFonts w:ascii="Times New Roman" w:hAnsi="Times New Roman" w:cs="Times New Roman"/>
          <w:sz w:val="24"/>
          <w:szCs w:val="24"/>
        </w:rPr>
        <w:lastRenderedPageBreak/>
        <w:t xml:space="preserve">work as an anti-herpetic agent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author":[{"dropping-particle":"","family":"Vrese","given":"M","non-dropping-particle":"De","parse-names":false,"suffix":""},{"dropping-particle":"","family":"Schrezenmeir","given":"J","non-dropping-particle":"","parse-names":false,"suffix":""}],"container-title":"Annual Reports","id":"ITEM-1","issued":{"date-parts":[["2000"]]},"page":"59","title":"Effect of probiotics on a defined immunologic challenge with Hepatitis A and B vaccine","type":"article-journal"},"uris":["http://www.mendeley.com/documents/?uuid=9e1ca502-9ab6-4a9c-8f5a-ba486ba1b83d","http://www.mendeley.com/documents/?uuid=a8ce1143-d16e-4d71-9960-dcae22f9ba64"]}],"mendeley":{"formattedCitation":"[80]","plainTextFormattedCitation":"[80]","previouslyFormattedCitation":"[265]"},"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bCs/>
          <w:noProof/>
          <w:sz w:val="24"/>
          <w:szCs w:val="24"/>
          <w:lang w:val="en-US"/>
        </w:rPr>
        <w:t>[80]</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Similarly, </w:t>
      </w:r>
      <w:r w:rsidRPr="003F7121">
        <w:rPr>
          <w:rFonts w:ascii="Times New Roman" w:hAnsi="Times New Roman" w:cs="Times New Roman"/>
          <w:i/>
          <w:iCs/>
          <w:sz w:val="24"/>
          <w:szCs w:val="24"/>
        </w:rPr>
        <w:t>Bifidobacterium lactis</w:t>
      </w:r>
      <w:r w:rsidRPr="003F7121">
        <w:rPr>
          <w:rFonts w:ascii="Times New Roman" w:hAnsi="Times New Roman" w:cs="Times New Roman"/>
          <w:sz w:val="24"/>
          <w:szCs w:val="24"/>
        </w:rPr>
        <w:t xml:space="preserve"> and </w:t>
      </w:r>
      <w:r w:rsidRPr="003F7121">
        <w:rPr>
          <w:rFonts w:ascii="Times New Roman" w:hAnsi="Times New Roman" w:cs="Times New Roman"/>
          <w:i/>
          <w:iCs/>
          <w:sz w:val="24"/>
          <w:szCs w:val="24"/>
        </w:rPr>
        <w:t>Saccharomyces boulardii</w:t>
      </w:r>
      <w:r w:rsidRPr="003F7121">
        <w:rPr>
          <w:rFonts w:ascii="Times New Roman" w:hAnsi="Times New Roman" w:cs="Times New Roman"/>
          <w:sz w:val="24"/>
          <w:szCs w:val="24"/>
        </w:rPr>
        <w:t xml:space="preserve"> can be used in antiviral therapy against Rotavirus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{"citationItems":[{"id":"ITEM-1","itemData":{"DOI":"10.1155/2012/787240","ISSN":"1687-9686","abstract":"&lt;italic&gt;Objectives&lt;/italic&gt;. The aim of the study is to compare the clinical effectiveness of the probiotics&amp;#x2014;&lt;italic&gt;Saccharomyces boulardii&lt;/italic&gt; and &lt;italic&gt;Bifidobacterium lactis&lt;/italic&gt;&amp;#x2014;in children who had been diagnosed with rotavirus gastroenteritis. &lt;italic&gt;Materials and methods&lt;/italic&gt;. Seventy five patients aged between 5 months&amp;#x2013;5 years diagnosed as rotavirus gastroenteritis were included in the study. The patients diagnosed as rotavirus gastroenteritis by latex agglutination test in stool were divided into 3 groups of twenty-five patients each: First group was given oral rehydration therapy and rapid refeeding with a normal diet with &lt;italic&gt;Saccharomyces boulardii&lt;/italic&gt; (&lt;italic&gt;spp. I-745&lt;/italic&gt;), second group was given oral rehydration therapy and rapid refeeding with a normal diet with &lt;italic&gt;Bifidobacterium lactis&lt;/italic&gt; (&lt;italic&gt;spp. B94, culture number:&lt;/italic&gt;&lt;inline-formula&gt;&lt;mml:math xmlns:mml=\"http://www.w3.org/1998/Math/MathML\" id=\"M1\"&gt;&lt;mml:msup&gt;&lt;mml:mrow&gt;&lt;mml:mi&gt;N&lt;/mml:mi&gt;&lt;/mml:mrow&gt;&lt;mml:mrow&gt;&lt;mml:mo&gt;&amp;#x2218;&lt;/mml:mo&gt;&lt;/mml:mrow&gt;&lt;/mml:msup&gt;&lt;mml:mn&gt;118529&lt;/mml:mn&gt;&lt;/mml:math&gt;&lt;/inline-formula&gt;) and third group received only oral rehydration therapy and rapid refeeding with a normal diet. &lt;italic&gt;Results&lt;/italic&gt;. The duration of diarrhea was shorter in the group given oral rehydration therapy and rapid refeeding with a normal diet with &lt;italic&gt;Bifidobacterium lactis&lt;/italic&gt; and &lt;italic&gt;Saccharomyces boulardii&lt;/italic&gt; than the group given only oral rehydration therapy and rapid refeeding with a normal diet. &lt;italic&gt;Conclusion&lt;/italic&gt;. &lt;italic&gt;Bifidobacterium lactis&lt;/italic&gt; has a complemental role in the treatment of rotavirus gatroenteritis and other probiotics may also have a beneficial effect in rotavirus gastroenteritis compared with the therapy included only oral rehydration therapy and rapid refeeding with a normal diet.      ","author":[{"dropping-particle":"","family":"Erdoğan","given":"Özlem","non-dropping-particle":"","parse-names":false,"suffix":""},{"dropping-particle":"","family":"Tanyeri","given":"Bilge","non-dropping-particle":"","parse-names":false,"suffix":""},{"dropping-particle":"","family":"Torun","given":"Emel","non-dropping-particle":"","parse-names":false,"suffix":""},{"dropping-particle":"","family":"Gönüllü","given":"Erdem","non-dropping-particle":"","parse-names":false,"suffix":""},{"dropping-particle":"","family":"Arslan","given":"Hüseyin","non-dropping-particle":"","parse-names":false,"suffix":""},{"dropping-particle":"","family":"Erenberk","given":"Ufuk","non-dropping-particle":"","parse-names":false,"suffix":""},{"dropping-particle":"","family":"Öktem","given":"Faruk","non-dropping-particle":"","parse-names":false,"suffix":""}],"container-title":"Journal of Tropical Medicine","editor":[{"dropping-particle":"","family":"Tanner","given":"Marcel","non-dropping-particle":"","parse-names":false,"suffix":""}],"id":"ITEM-1","issued":{"date-parts":[["2012"]]},"page":"787240","publisher":"Hindawi Publishing Corporation","title":"The Comparition of the Efficacy of Two Different Probiotics in Rotavirus Gastroenteritis in Children","type":"article-journal","volume":"2012"},"uris":["http://www.mendeley.com/documents/?uuid=a86f7c6d-0630-47c3-a095-578df0fc66cd","http://www.mendeley.com/documents/?uuid=812418af-834f-4a31-9c42-716929e8d6f3"]}],"mendeley":{"formattedCitation":"[81]","plainTextFormattedCitation":"[81]","previouslyFormattedCitation":"[267]"},"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noProof/>
          <w:sz w:val="24"/>
          <w:szCs w:val="24"/>
        </w:rPr>
        <w:t>[81]</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A clinical study has reported that daily consumption of probiotics by HIV infected people showed improvement in CD4+ count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{"citationItems":[{"id":"ITEM-1","itemData":{"DOI":"10.1097/MCG.0b013e3181d8fba8","ISSN":"1539-2031 (Electronic)","PMID":"20463586","abstract":"AIM: To evaluate the long term effect of yogurt supplemented with Lactobacillus rhamnosus Fiti on the immune function (CD4 count) of people living with HIV/AIDS. BACKGROUND: Gastrointestinal infections and the leakage of microbial products from the gut have a profound impact on the deterioration of the immune system among people living with HIV/AIDS. Among persons not infected with the virus, probiotics can prevent gastrointestinal infections and restore an effective gut barrier, suggesting they might have a beneficial effect on the immune function of people living with HIV/AIDS. STUDY: We carried out an observational retrospective study over a period of 3 years, with longitudinal comparison of the CD4 count within participants (n=68) before and during probiotic yogurt consumption, and compared with a control group of participants not consuming the yogurt (n=82). RESULTS: Among the yogurt consumers before use and the nonconsumers, an average increase in CD4 count was seen of 0.13 cells/muL/day (95% CI; 0.07-0.20, P=&lt;0.001). After commencing consumption, yogurt consumers experienced an additional increase of 0.28 cells/muL/day (95% CI; 0.10-0.46, P=0.003). When adjusting for length of time using antiretroviral medication, the additional increase explained by yogurt consumption remained 0.17 cells/muL/day (95% CI; 0.01-0.34, P=0.04). Treatment with antiretroviral medication was associated with an increase of 0.27 cells/muL/day (95% CI; 0.17-0.38, P=&lt;0.001). CONCLUSION: The introduction of probiotic yogurt, made by local women in a low-income community in Tanzania, was significantly associated with an increase in CD4 count among consumers living with HIV.","author":[{"dropping-particle":"","family":"Irvine","given":"Stephanie L","non-dropping-particle":"","parse-names":false,"suffix":""},{"dropping-particle":"","family":"Hummelen","given":"Ruben","non-dropping-particle":"","parse-names":false,"suffix":""},{"dropping-particle":"","family":"Hekmat","given":"Sharareh","non-dropping-particle":"","parse-names":false,"suffix":""},{"dropping-particle":"","family":"Looman","given":"Caspar W N","non-dropping-particle":"","parse-names":false,"suffix":""},{"dropping-particle":"","family":"Habbema","given":"J Dik F","non-dropping-particle":"","parse-names":false,"suffix":""},{"dropping-particle":"","family":"Reid","given":"Gregor","non-dropping-particle":"","parse-names":false,"suffix":""}],"container-title":"Journal of clinical gastroenterology","id":"ITEM-1","issue":"9","issued":{"date-parts":[["2010","10"]]},"language":"eng","page":"e201-5","publisher-place":"United States","title":"Probiotic yogurt consumption is associated with an increase of CD4 count among people living with HIV/AIDS.","type":"article-journal","volume":"44"},"uris":["http://www.mendeley.com/documents/?uuid=b6173bef-073a-4e41-8662-38bb2a98de39","http://www.mendeley.com/documents/?uuid=a01e4f13-ad50-43b8-b0eb-1e96854df674"]}],"mendeley":{"formattedCitation":"[82]","plainTextFormattedCitation":"[82]","previouslyFormattedCitation":"[268]"},"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bCs/>
          <w:noProof/>
          <w:sz w:val="24"/>
          <w:szCs w:val="24"/>
          <w:lang w:val="en-US"/>
        </w:rPr>
        <w:t>[82]</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It is also suggested that the consumption of probiotics like LAB and </w:t>
      </w:r>
      <w:r w:rsidRPr="003F7121">
        <w:rPr>
          <w:rFonts w:ascii="Times New Roman" w:hAnsi="Times New Roman" w:cs="Times New Roman"/>
          <w:i/>
          <w:iCs/>
          <w:sz w:val="24"/>
          <w:szCs w:val="24"/>
        </w:rPr>
        <w:t>Bifidobacteria</w:t>
      </w:r>
      <w:r w:rsidRPr="003F7121">
        <w:rPr>
          <w:rFonts w:ascii="Times New Roman" w:hAnsi="Times New Roman" w:cs="Times New Roman"/>
          <w:sz w:val="24"/>
          <w:szCs w:val="24"/>
        </w:rPr>
        <w:t xml:space="preserve"> are found to reduce the risk of upper respiratory tract infections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{"citationItems":[{"id":"ITEM-1","itemData":{"DOI":"10.1542/peds.2007-2022JJJ","abstract":"INTRODUCTION: Probiotics are live microorganisms that have a beneficial effect on the host.OBJECTIVE: Our aim was to investigate whether consumption of probiotics would be able to reduce symptoms of respiratory tract infections during the winter season.METHODS: Children aged 3 to 5 years were recruited and randomly assigned to 1 of 3 groups to receive placebo (n = 92), Lactobacillus acidophilus NCFM (NCFM) (n = 77), or a combination of L acidophilus NCFM and Bifidobacterium lactis Bi-07 (NCFM+Bi-07) (n = 79). Probiotics were consumed daily at a dose of 1010 colony-forming units for 6 months from November to April. The study was performed in Shanghai, China, and approved by the local authorities.RESULTS: The incidence of fever was reduced by 63% in the NCFM+Bi-07 group and by 48% in the NCFM group. Cough was reduced by 54% in the NCFM+Bi-07 group and by 42% in the NCFM group. Runny nose was reduced by 44% in the NCFM+Bi-07 group and by 9% in the NCFM group; the latter result was not significant. Antibiotic use was reduced by 80% in the NCFM+Bi-07 group and by 68% in the NCFM group. Children in the placebo group had, on average, 6.5 days with symptoms, those in the NCFM group had 4.5 days with symptoms, and those in the NCFM+Bi-07 group had 3.4 days with symptoms.CONCLUSIONS: Daily consumption of NCFM and Bi-07 and of NCFM alone significantly reduced the incidence and duration of respiratory tract infection symptoms in children. The combination of the 2 probiotics tended to perform better than the NCFM alone.Submitted by Arthur Ouwehand","author":[{"dropping-particle":"","family":"Ouwehand","given":"Arthur","non-dropping-particle":"","parse-names":false,"suffix":""},{"dropping-particle":"","family":"Leyer","given":"Greg","non-dropping-particle":"","parse-names":false,"suffix":""},{"dropping-particle":"","family":"Carcano","given":"Didier","non-dropping-particle":"","parse-names":false,"suffix":""}],"container-title":"Pediatrics","id":"ITEM-1","issue":"Supplement 2","issued":{"date-parts":[["2008","1"]]},"page":"S115 LP  - S115","title":"PROBIOTICS REDUCE INCIDENCE AND DURATION OF RESPIRATORY TRACT INFECTION SYMPTOMS IN 3- TO 5-YEAR-OLD CHILDREN","type":"article-journal","volume":"121"},"uris":["http://www.mendeley.com/documents/?uuid=6eed38ec-87f6-4fca-a49a-49c05aa0bc5c","http://www.mendeley.com/documents/?uuid=4e18b55f-a992-4c81-8c63-332110699e91"]}],"mendeley":{"formattedCitation":"[83]","plainTextFormattedCitation":"[83]","previouslyFormattedCitation":"[269]"},"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bCs/>
          <w:noProof/>
          <w:sz w:val="24"/>
          <w:szCs w:val="24"/>
          <w:lang w:val="en-US"/>
        </w:rPr>
        <w:t>[83]</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An animal study demonstrated that oral administration of probiotic strains like </w:t>
      </w:r>
      <w:r w:rsidRPr="003F7121">
        <w:rPr>
          <w:rFonts w:ascii="Times New Roman" w:hAnsi="Times New Roman" w:cs="Times New Roman"/>
          <w:i/>
          <w:iCs/>
          <w:sz w:val="24"/>
          <w:szCs w:val="24"/>
        </w:rPr>
        <w:t>Lactobacillus pentosus, L. casei, L. Plantarum, L. bulgaricus, L. rhamnosus, L. gasseri, L. Brevis,</w:t>
      </w:r>
      <w:r w:rsidRPr="003F7121">
        <w:rPr>
          <w:rFonts w:ascii="Times New Roman" w:hAnsi="Times New Roman" w:cs="Times New Roman"/>
          <w:sz w:val="24"/>
          <w:szCs w:val="24"/>
        </w:rPr>
        <w:t xml:space="preserve"> and </w:t>
      </w:r>
      <w:r w:rsidRPr="003F7121">
        <w:rPr>
          <w:rFonts w:ascii="Times New Roman" w:hAnsi="Times New Roman" w:cs="Times New Roman"/>
          <w:i/>
          <w:iCs/>
          <w:sz w:val="24"/>
          <w:szCs w:val="24"/>
        </w:rPr>
        <w:t>B.breve</w:t>
      </w:r>
      <w:r w:rsidRPr="003F7121">
        <w:rPr>
          <w:rFonts w:ascii="Times New Roman" w:hAnsi="Times New Roman" w:cs="Times New Roman"/>
          <w:sz w:val="24"/>
          <w:szCs w:val="24"/>
        </w:rPr>
        <w:t xml:space="preserve"> helped to suppress symptoms of virus infection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{"citationItems":[{"id":"ITEM-1","itemData":{"DOI":"10.1073/pnas.0504666102","ISSN":"0027-8424 (Print)","PMID":"16118271","abstract":"The identification of new virus species is a key issue for the study of infectious disease but is technically very difficult. We developed a system for large-scale molecular virus screening of clinical samples based on host DNA depletion, random PCR amplification, large-scale sequencing, and bioinformatics. The technology was applied to pooled human respiratory tract samples. The first experiments detected seven human virus species without the use of any specific reagent. Among the detected viruses were one coronavirus and one parvovirus, both of which were at that time uncharacterized. The parvovirus, provisionally named human bocavirus, was in a retrospective clinical study detected in 17 additional patients and associated with lower respiratory tract infections in children. The molecular virus screening procedure provides a general culture-independent solution to the problem of detecting unknown virus species in single or pooled samples. We suggest that a systematic exploration of the viruses that infect humans, \"the human virome,\" can be initiated.","author":[{"dropping-particle":"","family":"Allander","given":"Tobias","non-dropping-particle":"","parse-names":false,"suffix":""},{"dropping-particle":"","family":"Tammi","given":"Martti T","non-dropping-particle":"","parse-names":false,"suffix":""},{"dropping-particle":"","family":"Eriksson","given":"Margareta","non-dropping-particle":"","parse-names":false,"suffix":""},{"dropping-particle":"","family":"Bjerkner","given":"Annelie","non-dropping-particle":"","parse-names":false,"suffix":""},{"dropping-particle":"","family":"Tiveljung-Lindell","given":"Annika","non-dropping-particle":"","parse-names":false,"suffix":""},{"dropping-particle":"","family":"Andersson","given":"Bjorn","non-dropping-particle":"","parse-names":false,"suffix":""}],"container-title":"Proceedings of the National Academy of Sciences of the United States of America","id":"ITEM-1","issue":"36","issued":{"date-parts":[["2005","9"]]},"language":"eng","page":"12891-12896","publisher-place":"United States","title":"Cloning of a human parvovirus by molecular screening of respiratory tract samples.","type":"article-journal","volume":"102"},"uris":["http://www.mendeley.com/documents/?uuid=dd34e405-4cdf-47de-b683-23732db35398","http://www.mendeley.com/documents/?uuid=7a608193-9198-486e-bedb-887326370221"]}],"mendeley":{"formattedCitation":"[84]","plainTextFormattedCitation":"[84]","previouslyFormattedCitation":"[270]"},"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noProof/>
          <w:sz w:val="24"/>
          <w:szCs w:val="24"/>
        </w:rPr>
        <w:t>[84]</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w:t>
      </w:r>
    </w:p>
    <w:p w14:paraId="1C9A5565" w14:textId="77777777" w:rsidR="005914AF" w:rsidRPr="003F7121" w:rsidRDefault="005914AF" w:rsidP="005914AF">
      <w:pPr>
        <w:pStyle w:val="Heading2"/>
        <w:spacing w:before="0" w:after="160" w:line="360" w:lineRule="auto"/>
        <w:jc w:val="both"/>
        <w:rPr>
          <w:rFonts w:ascii="Times New Roman" w:hAnsi="Times New Roman" w:cs="Times New Roman"/>
          <w:color w:val="auto"/>
          <w:sz w:val="24"/>
          <w:szCs w:val="24"/>
        </w:rPr>
      </w:pPr>
      <w:r w:rsidRPr="003F7121">
        <w:rPr>
          <w:rFonts w:ascii="Times New Roman" w:hAnsi="Times New Roman" w:cs="Times New Roman"/>
          <w:color w:val="auto"/>
          <w:sz w:val="24"/>
          <w:szCs w:val="24"/>
        </w:rPr>
        <w:t>Anticipation of the Immunomodulatory Role of Probiotics in SARS-Cov-2 Infection</w:t>
      </w:r>
    </w:p>
    <w:p w14:paraId="67CACBD8" w14:textId="77777777" w:rsidR="005914AF" w:rsidRPr="003F7121" w:rsidRDefault="005914AF" w:rsidP="005914AF">
      <w:pPr>
        <w:pStyle w:val="Heading1"/>
        <w:spacing w:before="0" w:after="160" w:line="360" w:lineRule="auto"/>
        <w:ind w:left="0"/>
        <w:jc w:val="both"/>
        <w:rPr>
          <w:rFonts w:ascii="Times New Roman" w:hAnsi="Times New Roman" w:cs="Times New Roman"/>
          <w:b w:val="0"/>
          <w:bCs w:val="0"/>
          <w:sz w:val="24"/>
          <w:szCs w:val="24"/>
        </w:rPr>
      </w:pPr>
      <w:r w:rsidRPr="003F7121">
        <w:rPr>
          <w:rFonts w:ascii="Times New Roman" w:hAnsi="Times New Roman" w:cs="Times New Roman"/>
          <w:b w:val="0"/>
          <w:sz w:val="24"/>
          <w:szCs w:val="24"/>
        </w:rPr>
        <w:t>The Lung Microbiome</w:t>
      </w:r>
    </w:p>
    <w:p w14:paraId="69FB1A99" w14:textId="37B0596E" w:rsidR="005914AF" w:rsidRPr="003F7121" w:rsidRDefault="005914AF" w:rsidP="005914AF">
      <w:pPr>
        <w:spacing w:line="360" w:lineRule="auto"/>
        <w:ind w:firstLine="360"/>
        <w:jc w:val="both"/>
        <w:rPr>
          <w:rFonts w:ascii="Times New Roman" w:hAnsi="Times New Roman" w:cs="Times New Roman"/>
          <w:sz w:val="24"/>
          <w:szCs w:val="24"/>
          <w:vertAlign w:val="superscript"/>
        </w:rPr>
      </w:pPr>
      <w:r w:rsidRPr="003F7121">
        <w:rPr>
          <w:rFonts w:ascii="Times New Roman" w:hAnsi="Times New Roman" w:cs="Times New Roman"/>
          <w:sz w:val="24"/>
          <w:szCs w:val="24"/>
        </w:rPr>
        <w:t xml:space="preserve">A vast variety of microbial communities inhabits the human body that is found to be more prevalent on mucous membranes and play a vital role in various metabolic processes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{"citationItems":[{"id":"ITEM-1","itemData":{"DOI":"10.1186/s13059-016-1021-1","ISSN":"1474-760X (Electronic)","PMID":"27468850","abstract":"BACKGROUND: The human lung tissue microbiota remains largely uncharacterized, although a number of studies based on airway samples suggest the existence of a viable human lung microbiota. Here we characterized the taxonomic and derived functional profiles of lung microbiota in 165 non-malignant lung tissue samples from cancer patients. RESULTS: We show that the lung microbiota is distinct from the microbial communities in oral, nasal, stool, skin, and vagina, with Proteobacteria as the dominant phylum (60 %). Microbiota taxonomic alpha diversity increases with environmental exposures, such as air particulates, residence in low to high population density areas, and pack-years of tobacco smoking and decreases in subjects with history of chronic bronchitis. Genus Thermus is more abundant in tissue from advanced stage (IIIB, IV) patients, while Legionella is higher in patients who develop metastases. Moreover, the non-malignant lung tissues have higher microbiota alpha diversity than the paired tumors. CONCLUSIONS: Our results provide insights into the human lung microbiota composition and function and their link to human lifestyle and clinical outcomes. Studies among subjects without lung cancer are needed to confirm our findings.","author":[{"dropping-particle":"","family":"Yu","given":"Guoqin","non-dropping-particle":"","parse-names":false,"suffix":""},{"dropping-particle":"","family":"Gail","given":"Mitchell H","non-dropping-particle":"","parse-names":false,"suffix":""},{"dropping-particle":"","family":"Consonni","given":"Dario","non-dropping-particle":"","parse-names":false,"suffix":""},{"dropping-particle":"","family":"Carugno","given":"Michele","non-dropping-particle":"","parse-names":false,"suffix":""},{"dropping-particle":"","family":"Humphrys","given":"Michael","non-dropping-particle":"","parse-names":false,"suffix":""},{"dropping-particle":"","family":"Pesatori","given":"Angela C","non-dropping-particle":"","parse-names":false,"suffix":""},{"dropping-particle":"","family":"Caporaso","given":"Neil E","non-dropping-particle":"","parse-names":false,"suffix":""},{"dropping-particle":"","family":"Goedert","given":"James J","non-dropping-particle":"","parse-names":false,"suffix":""},{"dropping-particle":"","family":"Ravel","given":"Jacques","non-dropping-particle":"","parse-names":false,"suffix":""},{"dropping-particle":"","family":"Landi","given":"Maria Teresa","non-dropping-particle":"","parse-names":false,"suffix":""}],"container-title":"Genome biology","id":"ITEM-1","issue":"1","issued":{"date-parts":[["2016","7"]]},"language":"eng","page":"163","publisher-place":"England","title":"Characterizing human lung tissue microbiota and its relationship to epidemiological and clinical features.","type":"article-journal","volume":"17"},"uris":["http://www.mendeley.com/documents/?uuid=56a52353-8ec9-41e6-addb-c541f5e2c891","http://www.mendeley.com/documents/?uuid=5ceb19ad-7c81-43e5-ab25-7cb85e260409"]}],"mendeley":{"formattedCitation":"[85]","plainTextFormattedCitation":"[85]","previouslyFormattedCitation":"[234]"},"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bCs/>
          <w:noProof/>
          <w:sz w:val="24"/>
          <w:szCs w:val="24"/>
          <w:lang w:val="en-US"/>
        </w:rPr>
        <w:t>[85]</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Historically, the lungs were thought to be sterile and free from any microbial contact, yet it is constantly exposed to microbiota through inhalation. Over the past decade, studies helped to understand how lungs and microbiota interact and exist together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{"citationItems":[{"id":"ITEM-1","itemData":{"DOI":"10.1146/annurev-immunol-032713-120238","ISSN":"1545-3278 (Electronic)","PMID":"25581310","abstract":"The diverse microbial populations constituting the intestinal microbiota promote  immune development and differentiation, but because of their complex metabolic requirements and the consequent difficulty culturing them, they remained, until recently, largely uncharacterized and mysterious. In the last decade, deep nucleic acid sequencing platforms, new computational and bioinformatics tools, and full-genome characterization of several hundred commensal bacterial species facilitated studies of the microbiota and revealed that differences in microbiota composition can be associated with inflammatory, metabolic, and infectious diseases, that each human is colonized by a distinct bacterial flora, and that the microbiota can be manipulated to reduce and even cure some diseases. Different bacterial species induce distinct immune cell populations that can play pro- and anti-inflammatory roles, and thus the composition of the microbiota determines, in part, the level of resistance to infection and susceptibility to inflammatory diseases. This review summarizes recent work characterizing commensal microbes that contribute to the antimicrobial defense/inflammation axis.","author":[{"dropping-particle":"","family":"Caballero","given":"Silvia","non-dropping-particle":"","parse-names":false,"suffix":""},{"dropping-particle":"","family":"Pamer","given":"Eric G","non-dropping-particle":"","parse-names":false,"suffix":""}],"container-title":"Annual review of immunology","id":"ITEM-1","issued":{"date-parts":[["2015"]]},"language":"eng","page":"227-256","publisher-place":"United States","title":"Microbiota-mediated inflammation and antimicrobial defense in the intestine.","type":"article-journal","volume":"33"},"uris":["http://www.mendeley.com/documents/?uuid=e2af249a-463a-4d70-a235-a4bc1fb9a98f","http://www.mendeley.com/documents/?uuid=853d138a-c89e-4abc-8afd-ce95207dbb86"]}],"mendeley":{"formattedCitation":"[86]","plainTextFormattedCitation":"[86]","previouslyFormattedCitation":"[235]"},"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bCs/>
          <w:noProof/>
          <w:sz w:val="24"/>
          <w:szCs w:val="24"/>
          <w:lang w:val="en-US"/>
        </w:rPr>
        <w:t>[86]</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In comparison with gastrointestinal microbiota, lung microbiota hosts relatively lower microbial communities that range from 4.5 to 8.25 log CFU/ml as the lung hosts low nutrients than the intestinal tract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{"citationItems":[{"id":"ITEM-1","itemData":{"abstract":"Although culture-independent techniques have shown that the lungs are not sterile, little is known about the lung microbiome in chronic obstructive pulmonary disease (COPD). We used pyrosequencing of 16S amplicons to analyze the lung microbiome in two ways: first, using bronchoalveolar lavage (BAL) to sample the distal bronchi and air-spaces; and second, by examining multiple discrete tissue sites in the lungs of six subjects removed at the time of transplantation. We performed BAL on three never-smokers (NS) with normal spirometry, seven smokers with normal spirometry (“heathy smokers”, HS), and four subjects with COPD (CS). Bacterial 16 s sequences were found in all subjects, without significant quantitative differences between groups. Both taxonomy-based and taxonomy-independent approaches disclosed heterogeneity in the bacterial communities between HS subjects that was similar to that seen in healthy NS and two mild COPD patients. The moderate and severe COPD patients had very limited community diversity, which was also noted in 28% of the healthy subjects. Both approaches revealed extensive membership overlap between the bacterial communities of the three study groups. No genera were common within a group but unique across groups. Our data suggests the existence of a core pulmonary bacterial microbiome that includes Pseudomonas, Streptococcus, Prevotella, Fusobacterium, Haemophilus, Veillonella, and Porphyromonas. Most strikingly, there were significant micro-anatomic differences in bacterial communities within the same lung of subjects with advanced COPD. These studies are further demonstration of the pulmonary microbiome and highlight global and micro-anatomic changes in these bacterial communities in severe COPD patients.","author":[{"dropping-particle":"","family":"Erb-Downward","given":"John R","non-dropping-particle":"","parse-names":false,"suffix":""},{"dropping-particle":"","family":"Thompson","given":"Deborah L","non-dropping-particle":"","parse-names":false,"suffix":""},{"dropping-particle":"","family":"Han","given":"Meilan K","non-dropping-particle":"","parse-names":false,"suffix":""},{"dropping-particle":"","family":"Freeman","given":"Christine M","non-dropping-particle":"","parse-names":false,"suffix":""},{"dropping-particle":"","family":"McCloskey","given":"Lisa","non-dropping-particle":"","parse-names":false,"suffix":""},{"dropping-particle":"","family":"Schmidt","given":"Lindsay A","non-dropping-particle":"","parse-names":false,"suffix":""},{"dropping-particle":"","family":"Young","given":"Vincent B","non-dropping-particle":"","parse-names":false,"suffix":""},{"dropping-particle":"","family":"Toews","given":"Galen B","non-dropping-particle":"","parse-names":false,"suffix":""},{"dropping-particle":"","family":"Curtis","given":"Jeffrey L","non-dropping-particle":"","parse-names":false,"suffix":""},{"dropping-particle":"","family":"Sundaram","given":"Baskaran","non-dropping-particle":"","parse-names":false,"suffix":""},{"dropping-particle":"","family":"Martinez","given":"Fernando J","non-dropping-particle":"","parse-names":false,"suffix":""},{"dropping-particle":"","family":"Huffnagle","given":"Gary B","non-dropping-particle":"","parse-names":false,"suffix":""}],"container-title":"PLOS ONE","id":"ITEM-1","issue":"2","issued":{"date-parts":[["2011","2"]]},"page":"e16384","publisher":"Public Library of Science","title":"Analysis of the Lung Microbiome in the “Healthy” Smoker and in COPD","type":"article-journal","volume":"6"},"uris":["http://www.mendeley.com/documents/?uuid=d3765264-dc60-46f8-ac68-4a1184ea317c","http://www.mendeley.com/documents/?uuid=5867bc78-aeca-4b33-8ef5-6892dd99f933"]}],"mendeley":{"formattedCitation":"[87]","plainTextFormattedCitation":"[87]","previouslyFormattedCitation":"[237]"},"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noProof/>
          <w:sz w:val="24"/>
          <w:szCs w:val="24"/>
        </w:rPr>
        <w:t>[87]</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w:t>
      </w:r>
      <w:r w:rsidRPr="003F7121">
        <w:rPr>
          <w:rFonts w:ascii="Times New Roman" w:hAnsi="Times New Roman" w:cs="Times New Roman"/>
          <w:sz w:val="24"/>
          <w:szCs w:val="24"/>
        </w:rPr>
        <w:tab/>
        <w:t xml:space="preserve">Several studies have been conducted to explore the healthy lung microbiome that comprises two main phyla Bacteroidetes and Firmicutes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{"citationItems":[{"id":"ITEM-1","itemData":{"DOI":"10.1164/rccm.201210-1913OC","ISSN":"1073-449X","abstract":"Rationale: Results from 16S rDNA-encoding gene sequence?based, culture-independent techniques have led to conflicting conclusions about the composition of the lower respiratory tract microbiome.Objectives: To compare the microbiome of the upper and lower respiratory tract in healthy HIV-uninfected nonsmokers and smokers in a multicenter cohort.Methods: Participants were nonsmokers and smokers without significant comorbidities. Oral washes and bronchoscopic alveolar lavages were collected in a standardized manner. Sequence analysis of bacterial 16S rRNA-encoding genes was performed, and the neutral model in community ecology was used to identify bacteria that were the most plausible members of a lung microbiome.Measurements and Main Results: Sixty-four participants were enrolled. Most bacteria identified in the lung were also in the mouth, but specific bacteria such as Enterobacteriaceae, Haemophilus, Methylobacterium, and Ralstonia species were disproportionally represented in the lungs compared with values predicted by the neutral model. Tropheryma was also in the lung, but not the mouth. Mouth communities differed between nonsmokers and smokers in species such as Porphyromonas, Neisseria, and Gemella, but lung bacterial populations did not.Conclusions: This study is the largest to examine composition of the lower respiratory tract microbiome in healthy individuals and the first to use the neutral model to compare the lung to the mouth. Specific bacteria appear in significantly higher abundance in the lungs than would be expected if they originated from the mouth, demonstrating that the lung microbiome does not derive entirely from the mouth. The mouth microbiome differs in nonsmokers and smokers, but lung communities were not significantly altered by smoking.","author":[{"dropping-particle":"","family":"Morris","given":"Alison","non-dropping-particle":"","parse-names":false,"suffix":""},{"dropping-particle":"","family":"Beck","given":"James M","non-dropping-particle":"","parse-names":false,"suffix":""},{"dropping-particle":"","family":"Schloss","given":"Patrick D","non-dropping-particle":"","parse-names":false,"suffix":""},{"dropping-particle":"","family":"Campbell","given":"Thomas B","non-dropping-particle":"","parse-names":false,"suffix":""},{"dropping-particle":"","family":"Crothers","given":"Kristina","non-dropping-particle":"","parse-names":false,"suffix":""},{"dropping-particle":"","family":"Curtis","given":"Jeffrey L","non-dropping-particle":"","parse-names":false,"suffix":""},{"dropping-particle":"","family":"Flores","given":"Sonia C","non-dropping-particle":"","parse-names":false,"suffix":""},{"dropping-particle":"","family":"Fontenot","given":"Andrew P","non-dropping-particle":"","parse-names":false,"suffix":""},{"dropping-particle":"","family":"Ghedin","given":"Elodie","non-dropping-particle":"","parse-names":false,"suffix":""},{"dropping-particle":"","family":"Huang","given":"Laurence","non-dropping-particle":"","parse-names":false,"suffix":""},{"dropping-particle":"","family":"Jablonski","given":"Kathleen","non-dropping-particle":"","parse-names":false,"suffix":""},{"dropping-particle":"","family":"Kleerup","given":"Eric","non-dropping-particle":"","parse-names":false,"suffix":""},{"dropping-particle":"V","family":"Lynch","given":"Susan","non-dropping-particle":"","parse-names":false,"suffix":""},{"dropping-particle":"","family":"Sodergren","given":"Erica","non-dropping-particle":"","parse-names":false,"suffix":""},{"dropping-particle":"","family":"Twigg","given":"Homer","non-dropping-particle":"","parse-names":false,"suffix":""},{"dropping-particle":"","family":"Young","given":"Vincent B","non-dropping-particle":"","parse-names":false,"suffix":""},{"dropping-particle":"","family":"Bassis","given":"Christine M","non-dropping-particle":"","parse-names":false,"suffix":""},{"dropping-particle":"","family":"Venkataraman","given":"Arvind","non-dropping-particle":"","parse-names":false,"suffix":""},{"dropping-particle":"","family":"Schmidt","given":"Thomas M","non-dropping-particle":"","parse-names":false,"suffix":""},{"dropping-particle":"","family":"Weinstock","given":"George M","non-dropping-particle":"","parse-names":false,"suffix":""}],"container-title":"American Journal of Respiratory and Critical Care Medicine","id":"ITEM-1","issue":"10","issued":{"date-parts":[["2013","3"]]},"page":"1067-1075","publisher":"American Thoracic Society - AJRCCM","title":"Comparison of the Respiratory Microbiome in Healthy Nonsmokers and Smokers","type":"article-journal","volume":"187"},"uris":["http://www.mendeley.com/documents/?uuid=b19b19af-6a7d-479c-b3d6-e339799ebd12","http://www.mendeley.com/documents/?uuid=ef9bb624-7a01-41e7-841a-4f4052b147b6"]}],"mendeley":{"formattedCitation":"[88]","plainTextFormattedCitation":"[88]","previouslyFormattedCitation":"[240]"},"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bCs/>
          <w:noProof/>
          <w:sz w:val="24"/>
          <w:szCs w:val="24"/>
          <w:lang w:val="en-US"/>
        </w:rPr>
        <w:t>[88]</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However, other studies also postulated the dominance of phyla such as Proteobacteria, Actinobacteria, and Fusobacterium along with a relative abundance of Firmicutes and Bacteroidetes. A genus-level study by Erb-Downward </w:t>
      </w:r>
      <w:r w:rsidRPr="003F7121">
        <w:rPr>
          <w:rFonts w:ascii="Times New Roman" w:hAnsi="Times New Roman" w:cs="Times New Roman"/>
          <w:i/>
          <w:iCs/>
          <w:sz w:val="24"/>
          <w:szCs w:val="24"/>
        </w:rPr>
        <w:t>et al.</w:t>
      </w:r>
      <w:r w:rsidRPr="003F7121">
        <w:rPr>
          <w:rFonts w:ascii="Times New Roman" w:hAnsi="Times New Roman" w:cs="Times New Roman"/>
          <w:sz w:val="24"/>
          <w:szCs w:val="24"/>
        </w:rPr>
        <w:t xml:space="preserve"> (2011) showed a dominance of </w:t>
      </w:r>
      <w:r w:rsidRPr="003F7121">
        <w:rPr>
          <w:rFonts w:ascii="Times New Roman" w:hAnsi="Times New Roman" w:cs="Times New Roman"/>
          <w:i/>
          <w:sz w:val="24"/>
          <w:szCs w:val="24"/>
        </w:rPr>
        <w:t xml:space="preserve">Pseudomonas, Streptococcus, Prevotella, Fusobacterium, Haemophilus, </w:t>
      </w:r>
      <w:r w:rsidRPr="003F7121">
        <w:rPr>
          <w:rFonts w:ascii="Times New Roman" w:hAnsi="Times New Roman" w:cs="Times New Roman"/>
          <w:sz w:val="24"/>
          <w:szCs w:val="24"/>
        </w:rPr>
        <w:t xml:space="preserve">and </w:t>
      </w:r>
      <w:r w:rsidRPr="003F7121">
        <w:rPr>
          <w:rFonts w:ascii="Times New Roman" w:hAnsi="Times New Roman" w:cs="Times New Roman"/>
          <w:i/>
          <w:sz w:val="24"/>
          <w:szCs w:val="24"/>
        </w:rPr>
        <w:t>Porphyromonas</w:t>
      </w:r>
      <w:r w:rsidRPr="003F7121">
        <w:rPr>
          <w:rFonts w:ascii="Times New Roman" w:hAnsi="Times New Roman" w:cs="Times New Roman"/>
          <w:sz w:val="24"/>
          <w:szCs w:val="24"/>
        </w:rPr>
        <w:t xml:space="preserve"> in the lower respiratory tract of healthy individuals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{"citationItems":[{"id":"ITEM-1","itemData":{"abstract":"Although culture-independent techniques have shown that the lungs are not sterile, little is known about the lung microbiome in chronic obstructive pulmonary disease (COPD). We used pyrosequencing of 16S amplicons to analyze the lung microbiome in two ways: first, using bronchoalveolar lavage (BAL) to sample the distal bronchi and air-spaces; and second, by examining multiple discrete tissue sites in the lungs of six subjects removed at the time of transplantation. We performed BAL on three never-smokers (NS) with normal spirometry, seven smokers with normal spirometry (“heathy smokers”, HS), and four subjects with COPD (CS). Bacterial 16 s sequences were found in all subjects, without significant quantitative differences between groups. Both taxonomy-based and taxonomy-independent approaches disclosed heterogeneity in the bacterial communities between HS subjects that was similar to that seen in healthy NS and two mild COPD patients. The moderate and severe COPD patients had very limited community diversity, which was also noted in 28% of the healthy subjects. Both approaches revealed extensive membership overlap between the bacterial communities of the three study groups. No genera were common within a group but unique across groups. Our data suggests the existence of a core pulmonary bacterial microbiome that includes Pseudomonas, Streptococcus, Prevotella, Fusobacterium, Haemophilus, Veillonella, and Porphyromonas. Most strikingly, there were significant micro-anatomic differences in bacterial communities within the same lung of subjects with advanced COPD. These studies are further demonstration of the pulmonary microbiome and highlight global and micro-anatomic changes in these bacterial communities in severe COPD patients.","author":[{"dropping-particle":"","family":"Erb-Downward","given":"John R","non-dropping-particle":"","parse-names":false,"suffix":""},{"dropping-particle":"","family":"Thompson","given":"Deborah L","non-dropping-particle":"","parse-names":false,"suffix":""},{"dropping-particle":"","family":"Han","given":"Meilan K","non-dropping-particle":"","parse-names":false,"suffix":""},{"dropping-particle":"","family":"Freeman","given":"Christine M","non-dropping-particle":"","parse-names":false,"suffix":""},{"dropping-particle":"","family":"McCloskey","given":"Lisa","non-dropping-particle":"","parse-names":false,"suffix":""},{"dropping-particle":"","family":"Schmidt","given":"Lindsay A","non-dropping-particle":"","parse-names":false,"suffix":""},{"dropping-particle":"","family":"Young","given":"Vincent B","non-dropping-particle":"","parse-names":false,"suffix":""},{"dropping-particle":"","family":"Toews","given":"Galen B","non-dropping-particle":"","parse-names":false,"suffix":""},{"dropping-particle":"","family":"Curtis","given":"Jeffrey L","non-dropping-particle":"","parse-names":false,"suffix":""},{"dropping-particle":"","family":"Sundaram","given":"Baskaran","non-dropping-particle":"","parse-names":false,"suffix":""},{"dropping-particle":"","family":"Martinez","given":"Fernando J","non-dropping-particle":"","parse-names":false,"suffix":""},{"dropping-particle":"","family":"Huffnagle","given":"Gary B","non-dropping-particle":"","parse-names":false,"suffix":""}],"container-title":"PLOS ONE","id":"ITEM-1","issue":"2","issued":{"date-parts":[["2011","2"]]},"page":"e16384","publisher":"Public Library of Science","title":"Analysis of the Lung Microbiome in the “Healthy” Smoker and in COPD","type":"article-journal","volume":"6"},"uris":["http://www.mendeley.com/documents/?uuid=5867bc78-aeca-4b33-8ef5-6892dd99f933","http://www.mendeley.com/documents/?uuid=d3765264-dc60-46f8-ac68-4a1184ea317c"]}],"mendeley":{"formattedCitation":"[87]","plainTextFormattedCitation":"[87]","previouslyFormattedCitation":"[237]"},"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noProof/>
          <w:sz w:val="24"/>
          <w:szCs w:val="24"/>
        </w:rPr>
        <w:t>[87]</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Others reported a lower abundance of genera</w:t>
      </w:r>
      <w:r w:rsidRPr="003F7121">
        <w:rPr>
          <w:rFonts w:ascii="Times New Roman" w:hAnsi="Times New Roman" w:cs="Times New Roman"/>
          <w:i/>
          <w:sz w:val="24"/>
          <w:szCs w:val="24"/>
        </w:rPr>
        <w:t>, Veillonella, and Leptotirchia,</w:t>
      </w:r>
      <w:r w:rsidRPr="003F7121">
        <w:rPr>
          <w:rFonts w:ascii="Times New Roman" w:hAnsi="Times New Roman" w:cs="Times New Roman"/>
          <w:sz w:val="24"/>
          <w:szCs w:val="24"/>
        </w:rPr>
        <w:t xml:space="preserve"> while an ample amount of</w:t>
      </w:r>
      <w:r w:rsidRPr="003F7121">
        <w:rPr>
          <w:rFonts w:ascii="Times New Roman" w:hAnsi="Times New Roman" w:cs="Times New Roman"/>
          <w:i/>
          <w:sz w:val="24"/>
          <w:szCs w:val="24"/>
        </w:rPr>
        <w:t xml:space="preserve"> Lactobacillus</w:t>
      </w:r>
      <w:r w:rsidRPr="003F7121">
        <w:rPr>
          <w:rFonts w:ascii="Times New Roman" w:hAnsi="Times New Roman" w:cs="Times New Roman"/>
          <w:sz w:val="24"/>
          <w:szCs w:val="24"/>
        </w:rPr>
        <w:t xml:space="preserve"> and </w:t>
      </w:r>
      <w:r w:rsidRPr="003F7121">
        <w:rPr>
          <w:rFonts w:ascii="Times New Roman" w:hAnsi="Times New Roman" w:cs="Times New Roman"/>
          <w:i/>
          <w:sz w:val="24"/>
          <w:szCs w:val="24"/>
        </w:rPr>
        <w:t>Rothia</w:t>
      </w:r>
      <w:r w:rsidRPr="003F7121">
        <w:rPr>
          <w:rFonts w:ascii="Times New Roman" w:hAnsi="Times New Roman" w:cs="Times New Roman"/>
          <w:sz w:val="24"/>
          <w:szCs w:val="24"/>
        </w:rPr>
        <w:t xml:space="preserve">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{"citationItems":[{"id":"ITEM-1","itemData":{"DOI":"10.1038/ismej.2015.99","ISSN":"1751-7370 (Electronic)","PMID":"26151645","abstract":"Bacterial pneumonia is a major cause of morbidity and mortality in elderly. We hypothesize that dysbiosis between regular residents of the upper respiratory tract (URT) microbiome, that is balance between commensals and potential pathogens, is involved in pathogen overgrowth and consequently disease. We compared oropharyngeal microbiota of elderly pneumonia patients (n=100) with healthy elderly (n=91) by 16S-rRNA-based sequencing and verified our findings in young adult pneumonia patients (n=27) and young healthy adults (n=187). Microbiota profiles differed significantly between elderly pneumonia patients and healthy elderly (PERMANOVA, P&lt;0.0005). Highly similar differences were observed between microbiota profiles of young adult pneumonia patients and their healthy controls. Clustering resulted in 11 (sub)clusters including 95% (386/405) of samples. We observed three microbiota profiles strongly associated with pneumonia (P&lt;0.05) and either dominated by lactobacilli (n=11), Rothia (n=51) or Streptococcus (pseudo)pneumoniae (n=42). In contrast, three other microbiota clusters (in total n=183) were correlated with health (P&lt;0.05) and were all characterized by more diverse profiles containing higher abundances of especially Prevotella melaninogenica, Veillonella and Leptotrichia. For the remaining clusters (n=99), the association with health or disease was less clear. A decision tree model based on the relative abundance of five bacterial community members in URT microbiota showed high specificity of 95% and sensitivity of 84% (89% and 73%, respectively, after cross-validation) for differentiating pneumonia patients from healthy individuals. These results suggest that pneumonia in elderly and young adults is associated with dysbiosis of the URT microbiome with bacterial overgrowth of single species and absence of distinct anaerobic bacteria. Whether the observed microbiome changes are a cause or a consequence of the development of pneumonia or merely coincide with disease status remains a question for future research.","author":[{"dropping-particle":"","family":"Steenhuijsen Piters","given":"Wouter A A","non-dropping-particle":"de","parse-names":false,"suffix":""},{"dropping-particle":"","family":"Huijskens","given":"Elisabeth G W","non-dropping-particle":"","parse-names":false,"suffix":""},{"dropping-particle":"","family":"Wyllie","given":"Anne L","non-dropping-particle":"","parse-names":false,"suffix":""},{"dropping-particle":"","family":"Biesbroek","given":"Giske","non-dropping-particle":"","parse-names":false,"suffix":""},{"dropping-particle":"","family":"Bergh","given":"Menno R","non-dropping-particle":"van den","parse-names":false,"suffix":""},{"dropping-particle":"","family":"Veenhoven","given":"Reinier H","non-dropping-particle":"","parse-names":false,"suffix":""},{"dropping-particle":"","family":"Wang","given":"Xinhui","non-dropping-particle":"","parse-names":false,"suffix":""},{"dropping-particle":"","family":"Trzcinski","given":"Krzysztof","non-dropping-particle":"","parse-names":false,"suffix":""},{"dropping-particle":"","family":"Bonten","given":"Marc J","non-dropping-particle":"","parse-names":false,"suffix":""},{"dropping-particle":"","family":"Rossen","given":"John W A","non-dropping-particle":"","parse-names":false,"suffix":""},{"dropping-particle":"","family":"Sanders","given":"Elisabeth A M","non-dropping-particle":"","parse-names":false,"suffix":""},{"dropping-particle":"","family":"Bogaert","given":"Debby","non-dropping-particle":"","parse-names":false,"suffix":""}],"container-title":"The ISME journal","id":"ITEM-1","issue":"1","issued":{"date-parts":[["2016","1"]]},"language":"eng","page":"97-108","publisher-place":"England","title":"Dysbiosis of upper respiratory tract microbiota in elderly pneumonia patients.","type":"article-journal","volume":"10"},"uris":["http://www.mendeley.com/documents/?uuid=22d017ba-cde2-4dae-b971-85cd9717cd4e","http://www.mendeley.com/documents/?uuid=58f4f472-dfac-4c7d-895d-21cec79a73ba"]}],"mendeley":{"formattedCitation":"[89]","plainTextFormattedCitation":"[89]","previouslyFormattedCitation":"[245]"},"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bCs/>
          <w:noProof/>
          <w:sz w:val="24"/>
          <w:szCs w:val="24"/>
          <w:lang w:val="en-US"/>
        </w:rPr>
        <w:t>[89]</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w:t>
      </w:r>
    </w:p>
    <w:p w14:paraId="61384675" w14:textId="7D435A71" w:rsidR="005914AF" w:rsidRPr="003F7121" w:rsidRDefault="005914AF" w:rsidP="005914AF">
      <w:pPr>
        <w:spacing w:line="360" w:lineRule="auto"/>
        <w:ind w:firstLine="360"/>
        <w:jc w:val="both"/>
        <w:rPr>
          <w:rFonts w:ascii="Times New Roman" w:hAnsi="Times New Roman" w:cs="Times New Roman"/>
          <w:sz w:val="24"/>
          <w:szCs w:val="24"/>
        </w:rPr>
      </w:pPr>
      <w:r w:rsidRPr="003F7121">
        <w:rPr>
          <w:rFonts w:ascii="Times New Roman" w:hAnsi="Times New Roman" w:cs="Times New Roman"/>
          <w:sz w:val="24"/>
          <w:szCs w:val="24"/>
        </w:rPr>
        <w:t xml:space="preserve">The healthy lung microbiome is sensitive to factors such as oxygen tension, blood flow, luminal pH, temperature, inflammation, allergen, and more precisely to the pathogenic MOs that may result in respiratory ailments and disorders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{"citationItems":[{"id":"ITEM-1","itemData":{"DOI":"10.1152/jappl.1987.63.5.2075","ISSN":"8750-7587 (Print)","PMID":"3693240","abstract":"We developed and tested a method, based on conduction heat transfer analysis, to  infer airway mucosal temperatures from airstream temperature-time profiles during breath-hold maneuvers. The method assumes that radial conduction of heat from the mucosal wall to inspired air dominates heat exchange during a breath-hold maneuver and uses a simplified conservation of energy analysis to extrapolate wall temperatures from air temperature vs. time profiles. Validation studies were performed by simultaneously measuring air and wall temperatures by use of a retractable basket probe in the upper airways of human volunteers and intrathoracic airways of paralyzed intubated dogs during breath holding. In both protocols, a good correlation was demonstrated between directly measured wall temperatures and those calculated from adjacent airstream temperature vs. time profiles during a breath hold. We then calculated intrathoracic bronchial wall temperatures from breath-hold airstream temperature-time profiles recorded in normal human subjects after cold air hyperpnea at 30 and 80 l/min. The calculations show airway wall temperatures in the upper intrathoracic airways that are below core body temperature during hyperpnea of frigid air and upper thoracic airways that are cooler than more peripheral airways. The data suggest that the magnitude of local intrathoracic heat/water flux is not represented by heat/water loss measurements at the airway opening. Both the magnitude and locus of heat transport during cold gas hyperventilation vary with changes in inspired gas temperature and minute ventilation; both may be important determinants of airway responses.","author":[{"dropping-particle":"","family":"Ingenito","given":"E P","non-dropping-particle":"","parse-names":false,"suffix":""},{"dropping-particle":"","family":"Solway","given":"J","non-dropping-particle":"","parse-names":false,"suffix":""},{"dropping-particle":"","family":"McFadden","given":"E R Jr","non-dropping-particle":"","parse-names":false,"suffix":""},{"dropping-particle":"","family":"Pichurko","given":"B","non-dropping-particle":"","parse-names":false,"suffix":""},{"dropping-particle":"","family":"Bowman","given":"H F","non-dropping-particle":"","parse-names":false,"suffix":""},{"dropping-particle":"","family":"Michaels","given":"D","non-dropping-particle":"","parse-names":false,"suffix":""},{"dropping-particle":"","family":"Drazen","given":"J M","non-dropping-particle":"","parse-names":false,"suffix":""}],"container-title":"Journal of applied physiology (Bethesda, Md. : 1985)","id":"ITEM-1","issue":"5","issued":{"date-parts":[["1987","11"]]},"language":"eng","page":"2075-2083","publisher-place":"United States","title":"Indirect assessment of mucosal surface temperatures in the airways: theory and tests.","type":"article-journal","volume":"63"},"uris":["http://www.mendeley.com/documents/?uuid=a94a799d-6a9a-4e4d-aa02-ea779697b7c7","http://www.mendeley.com/documents/?uuid=93e7d27d-80d5-4106-b28f-fd343523d30d"]}],"mendeley":{"formattedCitation":"[90]","plainTextFormattedCitation":"[90]","previouslyFormattedCitation":"[246]"},"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bCs/>
          <w:noProof/>
          <w:sz w:val="24"/>
          <w:szCs w:val="24"/>
          <w:lang w:val="en-US"/>
        </w:rPr>
        <w:t>[90]</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The majority of respiratory infections are airborne and are caused by MOs that can travel and escape from mucosal and ciliary activity of epithelial cells present in the upper respiratory tract and adhere to the epithelial lining of the lower respiratory tract and profoundly multiple in lung alveoli. The result of infection would </w:t>
      </w:r>
      <w:r w:rsidRPr="003F7121">
        <w:rPr>
          <w:rFonts w:ascii="Times New Roman" w:hAnsi="Times New Roman" w:cs="Times New Roman"/>
          <w:sz w:val="24"/>
          <w:szCs w:val="24"/>
        </w:rPr>
        <w:lastRenderedPageBreak/>
        <w:t>provoke immune-stimulating responses stimulating the respiratory microbiome to play a part in the prevention of respiratory infections.</w:t>
      </w:r>
    </w:p>
    <w:p w14:paraId="46F3DF67" w14:textId="7D7428E1" w:rsidR="005914AF" w:rsidRPr="003F7121" w:rsidRDefault="005914AF" w:rsidP="005914AF">
      <w:pPr>
        <w:spacing w:line="360" w:lineRule="auto"/>
        <w:ind w:firstLine="360"/>
        <w:jc w:val="both"/>
        <w:rPr>
          <w:rFonts w:ascii="Times New Roman" w:hAnsi="Times New Roman" w:cs="Times New Roman"/>
          <w:sz w:val="24"/>
          <w:szCs w:val="24"/>
        </w:rPr>
      </w:pPr>
      <w:r w:rsidRPr="003F7121">
        <w:rPr>
          <w:rFonts w:ascii="Times New Roman" w:hAnsi="Times New Roman" w:cs="Times New Roman"/>
          <w:sz w:val="24"/>
          <w:szCs w:val="24"/>
        </w:rPr>
        <w:t xml:space="preserve">Chronic obstructive pulmonary disease (COPD) is a group of respiratory diseases that are characterized by chronic obstruction of lung airflow which interferes with normal breathing. Many scientists have </w:t>
      </w:r>
      <w:proofErr w:type="spellStart"/>
      <w:r w:rsidRPr="003F7121">
        <w:rPr>
          <w:rFonts w:ascii="Times New Roman" w:hAnsi="Times New Roman" w:cs="Times New Roman"/>
          <w:sz w:val="24"/>
          <w:szCs w:val="24"/>
        </w:rPr>
        <w:t>analyzed</w:t>
      </w:r>
      <w:proofErr w:type="spellEnd"/>
      <w:r w:rsidRPr="003F7121">
        <w:rPr>
          <w:rFonts w:ascii="Times New Roman" w:hAnsi="Times New Roman" w:cs="Times New Roman"/>
          <w:sz w:val="24"/>
          <w:szCs w:val="24"/>
        </w:rPr>
        <w:t xml:space="preserve"> the lung microbiome of COPD patients and observed a lower bacterial diversity when compared to healthy populations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{"citationItems":[{"id":"ITEM-1","itemData":{"DOI":"10.1164/rccm.201111-2075OC","ISSN":"1535-4970 (Electronic)","PMID":"22427533","abstract":"RATIONALE: Based on surface brushings and bronchoalveolar lavage fluid, Hilty and coworkers demonstrated microbiomes in the human lung characteristic of asthma and chronic obstructive pulmonary disease (COPD), which have now been confirmed by others. OBJECTIVES: To extend these findings to human lung tissue samples. METHODS: DNA from lung tissue samples was obtained from nonsmokers (n = 8); smokers without COPD (n = 8); patients with very severe COPD (Global Initiative for COPD [GOLD] 4) (n = 8); and patients with cystic fibrosis (CF) (n = 8). The latter served as a positive control, with sterile water as a negative control. All bacterial community analyses were based on polymerase chain reaction amplifying 16S rRNA gene fragments. Total bacterial populations were measured by quantitative polymerase chain reaction and bacterial community composition was assessed by terminal restriction fragment length polymorphism analysis and pyrotag sequencing. MEASUREMENT AND MAIN RESULTS: Total bacterial populations within lung tissue were small (20-1,252 bacterial cells per 1,000 human cells) but greater in all four sample groups versus the negative control group (P &lt; 0.001). Terminal restriction fragment length polymorphism analysis and sequencing distinguished three distinct bacterial community compositions: one common to the nonsmoker and smoker groups, a second to the GOLD 4 group, and the third to the CF-positive control group. Pyrotag sequencing identified greater than 1,400 unique bacterial sequences and showed an increase in the Firmicutes phylum in GOLD 4 patients versus all other groups (P &lt; 0.003) attributable to an increase in the Lactobacillus genus (P &lt; 0.0007). CONCLUSIONS: There is a detectable bacterial community within human lung tissue that changes in patients with very severe COPD.","author":[{"dropping-particle":"","family":"Sze","given":"Marc A","non-dropping-particle":"","parse-names":false,"suffix":""},{"dropping-particle":"","family":"Dimitriu","given":"Pedro A","non-dropping-particle":"","parse-names":false,"suffix":""},{"dropping-particle":"","family":"Hayashi","given":"Shizu","non-dropping-particle":"","parse-names":false,"suffix":""},{"dropping-particle":"","family":"Elliott","given":"W Mark","non-dropping-particle":"","parse-names":false,"suffix":""},{"dropping-particle":"","family":"McDonough","given":"John E","non-dropping-particle":"","parse-names":false,"suffix":""},{"dropping-particle":"V","family":"Gosselink","given":"John","non-dropping-particle":"","parse-names":false,"suffix":""},{"dropping-particle":"","family":"Cooper","given":"Joel","non-dropping-particle":"","parse-names":false,"suffix":""},{"dropping-particle":"","family":"Sin","given":"Don D","non-dropping-particle":"","parse-names":false,"suffix":""},{"dropping-particle":"","family":"Mohn","given":"William W","non-dropping-particle":"","parse-names":false,"suffix":""},{"dropping-particle":"","family":"Hogg","given":"James C","non-dropping-particle":"","parse-names":false,"suffix":""}],"container-title":"American journal of respiratory and critical care medicine","id":"ITEM-1","issue":"10","issued":{"date-parts":[["2012","5"]]},"language":"eng","page":"1073-1080","publisher-place":"United States","title":"The lung tissue microbiome in chronic obstructive pulmonary disease.","type":"article-journal","volume":"185"},"uris":["http://www.mendeley.com/documents/?uuid=bfcd23cb-eddf-45d6-a47f-1c511e850da7","http://www.mendeley.com/documents/?uuid=556e0c25-e942-443f-8a1e-b47ecc12bcb7"]}],"mendeley":{"formattedCitation":"[91]","plainTextFormattedCitation":"[91]","previouslyFormattedCitation":"[239]"},"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noProof/>
          <w:sz w:val="24"/>
          <w:szCs w:val="24"/>
        </w:rPr>
        <w:t>[91]</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At the genus level, the relative abundance of </w:t>
      </w:r>
      <w:r w:rsidRPr="003F7121">
        <w:rPr>
          <w:rFonts w:ascii="Times New Roman" w:hAnsi="Times New Roman" w:cs="Times New Roman"/>
          <w:i/>
          <w:iCs/>
          <w:sz w:val="24"/>
          <w:szCs w:val="24"/>
        </w:rPr>
        <w:t>Pseudomonas</w:t>
      </w:r>
      <w:r w:rsidRPr="003F7121">
        <w:rPr>
          <w:rFonts w:ascii="Times New Roman" w:hAnsi="Times New Roman" w:cs="Times New Roman"/>
          <w:sz w:val="24"/>
          <w:szCs w:val="24"/>
        </w:rPr>
        <w:t xml:space="preserve"> was found which is one of the known opportunistic pathogens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{"citationItems":[{"id":"ITEM-1","itemData":{"DOI":"10.1136/thoraxjnl-2015-207235","ISSN":"1468-3296 (Electronic)","PMID":"27146202","abstract":"RATIONALE: The role bacteria play in the progression of COPD has increasingly been highlighted in recent years. However, the microbial community complexity in the lower airways of patients with COPD is poorly characterised. OBJECTIVES: To compare the lower airway microbiota in patients with COPD, smokers and non-smokers. METHODS: Bronchial wash samples from adults with COPD (n=18), smokers with no airways disease (n=8) and healthy individuals (n=11) were analysed by extended-culture and culture-independent Illumina MiSeq sequencing. We determined aerobic and anaerobic microbiota load and evaluated differences in bacteria associated with the three cohorts. Culture-independent analysis was used to determine differences in microbiota between comparison groups including taxonomic richness, diversity, relative abundance, 'core' microbiota and co-occurrence. MEASUREMENT AND MAIN RESULTS: Extended-culture showed no difference in total load of aerobic and anaerobic bacteria between the three cohorts. Culture-independent analysis revealed that the prevalence of members of Pseudomonas spp. was greater in the lower airways of patients with COPD; however, the majority of the sequence reads for this taxa were attributed to three patients. Furthermore, members of Bacteroidetes, such as Prevotella spp., were observed to be greater in the 'healthy' comparison groups. Community diversity (alpha and beta) was significantly less in COPD compared with healthy groups. Co-occurrence of bacterial taxa and the observation of a putative 'core' community within the lower airways were also observed. CONCLUSIONS: Microbial community composition in the lower airways of patients with COPD is significantly different to that found in smokers and non-smokers, indicating that a component of the disease is associated with changes in microbiological status.","author":[{"dropping-particle":"","family":"Einarsson","given":"G G","non-dropping-particle":"","parse-names":false,"suffix":""},{"dropping-particle":"","family":"Comer","given":"D M","non-dropping-particle":"","parse-names":false,"suffix":""},{"dropping-particle":"","family":"McIlreavey","given":"L","non-dropping-particle":"","parse-names":false,"suffix":""},{"dropping-particle":"","family":"Parkhill","given":"J","non-dropping-particle":"","parse-names":false,"suffix":""},{"dropping-particle":"","family":"Ennis","given":"M","non-dropping-particle":"","parse-names":false,"suffix":""},{"dropping-particle":"","family":"Tunney","given":"M M","non-dropping-particle":"","parse-names":false,"suffix":""},{"dropping-particle":"","family":"Elborn","given":"J S","non-dropping-particle":"","parse-names":false,"suffix":""}],"container-title":"Thorax","id":"ITEM-1","issue":"9","issued":{"date-parts":[["2016","9"]]},"language":"eng","page":"795-803","publisher-place":"England","title":"Community dynamics and the lower airway microbiota in stable chronic obstructive  pulmonary disease, smokers and healthy non-smokers.","type":"article-journal","volume":"71"},"uris":["http://www.mendeley.com/documents/?uuid=99b52866-60dc-49cd-bb20-f7811b8d078b","http://www.mendeley.com/documents/?uuid=d9e8fda2-5424-4569-bc51-897c1ffb309b"]}],"mendeley":{"formattedCitation":"[92]","plainTextFormattedCitation":"[92]","previouslyFormattedCitation":"[242]"},"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noProof/>
          <w:sz w:val="24"/>
          <w:szCs w:val="24"/>
        </w:rPr>
        <w:t>[92]</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A similar study was stated by Huang </w:t>
      </w:r>
      <w:r w:rsidRPr="003F7121">
        <w:rPr>
          <w:rFonts w:ascii="Times New Roman" w:hAnsi="Times New Roman" w:cs="Times New Roman"/>
          <w:i/>
          <w:iCs/>
          <w:sz w:val="24"/>
          <w:szCs w:val="24"/>
        </w:rPr>
        <w:t>et al.</w:t>
      </w:r>
      <w:r w:rsidRPr="003F7121">
        <w:rPr>
          <w:rFonts w:ascii="Times New Roman" w:hAnsi="Times New Roman" w:cs="Times New Roman"/>
          <w:sz w:val="24"/>
          <w:szCs w:val="24"/>
        </w:rPr>
        <w:t xml:space="preserve"> (2014) in COPD patients that observed enrichment of Proteobacteria </w:t>
      </w:r>
      <w:r w:rsidRPr="003F7121">
        <w:rPr>
          <w:rFonts w:ascii="Times New Roman" w:hAnsi="Times New Roman" w:cs="Times New Roman"/>
          <w:i/>
          <w:iCs/>
          <w:sz w:val="24"/>
          <w:szCs w:val="24"/>
        </w:rPr>
        <w:t>viz.</w:t>
      </w:r>
      <w:r w:rsidRPr="003F7121">
        <w:rPr>
          <w:rFonts w:ascii="Times New Roman" w:hAnsi="Times New Roman" w:cs="Times New Roman"/>
          <w:sz w:val="24"/>
          <w:szCs w:val="24"/>
        </w:rPr>
        <w:t xml:space="preserve"> Moraxellaceae, Patuerellaceae, Pseudomonadaceae, and Enterobacteriaceae and concomitant reduction in the levels of Actinobacteria, Clostridia, and Bacteroidia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{"citationItems":[{"id":"ITEM-1","itemData":{"DOI":"10.1128/JCM.00035-14","ISSN":"1098-660X (Electronic)","PMID":"24850358","abstract":"Specific bacterial species are implicated in the pathogenesis of exacerbations of chronic obstructive pulmonary disease (COPD). However, recent studies of clinically stable COPD patients have demonstrated a greater diversity of airway microbiota, whose role in acute exacerbations is unclear. In this study, temporal changes in the airway microbiome before, at the onset of, and after an acute exacerbation were examined in 60 sputum samples collected from subjects enrolled in a longitudinal study of bacterial infection in COPD. Microbiome composition and predicted functions were examined using 16S rRNA-based culture-independent profiling methods. Shifts in the abundance (&gt;/= 2-fold, P &lt; 0.05) of many taxa at exacerbation and after treatment were observed. Microbiota members that were increased at exacerbation were primarily of the Proteobacteria phylum, including nontypical COPD pathogens. Changes in the bacterial composition after treatment for an exacerbation differed significantly among the therapy regimens clinically prescribed (antibiotics only, oral corticosteroids only, or both). Treatment with antibiotics alone primarily decreased the abundance of Proteobacteria, with the prolonged suppression of some microbiota members being observed. In contrast, treatment with corticosteroids alone led to enrichment for Proteobacteria and members of other phyla. Predicted metagenomes of particular microbiota members involved in these compositional shifts indicated exacerbation-associated loss of functions involved in the synthesis of antimicrobial and anti-inflammatory products, alongside enrichment in functions related to pathogen-elicited inflammation. These trends reversed upon clinical recovery. Further larger studies will be necessary to determine whether specific compositional or functional changes detected in the airway microbiome could be useful indicators of exacerbation development or outcome.","author":[{"dropping-particle":"","family":"Huang","given":"Yvonne J","non-dropping-particle":"","parse-names":false,"suffix":""},{"dropping-particle":"","family":"Sethi","given":"Sanjay","non-dropping-particle":"","parse-names":false,"suffix":""},{"dropping-particle":"","family":"Murphy","given":"Timothy","non-dropping-particle":"","parse-names":false,"suffix":""},{"dropping-particle":"","family":"Nariya","given":"Snehal","non-dropping-particle":"","parse-names":false,"suffix":""},{"dropping-particle":"","family":"Boushey","given":"Homer A","non-dropping-particle":"","parse-names":false,"suffix":""},{"dropping-particle":"V","family":"Lynch","given":"Susan","non-dropping-particle":"","parse-names":false,"suffix":""}],"container-title":"Journal of clinical microbiology","id":"ITEM-1","issue":"8","issued":{"date-parts":[["2014","8"]]},"language":"eng","page":"2813-2823","publisher-place":"United States","title":"Airway microbiome dynamics in exacerbations of chronic obstructive pulmonary disease.","type":"article-journal","volume":"52"},"uris":["http://www.mendeley.com/documents/?uuid=1abc304b-01e7-444f-840f-212f15dfea31","http://www.mendeley.com/documents/?uuid=2ef18417-fe79-45d9-a9dc-5b9e38613a1e"]}],"mendeley":{"formattedCitation":"[93]","plainTextFormattedCitation":"[93]","previouslyFormattedCitation":"[252]"},"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bCs/>
          <w:noProof/>
          <w:sz w:val="24"/>
          <w:szCs w:val="24"/>
          <w:lang w:val="en-US"/>
        </w:rPr>
        <w:t>[93]</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ARI also show similar microbial signatures as that of COPD patient with an enriched microbiota of </w:t>
      </w:r>
      <w:r w:rsidRPr="003F7121">
        <w:rPr>
          <w:rFonts w:ascii="Times New Roman" w:hAnsi="Times New Roman" w:cs="Times New Roman"/>
          <w:i/>
          <w:sz w:val="24"/>
          <w:szCs w:val="24"/>
        </w:rPr>
        <w:t>Moraxella, Streptococcus,</w:t>
      </w:r>
      <w:r w:rsidRPr="003F7121">
        <w:rPr>
          <w:rFonts w:ascii="Times New Roman" w:hAnsi="Times New Roman" w:cs="Times New Roman"/>
          <w:sz w:val="24"/>
          <w:szCs w:val="24"/>
        </w:rPr>
        <w:t xml:space="preserve"> and </w:t>
      </w:r>
      <w:r w:rsidRPr="003F7121">
        <w:rPr>
          <w:rFonts w:ascii="Times New Roman" w:hAnsi="Times New Roman" w:cs="Times New Roman"/>
          <w:i/>
          <w:sz w:val="24"/>
          <w:szCs w:val="24"/>
        </w:rPr>
        <w:t>Haemophilus</w:t>
      </w:r>
      <w:r w:rsidRPr="003F7121">
        <w:rPr>
          <w:rFonts w:ascii="Times New Roman" w:hAnsi="Times New Roman" w:cs="Times New Roman"/>
          <w:sz w:val="24"/>
          <w:szCs w:val="24"/>
        </w:rPr>
        <w:t xml:space="preserve">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{"citationItems":[{"id":"ITEM-1","itemData":{"DOI":"10.1016/j.chom.2015.03.008","ISSN":"1934-6069 (Electronic)","PMID":"25865368","abstract":"The nasopharynx (NP) is a reservoir for microbes associated with acute respiratory infections (ARIs). Lung inflammation resulting from ARIs during infancy is linked to asthma development. We examined the NP microbiome during the critical first year of life in a prospective cohort of 234 children, capturing both the viral and bacterial communities and documenting all incidents of ARIs. Most infants were initially colonized with Staphylococcus or Corynebacterium before stable colonization with Alloiococcus or Moraxella. Transient incursions of Streptococcus, Moraxella, or Haemophilus marked virus-associated ARIs. Our data identify the NP microbiome as a determinant for infection spread to the lower airways, severity of accompanying inflammatory symptoms, and risk for future asthma development. Early asymptomatic colonization with Streptococcus was a strong asthma predictor, and antibiotic usage disrupted asymptomatic colonization patterns. In the absence of effective anti-viral therapies, targeting pathogenic bacteria within the NP microbiome could represent a prophylactic approach to asthma.","author":[{"dropping-particle":"","family":"Teo","given":"Shu Mei","non-dropping-particle":"","parse-names":false,"suffix":""},{"dropping-particle":"","family":"Mok","given":"Danny","non-dropping-particle":"","parse-names":false,"suffix":""},{"dropping-particle":"","family":"Pham","given":"Kym","non-dropping-particle":"","parse-names":false,"suffix":""},{"dropping-particle":"","family":"Kusel","given":"Merci","non-dropping-particle":"","parse-names":false,"suffix":""},{"dropping-particle":"","family":"Serralha","given":"Michael","non-dropping-particle":"","parse-names":false,"suffix":""},{"dropping-particle":"","family":"Troy","given":"Niamh","non-dropping-particle":"","parse-names":false,"suffix":""},{"dropping-particle":"","family":"Holt","given":"Barbara J","non-dropping-particle":"","parse-names":false,"suffix":""},{"dropping-particle":"","family":"Hales","given":"Belinda J","non-dropping-particle":"","parse-names":false,"suffix":""},{"dropping-particle":"","family":"Walker","given":"Michael L","non-dropping-particle":"","parse-names":false,"suffix":""},{"dropping-particle":"","family":"Hollams","given":"Elysia","non-dropping-particle":"","parse-names":false,"suffix":""},{"dropping-particle":"","family":"Bochkov","given":"Yury A","non-dropping-particle":"","parse-names":false,"suffix":""},{"dropping-particle":"","family":"Grindle","given":"Kristine","non-dropping-particle":"","parse-names":false,"suffix":""},{"dropping-particle":"","family":"Johnston","given":"Sebastian L","non-dropping-particle":"","parse-names":false,"suffix":""},{"dropping-particle":"","family":"Gern","given":"James E","non-dropping-particle":"","parse-names":false,"suffix":""},{"dropping-particle":"","family":"Sly","given":"Peter D","non-dropping-particle":"","parse-names":false,"suffix":""},{"dropping-particle":"","family":"Holt","given":"Patrick G","non-dropping-particle":"","parse-names":false,"suffix":""},{"dropping-particle":"","family":"Holt","given":"Kathryn E","non-dropping-particle":"","parse-names":false,"suffix":""},{"dropping-particle":"","family":"Inouye","given":"Michael","non-dropping-particle":"","parse-names":false,"suffix":""}],"container-title":"Cell host &amp; microbe","id":"ITEM-1","issue":"5","issued":{"date-parts":[["2015","5"]]},"language":"eng","page":"704-715","publisher-place":"United States","title":"The infant nasopharyngeal microbiome impacts severity of lower respiratory infection and risk of asthma development.","type":"article-journal","volume":"17"},"uris":["http://www.mendeley.com/documents/?uuid=6fdc8b95-4dc5-4aff-b409-48f041724046","http://www.mendeley.com/documents/?uuid=94e18ac8-6b78-4d83-a9a3-fceff52a96ec"]}],"mendeley":{"formattedCitation":"[94]","plainTextFormattedCitation":"[94]","previouslyFormattedCitation":"[253]"},"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bCs/>
          <w:noProof/>
          <w:sz w:val="24"/>
          <w:szCs w:val="24"/>
          <w:lang w:val="en-US"/>
        </w:rPr>
        <w:t>[94]</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Pneumonia is characterized by flooding of fluid in the alveoli of lungs that contains enough nutrients and creates oxygen barrier conditions, hence impairing its clearance by ciliary action of epithelial cells and thereby facilitating the growth of the microbial community with the dominance of pathogen, progressing the disease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{"citationItems":[{"id":"ITEM-1","itemData":{"DOI":"10.1128/JCM.01028-14","ISSN":"1098-660X (Electronic)","PMID":"25078910","abstract":"The diagnosis and management of pneumonia are limited by the use of culture-based techniques of microbial identification, which may fail to identify unculturable, fastidious, and metabolically active viable but unculturable bacteria. Novel high-throughput culture-independent techniques hold promise but have not been systematically compared to conventional culture. We analyzed 46 clinically obtained bronchoalveolar lavage (BAL) fluid specimens from symptomatic and asymptomatic lung transplant recipients both by culture (using a clinical microbiology laboratory protocol) and by bacterial 16S rRNA gene pyrosequencing. Bacteria were identified in 44 of 46 (95.7%) BAL fluid specimens by culture-independent sequencing, significantly more than the number of specimens in which bacteria were detected (37 of 46, 80.4%, P &lt;/= 0.05) or \"pathogen\" species reported (18 of 46, 39.1%, P &lt;/= 0.0001) via culture. Identification of bacteria by culture was positively associated with culture-independent indices of infection (total bacterial DNA burden and low bacterial community diversity) (P &lt;/= 0.01). In BAL fluid specimens with no culture growth, the amount of bacterial DNA was greater than that in reagent and rinse controls, and communities were markedly dominated by select Gammaproteobacteria, notably Escherichia species and Pseudomonas fluorescens. Culture growth above the threshold of 10(4) CFU/ml was correlated with increased bacterial DNA burden (P &lt; 0.01), decreased community diversity (P &lt; 0.05), and increased relative abundance of Pseudomonas aeruginosa (P &lt; 0.001). We present two case studies in which culture-independent techniques identified a respiratory pathogen missed by culture and clarified whether a cultured \"oral flora\" species represented a state of acute infection. In summary, we found that bacterial culture of BAL fluid is largely effective in discriminating acute infection from its absence and identified some specific limitations of BAL fluid culture in the diagnosis of pneumonia. We report the first correlation of quantitative BAL fluid culture results with culture-independent evidence of infection.","author":[{"dropping-particle":"","family":"Dickson","given":"Robert P","non-dropping-particle":"","parse-names":false,"suffix":""},{"dropping-particle":"","family":"Erb-Downward","given":"John R","non-dropping-particle":"","parse-names":false,"suffix":""},{"dropping-particle":"","family":"Prescott","given":"Hallie C","non-dropping-particle":"","parse-names":false,"suffix":""},{"dropping-particle":"","family":"Martinez","given":"Fernando J","non-dropping-particle":"","parse-names":false,"suffix":""},{"dropping-particle":"","family":"Curtis","given":"Jeffrey L","non-dropping-particle":"","parse-names":false,"suffix":""},{"dropping-particle":"","family":"Lama","given":"Vibha N","non-dropping-particle":"","parse-names":false,"suffix":""},{"dropping-particle":"","family":"Huffnagle","given":"Gary B","non-dropping-particle":"","parse-names":false,"suffix":""}],"container-title":"Journal of clinical microbiology","id":"ITEM-1","issue":"10","issued":{"date-parts":[["2014","10"]]},"language":"eng","page":"3605-3613","publisher-place":"United States","title":"Analysis of culture-dependent versus culture-independent techniques for identification of bacteria in clinically obtained bronchoalveolar lavage fluid.","type":"article-journal","volume":"52"},"uris":["http://www.mendeley.com/documents/?uuid=cf31026c-4bb7-48b0-9b70-3c9b2cfce87d","http://www.mendeley.com/documents/?uuid=1390a005-9ff7-4db6-809e-2c3e5ba26889"]}],"mendeley":{"formattedCitation":"[95]","plainTextFormattedCitation":"[95]","previouslyFormattedCitation":"[254]"},"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bCs/>
          <w:noProof/>
          <w:sz w:val="24"/>
          <w:szCs w:val="24"/>
          <w:lang w:val="en-US"/>
        </w:rPr>
        <w:t>[95]</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Recent data suggest a reduction in the pulmonary microbial diversity and reduction in </w:t>
      </w:r>
      <w:r w:rsidRPr="003F7121">
        <w:rPr>
          <w:rFonts w:ascii="Times New Roman" w:hAnsi="Times New Roman" w:cs="Times New Roman"/>
          <w:i/>
          <w:sz w:val="24"/>
          <w:szCs w:val="24"/>
        </w:rPr>
        <w:t>Rothia</w:t>
      </w:r>
      <w:r w:rsidRPr="003F7121">
        <w:rPr>
          <w:rFonts w:ascii="Times New Roman" w:hAnsi="Times New Roman" w:cs="Times New Roman"/>
          <w:sz w:val="24"/>
          <w:szCs w:val="24"/>
        </w:rPr>
        <w:t xml:space="preserve">, </w:t>
      </w:r>
      <w:r w:rsidRPr="003F7121">
        <w:rPr>
          <w:rFonts w:ascii="Times New Roman" w:hAnsi="Times New Roman" w:cs="Times New Roman"/>
          <w:i/>
          <w:sz w:val="24"/>
          <w:szCs w:val="24"/>
        </w:rPr>
        <w:t>Lactobacillus,</w:t>
      </w:r>
      <w:r w:rsidRPr="003F7121">
        <w:rPr>
          <w:rFonts w:ascii="Times New Roman" w:hAnsi="Times New Roman" w:cs="Times New Roman"/>
          <w:sz w:val="24"/>
          <w:szCs w:val="24"/>
        </w:rPr>
        <w:t xml:space="preserve"> and </w:t>
      </w:r>
      <w:r w:rsidRPr="003F7121">
        <w:rPr>
          <w:rFonts w:ascii="Times New Roman" w:hAnsi="Times New Roman" w:cs="Times New Roman"/>
          <w:i/>
          <w:sz w:val="24"/>
          <w:szCs w:val="24"/>
        </w:rPr>
        <w:t>Streptococcus</w:t>
      </w:r>
      <w:r w:rsidRPr="003F7121">
        <w:rPr>
          <w:rFonts w:ascii="Times New Roman" w:hAnsi="Times New Roman" w:cs="Times New Roman"/>
          <w:sz w:val="24"/>
          <w:szCs w:val="24"/>
        </w:rPr>
        <w:t xml:space="preserve"> which increases the risk of pneumonia, predominantly in the nasal mucosal lining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{"citationItems":[{"id":"ITEM-1","itemData":{"DOI":"10.1038/ismej.2015.99","ISSN":"1751-7370 (Electronic)","PMID":"26151645","abstract":"Bacterial pneumonia is a major cause of morbidity and mortality in elderly. We hypothesize that dysbiosis between regular residents of the upper respiratory tract (URT) microbiome, that is balance between commensals and potential pathogens, is involved in pathogen overgrowth and consequently disease. We compared oropharyngeal microbiota of elderly pneumonia patients (n=100) with healthy elderly (n=91) by 16S-rRNA-based sequencing and verified our findings in young adult pneumonia patients (n=27) and young healthy adults (n=187). Microbiota profiles differed significantly between elderly pneumonia patients and healthy elderly (PERMANOVA, P&lt;0.0005). Highly similar differences were observed between microbiota profiles of young adult pneumonia patients and their healthy controls. Clustering resulted in 11 (sub)clusters including 95% (386/405) of samples. We observed three microbiota profiles strongly associated with pneumonia (P&lt;0.05) and either dominated by lactobacilli (n=11), Rothia (n=51) or Streptococcus (pseudo)pneumoniae (n=42). In contrast, three other microbiota clusters (in total n=183) were correlated with health (P&lt;0.05) and were all characterized by more diverse profiles containing higher abundances of especially Prevotella melaninogenica, Veillonella and Leptotrichia. For the remaining clusters (n=99), the association with health or disease was less clear. A decision tree model based on the relative abundance of five bacterial community members in URT microbiota showed high specificity of 95% and sensitivity of 84% (89% and 73%, respectively, after cross-validation) for differentiating pneumonia patients from healthy individuals. These results suggest that pneumonia in elderly and young adults is associated with dysbiosis of the URT microbiome with bacterial overgrowth of single species and absence of distinct anaerobic bacteria. Whether the observed microbiome changes are a cause or a consequence of the development of pneumonia or merely coincide with disease status remains a question for future research.","author":[{"dropping-particle":"","family":"Steenhuijsen Piters","given":"Wouter A A","non-dropping-particle":"de","parse-names":false,"suffix":""},{"dropping-particle":"","family":"Huijskens","given":"Elisabeth G W","non-dropping-particle":"","parse-names":false,"suffix":""},{"dropping-particle":"","family":"Wyllie","given":"Anne L","non-dropping-particle":"","parse-names":false,"suffix":""},{"dropping-particle":"","family":"Biesbroek","given":"Giske","non-dropping-particle":"","parse-names":false,"suffix":""},{"dropping-particle":"","family":"Bergh","given":"Menno R","non-dropping-particle":"van den","parse-names":false,"suffix":""},{"dropping-particle":"","family":"Veenhoven","given":"Reinier H","non-dropping-particle":"","parse-names":false,"suffix":""},{"dropping-particle":"","family":"Wang","given":"Xinhui","non-dropping-particle":"","parse-names":false,"suffix":""},{"dropping-particle":"","family":"Trzcinski","given":"Krzysztof","non-dropping-particle":"","parse-names":false,"suffix":""},{"dropping-particle":"","family":"Bonten","given":"Marc J","non-dropping-particle":"","parse-names":false,"suffix":""},{"dropping-particle":"","family":"Rossen","given":"John W A","non-dropping-particle":"","parse-names":false,"suffix":""},{"dropping-particle":"","family":"Sanders","given":"Elisabeth A M","non-dropping-particle":"","parse-names":false,"suffix":""},{"dropping-particle":"","family":"Bogaert","given":"Debby","non-dropping-particle":"","parse-names":false,"suffix":""}],"container-title":"The ISME journal","id":"ITEM-1","issue":"1","issued":{"date-parts":[["2016","1"]]},"language":"eng","page":"97-108","publisher-place":"England","title":"Dysbiosis of upper respiratory tract microbiota in elderly pneumonia patients.","type":"article-journal","volume":"10"},"uris":["http://www.mendeley.com/documents/?uuid=58f4f472-dfac-4c7d-895d-21cec79a73ba","http://www.mendeley.com/documents/?uuid=22d017ba-cde2-4dae-b971-85cd9717cd4e"]}],"mendeley":{"formattedCitation":"[89]","plainTextFormattedCitation":"[89]","previouslyFormattedCitation":"[245]"},"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noProof/>
          <w:sz w:val="24"/>
          <w:szCs w:val="24"/>
        </w:rPr>
        <w:t>[89]</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Additionally, patients with HIV in later stages showed dysbiosis in respiratory microbiota with an increase in Prevotella and Veillonella group amidst the treatment and this microbial signature persists for years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{"citationItems":[{"id":"ITEM-1","itemData":{"DOI":"10.1164/rccm.201509-1875OC","ISSN":"1535-4970 (Electronic)","PMID":"26835554","abstract":"RATIONALE: Previous work found the lung microbiome in healthy subjects infected with HIV was similar to that in uninfected subjects. We hypothesized the lung microbiome from subjects infected with HIV with more advanced disease would differ from that of an uninfected control population. OBJECTIVES: To measure the lung microbiome in an HIV-infected population with advanced disease. METHODS: 16s RNA gene sequencing was performed on acellular bronchoalveolar lavage (BAL) fluid from 30 subjects infected with HIV with advanced disease (baseline mean CD4 count, 262 cells/mm(3)) before and up to 3 years after starting highly active antiretroviral therapy (HAART) and compared with 22 uninfected control subjects. MEASUREMENTS AND MAIN RESULTS: The lung microbiome in subjects infected with HIV with advanced disease demonstrated decreased alpha diversity (richness and diversity) and greater beta diversity compared with uninfected BAL. Differences improved with HAART, but still persisted up to 3 years after starting therapy. Population dispersion in the group infected with HIV was significantly greater than in the uninfected cohort and declined after treatment. There were differences in the relative abundance of some bacteria between the two groups at baseline and after 1 year of therapy. After 1 year on HAART, HIV BAL contained an increased abundance of Prevotella and Veillonella, bacteria previously associated with lung inflammation. CONCLUSIONS: The lung microbiome in subjects infected with HIV with advanced disease is altered compared with an uninfected population both in diversity and bacterial composition. Differences remain up to 3 years after starting HAART. We speculate an altered lung microbiome in HIV infection may contribute to chronic inflammation and lung complications seen in the HAART era.","author":[{"dropping-particle":"","family":"Twigg","given":"Homer L 3rd","non-dropping-particle":"","parse-names":false,"suffix":""},{"dropping-particle":"","family":"Knox","given":"Kenneth S","non-dropping-particle":"","parse-names":false,"suffix":""},{"dropping-particle":"","family":"Zhou","given":"Jin","non-dropping-particle":"","parse-names":false,"suffix":""},{"dropping-particle":"","family":"Crothers","given":"Kristina A","non-dropping-particle":"","parse-names":false,"suffix":""},{"dropping-particle":"","family":"Nelson","given":"David E","non-dropping-particle":"","parse-names":false,"suffix":""},{"dropping-particle":"","family":"Toh","given":"Evelyn","non-dropping-particle":"","parse-names":false,"suffix":""},{"dropping-particle":"","family":"Day","given":"Richard B","non-dropping-particle":"","parse-names":false,"suffix":""},{"dropping-particle":"","family":"Lin","given":"Huaiying","non-dropping-particle":"","parse-names":false,"suffix":""},{"dropping-particle":"","family":"Gao","given":"Xiang","non-dropping-particle":"","parse-names":false,"suffix":""},{"dropping-particle":"","family":"Dong","given":"Qunfeng","non-dropping-particle":"","parse-names":false,"suffix":""},{"dropping-particle":"","family":"Mi","given":"Deming","non-dropping-particle":"","parse-names":false,"suffix":""},{"dropping-particle":"","family":"Katz","given":"Barry P","non-dropping-particle":"","parse-names":false,"suffix":""},{"dropping-particle":"","family":"Sodergren","given":"Erica","non-dropping-particle":"","parse-names":false,"suffix":""},{"dropping-particle":"","family":"Weinstock","given":"George M","non-dropping-particle":"","parse-names":false,"suffix":""}],"container-title":"American journal of respiratory and critical care medicine","id":"ITEM-1","issue":"2","issued":{"date-parts":[["2016","7"]]},"language":"eng","page":"226-235","publisher-place":"United States","title":"Effect of Advanced HIV Infection on the Respiratory Microbiome.","type":"article-journal","volume":"194"},"uris":["http://www.mendeley.com/documents/?uuid=15e12ba4-946c-4973-b0c2-d8b5ad8b3e95","http://www.mendeley.com/documents/?uuid=3aa31165-7a9c-4542-9323-6b387872b7d6"]}],"mendeley":{"formattedCitation":"[96]","plainTextFormattedCitation":"[96]","previouslyFormattedCitation":"[255]"},"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bCs/>
          <w:noProof/>
          <w:sz w:val="24"/>
          <w:szCs w:val="24"/>
          <w:lang w:val="en-US"/>
        </w:rPr>
        <w:t>[96]</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w:t>
      </w:r>
    </w:p>
    <w:p w14:paraId="14CE57A6" w14:textId="77777777" w:rsidR="005914AF" w:rsidRPr="003F7121" w:rsidRDefault="005914AF" w:rsidP="005914AF">
      <w:pPr>
        <w:spacing w:line="360" w:lineRule="auto"/>
        <w:ind w:firstLine="360"/>
        <w:jc w:val="both"/>
        <w:rPr>
          <w:rFonts w:ascii="Times New Roman" w:hAnsi="Times New Roman" w:cs="Times New Roman"/>
          <w:sz w:val="24"/>
          <w:szCs w:val="24"/>
        </w:rPr>
      </w:pPr>
      <w:r w:rsidRPr="003F7121">
        <w:rPr>
          <w:rFonts w:ascii="Times New Roman" w:hAnsi="Times New Roman" w:cs="Times New Roman"/>
          <w:sz w:val="24"/>
          <w:szCs w:val="24"/>
        </w:rPr>
        <w:t xml:space="preserve">Thus, it seems that a healthy lung microbiome responsible for the normal function of lungs, generally habitats the dominance of phyla such as Proteobacteria and Fusobacterium along with a relative abundance of Firmicutes and Bacteroidetes with a higher abundance of </w:t>
      </w:r>
      <w:r w:rsidRPr="003F7121">
        <w:rPr>
          <w:rFonts w:ascii="Times New Roman" w:hAnsi="Times New Roman" w:cs="Times New Roman"/>
          <w:i/>
          <w:iCs/>
          <w:sz w:val="24"/>
          <w:szCs w:val="24"/>
        </w:rPr>
        <w:t>Lactobacillus</w:t>
      </w:r>
      <w:r w:rsidRPr="003F7121">
        <w:rPr>
          <w:rFonts w:ascii="Times New Roman" w:hAnsi="Times New Roman" w:cs="Times New Roman"/>
          <w:sz w:val="24"/>
          <w:szCs w:val="24"/>
        </w:rPr>
        <w:t xml:space="preserve">. Phyla such as Proteobacteria and Fusobacterium are generally responsible to initiate a pro-inflammatory immune response that leads to the severity of the disease while on the other hand, </w:t>
      </w:r>
      <w:r w:rsidRPr="003F7121">
        <w:rPr>
          <w:rFonts w:ascii="Times New Roman" w:hAnsi="Times New Roman" w:cs="Times New Roman"/>
          <w:i/>
          <w:sz w:val="24"/>
          <w:szCs w:val="24"/>
        </w:rPr>
        <w:t>Lactobacillus</w:t>
      </w:r>
      <w:r w:rsidRPr="003F7121">
        <w:rPr>
          <w:rFonts w:ascii="Times New Roman" w:hAnsi="Times New Roman" w:cs="Times New Roman"/>
          <w:sz w:val="24"/>
          <w:szCs w:val="24"/>
        </w:rPr>
        <w:t xml:space="preserve"> genera modulate the immune response by activation of T</w:t>
      </w:r>
      <w:r w:rsidRPr="003F7121">
        <w:rPr>
          <w:rFonts w:ascii="Times New Roman" w:hAnsi="Times New Roman" w:cs="Times New Roman"/>
          <w:sz w:val="24"/>
          <w:szCs w:val="24"/>
          <w:vertAlign w:val="subscript"/>
        </w:rPr>
        <w:t>reg</w:t>
      </w:r>
      <w:r w:rsidRPr="003F7121">
        <w:rPr>
          <w:rFonts w:ascii="Times New Roman" w:hAnsi="Times New Roman" w:cs="Times New Roman"/>
          <w:sz w:val="24"/>
          <w:szCs w:val="24"/>
        </w:rPr>
        <w:t xml:space="preserve"> cells. These MOs are evidenced to play an important role in different respiratory diseases by creating an immunological barrier.</w:t>
      </w:r>
    </w:p>
    <w:p w14:paraId="4B053DFE" w14:textId="77777777" w:rsidR="005914AF" w:rsidRPr="003F7121" w:rsidRDefault="005914AF" w:rsidP="005914AF">
      <w:pPr>
        <w:pStyle w:val="Heading2"/>
        <w:spacing w:before="0" w:after="160" w:line="360" w:lineRule="auto"/>
        <w:jc w:val="both"/>
        <w:rPr>
          <w:rFonts w:ascii="Times New Roman" w:hAnsi="Times New Roman" w:cs="Times New Roman"/>
          <w:b/>
          <w:bCs/>
          <w:color w:val="auto"/>
          <w:sz w:val="24"/>
          <w:szCs w:val="24"/>
        </w:rPr>
      </w:pPr>
      <w:r w:rsidRPr="003F7121">
        <w:rPr>
          <w:rFonts w:ascii="Times New Roman" w:hAnsi="Times New Roman" w:cs="Times New Roman"/>
          <w:color w:val="auto"/>
          <w:sz w:val="24"/>
          <w:szCs w:val="24"/>
        </w:rPr>
        <w:t>The Gut-Lung Axis</w:t>
      </w:r>
    </w:p>
    <w:p w14:paraId="23280614" w14:textId="3CCB662A" w:rsidR="005914AF" w:rsidRPr="003F7121" w:rsidRDefault="005914AF" w:rsidP="005914AF">
      <w:pPr>
        <w:spacing w:line="360" w:lineRule="auto"/>
        <w:ind w:firstLine="360"/>
        <w:jc w:val="both"/>
        <w:rPr>
          <w:rFonts w:ascii="Times New Roman" w:hAnsi="Times New Roman" w:cs="Times New Roman"/>
          <w:sz w:val="24"/>
          <w:szCs w:val="24"/>
        </w:rPr>
      </w:pPr>
      <w:r w:rsidRPr="003F7121">
        <w:rPr>
          <w:rFonts w:ascii="Times New Roman" w:hAnsi="Times New Roman" w:cs="Times New Roman"/>
          <w:sz w:val="24"/>
          <w:szCs w:val="24"/>
        </w:rPr>
        <w:t xml:space="preserve">The gastrointestinal microbiota can modulate lung microbiota majorly through the impact of microbial metabolites produced by the gut microbiome. Dysbiosis in the gut is found to be </w:t>
      </w:r>
      <w:r w:rsidRPr="003F7121">
        <w:rPr>
          <w:rFonts w:ascii="Times New Roman" w:hAnsi="Times New Roman" w:cs="Times New Roman"/>
          <w:sz w:val="24"/>
          <w:szCs w:val="24"/>
        </w:rPr>
        <w:lastRenderedPageBreak/>
        <w:t xml:space="preserve">linked with various diseases and respiratory infections are one of them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{"citationItems":[{"id":"ITEM-1","itemData":{"DOI":"10.1038/nm.3444","ISSN":"1546-170X","abstract":"Dietary fibers are metabolized by the gut microbiota into short-chain fatty acids (SCFAs) and have protective effects in inflammatory bowel disease. Here Benjamin J Marsland and colleagues report that mice fed a high-fiber diet have an altered microbiota and are protected from allergic airway inflammation. The SCFA propionate regulated allergic inflammation, bone marrow hematopoiesis and dendritic cell function. Taken together, these findings suggest that metabolites produced by the gut microbiota can influence hematopoiesis and immune responses in the lung.","author":[{"dropping-particle":"","family":"Trompette","given":"Aurélien","non-dropping-particle":"","parse-names":false,"suffix":""},{"dropping-particle":"","family":"Gollwitzer","given":"Eva S","non-dropping-particle":"","parse-names":false,"suffix":""},{"dropping-particle":"","family":"Yadava","given":"Koshika","non-dropping-particle":"","parse-names":false,"suffix":""},{"dropping-particle":"","family":"Sichelstiel","given":"Anke K","non-dropping-particle":"","parse-names":false,"suffix":""},{"dropping-particle":"","family":"Sprenger","given":"Norbert","non-dropping-particle":"","parse-names":false,"suffix":""},{"dropping-particle":"","family":"Ngom-Bru","given":"Catherine","non-dropping-particle":"","parse-names":false,"suffix":""},{"dropping-particle":"","family":"Blanchard","given":"Carine","non-dropping-particle":"","parse-names":false,"suffix":""},{"dropping-particle":"","family":"Junt","given":"Tobias","non-dropping-particle":"","parse-names":false,"suffix":""},{"dropping-particle":"","family":"Nicod","given":"Laurent P","non-dropping-particle":"","parse-names":false,"suffix":""},{"dropping-particle":"","family":"Harris","given":"Nicola L","non-dropping-particle":"","parse-names":false,"suffix":""},{"dropping-particle":"","family":"Marsland","given":"Benjamin J","non-dropping-particle":"","parse-names":false,"suffix":""}],"container-title":"Nature Medicine","id":"ITEM-1","issue":"2","issued":{"date-parts":[["2014"]]},"page":"159-166","title":"Gut microbiota metabolism of dietary fiber influences allergic airway disease and hematopoiesis","type":"article-journal","volume":"20"},"uris":["http://www.mendeley.com/documents/?uuid=3bc3e0c8-3d55-4020-87a5-e9016a02a8b3","http://www.mendeley.com/documents/?uuid=f07b1e7e-ba3d-4b47-b362-bb3894117f7d"]}],"mendeley":{"formattedCitation":"[97]","plainTextFormattedCitation":"[97]","previouslyFormattedCitation":"[256]"},"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bCs/>
          <w:noProof/>
          <w:sz w:val="24"/>
          <w:szCs w:val="24"/>
          <w:lang w:val="en-US"/>
        </w:rPr>
        <w:t>[97]</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One study has reported a decrease in the density of </w:t>
      </w:r>
      <w:r w:rsidRPr="003F7121">
        <w:rPr>
          <w:rFonts w:ascii="Times New Roman" w:hAnsi="Times New Roman" w:cs="Times New Roman"/>
          <w:i/>
          <w:sz w:val="24"/>
          <w:szCs w:val="24"/>
        </w:rPr>
        <w:t>Bifidobacteria</w:t>
      </w:r>
      <w:r w:rsidRPr="003F7121">
        <w:rPr>
          <w:rFonts w:ascii="Times New Roman" w:hAnsi="Times New Roman" w:cs="Times New Roman"/>
          <w:sz w:val="24"/>
          <w:szCs w:val="24"/>
        </w:rPr>
        <w:t xml:space="preserve"> while a simultaneous increase in </w:t>
      </w:r>
      <w:r w:rsidRPr="003F7121">
        <w:rPr>
          <w:rFonts w:ascii="Times New Roman" w:hAnsi="Times New Roman" w:cs="Times New Roman"/>
          <w:i/>
          <w:sz w:val="24"/>
          <w:szCs w:val="24"/>
        </w:rPr>
        <w:t>Clostridia</w:t>
      </w:r>
      <w:r w:rsidRPr="003F7121">
        <w:rPr>
          <w:rFonts w:ascii="Times New Roman" w:hAnsi="Times New Roman" w:cs="Times New Roman"/>
          <w:sz w:val="24"/>
          <w:szCs w:val="24"/>
        </w:rPr>
        <w:t xml:space="preserve"> in the intestine is associated with asthma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{"citationItems":[{"id":"ITEM-1","itemData":{"DOI":"10.1067/mai.2001.111237","ISSN":"0091-6749 (Print)","PMID":"11150002","abstract":"BACKGROUND: Improved hygiene has altered early microbial exposure by reducing childhood infections, which has been suggested as a cause for the continuously rising prevalence of atopic diseases. On the basis of both intensity and timing of stimulus, it has been hypothesized that exposure to commensal microflora may represent another key protective modulator of immunity against atopy and subsequent atopic diseases. OBJECTIVE: We sought to investigate whether differences in early gut microflora precede the later development of atopic sensitization. METHODS: Intestinal microflora from 76 infants at high risk of atopic diseases were analyzed at 3 weeks and 3 months of age by using conventional bacterial cultivation and 2 culture-independent methods, gas-liquid chromatography of bacterial cellular fatty acids and quantitative fluorescence in situ hybridization of bacterial cells. Infants evincing at least one positive skin prick reaction at 12 months were grouped as atopic subjects, and those without positive reactions were grouped as nonatopic subjects. RESULTS: Atopic sensitization was observed in 22 (29%) of 76 children. At 3 weeks, the bacterial cellular fatty acid profile in fecal samples differed significantly between infants in whom atopy was and was not developing (P =.005). By using fluorescence in situ hydridization, atopic subjects had more clostridia (geometric mean [95% confidence interval]: 9.3 x 10(7) [3.8-22.9 x 10(7)] vs 3.3 x 10(7) [1.8-6.1 x 10(7)], P =.04) and tended to have fewer bifidobacteria (1.8 x 10(9) [0.4-7.6 x 10(9)] vs 6.1 x 10(9) [2.5-14.6 x 10(9)], P =.11) in their stools than nonatopic subjects, resulting in a reduced ratio of bifidobacteria to clostridia (P =.03). The differences were not detected by bacterial cultivation. CONCLUSION: Differences in the neonatal gut microflora precede the development of atopy, suggesting a crucial role of the balance of indigenous intestinal bacteria for the maturation of human immunity to a nonatopic mode.","author":[{"dropping-particle":"","family":"Kalliomaki","given":"M","non-dropping-particle":"","parse-names":false,"suffix":""},{"dropping-particle":"","family":"Kirjavainen","given":"P","non-dropping-particle":"","parse-names":false,"suffix":""},{"dropping-particle":"","family":"Eerola","given":"E","non-dropping-particle":"","parse-names":false,"suffix":""},{"dropping-particle":"","family":"Kero","given":"P","non-dropping-particle":"","parse-names":false,"suffix":""},{"dropping-particle":"","family":"Salminen","given":"S","non-dropping-particle":"","parse-names":false,"suffix":""},{"dropping-particle":"","family":"Isolauri","given":"E","non-dropping-particle":"","parse-names":false,"suffix":""}],"container-title":"The Journal of allergy and clinical immunology","id":"ITEM-1","issue":"1","issued":{"date-parts":[["2001","1"]]},"language":"eng","page":"129-134","publisher-place":"United States","title":"Distinct patterns of neonatal gut microflora in infants in whom atopy was and was not developing.","type":"article-journal","volume":"107"},"uris":["http://www.mendeley.com/documents/?uuid=93de535c-49b5-49a4-8f97-a7db450a7126","http://www.mendeley.com/documents/?uuid=64348795-a12c-4132-9863-32c1ef00fe86"]}],"mendeley":{"formattedCitation":"[98]","plainTextFormattedCitation":"[98]","previouslyFormattedCitation":"[258]"},"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noProof/>
          <w:sz w:val="24"/>
          <w:szCs w:val="24"/>
        </w:rPr>
        <w:t>[98]</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Another research showed that the influenza virus infection in the respiratory tract significantly increased the count of Enterobacteriaceae with a concomitant reduction in </w:t>
      </w:r>
      <w:r w:rsidRPr="003F7121">
        <w:rPr>
          <w:rFonts w:ascii="Times New Roman" w:hAnsi="Times New Roman" w:cs="Times New Roman"/>
          <w:i/>
          <w:sz w:val="24"/>
          <w:szCs w:val="24"/>
        </w:rPr>
        <w:t>Lactobacilli</w:t>
      </w:r>
      <w:r w:rsidRPr="003F7121">
        <w:rPr>
          <w:rFonts w:ascii="Times New Roman" w:hAnsi="Times New Roman" w:cs="Times New Roman"/>
          <w:sz w:val="24"/>
          <w:szCs w:val="24"/>
        </w:rPr>
        <w:t xml:space="preserve"> as well as </w:t>
      </w:r>
      <w:r w:rsidRPr="003F7121">
        <w:rPr>
          <w:rFonts w:ascii="Times New Roman" w:hAnsi="Times New Roman" w:cs="Times New Roman"/>
          <w:i/>
          <w:sz w:val="24"/>
          <w:szCs w:val="24"/>
        </w:rPr>
        <w:t>Lactococcus</w:t>
      </w:r>
      <w:r w:rsidRPr="003F7121">
        <w:rPr>
          <w:rFonts w:ascii="Times New Roman" w:hAnsi="Times New Roman" w:cs="Times New Roman"/>
          <w:sz w:val="24"/>
          <w:szCs w:val="24"/>
        </w:rPr>
        <w:t xml:space="preserve"> levels were seen in gut microbiota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{"citationItems":[{"id":"ITEM-1","itemData":{"DOI":"10.4161/gmic.21288","ISSN":"1949-0984 (Electronic)","PMID":"22825498","abstract":"Antibiotics are an essential component of the modern lifestyle. They improve our  lives by treating disease, preventing disease, and in the case of agricultural animals by improving feed efficiency. However, antibiotic usage is not without collateral effects. The development and spread of antibiotic resistance is the most notorious concern associated with antibiotic use. New technologies have enabled the study of how the microbiota responds to the antibiotic disturbance, including how the community recovers after the antibiotic is removed. One common theme in studies of antibiotic effects is a rapid increase in Escherichia coli followed by a gradual decline. Increases in E. coli are also associated with systemic host stresses, and may be an indicator of ecosystem disturbances of the intestinal microbiota. Moreover, recent studies have shown additional effects mediated by antibiotics on the gut microbiota, such as the stimulation of gene transfer among gut bacteria and the reduction of immune responses in peripheral organs. Querying the microbiota after antibiotic treatment has led to intriguing hypotheses regarding predicting or mitigating unfavorable treatment outcomes. Here we explore the varied effects of antibiotics on human and animal microbiotas.","author":[{"dropping-particle":"","family":"Looft","given":"Torey","non-dropping-particle":"","parse-names":false,"suffix":""},{"dropping-particle":"","family":"Allen","given":"Heather K","non-dropping-particle":"","parse-names":false,"suffix":""}],"container-title":"Gut microbes","id":"ITEM-1","issue":"5","issued":{"date-parts":[["2012"]]},"language":"eng","page":"463-467","publisher-place":"United States","title":"Collateral effects of antibiotics on mammalian gut microbiomes.","type":"article-journal","volume":"3"},"uris":["http://www.mendeley.com/documents/?uuid=12495d76-dafd-4cc0-a756-86197720a63d","http://www.mendeley.com/documents/?uuid=87bde7a5-e2ba-453b-afe1-49165fa6429f"]}],"mendeley":{"formattedCitation":"[99]","plainTextFormattedCitation":"[99]","previouslyFormattedCitation":"[259]"},"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bCs/>
          <w:noProof/>
          <w:sz w:val="24"/>
          <w:szCs w:val="24"/>
          <w:lang w:val="en-US"/>
        </w:rPr>
        <w:t>[99]</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Furthermore, depletion in microbial diversity by antibiotics in the gut increased the infection rate of influenza virus infection in the lungs when studied in a mouse model. these findings corroborate that the gastrointestinal tract and lung are intensively linked organs that influence each other’s homeostasis.</w:t>
      </w:r>
    </w:p>
    <w:p w14:paraId="517DE7B5" w14:textId="77777777" w:rsidR="005914AF" w:rsidRPr="003F7121" w:rsidRDefault="005914AF" w:rsidP="005914AF">
      <w:pPr>
        <w:spacing w:line="360" w:lineRule="auto"/>
        <w:jc w:val="both"/>
        <w:rPr>
          <w:rFonts w:ascii="Times New Roman" w:hAnsi="Times New Roman" w:cs="Times New Roman"/>
          <w:sz w:val="24"/>
          <w:szCs w:val="24"/>
        </w:rPr>
      </w:pPr>
      <w:r w:rsidRPr="003F7121">
        <w:rPr>
          <w:rFonts w:ascii="Times New Roman" w:hAnsi="Times New Roman" w:cs="Times New Roman"/>
          <w:sz w:val="24"/>
          <w:szCs w:val="24"/>
        </w:rPr>
        <w:t>Nanoparticles, gut microbes and SARS-CoV2</w:t>
      </w:r>
    </w:p>
    <w:p w14:paraId="662EFEAA" w14:textId="0C9FCA00" w:rsidR="005914AF" w:rsidRPr="003F7121" w:rsidRDefault="005914AF" w:rsidP="005914AF">
      <w:pPr>
        <w:spacing w:line="360" w:lineRule="auto"/>
        <w:ind w:firstLine="720"/>
        <w:jc w:val="both"/>
        <w:rPr>
          <w:rFonts w:ascii="Times New Roman" w:hAnsi="Times New Roman" w:cs="Times New Roman"/>
          <w:sz w:val="24"/>
          <w:szCs w:val="24"/>
        </w:rPr>
      </w:pPr>
      <w:r w:rsidRPr="003F7121">
        <w:rPr>
          <w:rFonts w:ascii="Times New Roman" w:hAnsi="Times New Roman" w:cs="Times New Roman"/>
          <w:sz w:val="24"/>
          <w:szCs w:val="24"/>
        </w:rPr>
        <w:t xml:space="preserve">In the past twenty years, nanotechnology has been developed into a topic that applies to many subfields of study and may be utilised to produce nanoscale materials using a variety of processes, including chemical and physical processes. Nanoparticles have dimensions ranging from 1 to 100 nm and possess features that can be controlled precisely. These qualities are distinct from what the particles appear to be on a larger scale. This enables them to be employed in novel contexts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10.1007/978-3-030-46071-6","ISBN":"978-3-030-46070-9","author":[{"dropping-particle":"","family":"Omran","given":"Basma","non-dropping-particle":"","parse-names":false,"suffix":""}],"id":"ITEM-1","issued":{"date-parts":[["2020","8"]]},"title":"Nanobiotechnology: A Multidisciplinary Field of Science","type":"book"},"uris":["http://www.mendeley.com/documents/?uuid=9b87427d-ce4d-4067-9d6c-a4ecd5736e88","http://www.mendeley.com/documents/?uuid=619d5b38-ea8d-42ca-a9e2-5c6a8dbb37c9"]}],"mendeley":{"formattedCitation":"[100]","plainTextFormattedCitation":"[100]","previouslyFormattedCitation":"[333]"},"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[100]</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Nanoparticles are used in many biomedical applications because of their unique properties. These include diagnostics, medical imaging, treatments, and medication delivery, all of which are being increasingly utilised in the management of SARS-CoV2 in the modern era. Based on what has been said, nanotechnology may be very important for quickly diagnosing COVID-19, keeping track of it, and coming up with effective ways to treat it, especially about how SARS-CoV2 affects the gut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10.1021/acsnano.0c03402","ISSN":"1936-0851","author":[{"dropping-particle":"","family":"Kalantar-Zadeh","given":"Kourosh","non-dropping-particle":"","parse-names":false,"suffix":""},{"dropping-particle":"","family":"Ward","given":"Stephanie A","non-dropping-particle":"","parse-names":false,"suffix":""},{"dropping-particle":"","family":"Kalantar-Zadeh","given":"Kamyar","non-dropping-particle":"","parse-names":false,"suffix":""},{"dropping-particle":"","family":"El-Omar","given":"Emad M","non-dropping-particle":"","parse-names":false,"suffix":""}],"container-title":"ACS Nano","id":"ITEM-1","issue":"5","issued":{"date-parts":[["2020","5"]]},"page":"5179-5182","publisher":"American Chemical Society","title":"Considering the Effects of Microbiome and Diet on SARS-CoV-2 Infection: Nanotechnology Roles","type":"article-journal","volume":"14"},"uris":["http://www.mendeley.com/documents/?uuid=807285eb-b6b3-4411-b7e0-136c24645c86","http://www.mendeley.com/documents/?uuid=4b29a436-c51d-443d-9530-18e08292a962"]}],"mendeley":{"formattedCitation":"[101]","plainTextFormattedCitation":"[101]","previouslyFormattedCitation":"[334]"},"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[101]</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With arrays of nanomaterials, non-invasive breath tests can identify the presence of volatile organic compounds with the signatures of modulated microbiota and, therefore, the presence of SARS-CoV2 for quick diagnosis and monitoring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{"citationItems":[{"id":"ITEM-1","itemData":{"DOI":"10.1021/acsnano.6b04930","ISSN":"1936-0851","author":[{"dropping-particle":"","family":"Nakhleh","given":"Morad K","non-dropping-particle":"","parse-names":false,"suffix":""},{"dropping-particle":"","family":"Amal","given":"Haitham","non-dropping-particle":"","parse-names":false,"suffix":""},{"dropping-particle":"","family":"Jeries","given":"Raneen","non-dropping-particle":"","parse-names":false,"suffix":""},{"dropping-particle":"","family":"Broza","given":"Yoav Y","non-dropping-particle":"","parse-names":false,"suffix":""},{"dropping-particle":"","family":"Aboud","given":"Manal","non-dropping-particle":"","parse-names":false,"suffix":""},{"dropping-particle":"","family":"Gharra","given":"Alaa","non-dropping-particle":"","parse-names":false,"suffix":""},{"dropping-particle":"","family":"Ivgi","given":"Hodaya","non-dropping-particle":"","parse-names":false,"suffix":""},{"dropping-particle":"","family":"Khatib","given":"Salam","non-dropping-particle":"","parse-names":false,"suffix":""},{"dropping-particle":"","family":"Badarneh","given":"Shifaa","non-dropping-particle":"","parse-names":false,"suffix":""},{"dropping-particle":"","family":"Har-Shai","given":"Lior","non-dropping-particle":"","parse-names":false,"suffix":""},{"dropping-particle":"","family":"Glass-Marmor","given":"Lea","non-dropping-particle":"","parse-names":false,"suffix":""},{"dropping-particle":"","family":"Lejbkowicz","given":"Izabella","non-dropping-particle":"","parse-names":false,"suffix":""},{"dropping-particle":"","family":"Miller","given":"Ariel","non-dropping-particle":"","parse-names":false,"suffix":""},{"dropping-particle":"","family":"Badarny","given":"Samih","non-dropping-particle":"","parse-names":false,"suffix":""},{"dropping-particle":"","family":"Winer","given":"Raz","non-dropping-particle":"","parse-names":false,"suffix":""},{"dropping-particle":"","family":"Finberg","given":"John","non-dropping-particle":"","parse-names":false,"suffix":""},{"dropping-particle":"","family":"Cohen-Kaminsky","given":"Sylvia","non-dropping-particle":"","parse-names":false,"suffix":""},{"dropping-particle":"","family":"Perros","given":"Frédéric","non-dropping-particle":"","parse-names":false,"suffix":""},{"dropping-particle":"","family":"Montani","given":"David","non-dropping-particle":"","parse-names":false,"suffix":""},{"dropping-particle":"","family":"Girerd","given":"Barbara","non-dropping-particle":"","parse-names":false,"suffix":""},{"dropping-particle":"","family":"Garcia","given":"Gilles","non-dropping-particle":"","parse-names":false,"suffix":""},{"dropping-particle":"","family":"Simonneau","given":"Gérald","non-dropping-particle":"","parse-names":false,"suffix":""},{"dropping-particle":"","family":"Nakhoul","given":"Farid","non-dropping-particle":"","parse-names":false,"suffix":""},{"dropping-particle":"","family":"Baram","given":"Shira","non-dropping-particle":"","parse-names":false,"suffix":""},{"dropping-particle":"","family":"Salim","given":"Raed","non-dropping-particle":"","parse-names":false,"suffix":""},{"dropping-particle":"","family":"Hakim","given":"Marwan","non-dropping-particle":"","parse-names":false,"suffix":""},{"dropping-particle":"","family":"Gruber","given":"Maayan","non-dropping-particle":"","parse-names":false,"suffix":""},{"dropping-particle":"","family":"Ronen","given":"Ohad","non-dropping-particle":"","parse-names":false,"suffix":""},{"dropping-particle":"","family":"Marshak","given":"Tal","non-dropping-particle":"","parse-names":false,"suffix":""},{"dropping-particle":"","family":"Doweck","given":"Ilana","non-dropping-particle":"","parse-names":false,"suffix":""},{"dropping-particle":"","family":"Nativ","given":"Ofer","non-dropping-particle":"","parse-names":false,"suffix":""},{"dropping-particle":"","family":"Bahouth","given":"Zaher","non-dropping-particle":"","parse-names":false,"suffix":""},{"dropping-particle":"","family":"Shi","given":"Da-you","non-dropping-particle":"","parse-names":false,"suffix":""},{"dropping-particle":"","family":"Zhang","given":"Wei","non-dropping-particle":"","parse-names":false,"suffix":""},{"dropping-particle":"","family":"Hua","given":"Qing-ling","non-dropping-particle":"","parse-names":false,"suffix":""},{"dropping-particle":"","family":"Pan","given":"Yue-yin","non-dropping-particle":"","parse-names":false,"suffix":""},{"dropping-particle":"","family":"Tao","given":"Li","non-dropping-particle":"","parse-names":false,"suffix":""},{"dropping-particle":"","family":"Liu","given":"Hu","non-dropping-particle":"","parse-names":false,"suffix":""},{"dropping-particle":"","family":"Karban","given":"Amir","non-dropping-particle":"","parse-names":false,"suffix":""},{"dropping-particle":"","family":"Koifman","given":"Eduard","non-dropping-particle":"","parse-names":false,"suffix":""},{"dropping-particle":"","family":"Rainis","given":"Tova","non-dropping-particle":"","parse-names":false,"suffix":""},{"dropping-particle":"","family":"Skapars","given":"Roberts","non-dropping-particle":"","parse-names":false,"suffix":""},{"dropping-particle":"","family":"Sivins","given":"Armands","non-dropping-particle":"","parse-names":false,"suffix":""},{"dropping-particle":"","family":"Ancans","given":"Guntis","non-dropping-particle":"","parse-names":false,"suffix":""},{"dropping-particle":"","family":"Liepniece-Karele","given":"Inta","non-dropping-particle":"","parse-names":false,"suffix":""},{"dropping-particle":"","family":"Kikuste","given":"Ilze","non-dropping-particle":"","parse-names":false,"suffix":""},{"dropping-particle":"","family":"Lasina","given":"Ieva","non-dropping-particle":"","parse-names":false,"suffix":""},{"dropping-particle":"","family":"Tolmanis","given":"Ivars","non-dropping-particle":"","parse-names":false,"suffix":""},{"dropping-particle":"","family":"Johnson","given":"Douglas","non-dropping-particle":"","parse-names":false,"suffix":""},{"dropping-particle":"","family":"Millstone","given":"Stuart Z","non-dropping-particle":"","parse-names":false,"suffix":""},{"dropping-particle":"","family":"Fulton","given":"Jennifer","non-dropping-particle":"","parse-names":false,"suffix":""},{"dropping-particle":"","family":"Wells","given":"John W","non-dropping-particle":"","parse-names":false,"suffix":""},{"dropping-particle":"","family":"Wilf","given":"Larry H","non-dropping-particle":"","parse-names":false,"suffix":""},{"dropping-particle":"","family":"Humbert","given":"Marc","non-dropping-particle":"","parse-names":false,"suffix":""},{"dropping-particle":"","family":"Leja","given":"Marcis","non-dropping-particle":"","parse-names":false,"suffix":""},{"dropping-particle":"","family":"Peled","given":"Nir","non-dropping-particle":"","parse-names":false,"suffix":""},{"dropping-particle":"","family":"Haick","given":"Hossam","non-dropping-particle":"","parse-names":false,"suffix":""}],"container-title":"ACS Nano","id":"ITEM-1","issue":"1","issued":{"date-parts":[["2017","1"]]},"page":"112-125","publisher":"American Chemical Society","title":"Diagnosis and Classification of 17 Diseases from 1404 Subjects via Pattern Analysis of Exhaled Molecules","type":"article-journal","volume":"11"},"uris":["http://www.mendeley.com/documents/?uuid=c8132841-d7c2-4729-ae22-b941c08e90bb","http://www.mendeley.com/documents/?uuid=2e6c0c17-a70b-440d-a879-4eded1e353eb"]},{"id":"ITEM-2","itemData":{"DOI":"10.1021/acsnano.5b07826","ISSN":"1936-0851","author":[{"dropping-particle":"","family":"Biteen","given":"Julie S","non-dropping-particle":"","parse-names":false,"suffix":""},{"dropping-particle":"","family":"Blainey","given":"Paul C","non-dropping-particle":"","parse-names":false,"suffix":""},{"dropping-particle":"","family":"Cardon","given":"Zoe G","non-dropping-particle":"","parse-names":false,"suffix":""},{"dropping-particle":"","family":"Chun","given":"Miyoung","non-dropping-particle":"","parse-names":false,"suffix":""},{"dropping-particle":"","family":"Church","given":"George M","non-dropping-particle":"","parse-names":false,"suffix":""},{"dropping-particle":"","family":"Dorrestein","given":"Pieter C","non-dropping-particle":"","parse-names":false,"suffix":""},{"dropping-particle":"","family":"Fraser","given":"Scott E","non-dropping-particle":"","parse-names":false,"suffix":""},{"dropping-particle":"","family":"Gilbert","given":"Jack A","non-dropping-particle":"","parse-names":false,"suffix":""},{"dropping-particle":"","family":"Jansson","given":"Janet K","non-dropping-particle":"","parse-names":false,"suffix":""},{"dropping-particle":"","family":"Knight","given":"Rob","non-dropping-particle":"","parse-names":false,"suffix":""},{"dropping-particle":"","family":"Miller","given":"Jeff F","non-dropping-particle":"","parse-names":false,"suffix":""},{"dropping-particle":"","family":"Ozcan","given":"Aydogan","non-dropping-particle":"","parse-names":false,"suffix":""},{"dropping-particle":"","family":"Prather","given":"Kimberly A","non-dropping-particle":"","parse-names":false,"suffix":""},{"dropping-particle":"","family":"Quake","given":"Stephen R","non-dropping-particle":"","parse-names":false,"suffix":""},{"dropping-particle":"","family":"Ruby","given":"Edward G","non-dropping-particle":"","parse-names":false,"suffix":""},{"dropping-particle":"","family":"Silver","given":"Pamela A","non-dropping-particle":"","parse-names":false,"suffix":""},{"dropping-particle":"","family":"Taha","given":"Sharif","non-dropping-particle":"","parse-names":false,"suffix":""},{"dropping-particle":"","family":"Engh","given":"Ger","non-dropping-particle":"van den","parse-names":false,"suffix":""},{"dropping-particle":"","family":"Weiss","given":"Paul S","non-dropping-particle":"","parse-names":false,"suffix":""},{"dropping-particle":"","family":"Wong","given":"Gerard C L","non-dropping-particle":"","parse-names":false,"suffix":""},{"dropping-particle":"","family":"Wright","given":"Aaron T","non-dropping-particle":"","parse-names":false,"suffix":""},{"dropping-particle":"","family":"Young","given":"Thomas D","non-dropping-particle":"","parse-names":false,"suffix":""}],"container-title":"ACS Nano","id":"ITEM-2","issue":"1","issued":{"date-parts":[["2016","1"]]},"page":"6-37","publisher":"American Chemical Society","title":"Tools for the Microbiome: Nano and Beyond","type":"article-journal","volume":"10"},"uris":["http://www.mendeley.com/documents/?uuid=eab21028-616c-4ac5-be32-823db1a2370a","http://www.mendeley.com/documents/?uuid=35365016-9c72-4333-817f-692c652a15c5"]}],"mendeley":{"formattedCitation":"[102,103]","plainTextFormattedCitation":"[102,103]","previouslyFormattedCitation":"[335,336]"},"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[102,103]</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On the other hand, a healthy gut is also important in SARS-CoV2 infections. Some studies point out the importance of good microbes in fighting this virus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{"citationItems":[{"id":"ITEM-1","itemData":{"author":[{"dropping-particle":"","family":"Nisar","given":"A","non-dropping-particle":"","parse-names":false,"suffix":""},{"dropping-particle":"","family":"Kathade","given":"S. A","non-dropping-particle":"","parse-names":false,"suffix":""},{"dropping-particle":"","family":"Aswani","given":"M. A","non-dropping-particle":"","parse-names":false,"suffix":""},{"dropping-particle":"","family":"Harsulkar","given":"A. M","non-dropping-particle":"","parse-names":false,"suffix":""},{"dropping-particle":"","family":"Jagtap, S. D Kunchiraman","given":"B. N.","non-dropping-particle":"","parse-names":false,"suffix":""}],"container-title":"Biosciences Biotechnology Research Asia","id":"ITEM-1","issued":{"date-parts":[["2022"]]},"title":"Understanding the correlation of diet, Immunity, and probiotics: A credible implication in SARS-CoV2 infections","type":"article-journal","volume":"19 (2)"},"uris":["http://www.mendeley.com/documents/?uuid=b25f7572-770b-4326-ad39-c8739ba71712","http://www.mendeley.com/documents/?uuid=4ddf43a1-3047-41ab-9d77-eb58e23f03b1"]}],"mendeley":{"formattedCitation":"[104]","plainTextFormattedCitation":"[104]","previouslyFormattedCitation":"[337]"},"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[104]</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Nanotechnology can be used effectively to design smart drugs or functional foods that can be delivered locally in the gut. It can also be used to design smart functional foods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{"citationItems":[{"id":"ITEM-1","itemData":{"ISBN":"1664-302X","abstract":"Recent innovations in nanotechnology have transformed a number of scientific and industrial areas including the food industry. Applications of nanotechnology have emerged with increasing need of nanoparticle uses in various fields of food science and food microbiology, including food processing, food packaging, functional food development, food safety, detection of foodborne pathogens, and shelf-life extension of food and/or food products. This review summarizes the potential of nanoparticles for their uses in the food industry in order to provide consumers a safe and contamination free food and to ensure the consumer acceptability of the food with enhanced functional properties. Aspects of application of nanotechnology in relation to increasing in food nutrition and organoleptic properties of foods have also been discussed briefly along with a few insights on safety issues and regulatory concerns on nano-processed food products.","author":[{"dropping-particle":"","family":"Singh","given":"Trepti","non-dropping-particle":"","parse-names":false,"suffix":""},{"dropping-particle":"","family":"Shukla","given":"Shruti","non-dropping-particle":"","parse-names":false,"suffix":""},{"dropping-particle":"","family":"Kumar","given":"Pradeep","non-dropping-particle":"","parse-names":false,"suffix":""},{"dropping-particle":"","family":"Wahla","given":"Verinder","non-dropping-particle":"","parse-names":false,"suffix":""},{"dropping-particle":"","family":"Bajpai","given":"Vivek K","non-dropping-particle":"","parse-names":false,"suffix":""},{"dropping-particle":"","family":"Rather","given":"Irfan A","non-dropping-particle":"","parse-names":false,"suffix":""}],"container-title":"Frontiers in Microbiology  ","id":"ITEM-1","issued":{"date-parts":[["2017"]]},"title":"Application of Nanotechnology in Food Science: Perception and Overview   ","type":"article","volume":"8      "},"uris":["http://www.mendeley.com/documents/?uuid=3ae3212c-889f-4d09-9a1d-ebffd84b3a06","http://www.mendeley.com/documents/?uuid=74286382-57b9-414b-8a25-3f28d1899e4b"]},{"id":"ITEM-2","itemData":{"DOI":"https://doi.org/10.1016/j.nano.2015.02.018","ISSN":"1549-9634","abstract":"Colon targeted drug delivery is an active area of research for local diseases affecting the colon, as it improves the efficacy of therapeutics and enables localized treatment, which reduces systemic toxicity. Targeted delivery of therapeutics to the colon is particularly advantageous for the treatment of inflammatory bowel disease (IBD), which includes ulcerative colitis and Crohn's disease. Advances in oral drug delivery design have significantly improved the bioavailability of drugs to the colon; however in order for a drug to have therapeutic efficacy during disease, considerations must be made for the altered physiology of the gastrointestinal (GI) tract that is associated with GI inflammation. Nanotechnology has been used in oral dosage formulation design as strategies to further enhance uptake into diseased tissue within the colon. This review will describe some of the physiological challenges faced by orally administered delivery systems in IBD, the important developments in orally administered nano-delivery systems for colon targeting, and the future advances of this research. From the Clinical Editor Inflammatory Bowel Disease (IBD) poses a significant problem for a large number of patients worldwide. Current medical therapy mostly aims at suppressing the active inflammatory episodes. In this review article, the authors described and discussed the various approaches current nano-delivery systems can offer in overcoming the limitations of conventional drug formulations.","author":[{"dropping-particle":"","family":"Hua","given":"Susan","non-dropping-particle":"","parse-names":false,"suffix":""},{"dropping-particle":"","family":"Marks","given":"Ellen","non-dropping-particle":"","parse-names":false,"suffix":""},{"dropping-particle":"","family":"Schneider","given":"Jennifer J","non-dropping-particle":"","parse-names":false,"suffix":""},{"dropping-particle":"","family":"Keely","given":"Simon","non-dropping-particle":"","parse-names":false,"suffix":""}],"container-title":"Nanomedicine: Nanotechnology, Biology and Medicine","id":"ITEM-2","issue":"5","issued":{"date-parts":[["2015"]]},"page":"1117-1132","title":"Advances in oral nano-delivery systems for colon targeted drug delivery in inflammatory bowel disease: Selective targeting to diseased versus healthy tissue","type":"article-journal","volume":"11"},"uris":["http://www.mendeley.com/documents/?uuid=c0872c38-f05b-4689-8eb3-8f0adb9447b6","http://www.mendeley.com/documents/?uuid=863cbd4e-7a48-4e1c-89ea-9f4b3a20ab1b"]}],"mendeley":{"formattedCitation":"[73,105]","plainTextFormattedCitation":"[73,105]","previouslyFormattedCitation":"[332,338]"},"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[73,105]</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These drugs and foods should go after bacterial strains that cause problems in the GI tract and improve its health by making the gut more resistant to pathogens and inflammatory chemicals and by laying the groundwork for developing disruptive treatments based on microbiome engineering </w:t>
      </w: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{"citationItems":[{"id":"ITEM-1","itemData":{"DOI":"10.1021/acsnano.5b07826","ISSN":"1936-0851","author":[{"dropping-particle":"","family":"Biteen","given":"Julie S","non-dropping-particle":"","parse-names":false,"suffix":""},{"dropping-particle":"","family":"Blainey","given":"Paul C","non-dropping-particle":"","parse-names":false,"suffix":""},{"dropping-particle":"","family":"Cardon","given":"Zoe G","non-dropping-particle":"","parse-names":false,"suffix":""},{"dropping-particle":"","family":"Chun","given":"Miyoung","non-dropping-particle":"","parse-names":false,"suffix":""},{"dropping-particle":"","family":"Church","given":"George M","non-dropping-particle":"","parse-names":false,"suffix":""},{"dropping-particle":"","family":"Dorrestein","given":"Pieter C","non-dropping-particle":"","parse-names":false,"suffix":""},{"dropping-particle":"","family":"Fraser","given":"Scott E","non-dropping-particle":"","parse-names":false,"suffix":""},{"dropping-particle":"","family":"Gilbert","given":"Jack A","non-dropping-particle":"","parse-names":false,"suffix":""},{"dropping-particle":"","family":"Jansson","given":"Janet K","non-dropping-particle":"","parse-names":false,"suffix":""},{"dropping-particle":"","family":"Knight","given":"Rob","non-dropping-particle":"","parse-names":false,"suffix":""},{"dropping-particle":"","family":"Miller","given":"Jeff F","non-dropping-particle":"","parse-names":false,"suffix":""},{"dropping-particle":"","family":"Ozcan","given":"Aydogan","non-dropping-particle":"","parse-names":false,"suffix":""},{"dropping-particle":"","family":"Prather","given":"Kimberly A","non-dropping-particle":"","parse-names":false,"suffix":""},{"dropping-particle":"","family":"Quake","given":"Stephen R","non-dropping-particle":"","parse-names":false,"suffix":""},{"dropping-particle":"","family":"Ruby","given":"Edward G","non-dropping-particle":"","parse-names":false,"suffix":""},{"dropping-particle":"","family":"Silver","given":"Pamela A","non-dropping-particle":"","parse-names":false,"suffix":""},{"dropping-particle":"","family":"Taha","given":"Sharif","non-dropping-particle":"","parse-names":false,"suffix":""},{"dropping-particle":"","family":"Engh","given":"Ger","non-dropping-particle":"van den","parse-names":false,"suffix":""},{"dropping-particle":"","family":"Weiss","given":"Paul S","non-dropping-particle":"","parse-names":false,"suffix":""},{"dropping-particle":"","family":"Wong","given":"Gerard C L","non-dropping-particle":"","parse-names":false,"suffix":""},{"dropping-particle":"","family":"Wright","given":"Aaron T","non-dropping-particle":"","parse-names":false,"suffix":""},{"dropping-particle":"","family":"Young","given":"Thomas D","non-dropping-particle":"","parse-names":false,"suffix":""}],"container-title":"ACS Nano","id":"ITEM-1","issue":"1","issued":{"date-parts":[["2016","1"]]},"page":"6-37","publisher":"American Chemical Society","title":"Tools for the Microbiome: Nano and Beyond","type":"article-journal","volume":"10"},"uris":["http://www.mendeley.com/documents/?uuid=35365016-9c72-4333-817f-692c652a15c5","http://www.mendeley.com/documents/?uuid=eab21028-616c-4ac5-be32-823db1a2370a"]}],"mendeley":{"formattedCitation":"[103]","plainTextFormattedCitation":"[103]","previouslyFormattedCitation":"[336]"},"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[103]</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We may one day be able to watch, traverse, and interact with the intricate ecology of the gut if we have the assistance of technologies that can </w:t>
      </w:r>
      <w:r w:rsidRPr="003F7121">
        <w:rPr>
          <w:rFonts w:ascii="Times New Roman" w:hAnsi="Times New Roman" w:cs="Times New Roman"/>
          <w:sz w:val="24"/>
          <w:szCs w:val="24"/>
        </w:rPr>
        <w:lastRenderedPageBreak/>
        <w:t>function at the nanoscale level. This may assist us in locating a therapy or cure for COVID-19 as well as in maintaining control over SARS-CoV-2.</w:t>
      </w:r>
    </w:p>
    <w:p w14:paraId="33ECBFE3" w14:textId="77777777" w:rsidR="005914AF" w:rsidRPr="003F7121" w:rsidRDefault="005914AF" w:rsidP="005914AF">
      <w:pPr>
        <w:spacing w:line="360" w:lineRule="auto"/>
        <w:jc w:val="both"/>
        <w:rPr>
          <w:rFonts w:ascii="Times New Roman" w:hAnsi="Times New Roman" w:cs="Times New Roman"/>
          <w:sz w:val="24"/>
          <w:szCs w:val="24"/>
        </w:rPr>
      </w:pPr>
      <w:r w:rsidRPr="003F7121">
        <w:rPr>
          <w:rFonts w:ascii="Times New Roman" w:hAnsi="Times New Roman" w:cs="Times New Roman"/>
          <w:sz w:val="24"/>
          <w:szCs w:val="24"/>
        </w:rPr>
        <w:t>Immunomodulation and Anti-COVID mechanisms</w:t>
      </w:r>
    </w:p>
    <w:p w14:paraId="1C8A322C" w14:textId="4CE05B47" w:rsidR="005914AF" w:rsidRPr="003F7121" w:rsidRDefault="005914AF" w:rsidP="005914AF">
      <w:pPr>
        <w:spacing w:line="360" w:lineRule="auto"/>
        <w:ind w:firstLine="360"/>
        <w:jc w:val="both"/>
        <w:rPr>
          <w:rFonts w:ascii="Times New Roman" w:hAnsi="Times New Roman" w:cs="Times New Roman"/>
          <w:sz w:val="24"/>
          <w:szCs w:val="24"/>
        </w:rPr>
      </w:pPr>
      <w:r w:rsidRPr="003F7121">
        <w:rPr>
          <w:rFonts w:ascii="Times New Roman" w:hAnsi="Times New Roman" w:cs="Times New Roman"/>
          <w:sz w:val="24"/>
          <w:szCs w:val="24"/>
        </w:rPr>
        <w:t>Yet, no direct relation and study are available to justify the role of probiotics against SARS-CoV2 infections but many previous studies regarding probiotics and viral infections can be used to implement the possible mechanisms and their role. The pathogenesis of SARS-</w:t>
      </w:r>
      <w:proofErr w:type="spellStart"/>
      <w:r w:rsidRPr="003F7121">
        <w:rPr>
          <w:rFonts w:ascii="Times New Roman" w:hAnsi="Times New Roman" w:cs="Times New Roman"/>
          <w:sz w:val="24"/>
          <w:szCs w:val="24"/>
        </w:rPr>
        <w:t>CoV</w:t>
      </w:r>
      <w:proofErr w:type="spellEnd"/>
      <w:r w:rsidRPr="003F7121">
        <w:rPr>
          <w:rFonts w:ascii="Times New Roman" w:hAnsi="Times New Roman" w:cs="Times New Roman"/>
          <w:sz w:val="24"/>
          <w:szCs w:val="24"/>
        </w:rPr>
        <w:t xml:space="preserve"> and SARS-CoV2 relied on a common entry point by interacting with the ACE2 receptor present on epithelial cell surfaces in the lung and intestine. In the certain report of SARS-CoV2 infection, it has been postulated a dysbiotic condition caused by </w:t>
      </w:r>
      <w:r w:rsidRPr="003F7121">
        <w:rPr>
          <w:rFonts w:ascii="Times New Roman" w:hAnsi="Times New Roman" w:cs="Times New Roman"/>
          <w:i/>
          <w:sz w:val="24"/>
          <w:szCs w:val="24"/>
        </w:rPr>
        <w:t>Salmonella America</w:t>
      </w:r>
      <w:r w:rsidRPr="003F7121">
        <w:rPr>
          <w:rFonts w:ascii="Times New Roman" w:hAnsi="Times New Roman" w:cs="Times New Roman"/>
          <w:sz w:val="24"/>
          <w:szCs w:val="24"/>
        </w:rPr>
        <w:t xml:space="preserve">, a member of Enterobacteriaceae family was found to be abundant that increased the level of ACE2 receptors in the epithelial cells of the intestine resulting it to be more prone to get infected from these viruses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{"citationItems":[{"id":"ITEM-1","itemData":{"DOI":"10.1002/jmv.25766","ISSN":"10969071","abstract":"In late December 2019, a cluster of unexplained pneumonia cases has been reported in Wuhan, China. A few days later, the causative agent of this mysterious pneumonia was identified as a novel coronavirus. This causative virus has been temporarily named as severe acute respiratory syndrome coronavirus 2 and the relevant infected disease has been named as coronavirus disease 2019 (COVID-19) by the World Health Organization, respectively. The COVID-19 epidemic is spreading in China and all over the world now. The purpose of this review is primarily to review the pathogen, clinical features, diagnosis, and treatment of COVID-19, but also to comment briefly on the epidemiology and pathology based on the current evidence.","author":[{"dropping-particle":"","family":"He","given":"Feng","non-dropping-particle":"","parse-names":false,"suffix":""},{"dropping-particle":"","family":"Deng","given":"Yu","non-dropping-particle":"","parse-names":false,"suffix":""},{"dropping-particle":"","family":"Li","given":"Weina","non-dropping-particle":"","parse-names":false,"suffix":""}],"container-title":"Journal of Medical Virology","id":"ITEM-1","issue":"March","issued":{"date-parts":[["2020"]]},"page":"1-7","title":"Coronavirus disease 2019: What we know?","type":"article-journal"},"uris":["http://www.mendeley.com/documents/?uuid=d3a7631d-8cfd-49dd-85e7-11480f9448a8","http://www.mendeley.com/documents/?uuid=d7aa3f18-4bc8-4aae-b81c-674884749986"]}],"mendeley":{"formattedCitation":"[106]","plainTextFormattedCitation":"[106]","previouslyFormattedCitation":"[273]"},"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noProof/>
          <w:sz w:val="24"/>
          <w:szCs w:val="24"/>
        </w:rPr>
        <w:t>[106]</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The SARS-CoV2 virus has to surpass the immunologic barrier of respiratory tract epithelial to invade the cells through the ACE2 receptors whereas the probiotic microbes with commensal bacteria may help the immune system to reduce or inhibit this infection through immunomodulation.</w:t>
      </w:r>
    </w:p>
    <w:p w14:paraId="7CB37921" w14:textId="7DCFD48C" w:rsidR="005914AF" w:rsidRPr="003F7121" w:rsidRDefault="005914AF" w:rsidP="005914AF">
      <w:pPr>
        <w:spacing w:line="360" w:lineRule="auto"/>
        <w:ind w:firstLine="360"/>
        <w:jc w:val="both"/>
        <w:rPr>
          <w:rFonts w:ascii="Times New Roman" w:hAnsi="Times New Roman" w:cs="Times New Roman"/>
          <w:sz w:val="24"/>
          <w:szCs w:val="24"/>
        </w:rPr>
      </w:pPr>
      <w:r w:rsidRPr="003F7121">
        <w:rPr>
          <w:rFonts w:ascii="Times New Roman" w:hAnsi="Times New Roman" w:cs="Times New Roman"/>
          <w:sz w:val="24"/>
          <w:szCs w:val="24"/>
        </w:rPr>
        <w:t xml:space="preserve">Although, probiotics do not show a direct effect it creates an immunologic barrier by stimulating an immune response that supports the first line of defence of the body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{"citationItems":[{"id":"ITEM-1","itemData":{"DOI":"10.1079/BJN2002630","ISSN":"0007-1145 (Print)","PMID":"12215181","abstract":"Orally ingested probiotic micro-organisms do not exert health effects exclusively in the intestine. Some strains can alleviate or prevent bacterial, fungal or viral infections in other organs by stimulation of the immune system. By preservation or improvement of the barrier function of the intestinal mucosa, they may inhibit translocation of potential pathogens and thus prevent infections of the blood stream and other tissues and organs. Modulation of the intestinal microflora can affect the local microflora of the urogenital tract and possibly of the oral cavity. Finally, some strains of orally ingested bacteria reach target organs like the urogenital tract in a viable state; alternatively they can be applied locally. Despite the infection-preventing properties of probiotic bacteria, lactic acid bacteria have rarely been identified in infections of the blood stream, heart valves and other organs, usually only in patients with severe disease. It is the general opinion that in most cases the source of infection was the commensal microflora of the intestine or the oral cavity. Until now only one case of infection associated with administration of a probiotic strain has been published. The most promising health-promoting effects have been seen in vaginosis, urinary tract infections, Helicobacter pylori gastritis and infections of the respiratory tract in children. More controlled clinical trials with sufficient numbers of participants are needed to determine the scientific basis for the use of probiotic bacteria in infections in locations of the body other than the intestine.","author":[{"dropping-particle":"","family":"Vrese","given":"M","non-dropping-particle":"de","parse-names":false,"suffix":""},{"dropping-particle":"","family":"Schrezenmeir","given":"J","non-dropping-particle":"","parse-names":false,"suffix":""}],"container-title":"The British journal of nutrition","id":"ITEM-1","issued":{"date-parts":[["2002","9"]]},"language":"eng","page":"S59-66","publisher-place":"England","title":"Probiotics and non-intestinal infectious conditions.","type":"article-journal","volume":"88 Suppl 1"},"uris":["http://www.mendeley.com/documents/?uuid=715216d7-0379-4dbf-8763-66fb64f3bbd5","http://www.mendeley.com/documents/?uuid=844adc7e-c892-4554-8566-21b0b09318c3"]}],"mendeley":{"formattedCitation":"[107]","plainTextFormattedCitation":"[107]","previouslyFormattedCitation":"[279]"},"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noProof/>
          <w:sz w:val="24"/>
          <w:szCs w:val="24"/>
        </w:rPr>
        <w:t>[107]</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Generally, the probiotics interact with lung and intestinal epithelial as well as specialized cells (M cells) for immunoregulation through interaction with macrophages and dendritic cells which leads to activation of T and B lymphocytes. It may hamper the viral attachment by competitive inhibition via blocking the binding sites on the epithelial lining. The probiotics induce the upregulation of mucin-1 (MUC1) and mucin-2 (MUC2) which can also prevent the attachment of the virus to an epithelial cell and suppress replication. Finally, it also produces antimicrobial peptides and dehydrogenase and nuclease enzymes which can break down the viral nucleic acid, and also the co-aggregation of probiotics with viral particles interferes with the attachment of the virus to the epithelial cell line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{"citationItems":[{"id":"ITEM-1","itemData":{"DOI":"10.4081/itjm.2018.931","abstract":"We have reviewed the currently published results on a role of the gut microflora in a prevention of acute respiratory infections. The main biological properties of probiotic bacteria are presented in a context of their modulating activity on an inflammatory immune response. Available data on the reduction of a possible risk, duration, and severity of respiratory infection symptoms during a probiotic medication intake were analyzed. Potential antiviral probiotic mechanisms have been reviewed and discussed.","author":[{"dropping-particle":"","family":"Zolnikova","given":"Oxana","non-dropping-particle":"","parse-names":false,"suffix":""},{"dropping-particle":"","family":"Komkova","given":"Inna","non-dropping-particle":"","parse-names":false,"suffix":""},{"dropping-particle":"","family":"Potskherashvili","given":"Nino","non-dropping-particle":"","parse-names":false,"suffix":""},{"dropping-particle":"","family":"Trukhmanov","given":"Alexander","non-dropping-particle":"","parse-names":false,"suffix":""},{"dropping-particle":"","family":"Ivashkin","given":"Vladimir","non-dropping-particle":"","parse-names":false,"suffix":""}],"container-title":"Italian Journal of Medicine","id":"ITEM-1","issue":"1 SE  - Reviews","issued":{"date-parts":[["2018","3"]]},"page":"32-38","title":"Application of probiotics for acute respiratory tract infections","type":"article-journal","volume":"12"},"uris":["http://www.mendeley.com/documents/?uuid=bb60576f-e320-4859-80e1-f5d04febda30","http://www.mendeley.com/documents/?uuid=9441c11c-1645-40dc-bf06-2e7c3e297d8c"]}],"mendeley":{"formattedCitation":"[108]","plainTextFormattedCitation":"[108]","previouslyFormattedCitation":"[280]"},"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bCs/>
          <w:noProof/>
          <w:sz w:val="24"/>
          <w:szCs w:val="24"/>
          <w:lang w:val="en-US"/>
        </w:rPr>
        <w:t>[108]</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Probiotics also have a significant role in the induction of type 1 T helper (Th1) cell which is specific for antimicrobial/antiviral mediated immunity whereas IFN which is a glycoprotein and IgA are considered antiviral agents. One of the important molecules produced by probiotic MOs by breaking down the prebiotic compound is short-chain SCFA. It influences the immune system and induces pattern recognition receptors (PRR) by activating tumour necrosis factor- α (TNF-α). More precisely, probiotics like </w:t>
      </w:r>
      <w:r w:rsidRPr="003F7121">
        <w:rPr>
          <w:rFonts w:ascii="Times New Roman" w:hAnsi="Times New Roman" w:cs="Times New Roman"/>
          <w:i/>
          <w:iCs/>
          <w:sz w:val="24"/>
          <w:szCs w:val="24"/>
        </w:rPr>
        <w:t>Lactobacillus</w:t>
      </w:r>
      <w:r w:rsidRPr="003F7121">
        <w:rPr>
          <w:rFonts w:ascii="Times New Roman" w:hAnsi="Times New Roman" w:cs="Times New Roman"/>
          <w:sz w:val="24"/>
          <w:szCs w:val="24"/>
        </w:rPr>
        <w:t xml:space="preserve"> and </w:t>
      </w:r>
      <w:r w:rsidRPr="003F7121">
        <w:rPr>
          <w:rFonts w:ascii="Times New Roman" w:hAnsi="Times New Roman" w:cs="Times New Roman"/>
          <w:i/>
          <w:iCs/>
          <w:sz w:val="24"/>
          <w:szCs w:val="24"/>
        </w:rPr>
        <w:t>Bifidobacterium</w:t>
      </w:r>
      <w:r w:rsidRPr="003F7121">
        <w:rPr>
          <w:rFonts w:ascii="Times New Roman" w:hAnsi="Times New Roman" w:cs="Times New Roman"/>
          <w:sz w:val="24"/>
          <w:szCs w:val="24"/>
        </w:rPr>
        <w:t xml:space="preserve"> modulate the immune system by regulating </w:t>
      </w:r>
      <w:r w:rsidRPr="003F7121">
        <w:rPr>
          <w:rFonts w:ascii="Times New Roman" w:hAnsi="Times New Roman" w:cs="Times New Roman"/>
          <w:sz w:val="24"/>
          <w:szCs w:val="24"/>
        </w:rPr>
        <w:lastRenderedPageBreak/>
        <w:t xml:space="preserve">the cytokines, increasing the production of IgA and IgG antibodies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{"citationItems":[{"id":"ITEM-1","itemData":{"DOI":"10.1155/2018/8063647","ISSN":"2314-6133","abstract":"Probiotics confer immunological protection to the host through the regulation, stimulation, and modulation of immune responses. Researchers have shifted their attention to better understand the immunomodulatory effects of probiotics, which have the potential to prevent or alleviate certain pathologies for which proper medical treatment is as yet unavailable. It has been scientifically established that immune cells (T- and B-cells) mediate adaptive immunity and confer immunological protection by developing pathogen-specific memory. However, this review is intended to present the recent studies on immunomodulatory effects of probiotics. In the early section of this review, concepts of probiotics and common probiotic strains are focused on. On a priority basis, the immune system, along with mucosal immunity in the human body, is discussed in this study. It has been summarized that a number of species of&lt;italic&gt; Lactobacillus&lt;/italic&gt; and&lt;italic&gt; Bifidobacterium &lt;/italic&gt;exert vital roles in innate immunity by increasing the cytotoxicity of natural killer cells and phagocytosis of macrophages and mediate adaptive immunity by interacting with enterocytes and dendritic, Th1, Th2, and Treg cells. Finally, immunomodulatory effects of probiotics on proinflammatory and anti-inflammatory cytokine production in different animal models have been extensively reviewed in this paper. Therefore, isolating new probiotic strains and investigating their immunomodulatory effects on cytokine profiles in humans remain a topical issue. ","author":[{"dropping-particle":"","family":"Azad","given":"Md. Abul Kalam","non-dropping-particle":"","parse-names":false,"suffix":""},{"dropping-particle":"","family":"Sarker","given":"Manobendro","non-dropping-particle":"","parse-names":false,"suffix":""},{"dropping-particle":"","family":"Wan","given":"Dan","non-dropping-particle":"","parse-names":false,"suffix":""}],"container-title":"BioMed Research International","editor":[{"dropping-particle":"","family":"Song","given":"Deguang","non-dropping-particle":"","parse-names":false,"suffix":""}],"id":"ITEM-1","issued":{"date-parts":[["2018"]]},"page":"8063647","publisher":"Hindawi","title":"Immunomodulatory Effects of Probiotics on Cytokine Profiles","type":"article-journal","volume":"2018"},"uris":["http://www.mendeley.com/documents/?uuid=2e09d15e-3d62-4697-beb1-482e3e02c0c3","http://www.mendeley.com/documents/?uuid=d7f8a284-cf5e-4d75-9386-2a10dcc6eab5"]}],"mendeley":{"formattedCitation":"[109]","plainTextFormattedCitation":"[109]","previouslyFormattedCitation":"[284]"},"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noProof/>
          <w:sz w:val="24"/>
          <w:szCs w:val="24"/>
        </w:rPr>
        <w:t>[109]</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Specifically, the </w:t>
      </w:r>
      <w:r w:rsidRPr="003F7121">
        <w:rPr>
          <w:rFonts w:ascii="Times New Roman" w:hAnsi="Times New Roman" w:cs="Times New Roman"/>
          <w:i/>
          <w:iCs/>
          <w:sz w:val="24"/>
          <w:szCs w:val="24"/>
        </w:rPr>
        <w:t>Lactobacillus</w:t>
      </w:r>
      <w:r w:rsidRPr="003F7121">
        <w:rPr>
          <w:rFonts w:ascii="Times New Roman" w:hAnsi="Times New Roman" w:cs="Times New Roman"/>
          <w:sz w:val="24"/>
          <w:szCs w:val="24"/>
        </w:rPr>
        <w:t xml:space="preserve"> species like </w:t>
      </w:r>
      <w:r w:rsidRPr="003F7121">
        <w:rPr>
          <w:rFonts w:ascii="Times New Roman" w:hAnsi="Times New Roman" w:cs="Times New Roman"/>
          <w:i/>
          <w:iCs/>
          <w:sz w:val="24"/>
          <w:szCs w:val="24"/>
        </w:rPr>
        <w:t>L. acidophilus, L. casei, L. rhamnosus, L. helveticus</w:t>
      </w:r>
      <w:r w:rsidRPr="003F7121">
        <w:rPr>
          <w:rFonts w:ascii="Times New Roman" w:hAnsi="Times New Roman" w:cs="Times New Roman"/>
          <w:sz w:val="24"/>
          <w:szCs w:val="24"/>
        </w:rPr>
        <w:t xml:space="preserve"> are effective to enhance phagocytosis and improve the secretion of cytokines, immunoglobulin and plasma cells, as shown in a study, </w:t>
      </w:r>
      <w:r w:rsidRPr="003F7121">
        <w:rPr>
          <w:rFonts w:ascii="Times New Roman" w:hAnsi="Times New Roman" w:cs="Times New Roman"/>
          <w:i/>
          <w:iCs/>
          <w:sz w:val="24"/>
          <w:szCs w:val="24"/>
        </w:rPr>
        <w:t xml:space="preserve">L. casei </w:t>
      </w:r>
      <w:r w:rsidRPr="003F7121">
        <w:rPr>
          <w:rFonts w:ascii="Times New Roman" w:hAnsi="Times New Roman" w:cs="Times New Roman"/>
          <w:sz w:val="24"/>
          <w:szCs w:val="24"/>
        </w:rPr>
        <w:t xml:space="preserve">and </w:t>
      </w:r>
      <w:r w:rsidRPr="003F7121">
        <w:rPr>
          <w:rFonts w:ascii="Times New Roman" w:hAnsi="Times New Roman" w:cs="Times New Roman"/>
          <w:i/>
          <w:iCs/>
          <w:sz w:val="24"/>
          <w:szCs w:val="24"/>
        </w:rPr>
        <w:t>L. acidophilus</w:t>
      </w:r>
      <w:r w:rsidRPr="003F7121">
        <w:rPr>
          <w:rFonts w:ascii="Times New Roman" w:hAnsi="Times New Roman" w:cs="Times New Roman"/>
          <w:sz w:val="24"/>
          <w:szCs w:val="24"/>
        </w:rPr>
        <w:t xml:space="preserve"> induced the interleukin (IL) such as IL-10 and CD4+ regulatory T (Treg) cells. Moreover, the administration of </w:t>
      </w:r>
      <w:r w:rsidRPr="003F7121">
        <w:rPr>
          <w:rFonts w:ascii="Times New Roman" w:hAnsi="Times New Roman" w:cs="Times New Roman"/>
          <w:i/>
          <w:iCs/>
          <w:sz w:val="24"/>
          <w:szCs w:val="24"/>
        </w:rPr>
        <w:t>L. Plantarum</w:t>
      </w:r>
      <w:r w:rsidRPr="003F7121">
        <w:rPr>
          <w:rFonts w:ascii="Times New Roman" w:hAnsi="Times New Roman" w:cs="Times New Roman"/>
          <w:sz w:val="24"/>
          <w:szCs w:val="24"/>
        </w:rPr>
        <w:t xml:space="preserve"> and </w:t>
      </w:r>
      <w:r w:rsidRPr="003F7121">
        <w:rPr>
          <w:rFonts w:ascii="Times New Roman" w:hAnsi="Times New Roman" w:cs="Times New Roman"/>
          <w:i/>
          <w:iCs/>
          <w:sz w:val="24"/>
          <w:szCs w:val="24"/>
        </w:rPr>
        <w:t>L. reuteri</w:t>
      </w:r>
      <w:r w:rsidRPr="003F7121">
        <w:rPr>
          <w:rFonts w:ascii="Times New Roman" w:hAnsi="Times New Roman" w:cs="Times New Roman"/>
          <w:sz w:val="24"/>
          <w:szCs w:val="24"/>
        </w:rPr>
        <w:t xml:space="preserve"> reduced inflammation while </w:t>
      </w:r>
      <w:r w:rsidRPr="003F7121">
        <w:rPr>
          <w:rFonts w:ascii="Times New Roman" w:hAnsi="Times New Roman" w:cs="Times New Roman"/>
          <w:i/>
          <w:iCs/>
          <w:sz w:val="24"/>
          <w:szCs w:val="24"/>
        </w:rPr>
        <w:t>L. rhamnosus</w:t>
      </w:r>
      <w:r w:rsidRPr="003F7121">
        <w:rPr>
          <w:rFonts w:ascii="Times New Roman" w:hAnsi="Times New Roman" w:cs="Times New Roman"/>
          <w:sz w:val="24"/>
          <w:szCs w:val="24"/>
        </w:rPr>
        <w:t xml:space="preserve"> and </w:t>
      </w:r>
      <w:r w:rsidRPr="003F7121">
        <w:rPr>
          <w:rFonts w:ascii="Times New Roman" w:hAnsi="Times New Roman" w:cs="Times New Roman"/>
          <w:i/>
          <w:iCs/>
          <w:sz w:val="24"/>
          <w:szCs w:val="24"/>
        </w:rPr>
        <w:t>B. lactis</w:t>
      </w:r>
      <w:r w:rsidRPr="003F7121">
        <w:rPr>
          <w:rFonts w:ascii="Times New Roman" w:hAnsi="Times New Roman" w:cs="Times New Roman"/>
          <w:sz w:val="24"/>
          <w:szCs w:val="24"/>
        </w:rPr>
        <w:t xml:space="preserve"> increased IFN-γ, IL-4, IL-10, and IL-6 in bronchoalveolar lavage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{"citationItems":[{"id":"ITEM-1","itemData":{"DOI":"10.1073/pnas.0504666102","ISSN":"0027-8424 (Print)","PMID":"16118271","abstract":"The identification of new virus species is a key issue for the study of infectious disease but is technically very difficult. We developed a system for large-scale molecular virus screening of clinical samples based on host DNA depletion, random PCR amplification, large-scale sequencing, and bioinformatics. The technology was applied to pooled human respiratory tract samples. The first experiments detected seven human virus species without the use of any specific reagent. Among the detected viruses were one coronavirus and one parvovirus, both of which were at that time uncharacterized. The parvovirus, provisionally named human bocavirus, was in a retrospective clinical study detected in 17 additional patients and associated with lower respiratory tract infections in children. The molecular virus screening procedure provides a general culture-independent solution to the problem of detecting unknown virus species in single or pooled samples. We suggest that a systematic exploration of the viruses that infect humans, \"the human virome,\" can be initiated.","author":[{"dropping-particle":"","family":"Allander","given":"Tobias","non-dropping-particle":"","parse-names":false,"suffix":""},{"dropping-particle":"","family":"Tammi","given":"Martti T","non-dropping-particle":"","parse-names":false,"suffix":""},{"dropping-particle":"","family":"Eriksson","given":"Margareta","non-dropping-particle":"","parse-names":false,"suffix":""},{"dropping-particle":"","family":"Bjerkner","given":"Annelie","non-dropping-particle":"","parse-names":false,"suffix":""},{"dropping-particle":"","family":"Tiveljung-Lindell","given":"Annika","non-dropping-particle":"","parse-names":false,"suffix":""},{"dropping-particle":"","family":"Andersson","given":"Bjorn","non-dropping-particle":"","parse-names":false,"suffix":""}],"container-title":"Proceedings of the National Academy of Sciences of the United States of America","id":"ITEM-1","issue":"36","issued":{"date-parts":[["2005","9"]]},"language":"eng","page":"12891-12896","publisher-place":"United States","title":"Cloning of a human parvovirus by molecular screening of respiratory tract samples.","type":"article-journal","volume":"102"},"uris":["http://www.mendeley.com/documents/?uuid=7a608193-9198-486e-bedb-887326370221","http://www.mendeley.com/documents/?uuid=dd34e405-4cdf-47de-b683-23732db35398"]}],"mendeley":{"formattedCitation":"[84]","plainTextFormattedCitation":"[84]","previouslyFormattedCitation":"[270]"},"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noProof/>
          <w:sz w:val="24"/>
          <w:szCs w:val="24"/>
        </w:rPr>
        <w:t>[84]</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Besides, probiotics can induce the level of Bcl2 (B cell lymphoma 2), which is responsible for the activation of cellular and humoral immunity leading to the activation and production of the cytokines along with Th1/Th2 expression.</w:t>
      </w:r>
    </w:p>
    <w:p w14:paraId="0C3ADB35" w14:textId="63194AFC" w:rsidR="005914AF" w:rsidRPr="003F7121" w:rsidRDefault="005914AF" w:rsidP="005914AF">
      <w:pPr>
        <w:spacing w:line="360" w:lineRule="auto"/>
        <w:ind w:firstLine="360"/>
        <w:jc w:val="both"/>
        <w:rPr>
          <w:rFonts w:ascii="Times New Roman" w:hAnsi="Times New Roman" w:cs="Times New Roman"/>
          <w:sz w:val="24"/>
          <w:szCs w:val="24"/>
        </w:rPr>
      </w:pPr>
      <w:r w:rsidRPr="003F7121">
        <w:rPr>
          <w:rFonts w:ascii="Times New Roman" w:hAnsi="Times New Roman" w:cs="Times New Roman"/>
          <w:sz w:val="24"/>
          <w:szCs w:val="24"/>
        </w:rPr>
        <w:t xml:space="preserve">Probiotics have also been studied for their influence on immune-related gene expression and activation of cytokines, depending on the contact-based mechanism. A study suggested that probiotics like </w:t>
      </w:r>
      <w:r w:rsidRPr="003F7121">
        <w:rPr>
          <w:rFonts w:ascii="Times New Roman" w:hAnsi="Times New Roman" w:cs="Times New Roman"/>
          <w:i/>
          <w:iCs/>
          <w:sz w:val="24"/>
          <w:szCs w:val="24"/>
        </w:rPr>
        <w:t>Lactobacillus</w:t>
      </w:r>
      <w:r w:rsidRPr="003F7121">
        <w:rPr>
          <w:rFonts w:ascii="Times New Roman" w:hAnsi="Times New Roman" w:cs="Times New Roman"/>
          <w:sz w:val="24"/>
          <w:szCs w:val="24"/>
        </w:rPr>
        <w:t xml:space="preserve"> mediates the expression of TLR2 which stimulates TNF-α while </w:t>
      </w:r>
      <w:r w:rsidRPr="003F7121">
        <w:rPr>
          <w:rFonts w:ascii="Times New Roman" w:hAnsi="Times New Roman" w:cs="Times New Roman"/>
          <w:i/>
          <w:iCs/>
          <w:sz w:val="24"/>
          <w:szCs w:val="24"/>
        </w:rPr>
        <w:t xml:space="preserve">Bifidobacterium longum </w:t>
      </w:r>
      <w:r w:rsidRPr="003F7121">
        <w:rPr>
          <w:rFonts w:ascii="Times New Roman" w:hAnsi="Times New Roman" w:cs="Times New Roman"/>
          <w:sz w:val="24"/>
          <w:szCs w:val="24"/>
        </w:rPr>
        <w:t xml:space="preserve">mediated expression of IL-10 and IL-12 via a contact-based mechanism that resulted in the modulation of T helper cell response in the gut and lung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{"citationItems":[{"id":"ITEM-1","itemData":{"author":[{"dropping-particle":"","family":"Cho","given":"Susan Sungsoo","non-dropping-particle":"","parse-names":false,"suffix":""},{"dropping-particle":"","family":"Finocchiaro","given":"Terry","non-dropping-particle":"","parse-names":false,"suffix":""}],"id":"ITEM-1","issued":{"date-parts":[["2009"]]},"publisher":"CRC Press","title":"Handbook of Prebiotics and Probiotics Ingredients: Health Benefits and Food Applications","type":"book"},"uris":["http://www.mendeley.com/documents/?uuid=24b023de-7bd9-4a5f-9b45-41a56e20f62b","http://www.mendeley.com/documents/?uuid=ee46c593-ab89-4995-8017-3e6f8d4fcb5d"]}],"mendeley":{"formattedCitation":"[110]","plainTextFormattedCitation":"[110]","previouslyFormattedCitation":"[285]"},"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noProof/>
          <w:sz w:val="24"/>
          <w:szCs w:val="24"/>
        </w:rPr>
        <w:t>[110]</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w:t>
      </w:r>
    </w:p>
    <w:p w14:paraId="48F8293D" w14:textId="74044CE2" w:rsidR="005914AF" w:rsidRPr="003F7121" w:rsidRDefault="005914AF" w:rsidP="005914AF">
      <w:pPr>
        <w:spacing w:line="360" w:lineRule="auto"/>
        <w:ind w:firstLine="360"/>
        <w:jc w:val="both"/>
        <w:rPr>
          <w:rFonts w:ascii="Times New Roman" w:hAnsi="Times New Roman" w:cs="Times New Roman"/>
          <w:sz w:val="24"/>
          <w:szCs w:val="24"/>
        </w:rPr>
      </w:pPr>
      <w:r w:rsidRPr="003F7121">
        <w:rPr>
          <w:rFonts w:ascii="Times New Roman" w:hAnsi="Times New Roman" w:cs="Times New Roman"/>
          <w:sz w:val="24"/>
          <w:szCs w:val="24"/>
        </w:rPr>
        <w:t>The oral administration of 10</w:t>
      </w:r>
      <w:r w:rsidRPr="003F7121">
        <w:rPr>
          <w:rFonts w:ascii="Times New Roman" w:hAnsi="Times New Roman" w:cs="Times New Roman"/>
          <w:sz w:val="24"/>
          <w:szCs w:val="24"/>
          <w:vertAlign w:val="superscript"/>
        </w:rPr>
        <w:t xml:space="preserve">9 </w:t>
      </w:r>
      <w:r w:rsidRPr="003F7121">
        <w:rPr>
          <w:rFonts w:ascii="Times New Roman" w:hAnsi="Times New Roman" w:cs="Times New Roman"/>
          <w:sz w:val="24"/>
          <w:szCs w:val="24"/>
        </w:rPr>
        <w:t xml:space="preserve">CFU of probiotics is known to be more effective that may exert long term homeostasis and immunomodulatory effect on the host. Oral administration of </w:t>
      </w:r>
      <w:r w:rsidRPr="003F7121">
        <w:rPr>
          <w:rFonts w:ascii="Times New Roman" w:hAnsi="Times New Roman" w:cs="Times New Roman"/>
          <w:i/>
          <w:iCs/>
          <w:sz w:val="24"/>
          <w:szCs w:val="24"/>
        </w:rPr>
        <w:t>Bifidobacterium bifidum</w:t>
      </w:r>
      <w:r w:rsidRPr="003F7121">
        <w:rPr>
          <w:rFonts w:ascii="Times New Roman" w:hAnsi="Times New Roman" w:cs="Times New Roman"/>
          <w:sz w:val="24"/>
          <w:szCs w:val="24"/>
        </w:rPr>
        <w:t xml:space="preserve"> and </w:t>
      </w:r>
      <w:r w:rsidRPr="003F7121">
        <w:rPr>
          <w:rFonts w:ascii="Times New Roman" w:hAnsi="Times New Roman" w:cs="Times New Roman"/>
          <w:i/>
          <w:iCs/>
          <w:sz w:val="24"/>
          <w:szCs w:val="24"/>
        </w:rPr>
        <w:t>B. breve</w:t>
      </w:r>
      <w:r w:rsidRPr="003F7121">
        <w:rPr>
          <w:rFonts w:ascii="Times New Roman" w:hAnsi="Times New Roman" w:cs="Times New Roman"/>
          <w:sz w:val="24"/>
          <w:szCs w:val="24"/>
        </w:rPr>
        <w:t xml:space="preserve"> have also been shown to increase humoral immune responses such as stimulation of IgA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{"citationItems":[{"id":"ITEM-1","itemData":{"DOI":"10.1159/000496426","ISSN":"0250-6807","abstract":"&lt;b&gt;&lt;i&gt;Background:&lt;/i&gt;&lt;/b&gt; The gastrointestinal tract is one of the most microbiologically active ecosystems that plays a crucial role in the working of the mucosal immune system (MIS). In this ecosystem, the consumed probiotics stimulate the immune system and induce a network of signals mediated by the whole bacteria or their cell wall structure. This review is aimed at describing the immunological mechanisms of probiotics and their beneficial effects on the host. &lt;b&gt;&lt;i&gt;Summary:&lt;/i&gt;&lt;/b&gt; Once administered, oral probiotic bacteria interact with the intestinal epithelial cells (IECs) or immune cells associated with the lamina propria, through Toll-like receptors, and induce the production of different cytokines or chemokines. Macrophage chemoattractant protein 1, produced by the IECs, sends signals to other immune cells leading to the activation of the MIS, characterized by an increase in immunoglobulin A&lt;sup&gt;+&lt;/sup&gt; cells of the intestine, bronchus and mammary glands, and the activation of T cells. Specifically, probiotics activate regulatory T cells that release IL-10. Interestingly, probiotics reinforce the intestinal barrier by an increase of the mucins, the tight junction proteins and the Goblet and Paneth cells. Another proposed mechanism of probiotics is the modulation of intestinal microbiota by maintaining the balance and suppressing the growth of potential pathogenic bacteria in the gut. Furthermore, it has been demonstrated that long-term probiotics consumption does not affect the intestinal homeostasis. The viability of probiotics is crucial in the interaction with IECs and macrophages favoring, mainly, the innate immune response. Macrophages and Dendritic cells (DCs) play an important role in this immune response without inducing an inflammatory pattern, just a slight increase in the cellularity of the lamina propria. Besides, as part of the machinery that probiotics activate to protect against different pathogens, an increase in the microbicidal activity of peritoneal and spleen macrophages has been reported. In malnutrition models, such as undernourishment and obesity, probiotic was able to increase the intestinal and systemic immune response. Furthermore, probiotics contribute to recover the histology of both the intestine and the thymus damaged in these conditions. Probiotic bacteria are emerging as a safe and natural strategy for allergy prevention and treatment. Different mechanisms such as the generation of cytokines from activated pro-…","author":[{"dropping-particle":"","family":"Maldonado Galdeano","given":"C","non-dropping-particle":"","parse-names":false,"suffix":""},{"dropping-particle":"","family":"Cazorla","given":"S I","non-dropping-particle":"","parse-names":false,"suffix":""},{"dropping-particle":"","family":"Lemme Dumit","given":"J M","non-dropping-particle":"","parse-names":false,"suffix":""},{"dropping-particle":"","family":"Vélez","given":"E","non-dropping-particle":"","parse-names":false,"suffix":""},{"dropping-particle":"","family":"Perdigón","given":"G","non-dropping-particle":"","parse-names":false,"suffix":""}],"container-title":"Annals of Nutrition and Metabolism","id":"ITEM-1","issue":"2","issued":{"date-parts":[["2019"]]},"page":"115-124","title":"Beneficial Effects of Probiotic Consumption on the Immune System","type":"article-journal","volume":"74"},"uris":["http://www.mendeley.com/documents/?uuid=f127b6b8-2317-4b40-8fd3-f8f11215d908","http://www.mendeley.com/documents/?uuid=c0c73f6b-3abb-4f9c-8f3c-06986d0475e9"]}],"mendeley":{"formattedCitation":"[111]","plainTextFormattedCitation":"[111]","previouslyFormattedCitation":"[287]"},"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noProof/>
          <w:sz w:val="24"/>
          <w:szCs w:val="24"/>
        </w:rPr>
        <w:t>[111]</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Thus, probiotics also show the possibility to use as a live vaccine for oral immunization. </w:t>
      </w:r>
      <w:proofErr w:type="spellStart"/>
      <w:r w:rsidRPr="003F7121">
        <w:rPr>
          <w:rFonts w:ascii="Times New Roman" w:hAnsi="Times New Roman" w:cs="Times New Roman"/>
          <w:sz w:val="24"/>
          <w:szCs w:val="24"/>
        </w:rPr>
        <w:t>Moeini</w:t>
      </w:r>
      <w:proofErr w:type="spellEnd"/>
      <w:r w:rsidRPr="003F7121">
        <w:rPr>
          <w:rFonts w:ascii="Times New Roman" w:hAnsi="Times New Roman" w:cs="Times New Roman"/>
          <w:sz w:val="24"/>
          <w:szCs w:val="24"/>
        </w:rPr>
        <w:t xml:space="preserve"> et al. (2011) used </w:t>
      </w:r>
      <w:r w:rsidRPr="003F7121">
        <w:rPr>
          <w:rFonts w:ascii="Times New Roman" w:hAnsi="Times New Roman" w:cs="Times New Roman"/>
          <w:i/>
          <w:iCs/>
          <w:sz w:val="24"/>
          <w:szCs w:val="24"/>
        </w:rPr>
        <w:t>L. acidophilus</w:t>
      </w:r>
      <w:r w:rsidRPr="003F7121">
        <w:rPr>
          <w:rFonts w:ascii="Times New Roman" w:hAnsi="Times New Roman" w:cs="Times New Roman"/>
          <w:sz w:val="24"/>
          <w:szCs w:val="24"/>
        </w:rPr>
        <w:t xml:space="preserve"> as a live vehicle for oral immunization against chicken anaemia virus (CAV). The ACMA-binding domains present on the surface of </w:t>
      </w:r>
      <w:r w:rsidRPr="003F7121">
        <w:rPr>
          <w:rFonts w:ascii="Times New Roman" w:hAnsi="Times New Roman" w:cs="Times New Roman"/>
          <w:i/>
          <w:iCs/>
          <w:sz w:val="24"/>
          <w:szCs w:val="24"/>
        </w:rPr>
        <w:t>Lactococcus lactis</w:t>
      </w:r>
      <w:r w:rsidRPr="003F7121">
        <w:rPr>
          <w:rFonts w:ascii="Times New Roman" w:hAnsi="Times New Roman" w:cs="Times New Roman"/>
          <w:sz w:val="24"/>
          <w:szCs w:val="24"/>
        </w:rPr>
        <w:t xml:space="preserve"> were used to display the viral protein 1 (VP1) CAV on </w:t>
      </w:r>
      <w:r w:rsidRPr="003F7121">
        <w:rPr>
          <w:rFonts w:ascii="Times New Roman" w:hAnsi="Times New Roman" w:cs="Times New Roman"/>
          <w:i/>
          <w:iCs/>
          <w:sz w:val="24"/>
          <w:szCs w:val="24"/>
        </w:rPr>
        <w:t>L. acidophilus</w:t>
      </w:r>
      <w:r w:rsidRPr="003F7121">
        <w:rPr>
          <w:rFonts w:ascii="Times New Roman" w:hAnsi="Times New Roman" w:cs="Times New Roman"/>
          <w:sz w:val="24"/>
          <w:szCs w:val="24"/>
        </w:rPr>
        <w:t xml:space="preserve"> to immunize specific-pathogen-free chickens through the oral route. The immunization increased the levels of Th1 cytokines, such as IL-2, IL-12, and IFN-γ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{"citationItems":[{"id":"ITEM-1","itemData":{"DOI":"10.1007/s00253-010-3050-0","ISSN":"1432-0614 (Electronic)","PMID":"21181148","abstract":"The AcmA binding domains of Lactococcus lactis were used to display the VP1 protein  of chicken anemia virus (CAV) on Lactobacillus acidophilus. One and two repeats of the cell wall binding domain of acmA gene were amplified from L. lactis MG1363 genome and then inserted into co-expression vector, pBudCE4.1. The VP1 gene of CAV was then fused to the acmA sequences and the VP2 gene was cloned into the second MCS of the same vector before transformation into Escherichia coli. The expressed recombinant proteins were purified using a His-tag affinity column and mixed with a culture of L. acidophilus. Whole cell ELISA and immunofluorescence assay showed the binding of the recombinant VP1 protein on the surface of the bacterial cells. The lactobacilli cells carrying the CAV VP1 protein were used to immunize specific pathogen-free chickens through the oral route. A moderate level of neutralizing antibody to CAV was detected in the serum of the immunized chickens. A VP1-specific proliferative response was observed in splenocytes of the chickens after oral immunization. The vaccinated groups also showed increased levels of Th1 cytokines interleukin (IL)-2, IL-12, and IFN-γ. These observations suggest that L. acidophilus can be used in the delivery of vaccines to chickens.","author":[{"dropping-particle":"","family":"Moeini","given":"Hassan","non-dropping-particle":"","parse-names":false,"suffix":""},{"dropping-particle":"","family":"Rahim","given":"Raha Abdul","non-dropping-particle":"","parse-names":false,"suffix":""},{"dropping-particle":"","family":"Omar","given":"Abdul Rahman","non-dropping-particle":"","parse-names":false,"suffix":""},{"dropping-particle":"","family":"Shafee","given":"Norazizah","non-dropping-particle":"","parse-names":false,"suffix":""},{"dropping-particle":"","family":"Yusoff","given":"Khatijah","non-dropping-particle":"","parse-names":false,"suffix":""}],"container-title":"Applied microbiology and biotechnology","id":"ITEM-1","issue":"1","issued":{"date-parts":[["2011","4"]]},"language":"eng","page":"77-88","publisher-place":"Germany","title":"Lactobacillus acidophilus as a live vehicle for oral immunization against chicken  anemia virus.","type":"article-journal","volume":"90"},"uris":["http://www.mendeley.com/documents/?uuid=11a10705-0908-4161-a0da-4184459f910e","http://www.mendeley.com/documents/?uuid=c59237df-36f3-4900-aa98-391e1b061257"]}],"mendeley":{"formattedCitation":"[112]","plainTextFormattedCitation":"[112]","previouslyFormattedCitation":"[288]"},"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bCs/>
          <w:noProof/>
          <w:sz w:val="24"/>
          <w:szCs w:val="24"/>
          <w:lang w:val="en-US"/>
        </w:rPr>
        <w:t>[112]</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 xml:space="preserve">. Furthermore, some studies have shown that probiotics can enhance the outcome of influenza virus infection when administered through the nasal pathway. The nasal administration of </w:t>
      </w:r>
      <w:r w:rsidRPr="003F7121">
        <w:rPr>
          <w:rFonts w:ascii="Times New Roman" w:hAnsi="Times New Roman" w:cs="Times New Roman"/>
          <w:i/>
          <w:iCs/>
          <w:sz w:val="24"/>
          <w:szCs w:val="24"/>
        </w:rPr>
        <w:t>Lactobacillus rhamnosus</w:t>
      </w:r>
      <w:r w:rsidRPr="003F7121">
        <w:rPr>
          <w:rFonts w:ascii="Times New Roman" w:hAnsi="Times New Roman" w:cs="Times New Roman"/>
          <w:sz w:val="24"/>
          <w:szCs w:val="24"/>
        </w:rPr>
        <w:t xml:space="preserve"> strains CRL1505 and CRL1506 were able to improve respiratory antiviral defences and beneficially modulated the immune response by triggering the TLR3 and PRR (RIG-I, a retinoic acid-inducible gene I) against the respiratory syncytial virus (RSV) </w:t>
      </w:r>
      <w:r w:rsidRPr="003F7121">
        <w:rPr>
          <w:rStyle w:val="FootnoteReference"/>
          <w:rFonts w:ascii="Times New Roman" w:hAnsi="Times New Roman" w:cs="Times New Roman"/>
          <w:sz w:val="24"/>
          <w:szCs w:val="24"/>
        </w:rPr>
        <w:fldChar w:fldCharType="begin" w:fldLock="1"/>
      </w:r>
      <w:r w:rsidRPr="003F7121">
        <w:rPr>
          <w:rFonts w:ascii="Times New Roman" w:hAnsi="Times New Roman" w:cs="Times New Roman"/>
          <w:sz w:val="24"/>
          <w:szCs w:val="24"/>
        </w:rPr>
        <w:instrText>ADDIN CSL_CITATION {"citationItems":[{"id":"ITEM-1","itemData":{"DOI":"10.1186/1471-2172-14-40","ISSN":"1471-2172 (Electronic)","PMID":"23947615","abstract":"BACKGROUND: Some studies have shown that nasally administered immunobiotics had the potential to improve the outcome of influenza virus infection. However, the capacity of immunobiotics to improve protection against respiratory syncytial virus (RSV) infection was not investigated before. OBJECTIVE: The aims of this study were: a) to evaluate whether the nasal administration of Lactobacillus rhamnosus CRL1505 (Lr05) and L. rhamnosus CRL1506 (Lr06) are able to improve respiratory antiviral defenses and beneficially modulate the immune response triggered by TLR3/RIG-I activation; b) to investigate whether viability of Lr05 or Lr06 is indispensable to modulate respiratory immunity and; c) to evaluate the capacity of Lr05 and Lr06 to improve the resistance of infant mice against RSV infection. RESULTS: Nasally administered Lr05 and Lr06 differentially modulated the TLR3/RIG-I-triggered antiviral respiratory immune response. Lr06 administration significantly modulated the production of IFN-alpha, IFN-beta and IL-6 in the response to poly(I:C) challenge, while nasal priming with Lr05 was more effective to improve levels of IFN-gamma and IL-10. Both viable Lr05 and Lr06 strains increased the resistance of infant mice to RSV infection while only heat-killed Lr05 showed a protective effect similar to those observed with viable strains. CONCLUSIONS: The present work demonstrated that nasal administration of immunobiotics is able to beneficially modulate the immune response triggered by TLR3/RIG-I activation in the respiratory tract and to increase the resistance of mice to the challenge with RSV. Comparative studies using two Lactobacillus rhamnosus strains of the same origin and with similar technological properties showed that each strain has an specific immunoregulatory effect in the respiratory tract and that they differentially modulate the immune response after poly(I:C) or RSV challenges, conferring different degree of protection and using distinct immune mechanisms. We also demonstrated in this work that it is possible to beneficially modulate the respiratory defenses against RSV by using heat-killed immunobiotics.","author":[{"dropping-particle":"","family":"Tomosada","given":"Yohsuke","non-dropping-particle":"","parse-names":false,"suffix":""},{"dropping-particle":"","family":"Chiba","given":"Eriko","non-dropping-particle":"","parse-names":false,"suffix":""},{"dropping-particle":"","family":"Zelaya","given":"Hortensia","non-dropping-particle":"","parse-names":false,"suffix":""},{"dropping-particle":"","family":"Takahashi","given":"Takuya","non-dropping-particle":"","parse-names":false,"suffix":""},{"dropping-particle":"","family":"Tsukida","given":"Kohichiro","non-dropping-particle":"","parse-names":false,"suffix":""},{"dropping-particle":"","family":"Kitazawa","given":"Haruki","non-dropping-particle":"","parse-names":false,"suffix":""},{"dropping-particle":"","family":"Alvarez","given":"Susana","non-dropping-particle":"","parse-names":false,"suffix":""},{"dropping-particle":"","family":"Villena","given":"Julio","non-dropping-particle":"","parse-names":false,"suffix":""}],"container-title":"BMC immunology","id":"ITEM-1","issued":{"date-parts":[["2013","8"]]},"language":"eng","page":"40","publisher-place":"England","title":"Nasally administered Lactobacillus rhamnosus strains differentially modulate respiratory antiviral immune responses and induce protection against respiratory syncytial virus infection.","type":"article-journal","volume":"14"},"uris":["http://www.mendeley.com/documents/?uuid=0fb9bf03-7548-4c88-82b8-0fd622582d99","http://www.mendeley.com/documents/?uuid=12057e70-211f-4f66-a8bf-33899832a78f"]}],"mendeley":{"formattedCitation":"[113]","plainTextFormattedCitation":"[113]","previouslyFormattedCitation":"[289]"},"properties":{"noteIndex":0},"schema":"https://github.com/citation-style-language/schema/raw/master/csl-citation.json"}</w:instrText>
      </w:r>
      <w:r w:rsidRPr="003F7121">
        <w:rPr>
          <w:rStyle w:val="FootnoteReference"/>
          <w:rFonts w:ascii="Times New Roman" w:hAnsi="Times New Roman" w:cs="Times New Roman"/>
          <w:sz w:val="24"/>
          <w:szCs w:val="24"/>
        </w:rPr>
        <w:fldChar w:fldCharType="separate"/>
      </w:r>
      <w:r w:rsidRPr="003F7121">
        <w:rPr>
          <w:rFonts w:ascii="Times New Roman" w:hAnsi="Times New Roman" w:cs="Times New Roman"/>
          <w:noProof/>
          <w:sz w:val="24"/>
          <w:szCs w:val="24"/>
        </w:rPr>
        <w:t>[113]</w:t>
      </w:r>
      <w:r w:rsidRPr="003F7121">
        <w:rPr>
          <w:rStyle w:val="FootnoteReference"/>
          <w:rFonts w:ascii="Times New Roman" w:hAnsi="Times New Roman" w:cs="Times New Roman"/>
          <w:sz w:val="24"/>
          <w:szCs w:val="24"/>
        </w:rPr>
        <w:fldChar w:fldCharType="end"/>
      </w:r>
      <w:r w:rsidRPr="003F7121">
        <w:rPr>
          <w:rFonts w:ascii="Times New Roman" w:hAnsi="Times New Roman" w:cs="Times New Roman"/>
          <w:sz w:val="24"/>
          <w:szCs w:val="24"/>
        </w:rPr>
        <w:t>.</w:t>
      </w:r>
    </w:p>
    <w:p w14:paraId="7352F0B5" w14:textId="77777777" w:rsidR="005914AF" w:rsidRPr="003F7121" w:rsidRDefault="005914AF" w:rsidP="005914AF">
      <w:pPr>
        <w:spacing w:line="360" w:lineRule="auto"/>
        <w:ind w:firstLine="360"/>
        <w:jc w:val="both"/>
        <w:rPr>
          <w:rFonts w:ascii="Times New Roman" w:hAnsi="Times New Roman" w:cs="Times New Roman"/>
          <w:sz w:val="24"/>
          <w:szCs w:val="24"/>
        </w:rPr>
      </w:pPr>
      <w:r w:rsidRPr="003F7121">
        <w:rPr>
          <w:rFonts w:ascii="Times New Roman" w:hAnsi="Times New Roman" w:cs="Times New Roman"/>
          <w:sz w:val="24"/>
          <w:szCs w:val="24"/>
        </w:rPr>
        <w:t xml:space="preserve">It has been now clear that probiotics are microbiota that works as a potential barrier in the case of any viral attack through immunomodulation as described earlier (Figure 1). It may act indirectly through competitive inhibition or directly via the interaction of immune cells by </w:t>
      </w:r>
      <w:r w:rsidRPr="003F7121">
        <w:rPr>
          <w:rFonts w:ascii="Times New Roman" w:hAnsi="Times New Roman" w:cs="Times New Roman"/>
          <w:sz w:val="24"/>
          <w:szCs w:val="24"/>
        </w:rPr>
        <w:lastRenderedPageBreak/>
        <w:t>producing chemokines, and cytokines, and also be involved in other immunologic pathways. In light of this information, we can anticipate the possible role of these probiotics in the protection or reduction of the SARS-CoV2 infection. In this context, a model has been represented here showing the expected immunomodulatory role of probiotics along with prebiotics which may take place on the onset of SARS-CoV2 infection in a more or less similar way.</w:t>
      </w:r>
    </w:p>
    <w:bookmarkEnd w:id="4"/>
    <w:p w14:paraId="4FE95101" w14:textId="77777777" w:rsidR="005914AF" w:rsidRPr="003F7121" w:rsidRDefault="005914AF" w:rsidP="005914AF">
      <w:pPr>
        <w:spacing w:line="360" w:lineRule="auto"/>
        <w:jc w:val="both"/>
        <w:rPr>
          <w:rFonts w:ascii="Times New Roman" w:hAnsi="Times New Roman" w:cs="Times New Roman"/>
          <w:sz w:val="24"/>
          <w:szCs w:val="24"/>
        </w:rPr>
      </w:pPr>
      <w:r w:rsidRPr="003F7121">
        <w:rPr>
          <w:rFonts w:ascii="Times New Roman" w:hAnsi="Times New Roman" w:cs="Times New Roman"/>
          <w:noProof/>
          <w:sz w:val="24"/>
          <w:szCs w:val="24"/>
        </w:rPr>
        <w:drawing>
          <wp:inline distT="0" distB="0" distL="0" distR="0" wp14:anchorId="1BAA5449" wp14:editId="70703781">
            <wp:extent cx="5677339" cy="325755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9887" cy="3276225"/>
                    </a:xfrm>
                    <a:prstGeom prst="rect">
                      <a:avLst/>
                    </a:prstGeom>
                    <a:noFill/>
                    <a:ln w="9525">
                      <a:solidFill>
                        <a:schemeClr val="tx1"/>
                      </a:solidFill>
                    </a:ln>
                  </pic:spPr>
                </pic:pic>
              </a:graphicData>
            </a:graphic>
          </wp:inline>
        </w:drawing>
      </w:r>
    </w:p>
    <w:p w14:paraId="44D579F1" w14:textId="77777777" w:rsidR="005914AF" w:rsidRPr="003F7121" w:rsidRDefault="005914AF" w:rsidP="005914AF">
      <w:pPr>
        <w:spacing w:line="360" w:lineRule="auto"/>
        <w:jc w:val="both"/>
        <w:rPr>
          <w:rFonts w:ascii="Times New Roman" w:hAnsi="Times New Roman" w:cs="Times New Roman"/>
          <w:sz w:val="24"/>
          <w:szCs w:val="24"/>
        </w:rPr>
      </w:pPr>
      <w:r w:rsidRPr="003F7121">
        <w:rPr>
          <w:rFonts w:ascii="Times New Roman" w:hAnsi="Times New Roman" w:cs="Times New Roman"/>
          <w:sz w:val="24"/>
          <w:szCs w:val="24"/>
        </w:rPr>
        <w:t>Figure no. 1 Anticipation of the Role of probiotics in immunomodulatory</w:t>
      </w:r>
    </w:p>
    <w:p w14:paraId="4CB3DF94" w14:textId="77777777" w:rsidR="005914AF" w:rsidRPr="003F7121" w:rsidRDefault="005914AF" w:rsidP="005914AF">
      <w:pPr>
        <w:spacing w:line="360" w:lineRule="auto"/>
        <w:jc w:val="both"/>
        <w:rPr>
          <w:rFonts w:ascii="Times New Roman" w:hAnsi="Times New Roman" w:cs="Times New Roman"/>
          <w:b/>
          <w:bCs/>
          <w:sz w:val="24"/>
          <w:szCs w:val="24"/>
        </w:rPr>
      </w:pPr>
      <w:r w:rsidRPr="003F7121">
        <w:rPr>
          <w:rFonts w:ascii="Times New Roman" w:hAnsi="Times New Roman" w:cs="Times New Roman"/>
          <w:b/>
          <w:bCs/>
          <w:sz w:val="24"/>
          <w:szCs w:val="24"/>
        </w:rPr>
        <w:t>Conclusion</w:t>
      </w:r>
    </w:p>
    <w:p w14:paraId="2B95001E" w14:textId="77777777" w:rsidR="005914AF" w:rsidRPr="003F7121" w:rsidRDefault="005914AF" w:rsidP="005914AF">
      <w:pPr>
        <w:spacing w:line="360" w:lineRule="auto"/>
        <w:jc w:val="both"/>
        <w:rPr>
          <w:rFonts w:ascii="Times New Roman" w:hAnsi="Times New Roman" w:cs="Times New Roman"/>
          <w:b/>
          <w:bCs/>
          <w:sz w:val="24"/>
          <w:szCs w:val="24"/>
        </w:rPr>
      </w:pPr>
      <w:r w:rsidRPr="003F7121">
        <w:rPr>
          <w:rFonts w:ascii="Times New Roman" w:hAnsi="Times New Roman" w:cs="Times New Roman"/>
          <w:sz w:val="24"/>
          <w:szCs w:val="24"/>
        </w:rPr>
        <w:t>Role of gut microbiome in our body is extensively hot topic of research. These microorganisms are extremely important for production of enzymes, vitamins, biomolecules and modulation of metabolic pathways and immune system. The main problem is the lack of specificity in target-oriented modulation of the microbiota and metabolites. This limitation can be addressed using nanotechnology. Research on nanomedicine formulations for diagnostic and therapeutic purposes has produced a number of successful platforms, including those for integrated diagnosis, targeted drug delivery, and therapeutics. Using nanoparticles as a delivery system for gut microbiota influences the route of biomarker detection and the route of the interaction of nanoparticles with target cells. In this chapter we discussed how different diseases are correlated with gut microbial profile and reverting dysbiosis can solve the problem with intervention of nanotechnology.</w:t>
      </w:r>
    </w:p>
    <w:p w14:paraId="0E324017" w14:textId="19EEEBB5" w:rsidR="00903853" w:rsidRPr="003F7121" w:rsidRDefault="005914AF" w:rsidP="005914AF">
      <w:pPr>
        <w:spacing w:line="360" w:lineRule="auto"/>
        <w:jc w:val="both"/>
        <w:rPr>
          <w:rFonts w:ascii="Times New Roman" w:hAnsi="Times New Roman" w:cs="Times New Roman"/>
          <w:sz w:val="24"/>
          <w:szCs w:val="24"/>
        </w:rPr>
      </w:pPr>
      <w:r w:rsidRPr="003F7121">
        <w:rPr>
          <w:rFonts w:ascii="Times New Roman" w:hAnsi="Times New Roman" w:cs="Times New Roman"/>
          <w:sz w:val="24"/>
          <w:szCs w:val="24"/>
        </w:rPr>
        <w:lastRenderedPageBreak/>
        <w:t>References:</w:t>
      </w:r>
    </w:p>
    <w:p w14:paraId="196A32D6" w14:textId="34DDC924"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 xml:space="preserve">ADDIN Mendeley Bibliography CSL_BIBLIOGRAPHY </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[1]</w:t>
      </w:r>
      <w:r w:rsidRPr="003F7121">
        <w:rPr>
          <w:rFonts w:ascii="Times New Roman" w:hAnsi="Times New Roman" w:cs="Times New Roman"/>
          <w:noProof/>
          <w:sz w:val="24"/>
          <w:szCs w:val="24"/>
        </w:rPr>
        <w:tab/>
        <w:t>Jernberg C, Löfmark S, Edlund C, Jansson JK. Long-term ecological impacts of antibiotic administration on the human intestinal  microbiota. 2007; 1: 56–66.</w:t>
      </w:r>
    </w:p>
    <w:p w14:paraId="1A2CFDE8"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[2]</w:t>
      </w:r>
      <w:r w:rsidRPr="003F7121">
        <w:rPr>
          <w:rFonts w:ascii="Times New Roman" w:hAnsi="Times New Roman" w:cs="Times New Roman"/>
          <w:noProof/>
          <w:sz w:val="24"/>
          <w:szCs w:val="24"/>
        </w:rPr>
        <w:tab/>
        <w:t>Kathade SA, Aswani MA, Anand PK, Jagtap S, Bipinraj NK. Isolation of Lactobacillus from donkey dung and its probiotic characterization 2020; 56: 160–69.</w:t>
      </w:r>
    </w:p>
    <w:p w14:paraId="4B156FAB"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[3]</w:t>
      </w:r>
      <w:r w:rsidRPr="003F7121">
        <w:rPr>
          <w:rFonts w:ascii="Times New Roman" w:hAnsi="Times New Roman" w:cs="Times New Roman"/>
          <w:noProof/>
          <w:sz w:val="24"/>
          <w:szCs w:val="24"/>
        </w:rPr>
        <w:tab/>
        <w:t>Ganguly N, Bhattacharya S, Sesikeran B, Nair G, Ramakrishna B, Sachdev HPS, et al. ICMR-DBT Guidelines for Evaluation of Probiotics in Food 2011; 134: 22–25.</w:t>
      </w:r>
    </w:p>
    <w:p w14:paraId="1069CA6A"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[4]</w:t>
      </w:r>
      <w:r w:rsidRPr="003F7121">
        <w:rPr>
          <w:rFonts w:ascii="Times New Roman" w:hAnsi="Times New Roman" w:cs="Times New Roman"/>
          <w:noProof/>
          <w:sz w:val="24"/>
          <w:szCs w:val="24"/>
        </w:rPr>
        <w:tab/>
        <w:t>Kathade SA, Aswani MA, Anand PK, Kunchiraman BN. Probiotic characterization and cholesterol assimilation ability of Pichia kudriavzevii isolated from the gut of the edible freshwater snail “ Pila globosa ”. disease . 2020; 24: 23–39.</w:t>
      </w:r>
    </w:p>
    <w:p w14:paraId="45870F70"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[5]</w:t>
      </w:r>
      <w:r w:rsidRPr="003F7121">
        <w:rPr>
          <w:rFonts w:ascii="Times New Roman" w:hAnsi="Times New Roman" w:cs="Times New Roman"/>
          <w:noProof/>
          <w:sz w:val="24"/>
          <w:szCs w:val="24"/>
        </w:rPr>
        <w:tab/>
        <w:t>Aswani MA, Kathade SA, Anand PK, Kunchiraman BN, Dhumma PR, Jagtap SD. Probiotic Characterization of Cholesterol-Lowering Saccharomyces cerevisiae Isolated from Frass of Pyrrharctia isabella Caterpillars 2021; 8: 189–98.</w:t>
      </w:r>
    </w:p>
    <w:p w14:paraId="696807BD"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[6]</w:t>
      </w:r>
      <w:r w:rsidRPr="003F7121">
        <w:rPr>
          <w:rFonts w:ascii="Times New Roman" w:hAnsi="Times New Roman" w:cs="Times New Roman"/>
          <w:noProof/>
          <w:sz w:val="24"/>
          <w:szCs w:val="24"/>
        </w:rPr>
        <w:tab/>
        <w:t>Dudek-Wicher RK, Junka A, Bartoszewicz M. The influence of antibiotics and dietary components on gut microbiota 2018; 13: 85–92.</w:t>
      </w:r>
    </w:p>
    <w:p w14:paraId="56FDC582"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[7]</w:t>
      </w:r>
      <w:r w:rsidRPr="003F7121">
        <w:rPr>
          <w:rFonts w:ascii="Times New Roman" w:hAnsi="Times New Roman" w:cs="Times New Roman"/>
          <w:noProof/>
          <w:sz w:val="24"/>
          <w:szCs w:val="24"/>
        </w:rPr>
        <w:tab/>
        <w:t>Dethlefsen L, Relman DA. Incomplete recovery and individualized responses of the human distal gut microbiota to repeated antibiotic perturbation 2011; 108: 4554–61.</w:t>
      </w:r>
    </w:p>
    <w:p w14:paraId="608F02FC"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[8]</w:t>
      </w:r>
      <w:r w:rsidRPr="003F7121">
        <w:rPr>
          <w:rFonts w:ascii="Times New Roman" w:hAnsi="Times New Roman" w:cs="Times New Roman"/>
          <w:noProof/>
          <w:sz w:val="24"/>
          <w:szCs w:val="24"/>
        </w:rPr>
        <w:tab/>
        <w:t>Hudson LE, McDermott CD, Stewart TP, Hudson WH, Rios D, Fasken MB, et al. Characterization of the probiotic yeast Saccharomyces boulardii in the healthy mucosal immune system 2016; 11: 1–21.</w:t>
      </w:r>
    </w:p>
    <w:p w14:paraId="697279ED"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[9]</w:t>
      </w:r>
      <w:r w:rsidRPr="003F7121">
        <w:rPr>
          <w:rFonts w:ascii="Times New Roman" w:hAnsi="Times New Roman" w:cs="Times New Roman"/>
          <w:noProof/>
          <w:sz w:val="24"/>
          <w:szCs w:val="24"/>
        </w:rPr>
        <w:tab/>
        <w:t>Rastogi A, Singh P, Haraz FA BA. Biological synthesis of nanoparticles: an environmentally benign approach. In: Fundamentals of Nanoparticles. Elsevier Inc, Typeset by Thomson Digit. India.; 2018; pp. 571–604.</w:t>
      </w:r>
    </w:p>
    <w:p w14:paraId="67BC6704"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[10]</w:t>
      </w:r>
      <w:r w:rsidRPr="003F7121">
        <w:rPr>
          <w:rFonts w:ascii="Times New Roman" w:hAnsi="Times New Roman" w:cs="Times New Roman"/>
          <w:noProof/>
          <w:sz w:val="24"/>
          <w:szCs w:val="24"/>
        </w:rPr>
        <w:tab/>
        <w:t>Taniguchi N, Arakawa C KT. On the basic concept of ‘nano- technology’. In: Proceedings of the international conference on production engineering. Japan Soc. Precis. Eng. Tokyo.; 1974; pp. 18–23.</w:t>
      </w:r>
    </w:p>
    <w:p w14:paraId="41C8F033"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[11]</w:t>
      </w:r>
      <w:r w:rsidRPr="003F7121">
        <w:rPr>
          <w:rFonts w:ascii="Times New Roman" w:hAnsi="Times New Roman" w:cs="Times New Roman"/>
          <w:noProof/>
          <w:sz w:val="24"/>
          <w:szCs w:val="24"/>
        </w:rPr>
        <w:tab/>
        <w:t>KW G. An overview of green nanotechnology. In: Bio-nanotechnology: a revolution in food, biomedical and health sciences. Blackwell Publ. Ltd, Oxford.; 2013; pp. 311–54.</w:t>
      </w:r>
    </w:p>
    <w:p w14:paraId="54B3B602"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[12]</w:t>
      </w:r>
      <w:r w:rsidRPr="003F7121">
        <w:rPr>
          <w:rFonts w:ascii="Times New Roman" w:hAnsi="Times New Roman" w:cs="Times New Roman"/>
          <w:noProof/>
          <w:sz w:val="24"/>
          <w:szCs w:val="24"/>
        </w:rPr>
        <w:tab/>
        <w:t>Saini R, Saini S, Sharma S. Nanotechnology: The future medicine 2010; 3: 32.</w:t>
      </w:r>
    </w:p>
    <w:p w14:paraId="0D5A50A2"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[13]</w:t>
      </w:r>
      <w:r w:rsidRPr="003F7121">
        <w:rPr>
          <w:rFonts w:ascii="Times New Roman" w:hAnsi="Times New Roman" w:cs="Times New Roman"/>
          <w:noProof/>
          <w:sz w:val="24"/>
          <w:szCs w:val="24"/>
        </w:rPr>
        <w:tab/>
        <w:t>Gismondo MR, Drago L, Lombardi A. Review of probiotics available to modify gastrointestinal flora. 1999; 12: 287–92.</w:t>
      </w:r>
    </w:p>
    <w:p w14:paraId="5CD40B86"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[14]</w:t>
      </w:r>
      <w:r w:rsidRPr="003F7121">
        <w:rPr>
          <w:rFonts w:ascii="Times New Roman" w:hAnsi="Times New Roman" w:cs="Times New Roman"/>
          <w:noProof/>
          <w:sz w:val="24"/>
          <w:szCs w:val="24"/>
        </w:rPr>
        <w:tab/>
        <w:t>Ma C, Zhang S, Lu J, Zhang C, Pang X, Lv J. Screening for Cholesterol-Lowering Probiotics from Lactic Acid Bacteria Isolated from Corn Silage Based on Three Hypothesized Pathways 2019; 20: 2073.</w:t>
      </w:r>
    </w:p>
    <w:p w14:paraId="4DCB081E"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[15]</w:t>
      </w:r>
      <w:r w:rsidRPr="003F7121">
        <w:rPr>
          <w:rFonts w:ascii="Times New Roman" w:hAnsi="Times New Roman" w:cs="Times New Roman"/>
          <w:noProof/>
          <w:sz w:val="24"/>
          <w:szCs w:val="24"/>
        </w:rPr>
        <w:tab/>
        <w:t>Sanders ME, Merenstein DJ, Reid G, Gibson GR, Rastall RA. Probiotics and prebiotics in intestinal health and disease: from biology to the clinic 2019; 16: 605–16.</w:t>
      </w:r>
    </w:p>
    <w:p w14:paraId="01034B15"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[16]</w:t>
      </w:r>
      <w:r w:rsidRPr="003F7121">
        <w:rPr>
          <w:rFonts w:ascii="Times New Roman" w:hAnsi="Times New Roman" w:cs="Times New Roman"/>
          <w:noProof/>
          <w:sz w:val="24"/>
          <w:szCs w:val="24"/>
        </w:rPr>
        <w:tab/>
        <w:t>Mardini HE, Grigorian AY. Probiotic mix VSL#3 is effective adjunctive therapy for mild to moderately active  ulcerative colitis: a meta-analysis. 2014; 20: 1562–67.</w:t>
      </w:r>
    </w:p>
    <w:p w14:paraId="7664127B"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[17]</w:t>
      </w:r>
      <w:r w:rsidRPr="003F7121">
        <w:rPr>
          <w:rFonts w:ascii="Times New Roman" w:hAnsi="Times New Roman" w:cs="Times New Roman"/>
          <w:noProof/>
          <w:sz w:val="24"/>
          <w:szCs w:val="24"/>
        </w:rPr>
        <w:tab/>
        <w:t>Duvallet C, Gibbons SM, Gurry T, Irizarry RA, Alm EJ. Meta-analysis of gut microbiome studies identifies disease-specific and shared responses 2017; 8.</w:t>
      </w:r>
    </w:p>
    <w:p w14:paraId="7825FF2E"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[18]</w:t>
      </w:r>
      <w:r w:rsidRPr="003F7121">
        <w:rPr>
          <w:rFonts w:ascii="Times New Roman" w:hAnsi="Times New Roman" w:cs="Times New Roman"/>
          <w:noProof/>
          <w:sz w:val="24"/>
          <w:szCs w:val="24"/>
        </w:rPr>
        <w:tab/>
        <w:t>Zhu L, Baker SS, Gill C, Liu W, Alkhouri R, Baker RD, et al. Characterization of gut microbiomes in nonalcoholic steatohepatitis (NASH) patients:  a connection between endogenous alcohol and NASH. 2013; 57: 601–9.</w:t>
      </w:r>
    </w:p>
    <w:p w14:paraId="64BB6EE3"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[19]</w:t>
      </w:r>
      <w:r w:rsidRPr="003F7121">
        <w:rPr>
          <w:rFonts w:ascii="Times New Roman" w:hAnsi="Times New Roman" w:cs="Times New Roman"/>
          <w:noProof/>
          <w:sz w:val="24"/>
          <w:szCs w:val="24"/>
        </w:rPr>
        <w:tab/>
        <w:t>An HM, Park SY, Lee DK, Kim JR, Cha MK, Lee SW, et al. Antiobesity and lipid-lowering effects of Bifidobacterium spp. in high fat diet-induced obese rats 2011; 10: 116.</w:t>
      </w:r>
    </w:p>
    <w:p w14:paraId="0599D8F4"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[20]</w:t>
      </w:r>
      <w:r w:rsidRPr="003F7121">
        <w:rPr>
          <w:rFonts w:ascii="Times New Roman" w:hAnsi="Times New Roman" w:cs="Times New Roman"/>
          <w:noProof/>
          <w:sz w:val="24"/>
          <w:szCs w:val="24"/>
        </w:rPr>
        <w:tab/>
        <w:t xml:space="preserve">Cani PD, Lecourt E, Dewulf EM, Sohet FM, Pachikian BD, Naslain D, et al. Gut microbiota fermentation of prebiotics increases satietogenic and incretin gut  peptide production with consequences for appetite sensation and glucose response after a meal. </w:t>
      </w:r>
      <w:r w:rsidRPr="003F7121">
        <w:rPr>
          <w:rFonts w:ascii="Times New Roman" w:hAnsi="Times New Roman" w:cs="Times New Roman"/>
          <w:noProof/>
          <w:sz w:val="24"/>
          <w:szCs w:val="24"/>
        </w:rPr>
        <w:lastRenderedPageBreak/>
        <w:t>2009; 90: 1236–43.</w:t>
      </w:r>
    </w:p>
    <w:p w14:paraId="7A24BDFD"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[21]</w:t>
      </w:r>
      <w:r w:rsidRPr="003F7121">
        <w:rPr>
          <w:rFonts w:ascii="Times New Roman" w:hAnsi="Times New Roman" w:cs="Times New Roman"/>
          <w:noProof/>
          <w:sz w:val="24"/>
          <w:szCs w:val="24"/>
        </w:rPr>
        <w:tab/>
        <w:t>Aronsson L, Huang Y, Parini P, Korach-André M, Håkansson J, Gustafsson J-Å, et al. Decreased fat storage by Lactobacillus paracasei is associated with increased levels  of angiopoietin-like 4 protein (ANGPTL4). 2010; 5.</w:t>
      </w:r>
    </w:p>
    <w:p w14:paraId="6E997956"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[22]</w:t>
      </w:r>
      <w:r w:rsidRPr="003F7121">
        <w:rPr>
          <w:rFonts w:ascii="Times New Roman" w:hAnsi="Times New Roman" w:cs="Times New Roman"/>
          <w:noProof/>
          <w:sz w:val="24"/>
          <w:szCs w:val="24"/>
        </w:rPr>
        <w:tab/>
        <w:t>Larsen N, Vogensen FK, van den Berg FWJ, Nielsen DS, Andreasen AS, Pedersen BK, et al. Gut microbiota in human adults with type 2 diabetes differs from non-diabetic  adults. 2010; 5: e9085.</w:t>
      </w:r>
    </w:p>
    <w:p w14:paraId="10D0BDC6"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[23]</w:t>
      </w:r>
      <w:r w:rsidRPr="003F7121">
        <w:rPr>
          <w:rFonts w:ascii="Times New Roman" w:hAnsi="Times New Roman" w:cs="Times New Roman"/>
          <w:noProof/>
          <w:sz w:val="24"/>
          <w:szCs w:val="24"/>
        </w:rPr>
        <w:tab/>
        <w:t>Yadav H, Jain S, Sinha PR. Antidiabetic effect of probiotic dahi containing Lactobacillus acidophilus and  Lactobacillus casei in high fructose fed rats. 2007; 23: 62–68.</w:t>
      </w:r>
    </w:p>
    <w:p w14:paraId="330D0D34"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[24]</w:t>
      </w:r>
      <w:r w:rsidRPr="003F7121">
        <w:rPr>
          <w:rFonts w:ascii="Times New Roman" w:hAnsi="Times New Roman" w:cs="Times New Roman"/>
          <w:noProof/>
          <w:sz w:val="24"/>
          <w:szCs w:val="24"/>
        </w:rPr>
        <w:tab/>
        <w:t>Vanamala JKP, Knight R, Spector TD. Can Your Microbiome Tell You What to Eat? 2015; 22: 960–61.</w:t>
      </w:r>
    </w:p>
    <w:p w14:paraId="16C0472E"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[25]</w:t>
      </w:r>
      <w:r w:rsidRPr="003F7121">
        <w:rPr>
          <w:rFonts w:ascii="Times New Roman" w:hAnsi="Times New Roman" w:cs="Times New Roman"/>
          <w:noProof/>
          <w:sz w:val="24"/>
          <w:szCs w:val="24"/>
        </w:rPr>
        <w:tab/>
        <w:t>Druart C, Neyrinck AM, Dewulf EM, De Backer FC, Possemiers S, Van de Wiele T, et al. Implication of fermentable carbohydrates targeting the gut microbiota on conjugated  linoleic acid production in high-fat-fed mice. 2013; 110: 998–1011.</w:t>
      </w:r>
    </w:p>
    <w:p w14:paraId="69776788"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[26]</w:t>
      </w:r>
      <w:r w:rsidRPr="003F7121">
        <w:rPr>
          <w:rFonts w:ascii="Times New Roman" w:hAnsi="Times New Roman" w:cs="Times New Roman"/>
          <w:noProof/>
          <w:sz w:val="24"/>
          <w:szCs w:val="24"/>
        </w:rPr>
        <w:tab/>
        <w:t>Vanderhoof JA, Whitney DB, Antonson DL, Hanner TL, Lupo J V, Young RJ. Lactobacillus GG in the prevention of antibiotic-associated diarrhea in children. 1999; 135: 564–68.</w:t>
      </w:r>
    </w:p>
    <w:p w14:paraId="24CBB29C"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[27]</w:t>
      </w:r>
      <w:r w:rsidRPr="003F7121">
        <w:rPr>
          <w:rFonts w:ascii="Times New Roman" w:hAnsi="Times New Roman" w:cs="Times New Roman"/>
          <w:noProof/>
          <w:sz w:val="24"/>
          <w:szCs w:val="24"/>
        </w:rPr>
        <w:tab/>
        <w:t>Szajewska H, Albrecht P, Topczewska-Cabanek A. Randomized, double-blind, placebo-controlled trial: effect of lactobacillus GG  supplementation on Helicobacter pylori eradication rates and side effects during treatment in children. 2009; 48: 431–36.</w:t>
      </w:r>
    </w:p>
    <w:p w14:paraId="358FDB39"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[28]</w:t>
      </w:r>
      <w:r w:rsidRPr="003F7121">
        <w:rPr>
          <w:rFonts w:ascii="Times New Roman" w:hAnsi="Times New Roman" w:cs="Times New Roman"/>
          <w:noProof/>
          <w:sz w:val="24"/>
          <w:szCs w:val="24"/>
        </w:rPr>
        <w:tab/>
        <w:t>Olbjørn C, Cvancarova Småstuen M, Thiis-Evensen E, Nakstad B, Vatn MH, Jahnsen J, et al. Fecal microbiota profiles in treatment-naïve pediatric inflammatory bowel disease -  associations with disease phenotype, treatment, and outcome. 2019; 12: 37–49.</w:t>
      </w:r>
    </w:p>
    <w:p w14:paraId="6AD9D74C"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[29]</w:t>
      </w:r>
      <w:r w:rsidRPr="003F7121">
        <w:rPr>
          <w:rFonts w:ascii="Times New Roman" w:hAnsi="Times New Roman" w:cs="Times New Roman"/>
          <w:noProof/>
          <w:sz w:val="24"/>
          <w:szCs w:val="24"/>
        </w:rPr>
        <w:tab/>
        <w:t>Desai N. Challenges in development of nanoparticle-based therapeutics. 2012; 14: 282–95.</w:t>
      </w:r>
    </w:p>
    <w:p w14:paraId="4225644A"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[30]</w:t>
      </w:r>
      <w:r w:rsidRPr="003F7121">
        <w:rPr>
          <w:rFonts w:ascii="Times New Roman" w:hAnsi="Times New Roman" w:cs="Times New Roman"/>
          <w:noProof/>
          <w:sz w:val="24"/>
          <w:szCs w:val="24"/>
        </w:rPr>
        <w:tab/>
        <w:t>Bawa R. Regulating nanomedicine - can the FDA handle it? 2011; 8: 227–34.</w:t>
      </w:r>
    </w:p>
    <w:p w14:paraId="2F853118"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[31]</w:t>
      </w:r>
      <w:r w:rsidRPr="003F7121">
        <w:rPr>
          <w:rFonts w:ascii="Times New Roman" w:hAnsi="Times New Roman" w:cs="Times New Roman"/>
          <w:noProof/>
          <w:sz w:val="24"/>
          <w:szCs w:val="24"/>
        </w:rPr>
        <w:tab/>
        <w:t>Ohno M, Nishida A, Sugitani Y, Nishino K, Inatomi O, Sugimoto M, et al. Nanoparticle curcumin ameliorates experimental colitis via modulation of gut  microbiota and induction of regulatory T cells. 2017; 12: e0185999.</w:t>
      </w:r>
    </w:p>
    <w:p w14:paraId="23B920C4"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[32]</w:t>
      </w:r>
      <w:r w:rsidRPr="003F7121">
        <w:rPr>
          <w:rFonts w:ascii="Times New Roman" w:hAnsi="Times New Roman" w:cs="Times New Roman"/>
          <w:noProof/>
          <w:sz w:val="24"/>
          <w:szCs w:val="24"/>
        </w:rPr>
        <w:tab/>
        <w:t>Teng Y, Ren Y, Sayed M, Hu X, Lei C, Kumar A, et al. Plant-Derived Exosomal MicroRNAs Shape the Gut Microbiota. 2018; 24: 637-652.e8.</w:t>
      </w:r>
    </w:p>
    <w:p w14:paraId="102AB7C7"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[33]</w:t>
      </w:r>
      <w:r w:rsidRPr="003F7121">
        <w:rPr>
          <w:rFonts w:ascii="Times New Roman" w:hAnsi="Times New Roman" w:cs="Times New Roman"/>
          <w:noProof/>
          <w:sz w:val="24"/>
          <w:szCs w:val="24"/>
        </w:rPr>
        <w:tab/>
        <w:t>Tong L, Hao H, Zhang X, Zhang Z, Lv Y, Zhang L, et al. Oral Administration of Bovine Milk-Derived Extracellular Vesicles Alters the Gut  Microbiota and Enhances Intestinal Immunity in Mice. 2020; 64: e1901251.</w:t>
      </w:r>
    </w:p>
    <w:p w14:paraId="51D90616"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[34]</w:t>
      </w:r>
      <w:r w:rsidRPr="003F7121">
        <w:rPr>
          <w:rFonts w:ascii="Times New Roman" w:hAnsi="Times New Roman" w:cs="Times New Roman"/>
          <w:noProof/>
          <w:sz w:val="24"/>
          <w:szCs w:val="24"/>
        </w:rPr>
        <w:tab/>
        <w:t>Afonina IS, Zhong Z, Karin M, Beyaert R. Limiting inflammation—the negative regulation of NF-κB and the NLRP3 inflammasome 2017; 18: 861–69.</w:t>
      </w:r>
    </w:p>
    <w:p w14:paraId="0DCB6E0F"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[35]</w:t>
      </w:r>
      <w:r w:rsidRPr="003F7121">
        <w:rPr>
          <w:rFonts w:ascii="Times New Roman" w:hAnsi="Times New Roman" w:cs="Times New Roman"/>
          <w:noProof/>
          <w:sz w:val="24"/>
          <w:szCs w:val="24"/>
        </w:rPr>
        <w:tab/>
        <w:t>Meijnikman AS, Gerdes VE, Nieuwdorp M, Herrema H. Evaluating Causality of Gut Microbiota in Obesity and Diabetes in Humans. 2018; 39: 133–53.</w:t>
      </w:r>
    </w:p>
    <w:p w14:paraId="5049F6C9"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[36]</w:t>
      </w:r>
      <w:r w:rsidRPr="003F7121">
        <w:rPr>
          <w:rFonts w:ascii="Times New Roman" w:hAnsi="Times New Roman" w:cs="Times New Roman"/>
          <w:noProof/>
          <w:sz w:val="24"/>
          <w:szCs w:val="24"/>
        </w:rPr>
        <w:tab/>
        <w:t>Mao Z, Li Y, Dong T, Zhang L, Zhang Y, Li S, et al. Exposure to Titanium Dioxide Nanoparticles During Pregnancy Changed Maternal Gut Microbiota and Increased Blood Glucose of Rat 2019; 14.</w:t>
      </w:r>
    </w:p>
    <w:p w14:paraId="408D65D8" w14:textId="78330803"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[37]</w:t>
      </w:r>
      <w:r w:rsidRPr="003F7121">
        <w:rPr>
          <w:rFonts w:ascii="Times New Roman" w:hAnsi="Times New Roman" w:cs="Times New Roman"/>
          <w:noProof/>
          <w:sz w:val="24"/>
          <w:szCs w:val="24"/>
        </w:rPr>
        <w:tab/>
        <w:t>Chen Z, Han S, Zhou Di, Zhou S, Jia G. Effects of oral exposure to titanium dioxide nanoparticles on gut microbiota and gut-associated metabolism in vivo 2019; 11.</w:t>
      </w:r>
    </w:p>
    <w:p w14:paraId="0B88EDBB"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[38]</w:t>
      </w:r>
      <w:r w:rsidRPr="003F7121">
        <w:rPr>
          <w:rFonts w:ascii="Times New Roman" w:hAnsi="Times New Roman" w:cs="Times New Roman"/>
          <w:noProof/>
          <w:sz w:val="24"/>
          <w:szCs w:val="24"/>
        </w:rPr>
        <w:tab/>
        <w:t>Klaenhammer TR, Kleerebezem M, Kopp MV, Rescigno M. The impact of probiotics and prebiotics on the immune system. 2012; 12: 728–34.</w:t>
      </w:r>
    </w:p>
    <w:p w14:paraId="1F14E5BE"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[39]</w:t>
      </w:r>
      <w:r w:rsidRPr="003F7121">
        <w:rPr>
          <w:rFonts w:ascii="Times New Roman" w:hAnsi="Times New Roman" w:cs="Times New Roman"/>
          <w:noProof/>
          <w:sz w:val="24"/>
          <w:szCs w:val="24"/>
        </w:rPr>
        <w:tab/>
        <w:t>Schrezenmeir J, de Vrese M. Probiotics, prebiotics, and synbiotics--approaching a definition. 2001; 73: 361S-364S.</w:t>
      </w:r>
    </w:p>
    <w:p w14:paraId="7FBE7672"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[40]</w:t>
      </w:r>
      <w:r w:rsidRPr="003F7121">
        <w:rPr>
          <w:rFonts w:ascii="Times New Roman" w:hAnsi="Times New Roman" w:cs="Times New Roman"/>
          <w:noProof/>
          <w:sz w:val="24"/>
          <w:szCs w:val="24"/>
        </w:rPr>
        <w:tab/>
        <w:t xml:space="preserve">Rizzello L, Cingolani R, Pompa PP. Nanotechnology tools for antibacterial materials. </w:t>
      </w:r>
      <w:r w:rsidRPr="003F7121">
        <w:rPr>
          <w:rFonts w:ascii="Times New Roman" w:hAnsi="Times New Roman" w:cs="Times New Roman"/>
          <w:noProof/>
          <w:sz w:val="24"/>
          <w:szCs w:val="24"/>
        </w:rPr>
        <w:lastRenderedPageBreak/>
        <w:t>2013; 8: 807–21.</w:t>
      </w:r>
    </w:p>
    <w:p w14:paraId="48D2FE1B"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[41]</w:t>
      </w:r>
      <w:r w:rsidRPr="003F7121">
        <w:rPr>
          <w:rFonts w:ascii="Times New Roman" w:hAnsi="Times New Roman" w:cs="Times New Roman"/>
          <w:noProof/>
          <w:sz w:val="24"/>
          <w:szCs w:val="24"/>
        </w:rPr>
        <w:tab/>
        <w:t>Kumar B, Smita K, Vizuete KS, Cumbal L. Aqueous phase lavender leaf mediated green synthesis of gold nanoparticles and evaluation of its antioxidant activity 2016; 8: 1–4.</w:t>
      </w:r>
    </w:p>
    <w:p w14:paraId="616B340A"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[42]</w:t>
      </w:r>
      <w:r w:rsidRPr="003F7121">
        <w:rPr>
          <w:rFonts w:ascii="Times New Roman" w:hAnsi="Times New Roman" w:cs="Times New Roman"/>
          <w:noProof/>
          <w:sz w:val="24"/>
          <w:szCs w:val="24"/>
        </w:rPr>
        <w:tab/>
        <w:t>Lebeer S, Vanderleyden J, De Keersmaecker SCJ, Guarner F, Perdigon G, Corthier G, et al. Regulatory effects of bifidobacteria on the growth of other colonic bacteria 2010; 69: 412–20.</w:t>
      </w:r>
    </w:p>
    <w:p w14:paraId="68B8427D"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[43]</w:t>
      </w:r>
      <w:r w:rsidRPr="003F7121">
        <w:rPr>
          <w:rFonts w:ascii="Times New Roman" w:hAnsi="Times New Roman" w:cs="Times New Roman"/>
          <w:noProof/>
          <w:sz w:val="24"/>
          <w:szCs w:val="24"/>
        </w:rPr>
        <w:tab/>
        <w:t>Pelto L, Isolauri E, Lilius EM, Nuutila J, Salminen S. Probiotic bacteria down-regulate the milk-induced inflammatory response in  milk-hypersensitive subjects but have an immunostimulatory effect in healthy subjects. 1998; 28: 1474–79.</w:t>
      </w:r>
    </w:p>
    <w:p w14:paraId="7FDBB3F6"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[44]</w:t>
      </w:r>
      <w:r w:rsidRPr="003F7121">
        <w:rPr>
          <w:rFonts w:ascii="Times New Roman" w:hAnsi="Times New Roman" w:cs="Times New Roman"/>
          <w:noProof/>
          <w:sz w:val="24"/>
          <w:szCs w:val="24"/>
        </w:rPr>
        <w:tab/>
        <w:t>Usman, Hosono A. Bile tolerance, taurocholate deconjugation, and binding of cholesterol by  Lactobacillus gasseri strains. 1999; 82: 243–48.</w:t>
      </w:r>
    </w:p>
    <w:p w14:paraId="2A93DC8E"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[45]</w:t>
      </w:r>
      <w:r w:rsidRPr="003F7121">
        <w:rPr>
          <w:rFonts w:ascii="Times New Roman" w:hAnsi="Times New Roman" w:cs="Times New Roman"/>
          <w:noProof/>
          <w:sz w:val="24"/>
          <w:szCs w:val="24"/>
        </w:rPr>
        <w:tab/>
        <w:t>Saikia D, Manhar AK, Deka B, Roy R, Gupta K, Namsa ND, et al. Hypocholesterolemic activity of indigenous probiotic isolate Saccharomyces cerevisiae ARDMC1 in a rat model 2018; 26: 154–62.</w:t>
      </w:r>
    </w:p>
    <w:p w14:paraId="0580F48D"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[46]</w:t>
      </w:r>
      <w:r w:rsidRPr="003F7121">
        <w:rPr>
          <w:rFonts w:ascii="Times New Roman" w:hAnsi="Times New Roman" w:cs="Times New Roman"/>
          <w:noProof/>
          <w:sz w:val="24"/>
          <w:szCs w:val="24"/>
        </w:rPr>
        <w:tab/>
        <w:t>Gagliardi A, Totino V, Cacciotti F, Iebba V, Neroni B, Bonfiglio G, et al. Rebuilding the Gut Microbiota Ecosystem. 2018; 15.</w:t>
      </w:r>
    </w:p>
    <w:p w14:paraId="3F328B35"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[47]</w:t>
      </w:r>
      <w:r w:rsidRPr="003F7121">
        <w:rPr>
          <w:rFonts w:ascii="Times New Roman" w:hAnsi="Times New Roman" w:cs="Times New Roman"/>
          <w:noProof/>
          <w:sz w:val="24"/>
          <w:szCs w:val="24"/>
        </w:rPr>
        <w:tab/>
        <w:t>PULUSANI SR, RAO DR. Whole Body, Liver and Plasma Cholesterol Levels in Rats Fed Thermophilus, Bulgaricus and Acidophilus Milks 1983; 48: 280–81.</w:t>
      </w:r>
    </w:p>
    <w:p w14:paraId="11133CC2"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[48]</w:t>
      </w:r>
      <w:r w:rsidRPr="003F7121">
        <w:rPr>
          <w:rFonts w:ascii="Times New Roman" w:hAnsi="Times New Roman" w:cs="Times New Roman"/>
          <w:noProof/>
          <w:sz w:val="24"/>
          <w:szCs w:val="24"/>
        </w:rPr>
        <w:tab/>
        <w:t>Hagemeyer C, Lisman T, Kwaan H. Nanomedicine in Thrombosis and Hemostasis: The Future of Nanotechnology in Thrombosis and Hemostasis Research and Clinical Applications 2020; 46: 521–23.</w:t>
      </w:r>
    </w:p>
    <w:p w14:paraId="2A0EA36A"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[49]</w:t>
      </w:r>
      <w:r w:rsidRPr="003F7121">
        <w:rPr>
          <w:rFonts w:ascii="Times New Roman" w:hAnsi="Times New Roman" w:cs="Times New Roman"/>
          <w:noProof/>
          <w:sz w:val="24"/>
          <w:szCs w:val="24"/>
        </w:rPr>
        <w:tab/>
        <w:t>Chatterjee S, Khunti K, Davies MJ. Type 2 diabetes 2017; 389: 2239–51.</w:t>
      </w:r>
    </w:p>
    <w:p w14:paraId="0E9FD12F"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[50]</w:t>
      </w:r>
      <w:r w:rsidRPr="003F7121">
        <w:rPr>
          <w:rFonts w:ascii="Times New Roman" w:hAnsi="Times New Roman" w:cs="Times New Roman"/>
          <w:noProof/>
          <w:sz w:val="24"/>
          <w:szCs w:val="24"/>
        </w:rPr>
        <w:tab/>
        <w:t>Gurung M, Li Z, You H, Rodrigues R, Jump DB, Morgun A, et al. Role of gut microbiota in type 2 diabetes pathophysiology 2020; 51.</w:t>
      </w:r>
    </w:p>
    <w:p w14:paraId="2428A9FA"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[51]</w:t>
      </w:r>
      <w:r w:rsidRPr="003F7121">
        <w:rPr>
          <w:rFonts w:ascii="Times New Roman" w:hAnsi="Times New Roman" w:cs="Times New Roman"/>
          <w:noProof/>
          <w:sz w:val="24"/>
          <w:szCs w:val="24"/>
        </w:rPr>
        <w:tab/>
        <w:t>Aw W, Fukuda S. Understanding the role of the gut ecosystem in diabetes mellitus. 2018; 9: 5–12.</w:t>
      </w:r>
    </w:p>
    <w:p w14:paraId="470DB49C"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[52]</w:t>
      </w:r>
      <w:r w:rsidRPr="003F7121">
        <w:rPr>
          <w:rFonts w:ascii="Times New Roman" w:hAnsi="Times New Roman" w:cs="Times New Roman"/>
          <w:noProof/>
          <w:sz w:val="24"/>
          <w:szCs w:val="24"/>
        </w:rPr>
        <w:tab/>
        <w:t>Kim HJ, Kim Y-S, Kim K-H, Choi J-P, Kim Y-K, Yun S, et al. The microbiome of the lung and its extracellular vesicles in nonsmokers, healthy  smokers and COPD patients. 2017; 49: e316.</w:t>
      </w:r>
    </w:p>
    <w:p w14:paraId="73D6A7E0"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[53]</w:t>
      </w:r>
      <w:r w:rsidRPr="003F7121">
        <w:rPr>
          <w:rFonts w:ascii="Times New Roman" w:hAnsi="Times New Roman" w:cs="Times New Roman"/>
          <w:noProof/>
          <w:sz w:val="24"/>
          <w:szCs w:val="24"/>
        </w:rPr>
        <w:tab/>
        <w:t>Nisar A, Ajabia DK, Agrawal SB, Varma S, Chaudhari BP, Tupe RS. Mechanistic insight into differential interactions of iron oxide nanoparticles with native, glycated albumin and their effect on erythrocytes parameters 2022; 212: 232–47.</w:t>
      </w:r>
    </w:p>
    <w:p w14:paraId="0CF32919"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[54]</w:t>
      </w:r>
      <w:r w:rsidRPr="003F7121">
        <w:rPr>
          <w:rFonts w:ascii="Times New Roman" w:hAnsi="Times New Roman" w:cs="Times New Roman"/>
          <w:noProof/>
          <w:sz w:val="24"/>
          <w:szCs w:val="24"/>
        </w:rPr>
        <w:tab/>
        <w:t>Saffarian A, Mulet C, Regnault B, Amiot A, Tran-Van-Nhieu J, Ravel J, et al. Crypt- and mucosa-associated core microbiotas in humans and their alteration in colon cancer patients 2019; 10: 1–20.</w:t>
      </w:r>
    </w:p>
    <w:p w14:paraId="677C6D23"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[55]</w:t>
      </w:r>
      <w:r w:rsidRPr="003F7121">
        <w:rPr>
          <w:rFonts w:ascii="Times New Roman" w:hAnsi="Times New Roman" w:cs="Times New Roman"/>
          <w:noProof/>
          <w:sz w:val="24"/>
          <w:szCs w:val="24"/>
        </w:rPr>
        <w:tab/>
        <w:t>Sánchez-Alcoholado L, Ramos-Molina B, Otero A, Laborda-Illanes A, Ordóñez R, Medina JA, et al. The role of the gut microbiome in colorectal cancer development and therapy response 2020; 12: 1–29.</w:t>
      </w:r>
    </w:p>
    <w:p w14:paraId="2B73B560"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[56]</w:t>
      </w:r>
      <w:r w:rsidRPr="003F7121">
        <w:rPr>
          <w:rFonts w:ascii="Times New Roman" w:hAnsi="Times New Roman" w:cs="Times New Roman"/>
          <w:noProof/>
          <w:sz w:val="24"/>
          <w:szCs w:val="24"/>
        </w:rPr>
        <w:tab/>
        <w:t xml:space="preserve">Chan Y-Y, Li C-H, Shen Y-C, Wu T-S. Anti-inflammatory Principles from the Stem and Root Barks of </w:t>
      </w:r>
      <w:r w:rsidRPr="003F7121">
        <w:rPr>
          <w:rFonts w:ascii="Times New Roman" w:hAnsi="Times New Roman" w:cs="Times New Roman"/>
          <w:i/>
          <w:iCs/>
          <w:noProof/>
          <w:sz w:val="24"/>
          <w:szCs w:val="24"/>
        </w:rPr>
        <w:t>Citrus medica</w:t>
      </w:r>
      <w:r w:rsidRPr="003F7121">
        <w:rPr>
          <w:rFonts w:ascii="Times New Roman" w:hAnsi="Times New Roman" w:cs="Times New Roman"/>
          <w:noProof/>
          <w:sz w:val="24"/>
          <w:szCs w:val="24"/>
        </w:rPr>
        <w:t xml:space="preserve"> 2010; 58: 61–65.</w:t>
      </w:r>
    </w:p>
    <w:p w14:paraId="1101FFAA"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[57]</w:t>
      </w:r>
      <w:r w:rsidRPr="003F7121">
        <w:rPr>
          <w:rFonts w:ascii="Times New Roman" w:hAnsi="Times New Roman" w:cs="Times New Roman"/>
          <w:noProof/>
          <w:sz w:val="24"/>
          <w:szCs w:val="24"/>
        </w:rPr>
        <w:tab/>
        <w:t>Hendler R, Zhang Y. Probiotics in the Treatment of Colorectal Cancer 2018; 5: 101.</w:t>
      </w:r>
    </w:p>
    <w:p w14:paraId="14B9E3CB"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[58]</w:t>
      </w:r>
      <w:r w:rsidRPr="003F7121">
        <w:rPr>
          <w:rFonts w:ascii="Times New Roman" w:hAnsi="Times New Roman" w:cs="Times New Roman"/>
          <w:noProof/>
          <w:sz w:val="24"/>
          <w:szCs w:val="24"/>
        </w:rPr>
        <w:tab/>
        <w:t>Mahdavi M, Laforest-Lapointe I, Massé E. Preventing colorectal cancer through prebiotics 2021; 9: 1–16.</w:t>
      </w:r>
    </w:p>
    <w:p w14:paraId="3A649DB7"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[59]</w:t>
      </w:r>
      <w:r w:rsidRPr="003F7121">
        <w:rPr>
          <w:rFonts w:ascii="Times New Roman" w:hAnsi="Times New Roman" w:cs="Times New Roman"/>
          <w:noProof/>
          <w:sz w:val="24"/>
          <w:szCs w:val="24"/>
        </w:rPr>
        <w:tab/>
        <w:t>Young V. Therapeutic Manipulation of the Microbiota: Past, Present and Considerations for the Future 2016; 22: 1–11.</w:t>
      </w:r>
    </w:p>
    <w:p w14:paraId="41034D72"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[60]</w:t>
      </w:r>
      <w:r w:rsidRPr="003F7121">
        <w:rPr>
          <w:rFonts w:ascii="Times New Roman" w:hAnsi="Times New Roman" w:cs="Times New Roman"/>
          <w:noProof/>
          <w:sz w:val="24"/>
          <w:szCs w:val="24"/>
        </w:rPr>
        <w:tab/>
        <w:t>Vargason AM, Anselmo AC. Clinical translation of microbe-based therapies: Current clinical landscape and preclinical outlook 2018; 3: 124–37.</w:t>
      </w:r>
    </w:p>
    <w:p w14:paraId="36BEF1B2"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[61]</w:t>
      </w:r>
      <w:r w:rsidRPr="003F7121">
        <w:rPr>
          <w:rFonts w:ascii="Times New Roman" w:hAnsi="Times New Roman" w:cs="Times New Roman"/>
          <w:noProof/>
          <w:sz w:val="24"/>
          <w:szCs w:val="24"/>
        </w:rPr>
        <w:tab/>
        <w:t>Song W, Anselmo AC, Huang L. Nanotechnology intervention of the microbiome for cancer therapy 2019; 14: 1093–1103.</w:t>
      </w:r>
    </w:p>
    <w:p w14:paraId="564B06FD"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[62]</w:t>
      </w:r>
      <w:r w:rsidRPr="003F7121">
        <w:rPr>
          <w:rFonts w:ascii="Times New Roman" w:hAnsi="Times New Roman" w:cs="Times New Roman"/>
          <w:noProof/>
          <w:sz w:val="24"/>
          <w:szCs w:val="24"/>
        </w:rPr>
        <w:tab/>
        <w:t xml:space="preserve">Perumal K, Ahmad S, Mohd-Zahid MH, Wan Hanaffi WN, Z.A I, Six JL, et al. </w:t>
      </w:r>
      <w:r w:rsidRPr="003F7121">
        <w:rPr>
          <w:rFonts w:ascii="Times New Roman" w:hAnsi="Times New Roman" w:cs="Times New Roman"/>
          <w:noProof/>
          <w:sz w:val="24"/>
          <w:szCs w:val="24"/>
        </w:rPr>
        <w:lastRenderedPageBreak/>
        <w:t>Nanoparticles and Gut Microbiota in Colorectal Cancer 2021; 3: 1–9.</w:t>
      </w:r>
    </w:p>
    <w:p w14:paraId="17580323"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[63]</w:t>
      </w:r>
      <w:r w:rsidRPr="003F7121">
        <w:rPr>
          <w:rFonts w:ascii="Times New Roman" w:hAnsi="Times New Roman" w:cs="Times New Roman"/>
          <w:noProof/>
          <w:sz w:val="24"/>
          <w:szCs w:val="24"/>
        </w:rPr>
        <w:tab/>
        <w:t>Song W, Anselmo AC, Huang L. Nanotechnology intervention of the microbiome for cancer therapy 2019; 14: 1093–1103.</w:t>
      </w:r>
    </w:p>
    <w:p w14:paraId="267D066C"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[64]</w:t>
      </w:r>
      <w:r w:rsidRPr="003F7121">
        <w:rPr>
          <w:rFonts w:ascii="Times New Roman" w:hAnsi="Times New Roman" w:cs="Times New Roman"/>
          <w:noProof/>
          <w:sz w:val="24"/>
          <w:szCs w:val="24"/>
        </w:rPr>
        <w:tab/>
        <w:t>Collado mc, gueimonde m  salminen s. probiotics in adhesion of pathogens: mechanisms of action; in watson rr, preedy vr (eds) bioactive foods in promoting health, chennai, 2010; 23: 353–70.</w:t>
      </w:r>
    </w:p>
    <w:p w14:paraId="256C1342"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[65]</w:t>
      </w:r>
      <w:r w:rsidRPr="003F7121">
        <w:rPr>
          <w:rFonts w:ascii="Times New Roman" w:hAnsi="Times New Roman" w:cs="Times New Roman"/>
          <w:noProof/>
          <w:sz w:val="24"/>
          <w:szCs w:val="24"/>
        </w:rPr>
        <w:tab/>
        <w:t>Ohland CL, Macnaughton WK. Probiotic bacteria and intestinal epithelial barrier function. 2010; 298: G807-19.</w:t>
      </w:r>
    </w:p>
    <w:p w14:paraId="3E2BA364"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[66]</w:t>
      </w:r>
      <w:r w:rsidRPr="003F7121">
        <w:rPr>
          <w:rFonts w:ascii="Times New Roman" w:hAnsi="Times New Roman" w:cs="Times New Roman"/>
          <w:noProof/>
          <w:sz w:val="24"/>
          <w:szCs w:val="24"/>
        </w:rPr>
        <w:tab/>
        <w:t>Anderson RC, Cookson AL, McNabb WC, Park Z, McCann MJ, Kelly WJ, et al. Lactobacillus plantarum MB452 enhances the function of the intestinal barrier by increasing the expression levels of genes involved in tight junction formation 2010; 10: 316.</w:t>
      </w:r>
    </w:p>
    <w:p w14:paraId="2B281A0E"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[67]</w:t>
      </w:r>
      <w:r w:rsidRPr="003F7121">
        <w:rPr>
          <w:rFonts w:ascii="Times New Roman" w:hAnsi="Times New Roman" w:cs="Times New Roman"/>
          <w:noProof/>
          <w:sz w:val="24"/>
          <w:szCs w:val="24"/>
        </w:rPr>
        <w:tab/>
        <w:t>hummel s, veltman k, cichon c, sonnenborn u  schmidt ma. differential targeting of the e-cadherin/ _ -catenin complex by gram-positive probiotic lactobacilli improves epithelial barrier function 2012; 78: 1140–47.</w:t>
      </w:r>
    </w:p>
    <w:p w14:paraId="3C7C660D"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[68]</w:t>
      </w:r>
      <w:r w:rsidRPr="003F7121">
        <w:rPr>
          <w:rFonts w:ascii="Times New Roman" w:hAnsi="Times New Roman" w:cs="Times New Roman"/>
          <w:noProof/>
          <w:sz w:val="24"/>
          <w:szCs w:val="24"/>
        </w:rPr>
        <w:tab/>
        <w:t>neutra mr  forstner jf. gastrointestinal mucus: synthesis, secretion and function; in johnson lr (ed): physiology of the gastrointestinal tract , ed 2 1987.</w:t>
      </w:r>
    </w:p>
    <w:p w14:paraId="0B63C7D5"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[69]</w:t>
      </w:r>
      <w:r w:rsidRPr="003F7121">
        <w:rPr>
          <w:rFonts w:ascii="Times New Roman" w:hAnsi="Times New Roman" w:cs="Times New Roman"/>
          <w:noProof/>
          <w:sz w:val="24"/>
          <w:szCs w:val="24"/>
        </w:rPr>
        <w:tab/>
        <w:t>Kim YS, Ho SB. Intestinal goblet cells and mucins in health and disease: recent insights and  progress. 2010; 12: 319–30.</w:t>
      </w:r>
    </w:p>
    <w:p w14:paraId="0DF5F852"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[70]</w:t>
      </w:r>
      <w:r w:rsidRPr="003F7121">
        <w:rPr>
          <w:rFonts w:ascii="Times New Roman" w:hAnsi="Times New Roman" w:cs="Times New Roman"/>
          <w:noProof/>
          <w:sz w:val="24"/>
          <w:szCs w:val="24"/>
        </w:rPr>
        <w:tab/>
        <w:t>Przemska-Kosicka A, Childs CE, Enani S, Maidens C, Dong H, Dayel I Bin, et al. Effect of a synbiotic on the response to seasonal influenza vaccination is strongly influenced by degree of immunosenescence 2016; 13: 6.</w:t>
      </w:r>
    </w:p>
    <w:p w14:paraId="30440F46"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[71]</w:t>
      </w:r>
      <w:r w:rsidRPr="003F7121">
        <w:rPr>
          <w:rFonts w:ascii="Times New Roman" w:hAnsi="Times New Roman" w:cs="Times New Roman"/>
          <w:noProof/>
          <w:sz w:val="24"/>
          <w:szCs w:val="24"/>
        </w:rPr>
        <w:tab/>
        <w:t>Aoudia N, Rieu A, Briandet R, Deschamps J, Chluba J, Jego G, et al. Biofilms of Lactobacillus plantarum and Lactobacillus fermentum: Effect on stress  responses, antagonistic effects on pathogen growth and immunomodulatory properties. 2016; 53: 51–59.</w:t>
      </w:r>
    </w:p>
    <w:p w14:paraId="3E0AADB9"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[72]</w:t>
      </w:r>
      <w:r w:rsidRPr="003F7121">
        <w:rPr>
          <w:rFonts w:ascii="Times New Roman" w:hAnsi="Times New Roman" w:cs="Times New Roman"/>
          <w:noProof/>
          <w:sz w:val="24"/>
          <w:szCs w:val="24"/>
        </w:rPr>
        <w:tab/>
        <w:t>Kathade SA, Aswani MA, Anand PK. Isolation , Characterization , and Diversity of Probiotic Microorganisms from Different Postpartum Milk of Various Animals 2022.</w:t>
      </w:r>
    </w:p>
    <w:p w14:paraId="3AB75C03"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[73]</w:t>
      </w:r>
      <w:r w:rsidRPr="003F7121">
        <w:rPr>
          <w:rFonts w:ascii="Times New Roman" w:hAnsi="Times New Roman" w:cs="Times New Roman"/>
          <w:noProof/>
          <w:sz w:val="24"/>
          <w:szCs w:val="24"/>
        </w:rPr>
        <w:tab/>
        <w:t>Singh T, Shukla S, Kumar P, Wahla V, Bajpai VK, Rather IA. Application of Nanotechnology in Food Science: Perception and Overview    2017; 8.</w:t>
      </w:r>
    </w:p>
    <w:p w14:paraId="2751B5B5"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[74]</w:t>
      </w:r>
      <w:r w:rsidRPr="003F7121">
        <w:rPr>
          <w:rFonts w:ascii="Times New Roman" w:hAnsi="Times New Roman" w:cs="Times New Roman"/>
          <w:noProof/>
          <w:sz w:val="24"/>
          <w:szCs w:val="24"/>
        </w:rPr>
        <w:tab/>
        <w:t>Belkacem N, Serafini N, Wheeler R, Derrien M, Boucinha L, Couesnon A, et al. Lactobacillus paracasei feeding improves immune control of influenza infection in  mice. 2017; 12: e0184976.</w:t>
      </w:r>
    </w:p>
    <w:p w14:paraId="04B4B9B3"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[75]</w:t>
      </w:r>
      <w:r w:rsidRPr="003F7121">
        <w:rPr>
          <w:rFonts w:ascii="Times New Roman" w:hAnsi="Times New Roman" w:cs="Times New Roman"/>
          <w:noProof/>
          <w:sz w:val="24"/>
          <w:szCs w:val="24"/>
        </w:rPr>
        <w:tab/>
        <w:t>Kau AL, Ahern PP, Griffin NW, Goodman AL, Gordon JI. Human nutrition, the gut microbiome and the immune system. 2011; 474: 327–36.</w:t>
      </w:r>
    </w:p>
    <w:p w14:paraId="2444AC72"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[76]</w:t>
      </w:r>
      <w:r w:rsidRPr="003F7121">
        <w:rPr>
          <w:rFonts w:ascii="Times New Roman" w:hAnsi="Times New Roman" w:cs="Times New Roman"/>
          <w:noProof/>
          <w:sz w:val="24"/>
          <w:szCs w:val="24"/>
        </w:rPr>
        <w:tab/>
        <w:t>Rossi GA, Colin AA. Infantile respiratory syncytial virus and human rhinovirus infections: respective role in inception and persistence of wheezing. 2015; 45: 774–89.</w:t>
      </w:r>
    </w:p>
    <w:p w14:paraId="79984F87"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[77]</w:t>
      </w:r>
      <w:r w:rsidRPr="003F7121">
        <w:rPr>
          <w:rFonts w:ascii="Times New Roman" w:hAnsi="Times New Roman" w:cs="Times New Roman"/>
          <w:noProof/>
          <w:sz w:val="24"/>
          <w:szCs w:val="24"/>
        </w:rPr>
        <w:tab/>
        <w:t>Openshaw PJM, Tregoning JS. Immune responses and disease enhancement during respiratory syncytial virus infection. 2005; 18: 541–55.</w:t>
      </w:r>
    </w:p>
    <w:p w14:paraId="632FDE22"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[78]</w:t>
      </w:r>
      <w:r w:rsidRPr="003F7121">
        <w:rPr>
          <w:rFonts w:ascii="Times New Roman" w:hAnsi="Times New Roman" w:cs="Times New Roman"/>
          <w:noProof/>
          <w:sz w:val="24"/>
          <w:szCs w:val="24"/>
        </w:rPr>
        <w:tab/>
        <w:t>Ichinohe T, Pang IK, Kumamoto Y, Peaper DR, Ho JH, Murray TS, et al. Microbiota regulates immune defense against respiratory tract influenza A virus infection. 2011; 108: 5354–59.</w:t>
      </w:r>
    </w:p>
    <w:p w14:paraId="3E69B45D"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[79]</w:t>
      </w:r>
      <w:r w:rsidRPr="003F7121">
        <w:rPr>
          <w:rFonts w:ascii="Times New Roman" w:hAnsi="Times New Roman" w:cs="Times New Roman"/>
          <w:noProof/>
          <w:sz w:val="24"/>
          <w:szCs w:val="24"/>
        </w:rPr>
        <w:tab/>
        <w:t>Nagpal R, Kumar A, Kumar M, Behare P V., Jain S, Yadav H. Probiotics, their health benefits and applications for developing healthier foods: A review 2012; 334: 1–15.</w:t>
      </w:r>
    </w:p>
    <w:p w14:paraId="783930D8"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[80]</w:t>
      </w:r>
      <w:r w:rsidRPr="003F7121">
        <w:rPr>
          <w:rFonts w:ascii="Times New Roman" w:hAnsi="Times New Roman" w:cs="Times New Roman"/>
          <w:noProof/>
          <w:sz w:val="24"/>
          <w:szCs w:val="24"/>
        </w:rPr>
        <w:tab/>
        <w:t>De Vrese M, Schrezenmeir J. Effect of probiotics on a defined immunologic challenge with Hepatitis A and B vaccine 2000: 59.</w:t>
      </w:r>
    </w:p>
    <w:p w14:paraId="4513BF3C"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[81]</w:t>
      </w:r>
      <w:r w:rsidRPr="003F7121">
        <w:rPr>
          <w:rFonts w:ascii="Times New Roman" w:hAnsi="Times New Roman" w:cs="Times New Roman"/>
          <w:noProof/>
          <w:sz w:val="24"/>
          <w:szCs w:val="24"/>
        </w:rPr>
        <w:tab/>
        <w:t>Erdoğan Ö, Tanyeri B, Torun E, Gönüllü E, Arslan H, Erenberk U, et al. The Comparition of the Efficacy of Two Different Probiotics in Rotavirus Gastroenteritis in Children 2012; 2012: 787240.</w:t>
      </w:r>
    </w:p>
    <w:p w14:paraId="219C48E0"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[82]</w:t>
      </w:r>
      <w:r w:rsidRPr="003F7121">
        <w:rPr>
          <w:rFonts w:ascii="Times New Roman" w:hAnsi="Times New Roman" w:cs="Times New Roman"/>
          <w:noProof/>
          <w:sz w:val="24"/>
          <w:szCs w:val="24"/>
        </w:rPr>
        <w:tab/>
        <w:t xml:space="preserve">Irvine SL, Hummelen R, Hekmat S, Looman CWN, Habbema JDF, Reid G. Probiotic </w:t>
      </w:r>
      <w:r w:rsidRPr="003F7121">
        <w:rPr>
          <w:rFonts w:ascii="Times New Roman" w:hAnsi="Times New Roman" w:cs="Times New Roman"/>
          <w:noProof/>
          <w:sz w:val="24"/>
          <w:szCs w:val="24"/>
        </w:rPr>
        <w:lastRenderedPageBreak/>
        <w:t>yogurt consumption is associated with an increase of CD4 count among people living with HIV/AIDS. 2010; 44: e201-5.</w:t>
      </w:r>
    </w:p>
    <w:p w14:paraId="03A47852" w14:textId="0614375A"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[83]</w:t>
      </w:r>
      <w:r w:rsidRPr="003F7121">
        <w:rPr>
          <w:rFonts w:ascii="Times New Roman" w:hAnsi="Times New Roman" w:cs="Times New Roman"/>
          <w:noProof/>
          <w:sz w:val="24"/>
          <w:szCs w:val="24"/>
        </w:rPr>
        <w:tab/>
        <w:t>Ouwehand A, Leyer G, Carcano D. Probiotics Reduce Incidence And Duration Of Respiratory Tract Infection Symptoms In 3- To 5-Year-Old Children 2008; 121: S115 LP-S115.</w:t>
      </w:r>
    </w:p>
    <w:p w14:paraId="57A88514"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[84]</w:t>
      </w:r>
      <w:r w:rsidRPr="003F7121">
        <w:rPr>
          <w:rFonts w:ascii="Times New Roman" w:hAnsi="Times New Roman" w:cs="Times New Roman"/>
          <w:noProof/>
          <w:sz w:val="24"/>
          <w:szCs w:val="24"/>
        </w:rPr>
        <w:tab/>
        <w:t>Allander T, Tammi MT, Eriksson M, Bjerkner A, Tiveljung-Lindell A, Andersson B. Cloning of a human parvovirus by molecular screening of respiratory tract samples. 2005; 102: 12891–96.</w:t>
      </w:r>
    </w:p>
    <w:p w14:paraId="77063F4E"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[85]</w:t>
      </w:r>
      <w:r w:rsidRPr="003F7121">
        <w:rPr>
          <w:rFonts w:ascii="Times New Roman" w:hAnsi="Times New Roman" w:cs="Times New Roman"/>
          <w:noProof/>
          <w:sz w:val="24"/>
          <w:szCs w:val="24"/>
        </w:rPr>
        <w:tab/>
        <w:t>Yu G, Gail MH, Consonni D, Carugno M, Humphrys M, Pesatori AC, et al. Characterizing human lung tissue microbiota and its relationship to epidemiological and clinical features. 2016; 17: 163.</w:t>
      </w:r>
    </w:p>
    <w:p w14:paraId="45B79AE2"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[86]</w:t>
      </w:r>
      <w:r w:rsidRPr="003F7121">
        <w:rPr>
          <w:rFonts w:ascii="Times New Roman" w:hAnsi="Times New Roman" w:cs="Times New Roman"/>
          <w:noProof/>
          <w:sz w:val="24"/>
          <w:szCs w:val="24"/>
        </w:rPr>
        <w:tab/>
        <w:t>Caballero S, Pamer EG. Microbiota-mediated inflammation and antimicrobial defense in the intestine. 2015; 33: 227–56.</w:t>
      </w:r>
    </w:p>
    <w:p w14:paraId="2FBD9A35"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[87]</w:t>
      </w:r>
      <w:r w:rsidRPr="003F7121">
        <w:rPr>
          <w:rFonts w:ascii="Times New Roman" w:hAnsi="Times New Roman" w:cs="Times New Roman"/>
          <w:noProof/>
          <w:sz w:val="24"/>
          <w:szCs w:val="24"/>
        </w:rPr>
        <w:tab/>
        <w:t>Erb-Downward JR, Thompson DL, Han MK, Freeman CM, McCloskey L, Schmidt LA, et al. Analysis of the Lung Microbiome in the “Healthy” Smoker and in COPD 2011; 6: e16384.</w:t>
      </w:r>
    </w:p>
    <w:p w14:paraId="17D1AF62"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[88]</w:t>
      </w:r>
      <w:r w:rsidRPr="003F7121">
        <w:rPr>
          <w:rFonts w:ascii="Times New Roman" w:hAnsi="Times New Roman" w:cs="Times New Roman"/>
          <w:noProof/>
          <w:sz w:val="24"/>
          <w:szCs w:val="24"/>
        </w:rPr>
        <w:tab/>
        <w:t>Morris A, Beck JM, Schloss PD, Campbell TB, Crothers K, Curtis JL, et al. Comparison of the Respiratory Microbiome in Healthy Nonsmokers and Smokers 2013; 187: 1067–75.</w:t>
      </w:r>
    </w:p>
    <w:p w14:paraId="62420B0E"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[89]</w:t>
      </w:r>
      <w:r w:rsidRPr="003F7121">
        <w:rPr>
          <w:rFonts w:ascii="Times New Roman" w:hAnsi="Times New Roman" w:cs="Times New Roman"/>
          <w:noProof/>
          <w:sz w:val="24"/>
          <w:szCs w:val="24"/>
        </w:rPr>
        <w:tab/>
        <w:t>de Steenhuijsen Piters WAA, Huijskens EGW, Wyllie AL, Biesbroek G, van den Bergh MR, Veenhoven RH, et al. Dysbiosis of upper respiratory tract microbiota in elderly pneumonia patients. 2016; 10: 97–108.</w:t>
      </w:r>
    </w:p>
    <w:p w14:paraId="1AAF0ABB"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[90]</w:t>
      </w:r>
      <w:r w:rsidRPr="003F7121">
        <w:rPr>
          <w:rFonts w:ascii="Times New Roman" w:hAnsi="Times New Roman" w:cs="Times New Roman"/>
          <w:noProof/>
          <w:sz w:val="24"/>
          <w:szCs w:val="24"/>
        </w:rPr>
        <w:tab/>
        <w:t>Ingenito EP, Solway J, McFadden ERJ, Pichurko B, Bowman HF, Michaels D, et al. Indirect assessment of mucosal surface temperatures in the airways: theory and tests. 1987; 63: 2075–83.</w:t>
      </w:r>
    </w:p>
    <w:p w14:paraId="483B57F6"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[91]</w:t>
      </w:r>
      <w:r w:rsidRPr="003F7121">
        <w:rPr>
          <w:rFonts w:ascii="Times New Roman" w:hAnsi="Times New Roman" w:cs="Times New Roman"/>
          <w:noProof/>
          <w:sz w:val="24"/>
          <w:szCs w:val="24"/>
        </w:rPr>
        <w:tab/>
        <w:t>Sze MA, Dimitriu PA, Hayashi S, Elliott WM, McDonough JE, Gosselink J V, et al. The lung tissue microbiome in chronic obstructive pulmonary disease. 2012; 185: 1073–80.</w:t>
      </w:r>
    </w:p>
    <w:p w14:paraId="27AA62C4"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[92]</w:t>
      </w:r>
      <w:r w:rsidRPr="003F7121">
        <w:rPr>
          <w:rFonts w:ascii="Times New Roman" w:hAnsi="Times New Roman" w:cs="Times New Roman"/>
          <w:noProof/>
          <w:sz w:val="24"/>
          <w:szCs w:val="24"/>
        </w:rPr>
        <w:tab/>
        <w:t>Einarsson GG, Comer DM, McIlreavey L, Parkhill J, Ennis M, Tunney MM, et al. Community dynamics and the lower airway microbiota in stable chronic obstructive  pulmonary disease, smokers and healthy non-smokers. 2016; 71: 795–803.</w:t>
      </w:r>
    </w:p>
    <w:p w14:paraId="4E9BD058"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[93]</w:t>
      </w:r>
      <w:r w:rsidRPr="003F7121">
        <w:rPr>
          <w:rFonts w:ascii="Times New Roman" w:hAnsi="Times New Roman" w:cs="Times New Roman"/>
          <w:noProof/>
          <w:sz w:val="24"/>
          <w:szCs w:val="24"/>
        </w:rPr>
        <w:tab/>
        <w:t>Huang YJ, Sethi S, Murphy T, Nariya S, Boushey HA, Lynch S V. Airway microbiome dynamics in exacerbations of chronic obstructive pulmonary disease. 2014; 52: 2813–23.</w:t>
      </w:r>
    </w:p>
    <w:p w14:paraId="4A94A353"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[94]</w:t>
      </w:r>
      <w:r w:rsidRPr="003F7121">
        <w:rPr>
          <w:rFonts w:ascii="Times New Roman" w:hAnsi="Times New Roman" w:cs="Times New Roman"/>
          <w:noProof/>
          <w:sz w:val="24"/>
          <w:szCs w:val="24"/>
        </w:rPr>
        <w:tab/>
        <w:t>Teo SM, Mok D, Pham K, Kusel M, Serralha M, Troy N, et al. The infant nasopharyngeal microbiome impacts severity of lower respiratory infection and risk of asthma development. 2015; 17: 704–15.</w:t>
      </w:r>
    </w:p>
    <w:p w14:paraId="434A7B72"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[95]</w:t>
      </w:r>
      <w:r w:rsidRPr="003F7121">
        <w:rPr>
          <w:rFonts w:ascii="Times New Roman" w:hAnsi="Times New Roman" w:cs="Times New Roman"/>
          <w:noProof/>
          <w:sz w:val="24"/>
          <w:szCs w:val="24"/>
        </w:rPr>
        <w:tab/>
        <w:t>Dickson RP, Erb-Downward JR, Prescott HC, Martinez FJ, Curtis JL, Lama VN, et al. Analysis of culture-dependent versus culture-independent techniques for identification of bacteria in clinically obtained bronchoalveolar lavage fluid. 2014; 52: 3605–13.</w:t>
      </w:r>
    </w:p>
    <w:p w14:paraId="1B6EAB85"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[96]</w:t>
      </w:r>
      <w:r w:rsidRPr="003F7121">
        <w:rPr>
          <w:rFonts w:ascii="Times New Roman" w:hAnsi="Times New Roman" w:cs="Times New Roman"/>
          <w:noProof/>
          <w:sz w:val="24"/>
          <w:szCs w:val="24"/>
        </w:rPr>
        <w:tab/>
        <w:t>Twigg HL 3rd, Knox KS, Zhou J, Crothers KA, Nelson DE, Toh E, et al. Effect of Advanced HIV Infection on the Respiratory Microbiome. 2016; 194: 226–35.</w:t>
      </w:r>
    </w:p>
    <w:p w14:paraId="7FB6BE64"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[97]</w:t>
      </w:r>
      <w:r w:rsidRPr="003F7121">
        <w:rPr>
          <w:rFonts w:ascii="Times New Roman" w:hAnsi="Times New Roman" w:cs="Times New Roman"/>
          <w:noProof/>
          <w:sz w:val="24"/>
          <w:szCs w:val="24"/>
        </w:rPr>
        <w:tab/>
        <w:t>Trompette A, Gollwitzer ES, Yadava K, Sichelstiel AK, Sprenger N, Ngom-Bru C, et al. Gut microbiota metabolism of dietary fiber influences allergic airway disease and hematopoiesis 2014; 20: 159–66.</w:t>
      </w:r>
    </w:p>
    <w:p w14:paraId="20B3018F"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[98]</w:t>
      </w:r>
      <w:r w:rsidRPr="003F7121">
        <w:rPr>
          <w:rFonts w:ascii="Times New Roman" w:hAnsi="Times New Roman" w:cs="Times New Roman"/>
          <w:noProof/>
          <w:sz w:val="24"/>
          <w:szCs w:val="24"/>
        </w:rPr>
        <w:tab/>
        <w:t>Kalliomaki M, Kirjavainen P, Eerola E, Kero P, Salminen S, Isolauri E. Distinct patterns of neonatal gut microflora in infants in whom atopy was and was not developing. 2001; 107: 129–34.</w:t>
      </w:r>
    </w:p>
    <w:p w14:paraId="0E4F8EEA"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[99]</w:t>
      </w:r>
      <w:r w:rsidRPr="003F7121">
        <w:rPr>
          <w:rFonts w:ascii="Times New Roman" w:hAnsi="Times New Roman" w:cs="Times New Roman"/>
          <w:noProof/>
          <w:sz w:val="24"/>
          <w:szCs w:val="24"/>
        </w:rPr>
        <w:tab/>
        <w:t>Looft T, Allen HK. Collateral effects of antibiotics on mammalian gut microbiomes. 2012; 3: 463–67.</w:t>
      </w:r>
    </w:p>
    <w:p w14:paraId="1D2A50D2"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lastRenderedPageBreak/>
        <w:t>[100]</w:t>
      </w:r>
      <w:r w:rsidRPr="003F7121">
        <w:rPr>
          <w:rFonts w:ascii="Times New Roman" w:hAnsi="Times New Roman" w:cs="Times New Roman"/>
          <w:noProof/>
          <w:sz w:val="24"/>
          <w:szCs w:val="24"/>
        </w:rPr>
        <w:tab/>
        <w:t>Omran B. Nanobiotechnology: A Multidisciplinary Field of Science. 2020.</w:t>
      </w:r>
    </w:p>
    <w:p w14:paraId="7B6B4966"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[101]</w:t>
      </w:r>
      <w:r w:rsidRPr="003F7121">
        <w:rPr>
          <w:rFonts w:ascii="Times New Roman" w:hAnsi="Times New Roman" w:cs="Times New Roman"/>
          <w:noProof/>
          <w:sz w:val="24"/>
          <w:szCs w:val="24"/>
        </w:rPr>
        <w:tab/>
        <w:t>Kalantar-Zadeh K, Ward SA, Kalantar-Zadeh K, El-Omar EM. Considering the Effects of Microbiome and Diet on SARS-CoV-2 Infection: Nanotechnology Roles 2020; 14: 5179–82.</w:t>
      </w:r>
    </w:p>
    <w:p w14:paraId="5DEBC856"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[102]</w:t>
      </w:r>
      <w:r w:rsidRPr="003F7121">
        <w:rPr>
          <w:rFonts w:ascii="Times New Roman" w:hAnsi="Times New Roman" w:cs="Times New Roman"/>
          <w:noProof/>
          <w:sz w:val="24"/>
          <w:szCs w:val="24"/>
        </w:rPr>
        <w:tab/>
        <w:t>Nakhleh MK, Amal H, Jeries R, Broza YY, Aboud M, Gharra A, et al. Diagnosis and Classification of 17 Diseases from 1404 Subjects via Pattern Analysis of Exhaled Molecules 2017; 11: 112–25.</w:t>
      </w:r>
    </w:p>
    <w:p w14:paraId="397175DE"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[103]</w:t>
      </w:r>
      <w:r w:rsidRPr="003F7121">
        <w:rPr>
          <w:rFonts w:ascii="Times New Roman" w:hAnsi="Times New Roman" w:cs="Times New Roman"/>
          <w:noProof/>
          <w:sz w:val="24"/>
          <w:szCs w:val="24"/>
        </w:rPr>
        <w:tab/>
        <w:t>Biteen JS, Blainey PC, Cardon ZG, Chun M, Church GM, Dorrestein PC, et al. Tools for the Microbiome: Nano and Beyond 2016; 10: 6–37.</w:t>
      </w:r>
    </w:p>
    <w:p w14:paraId="50C38B55"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[104]</w:t>
      </w:r>
      <w:r w:rsidRPr="003F7121">
        <w:rPr>
          <w:rFonts w:ascii="Times New Roman" w:hAnsi="Times New Roman" w:cs="Times New Roman"/>
          <w:noProof/>
          <w:sz w:val="24"/>
          <w:szCs w:val="24"/>
        </w:rPr>
        <w:tab/>
        <w:t>Nisar A, Kathade SA, Aswani MA, Harsulkar AM, Jagtap, S. D Kunchiraman BN. Understanding the correlation of diet, Immunity, and probiotics: A credible implication in SARS-CoV2 infections 2022; 19 (2).</w:t>
      </w:r>
    </w:p>
    <w:p w14:paraId="78C512DE"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[105]</w:t>
      </w:r>
      <w:r w:rsidRPr="003F7121">
        <w:rPr>
          <w:rFonts w:ascii="Times New Roman" w:hAnsi="Times New Roman" w:cs="Times New Roman"/>
          <w:noProof/>
          <w:sz w:val="24"/>
          <w:szCs w:val="24"/>
        </w:rPr>
        <w:tab/>
        <w:t>Hua S, Marks E, Schneider JJ, Keely S. Advances in oral nano-delivery systems for colon targeted drug delivery in inflammatory bowel disease: Selective targeting to diseased versus healthy tissue 2015; 11: 1117–32.</w:t>
      </w:r>
    </w:p>
    <w:p w14:paraId="3B71CA6E"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[106]</w:t>
      </w:r>
      <w:r w:rsidRPr="003F7121">
        <w:rPr>
          <w:rFonts w:ascii="Times New Roman" w:hAnsi="Times New Roman" w:cs="Times New Roman"/>
          <w:noProof/>
          <w:sz w:val="24"/>
          <w:szCs w:val="24"/>
        </w:rPr>
        <w:tab/>
        <w:t>He F, Deng Y, Li W. Coronavirus disease 2019: What we know? 2020: 1–7.</w:t>
      </w:r>
    </w:p>
    <w:p w14:paraId="176FBA80"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[107]</w:t>
      </w:r>
      <w:r w:rsidRPr="003F7121">
        <w:rPr>
          <w:rFonts w:ascii="Times New Roman" w:hAnsi="Times New Roman" w:cs="Times New Roman"/>
          <w:noProof/>
          <w:sz w:val="24"/>
          <w:szCs w:val="24"/>
        </w:rPr>
        <w:tab/>
        <w:t>de Vrese M, Schrezenmeir J. Probiotics and non-intestinal infectious conditions. 2002; 88 Suppl 1: S59-66.</w:t>
      </w:r>
    </w:p>
    <w:p w14:paraId="3452807D"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[108]</w:t>
      </w:r>
      <w:r w:rsidRPr="003F7121">
        <w:rPr>
          <w:rFonts w:ascii="Times New Roman" w:hAnsi="Times New Roman" w:cs="Times New Roman"/>
          <w:noProof/>
          <w:sz w:val="24"/>
          <w:szCs w:val="24"/>
        </w:rPr>
        <w:tab/>
        <w:t>Zolnikova O, Komkova I, Potskherashvili N, Trukhmanov A, Ivashkin V. Application of probiotics for acute respiratory tract infections 2018; 12: 32–38.</w:t>
      </w:r>
    </w:p>
    <w:p w14:paraId="5C1819E5"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[109]</w:t>
      </w:r>
      <w:r w:rsidRPr="003F7121">
        <w:rPr>
          <w:rFonts w:ascii="Times New Roman" w:hAnsi="Times New Roman" w:cs="Times New Roman"/>
          <w:noProof/>
          <w:sz w:val="24"/>
          <w:szCs w:val="24"/>
        </w:rPr>
        <w:tab/>
        <w:t>Azad MAK, Sarker M, Wan D. Immunomodulatory Effects of Probiotics on Cytokine Profiles 2018; 2018: 8063647.</w:t>
      </w:r>
    </w:p>
    <w:p w14:paraId="23A641E8"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[110]</w:t>
      </w:r>
      <w:r w:rsidRPr="003F7121">
        <w:rPr>
          <w:rFonts w:ascii="Times New Roman" w:hAnsi="Times New Roman" w:cs="Times New Roman"/>
          <w:noProof/>
          <w:sz w:val="24"/>
          <w:szCs w:val="24"/>
        </w:rPr>
        <w:tab/>
        <w:t>Cho SS, Finocchiaro T. Handbook of Prebiotics and Probiotics Ingredients: Health Benefits and Food Applications. CRC Press 2009.</w:t>
      </w:r>
    </w:p>
    <w:p w14:paraId="3C3B2158"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[111]</w:t>
      </w:r>
      <w:r w:rsidRPr="003F7121">
        <w:rPr>
          <w:rFonts w:ascii="Times New Roman" w:hAnsi="Times New Roman" w:cs="Times New Roman"/>
          <w:noProof/>
          <w:sz w:val="24"/>
          <w:szCs w:val="24"/>
        </w:rPr>
        <w:tab/>
        <w:t>Maldonado Galdeano C, Cazorla SI, Lemme Dumit JM, Vélez E, Perdigón G. Beneficial Effects of Probiotic Consumption on the Immune System 2019; 74: 115–24.</w:t>
      </w:r>
    </w:p>
    <w:p w14:paraId="437B126C"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3F7121">
        <w:rPr>
          <w:rFonts w:ascii="Times New Roman" w:hAnsi="Times New Roman" w:cs="Times New Roman"/>
          <w:noProof/>
          <w:sz w:val="24"/>
          <w:szCs w:val="24"/>
        </w:rPr>
        <w:t>[112]</w:t>
      </w:r>
      <w:r w:rsidRPr="003F7121">
        <w:rPr>
          <w:rFonts w:ascii="Times New Roman" w:hAnsi="Times New Roman" w:cs="Times New Roman"/>
          <w:noProof/>
          <w:sz w:val="24"/>
          <w:szCs w:val="24"/>
        </w:rPr>
        <w:tab/>
        <w:t>Moeini H, Rahim RA, Omar AR, Shafee N, Yusoff K. Lactobacillus acidophilus as a live vehicle for oral immunization against chicken  anemia virus. 2011; 90: 77–88.</w:t>
      </w:r>
    </w:p>
    <w:p w14:paraId="637E90D3" w14:textId="77777777" w:rsidR="005914AF" w:rsidRPr="003F7121" w:rsidRDefault="005914AF" w:rsidP="005914AF">
      <w:pPr>
        <w:widowControl w:val="0"/>
        <w:autoSpaceDE w:val="0"/>
        <w:autoSpaceDN w:val="0"/>
        <w:adjustRightInd w:val="0"/>
        <w:spacing w:after="0" w:line="240" w:lineRule="auto"/>
        <w:ind w:left="640" w:hanging="640"/>
        <w:jc w:val="both"/>
        <w:rPr>
          <w:rFonts w:ascii="Times New Roman" w:hAnsi="Times New Roman" w:cs="Times New Roman"/>
          <w:noProof/>
          <w:sz w:val="24"/>
        </w:rPr>
      </w:pPr>
      <w:r w:rsidRPr="003F7121">
        <w:rPr>
          <w:rFonts w:ascii="Times New Roman" w:hAnsi="Times New Roman" w:cs="Times New Roman"/>
          <w:noProof/>
          <w:sz w:val="24"/>
          <w:szCs w:val="24"/>
        </w:rPr>
        <w:t>[113]</w:t>
      </w:r>
      <w:r w:rsidRPr="003F7121">
        <w:rPr>
          <w:rFonts w:ascii="Times New Roman" w:hAnsi="Times New Roman" w:cs="Times New Roman"/>
          <w:noProof/>
          <w:sz w:val="24"/>
          <w:szCs w:val="24"/>
        </w:rPr>
        <w:tab/>
        <w:t>Tomosada Y, Chiba E, Zelaya H, Takahashi T, Tsukida K, Kitazawa H, et al. Nasally administered Lactobacillus rhamnosus strains differentially modulate respiratory antiviral immune responses and induce protection against respiratory syncytial virus infection. 2013; 14: 40.</w:t>
      </w:r>
    </w:p>
    <w:p w14:paraId="76A456B9" w14:textId="64448CE3" w:rsidR="005914AF" w:rsidRPr="003F7121" w:rsidRDefault="005914AF" w:rsidP="005914AF">
      <w:pPr>
        <w:spacing w:after="0" w:line="240" w:lineRule="auto"/>
        <w:jc w:val="both"/>
        <w:rPr>
          <w:rFonts w:ascii="Times New Roman" w:hAnsi="Times New Roman" w:cs="Times New Roman"/>
          <w:sz w:val="24"/>
          <w:szCs w:val="24"/>
        </w:rPr>
      </w:pPr>
      <w:r w:rsidRPr="003F7121">
        <w:rPr>
          <w:rFonts w:ascii="Times New Roman" w:hAnsi="Times New Roman" w:cs="Times New Roman"/>
          <w:sz w:val="24"/>
          <w:szCs w:val="24"/>
        </w:rPr>
        <w:fldChar w:fldCharType="end"/>
      </w:r>
    </w:p>
    <w:sectPr w:rsidR="005914AF" w:rsidRPr="003F712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5180" w14:textId="77777777" w:rsidR="008021D8" w:rsidRDefault="008021D8" w:rsidP="005914AF">
      <w:pPr>
        <w:spacing w:after="0" w:line="240" w:lineRule="auto"/>
      </w:pPr>
      <w:r>
        <w:separator/>
      </w:r>
    </w:p>
  </w:endnote>
  <w:endnote w:type="continuationSeparator" w:id="0">
    <w:p w14:paraId="0EDD9B73" w14:textId="77777777" w:rsidR="008021D8" w:rsidRDefault="008021D8" w:rsidP="0059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268067"/>
      <w:docPartObj>
        <w:docPartGallery w:val="Page Numbers (Bottom of Page)"/>
        <w:docPartUnique/>
      </w:docPartObj>
    </w:sdtPr>
    <w:sdtEndPr>
      <w:rPr>
        <w:noProof/>
      </w:rPr>
    </w:sdtEndPr>
    <w:sdtContent>
      <w:p w14:paraId="1CCF1205" w14:textId="288DA99E" w:rsidR="005914AF" w:rsidRDefault="005914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083A11" w14:textId="77777777" w:rsidR="005914AF" w:rsidRDefault="00591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095C" w14:textId="77777777" w:rsidR="008021D8" w:rsidRDefault="008021D8" w:rsidP="005914AF">
      <w:pPr>
        <w:spacing w:after="0" w:line="240" w:lineRule="auto"/>
      </w:pPr>
      <w:r>
        <w:separator/>
      </w:r>
    </w:p>
  </w:footnote>
  <w:footnote w:type="continuationSeparator" w:id="0">
    <w:p w14:paraId="740AE9E7" w14:textId="77777777" w:rsidR="008021D8" w:rsidRDefault="008021D8" w:rsidP="00591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BFF"/>
    <w:multiLevelType w:val="hybridMultilevel"/>
    <w:tmpl w:val="7968239C"/>
    <w:lvl w:ilvl="0" w:tplc="6D3030BE">
      <w:start w:val="1"/>
      <w:numFmt w:val="decimal"/>
      <w:lvlText w:val="%1.1"/>
      <w:lvlJc w:val="left"/>
      <w:pPr>
        <w:ind w:left="720" w:hanging="360"/>
      </w:pPr>
      <w:rPr>
        <w:rFonts w:hint="default"/>
        <w:b/>
        <w:bCs/>
        <w:w w:val="99"/>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9966C0A"/>
    <w:multiLevelType w:val="multilevel"/>
    <w:tmpl w:val="5C326BD0"/>
    <w:lvl w:ilvl="0">
      <w:start w:val="1"/>
      <w:numFmt w:val="decimal"/>
      <w:lvlText w:val="%1."/>
      <w:lvlJc w:val="left"/>
      <w:pPr>
        <w:ind w:left="720" w:hanging="360"/>
      </w:pPr>
      <w:rPr>
        <w:b/>
        <w:bCs/>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16cid:durableId="516426226">
    <w:abstractNumId w:val="1"/>
  </w:num>
  <w:num w:numId="2" w16cid:durableId="939605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K0MDc1sDA3MjA2NrBU0lEKTi0uzszPAykwqgUAWfUE7CwAAAA="/>
  </w:docVars>
  <w:rsids>
    <w:rsidRoot w:val="005914AF"/>
    <w:rsid w:val="003F7121"/>
    <w:rsid w:val="00571EDB"/>
    <w:rsid w:val="005914AF"/>
    <w:rsid w:val="00666D44"/>
    <w:rsid w:val="006C77ED"/>
    <w:rsid w:val="006D25EC"/>
    <w:rsid w:val="008021D8"/>
    <w:rsid w:val="0084506C"/>
    <w:rsid w:val="00903853"/>
    <w:rsid w:val="0092193E"/>
    <w:rsid w:val="00964C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D687"/>
  <w15:chartTrackingRefBased/>
  <w15:docId w15:val="{1330C6F6-C739-467E-B888-DD223950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AF"/>
    <w:rPr>
      <w:kern w:val="0"/>
      <w14:ligatures w14:val="none"/>
    </w:rPr>
  </w:style>
  <w:style w:type="paragraph" w:styleId="Heading1">
    <w:name w:val="heading 1"/>
    <w:basedOn w:val="Normal"/>
    <w:link w:val="Heading1Char"/>
    <w:uiPriority w:val="9"/>
    <w:qFormat/>
    <w:rsid w:val="005914AF"/>
    <w:pPr>
      <w:widowControl w:val="0"/>
      <w:autoSpaceDE w:val="0"/>
      <w:autoSpaceDN w:val="0"/>
      <w:spacing w:before="182" w:after="0" w:line="255" w:lineRule="exact"/>
      <w:ind w:left="2412"/>
      <w:outlineLvl w:val="0"/>
    </w:pPr>
    <w:rPr>
      <w:rFonts w:ascii="Corbel" w:eastAsia="Corbel" w:hAnsi="Corbel" w:cs="Corbel"/>
      <w:b/>
      <w:bCs/>
      <w:lang w:val="en-US"/>
    </w:rPr>
  </w:style>
  <w:style w:type="paragraph" w:styleId="Heading2">
    <w:name w:val="heading 2"/>
    <w:basedOn w:val="Normal"/>
    <w:next w:val="Normal"/>
    <w:link w:val="Heading2Char"/>
    <w:uiPriority w:val="9"/>
    <w:semiHidden/>
    <w:unhideWhenUsed/>
    <w:qFormat/>
    <w:rsid w:val="005914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4AF"/>
    <w:rPr>
      <w:rFonts w:ascii="Corbel" w:eastAsia="Corbel" w:hAnsi="Corbel" w:cs="Corbel"/>
      <w:b/>
      <w:bCs/>
      <w:kern w:val="0"/>
      <w:lang w:val="en-US"/>
      <w14:ligatures w14:val="none"/>
    </w:rPr>
  </w:style>
  <w:style w:type="character" w:customStyle="1" w:styleId="Heading2Char">
    <w:name w:val="Heading 2 Char"/>
    <w:basedOn w:val="DefaultParagraphFont"/>
    <w:link w:val="Heading2"/>
    <w:uiPriority w:val="9"/>
    <w:semiHidden/>
    <w:rsid w:val="005914AF"/>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5914AF"/>
    <w:pPr>
      <w:widowControl w:val="0"/>
      <w:autoSpaceDE w:val="0"/>
      <w:autoSpaceDN w:val="0"/>
      <w:spacing w:after="0" w:line="240" w:lineRule="auto"/>
      <w:ind w:left="720"/>
      <w:contextualSpacing/>
    </w:pPr>
    <w:rPr>
      <w:rFonts w:ascii="Georgia" w:eastAsia="Georgia" w:hAnsi="Georgia" w:cs="Georgia"/>
      <w:lang w:val="en-US"/>
    </w:rPr>
  </w:style>
  <w:style w:type="paragraph" w:customStyle="1" w:styleId="Default">
    <w:name w:val="Default"/>
    <w:rsid w:val="005914AF"/>
    <w:pPr>
      <w:autoSpaceDE w:val="0"/>
      <w:autoSpaceDN w:val="0"/>
      <w:adjustRightInd w:val="0"/>
      <w:spacing w:after="0" w:line="240" w:lineRule="auto"/>
    </w:pPr>
    <w:rPr>
      <w:rFonts w:ascii="Segoe UI" w:eastAsia="Calibri" w:hAnsi="Segoe UI" w:cs="Segoe UI"/>
      <w:color w:val="000000"/>
      <w:kern w:val="0"/>
      <w:sz w:val="24"/>
      <w:szCs w:val="24"/>
      <w14:ligatures w14:val="none"/>
    </w:rPr>
  </w:style>
  <w:style w:type="character" w:styleId="FootnoteReference">
    <w:name w:val="footnote reference"/>
    <w:uiPriority w:val="99"/>
    <w:semiHidden/>
    <w:unhideWhenUsed/>
    <w:rsid w:val="005914AF"/>
    <w:rPr>
      <w:vertAlign w:val="superscript"/>
    </w:rPr>
  </w:style>
  <w:style w:type="table" w:styleId="TableGrid">
    <w:name w:val="Table Grid"/>
    <w:basedOn w:val="TableNormal"/>
    <w:uiPriority w:val="39"/>
    <w:qFormat/>
    <w:rsid w:val="005914AF"/>
    <w:pPr>
      <w:spacing w:after="0" w:line="240" w:lineRule="auto"/>
    </w:pPr>
    <w:rPr>
      <w:rFonts w:ascii="Calibri" w:eastAsia="Calibri" w:hAnsi="Calibri" w:cs="Times New Roman"/>
      <w:kern w:val="0"/>
      <w:sz w:val="20"/>
      <w:szCs w:val="20"/>
      <w:lang w:eastAsia="en-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14A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591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AF"/>
    <w:rPr>
      <w:kern w:val="0"/>
      <w14:ligatures w14:val="none"/>
    </w:rPr>
  </w:style>
  <w:style w:type="paragraph" w:styleId="Footer">
    <w:name w:val="footer"/>
    <w:basedOn w:val="Normal"/>
    <w:link w:val="FooterChar"/>
    <w:uiPriority w:val="99"/>
    <w:unhideWhenUsed/>
    <w:rsid w:val="00591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AF"/>
    <w:rPr>
      <w:kern w:val="0"/>
      <w14:ligatures w14:val="none"/>
    </w:rPr>
  </w:style>
  <w:style w:type="character" w:styleId="Hyperlink">
    <w:name w:val="Hyperlink"/>
    <w:basedOn w:val="DefaultParagraphFont"/>
    <w:uiPriority w:val="99"/>
    <w:unhideWhenUsed/>
    <w:rsid w:val="00666D44"/>
    <w:rPr>
      <w:color w:val="0563C1" w:themeColor="hyperlink"/>
      <w:u w:val="single"/>
    </w:rPr>
  </w:style>
  <w:style w:type="character" w:styleId="UnresolvedMention">
    <w:name w:val="Unresolved Mention"/>
    <w:basedOn w:val="DefaultParagraphFont"/>
    <w:uiPriority w:val="99"/>
    <w:semiHidden/>
    <w:unhideWhenUsed/>
    <w:rsid w:val="00666D44"/>
    <w:rPr>
      <w:color w:val="605E5C"/>
      <w:shd w:val="clear" w:color="auto" w:fill="E1DFDD"/>
    </w:rPr>
  </w:style>
  <w:style w:type="paragraph" w:styleId="z-TopofForm">
    <w:name w:val="HTML Top of Form"/>
    <w:basedOn w:val="Normal"/>
    <w:next w:val="Normal"/>
    <w:link w:val="z-TopofFormChar"/>
    <w:hidden/>
    <w:uiPriority w:val="99"/>
    <w:semiHidden/>
    <w:unhideWhenUsed/>
    <w:rsid w:val="00666D44"/>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666D44"/>
    <w:rPr>
      <w:rFonts w:ascii="Arial" w:eastAsia="Times New Roman" w:hAnsi="Arial" w:cs="Arial"/>
      <w:vanish/>
      <w:kern w:val="0"/>
      <w:sz w:val="16"/>
      <w:szCs w:val="16"/>
      <w:lang w:eastAsia="en-IN"/>
      <w14:ligatures w14:val="none"/>
    </w:rPr>
  </w:style>
  <w:style w:type="paragraph" w:styleId="z-BottomofForm">
    <w:name w:val="HTML Bottom of Form"/>
    <w:basedOn w:val="Normal"/>
    <w:next w:val="Normal"/>
    <w:link w:val="z-BottomofFormChar"/>
    <w:hidden/>
    <w:uiPriority w:val="99"/>
    <w:semiHidden/>
    <w:unhideWhenUsed/>
    <w:rsid w:val="00666D44"/>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666D44"/>
    <w:rPr>
      <w:rFonts w:ascii="Arial" w:eastAsia="Times New Roman" w:hAnsi="Arial" w:cs="Arial"/>
      <w:vanish/>
      <w:kern w:val="0"/>
      <w:sz w:val="16"/>
      <w:szCs w:val="16"/>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4008">
      <w:bodyDiv w:val="1"/>
      <w:marLeft w:val="0"/>
      <w:marRight w:val="0"/>
      <w:marTop w:val="0"/>
      <w:marBottom w:val="0"/>
      <w:divBdr>
        <w:top w:val="none" w:sz="0" w:space="0" w:color="auto"/>
        <w:left w:val="none" w:sz="0" w:space="0" w:color="auto"/>
        <w:bottom w:val="none" w:sz="0" w:space="0" w:color="auto"/>
        <w:right w:val="none" w:sz="0" w:space="0" w:color="auto"/>
      </w:divBdr>
      <w:divsChild>
        <w:div w:id="780026754">
          <w:marLeft w:val="0"/>
          <w:marRight w:val="0"/>
          <w:marTop w:val="0"/>
          <w:marBottom w:val="60"/>
          <w:divBdr>
            <w:top w:val="none" w:sz="0" w:space="0" w:color="auto"/>
            <w:left w:val="none" w:sz="0" w:space="0" w:color="auto"/>
            <w:bottom w:val="none" w:sz="0" w:space="0" w:color="auto"/>
            <w:right w:val="none" w:sz="0" w:space="0" w:color="auto"/>
          </w:divBdr>
          <w:divsChild>
            <w:div w:id="1570195279">
              <w:marLeft w:val="0"/>
              <w:marRight w:val="0"/>
              <w:marTop w:val="0"/>
              <w:marBottom w:val="0"/>
              <w:divBdr>
                <w:top w:val="none" w:sz="0" w:space="0" w:color="auto"/>
                <w:left w:val="none" w:sz="0" w:space="0" w:color="auto"/>
                <w:bottom w:val="none" w:sz="0" w:space="0" w:color="auto"/>
                <w:right w:val="none" w:sz="0" w:space="0" w:color="auto"/>
              </w:divBdr>
              <w:divsChild>
                <w:div w:id="82184385">
                  <w:marLeft w:val="0"/>
                  <w:marRight w:val="0"/>
                  <w:marTop w:val="0"/>
                  <w:marBottom w:val="0"/>
                  <w:divBdr>
                    <w:top w:val="none" w:sz="0" w:space="0" w:color="auto"/>
                    <w:left w:val="none" w:sz="0" w:space="0" w:color="auto"/>
                    <w:bottom w:val="none" w:sz="0" w:space="0" w:color="auto"/>
                    <w:right w:val="none" w:sz="0" w:space="0" w:color="auto"/>
                  </w:divBdr>
                  <w:divsChild>
                    <w:div w:id="776486306">
                      <w:marLeft w:val="0"/>
                      <w:marRight w:val="150"/>
                      <w:marTop w:val="30"/>
                      <w:marBottom w:val="0"/>
                      <w:divBdr>
                        <w:top w:val="none" w:sz="0" w:space="0" w:color="auto"/>
                        <w:left w:val="none" w:sz="0" w:space="0" w:color="auto"/>
                        <w:bottom w:val="none" w:sz="0" w:space="0" w:color="auto"/>
                        <w:right w:val="none" w:sz="0" w:space="0" w:color="auto"/>
                      </w:divBdr>
                      <w:divsChild>
                        <w:div w:id="1631013324">
                          <w:marLeft w:val="0"/>
                          <w:marRight w:val="0"/>
                          <w:marTop w:val="0"/>
                          <w:marBottom w:val="0"/>
                          <w:divBdr>
                            <w:top w:val="none" w:sz="0" w:space="0" w:color="auto"/>
                            <w:left w:val="none" w:sz="0" w:space="0" w:color="auto"/>
                            <w:bottom w:val="none" w:sz="0" w:space="0" w:color="auto"/>
                            <w:right w:val="none" w:sz="0" w:space="0" w:color="auto"/>
                          </w:divBdr>
                        </w:div>
                      </w:divsChild>
                    </w:div>
                    <w:div w:id="597640758">
                      <w:marLeft w:val="0"/>
                      <w:marRight w:val="150"/>
                      <w:marTop w:val="30"/>
                      <w:marBottom w:val="0"/>
                      <w:divBdr>
                        <w:top w:val="none" w:sz="0" w:space="0" w:color="auto"/>
                        <w:left w:val="none" w:sz="0" w:space="0" w:color="auto"/>
                        <w:bottom w:val="none" w:sz="0" w:space="0" w:color="auto"/>
                        <w:right w:val="none" w:sz="0" w:space="0" w:color="auto"/>
                      </w:divBdr>
                      <w:divsChild>
                        <w:div w:id="1628126260">
                          <w:marLeft w:val="0"/>
                          <w:marRight w:val="0"/>
                          <w:marTop w:val="0"/>
                          <w:marBottom w:val="0"/>
                          <w:divBdr>
                            <w:top w:val="none" w:sz="0" w:space="0" w:color="auto"/>
                            <w:left w:val="none" w:sz="0" w:space="0" w:color="auto"/>
                            <w:bottom w:val="none" w:sz="0" w:space="0" w:color="auto"/>
                            <w:right w:val="none" w:sz="0" w:space="0" w:color="auto"/>
                          </w:divBdr>
                        </w:div>
                      </w:divsChild>
                    </w:div>
                    <w:div w:id="396168083">
                      <w:marLeft w:val="0"/>
                      <w:marRight w:val="0"/>
                      <w:marTop w:val="0"/>
                      <w:marBottom w:val="0"/>
                      <w:divBdr>
                        <w:top w:val="none" w:sz="0" w:space="0" w:color="auto"/>
                        <w:left w:val="none" w:sz="0" w:space="0" w:color="auto"/>
                        <w:bottom w:val="none" w:sz="0" w:space="0" w:color="auto"/>
                        <w:right w:val="none" w:sz="0" w:space="0" w:color="auto"/>
                      </w:divBdr>
                      <w:divsChild>
                        <w:div w:id="1917544500">
                          <w:marLeft w:val="0"/>
                          <w:marRight w:val="0"/>
                          <w:marTop w:val="0"/>
                          <w:marBottom w:val="0"/>
                          <w:divBdr>
                            <w:top w:val="none" w:sz="0" w:space="0" w:color="auto"/>
                            <w:left w:val="none" w:sz="0" w:space="0" w:color="auto"/>
                            <w:bottom w:val="none" w:sz="0" w:space="0" w:color="auto"/>
                            <w:right w:val="none" w:sz="0" w:space="0" w:color="auto"/>
                          </w:divBdr>
                          <w:divsChild>
                            <w:div w:id="1997949119">
                              <w:marLeft w:val="0"/>
                              <w:marRight w:val="0"/>
                              <w:marTop w:val="0"/>
                              <w:marBottom w:val="0"/>
                              <w:divBdr>
                                <w:top w:val="none" w:sz="0" w:space="0" w:color="auto"/>
                                <w:left w:val="none" w:sz="0" w:space="0" w:color="auto"/>
                                <w:bottom w:val="none" w:sz="0" w:space="0" w:color="auto"/>
                                <w:right w:val="none" w:sz="0" w:space="0" w:color="auto"/>
                              </w:divBdr>
                              <w:divsChild>
                                <w:div w:id="317535666">
                                  <w:marLeft w:val="0"/>
                                  <w:marRight w:val="0"/>
                                  <w:marTop w:val="0"/>
                                  <w:marBottom w:val="0"/>
                                  <w:divBdr>
                                    <w:top w:val="none" w:sz="0" w:space="0" w:color="auto"/>
                                    <w:left w:val="none" w:sz="0" w:space="0" w:color="auto"/>
                                    <w:bottom w:val="none" w:sz="0" w:space="0" w:color="auto"/>
                                    <w:right w:val="none" w:sz="0" w:space="0" w:color="auto"/>
                                  </w:divBdr>
                                  <w:divsChild>
                                    <w:div w:id="1174537560">
                                      <w:marLeft w:val="360"/>
                                      <w:marRight w:val="360"/>
                                      <w:marTop w:val="360"/>
                                      <w:marBottom w:val="360"/>
                                      <w:divBdr>
                                        <w:top w:val="none" w:sz="0" w:space="0" w:color="auto"/>
                                        <w:left w:val="none" w:sz="0" w:space="0" w:color="auto"/>
                                        <w:bottom w:val="none" w:sz="0" w:space="0" w:color="auto"/>
                                        <w:right w:val="none" w:sz="0" w:space="0" w:color="auto"/>
                                      </w:divBdr>
                                      <w:divsChild>
                                        <w:div w:id="80808967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693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128156">
      <w:bodyDiv w:val="1"/>
      <w:marLeft w:val="0"/>
      <w:marRight w:val="0"/>
      <w:marTop w:val="0"/>
      <w:marBottom w:val="0"/>
      <w:divBdr>
        <w:top w:val="none" w:sz="0" w:space="0" w:color="auto"/>
        <w:left w:val="none" w:sz="0" w:space="0" w:color="auto"/>
        <w:bottom w:val="none" w:sz="0" w:space="0" w:color="auto"/>
        <w:right w:val="none" w:sz="0" w:space="0" w:color="auto"/>
      </w:divBdr>
    </w:div>
    <w:div w:id="1297177436">
      <w:bodyDiv w:val="1"/>
      <w:marLeft w:val="0"/>
      <w:marRight w:val="0"/>
      <w:marTop w:val="0"/>
      <w:marBottom w:val="0"/>
      <w:divBdr>
        <w:top w:val="none" w:sz="0" w:space="0" w:color="auto"/>
        <w:left w:val="none" w:sz="0" w:space="0" w:color="auto"/>
        <w:bottom w:val="none" w:sz="0" w:space="0" w:color="auto"/>
        <w:right w:val="none" w:sz="0" w:space="0" w:color="auto"/>
      </w:divBdr>
      <w:divsChild>
        <w:div w:id="1658800629">
          <w:marLeft w:val="0"/>
          <w:marRight w:val="0"/>
          <w:marTop w:val="0"/>
          <w:marBottom w:val="60"/>
          <w:divBdr>
            <w:top w:val="none" w:sz="0" w:space="0" w:color="auto"/>
            <w:left w:val="none" w:sz="0" w:space="0" w:color="auto"/>
            <w:bottom w:val="none" w:sz="0" w:space="0" w:color="auto"/>
            <w:right w:val="none" w:sz="0" w:space="0" w:color="auto"/>
          </w:divBdr>
          <w:divsChild>
            <w:div w:id="766147789">
              <w:marLeft w:val="0"/>
              <w:marRight w:val="0"/>
              <w:marTop w:val="0"/>
              <w:marBottom w:val="0"/>
              <w:divBdr>
                <w:top w:val="none" w:sz="0" w:space="0" w:color="auto"/>
                <w:left w:val="none" w:sz="0" w:space="0" w:color="auto"/>
                <w:bottom w:val="none" w:sz="0" w:space="0" w:color="auto"/>
                <w:right w:val="none" w:sz="0" w:space="0" w:color="auto"/>
              </w:divBdr>
              <w:divsChild>
                <w:div w:id="1264916256">
                  <w:marLeft w:val="0"/>
                  <w:marRight w:val="0"/>
                  <w:marTop w:val="0"/>
                  <w:marBottom w:val="0"/>
                  <w:divBdr>
                    <w:top w:val="none" w:sz="0" w:space="0" w:color="auto"/>
                    <w:left w:val="none" w:sz="0" w:space="0" w:color="auto"/>
                    <w:bottom w:val="none" w:sz="0" w:space="0" w:color="auto"/>
                    <w:right w:val="none" w:sz="0" w:space="0" w:color="auto"/>
                  </w:divBdr>
                  <w:divsChild>
                    <w:div w:id="1194418136">
                      <w:marLeft w:val="0"/>
                      <w:marRight w:val="150"/>
                      <w:marTop w:val="30"/>
                      <w:marBottom w:val="0"/>
                      <w:divBdr>
                        <w:top w:val="none" w:sz="0" w:space="0" w:color="auto"/>
                        <w:left w:val="none" w:sz="0" w:space="0" w:color="auto"/>
                        <w:bottom w:val="none" w:sz="0" w:space="0" w:color="auto"/>
                        <w:right w:val="none" w:sz="0" w:space="0" w:color="auto"/>
                      </w:divBdr>
                      <w:divsChild>
                        <w:div w:id="1221474833">
                          <w:marLeft w:val="0"/>
                          <w:marRight w:val="0"/>
                          <w:marTop w:val="0"/>
                          <w:marBottom w:val="0"/>
                          <w:divBdr>
                            <w:top w:val="none" w:sz="0" w:space="0" w:color="auto"/>
                            <w:left w:val="none" w:sz="0" w:space="0" w:color="auto"/>
                            <w:bottom w:val="none" w:sz="0" w:space="0" w:color="auto"/>
                            <w:right w:val="none" w:sz="0" w:space="0" w:color="auto"/>
                          </w:divBdr>
                        </w:div>
                      </w:divsChild>
                    </w:div>
                    <w:div w:id="1185286928">
                      <w:marLeft w:val="0"/>
                      <w:marRight w:val="150"/>
                      <w:marTop w:val="30"/>
                      <w:marBottom w:val="0"/>
                      <w:divBdr>
                        <w:top w:val="none" w:sz="0" w:space="0" w:color="auto"/>
                        <w:left w:val="none" w:sz="0" w:space="0" w:color="auto"/>
                        <w:bottom w:val="none" w:sz="0" w:space="0" w:color="auto"/>
                        <w:right w:val="none" w:sz="0" w:space="0" w:color="auto"/>
                      </w:divBdr>
                      <w:divsChild>
                        <w:div w:id="934751017">
                          <w:marLeft w:val="0"/>
                          <w:marRight w:val="0"/>
                          <w:marTop w:val="0"/>
                          <w:marBottom w:val="0"/>
                          <w:divBdr>
                            <w:top w:val="none" w:sz="0" w:space="0" w:color="auto"/>
                            <w:left w:val="none" w:sz="0" w:space="0" w:color="auto"/>
                            <w:bottom w:val="none" w:sz="0" w:space="0" w:color="auto"/>
                            <w:right w:val="none" w:sz="0" w:space="0" w:color="auto"/>
                          </w:divBdr>
                        </w:div>
                      </w:divsChild>
                    </w:div>
                    <w:div w:id="276720793">
                      <w:marLeft w:val="0"/>
                      <w:marRight w:val="0"/>
                      <w:marTop w:val="0"/>
                      <w:marBottom w:val="0"/>
                      <w:divBdr>
                        <w:top w:val="none" w:sz="0" w:space="0" w:color="auto"/>
                        <w:left w:val="none" w:sz="0" w:space="0" w:color="auto"/>
                        <w:bottom w:val="none" w:sz="0" w:space="0" w:color="auto"/>
                        <w:right w:val="none" w:sz="0" w:space="0" w:color="auto"/>
                      </w:divBdr>
                      <w:divsChild>
                        <w:div w:id="1550799460">
                          <w:marLeft w:val="0"/>
                          <w:marRight w:val="0"/>
                          <w:marTop w:val="0"/>
                          <w:marBottom w:val="0"/>
                          <w:divBdr>
                            <w:top w:val="none" w:sz="0" w:space="0" w:color="auto"/>
                            <w:left w:val="none" w:sz="0" w:space="0" w:color="auto"/>
                            <w:bottom w:val="none" w:sz="0" w:space="0" w:color="auto"/>
                            <w:right w:val="none" w:sz="0" w:space="0" w:color="auto"/>
                          </w:divBdr>
                          <w:divsChild>
                            <w:div w:id="1271933270">
                              <w:marLeft w:val="0"/>
                              <w:marRight w:val="0"/>
                              <w:marTop w:val="0"/>
                              <w:marBottom w:val="0"/>
                              <w:divBdr>
                                <w:top w:val="none" w:sz="0" w:space="0" w:color="auto"/>
                                <w:left w:val="none" w:sz="0" w:space="0" w:color="auto"/>
                                <w:bottom w:val="none" w:sz="0" w:space="0" w:color="auto"/>
                                <w:right w:val="none" w:sz="0" w:space="0" w:color="auto"/>
                              </w:divBdr>
                              <w:divsChild>
                                <w:div w:id="891893152">
                                  <w:marLeft w:val="0"/>
                                  <w:marRight w:val="0"/>
                                  <w:marTop w:val="0"/>
                                  <w:marBottom w:val="0"/>
                                  <w:divBdr>
                                    <w:top w:val="none" w:sz="0" w:space="0" w:color="auto"/>
                                    <w:left w:val="none" w:sz="0" w:space="0" w:color="auto"/>
                                    <w:bottom w:val="none" w:sz="0" w:space="0" w:color="auto"/>
                                    <w:right w:val="none" w:sz="0" w:space="0" w:color="auto"/>
                                  </w:divBdr>
                                  <w:divsChild>
                                    <w:div w:id="630794424">
                                      <w:marLeft w:val="360"/>
                                      <w:marRight w:val="360"/>
                                      <w:marTop w:val="360"/>
                                      <w:marBottom w:val="360"/>
                                      <w:divBdr>
                                        <w:top w:val="none" w:sz="0" w:space="0" w:color="auto"/>
                                        <w:left w:val="none" w:sz="0" w:space="0" w:color="auto"/>
                                        <w:bottom w:val="none" w:sz="0" w:space="0" w:color="auto"/>
                                        <w:right w:val="none" w:sz="0" w:space="0" w:color="auto"/>
                                      </w:divBdr>
                                      <w:divsChild>
                                        <w:div w:id="19277659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078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yash.kathade9@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uyash.kathade9@gmail.com" TargetMode="External"/><Relationship Id="rId4" Type="http://schemas.openxmlformats.org/officeDocument/2006/relationships/settings" Target="settings.xml"/><Relationship Id="rId9" Type="http://schemas.openxmlformats.org/officeDocument/2006/relationships/hyperlink" Target="mailto:mayuraswani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215D8-F5F8-4B0E-80A7-7D5C4DA2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68695</Words>
  <Characters>391563</Characters>
  <Application>Microsoft Office Word</Application>
  <DocSecurity>0</DocSecurity>
  <Lines>3263</Lines>
  <Paragraphs>918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Suyash Kathade</dc:creator>
  <cp:keywords/>
  <dc:description/>
  <cp:lastModifiedBy>Dr. Suyash Kathade</cp:lastModifiedBy>
  <cp:revision>6</cp:revision>
  <dcterms:created xsi:type="dcterms:W3CDTF">2023-06-25T16:56:00Z</dcterms:created>
  <dcterms:modified xsi:type="dcterms:W3CDTF">2023-06-28T10:51:00Z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05cb7fae-5ca4-4b30-9d8d-8b68529e2cf9</vt:lpwstr>
  </property>
  <property fmtid="{D5CDD505-2E9C-101B-9397-08002B2CF9AE}" pid="3" name="Mendeley Document_1">
    <vt:lpwstr>True</vt:lpwstr>
  </property>
  <property fmtid="{D5CDD505-2E9C-101B-9397-08002B2CF9AE}" pid="4" name="Mendeley Unique User Id_1">
    <vt:lpwstr>6b70592f-9d08-3bf2-8db9-b27b2a7a35b0</vt:lpwstr>
  </property>
  <property fmtid="{D5CDD505-2E9C-101B-9397-08002B2CF9AE}" pid="5" name="Mendeley Citation Style_1">
    <vt:lpwstr>http://www.zotero.org/styles/current-pharmaceutical-design</vt:lpwstr>
  </property>
</Properties>
</file>