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cs="Times New Roman"/>
          <w:b/>
          <w:sz w:val="48"/>
          <w:szCs w:val="44"/>
        </w:rPr>
      </w:pPr>
    </w:p>
    <w:p>
      <w:pPr>
        <w:spacing w:after="0" w:line="240" w:lineRule="auto"/>
        <w:jc w:val="center"/>
        <w:rPr>
          <w:rFonts w:ascii="Times New Roman" w:hAnsi="Times New Roman" w:cs="Times New Roman"/>
          <w:b/>
          <w:sz w:val="48"/>
          <w:szCs w:val="44"/>
        </w:rPr>
      </w:pPr>
      <w:r>
        <w:rPr>
          <w:rFonts w:ascii="Times New Roman" w:hAnsi="Times New Roman" w:cs="Times New Roman"/>
          <w:b/>
          <w:sz w:val="48"/>
          <w:szCs w:val="44"/>
        </w:rPr>
        <w:t>EDIBLE FLOWERS: BLOOMING DELICACIES FOR HEALTH AND WEALTH</w:t>
      </w:r>
    </w:p>
    <w:p>
      <w:pPr>
        <w:spacing w:after="0" w:line="240" w:lineRule="auto"/>
        <w:jc w:val="center"/>
        <w:rPr>
          <w:rFonts w:ascii="Times New Roman" w:hAnsi="Times New Roman" w:cs="Times New Roman"/>
          <w:b/>
          <w:sz w:val="48"/>
          <w:szCs w:val="44"/>
        </w:rPr>
      </w:pPr>
    </w:p>
    <w:p>
      <w:pPr>
        <w:pStyle w:val="3"/>
        <w:spacing w:before="0" w:beforeAutospacing="0" w:after="0" w:afterAutospacing="0"/>
        <w:rPr>
          <w:b w:val="0"/>
          <w:sz w:val="20"/>
          <w:szCs w:val="20"/>
        </w:rPr>
      </w:pPr>
      <w:r>
        <w:rPr>
          <w:sz w:val="20"/>
          <w:szCs w:val="20"/>
        </w:rPr>
        <w:t>Rajendran Gokiladevi</w:t>
      </w:r>
      <w:r>
        <w:rPr>
          <w:rFonts w:hint="default"/>
          <w:sz w:val="20"/>
          <w:szCs w:val="20"/>
          <w:lang w:val="en-US"/>
        </w:rPr>
        <w:t>*</w:t>
      </w:r>
      <w:r>
        <w:rPr>
          <w:sz w:val="20"/>
          <w:szCs w:val="20"/>
        </w:rPr>
        <w:t>,</w:t>
      </w:r>
    </w:p>
    <w:p>
      <w:pPr>
        <w:spacing w:after="0" w:line="240" w:lineRule="auto"/>
        <w:jc w:val="both"/>
        <w:rPr>
          <w:rFonts w:ascii="Times New Roman" w:hAnsi="Times New Roman" w:eastAsia="SimSun" w:cs="Times New Roman"/>
          <w:color w:val="000000"/>
          <w:sz w:val="20"/>
          <w:szCs w:val="20"/>
          <w:lang w:eastAsia="zh-CN" w:bidi="ar"/>
        </w:rPr>
      </w:pPr>
      <w:r>
        <w:rPr>
          <w:rFonts w:ascii="Times New Roman" w:hAnsi="Times New Roman" w:eastAsia="SimSun" w:cs="Times New Roman"/>
          <w:color w:val="000000"/>
          <w:sz w:val="20"/>
          <w:szCs w:val="20"/>
          <w:lang w:eastAsia="zh-CN" w:bidi="ar"/>
        </w:rPr>
        <w:t>Ph.D. Scholar,</w:t>
      </w:r>
    </w:p>
    <w:p>
      <w:pPr>
        <w:spacing w:after="0" w:line="240" w:lineRule="auto"/>
        <w:jc w:val="both"/>
        <w:rPr>
          <w:rFonts w:ascii="Times New Roman" w:hAnsi="Times New Roman" w:cs="Times New Roman"/>
          <w:sz w:val="20"/>
          <w:szCs w:val="20"/>
        </w:rPr>
      </w:pPr>
      <w:r>
        <w:rPr>
          <w:rFonts w:ascii="Times New Roman" w:hAnsi="Times New Roman" w:eastAsia="SimSun" w:cs="Times New Roman"/>
          <w:color w:val="000000"/>
          <w:sz w:val="20"/>
          <w:szCs w:val="20"/>
          <w:lang w:eastAsia="zh-CN" w:bidi="ar"/>
        </w:rPr>
        <w:t xml:space="preserve">Department of Horticulture, </w:t>
      </w:r>
    </w:p>
    <w:p>
      <w:pPr>
        <w:spacing w:after="0" w:line="240" w:lineRule="auto"/>
        <w:jc w:val="both"/>
        <w:rPr>
          <w:rFonts w:ascii="Times New Roman" w:hAnsi="Times New Roman" w:cs="Times New Roman"/>
          <w:sz w:val="20"/>
          <w:szCs w:val="20"/>
        </w:rPr>
      </w:pPr>
      <w:r>
        <w:rPr>
          <w:rFonts w:ascii="Times New Roman" w:hAnsi="Times New Roman" w:eastAsia="SimSun" w:cs="Times New Roman"/>
          <w:color w:val="000000"/>
          <w:sz w:val="20"/>
          <w:szCs w:val="20"/>
          <w:lang w:eastAsia="zh-CN" w:bidi="ar"/>
        </w:rPr>
        <w:t xml:space="preserve">Central University of Tamil Nadu, </w:t>
      </w:r>
    </w:p>
    <w:p>
      <w:pPr>
        <w:spacing w:after="0" w:line="240" w:lineRule="auto"/>
        <w:jc w:val="both"/>
        <w:rPr>
          <w:rFonts w:ascii="Times New Roman" w:hAnsi="Times New Roman" w:eastAsia="SimSun" w:cs="Times New Roman"/>
          <w:color w:val="000000"/>
          <w:sz w:val="20"/>
          <w:szCs w:val="20"/>
          <w:lang w:eastAsia="zh-CN" w:bidi="ar"/>
        </w:rPr>
      </w:pPr>
      <w:r>
        <w:rPr>
          <w:rFonts w:ascii="Times New Roman" w:hAnsi="Times New Roman" w:eastAsia="SimSun" w:cs="Times New Roman"/>
          <w:color w:val="000000"/>
          <w:sz w:val="20"/>
          <w:szCs w:val="20"/>
          <w:lang w:eastAsia="zh-CN" w:bidi="ar"/>
        </w:rPr>
        <w:t>Thiruvarur, India.</w:t>
      </w:r>
    </w:p>
    <w:p>
      <w:pPr>
        <w:spacing w:after="0" w:line="240" w:lineRule="auto"/>
        <w:jc w:val="both"/>
        <w:rPr>
          <w:rFonts w:ascii="Times New Roman" w:hAnsi="Times New Roman" w:eastAsia="SimSun" w:cs="Times New Roman"/>
          <w:color w:val="000000"/>
          <w:sz w:val="20"/>
          <w:szCs w:val="20"/>
          <w:lang w:eastAsia="zh-CN" w:bidi="ar"/>
        </w:rPr>
      </w:pPr>
    </w:p>
    <w:p>
      <w:pPr>
        <w:spacing w:after="0" w:line="240" w:lineRule="auto"/>
        <w:jc w:val="both"/>
        <w:rPr>
          <w:rFonts w:ascii="Times New Roman" w:hAnsi="Times New Roman" w:eastAsia="SimSun" w:cs="Times New Roman"/>
          <w:b/>
          <w:bCs/>
          <w:color w:val="000000"/>
          <w:sz w:val="20"/>
          <w:szCs w:val="20"/>
          <w:lang w:eastAsia="zh-CN" w:bidi="ar"/>
        </w:rPr>
      </w:pPr>
      <w:r>
        <w:rPr>
          <w:rFonts w:ascii="Times New Roman" w:hAnsi="Times New Roman" w:eastAsia="SimSun" w:cs="Times New Roman"/>
          <w:b/>
          <w:bCs/>
          <w:color w:val="000000"/>
          <w:sz w:val="20"/>
          <w:szCs w:val="20"/>
          <w:lang w:eastAsia="zh-CN" w:bidi="ar"/>
        </w:rPr>
        <w:t>Karuppiah Varsini,</w:t>
      </w:r>
    </w:p>
    <w:p>
      <w:pPr>
        <w:spacing w:after="0" w:line="240" w:lineRule="auto"/>
        <w:jc w:val="both"/>
        <w:rPr>
          <w:rFonts w:ascii="Times New Roman" w:hAnsi="Times New Roman" w:eastAsia="SimSun" w:cs="Times New Roman"/>
          <w:color w:val="000000"/>
          <w:sz w:val="20"/>
          <w:szCs w:val="20"/>
          <w:lang w:eastAsia="zh-CN" w:bidi="ar"/>
        </w:rPr>
      </w:pPr>
      <w:r>
        <w:rPr>
          <w:rFonts w:ascii="Times New Roman" w:hAnsi="Times New Roman" w:eastAsia="SimSun" w:cs="Times New Roman"/>
          <w:color w:val="000000"/>
          <w:sz w:val="20"/>
          <w:szCs w:val="20"/>
          <w:lang w:eastAsia="zh-CN" w:bidi="ar"/>
        </w:rPr>
        <w:t>M.Sc. Horticulture,</w:t>
      </w:r>
    </w:p>
    <w:p>
      <w:pPr>
        <w:spacing w:after="0" w:line="240" w:lineRule="auto"/>
        <w:jc w:val="both"/>
        <w:rPr>
          <w:rFonts w:ascii="Times New Roman" w:hAnsi="Times New Roman" w:cs="Times New Roman"/>
          <w:sz w:val="20"/>
          <w:szCs w:val="20"/>
        </w:rPr>
      </w:pPr>
      <w:r>
        <w:rPr>
          <w:rFonts w:ascii="Times New Roman" w:hAnsi="Times New Roman" w:eastAsia="SimSun" w:cs="Times New Roman"/>
          <w:color w:val="000000"/>
          <w:sz w:val="20"/>
          <w:szCs w:val="20"/>
          <w:lang w:eastAsia="zh-CN" w:bidi="ar"/>
        </w:rPr>
        <w:t xml:space="preserve">Department of Horticulture, </w:t>
      </w:r>
    </w:p>
    <w:p>
      <w:pPr>
        <w:spacing w:after="0" w:line="240" w:lineRule="auto"/>
        <w:jc w:val="both"/>
        <w:rPr>
          <w:rFonts w:ascii="Times New Roman" w:hAnsi="Times New Roman" w:cs="Times New Roman"/>
          <w:sz w:val="20"/>
          <w:szCs w:val="20"/>
        </w:rPr>
      </w:pPr>
      <w:r>
        <w:rPr>
          <w:rFonts w:ascii="Times New Roman" w:hAnsi="Times New Roman" w:eastAsia="SimSun" w:cs="Times New Roman"/>
          <w:color w:val="000000"/>
          <w:sz w:val="20"/>
          <w:szCs w:val="20"/>
          <w:lang w:eastAsia="zh-CN" w:bidi="ar"/>
        </w:rPr>
        <w:t xml:space="preserve">Central University of Tamil Nadu, </w:t>
      </w:r>
    </w:p>
    <w:p>
      <w:pPr>
        <w:spacing w:after="0" w:line="240" w:lineRule="auto"/>
        <w:jc w:val="both"/>
        <w:rPr>
          <w:rFonts w:ascii="Times New Roman" w:hAnsi="Times New Roman" w:eastAsia="SimSun" w:cs="Times New Roman"/>
          <w:color w:val="000000"/>
          <w:sz w:val="20"/>
          <w:szCs w:val="20"/>
          <w:lang w:eastAsia="zh-CN" w:bidi="ar"/>
        </w:rPr>
      </w:pPr>
      <w:r>
        <w:rPr>
          <w:rFonts w:ascii="Times New Roman" w:hAnsi="Times New Roman" w:eastAsia="SimSun" w:cs="Times New Roman"/>
          <w:color w:val="000000"/>
          <w:sz w:val="20"/>
          <w:szCs w:val="20"/>
          <w:lang w:eastAsia="zh-CN" w:bidi="ar"/>
        </w:rPr>
        <w:t>Thiruvarur, India.</w:t>
      </w:r>
    </w:p>
    <w:p>
      <w:pPr>
        <w:spacing w:after="0" w:line="240" w:lineRule="auto"/>
        <w:jc w:val="both"/>
        <w:rPr>
          <w:rFonts w:ascii="Times New Roman" w:hAnsi="Times New Roman" w:eastAsia="SimSun" w:cs="Times New Roman"/>
          <w:color w:val="000000"/>
          <w:sz w:val="20"/>
          <w:szCs w:val="20"/>
          <w:lang w:eastAsia="zh-CN" w:bidi="ar"/>
        </w:rPr>
      </w:pPr>
    </w:p>
    <w:p>
      <w:pPr>
        <w:spacing w:after="0" w:line="240" w:lineRule="auto"/>
        <w:jc w:val="both"/>
        <w:rPr>
          <w:rFonts w:ascii="Times New Roman" w:hAnsi="Times New Roman" w:eastAsia="SimSun" w:cs="Times New Roman"/>
          <w:b/>
          <w:bCs/>
          <w:color w:val="000000"/>
          <w:sz w:val="20"/>
          <w:szCs w:val="20"/>
          <w:lang w:eastAsia="zh-CN" w:bidi="ar"/>
        </w:rPr>
      </w:pPr>
      <w:r>
        <w:rPr>
          <w:rFonts w:ascii="Times New Roman" w:hAnsi="Times New Roman" w:eastAsia="SimSun" w:cs="Times New Roman"/>
          <w:b/>
          <w:bCs/>
          <w:color w:val="000000"/>
          <w:sz w:val="20"/>
          <w:szCs w:val="20"/>
          <w:lang w:eastAsia="zh-CN" w:bidi="ar"/>
        </w:rPr>
        <w:t>Khadar Batcha Shafrin Fathima,</w:t>
      </w:r>
    </w:p>
    <w:p>
      <w:pPr>
        <w:spacing w:after="0" w:line="240" w:lineRule="auto"/>
        <w:jc w:val="both"/>
        <w:rPr>
          <w:rFonts w:ascii="Times New Roman" w:hAnsi="Times New Roman" w:eastAsia="SimSun" w:cs="Times New Roman"/>
          <w:color w:val="000000"/>
          <w:sz w:val="20"/>
          <w:szCs w:val="20"/>
          <w:lang w:eastAsia="zh-CN" w:bidi="ar"/>
        </w:rPr>
      </w:pPr>
      <w:r>
        <w:rPr>
          <w:rFonts w:ascii="Times New Roman" w:hAnsi="Times New Roman" w:eastAsia="SimSun" w:cs="Times New Roman"/>
          <w:color w:val="000000"/>
          <w:sz w:val="20"/>
          <w:szCs w:val="20"/>
          <w:lang w:eastAsia="zh-CN" w:bidi="ar"/>
        </w:rPr>
        <w:t>M.Sc. Horticulture,</w:t>
      </w:r>
    </w:p>
    <w:p>
      <w:pPr>
        <w:spacing w:after="0" w:line="240" w:lineRule="auto"/>
        <w:jc w:val="both"/>
        <w:rPr>
          <w:rFonts w:ascii="Times New Roman" w:hAnsi="Times New Roman" w:cs="Times New Roman"/>
          <w:sz w:val="20"/>
          <w:szCs w:val="20"/>
        </w:rPr>
      </w:pPr>
      <w:r>
        <w:rPr>
          <w:rFonts w:ascii="Times New Roman" w:hAnsi="Times New Roman" w:eastAsia="SimSun" w:cs="Times New Roman"/>
          <w:color w:val="000000"/>
          <w:sz w:val="20"/>
          <w:szCs w:val="20"/>
          <w:lang w:eastAsia="zh-CN" w:bidi="ar"/>
        </w:rPr>
        <w:t xml:space="preserve">Department of Horticulture, </w:t>
      </w:r>
    </w:p>
    <w:p>
      <w:pPr>
        <w:spacing w:after="0" w:line="240" w:lineRule="auto"/>
        <w:jc w:val="both"/>
        <w:rPr>
          <w:rFonts w:ascii="Times New Roman" w:hAnsi="Times New Roman" w:cs="Times New Roman"/>
          <w:sz w:val="20"/>
          <w:szCs w:val="20"/>
        </w:rPr>
      </w:pPr>
      <w:r>
        <w:rPr>
          <w:rFonts w:ascii="Times New Roman" w:hAnsi="Times New Roman" w:eastAsia="SimSun" w:cs="Times New Roman"/>
          <w:color w:val="000000"/>
          <w:sz w:val="20"/>
          <w:szCs w:val="20"/>
          <w:lang w:eastAsia="zh-CN" w:bidi="ar"/>
        </w:rPr>
        <w:t xml:space="preserve">Central University of Tamil Nadu, </w:t>
      </w:r>
    </w:p>
    <w:p>
      <w:pPr>
        <w:spacing w:after="0" w:line="240" w:lineRule="auto"/>
        <w:jc w:val="both"/>
        <w:rPr>
          <w:rFonts w:ascii="Times New Roman" w:hAnsi="Times New Roman" w:eastAsia="SimSun" w:cs="Times New Roman"/>
          <w:color w:val="000000"/>
          <w:sz w:val="20"/>
          <w:szCs w:val="20"/>
          <w:lang w:eastAsia="zh-CN" w:bidi="ar"/>
        </w:rPr>
      </w:pPr>
      <w:r>
        <w:rPr>
          <w:rFonts w:ascii="Times New Roman" w:hAnsi="Times New Roman" w:eastAsia="SimSun" w:cs="Times New Roman"/>
          <w:color w:val="000000"/>
          <w:sz w:val="20"/>
          <w:szCs w:val="20"/>
          <w:lang w:eastAsia="zh-CN" w:bidi="ar"/>
        </w:rPr>
        <w:t>Thiruvarur, India.</w:t>
      </w:r>
    </w:p>
    <w:p>
      <w:pPr>
        <w:spacing w:after="0" w:line="240" w:lineRule="auto"/>
        <w:jc w:val="both"/>
        <w:rPr>
          <w:rFonts w:ascii="Times New Roman" w:hAnsi="Times New Roman" w:eastAsia="SimSun" w:cs="Times New Roman"/>
          <w:color w:val="000000"/>
          <w:sz w:val="20"/>
          <w:szCs w:val="20"/>
          <w:lang w:eastAsia="zh-CN" w:bidi="ar"/>
        </w:rPr>
      </w:pPr>
    </w:p>
    <w:p>
      <w:pPr>
        <w:spacing w:after="0" w:line="240" w:lineRule="auto"/>
        <w:jc w:val="both"/>
        <w:rPr>
          <w:rFonts w:ascii="Times New Roman" w:hAnsi="Times New Roman" w:eastAsia="SimSun" w:cs="Times New Roman"/>
          <w:b/>
          <w:bCs/>
          <w:color w:val="000000"/>
          <w:sz w:val="20"/>
          <w:szCs w:val="20"/>
          <w:lang w:eastAsia="zh-CN" w:bidi="ar"/>
        </w:rPr>
      </w:pPr>
      <w:r>
        <w:rPr>
          <w:rFonts w:ascii="Times New Roman" w:hAnsi="Times New Roman" w:eastAsia="SimSun" w:cs="Times New Roman"/>
          <w:b/>
          <w:bCs/>
          <w:color w:val="000000"/>
          <w:sz w:val="20"/>
          <w:szCs w:val="20"/>
          <w:lang w:eastAsia="zh-CN" w:bidi="ar"/>
        </w:rPr>
        <w:t>Rajakkannu Nithya,</w:t>
      </w:r>
    </w:p>
    <w:p>
      <w:pPr>
        <w:spacing w:after="0" w:line="240" w:lineRule="auto"/>
        <w:jc w:val="both"/>
        <w:rPr>
          <w:rFonts w:ascii="Times New Roman" w:hAnsi="Times New Roman" w:eastAsia="SimSun" w:cs="Times New Roman"/>
          <w:color w:val="000000"/>
          <w:sz w:val="20"/>
          <w:szCs w:val="20"/>
          <w:lang w:eastAsia="zh-CN" w:bidi="ar"/>
        </w:rPr>
      </w:pPr>
      <w:r>
        <w:rPr>
          <w:rFonts w:ascii="Times New Roman" w:hAnsi="Times New Roman" w:eastAsia="SimSun" w:cs="Times New Roman"/>
          <w:color w:val="000000"/>
          <w:sz w:val="20"/>
          <w:szCs w:val="20"/>
          <w:lang w:eastAsia="zh-CN" w:bidi="ar"/>
        </w:rPr>
        <w:t>Ph.D. Scholar,</w:t>
      </w:r>
    </w:p>
    <w:p>
      <w:pPr>
        <w:spacing w:after="0" w:line="240" w:lineRule="auto"/>
        <w:jc w:val="both"/>
        <w:rPr>
          <w:rFonts w:ascii="Times New Roman" w:hAnsi="Times New Roman" w:cs="Times New Roman"/>
          <w:sz w:val="20"/>
          <w:szCs w:val="20"/>
        </w:rPr>
      </w:pPr>
      <w:r>
        <w:rPr>
          <w:rFonts w:ascii="Times New Roman" w:hAnsi="Times New Roman" w:eastAsia="SimSun" w:cs="Times New Roman"/>
          <w:color w:val="000000"/>
          <w:sz w:val="20"/>
          <w:szCs w:val="20"/>
          <w:lang w:eastAsia="zh-CN" w:bidi="ar"/>
        </w:rPr>
        <w:t xml:space="preserve">Department of Horticulture, </w:t>
      </w:r>
    </w:p>
    <w:p>
      <w:pPr>
        <w:spacing w:after="0" w:line="240" w:lineRule="auto"/>
        <w:jc w:val="both"/>
        <w:rPr>
          <w:rFonts w:ascii="Times New Roman" w:hAnsi="Times New Roman" w:cs="Times New Roman"/>
          <w:sz w:val="20"/>
          <w:szCs w:val="20"/>
        </w:rPr>
      </w:pPr>
      <w:r>
        <w:rPr>
          <w:rFonts w:ascii="Times New Roman" w:hAnsi="Times New Roman" w:eastAsia="SimSun" w:cs="Times New Roman"/>
          <w:color w:val="000000"/>
          <w:sz w:val="20"/>
          <w:szCs w:val="20"/>
          <w:lang w:eastAsia="zh-CN" w:bidi="ar"/>
        </w:rPr>
        <w:t xml:space="preserve">Central University of Tamil Nadu, </w:t>
      </w:r>
    </w:p>
    <w:p>
      <w:pPr>
        <w:spacing w:after="0" w:line="240" w:lineRule="auto"/>
        <w:jc w:val="both"/>
        <w:rPr>
          <w:rFonts w:ascii="Times New Roman" w:hAnsi="Times New Roman" w:eastAsia="SimSun" w:cs="Times New Roman"/>
          <w:color w:val="000000"/>
          <w:sz w:val="20"/>
          <w:szCs w:val="20"/>
          <w:lang w:eastAsia="zh-CN" w:bidi="ar"/>
        </w:rPr>
      </w:pPr>
      <w:r>
        <w:rPr>
          <w:rFonts w:ascii="Times New Roman" w:hAnsi="Times New Roman" w:eastAsia="SimSun" w:cs="Times New Roman"/>
          <w:color w:val="000000"/>
          <w:sz w:val="20"/>
          <w:szCs w:val="20"/>
          <w:lang w:eastAsia="zh-CN" w:bidi="ar"/>
        </w:rPr>
        <w:t>Thiruvarur, India.</w:t>
      </w:r>
    </w:p>
    <w:p>
      <w:pPr>
        <w:spacing w:after="0" w:line="240" w:lineRule="auto"/>
        <w:jc w:val="both"/>
        <w:rPr>
          <w:rFonts w:ascii="Times New Roman" w:hAnsi="Times New Roman" w:eastAsia="SimSun" w:cs="Times New Roman"/>
          <w:color w:val="000000"/>
          <w:sz w:val="20"/>
          <w:szCs w:val="20"/>
          <w:lang w:eastAsia="zh-CN" w:bidi="ar"/>
        </w:rPr>
      </w:pPr>
    </w:p>
    <w:p>
      <w:pPr>
        <w:spacing w:after="0" w:line="240" w:lineRule="auto"/>
        <w:jc w:val="both"/>
        <w:rPr>
          <w:rFonts w:hint="default" w:ascii="Times New Roman" w:hAnsi="Times New Roman" w:eastAsia="SimSun" w:cs="Times New Roman"/>
          <w:color w:val="000000"/>
          <w:sz w:val="20"/>
          <w:szCs w:val="20"/>
          <w:lang w:val="en-US" w:eastAsia="zh-CN" w:bidi="ar"/>
        </w:rPr>
      </w:pPr>
      <w:r>
        <w:rPr>
          <w:rFonts w:hint="default" w:ascii="Times New Roman" w:hAnsi="Times New Roman" w:eastAsia="SimSun" w:cs="Times New Roman"/>
          <w:color w:val="000000"/>
          <w:sz w:val="20"/>
          <w:szCs w:val="20"/>
          <w:lang w:val="en-US" w:eastAsia="zh-CN" w:bidi="ar"/>
        </w:rPr>
        <w:t>*</w:t>
      </w:r>
      <w:r>
        <w:rPr>
          <w:rFonts w:ascii="Times New Roman" w:hAnsi="Times New Roman" w:eastAsia="SimSun" w:cs="Times New Roman"/>
          <w:color w:val="000000"/>
          <w:sz w:val="20"/>
          <w:szCs w:val="20"/>
          <w:lang w:eastAsia="zh-CN" w:bidi="ar"/>
        </w:rPr>
        <w:t xml:space="preserve">Corresponding author: </w:t>
      </w:r>
      <w:r>
        <w:rPr>
          <w:rFonts w:ascii="Times New Roman" w:hAnsi="Times New Roman" w:eastAsia="SimSun" w:cs="Times New Roman"/>
          <w:color w:val="000000"/>
          <w:sz w:val="20"/>
          <w:szCs w:val="20"/>
          <w:lang w:eastAsia="zh-CN" w:bidi="ar"/>
        </w:rPr>
        <w:fldChar w:fldCharType="begin"/>
      </w:r>
      <w:r>
        <w:rPr>
          <w:rFonts w:ascii="Times New Roman" w:hAnsi="Times New Roman" w:eastAsia="SimSun" w:cs="Times New Roman"/>
          <w:color w:val="000000"/>
          <w:sz w:val="20"/>
          <w:szCs w:val="20"/>
          <w:lang w:eastAsia="zh-CN" w:bidi="ar"/>
        </w:rPr>
        <w:instrText xml:space="preserve"> HYPERLINK "mailto:rsggoki2828@gmail.com" </w:instrText>
      </w:r>
      <w:r>
        <w:rPr>
          <w:rFonts w:ascii="Times New Roman" w:hAnsi="Times New Roman" w:eastAsia="SimSun" w:cs="Times New Roman"/>
          <w:color w:val="000000"/>
          <w:sz w:val="20"/>
          <w:szCs w:val="20"/>
          <w:lang w:eastAsia="zh-CN" w:bidi="ar"/>
        </w:rPr>
        <w:fldChar w:fldCharType="separate"/>
      </w:r>
      <w:r>
        <w:rPr>
          <w:rStyle w:val="8"/>
          <w:rFonts w:ascii="Times New Roman" w:hAnsi="Times New Roman" w:eastAsia="SimSun" w:cs="Times New Roman"/>
          <w:color w:val="000000"/>
          <w:sz w:val="20"/>
          <w:szCs w:val="20"/>
          <w:lang w:eastAsia="zh-CN" w:bidi="ar"/>
        </w:rPr>
        <w:t>rsggoki2828@gmail.com</w:t>
      </w:r>
      <w:r>
        <w:rPr>
          <w:rFonts w:ascii="Times New Roman" w:hAnsi="Times New Roman" w:eastAsia="SimSun" w:cs="Times New Roman"/>
          <w:color w:val="000000"/>
          <w:sz w:val="20"/>
          <w:szCs w:val="20"/>
          <w:lang w:eastAsia="zh-CN" w:bidi="ar"/>
        </w:rPr>
        <w:fldChar w:fldCharType="end"/>
      </w:r>
      <w:r>
        <w:rPr>
          <w:rFonts w:hint="default" w:ascii="Times New Roman" w:hAnsi="Times New Roman" w:eastAsia="SimSun" w:cs="Times New Roman"/>
          <w:color w:val="000000"/>
          <w:sz w:val="20"/>
          <w:szCs w:val="20"/>
          <w:lang w:val="en-US" w:eastAsia="zh-CN" w:bidi="ar"/>
        </w:rPr>
        <w:t xml:space="preserve"> </w:t>
      </w:r>
    </w:p>
    <w:p>
      <w:pPr>
        <w:spacing w:after="0" w:line="240" w:lineRule="auto"/>
        <w:jc w:val="center"/>
        <w:rPr>
          <w:rFonts w:ascii="Times New Roman" w:hAnsi="Times New Roman" w:eastAsia="SimSun" w:cs="Times New Roman"/>
          <w:b/>
          <w:bCs/>
          <w:color w:val="000000"/>
          <w:sz w:val="20"/>
          <w:szCs w:val="20"/>
          <w:lang w:eastAsia="zh-CN" w:bidi="ar"/>
        </w:rPr>
      </w:pPr>
    </w:p>
    <w:p>
      <w:pPr>
        <w:spacing w:after="0" w:line="240" w:lineRule="auto"/>
        <w:jc w:val="center"/>
        <w:rPr>
          <w:rFonts w:ascii="Times New Roman" w:hAnsi="Times New Roman" w:cs="Times New Roman"/>
          <w:sz w:val="20"/>
          <w:szCs w:val="20"/>
        </w:rPr>
      </w:pPr>
      <w:r>
        <w:rPr>
          <w:rFonts w:ascii="Times New Roman" w:hAnsi="Times New Roman" w:eastAsia="SimSun" w:cs="Times New Roman"/>
          <w:b/>
          <w:bCs/>
          <w:color w:val="000000"/>
          <w:sz w:val="20"/>
          <w:szCs w:val="20"/>
          <w:lang w:eastAsia="zh-CN" w:bidi="ar"/>
        </w:rPr>
        <w:t>ABSTRACT</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Edible flowers have gained popularity due to their unique taste, aroma, and nutritional benefits. They have been used in Asian, European, and Middle Eastern cuisines for thousands of years. Edible flowers are not only aesthetically pleasing but also rich in antioxidants, vitamins, and minerals, making them a healthy and natural addition to the diet. This article explores the history, benefits, and culinary uses of edible flowers, with a focus on Indian traditional practices. It also provides information on harvesting, storage, and potential risks associated with consuming certain flowers. As the demand for natural and healthful foods grows, edible flowers are becoming an increasingly important and innovative ingredient in the culinary world. However, caution should be exercised in identifying and consuming only edible varieties, as some flowers can be toxic or harmful. Through continued research and understanding, edible flowers can be integrated into various cuisines and contribute to the promotion of healthier and more sustainable food practices.</w:t>
      </w:r>
    </w:p>
    <w:p>
      <w:pPr>
        <w:spacing w:after="0" w:line="240" w:lineRule="auto"/>
        <w:jc w:val="both"/>
        <w:rPr>
          <w:rFonts w:ascii="Times New Roman" w:hAnsi="Times New Roman" w:cs="Times New Roman"/>
          <w:sz w:val="20"/>
          <w:szCs w:val="20"/>
        </w:rPr>
      </w:pPr>
    </w:p>
    <w:p>
      <w:pPr>
        <w:spacing w:after="0" w:line="240" w:lineRule="auto"/>
        <w:jc w:val="both"/>
        <w:rPr>
          <w:rFonts w:hint="default" w:ascii="Times New Roman" w:hAnsi="Times New Roman" w:cs="Times New Roman"/>
          <w:sz w:val="20"/>
          <w:szCs w:val="20"/>
          <w:lang w:val="en-US"/>
        </w:rPr>
      </w:pPr>
      <w:r>
        <w:rPr>
          <w:rFonts w:hint="default" w:ascii="Times New Roman" w:hAnsi="Times New Roman" w:cs="Times New Roman"/>
          <w:b/>
          <w:bCs/>
          <w:sz w:val="20"/>
          <w:szCs w:val="20"/>
          <w:lang w:val="en-US"/>
        </w:rPr>
        <w:t>Keywords</w:t>
      </w:r>
      <w:r>
        <w:rPr>
          <w:rFonts w:hint="default" w:ascii="Times New Roman" w:hAnsi="Times New Roman" w:cs="Times New Roman"/>
          <w:sz w:val="20"/>
          <w:szCs w:val="20"/>
          <w:lang w:val="en-US"/>
        </w:rPr>
        <w:t xml:space="preserve">: </w:t>
      </w:r>
      <w:r>
        <w:rPr>
          <w:rFonts w:hint="default" w:ascii="Times New Roman" w:hAnsi="Times New Roman"/>
          <w:sz w:val="20"/>
          <w:szCs w:val="20"/>
          <w:lang w:val="en-US"/>
        </w:rPr>
        <w:t>Floriphagia; antioxidants; culinary; storage; harvest</w:t>
      </w:r>
      <w:bookmarkStart w:id="0" w:name="_GoBack"/>
      <w:bookmarkEnd w:id="0"/>
    </w:p>
    <w:p>
      <w:pPr>
        <w:spacing w:after="0" w:line="240" w:lineRule="auto"/>
        <w:jc w:val="both"/>
        <w:rPr>
          <w:rFonts w:ascii="Times New Roman" w:hAnsi="Times New Roman" w:cs="Times New Roman"/>
          <w:sz w:val="20"/>
          <w:szCs w:val="20"/>
        </w:rPr>
      </w:pPr>
    </w:p>
    <w:p>
      <w:pPr>
        <w:numPr>
          <w:ilvl w:val="0"/>
          <w:numId w:val="1"/>
        </w:num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INTRODUCTION</w:t>
      </w:r>
    </w:p>
    <w:p>
      <w:pPr>
        <w:spacing w:after="0" w:line="240" w:lineRule="auto"/>
        <w:jc w:val="both"/>
        <w:rPr>
          <w:rFonts w:ascii="Times New Roman" w:hAnsi="Times New Roman" w:eastAsia="Times New Roman" w:cs="Times New Roman"/>
          <w:color w:val="252525"/>
          <w:sz w:val="20"/>
          <w:szCs w:val="20"/>
        </w:rPr>
      </w:pPr>
      <w:r>
        <w:rPr>
          <w:rFonts w:ascii="Times New Roman" w:hAnsi="Times New Roman" w:cs="Times New Roman"/>
          <w:sz w:val="20"/>
          <w:szCs w:val="20"/>
        </w:rPr>
        <w:tab/>
      </w:r>
      <w:r>
        <w:rPr>
          <w:rFonts w:ascii="Times New Roman" w:hAnsi="Times New Roman" w:cs="Times New Roman"/>
          <w:sz w:val="20"/>
          <w:szCs w:val="20"/>
        </w:rPr>
        <w:t>Flowers are cultivated mostly for their economic and ornamental value; whereas some flowers are traditionally used as medicine, cosmetics and in culinary. These flowers which are taken for consumption are known as Edible flowers. The growing demand for natural, healthful foods has increased awareness of unusual or untried components like edible flowers [8]. Asian, European, and Middle Eastern cuisines all include flowers in their recipes. Eating edible flowers (EF) as salads or dishes or inhaling their perfume in a beverage or cuisine that has them as an ingredient can also give you this feeling of fulfillment.</w:t>
      </w:r>
      <w:r>
        <w:rPr>
          <w:rFonts w:ascii="Times New Roman" w:hAnsi="Times New Roman" w:eastAsia="Times New Roman" w:cs="Times New Roman"/>
          <w:color w:val="252525"/>
          <w:sz w:val="20"/>
          <w:szCs w:val="20"/>
        </w:rPr>
        <w:t xml:space="preserve"> They are now being exploited in the food industries as an alternative to the synthetic anti-oxidants as they are rich source of anti-oxidants. Many people who are concerned about their wellness prefer unprocessed or less processed forms (such as dried petals of rose or powdered saffron ) instead of vitamins and supplements.  Nutrients like vitamin A, C, riboflavin, niacin, and minerals can be found in edible flowers [4]. Flowers with bitter or astringent taste like lavender should be used sparingly to achieve correct garnish proportion. The same flower grown in different locations can taste different. Dried edible flowers are an excellent source of vitamins and minerals, and can be added to salads, soups, stews, and desserts. They also add a beautiful color and flavor to dishes.</w:t>
      </w:r>
    </w:p>
    <w:p>
      <w:pPr>
        <w:spacing w:after="0" w:line="240" w:lineRule="auto"/>
        <w:jc w:val="both"/>
        <w:rPr>
          <w:rFonts w:ascii="Times New Roman" w:hAnsi="Times New Roman" w:eastAsia="Times New Roman" w:cs="Times New Roman"/>
          <w:color w:val="252525"/>
          <w:sz w:val="20"/>
          <w:szCs w:val="20"/>
        </w:rPr>
      </w:pPr>
    </w:p>
    <w:p>
      <w:pPr>
        <w:numPr>
          <w:ilvl w:val="0"/>
          <w:numId w:val="1"/>
        </w:num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HISTORY OF EDIBLE FLOWERS</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modern custom of consuming flowers is a practice of cultures that have been followed for ages [8].  Edible flowers have been used in countries like Asian, European, Indian, and Middle Eastern cuisine, as well as  in traditional events, celebratory occasions, dinner parties, and in natural health.</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Flowers have been used in cooking for thousands of years; the first instance is from 140 B.C. One of the bitter herbs mentioned in the Old Legal instruments of the Bible was dandelions.</w:t>
      </w:r>
      <w:r>
        <w:rPr>
          <w:rFonts w:ascii="Times New Roman" w:hAnsi="Times New Roman" w:cs="Times New Roman"/>
          <w:sz w:val="20"/>
          <w:szCs w:val="20"/>
        </w:rPr>
        <w:t xml:space="preserve"> </w:t>
      </w:r>
      <w:r>
        <w:rPr>
          <w:rFonts w:ascii="Times New Roman" w:hAnsi="Times New Roman" w:eastAsia="Times New Roman" w:cs="Times New Roman"/>
          <w:sz w:val="20"/>
          <w:szCs w:val="20"/>
        </w:rPr>
        <w:t>Various cultures around the world have used flowers into their conventional dishes. With their numerous and diverse recipes, the Chinese were the first to explore with using flowers as food, dating as far back as 3,000 B.C. Pink, violet, and rose edible flowers were employed in Roman cuisine, while sauces contained lavender. Over a thousand years ago, cooks and gardeners began employing orange blossom and pot marigolds in their recipes.</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Day lily buds are used in Asian cuisine, and the Romans employed mallow, rose, and violets. Stuffed squash blossoms originated in Italian and Hispanic cultures, while A</w:t>
      </w:r>
      <w:r>
        <w:rPr>
          <w:rFonts w:hint="default" w:ascii="Times New Roman" w:hAnsi="Times New Roman" w:eastAsia="Times New Roman" w:cs="Times New Roman"/>
          <w:sz w:val="20"/>
          <w:szCs w:val="20"/>
          <w:lang w:val="en-US"/>
        </w:rPr>
        <w:t>n</w:t>
      </w:r>
      <w:r>
        <w:rPr>
          <w:rFonts w:ascii="Times New Roman" w:hAnsi="Times New Roman" w:eastAsia="Times New Roman" w:cs="Times New Roman"/>
          <w:sz w:val="20"/>
          <w:szCs w:val="20"/>
        </w:rPr>
        <w:t>cient Indian traditions frequently employed rose petals in their cooking. Carnation petals are one of the traditional green liqueur, Chartreuse,'s hidden components. It was created in France in the 17th century.</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Edible flowers were employed as a flavouring element in food preparation and to decorate meals in ancient cultures. </w:t>
      </w:r>
      <w:r>
        <w:rPr>
          <w:rFonts w:ascii="Times New Roman" w:hAnsi="Times New Roman" w:eastAsia="Times New Roman" w:cs="Times New Roman"/>
          <w:i/>
          <w:sz w:val="20"/>
          <w:szCs w:val="20"/>
        </w:rPr>
        <w:t>Rosa spp</w:t>
      </w:r>
      <w:r>
        <w:rPr>
          <w:rFonts w:ascii="Times New Roman" w:hAnsi="Times New Roman" w:eastAsia="Times New Roman" w:cs="Times New Roman"/>
          <w:sz w:val="20"/>
          <w:szCs w:val="20"/>
        </w:rPr>
        <w:t xml:space="preserve">. petals were used to sweeten and flavour omelets, purees, drinks, and sweets in ancient Rome. </w:t>
      </w:r>
      <w:r>
        <w:rPr>
          <w:rFonts w:ascii="Times New Roman" w:hAnsi="Times New Roman" w:eastAsia="Times New Roman" w:cs="Times New Roman"/>
          <w:i/>
          <w:sz w:val="20"/>
          <w:szCs w:val="20"/>
        </w:rPr>
        <w:t>Calendula officinalis</w:t>
      </w:r>
      <w:r>
        <w:rPr>
          <w:rFonts w:ascii="Times New Roman" w:hAnsi="Times New Roman" w:eastAsia="Times New Roman" w:cs="Times New Roman"/>
          <w:sz w:val="20"/>
          <w:szCs w:val="20"/>
        </w:rPr>
        <w:t xml:space="preserve"> flower petals were used in numerous salads in France throughout the Middle Ages. During 17th century, </w:t>
      </w:r>
      <w:r>
        <w:rPr>
          <w:rFonts w:ascii="Times New Roman" w:hAnsi="Times New Roman" w:eastAsia="Times New Roman" w:cs="Times New Roman"/>
          <w:i/>
          <w:sz w:val="20"/>
          <w:szCs w:val="20"/>
        </w:rPr>
        <w:t>Viola odorata</w:t>
      </w:r>
      <w:r>
        <w:rPr>
          <w:rFonts w:ascii="Times New Roman" w:hAnsi="Times New Roman" w:eastAsia="Times New Roman" w:cs="Times New Roman"/>
          <w:sz w:val="20"/>
          <w:szCs w:val="20"/>
        </w:rPr>
        <w:t xml:space="preserve"> has been used in coloured syrups, sweets and other beverages . In Central Europe, Breaded flowers of </w:t>
      </w:r>
      <w:r>
        <w:rPr>
          <w:rFonts w:ascii="Times New Roman" w:hAnsi="Times New Roman" w:eastAsia="Times New Roman" w:cs="Times New Roman"/>
          <w:i/>
          <w:sz w:val="20"/>
          <w:szCs w:val="20"/>
        </w:rPr>
        <w:t>Sambucus nigra</w:t>
      </w:r>
      <w:r>
        <w:rPr>
          <w:rFonts w:ascii="Times New Roman" w:hAnsi="Times New Roman" w:eastAsia="Times New Roman" w:cs="Times New Roman"/>
          <w:sz w:val="20"/>
          <w:szCs w:val="20"/>
        </w:rPr>
        <w:t xml:space="preserve"> and </w:t>
      </w:r>
      <w:r>
        <w:rPr>
          <w:rFonts w:ascii="Times New Roman" w:hAnsi="Times New Roman" w:eastAsia="Times New Roman" w:cs="Times New Roman"/>
          <w:i/>
          <w:sz w:val="20"/>
          <w:szCs w:val="20"/>
        </w:rPr>
        <w:t>Taraxacum officinale</w:t>
      </w:r>
      <w:r>
        <w:rPr>
          <w:rFonts w:ascii="Times New Roman" w:hAnsi="Times New Roman" w:eastAsia="Times New Roman" w:cs="Times New Roman"/>
          <w:sz w:val="20"/>
          <w:szCs w:val="20"/>
        </w:rPr>
        <w:t xml:space="preserve"> were boiled with sugar to replace honey was popular [22].  Some flowers or parts of flowers were used as vegetables : We consume the inflorescence bracts of artichoke (</w:t>
      </w:r>
      <w:r>
        <w:rPr>
          <w:rFonts w:ascii="Times New Roman" w:hAnsi="Times New Roman" w:eastAsia="Times New Roman" w:cs="Times New Roman"/>
          <w:i/>
          <w:sz w:val="20"/>
          <w:szCs w:val="20"/>
        </w:rPr>
        <w:t>Cynara scolymus</w:t>
      </w:r>
      <w:r>
        <w:rPr>
          <w:rFonts w:ascii="Times New Roman" w:hAnsi="Times New Roman" w:eastAsia="Times New Roman" w:cs="Times New Roman"/>
          <w:sz w:val="20"/>
          <w:szCs w:val="20"/>
        </w:rPr>
        <w:t>), the inflorescence of cauliflower (</w:t>
      </w:r>
      <w:r>
        <w:rPr>
          <w:rFonts w:ascii="Times New Roman" w:hAnsi="Times New Roman" w:eastAsia="Times New Roman" w:cs="Times New Roman"/>
          <w:i/>
          <w:sz w:val="20"/>
          <w:szCs w:val="20"/>
        </w:rPr>
        <w:t>Brassica oleracea</w:t>
      </w:r>
      <w:r>
        <w:rPr>
          <w:rFonts w:ascii="Times New Roman" w:hAnsi="Times New Roman" w:eastAsia="Times New Roman" w:cs="Times New Roman"/>
          <w:sz w:val="20"/>
          <w:szCs w:val="20"/>
        </w:rPr>
        <w:t xml:space="preserve"> var. </w:t>
      </w:r>
      <w:r>
        <w:rPr>
          <w:rFonts w:ascii="Times New Roman" w:hAnsi="Times New Roman" w:eastAsia="Times New Roman" w:cs="Times New Roman"/>
          <w:i/>
          <w:sz w:val="20"/>
          <w:szCs w:val="20"/>
        </w:rPr>
        <w:t>botrytis</w:t>
      </w:r>
      <w:r>
        <w:rPr>
          <w:rFonts w:ascii="Times New Roman" w:hAnsi="Times New Roman" w:eastAsia="Times New Roman" w:cs="Times New Roman"/>
          <w:sz w:val="20"/>
          <w:szCs w:val="20"/>
        </w:rPr>
        <w:t>), and the flower stalks with closed buds of broccoli (</w:t>
      </w:r>
      <w:r>
        <w:rPr>
          <w:rFonts w:ascii="Times New Roman" w:hAnsi="Times New Roman" w:eastAsia="Times New Roman" w:cs="Times New Roman"/>
          <w:i/>
          <w:sz w:val="20"/>
          <w:szCs w:val="20"/>
        </w:rPr>
        <w:t>Brassica oleracea</w:t>
      </w:r>
      <w:r>
        <w:rPr>
          <w:rFonts w:ascii="Times New Roman" w:hAnsi="Times New Roman" w:eastAsia="Times New Roman" w:cs="Times New Roman"/>
          <w:sz w:val="20"/>
          <w:szCs w:val="20"/>
        </w:rPr>
        <w:t xml:space="preserve"> var. </w:t>
      </w:r>
      <w:r>
        <w:rPr>
          <w:rFonts w:ascii="Times New Roman" w:hAnsi="Times New Roman" w:eastAsia="Times New Roman" w:cs="Times New Roman"/>
          <w:i/>
          <w:sz w:val="20"/>
          <w:szCs w:val="20"/>
        </w:rPr>
        <w:t>italica</w:t>
      </w:r>
      <w:r>
        <w:rPr>
          <w:rFonts w:ascii="Times New Roman" w:hAnsi="Times New Roman" w:eastAsia="Times New Roman" w:cs="Times New Roman"/>
          <w:sz w:val="20"/>
          <w:szCs w:val="20"/>
        </w:rPr>
        <w:t>).</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 the end of the twentieth century  and commencement of the twenty-first centuries, there was a trend to appreciate wild types, particularly native species, which began to be praised by the media and to be used as cookery components in TV shows, publications, blogs, and cookery books. Edible Flowers is one of them, and it is used both as an ornamental component and as an ingredient in recipes, which helps to spread its use among the common people.But still it was not commonly known consumable in all nations.</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In the book "Botanicals with Benefits: Develop a New Relationship with Your Garden: the Edible Flower Volume," there is a section on edible flowers [14].The native population of Northern Thailand regularly consume the flowers of Marigold, Cosmos, Coral Vine, and Bougainvillea in salads and floral teas [15]. Using '</w:t>
      </w:r>
      <w:r>
        <w:rPr>
          <w:rFonts w:ascii="Times New Roman" w:hAnsi="Times New Roman" w:eastAsia="Times New Roman" w:cs="Times New Roman"/>
          <w:b w:val="0"/>
          <w:bCs w:val="0"/>
          <w:sz w:val="20"/>
          <w:szCs w:val="20"/>
        </w:rPr>
        <w:t>Floriphagia'</w:t>
      </w:r>
      <w:r>
        <w:rPr>
          <w:rFonts w:ascii="Times New Roman" w:hAnsi="Times New Roman" w:eastAsia="Times New Roman" w:cs="Times New Roman"/>
          <w:sz w:val="20"/>
          <w:szCs w:val="20"/>
        </w:rPr>
        <w:t xml:space="preserve"> as the ingestion of fresh, newly selected flowers with nutritional  properties, or with some therapeutic and sensory activity related to their look or taste  [16] .</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Cultural patterns, usage in traditional food, and potential advantages of the most often used Edible Flowers in Mexico. In Mexico, flowers were registered with various symbologies in pyramids, sculptures, caves, and pottery art. Because of Catholic Church rituals during Easter celebrations, flowers began to substitute meat in the diet as a result of Spanish colonisation. Among the most cherised and cultivated species in Mexico are , American coral tree, Marigold, Red Frangipani, prickly pear, </w:t>
      </w:r>
      <w:r>
        <w:rPr>
          <w:rFonts w:ascii="Times New Roman" w:hAnsi="Times New Roman" w:eastAsia="Times New Roman" w:cs="Times New Roman"/>
          <w:i/>
          <w:sz w:val="20"/>
          <w:szCs w:val="20"/>
        </w:rPr>
        <w:t>Ferocactus sp</w:t>
      </w:r>
      <w:r>
        <w:rPr>
          <w:rFonts w:ascii="Times New Roman" w:hAnsi="Times New Roman" w:eastAsia="Times New Roman" w:cs="Times New Roman"/>
          <w:sz w:val="20"/>
          <w:szCs w:val="20"/>
        </w:rPr>
        <w:t xml:space="preserve">, </w:t>
      </w:r>
      <w:r>
        <w:rPr>
          <w:rFonts w:ascii="Times New Roman" w:hAnsi="Times New Roman" w:eastAsia="Times New Roman" w:cs="Times New Roman"/>
          <w:i/>
          <w:iCs/>
          <w:sz w:val="20"/>
          <w:szCs w:val="20"/>
        </w:rPr>
        <w:t>Dhalia sp, Cucurbita sp, Yucca sp,</w:t>
      </w:r>
      <w:r>
        <w:rPr>
          <w:rFonts w:ascii="Times New Roman" w:hAnsi="Times New Roman" w:eastAsia="Times New Roman" w:cs="Times New Roman"/>
          <w:sz w:val="20"/>
          <w:szCs w:val="20"/>
        </w:rPr>
        <w:t xml:space="preserve"> </w:t>
      </w:r>
      <w:r>
        <w:rPr>
          <w:rFonts w:ascii="Times New Roman" w:hAnsi="Times New Roman" w:eastAsia="Times New Roman" w:cs="Times New Roman"/>
          <w:i/>
          <w:iCs/>
          <w:sz w:val="20"/>
          <w:szCs w:val="20"/>
        </w:rPr>
        <w:t xml:space="preserve"> </w:t>
      </w:r>
      <w:r>
        <w:rPr>
          <w:rFonts w:ascii="Times New Roman" w:hAnsi="Times New Roman" w:eastAsia="Times New Roman" w:cs="Times New Roman"/>
          <w:sz w:val="20"/>
          <w:szCs w:val="20"/>
        </w:rPr>
        <w:t xml:space="preserve">bilberry cactus, </w:t>
      </w:r>
      <w:r>
        <w:rPr>
          <w:rFonts w:ascii="Times New Roman" w:hAnsi="Times New Roman" w:eastAsia="Times New Roman" w:cs="Times New Roman"/>
          <w:i/>
          <w:sz w:val="20"/>
          <w:szCs w:val="20"/>
        </w:rPr>
        <w:t>Agave spp</w:t>
      </w:r>
      <w:r>
        <w:rPr>
          <w:rFonts w:ascii="Times New Roman" w:hAnsi="Times New Roman" w:eastAsia="Times New Roman" w:cs="Times New Roman"/>
          <w:sz w:val="20"/>
          <w:szCs w:val="20"/>
        </w:rPr>
        <w:t>, poinsettia and runner bean</w:t>
      </w:r>
      <w:r>
        <w:rPr>
          <w:rFonts w:ascii="Times New Roman" w:hAnsi="Times New Roman" w:eastAsia="Times New Roman" w:cs="Times New Roman"/>
          <w:i/>
          <w:sz w:val="20"/>
          <w:szCs w:val="20"/>
        </w:rPr>
        <w:t>.</w:t>
      </w:r>
      <w:r>
        <w:rPr>
          <w:rFonts w:ascii="Times New Roman" w:hAnsi="Times New Roman" w:cs="Times New Roman"/>
          <w:sz w:val="20"/>
          <w:szCs w:val="20"/>
        </w:rPr>
        <w:t xml:space="preserve"> </w:t>
      </w:r>
      <w:r>
        <w:rPr>
          <w:rFonts w:ascii="Times New Roman" w:hAnsi="Times New Roman" w:eastAsia="Times New Roman" w:cs="Times New Roman"/>
          <w:sz w:val="20"/>
          <w:szCs w:val="20"/>
        </w:rPr>
        <w:t>Before the arrival of Spanish people, there was preconception against the consumption of flowers, which was connected with poverty and is now not favoured in the domain. [21]. Some flowers (Flowers of medicinal plants, pumpkin, broccoli, cauliflower, inflorescence bract of banana , and artichoke,) were already utilised in food in Brazil as a result of customs introduced by European and Asian immigrants. In Figure.1, we can see some of the commonly used Edible Flowers in the world.</w:t>
      </w:r>
    </w:p>
    <w:p>
      <w:pPr>
        <w:spacing w:after="0" w:line="240" w:lineRule="auto"/>
        <w:ind w:firstLine="720"/>
        <w:jc w:val="both"/>
        <w:rPr>
          <w:rFonts w:ascii="Times New Roman" w:hAnsi="Times New Roman" w:eastAsia="Times New Roman" w:cs="Times New Roman"/>
          <w:sz w:val="20"/>
          <w:szCs w:val="20"/>
        </w:rPr>
      </w:pPr>
    </w:p>
    <w:p>
      <w:pPr>
        <w:numPr>
          <w:ilvl w:val="0"/>
          <w:numId w:val="1"/>
        </w:num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BENEFITS OF EDIBLE FLOWERS</w:t>
      </w:r>
    </w:p>
    <w:p>
      <w:pPr>
        <w:spacing w:after="0" w:line="240" w:lineRule="auto"/>
        <w:ind w:firstLine="720"/>
        <w:jc w:val="both"/>
        <w:rPr>
          <w:rFonts w:ascii="Times New Roman" w:hAnsi="Times New Roman" w:cs="Times New Roman"/>
          <w:sz w:val="20"/>
          <w:szCs w:val="20"/>
        </w:rPr>
      </w:pPr>
      <w:r>
        <w:rPr>
          <w:rFonts w:ascii="Times New Roman" w:hAnsi="Times New Roman" w:eastAsia="Times New Roman" w:cs="Times New Roman"/>
          <w:sz w:val="20"/>
          <w:szCs w:val="20"/>
        </w:rPr>
        <w:t>The fact that flowers are often used medicinally besides to being consumed for their taste is highly significant.</w:t>
      </w:r>
      <w:r>
        <w:rPr>
          <w:rFonts w:ascii="Times New Roman" w:hAnsi="Times New Roman" w:cs="Times New Roman"/>
          <w:sz w:val="20"/>
          <w:szCs w:val="20"/>
        </w:rPr>
        <w:t xml:space="preserve"> </w:t>
      </w:r>
      <w:r>
        <w:rPr>
          <w:rFonts w:ascii="Times New Roman" w:hAnsi="Times New Roman" w:eastAsia="Times New Roman" w:cs="Times New Roman"/>
          <w:sz w:val="20"/>
          <w:szCs w:val="20"/>
        </w:rPr>
        <w:t xml:space="preserve">Flowers are high in nectar and pollen, and pollen has been found in studies to be high in vitamins and minerals. Flowers contain 95% water, hence they are supposed to have considerable nutritional amounts. While blooms provide a pleasing appearance, a nice scent, and a delectable taste, they do not contribute calories. According to the few reviews available, they are almost calorie free. </w:t>
      </w:r>
      <w:r>
        <w:rPr>
          <w:rFonts w:ascii="Times New Roman" w:hAnsi="Times New Roman" w:cs="Times New Roman"/>
          <w:sz w:val="20"/>
          <w:szCs w:val="20"/>
        </w:rPr>
        <w:t xml:space="preserve">Most edible flowers have a bitter taste (for example,  Flower of night jasmine, </w:t>
      </w:r>
      <w:r>
        <w:rPr>
          <w:rFonts w:ascii="Times New Roman" w:hAnsi="Times New Roman" w:cs="Times New Roman"/>
          <w:i/>
          <w:iCs/>
          <w:sz w:val="20"/>
          <w:szCs w:val="20"/>
        </w:rPr>
        <w:t>Phlogacanthus spp</w:t>
      </w:r>
      <w:r>
        <w:rPr>
          <w:rFonts w:ascii="Times New Roman" w:hAnsi="Times New Roman" w:cs="Times New Roman"/>
          <w:sz w:val="20"/>
          <w:szCs w:val="20"/>
        </w:rPr>
        <w:t xml:space="preserve">., etc.). These are prescribed for preventing stomach disorders such as stomach upset, loss of appetite, jaundice, liver problem, cold and cough, polygenic disorder. </w:t>
      </w:r>
      <w:r>
        <w:rPr>
          <w:rFonts w:ascii="Times New Roman" w:hAnsi="Times New Roman" w:eastAsia="Times New Roman" w:cs="Times New Roman"/>
          <w:sz w:val="20"/>
          <w:szCs w:val="20"/>
        </w:rPr>
        <w:t>Edible flowers' health and aesthetic advantages symbolize a specialised market. The food industry operates in an established market. From a tactical point of view, including edible flowers in dishes, drinks, and desserts could be a method to differentiate products and improve service. Edible flowers include a variety of phytochemicals that have been linked to health benefits, including antioxidants, anti-inflammatories, anticancer, anti-obesity, hypoglycemic agents, and compounds that protect the nervous, hepatic, and digestive systems [8]. The tints of fruits and vegetables, as well as the pigments of flowers, point to the presence of phytochemicals such poly phenols, also known as Phenolic compounds, flavonoids, carotenoids, and anthocyanins.</w:t>
      </w:r>
      <w:r>
        <w:rPr>
          <w:rFonts w:ascii="Times New Roman" w:hAnsi="Times New Roman" w:cs="Times New Roman"/>
          <w:sz w:val="20"/>
          <w:szCs w:val="20"/>
        </w:rPr>
        <w:t xml:space="preserve"> </w:t>
      </w:r>
      <w:r>
        <w:rPr>
          <w:rFonts w:ascii="Times New Roman" w:hAnsi="Times New Roman" w:eastAsia="Times New Roman" w:cs="Times New Roman"/>
          <w:sz w:val="20"/>
          <w:szCs w:val="20"/>
        </w:rPr>
        <w:t>Fresh edible flowers can be consumed on their own or as a key ingredient in cosmetic and pharmaceutical goods. They can also be used as functional food ingredients.</w:t>
      </w:r>
      <w:r>
        <w:rPr>
          <w:rFonts w:ascii="Times New Roman" w:hAnsi="Times New Roman" w:cs="Times New Roman"/>
          <w:sz w:val="20"/>
          <w:szCs w:val="20"/>
        </w:rPr>
        <w:t xml:space="preserve"> </w:t>
      </w:r>
      <w:r>
        <w:rPr>
          <w:rFonts w:ascii="Times New Roman" w:hAnsi="Times New Roman" w:eastAsia="Times New Roman" w:cs="Times New Roman"/>
          <w:sz w:val="20"/>
          <w:szCs w:val="20"/>
        </w:rPr>
        <w:t>Some of the edible flowers and their health benefits are listed below. (Table.1)</w:t>
      </w:r>
    </w:p>
    <w:p>
      <w:pPr>
        <w:spacing w:after="0" w:line="240" w:lineRule="auto"/>
        <w:jc w:val="center"/>
        <w:rPr>
          <w:rFonts w:ascii="Times New Roman" w:hAnsi="Times New Roman" w:eastAsia="Times New Roman" w:cs="Times New Roman"/>
          <w:b/>
          <w:sz w:val="20"/>
          <w:szCs w:val="20"/>
        </w:rPr>
      </w:pPr>
    </w:p>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b/>
          <w:sz w:val="20"/>
          <w:szCs w:val="20"/>
        </w:rPr>
        <w:t>Table 1.  Health benefits of some Edible flowers</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61"/>
        <w:gridCol w:w="3806"/>
        <w:gridCol w:w="377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Flowers</w:t>
            </w:r>
          </w:p>
        </w:tc>
        <w:tc>
          <w:tcPr>
            <w:tcW w:w="3806"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Health benefits</w:t>
            </w:r>
          </w:p>
        </w:tc>
        <w:tc>
          <w:tcPr>
            <w:tcW w:w="3775"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Reference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Rose</w:t>
            </w:r>
          </w:p>
        </w:tc>
        <w:tc>
          <w:tcPr>
            <w:tcW w:w="3806" w:type="dxa"/>
          </w:tcPr>
          <w:p>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Cleanup of gall bladder and liver; improving secretion of bile; relieving mild sore throats and bronchial infections</w:t>
            </w:r>
          </w:p>
        </w:tc>
        <w:tc>
          <w:tcPr>
            <w:tcW w:w="3775" w:type="dxa"/>
          </w:tcPr>
          <w:p>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Chen and Wei (2017).</w:t>
            </w:r>
          </w:p>
          <w:p>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 Hegde </w:t>
            </w:r>
            <w:r>
              <w:rPr>
                <w:rFonts w:ascii="Times New Roman" w:hAnsi="Times New Roman" w:cs="Times New Roman"/>
                <w:i/>
                <w:iCs/>
                <w:color w:val="222222"/>
                <w:sz w:val="20"/>
                <w:szCs w:val="20"/>
                <w:shd w:val="clear" w:color="auto" w:fill="FFFFFF"/>
              </w:rPr>
              <w:t>et al</w:t>
            </w:r>
            <w:r>
              <w:rPr>
                <w:rFonts w:ascii="Times New Roman" w:hAnsi="Times New Roman" w:cs="Times New Roman"/>
                <w:color w:val="222222"/>
                <w:sz w:val="20"/>
                <w:szCs w:val="20"/>
                <w:shd w:val="clear" w:color="auto" w:fill="FFFFFF"/>
              </w:rPr>
              <w:t xml:space="preserve">., (2022), </w:t>
            </w:r>
          </w:p>
          <w:p>
            <w:pPr>
              <w:spacing w:after="0" w:line="240" w:lineRule="auto"/>
              <w:jc w:val="both"/>
              <w:rPr>
                <w:rFonts w:ascii="Times New Roman" w:hAnsi="Times New Roman" w:eastAsia="Times New Roman" w:cs="Times New Roman"/>
                <w:sz w:val="20"/>
                <w:szCs w:val="20"/>
              </w:rPr>
            </w:pPr>
            <w:r>
              <w:rPr>
                <w:rFonts w:ascii="Times New Roman" w:hAnsi="Times New Roman" w:cs="Times New Roman"/>
                <w:color w:val="222222"/>
                <w:sz w:val="20"/>
                <w:szCs w:val="20"/>
                <w:shd w:val="clear" w:color="auto" w:fill="FFFFFF"/>
              </w:rPr>
              <w:t xml:space="preserve">Mileva </w:t>
            </w:r>
            <w:r>
              <w:rPr>
                <w:rFonts w:ascii="Times New Roman" w:hAnsi="Times New Roman" w:cs="Times New Roman"/>
                <w:i/>
                <w:iCs/>
                <w:color w:val="222222"/>
                <w:sz w:val="20"/>
                <w:szCs w:val="20"/>
                <w:shd w:val="clear" w:color="auto" w:fill="FFFFFF"/>
              </w:rPr>
              <w:t>et al</w:t>
            </w:r>
            <w:r>
              <w:rPr>
                <w:rFonts w:ascii="Times New Roman" w:hAnsi="Times New Roman" w:cs="Times New Roman"/>
                <w:color w:val="222222"/>
                <w:sz w:val="20"/>
                <w:szCs w:val="20"/>
                <w:shd w:val="clear" w:color="auto" w:fill="FFFFFF"/>
              </w:rPr>
              <w:t>., (2021)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Lily</w:t>
            </w:r>
          </w:p>
        </w:tc>
        <w:tc>
          <w:tcPr>
            <w:tcW w:w="3806" w:type="dxa"/>
          </w:tcPr>
          <w:p>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well-being of the heart; flavonoid that stimulates arterial dilation.</w:t>
            </w:r>
          </w:p>
        </w:tc>
        <w:tc>
          <w:tcPr>
            <w:tcW w:w="3775" w:type="dxa"/>
          </w:tcPr>
          <w:p>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Abelti</w:t>
            </w:r>
            <w:r>
              <w:rPr>
                <w:rFonts w:ascii="Times New Roman" w:hAnsi="Times New Roman" w:cs="Times New Roman"/>
                <w:i/>
                <w:iCs/>
                <w:color w:val="222222"/>
                <w:sz w:val="20"/>
                <w:szCs w:val="20"/>
                <w:shd w:val="clear" w:color="auto" w:fill="FFFFFF"/>
              </w:rPr>
              <w:t xml:space="preserve"> et al</w:t>
            </w:r>
            <w:r>
              <w:rPr>
                <w:rFonts w:ascii="Times New Roman" w:hAnsi="Times New Roman" w:cs="Times New Roman"/>
                <w:color w:val="222222"/>
                <w:sz w:val="20"/>
                <w:szCs w:val="20"/>
                <w:shd w:val="clear" w:color="auto" w:fill="FFFFFF"/>
              </w:rPr>
              <w:t>., (2023),</w:t>
            </w:r>
          </w:p>
          <w:p>
            <w:pPr>
              <w:spacing w:after="0" w:line="240" w:lineRule="auto"/>
              <w:jc w:val="both"/>
              <w:rPr>
                <w:rFonts w:ascii="Times New Roman" w:hAnsi="Times New Roman" w:eastAsia="Times New Roman" w:cs="Times New Roman"/>
                <w:sz w:val="20"/>
                <w:szCs w:val="20"/>
              </w:rPr>
            </w:pPr>
            <w:r>
              <w:rPr>
                <w:rFonts w:ascii="Times New Roman" w:hAnsi="Times New Roman" w:cs="Times New Roman"/>
                <w:color w:val="222222"/>
                <w:sz w:val="20"/>
                <w:szCs w:val="20"/>
                <w:shd w:val="clear" w:color="auto" w:fill="FFFFFF"/>
              </w:rPr>
              <w:t xml:space="preserve">Maleki </w:t>
            </w:r>
            <w:r>
              <w:rPr>
                <w:rFonts w:ascii="Times New Roman" w:hAnsi="Times New Roman" w:cs="Times New Roman"/>
                <w:i/>
                <w:iCs/>
                <w:color w:val="222222"/>
                <w:sz w:val="20"/>
                <w:szCs w:val="20"/>
                <w:shd w:val="clear" w:color="auto" w:fill="FFFFFF"/>
              </w:rPr>
              <w:t>et al.,</w:t>
            </w:r>
            <w:r>
              <w:rPr>
                <w:rFonts w:ascii="Times New Roman" w:hAnsi="Times New Roman" w:cs="Times New Roman"/>
                <w:color w:val="222222"/>
                <w:sz w:val="20"/>
                <w:szCs w:val="20"/>
                <w:shd w:val="clear" w:color="auto" w:fill="FFFFFF"/>
              </w:rPr>
              <w:t xml:space="preserve"> (2019).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Chrysanthemum</w:t>
            </w:r>
          </w:p>
        </w:tc>
        <w:tc>
          <w:tcPr>
            <w:tcW w:w="3806" w:type="dxa"/>
          </w:tcPr>
          <w:p>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Detoxicate the blood, regulation of blood pressure and calming the nerves; antibacterial properties; hypertension and angina</w:t>
            </w:r>
          </w:p>
        </w:tc>
        <w:tc>
          <w:tcPr>
            <w:tcW w:w="3775" w:type="dxa"/>
          </w:tcPr>
          <w:p>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Shahrajabian </w:t>
            </w:r>
            <w:r>
              <w:rPr>
                <w:rFonts w:ascii="Times New Roman" w:hAnsi="Times New Roman" w:cs="Times New Roman"/>
                <w:i/>
                <w:iCs/>
                <w:color w:val="222222"/>
                <w:sz w:val="20"/>
                <w:szCs w:val="20"/>
                <w:shd w:val="clear" w:color="auto" w:fill="FFFFFF"/>
              </w:rPr>
              <w:t xml:space="preserve">et al., </w:t>
            </w:r>
            <w:r>
              <w:rPr>
                <w:rFonts w:ascii="Times New Roman" w:hAnsi="Times New Roman" w:cs="Times New Roman"/>
                <w:color w:val="222222"/>
                <w:sz w:val="20"/>
                <w:szCs w:val="20"/>
                <w:shd w:val="clear" w:color="auto" w:fill="FFFFFF"/>
              </w:rPr>
              <w:t>(2019),</w:t>
            </w:r>
          </w:p>
          <w:p>
            <w:pPr>
              <w:spacing w:after="0" w:line="240" w:lineRule="auto"/>
              <w:jc w:val="both"/>
              <w:rPr>
                <w:rFonts w:ascii="Times New Roman" w:hAnsi="Times New Roman" w:eastAsia="Times New Roman" w:cs="Times New Roman"/>
                <w:sz w:val="20"/>
                <w:szCs w:val="20"/>
              </w:rPr>
            </w:pPr>
            <w:r>
              <w:rPr>
                <w:rFonts w:ascii="Times New Roman" w:hAnsi="Times New Roman" w:cs="Times New Roman"/>
                <w:color w:val="222222"/>
                <w:sz w:val="20"/>
                <w:szCs w:val="20"/>
                <w:shd w:val="clear" w:color="auto" w:fill="FFFFFF"/>
              </w:rPr>
              <w:t xml:space="preserve">Cookson (2021).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Jasmine</w:t>
            </w:r>
          </w:p>
        </w:tc>
        <w:tc>
          <w:tcPr>
            <w:tcW w:w="3806" w:type="dxa"/>
          </w:tcPr>
          <w:p>
            <w:pPr>
              <w:spacing w:after="0" w:line="240" w:lineRule="auto"/>
              <w:jc w:val="both"/>
              <w:rPr>
                <w:rFonts w:hint="default" w:ascii="Times New Roman" w:hAnsi="Times New Roman" w:eastAsia="Times New Roman" w:cs="Times New Roman"/>
                <w:sz w:val="20"/>
                <w:szCs w:val="20"/>
                <w:lang w:val="en-US"/>
              </w:rPr>
            </w:pPr>
            <w:r>
              <w:rPr>
                <w:rFonts w:ascii="Times New Roman" w:hAnsi="Times New Roman" w:eastAsia="Times New Roman" w:cs="Times New Roman"/>
                <w:sz w:val="20"/>
                <w:szCs w:val="20"/>
              </w:rPr>
              <w:t xml:space="preserve"> Parkinson’s disease, attention deficit disorder, irritable bowel syndrome, premenstrual syndrome and alcoholism.</w:t>
            </w:r>
            <w:r>
              <w:rPr>
                <w:rFonts w:hint="default" w:ascii="Times New Roman" w:hAnsi="Times New Roman" w:eastAsia="Times New Roman" w:cs="Times New Roman"/>
                <w:sz w:val="20"/>
                <w:szCs w:val="20"/>
                <w:lang w:val="en-US"/>
              </w:rPr>
              <w:t xml:space="preserve"> A</w:t>
            </w:r>
            <w:r>
              <w:rPr>
                <w:rFonts w:ascii="Times New Roman" w:hAnsi="Times New Roman" w:eastAsia="Times New Roman" w:cs="Times New Roman"/>
                <w:sz w:val="20"/>
                <w:szCs w:val="20"/>
              </w:rPr>
              <w:t xml:space="preserve"> mild sedative effect</w:t>
            </w:r>
            <w:r>
              <w:rPr>
                <w:rFonts w:hint="default" w:ascii="Times New Roman" w:hAnsi="Times New Roman" w:eastAsia="Times New Roman" w:cs="Times New Roman"/>
                <w:sz w:val="20"/>
                <w:szCs w:val="20"/>
                <w:lang w:val="en-US"/>
              </w:rPr>
              <w:t xml:space="preserve">, </w:t>
            </w:r>
            <w:r>
              <w:rPr>
                <w:rFonts w:ascii="Times New Roman" w:hAnsi="Times New Roman" w:eastAsia="Times New Roman" w:cs="Times New Roman"/>
                <w:sz w:val="20"/>
                <w:szCs w:val="20"/>
              </w:rPr>
              <w:t xml:space="preserve">regulating insulin levels </w:t>
            </w:r>
            <w:r>
              <w:rPr>
                <w:rFonts w:hint="default" w:ascii="Times New Roman" w:hAnsi="Times New Roman" w:eastAsia="Times New Roman" w:cs="Times New Roman"/>
                <w:sz w:val="20"/>
                <w:szCs w:val="20"/>
                <w:lang w:val="en-US"/>
              </w:rPr>
              <w:t>and can be used in topical ointment.</w:t>
            </w:r>
          </w:p>
        </w:tc>
        <w:tc>
          <w:tcPr>
            <w:tcW w:w="3775" w:type="dxa"/>
          </w:tcPr>
          <w:p>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Chen and Wei (2017).</w:t>
            </w:r>
          </w:p>
          <w:p>
            <w:pPr>
              <w:spacing w:after="0" w:line="240" w:lineRule="auto"/>
              <w:jc w:val="both"/>
              <w:rPr>
                <w:rFonts w:ascii="Times New Roman" w:hAnsi="Times New Roman" w:eastAsia="Times New Roman" w:cs="Times New Roman"/>
                <w:sz w:val="20"/>
                <w:szCs w:val="20"/>
              </w:rPr>
            </w:pPr>
            <w:r>
              <w:rPr>
                <w:rFonts w:ascii="Times New Roman" w:hAnsi="Times New Roman" w:cs="Times New Roman"/>
                <w:color w:val="222222"/>
                <w:sz w:val="20"/>
                <w:szCs w:val="20"/>
                <w:shd w:val="clear" w:color="auto" w:fill="FFFFFF"/>
              </w:rPr>
              <w:t>Al-Snafi, (2018)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Chamomile</w:t>
            </w:r>
          </w:p>
        </w:tc>
        <w:tc>
          <w:tcPr>
            <w:tcW w:w="3806" w:type="dxa"/>
          </w:tcPr>
          <w:p>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It relieve diarrhoea and indigestion  It has antioxidant and anti-inflammatory properties.  </w:t>
            </w:r>
          </w:p>
        </w:tc>
        <w:tc>
          <w:tcPr>
            <w:tcW w:w="3775" w:type="dxa"/>
          </w:tcPr>
          <w:p>
            <w:pPr>
              <w:spacing w:after="0" w:line="240" w:lineRule="auto"/>
              <w:jc w:val="both"/>
              <w:rPr>
                <w:rFonts w:ascii="Times New Roman" w:hAnsi="Times New Roman" w:eastAsia="Times New Roman" w:cs="Times New Roman"/>
                <w:sz w:val="20"/>
                <w:szCs w:val="20"/>
              </w:rPr>
            </w:pPr>
            <w:r>
              <w:rPr>
                <w:rFonts w:ascii="Times New Roman" w:hAnsi="Times New Roman" w:cs="Times New Roman"/>
                <w:color w:val="222222"/>
                <w:sz w:val="20"/>
                <w:szCs w:val="20"/>
                <w:shd w:val="clear" w:color="auto" w:fill="FFFFFF"/>
              </w:rPr>
              <w:t>Talebi</w:t>
            </w:r>
            <w:r>
              <w:rPr>
                <w:rFonts w:ascii="Times New Roman" w:hAnsi="Times New Roman" w:cs="Times New Roman"/>
                <w:i/>
                <w:iCs/>
                <w:color w:val="222222"/>
                <w:sz w:val="20"/>
                <w:szCs w:val="20"/>
                <w:shd w:val="clear" w:color="auto" w:fill="FFFFFF"/>
              </w:rPr>
              <w:t xml:space="preserve"> et al.,</w:t>
            </w:r>
            <w:r>
              <w:rPr>
                <w:rFonts w:ascii="Times New Roman" w:hAnsi="Times New Roman" w:cs="Times New Roman"/>
                <w:color w:val="222222"/>
                <w:sz w:val="20"/>
                <w:szCs w:val="20"/>
                <w:shd w:val="clear" w:color="auto" w:fill="FFFFFF"/>
              </w:rPr>
              <w:t xml:space="preserve"> (2022).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Purple Corn Flower</w:t>
            </w:r>
          </w:p>
        </w:tc>
        <w:tc>
          <w:tcPr>
            <w:tcW w:w="3806" w:type="dxa"/>
          </w:tcPr>
          <w:p>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Treating inflammation and pain; easing coughs and relieving sore throats.</w:t>
            </w:r>
          </w:p>
        </w:tc>
        <w:tc>
          <w:tcPr>
            <w:tcW w:w="3775" w:type="dxa"/>
          </w:tcPr>
          <w:p>
            <w:pPr>
              <w:spacing w:after="0" w:line="240" w:lineRule="auto"/>
              <w:jc w:val="both"/>
              <w:rPr>
                <w:rFonts w:ascii="Times New Roman" w:hAnsi="Times New Roman" w:eastAsia="Times New Roman" w:cs="Times New Roman"/>
                <w:sz w:val="20"/>
                <w:szCs w:val="20"/>
              </w:rPr>
            </w:pPr>
            <w:r>
              <w:rPr>
                <w:rFonts w:ascii="Times New Roman" w:hAnsi="Times New Roman" w:cs="Times New Roman"/>
                <w:color w:val="222222"/>
                <w:sz w:val="20"/>
                <w:szCs w:val="20"/>
                <w:shd w:val="clear" w:color="auto" w:fill="FFFFFF"/>
              </w:rPr>
              <w:t xml:space="preserve">Sultana </w:t>
            </w:r>
            <w:r>
              <w:rPr>
                <w:rFonts w:ascii="Times New Roman" w:hAnsi="Times New Roman" w:cs="Times New Roman"/>
                <w:i/>
                <w:iCs/>
                <w:color w:val="222222"/>
                <w:sz w:val="20"/>
                <w:szCs w:val="20"/>
                <w:shd w:val="clear" w:color="auto" w:fill="FFFFFF"/>
              </w:rPr>
              <w:t>et al.,</w:t>
            </w:r>
            <w:r>
              <w:rPr>
                <w:rFonts w:ascii="Times New Roman" w:hAnsi="Times New Roman" w:cs="Times New Roman"/>
                <w:color w:val="222222"/>
                <w:sz w:val="20"/>
                <w:szCs w:val="20"/>
                <w:shd w:val="clear" w:color="auto" w:fill="FFFFFF"/>
              </w:rPr>
              <w:t xml:space="preserve">(2016).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tcPr>
          <w:p>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May Flower</w:t>
            </w:r>
          </w:p>
        </w:tc>
        <w:tc>
          <w:tcPr>
            <w:tcW w:w="3806" w:type="dxa"/>
          </w:tcPr>
          <w:p>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Contains antioxidant which improve blood circulation; lowering blood pressure; improving functioning of heart.</w:t>
            </w:r>
          </w:p>
          <w:p>
            <w:pPr>
              <w:spacing w:after="0" w:line="240" w:lineRule="auto"/>
              <w:jc w:val="both"/>
              <w:rPr>
                <w:rFonts w:ascii="Times New Roman" w:hAnsi="Times New Roman" w:eastAsia="Times New Roman" w:cs="Times New Roman"/>
                <w:sz w:val="20"/>
                <w:szCs w:val="20"/>
              </w:rPr>
            </w:pPr>
          </w:p>
        </w:tc>
        <w:tc>
          <w:tcPr>
            <w:tcW w:w="3775" w:type="dxa"/>
          </w:tcPr>
          <w:p>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Li </w:t>
            </w:r>
            <w:r>
              <w:rPr>
                <w:rFonts w:ascii="Times New Roman" w:hAnsi="Times New Roman" w:cs="Times New Roman"/>
                <w:i/>
                <w:iCs/>
                <w:color w:val="222222"/>
                <w:sz w:val="20"/>
                <w:szCs w:val="20"/>
                <w:shd w:val="clear" w:color="auto" w:fill="FFFFFF"/>
              </w:rPr>
              <w:t>et al.,</w:t>
            </w:r>
            <w:r>
              <w:rPr>
                <w:rFonts w:ascii="Times New Roman" w:hAnsi="Times New Roman" w:cs="Times New Roman"/>
                <w:color w:val="222222"/>
                <w:sz w:val="20"/>
                <w:szCs w:val="20"/>
                <w:shd w:val="clear" w:color="auto" w:fill="FFFFFF"/>
              </w:rPr>
              <w:t xml:space="preserve"> (2022). </w:t>
            </w:r>
          </w:p>
          <w:p>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Wu </w:t>
            </w:r>
            <w:r>
              <w:rPr>
                <w:rFonts w:ascii="Times New Roman" w:hAnsi="Times New Roman" w:cs="Times New Roman"/>
                <w:i/>
                <w:iCs/>
                <w:color w:val="222222"/>
                <w:sz w:val="20"/>
                <w:szCs w:val="20"/>
                <w:shd w:val="clear" w:color="auto" w:fill="FFFFFF"/>
              </w:rPr>
              <w:t>et al., (</w:t>
            </w:r>
            <w:r>
              <w:rPr>
                <w:rFonts w:ascii="Times New Roman" w:hAnsi="Times New Roman" w:cs="Times New Roman"/>
                <w:color w:val="222222"/>
                <w:sz w:val="20"/>
                <w:szCs w:val="20"/>
                <w:shd w:val="clear" w:color="auto" w:fill="FFFFFF"/>
              </w:rPr>
              <w:t xml:space="preserve">2020), </w:t>
            </w:r>
          </w:p>
          <w:p>
            <w:pPr>
              <w:spacing w:after="0" w:line="240" w:lineRule="auto"/>
              <w:jc w:val="both"/>
              <w:rPr>
                <w:rFonts w:ascii="Times New Roman" w:hAnsi="Times New Roman" w:eastAsia="Times New Roman" w:cs="Times New Roman"/>
                <w:sz w:val="20"/>
                <w:szCs w:val="20"/>
              </w:rPr>
            </w:pPr>
            <w:r>
              <w:rPr>
                <w:rFonts w:ascii="Times New Roman" w:hAnsi="Times New Roman" w:cs="Times New Roman"/>
                <w:color w:val="222222"/>
                <w:sz w:val="20"/>
                <w:szCs w:val="20"/>
                <w:shd w:val="clear" w:color="auto" w:fill="FFFFFF"/>
              </w:rPr>
              <w:t xml:space="preserve">Cloud </w:t>
            </w:r>
            <w:r>
              <w:rPr>
                <w:rFonts w:ascii="Times New Roman" w:hAnsi="Times New Roman" w:cs="Times New Roman"/>
                <w:i/>
                <w:iCs/>
                <w:color w:val="222222"/>
                <w:sz w:val="20"/>
                <w:szCs w:val="20"/>
                <w:shd w:val="clear" w:color="auto" w:fill="FFFFFF"/>
              </w:rPr>
              <w:t>et al</w:t>
            </w:r>
            <w:r>
              <w:rPr>
                <w:rFonts w:ascii="Times New Roman" w:hAnsi="Times New Roman" w:cs="Times New Roman"/>
                <w:color w:val="222222"/>
                <w:sz w:val="20"/>
                <w:szCs w:val="20"/>
                <w:shd w:val="clear" w:color="auto" w:fill="FFFFFF"/>
              </w:rPr>
              <w:t>., (2020).</w:t>
            </w:r>
          </w:p>
        </w:tc>
      </w:tr>
    </w:tbl>
    <w:p>
      <w:pPr>
        <w:spacing w:after="0" w:line="240" w:lineRule="auto"/>
        <w:jc w:val="both"/>
        <w:rPr>
          <w:rFonts w:ascii="Times New Roman" w:hAnsi="Times New Roman" w:eastAsia="Times New Roman" w:cs="Times New Roman"/>
          <w:sz w:val="20"/>
          <w:szCs w:val="20"/>
        </w:rPr>
      </w:pPr>
    </w:p>
    <w:p>
      <w:pPr>
        <w:spacing w:after="0" w:line="240" w:lineRule="auto"/>
        <w:jc w:val="both"/>
        <w:rPr>
          <w:rFonts w:ascii="Times New Roman" w:hAnsi="Times New Roman" w:eastAsia="Times New Roman" w:cs="Times New Roman"/>
          <w:sz w:val="20"/>
          <w:szCs w:val="20"/>
        </w:rPr>
      </w:pPr>
    </w:p>
    <w:p>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lang w:bidi="ta-IN"/>
        </w:rPr>
        <w:drawing>
          <wp:anchor distT="0" distB="0" distL="114300" distR="114300" simplePos="0" relativeHeight="251659264" behindDoc="1" locked="0" layoutInCell="1" allowOverlap="1">
            <wp:simplePos x="0" y="0"/>
            <wp:positionH relativeFrom="column">
              <wp:posOffset>-228600</wp:posOffset>
            </wp:positionH>
            <wp:positionV relativeFrom="paragraph">
              <wp:posOffset>399415</wp:posOffset>
            </wp:positionV>
            <wp:extent cx="2022475" cy="1920240"/>
            <wp:effectExtent l="0" t="0" r="0" b="3810"/>
            <wp:wrapTight wrapText="bothSides">
              <wp:wrapPolygon>
                <wp:start x="0" y="0"/>
                <wp:lineTo x="0" y="21429"/>
                <wp:lineTo x="21369" y="21429"/>
                <wp:lineTo x="213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a:stretch>
                      <a:fillRect/>
                    </a:stretch>
                  </pic:blipFill>
                  <pic:spPr>
                    <a:xfrm>
                      <a:off x="0" y="0"/>
                      <a:ext cx="2022201" cy="1920240"/>
                    </a:xfrm>
                    <a:prstGeom prst="rect">
                      <a:avLst/>
                    </a:prstGeom>
                    <a:noFill/>
                    <a:ln w="9525">
                      <a:noFill/>
                      <a:miter lim="800000"/>
                      <a:headEnd/>
                      <a:tailEnd/>
                    </a:ln>
                  </pic:spPr>
                </pic:pic>
              </a:graphicData>
            </a:graphic>
          </wp:anchor>
        </w:drawing>
      </w:r>
      <w:r>
        <w:rPr>
          <w:rFonts w:ascii="Times New Roman" w:hAnsi="Times New Roman" w:eastAsia="Times New Roman" w:cs="Times New Roman"/>
          <w:b/>
          <w:sz w:val="20"/>
          <w:szCs w:val="20"/>
        </w:rPr>
        <w:t>EDIBLE FLOWERS</w:t>
      </w:r>
    </w:p>
    <w:p>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b/>
          <w:sz w:val="20"/>
          <w:szCs w:val="20"/>
          <w:lang w:bidi="ta-IN"/>
        </w:rPr>
        <w:drawing>
          <wp:anchor distT="0" distB="0" distL="114300" distR="114300" simplePos="0" relativeHeight="251661312" behindDoc="1" locked="0" layoutInCell="1" allowOverlap="1">
            <wp:simplePos x="0" y="0"/>
            <wp:positionH relativeFrom="column">
              <wp:posOffset>4276725</wp:posOffset>
            </wp:positionH>
            <wp:positionV relativeFrom="paragraph">
              <wp:posOffset>169545</wp:posOffset>
            </wp:positionV>
            <wp:extent cx="2183130" cy="2103120"/>
            <wp:effectExtent l="0" t="0" r="7620" b="0"/>
            <wp:wrapTight wrapText="bothSides">
              <wp:wrapPolygon>
                <wp:start x="0" y="0"/>
                <wp:lineTo x="0" y="21326"/>
                <wp:lineTo x="21487" y="21326"/>
                <wp:lineTo x="21487" y="0"/>
                <wp:lineTo x="0"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7"/>
                    <a:srcRect/>
                    <a:stretch>
                      <a:fillRect/>
                    </a:stretch>
                  </pic:blipFill>
                  <pic:spPr>
                    <a:xfrm>
                      <a:off x="0" y="0"/>
                      <a:ext cx="2183130" cy="2103120"/>
                    </a:xfrm>
                    <a:prstGeom prst="rect">
                      <a:avLst/>
                    </a:prstGeom>
                    <a:noFill/>
                    <a:ln w="9525">
                      <a:noFill/>
                      <a:miter lim="800000"/>
                      <a:headEnd/>
                      <a:tailEnd/>
                    </a:ln>
                  </pic:spPr>
                </pic:pic>
              </a:graphicData>
            </a:graphic>
          </wp:anchor>
        </w:drawing>
      </w:r>
      <w:r>
        <w:rPr>
          <w:rFonts w:ascii="Times New Roman" w:hAnsi="Times New Roman" w:eastAsia="Times New Roman" w:cs="Times New Roman"/>
          <w:b/>
          <w:sz w:val="20"/>
          <w:szCs w:val="20"/>
          <w:lang w:bidi="ta-IN"/>
        </w:rPr>
        <w:drawing>
          <wp:anchor distT="0" distB="0" distL="114300" distR="114300" simplePos="0" relativeHeight="251660288" behindDoc="1" locked="0" layoutInCell="1" allowOverlap="1">
            <wp:simplePos x="0" y="0"/>
            <wp:positionH relativeFrom="column">
              <wp:posOffset>2040890</wp:posOffset>
            </wp:positionH>
            <wp:positionV relativeFrom="paragraph">
              <wp:posOffset>170180</wp:posOffset>
            </wp:positionV>
            <wp:extent cx="1989455" cy="2096770"/>
            <wp:effectExtent l="0" t="0" r="0" b="0"/>
            <wp:wrapTight wrapText="bothSides">
              <wp:wrapPolygon>
                <wp:start x="0" y="0"/>
                <wp:lineTo x="0" y="21391"/>
                <wp:lineTo x="21304" y="21391"/>
                <wp:lineTo x="213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srcRect/>
                    <a:stretch>
                      <a:fillRect/>
                    </a:stretch>
                  </pic:blipFill>
                  <pic:spPr>
                    <a:xfrm>
                      <a:off x="0" y="0"/>
                      <a:ext cx="1989455" cy="2096770"/>
                    </a:xfrm>
                    <a:prstGeom prst="rect">
                      <a:avLst/>
                    </a:prstGeom>
                    <a:noFill/>
                    <a:ln w="9525">
                      <a:noFill/>
                      <a:miter lim="800000"/>
                      <a:headEnd/>
                      <a:tailEnd/>
                    </a:ln>
                  </pic:spPr>
                </pic:pic>
              </a:graphicData>
            </a:graphic>
          </wp:anchor>
        </w:drawing>
      </w:r>
      <w:r>
        <w:rPr>
          <w:rFonts w:ascii="Times New Roman" w:hAnsi="Times New Roman" w:eastAsia="Times New Roman" w:cs="Times New Roman"/>
          <w:sz w:val="20"/>
          <w:szCs w:val="20"/>
        </w:rPr>
        <w:t xml:space="preserve"> </w:t>
      </w:r>
    </w:p>
    <w:p>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lang w:bidi="ta-IN"/>
        </w:rPr>
        <w:drawing>
          <wp:anchor distT="0" distB="0" distL="114300" distR="114300" simplePos="0" relativeHeight="251672576" behindDoc="1" locked="0" layoutInCell="1" allowOverlap="1">
            <wp:simplePos x="0" y="0"/>
            <wp:positionH relativeFrom="column">
              <wp:posOffset>4359275</wp:posOffset>
            </wp:positionH>
            <wp:positionV relativeFrom="paragraph">
              <wp:posOffset>2184400</wp:posOffset>
            </wp:positionV>
            <wp:extent cx="2201545" cy="2011680"/>
            <wp:effectExtent l="0" t="0" r="8255" b="7620"/>
            <wp:wrapTight wrapText="bothSides">
              <wp:wrapPolygon>
                <wp:start x="0" y="0"/>
                <wp:lineTo x="0" y="21477"/>
                <wp:lineTo x="21494" y="21477"/>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
                    <a:srcRect l="6494" r="4650"/>
                    <a:stretch>
                      <a:fillRect/>
                    </a:stretch>
                  </pic:blipFill>
                  <pic:spPr>
                    <a:xfrm>
                      <a:off x="0" y="0"/>
                      <a:ext cx="2201545" cy="2011680"/>
                    </a:xfrm>
                    <a:prstGeom prst="rect">
                      <a:avLst/>
                    </a:prstGeom>
                    <a:noFill/>
                    <a:ln>
                      <a:noFill/>
                    </a:ln>
                  </pic:spPr>
                </pic:pic>
              </a:graphicData>
            </a:graphic>
          </wp:anchor>
        </w:drawing>
      </w:r>
      <w:r>
        <w:rPr>
          <w:rFonts w:ascii="Times New Roman" w:hAnsi="Times New Roman" w:eastAsia="Times New Roman" w:cs="Times New Roman"/>
          <w:sz w:val="20"/>
          <w:szCs w:val="20"/>
          <w:lang w:bidi="ta-IN"/>
        </w:rPr>
        <w:drawing>
          <wp:anchor distT="0" distB="0" distL="114300" distR="114300" simplePos="0" relativeHeight="251662336" behindDoc="1" locked="0" layoutInCell="1" allowOverlap="1">
            <wp:simplePos x="0" y="0"/>
            <wp:positionH relativeFrom="column">
              <wp:posOffset>2163445</wp:posOffset>
            </wp:positionH>
            <wp:positionV relativeFrom="paragraph">
              <wp:posOffset>55880</wp:posOffset>
            </wp:positionV>
            <wp:extent cx="2114550" cy="1962150"/>
            <wp:effectExtent l="0" t="0" r="0" b="0"/>
            <wp:wrapTight wrapText="bothSides">
              <wp:wrapPolygon>
                <wp:start x="0" y="0"/>
                <wp:lineTo x="0" y="21390"/>
                <wp:lineTo x="21405" y="21390"/>
                <wp:lineTo x="214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a:srcRect l="3376" r="2954"/>
                    <a:stretch>
                      <a:fillRect/>
                    </a:stretch>
                  </pic:blipFill>
                  <pic:spPr>
                    <a:xfrm>
                      <a:off x="0" y="0"/>
                      <a:ext cx="2114550" cy="1962150"/>
                    </a:xfrm>
                    <a:prstGeom prst="rect">
                      <a:avLst/>
                    </a:prstGeom>
                    <a:noFill/>
                    <a:ln w="9525">
                      <a:noFill/>
                      <a:miter lim="800000"/>
                      <a:headEnd/>
                      <a:tailEnd/>
                    </a:ln>
                  </pic:spPr>
                </pic:pic>
              </a:graphicData>
            </a:graphic>
          </wp:anchor>
        </w:drawing>
      </w:r>
      <w:r>
        <w:rPr>
          <w:rFonts w:ascii="Times New Roman" w:hAnsi="Times New Roman" w:eastAsia="Times New Roman" w:cs="Times New Roman"/>
          <w:sz w:val="20"/>
          <w:szCs w:val="20"/>
          <w:lang w:bidi="ta-IN"/>
        </w:rPr>
        <w:drawing>
          <wp:anchor distT="0" distB="0" distL="114300" distR="114300" simplePos="0" relativeHeight="251669504" behindDoc="1" locked="0" layoutInCell="1" allowOverlap="1">
            <wp:simplePos x="0" y="0"/>
            <wp:positionH relativeFrom="column">
              <wp:posOffset>-361950</wp:posOffset>
            </wp:positionH>
            <wp:positionV relativeFrom="paragraph">
              <wp:posOffset>17780</wp:posOffset>
            </wp:positionV>
            <wp:extent cx="2324100" cy="1990725"/>
            <wp:effectExtent l="0" t="0" r="0" b="9525"/>
            <wp:wrapTight wrapText="bothSides">
              <wp:wrapPolygon>
                <wp:start x="0" y="0"/>
                <wp:lineTo x="0" y="21497"/>
                <wp:lineTo x="21423" y="21497"/>
                <wp:lineTo x="21423" y="0"/>
                <wp:lineTo x="0" y="0"/>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1"/>
                    <a:srcRect/>
                    <a:stretch>
                      <a:fillRect/>
                    </a:stretch>
                  </pic:blipFill>
                  <pic:spPr>
                    <a:xfrm>
                      <a:off x="0" y="0"/>
                      <a:ext cx="2324100" cy="1990725"/>
                    </a:xfrm>
                    <a:prstGeom prst="rect">
                      <a:avLst/>
                    </a:prstGeom>
                    <a:noFill/>
                    <a:ln w="9525">
                      <a:noFill/>
                      <a:miter lim="800000"/>
                      <a:headEnd/>
                      <a:tailEnd/>
                    </a:ln>
                  </pic:spPr>
                </pic:pic>
              </a:graphicData>
            </a:graphic>
          </wp:anchor>
        </w:drawing>
      </w:r>
      <w:r>
        <w:rPr>
          <w:rFonts w:ascii="Times New Roman" w:hAnsi="Times New Roman" w:eastAsia="Times New Roman" w:cs="Times New Roman"/>
          <w:sz w:val="20"/>
          <w:szCs w:val="20"/>
          <w:lang w:bidi="ta-IN"/>
        </w:rPr>
        <w:drawing>
          <wp:anchor distT="0" distB="0" distL="114300" distR="114300" simplePos="0" relativeHeight="251671552" behindDoc="1" locked="0" layoutInCell="1" allowOverlap="1">
            <wp:simplePos x="0" y="0"/>
            <wp:positionH relativeFrom="column">
              <wp:posOffset>4276725</wp:posOffset>
            </wp:positionH>
            <wp:positionV relativeFrom="paragraph">
              <wp:posOffset>46355</wp:posOffset>
            </wp:positionV>
            <wp:extent cx="2114550" cy="1962150"/>
            <wp:effectExtent l="0" t="0" r="0" b="0"/>
            <wp:wrapTight wrapText="bothSides">
              <wp:wrapPolygon>
                <wp:start x="0" y="0"/>
                <wp:lineTo x="0" y="21390"/>
                <wp:lineTo x="21405" y="21390"/>
                <wp:lineTo x="21405" y="0"/>
                <wp:lineTo x="0" y="0"/>
              </wp:wrapPolygon>
            </wp:wrapTight>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noChangeArrowheads="1"/>
                    </pic:cNvPicPr>
                  </pic:nvPicPr>
                  <pic:blipFill>
                    <a:blip r:embed="rId12"/>
                    <a:srcRect/>
                    <a:stretch>
                      <a:fillRect/>
                    </a:stretch>
                  </pic:blipFill>
                  <pic:spPr>
                    <a:xfrm>
                      <a:off x="0" y="0"/>
                      <a:ext cx="2114550" cy="1962150"/>
                    </a:xfrm>
                    <a:prstGeom prst="rect">
                      <a:avLst/>
                    </a:prstGeom>
                    <a:noFill/>
                    <a:ln w="9525">
                      <a:noFill/>
                      <a:miter lim="800000"/>
                      <a:headEnd/>
                      <a:tailEnd/>
                    </a:ln>
                  </pic:spPr>
                </pic:pic>
              </a:graphicData>
            </a:graphic>
          </wp:anchor>
        </w:drawing>
      </w:r>
    </w:p>
    <w:p>
      <w:p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sz w:val="20"/>
          <w:szCs w:val="20"/>
          <w:lang w:bidi="ta-IN"/>
        </w:rPr>
        <w:drawing>
          <wp:anchor distT="0" distB="0" distL="114300" distR="114300" simplePos="0" relativeHeight="251670528" behindDoc="1" locked="0" layoutInCell="1" allowOverlap="1">
            <wp:simplePos x="0" y="0"/>
            <wp:positionH relativeFrom="column">
              <wp:posOffset>2332990</wp:posOffset>
            </wp:positionH>
            <wp:positionV relativeFrom="paragraph">
              <wp:posOffset>67945</wp:posOffset>
            </wp:positionV>
            <wp:extent cx="2026920" cy="1938020"/>
            <wp:effectExtent l="0" t="0" r="0" b="5080"/>
            <wp:wrapTight wrapText="bothSides">
              <wp:wrapPolygon>
                <wp:start x="0" y="0"/>
                <wp:lineTo x="0" y="21444"/>
                <wp:lineTo x="21316" y="21444"/>
                <wp:lineTo x="21316" y="0"/>
                <wp:lineTo x="0" y="0"/>
              </wp:wrapPolygon>
            </wp:wrapTight>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pic:cNvPicPr>
                      <a:picLocks noChangeAspect="1" noChangeArrowheads="1"/>
                    </pic:cNvPicPr>
                  </pic:nvPicPr>
                  <pic:blipFill>
                    <a:blip r:embed="rId13"/>
                    <a:srcRect t="7666" r="3902"/>
                    <a:stretch>
                      <a:fillRect/>
                    </a:stretch>
                  </pic:blipFill>
                  <pic:spPr>
                    <a:xfrm>
                      <a:off x="0" y="0"/>
                      <a:ext cx="2026920" cy="1938020"/>
                    </a:xfrm>
                    <a:prstGeom prst="rect">
                      <a:avLst/>
                    </a:prstGeom>
                    <a:noFill/>
                    <a:ln>
                      <a:noFill/>
                    </a:ln>
                  </pic:spPr>
                </pic:pic>
              </a:graphicData>
            </a:graphic>
          </wp:anchor>
        </w:drawing>
      </w:r>
    </w:p>
    <w:p>
      <w:p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lang w:bidi="ta-IN"/>
        </w:rPr>
        <w:drawing>
          <wp:inline distT="0" distB="0" distL="0" distR="0">
            <wp:extent cx="1905635" cy="18580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rcRect t="8961"/>
                    <a:stretch>
                      <a:fillRect/>
                    </a:stretch>
                  </pic:blipFill>
                  <pic:spPr>
                    <a:xfrm>
                      <a:off x="0" y="0"/>
                      <a:ext cx="1907128" cy="1859128"/>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b/>
          <w:color w:val="252525"/>
          <w:sz w:val="20"/>
          <w:szCs w:val="20"/>
        </w:rPr>
      </w:pPr>
    </w:p>
    <w:p>
      <w:pPr>
        <w:spacing w:after="0" w:line="240" w:lineRule="auto"/>
        <w:jc w:val="center"/>
        <w:rPr>
          <w:rFonts w:ascii="Times New Roman" w:hAnsi="Times New Roman" w:eastAsia="Times New Roman" w:cs="Times New Roman"/>
          <w:b/>
          <w:color w:val="252525"/>
          <w:sz w:val="20"/>
          <w:szCs w:val="20"/>
        </w:rPr>
      </w:pPr>
      <w:r>
        <w:rPr>
          <w:rFonts w:ascii="Times New Roman" w:hAnsi="Times New Roman" w:eastAsia="Times New Roman" w:cs="Times New Roman"/>
          <w:color w:val="252525"/>
          <w:sz w:val="20"/>
          <w:szCs w:val="20"/>
          <w:lang w:bidi="ta-IN"/>
        </w:rPr>
        <w:drawing>
          <wp:anchor distT="0" distB="0" distL="114300" distR="114300" simplePos="0" relativeHeight="251668480" behindDoc="1" locked="0" layoutInCell="1" allowOverlap="1">
            <wp:simplePos x="0" y="0"/>
            <wp:positionH relativeFrom="column">
              <wp:posOffset>4552950</wp:posOffset>
            </wp:positionH>
            <wp:positionV relativeFrom="paragraph">
              <wp:posOffset>2028825</wp:posOffset>
            </wp:positionV>
            <wp:extent cx="2057400" cy="1990725"/>
            <wp:effectExtent l="0" t="0" r="0" b="9525"/>
            <wp:wrapTight wrapText="bothSides">
              <wp:wrapPolygon>
                <wp:start x="0" y="0"/>
                <wp:lineTo x="0" y="21497"/>
                <wp:lineTo x="21400" y="21497"/>
                <wp:lineTo x="21400" y="0"/>
                <wp:lineTo x="0" y="0"/>
              </wp:wrapPolygon>
            </wp:wrapTight>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7"/>
                    <pic:cNvPicPr>
                      <a:picLocks noChangeAspect="1" noChangeArrowheads="1"/>
                    </pic:cNvPicPr>
                  </pic:nvPicPr>
                  <pic:blipFill>
                    <a:blip r:embed="rId15"/>
                    <a:srcRect/>
                    <a:stretch>
                      <a:fillRect/>
                    </a:stretch>
                  </pic:blipFill>
                  <pic:spPr>
                    <a:xfrm>
                      <a:off x="0" y="0"/>
                      <a:ext cx="2057400" cy="1990725"/>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252525"/>
          <w:sz w:val="20"/>
          <w:szCs w:val="20"/>
          <w:lang w:bidi="ta-IN"/>
        </w:rPr>
        <w:drawing>
          <wp:anchor distT="0" distB="0" distL="114300" distR="114300" simplePos="0" relativeHeight="251667456" behindDoc="1" locked="0" layoutInCell="1" allowOverlap="1">
            <wp:simplePos x="0" y="0"/>
            <wp:positionH relativeFrom="column">
              <wp:posOffset>2219325</wp:posOffset>
            </wp:positionH>
            <wp:positionV relativeFrom="paragraph">
              <wp:posOffset>2047875</wp:posOffset>
            </wp:positionV>
            <wp:extent cx="2181225" cy="2000250"/>
            <wp:effectExtent l="0" t="0" r="9525" b="0"/>
            <wp:wrapTight wrapText="bothSides">
              <wp:wrapPolygon>
                <wp:start x="0" y="0"/>
                <wp:lineTo x="0" y="21394"/>
                <wp:lineTo x="21506" y="21394"/>
                <wp:lineTo x="21506" y="0"/>
                <wp:lineTo x="0" y="0"/>
              </wp:wrapPolygon>
            </wp:wrapTight>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0"/>
                    <pic:cNvPicPr>
                      <a:picLocks noChangeAspect="1" noChangeArrowheads="1"/>
                    </pic:cNvPicPr>
                  </pic:nvPicPr>
                  <pic:blipFill>
                    <a:blip r:embed="rId16"/>
                    <a:srcRect/>
                    <a:stretch>
                      <a:fillRect/>
                    </a:stretch>
                  </pic:blipFill>
                  <pic:spPr>
                    <a:xfrm>
                      <a:off x="0" y="0"/>
                      <a:ext cx="2181225" cy="2000250"/>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252525"/>
          <w:sz w:val="20"/>
          <w:szCs w:val="20"/>
          <w:lang w:bidi="ta-IN"/>
        </w:rPr>
        <w:drawing>
          <wp:anchor distT="0" distB="0" distL="114300" distR="114300" simplePos="0" relativeHeight="251666432" behindDoc="1" locked="0" layoutInCell="1" allowOverlap="1">
            <wp:simplePos x="0" y="0"/>
            <wp:positionH relativeFrom="column">
              <wp:posOffset>19050</wp:posOffset>
            </wp:positionH>
            <wp:positionV relativeFrom="paragraph">
              <wp:posOffset>2028825</wp:posOffset>
            </wp:positionV>
            <wp:extent cx="1981200" cy="2019300"/>
            <wp:effectExtent l="0" t="0" r="0" b="0"/>
            <wp:wrapTight wrapText="bothSides">
              <wp:wrapPolygon>
                <wp:start x="0" y="0"/>
                <wp:lineTo x="0" y="21396"/>
                <wp:lineTo x="21392" y="21396"/>
                <wp:lineTo x="2139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7"/>
                    <a:srcRect/>
                    <a:stretch>
                      <a:fillRect/>
                    </a:stretch>
                  </pic:blipFill>
                  <pic:spPr>
                    <a:xfrm>
                      <a:off x="0" y="0"/>
                      <a:ext cx="1981200" cy="2019300"/>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252525"/>
          <w:sz w:val="20"/>
          <w:szCs w:val="20"/>
          <w:lang w:bidi="ta-IN"/>
        </w:rPr>
        <w:drawing>
          <wp:anchor distT="0" distB="0" distL="114300" distR="114300" simplePos="0" relativeHeight="251664384" behindDoc="1" locked="0" layoutInCell="1" allowOverlap="1">
            <wp:simplePos x="0" y="0"/>
            <wp:positionH relativeFrom="column">
              <wp:posOffset>4486275</wp:posOffset>
            </wp:positionH>
            <wp:positionV relativeFrom="paragraph">
              <wp:posOffset>-400050</wp:posOffset>
            </wp:positionV>
            <wp:extent cx="1971675" cy="2257425"/>
            <wp:effectExtent l="0" t="0" r="9525" b="9525"/>
            <wp:wrapTight wrapText="bothSides">
              <wp:wrapPolygon>
                <wp:start x="0" y="0"/>
                <wp:lineTo x="0" y="21509"/>
                <wp:lineTo x="21496" y="21509"/>
                <wp:lineTo x="214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8"/>
                    <a:srcRect/>
                    <a:stretch>
                      <a:fillRect/>
                    </a:stretch>
                  </pic:blipFill>
                  <pic:spPr>
                    <a:xfrm>
                      <a:off x="0" y="0"/>
                      <a:ext cx="1971675" cy="2257425"/>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252525"/>
          <w:sz w:val="20"/>
          <w:szCs w:val="20"/>
          <w:lang w:bidi="ta-IN"/>
        </w:rPr>
        <w:drawing>
          <wp:anchor distT="0" distB="0" distL="114300" distR="114300" simplePos="0" relativeHeight="251665408" behindDoc="1" locked="0" layoutInCell="1" allowOverlap="1">
            <wp:simplePos x="0" y="0"/>
            <wp:positionH relativeFrom="column">
              <wp:posOffset>2219325</wp:posOffset>
            </wp:positionH>
            <wp:positionV relativeFrom="paragraph">
              <wp:posOffset>-323850</wp:posOffset>
            </wp:positionV>
            <wp:extent cx="2105025" cy="2238375"/>
            <wp:effectExtent l="0" t="0" r="9525" b="9525"/>
            <wp:wrapTight wrapText="bothSides">
              <wp:wrapPolygon>
                <wp:start x="0" y="0"/>
                <wp:lineTo x="0" y="21508"/>
                <wp:lineTo x="21502" y="21508"/>
                <wp:lineTo x="2150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9"/>
                    <a:srcRect/>
                    <a:stretch>
                      <a:fillRect/>
                    </a:stretch>
                  </pic:blipFill>
                  <pic:spPr>
                    <a:xfrm>
                      <a:off x="0" y="0"/>
                      <a:ext cx="2105025" cy="2238375"/>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252525"/>
          <w:sz w:val="20"/>
          <w:szCs w:val="20"/>
          <w:lang w:bidi="ta-IN"/>
        </w:rPr>
        <w:drawing>
          <wp:anchor distT="0" distB="0" distL="114300" distR="114300" simplePos="0" relativeHeight="251663360" behindDoc="1" locked="0" layoutInCell="1" allowOverlap="1">
            <wp:simplePos x="0" y="0"/>
            <wp:positionH relativeFrom="column">
              <wp:posOffset>-57150</wp:posOffset>
            </wp:positionH>
            <wp:positionV relativeFrom="paragraph">
              <wp:posOffset>-266700</wp:posOffset>
            </wp:positionV>
            <wp:extent cx="2266950" cy="2181225"/>
            <wp:effectExtent l="0" t="0" r="0" b="9525"/>
            <wp:wrapTight wrapText="bothSides">
              <wp:wrapPolygon>
                <wp:start x="0" y="0"/>
                <wp:lineTo x="0" y="21506"/>
                <wp:lineTo x="21418" y="21506"/>
                <wp:lineTo x="2141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0"/>
                    <a:srcRect/>
                    <a:stretch>
                      <a:fillRect/>
                    </a:stretch>
                  </pic:blipFill>
                  <pic:spPr>
                    <a:xfrm>
                      <a:off x="0" y="0"/>
                      <a:ext cx="2266950" cy="2181225"/>
                    </a:xfrm>
                    <a:prstGeom prst="rect">
                      <a:avLst/>
                    </a:prstGeom>
                    <a:noFill/>
                    <a:ln w="9525">
                      <a:noFill/>
                      <a:miter lim="800000"/>
                      <a:headEnd/>
                      <a:tailEnd/>
                    </a:ln>
                  </pic:spPr>
                </pic:pic>
              </a:graphicData>
            </a:graphic>
          </wp:anchor>
        </w:drawing>
      </w:r>
      <w:r>
        <w:rPr>
          <w:rFonts w:ascii="Times New Roman" w:hAnsi="Times New Roman" w:eastAsia="Times New Roman" w:cs="Times New Roman"/>
          <w:b/>
          <w:color w:val="252525"/>
          <w:sz w:val="20"/>
          <w:szCs w:val="20"/>
        </w:rPr>
        <w:t>Figure 1. Examples of some Edible Flowers (</w:t>
      </w:r>
      <w:r>
        <w:rPr>
          <w:rFonts w:ascii="Times New Roman" w:hAnsi="Times New Roman" w:eastAsia="Times New Roman" w:cs="Times New Roman"/>
          <w:color w:val="252525"/>
          <w:sz w:val="20"/>
          <w:szCs w:val="20"/>
        </w:rPr>
        <w:t>Santos and Reis, 2021</w:t>
      </w:r>
      <w:r>
        <w:rPr>
          <w:rFonts w:ascii="Times New Roman" w:hAnsi="Times New Roman" w:eastAsia="Times New Roman" w:cs="Times New Roman"/>
          <w:b/>
          <w:color w:val="252525"/>
          <w:sz w:val="20"/>
          <w:szCs w:val="20"/>
        </w:rPr>
        <w:t>)</w:t>
      </w:r>
    </w:p>
    <w:p>
      <w:pPr>
        <w:spacing w:after="0" w:line="240" w:lineRule="auto"/>
        <w:jc w:val="center"/>
        <w:rPr>
          <w:rFonts w:ascii="Times New Roman" w:hAnsi="Times New Roman" w:eastAsia="Times New Roman" w:cs="Times New Roman"/>
          <w:b/>
          <w:color w:val="252525"/>
          <w:sz w:val="20"/>
          <w:szCs w:val="20"/>
        </w:rPr>
      </w:pPr>
    </w:p>
    <w:p>
      <w:pPr>
        <w:numPr>
          <w:ilvl w:val="0"/>
          <w:numId w:val="1"/>
        </w:numPr>
        <w:spacing w:after="0" w:line="240" w:lineRule="auto"/>
        <w:jc w:val="center"/>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NUTRITIONAL COMPOSITION OF EDIBLE FLOWERS</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In general, the nutritional makeup of edible flowers is the same as that of other plant parts.</w:t>
      </w:r>
      <w:r>
        <w:rPr>
          <w:rFonts w:ascii="Times New Roman" w:hAnsi="Times New Roman" w:cs="Times New Roman"/>
          <w:sz w:val="20"/>
          <w:szCs w:val="20"/>
        </w:rPr>
        <w:t xml:space="preserve"> </w:t>
      </w:r>
      <w:r>
        <w:rPr>
          <w:rFonts w:ascii="Times New Roman" w:hAnsi="Times New Roman" w:eastAsia="Times New Roman" w:cs="Times New Roman"/>
          <w:color w:val="252525"/>
          <w:sz w:val="20"/>
          <w:szCs w:val="20"/>
        </w:rPr>
        <w:t>However, current studies on edible flowers have concentrated on the examination of bioactive substances (anthocyanins, flavonoids, and carotenoids) and their antioxidant potential [11]. The effects of these phytochemicals on human health and their capacity to prevent some infections/diseases provide justification for such studies. Gourmet chefs frequently use certain flowers in their dishes, such as pansies, centaurea, borage, and camellia, which are available at locations across the world that specialize in selling edible flowers. Some edible flowers and their nutritional composition details are discussed below.</w:t>
      </w:r>
    </w:p>
    <w:p>
      <w:pPr>
        <w:numPr>
          <w:ilvl w:val="0"/>
          <w:numId w:val="2"/>
        </w:numPr>
        <w:spacing w:after="0" w:line="240" w:lineRule="auto"/>
        <w:jc w:val="both"/>
        <w:rPr>
          <w:rFonts w:ascii="Times New Roman" w:hAnsi="Times New Roman" w:eastAsia="Times New Roman" w:cs="Times New Roman"/>
          <w:color w:val="252525"/>
          <w:sz w:val="20"/>
          <w:szCs w:val="20"/>
        </w:rPr>
      </w:pPr>
      <w:r>
        <w:rPr>
          <w:rFonts w:ascii="Times New Roman" w:hAnsi="Times New Roman" w:eastAsia="Times New Roman" w:cs="Times New Roman"/>
          <w:b/>
          <w:color w:val="252525"/>
          <w:sz w:val="20"/>
          <w:szCs w:val="20"/>
        </w:rPr>
        <w:t>Pansies</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 xml:space="preserve">Pansies have a broad variety of petal colors and a fragrant, sweet flavor, which are qualities that both chefs and customers appreciate. Compared to other flowers, white pansies had much greater moisture levels (91.3 g/100 g fw), whereas yellow coloured pansies had the greatest fat content (1.31g/100g fw). The pansy variety with the least dietary fiber was white. Linolenic and Palmitic acid are the major fatty acids found in red and yellow coloured pansies respectively. Yellow pansies had the highest level of total tocopherols (24.89 mg/100 g dw), primarily because -tocopherol was present. Red pansies have highest percentage of oleic acid. It was the behenic acid (C22:0, 24.6%), followed closely by the arachidic acid (C20:0, 24.3%), in white pansies. various colored pansies displayed various profiles of fatty acids, with yellow pansies having the greatest variety of fatty acids [11]. </w:t>
      </w:r>
    </w:p>
    <w:p>
      <w:pPr>
        <w:numPr>
          <w:ilvl w:val="0"/>
          <w:numId w:val="2"/>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Borage</w:t>
      </w:r>
    </w:p>
    <w:p>
      <w:pPr>
        <w:spacing w:after="0" w:line="240" w:lineRule="auto"/>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 xml:space="preserve"> </w:t>
      </w:r>
      <w:r>
        <w:rPr>
          <w:rFonts w:ascii="Times New Roman" w:hAnsi="Times New Roman" w:eastAsia="Times New Roman" w:cs="Times New Roman"/>
          <w:color w:val="252525"/>
          <w:sz w:val="20"/>
          <w:szCs w:val="20"/>
        </w:rPr>
        <w:tab/>
      </w:r>
      <w:r>
        <w:rPr>
          <w:rFonts w:ascii="Times New Roman" w:hAnsi="Times New Roman" w:eastAsia="Times New Roman" w:cs="Times New Roman"/>
          <w:color w:val="252525"/>
          <w:sz w:val="20"/>
          <w:szCs w:val="20"/>
        </w:rPr>
        <w:t xml:space="preserve">The maximum protein content (3.04 g/100 g fw) and mineral content (2.05 g/100 g fw) were found in borage. Linolenic acid and Palmatic acid are the major fatty acids found in borage. </w:t>
      </w:r>
    </w:p>
    <w:p>
      <w:pPr>
        <w:numPr>
          <w:ilvl w:val="0"/>
          <w:numId w:val="2"/>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Camellia</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Fat (0.31 g/100 g fw), protein (0.76 g/100 g fw), and the lowest ash (0.37 g/100 g fw), values were found in camellia. Camellia presented high percentages of arachidic acid and the main fatty acid is palmitoleic acid [11].</w:t>
      </w:r>
    </w:p>
    <w:p>
      <w:pPr>
        <w:spacing w:after="0" w:line="240" w:lineRule="auto"/>
        <w:ind w:firstLine="720"/>
        <w:jc w:val="both"/>
        <w:rPr>
          <w:rFonts w:ascii="Times New Roman" w:hAnsi="Times New Roman" w:eastAsia="Times New Roman" w:cs="Times New Roman"/>
          <w:color w:val="252525"/>
          <w:sz w:val="20"/>
          <w:szCs w:val="20"/>
        </w:rPr>
      </w:pPr>
    </w:p>
    <w:p>
      <w:pPr>
        <w:spacing w:after="0" w:line="240" w:lineRule="auto"/>
        <w:jc w:val="center"/>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V.</w:t>
      </w:r>
      <w:r>
        <w:rPr>
          <w:rFonts w:hint="default" w:ascii="Times New Roman" w:hAnsi="Times New Roman" w:eastAsia="Times New Roman" w:cs="Times New Roman"/>
          <w:b/>
          <w:color w:val="252525"/>
          <w:sz w:val="20"/>
          <w:szCs w:val="20"/>
          <w:lang w:val="en-US"/>
        </w:rPr>
        <w:t xml:space="preserve"> </w:t>
      </w:r>
      <w:r>
        <w:rPr>
          <w:rFonts w:ascii="Times New Roman" w:hAnsi="Times New Roman" w:eastAsia="Times New Roman" w:cs="Times New Roman"/>
          <w:b/>
          <w:color w:val="252525"/>
          <w:sz w:val="20"/>
          <w:szCs w:val="20"/>
        </w:rPr>
        <w:t>Edible flowers in Culinary</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 xml:space="preserve">Many flowers are used in culinary around the world. Outside of the flowering season, certain flowers are dried and kept for consumption. Regarding, Kumari </w:t>
      </w:r>
      <w:r>
        <w:rPr>
          <w:rFonts w:ascii="Times New Roman" w:hAnsi="Times New Roman" w:eastAsia="Times New Roman" w:cs="Times New Roman"/>
          <w:i/>
          <w:color w:val="252525"/>
          <w:sz w:val="20"/>
          <w:szCs w:val="20"/>
        </w:rPr>
        <w:t xml:space="preserve">et al., </w:t>
      </w:r>
      <w:r>
        <w:rPr>
          <w:rFonts w:ascii="Times New Roman" w:hAnsi="Times New Roman" w:eastAsia="Times New Roman" w:cs="Times New Roman"/>
          <w:color w:val="252525"/>
          <w:sz w:val="20"/>
          <w:szCs w:val="20"/>
        </w:rPr>
        <w:t xml:space="preserve">(2021) assert that edible wildflowers are essential to the socio-cultural and spiritual well-being of traditional rural inhabitants, as well as to their ability to feed themselves and remain healthy. Deka and Nath (2014) conducted a study to catalog the species and the conventional knowledge linked with them in the West Assam region of India due to the value of flowers and their several uses [23]. In India, South Indian cuisine also includes many palatable flowers. Additionally, there is a wide range of delectable flowers and application methods throughout the various socio-geographical locations. </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The Assam Western area, which is a part of the state of Assam, is a good place for numerous species to develop and survive. Western Assam has one of the greatest reserves of wild food plants and is rich in floristic diversity because of its unique geographic location. Many indigenous tribes around the world depend on wild food plants. Numerous cultures in this area have employed a variety of natural plants for centuries. In India, some of the flowers are either made into curry, fried with flour or even consumed as raw. Some flowers, including those from the Gumhar (</w:t>
      </w:r>
      <w:r>
        <w:rPr>
          <w:rFonts w:ascii="Times New Roman" w:hAnsi="Times New Roman" w:eastAsia="Times New Roman" w:cs="Times New Roman"/>
          <w:i/>
          <w:color w:val="252525"/>
          <w:sz w:val="20"/>
          <w:szCs w:val="20"/>
        </w:rPr>
        <w:t>Gmelina arboria</w:t>
      </w:r>
      <w:r>
        <w:rPr>
          <w:rFonts w:ascii="Times New Roman" w:hAnsi="Times New Roman" w:eastAsia="Times New Roman" w:cs="Times New Roman"/>
          <w:color w:val="252525"/>
          <w:sz w:val="20"/>
          <w:szCs w:val="20"/>
        </w:rPr>
        <w:t>), Midnight horror (</w:t>
      </w:r>
      <w:r>
        <w:rPr>
          <w:rFonts w:ascii="Times New Roman" w:hAnsi="Times New Roman" w:eastAsia="Times New Roman" w:cs="Times New Roman"/>
          <w:i/>
          <w:color w:val="252525"/>
          <w:sz w:val="20"/>
          <w:szCs w:val="20"/>
        </w:rPr>
        <w:t>Oroxylum indicum</w:t>
      </w:r>
      <w:r>
        <w:rPr>
          <w:rFonts w:ascii="Times New Roman" w:hAnsi="Times New Roman" w:eastAsia="Times New Roman" w:cs="Times New Roman"/>
          <w:color w:val="252525"/>
          <w:sz w:val="20"/>
          <w:szCs w:val="20"/>
        </w:rPr>
        <w:t>), Ram basak (</w:t>
      </w:r>
      <w:r>
        <w:rPr>
          <w:rFonts w:ascii="Times New Roman" w:hAnsi="Times New Roman" w:eastAsia="Times New Roman" w:cs="Times New Roman"/>
          <w:i/>
          <w:color w:val="252525"/>
          <w:sz w:val="20"/>
          <w:szCs w:val="20"/>
        </w:rPr>
        <w:t>Phlogacanthus thyrsiformis</w:t>
      </w:r>
      <w:r>
        <w:rPr>
          <w:rFonts w:ascii="Times New Roman" w:hAnsi="Times New Roman" w:eastAsia="Times New Roman" w:cs="Times New Roman"/>
          <w:color w:val="252525"/>
          <w:sz w:val="20"/>
          <w:szCs w:val="20"/>
        </w:rPr>
        <w:t>), Malabar nut (</w:t>
      </w:r>
      <w:r>
        <w:rPr>
          <w:rFonts w:ascii="Times New Roman" w:hAnsi="Times New Roman" w:eastAsia="Times New Roman" w:cs="Times New Roman"/>
          <w:i/>
          <w:color w:val="252525"/>
          <w:sz w:val="20"/>
          <w:szCs w:val="20"/>
        </w:rPr>
        <w:t>Justicia adhatoda</w:t>
      </w:r>
      <w:r>
        <w:rPr>
          <w:rFonts w:ascii="Times New Roman" w:hAnsi="Times New Roman" w:eastAsia="Times New Roman" w:cs="Times New Roman"/>
          <w:color w:val="252525"/>
          <w:sz w:val="20"/>
          <w:szCs w:val="20"/>
        </w:rPr>
        <w:t>), Pulutus (</w:t>
      </w:r>
      <w:r>
        <w:rPr>
          <w:rFonts w:ascii="Times New Roman" w:hAnsi="Times New Roman" w:eastAsia="Times New Roman" w:cs="Times New Roman"/>
          <w:i/>
          <w:color w:val="252525"/>
          <w:sz w:val="20"/>
          <w:szCs w:val="20"/>
        </w:rPr>
        <w:t>Dendrocnide sinuate</w:t>
      </w:r>
      <w:r>
        <w:rPr>
          <w:rFonts w:ascii="Times New Roman" w:hAnsi="Times New Roman" w:eastAsia="Times New Roman" w:cs="Times New Roman"/>
          <w:color w:val="252525"/>
          <w:sz w:val="20"/>
          <w:szCs w:val="20"/>
        </w:rPr>
        <w:t>), Papaya (</w:t>
      </w:r>
      <w:r>
        <w:rPr>
          <w:rFonts w:ascii="Times New Roman" w:hAnsi="Times New Roman" w:eastAsia="Times New Roman" w:cs="Times New Roman"/>
          <w:i/>
          <w:color w:val="252525"/>
          <w:sz w:val="20"/>
          <w:szCs w:val="20"/>
        </w:rPr>
        <w:t>Carica papaya</w:t>
      </w:r>
      <w:r>
        <w:rPr>
          <w:rFonts w:ascii="Times New Roman" w:hAnsi="Times New Roman" w:eastAsia="Times New Roman" w:cs="Times New Roman"/>
          <w:color w:val="252525"/>
          <w:sz w:val="20"/>
          <w:szCs w:val="20"/>
        </w:rPr>
        <w:t>),  and Night jasmine (</w:t>
      </w:r>
      <w:r>
        <w:rPr>
          <w:rFonts w:ascii="Times New Roman" w:hAnsi="Times New Roman" w:eastAsia="Times New Roman" w:cs="Times New Roman"/>
          <w:i/>
          <w:color w:val="252525"/>
          <w:sz w:val="20"/>
          <w:szCs w:val="20"/>
        </w:rPr>
        <w:t>Nyctanthus arbortristis</w:t>
      </w:r>
      <w:r>
        <w:rPr>
          <w:rFonts w:ascii="Times New Roman" w:hAnsi="Times New Roman" w:eastAsia="Times New Roman" w:cs="Times New Roman"/>
          <w:color w:val="252525"/>
          <w:sz w:val="20"/>
          <w:szCs w:val="20"/>
        </w:rPr>
        <w:t xml:space="preserve">), are cooked in rice flour and eaten as a side with curry. </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When cooking flowers, it is occasionally necessary to use the traditional alkali (known locally as kola Khar), which is made by burning the rhizome of a banana plant and extracting the liquid after soaking the ash in water. Of course, the floral recipe is typically served with little fish or with dry fish. The various species of Arum (</w:t>
      </w:r>
      <w:r>
        <w:rPr>
          <w:rFonts w:ascii="Times New Roman" w:hAnsi="Times New Roman" w:eastAsia="Times New Roman" w:cs="Times New Roman"/>
          <w:i/>
          <w:color w:val="252525"/>
          <w:sz w:val="20"/>
          <w:szCs w:val="20"/>
        </w:rPr>
        <w:t>Alocasia acuminateare</w:t>
      </w:r>
      <w:r>
        <w:rPr>
          <w:rFonts w:ascii="Times New Roman" w:hAnsi="Times New Roman" w:eastAsia="Times New Roman" w:cs="Times New Roman"/>
          <w:color w:val="252525"/>
          <w:sz w:val="20"/>
          <w:szCs w:val="20"/>
        </w:rPr>
        <w:t>), Papaya (</w:t>
      </w:r>
      <w:r>
        <w:rPr>
          <w:rFonts w:ascii="Times New Roman" w:hAnsi="Times New Roman" w:eastAsia="Times New Roman" w:cs="Times New Roman"/>
          <w:i/>
          <w:color w:val="252525"/>
          <w:sz w:val="20"/>
          <w:szCs w:val="20"/>
        </w:rPr>
        <w:t>Carica papaya</w:t>
      </w:r>
      <w:r>
        <w:rPr>
          <w:rFonts w:ascii="Times New Roman" w:hAnsi="Times New Roman" w:eastAsia="Times New Roman" w:cs="Times New Roman"/>
          <w:color w:val="252525"/>
          <w:sz w:val="20"/>
          <w:szCs w:val="20"/>
        </w:rPr>
        <w:t>), Kanakachu (</w:t>
      </w:r>
      <w:r>
        <w:rPr>
          <w:rFonts w:ascii="Times New Roman" w:hAnsi="Times New Roman" w:eastAsia="Times New Roman" w:cs="Times New Roman"/>
          <w:i/>
          <w:color w:val="252525"/>
          <w:sz w:val="20"/>
          <w:szCs w:val="20"/>
        </w:rPr>
        <w:t>Lasia spinosa</w:t>
      </w:r>
      <w:r>
        <w:rPr>
          <w:rFonts w:ascii="Times New Roman" w:hAnsi="Times New Roman" w:eastAsia="Times New Roman" w:cs="Times New Roman"/>
          <w:color w:val="252525"/>
          <w:sz w:val="20"/>
          <w:szCs w:val="20"/>
        </w:rPr>
        <w:t>), and Wild nongmangkha (</w:t>
      </w:r>
      <w:r>
        <w:rPr>
          <w:rFonts w:ascii="Times New Roman" w:hAnsi="Times New Roman" w:eastAsia="Times New Roman" w:cs="Times New Roman"/>
          <w:i/>
          <w:color w:val="252525"/>
          <w:sz w:val="20"/>
          <w:szCs w:val="20"/>
        </w:rPr>
        <w:t>Phlogacanthus Curviflorus</w:t>
      </w:r>
      <w:r>
        <w:rPr>
          <w:rFonts w:ascii="Times New Roman" w:hAnsi="Times New Roman" w:eastAsia="Times New Roman" w:cs="Times New Roman"/>
          <w:color w:val="252525"/>
          <w:sz w:val="20"/>
          <w:szCs w:val="20"/>
        </w:rPr>
        <w:t>) are among the floral ingredients utilized in this dish. This is a typical meal that is very well-liked essentially throughout the entire state of Assam. Some of the flowers which are commonly consumed in India and benefits are discussed below.</w:t>
      </w:r>
    </w:p>
    <w:p>
      <w:pPr>
        <w:numPr>
          <w:ilvl w:val="0"/>
          <w:numId w:val="3"/>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Midnight Horror (</w:t>
      </w:r>
      <w:r>
        <w:rPr>
          <w:rFonts w:ascii="Times New Roman" w:hAnsi="Times New Roman" w:eastAsia="Times New Roman" w:cs="Times New Roman"/>
          <w:b/>
          <w:i/>
          <w:color w:val="252525"/>
          <w:sz w:val="20"/>
          <w:szCs w:val="20"/>
        </w:rPr>
        <w:t>Oroxylum indicum</w:t>
      </w:r>
      <w:r>
        <w:rPr>
          <w:rFonts w:ascii="Times New Roman" w:hAnsi="Times New Roman" w:eastAsia="Times New Roman" w:cs="Times New Roman"/>
          <w:b/>
          <w:color w:val="252525"/>
          <w:sz w:val="20"/>
          <w:szCs w:val="20"/>
        </w:rPr>
        <w:t>)</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The flowers of Midnight Horror (</w:t>
      </w:r>
      <w:r>
        <w:rPr>
          <w:rFonts w:ascii="Times New Roman" w:hAnsi="Times New Roman" w:eastAsia="Times New Roman" w:cs="Times New Roman"/>
          <w:i/>
          <w:color w:val="252525"/>
          <w:sz w:val="20"/>
          <w:szCs w:val="20"/>
        </w:rPr>
        <w:t>Oroxylum indicum</w:t>
      </w:r>
      <w:r>
        <w:rPr>
          <w:rFonts w:ascii="Times New Roman" w:hAnsi="Times New Roman" w:eastAsia="Times New Roman" w:cs="Times New Roman"/>
          <w:color w:val="252525"/>
          <w:sz w:val="20"/>
          <w:szCs w:val="20"/>
        </w:rPr>
        <w:t>), which has the ability to prevent and treat malaria, jaundice, and the most dangerous cancers. These flowers are mostly consumed by the tribal people of Assam, India.</w:t>
      </w:r>
    </w:p>
    <w:p>
      <w:pPr>
        <w:numPr>
          <w:ilvl w:val="0"/>
          <w:numId w:val="3"/>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Marigold – Potted plant (</w:t>
      </w:r>
      <w:r>
        <w:rPr>
          <w:rFonts w:ascii="Times New Roman" w:hAnsi="Times New Roman" w:eastAsia="Times New Roman" w:cs="Times New Roman"/>
          <w:b/>
          <w:i/>
          <w:color w:val="252525"/>
          <w:sz w:val="20"/>
          <w:szCs w:val="20"/>
        </w:rPr>
        <w:t>Calendula officinalis</w:t>
      </w:r>
      <w:r>
        <w:rPr>
          <w:rFonts w:ascii="Times New Roman" w:hAnsi="Times New Roman" w:eastAsia="Times New Roman" w:cs="Times New Roman"/>
          <w:b/>
          <w:color w:val="252525"/>
          <w:sz w:val="20"/>
          <w:szCs w:val="20"/>
        </w:rPr>
        <w:t>)</w:t>
      </w:r>
      <w:r>
        <w:rPr>
          <w:rFonts w:ascii="Times New Roman" w:hAnsi="Times New Roman" w:eastAsia="Times New Roman" w:cs="Times New Roman"/>
          <w:b/>
          <w:color w:val="252525"/>
          <w:sz w:val="20"/>
          <w:szCs w:val="20"/>
        </w:rPr>
        <w:tab/>
      </w:r>
    </w:p>
    <w:p>
      <w:pPr>
        <w:spacing w:after="0" w:line="240" w:lineRule="auto"/>
        <w:ind w:firstLine="720"/>
        <w:jc w:val="both"/>
        <w:rPr>
          <w:rFonts w:ascii="Times New Roman" w:hAnsi="Times New Roman" w:eastAsia="Times New Roman" w:cs="Times New Roman"/>
          <w:b/>
          <w:color w:val="252525"/>
          <w:sz w:val="20"/>
          <w:szCs w:val="20"/>
        </w:rPr>
      </w:pPr>
      <w:r>
        <w:rPr>
          <w:rFonts w:ascii="Times New Roman" w:hAnsi="Times New Roman" w:eastAsia="Times New Roman" w:cs="Times New Roman"/>
          <w:color w:val="252525"/>
          <w:sz w:val="20"/>
          <w:szCs w:val="20"/>
        </w:rPr>
        <w:t>In Switzerland, ray flowers or part of the blossoms, are occasionally used in salads and were first used in Danish salads in the early period (1800s). In Europe, The European Medicines Agency (EMA) has categorized ray flowers as a traditional herbal remedy, but only for topical use or as a mouthwash or gargle [9].</w:t>
      </w:r>
      <w:r>
        <w:rPr>
          <w:rFonts w:ascii="Times New Roman" w:hAnsi="Times New Roman" w:cs="Times New Roman"/>
          <w:sz w:val="20"/>
          <w:szCs w:val="20"/>
        </w:rPr>
        <w:t xml:space="preserve"> </w:t>
      </w:r>
      <w:r>
        <w:rPr>
          <w:rFonts w:ascii="Times New Roman" w:hAnsi="Times New Roman" w:eastAsia="Times New Roman" w:cs="Times New Roman"/>
          <w:color w:val="252525"/>
          <w:sz w:val="20"/>
          <w:szCs w:val="20"/>
        </w:rPr>
        <w:t xml:space="preserve">There are no known harmful effects in humans following consumption of </w:t>
      </w:r>
      <w:r>
        <w:rPr>
          <w:rFonts w:ascii="Times New Roman" w:hAnsi="Times New Roman" w:eastAsia="Times New Roman" w:cs="Times New Roman"/>
          <w:i/>
          <w:color w:val="252525"/>
          <w:sz w:val="20"/>
          <w:szCs w:val="20"/>
        </w:rPr>
        <w:t>C. officinalis</w:t>
      </w:r>
      <w:r>
        <w:rPr>
          <w:rFonts w:ascii="Times New Roman" w:hAnsi="Times New Roman" w:eastAsia="Times New Roman" w:cs="Times New Roman"/>
          <w:color w:val="252525"/>
          <w:sz w:val="20"/>
          <w:szCs w:val="20"/>
        </w:rPr>
        <w:t xml:space="preserve"> flowers.</w:t>
      </w:r>
      <w:r>
        <w:rPr>
          <w:rFonts w:ascii="Times New Roman" w:hAnsi="Times New Roman" w:cs="Times New Roman"/>
          <w:sz w:val="20"/>
          <w:szCs w:val="20"/>
        </w:rPr>
        <w:t xml:space="preserve"> </w:t>
      </w:r>
      <w:r>
        <w:rPr>
          <w:rFonts w:ascii="Times New Roman" w:hAnsi="Times New Roman" w:eastAsia="Times New Roman" w:cs="Times New Roman"/>
          <w:color w:val="252525"/>
          <w:sz w:val="20"/>
          <w:szCs w:val="20"/>
        </w:rPr>
        <w:t>Carotenoids ,triterpene saponins, ionone- , triterpene alcohols, and sesquiterpene glycosides,  coumarins (scopoletin, umbelliferone, asculetin), and polysaccharides are all present in ray flowers [10].</w:t>
      </w:r>
    </w:p>
    <w:p>
      <w:pPr>
        <w:numPr>
          <w:ilvl w:val="0"/>
          <w:numId w:val="3"/>
        </w:num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eastAsia="Times New Roman" w:cs="Times New Roman"/>
          <w:b/>
          <w:color w:val="252525"/>
          <w:sz w:val="20"/>
          <w:szCs w:val="20"/>
        </w:rPr>
        <w:t xml:space="preserve">Garland Chrysanthemum </w:t>
      </w:r>
      <w:r>
        <w:rPr>
          <w:rFonts w:ascii="Times New Roman" w:hAnsi="Times New Roman" w:eastAsia="Times New Roman" w:cs="Times New Roman"/>
          <w:b/>
          <w:i/>
          <w:color w:val="252525"/>
          <w:sz w:val="20"/>
          <w:szCs w:val="20"/>
        </w:rPr>
        <w:t>(</w:t>
      </w:r>
      <w:r>
        <w:rPr>
          <w:rFonts w:ascii="Times New Roman" w:hAnsi="Times New Roman" w:cs="Times New Roman"/>
          <w:b/>
          <w:i/>
          <w:sz w:val="20"/>
          <w:szCs w:val="20"/>
        </w:rPr>
        <w:t>Chrysanthemum coronarium L.)</w:t>
      </w:r>
    </w:p>
    <w:p>
      <w:pPr>
        <w:autoSpaceDE w:val="0"/>
        <w:autoSpaceDN w:val="0"/>
        <w:adjustRightInd w:val="0"/>
        <w:spacing w:after="0" w:line="240" w:lineRule="auto"/>
        <w:ind w:firstLine="720"/>
        <w:jc w:val="both"/>
        <w:rPr>
          <w:rFonts w:ascii="Times New Roman" w:hAnsi="Times New Roman" w:cs="Times New Roman"/>
          <w:b/>
          <w:sz w:val="20"/>
          <w:szCs w:val="20"/>
        </w:rPr>
      </w:pPr>
      <w:r>
        <w:rPr>
          <w:rFonts w:ascii="Times New Roman" w:hAnsi="Times New Roman" w:cs="Times New Roman"/>
          <w:sz w:val="20"/>
          <w:szCs w:val="20"/>
        </w:rPr>
        <w:t>The flowers are the source of campor, which is used for flavouring of food worldwide. An adult (70 kg) can consume more than 3 kg of fresh flowers (based on 0.13% essential oil with 29% camphor) before reaching the acute toxicity limit for camphor, the amount of camphor in the flowers does not pose a health risk.</w:t>
      </w:r>
      <w:r>
        <w:rPr>
          <w:rFonts w:ascii="Times New Roman" w:hAnsi="Times New Roman" w:cs="Times New Roman"/>
          <w:b/>
          <w:sz w:val="20"/>
          <w:szCs w:val="20"/>
        </w:rPr>
        <w:t xml:space="preserve"> </w:t>
      </w:r>
      <w:r>
        <w:rPr>
          <w:rFonts w:ascii="Times New Roman" w:hAnsi="Times New Roman" w:eastAsia="Times New Roman" w:cs="Times New Roman"/>
          <w:i/>
          <w:color w:val="252525"/>
          <w:sz w:val="20"/>
          <w:szCs w:val="20"/>
        </w:rPr>
        <w:t>Tanacetum cinerariifolium</w:t>
      </w:r>
      <w:r>
        <w:rPr>
          <w:rFonts w:ascii="Times New Roman" w:hAnsi="Times New Roman" w:eastAsia="Times New Roman" w:cs="Times New Roman"/>
          <w:color w:val="252525"/>
          <w:sz w:val="20"/>
          <w:szCs w:val="20"/>
        </w:rPr>
        <w:t xml:space="preserve"> (Trevir.) Sch. Bip., a different species of Chrysanthemum from which pyrethrines have been extracted, has not been found in </w:t>
      </w:r>
      <w:r>
        <w:rPr>
          <w:rFonts w:ascii="Times New Roman" w:hAnsi="Times New Roman" w:eastAsia="Times New Roman" w:cs="Times New Roman"/>
          <w:i/>
          <w:color w:val="252525"/>
          <w:sz w:val="20"/>
          <w:szCs w:val="20"/>
        </w:rPr>
        <w:t>C. coronarium</w:t>
      </w:r>
      <w:r>
        <w:rPr>
          <w:rFonts w:ascii="Times New Roman" w:hAnsi="Times New Roman" w:eastAsia="Times New Roman" w:cs="Times New Roman"/>
          <w:color w:val="252525"/>
          <w:sz w:val="20"/>
          <w:szCs w:val="20"/>
        </w:rPr>
        <w:t>.</w:t>
      </w:r>
    </w:p>
    <w:p>
      <w:pPr>
        <w:numPr>
          <w:ilvl w:val="0"/>
          <w:numId w:val="3"/>
        </w:num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eastAsia="Times New Roman" w:cs="Times New Roman"/>
          <w:b/>
          <w:color w:val="252525"/>
          <w:sz w:val="20"/>
          <w:szCs w:val="20"/>
        </w:rPr>
        <w:t>Borage (</w:t>
      </w:r>
      <w:r>
        <w:rPr>
          <w:rFonts w:ascii="Times New Roman" w:hAnsi="Times New Roman" w:eastAsia="Times New Roman" w:cs="Times New Roman"/>
          <w:b/>
          <w:i/>
          <w:color w:val="252525"/>
          <w:sz w:val="20"/>
          <w:szCs w:val="20"/>
        </w:rPr>
        <w:t>Borago officinalis</w:t>
      </w:r>
      <w:r>
        <w:rPr>
          <w:rFonts w:ascii="Times New Roman" w:hAnsi="Times New Roman" w:eastAsia="Times New Roman" w:cs="Times New Roman"/>
          <w:b/>
          <w:color w:val="252525"/>
          <w:sz w:val="20"/>
          <w:szCs w:val="20"/>
        </w:rPr>
        <w:t xml:space="preserve"> L.)</w:t>
      </w:r>
    </w:p>
    <w:p>
      <w:pPr>
        <w:spacing w:after="0" w:line="240" w:lineRule="auto"/>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ab/>
      </w:r>
      <w:r>
        <w:rPr>
          <w:rFonts w:ascii="Times New Roman" w:hAnsi="Times New Roman" w:eastAsia="Times New Roman" w:cs="Times New Roman"/>
          <w:color w:val="252525"/>
          <w:sz w:val="20"/>
          <w:szCs w:val="20"/>
        </w:rPr>
        <w:t>Flowers have been used in salads, as a spice, and as a snack in Switzerland and Denmark. Children in Spain used to consume the flowers for nectar and utilize them as salads were first embellished in the 1700s. Whereas, it has been found that the aerial parts of B. officinalis contain toxic 1,2- unsaturated pyrrolizidine alkaloids, which have the potential to be harmful if the flowers are consumed by humans.</w:t>
      </w:r>
    </w:p>
    <w:p>
      <w:pPr>
        <w:numPr>
          <w:ilvl w:val="0"/>
          <w:numId w:val="3"/>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White dead nettle (</w:t>
      </w:r>
      <w:r>
        <w:rPr>
          <w:rFonts w:ascii="Times New Roman" w:hAnsi="Times New Roman" w:eastAsia="Times New Roman" w:cs="Times New Roman"/>
          <w:b/>
          <w:i/>
          <w:color w:val="252525"/>
          <w:sz w:val="20"/>
          <w:szCs w:val="20"/>
        </w:rPr>
        <w:t>Lamium album</w:t>
      </w:r>
      <w:r>
        <w:rPr>
          <w:rFonts w:ascii="Times New Roman" w:hAnsi="Times New Roman" w:eastAsia="Times New Roman" w:cs="Times New Roman"/>
          <w:b/>
          <w:color w:val="252525"/>
          <w:sz w:val="20"/>
          <w:szCs w:val="20"/>
        </w:rPr>
        <w:t xml:space="preserve"> L.)</w:t>
      </w:r>
    </w:p>
    <w:p>
      <w:pPr>
        <w:spacing w:after="0" w:line="240" w:lineRule="auto"/>
        <w:ind w:firstLine="720"/>
        <w:jc w:val="both"/>
        <w:rPr>
          <w:rFonts w:ascii="Times New Roman" w:hAnsi="Times New Roman" w:eastAsia="Times New Roman" w:cs="Times New Roman"/>
          <w:vanish/>
          <w:color w:val="252525"/>
          <w:sz w:val="20"/>
          <w:szCs w:val="20"/>
        </w:rPr>
      </w:pPr>
      <w:r>
        <w:rPr>
          <w:rFonts w:ascii="Times New Roman" w:hAnsi="Times New Roman" w:eastAsia="Times New Roman" w:cs="Times New Roman"/>
          <w:color w:val="252525"/>
          <w:sz w:val="20"/>
          <w:szCs w:val="20"/>
        </w:rPr>
        <w:t xml:space="preserve">Flowers have been eaten in local Mediterranean dishes along with leaves and in Switzerland, Estonia,  shoots has been taken as a snack during agricultural work and by children [1]. The flower's essential oil contains many terpenes, alcohols, alkanes, and ketones. 55% of the measured phenols in the aerial portions (a mixture of flowers, leaves, and stems) were made up of verbascoside and isoverbascoside. In two strains of Drosophila melanogaster, verbascoside was not genotoxic in vivo; however, the results may be attributable to the compound's poor gut absorption [24]. </w:t>
      </w:r>
      <w:r>
        <w:rPr>
          <w:rFonts w:ascii="Times New Roman" w:hAnsi="Times New Roman" w:eastAsia="Times New Roman" w:cs="Times New Roman"/>
          <w:vanish/>
          <w:color w:val="252525"/>
          <w:sz w:val="20"/>
          <w:szCs w:val="20"/>
        </w:rPr>
        <w:t>HH</w:t>
      </w:r>
    </w:p>
    <w:p>
      <w:pPr>
        <w:spacing w:after="0" w:line="240" w:lineRule="auto"/>
        <w:jc w:val="both"/>
        <w:rPr>
          <w:rFonts w:ascii="Times New Roman" w:hAnsi="Times New Roman" w:eastAsia="Times New Roman" w:cs="Times New Roman"/>
          <w:color w:val="252525"/>
          <w:sz w:val="20"/>
          <w:szCs w:val="20"/>
        </w:rPr>
      </w:pPr>
      <w:r>
        <w:rPr>
          <w:rFonts w:ascii="Times New Roman" w:hAnsi="Times New Roman" w:eastAsia="Times New Roman" w:cs="Times New Roman"/>
          <w:b/>
          <w:color w:val="252525"/>
          <w:sz w:val="20"/>
          <w:szCs w:val="20"/>
        </w:rPr>
        <w:t xml:space="preserve"> </w:t>
      </w:r>
      <w:r>
        <w:rPr>
          <w:rFonts w:ascii="Times New Roman" w:hAnsi="Times New Roman" w:eastAsia="Times New Roman" w:cs="Times New Roman"/>
          <w:color w:val="252525"/>
          <w:sz w:val="20"/>
          <w:szCs w:val="20"/>
        </w:rPr>
        <w:t>Hence, BLV accepts the plant's use for infusions but not for regular eating.</w:t>
      </w:r>
    </w:p>
    <w:p>
      <w:pPr>
        <w:spacing w:after="0" w:line="240" w:lineRule="auto"/>
        <w:jc w:val="both"/>
        <w:rPr>
          <w:rFonts w:ascii="Times New Roman" w:hAnsi="Times New Roman" w:eastAsia="Times New Roman" w:cs="Times New Roman"/>
          <w:color w:val="252525"/>
          <w:sz w:val="20"/>
          <w:szCs w:val="20"/>
        </w:rPr>
      </w:pPr>
    </w:p>
    <w:p>
      <w:pPr>
        <w:numPr>
          <w:ilvl w:val="0"/>
          <w:numId w:val="3"/>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Garden nasturtium (</w:t>
      </w:r>
      <w:r>
        <w:rPr>
          <w:rFonts w:ascii="Times New Roman" w:hAnsi="Times New Roman" w:eastAsia="Times New Roman" w:cs="Times New Roman"/>
          <w:b/>
          <w:i/>
          <w:color w:val="252525"/>
          <w:sz w:val="20"/>
          <w:szCs w:val="20"/>
        </w:rPr>
        <w:t>Tropaeolum majus</w:t>
      </w:r>
      <w:r>
        <w:rPr>
          <w:rFonts w:ascii="Times New Roman" w:hAnsi="Times New Roman" w:eastAsia="Times New Roman" w:cs="Times New Roman"/>
          <w:b/>
          <w:color w:val="252525"/>
          <w:sz w:val="20"/>
          <w:szCs w:val="20"/>
        </w:rPr>
        <w:t xml:space="preserve"> L.)</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Since the 1600s, flowers have been consumed or employed as food ingredients in Europe. According to ethno botanical studies, Switzerland, Denmark, and Estonia used flowers to flavor and decorate meals during the 1800s and 1900s, including salads. The flowers have a high fatty acid content (36% of dry weight), with erucic acid making up the majority (34.5% of the fatty acids), or 12.4% of the dry weight. However, when offered to Wistar rats or mice, extracts of the leaves (both aqueous and 70% ethanolic) were examined for acute oral toxicity, but no harmful effects were seen. Hence, flowers can be consumed in smaller portions but not the leaves.</w:t>
      </w:r>
    </w:p>
    <w:p>
      <w:pPr>
        <w:numPr>
          <w:ilvl w:val="0"/>
          <w:numId w:val="3"/>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Agathi (</w:t>
      </w:r>
      <w:r>
        <w:rPr>
          <w:rFonts w:ascii="Times New Roman" w:hAnsi="Times New Roman" w:eastAsia="Times New Roman" w:cs="Times New Roman"/>
          <w:b/>
          <w:i/>
          <w:color w:val="252525"/>
          <w:sz w:val="20"/>
          <w:szCs w:val="20"/>
        </w:rPr>
        <w:t>Sesbania grandiflora</w:t>
      </w:r>
      <w:r>
        <w:rPr>
          <w:rFonts w:ascii="Times New Roman" w:hAnsi="Times New Roman" w:eastAsia="Times New Roman" w:cs="Times New Roman"/>
          <w:b/>
          <w:color w:val="252525"/>
          <w:sz w:val="20"/>
          <w:szCs w:val="20"/>
        </w:rPr>
        <w:t>)</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Agathi (</w:t>
      </w:r>
      <w:r>
        <w:rPr>
          <w:rFonts w:ascii="Times New Roman" w:hAnsi="Times New Roman" w:eastAsia="Times New Roman" w:cs="Times New Roman"/>
          <w:i/>
          <w:iCs/>
          <w:color w:val="252525"/>
          <w:sz w:val="20"/>
          <w:szCs w:val="20"/>
        </w:rPr>
        <w:t>Sesbania grandiflora</w:t>
      </w:r>
      <w:r>
        <w:rPr>
          <w:rFonts w:ascii="Times New Roman" w:hAnsi="Times New Roman" w:eastAsia="Times New Roman" w:cs="Times New Roman"/>
          <w:color w:val="252525"/>
          <w:sz w:val="20"/>
          <w:szCs w:val="20"/>
        </w:rPr>
        <w:t>) is consumed as pokora, also known as bor in the Assam region of India.</w:t>
      </w:r>
    </w:p>
    <w:p>
      <w:pPr>
        <w:numPr>
          <w:ilvl w:val="0"/>
          <w:numId w:val="3"/>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Crape jasmine (</w:t>
      </w:r>
      <w:r>
        <w:rPr>
          <w:rFonts w:ascii="Times New Roman" w:hAnsi="Times New Roman" w:eastAsia="Times New Roman" w:cs="Times New Roman"/>
          <w:b/>
          <w:i/>
          <w:color w:val="252525"/>
          <w:sz w:val="20"/>
          <w:szCs w:val="20"/>
        </w:rPr>
        <w:t>Tabernaemontana divaricata</w:t>
      </w:r>
      <w:r>
        <w:rPr>
          <w:rFonts w:ascii="Times New Roman" w:hAnsi="Times New Roman" w:eastAsia="Times New Roman" w:cs="Times New Roman"/>
          <w:b/>
          <w:color w:val="252525"/>
          <w:sz w:val="20"/>
          <w:szCs w:val="20"/>
        </w:rPr>
        <w:t>)</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Flowers of crape jasmine is also fried and eaten as pakora in regions of India.</w:t>
      </w:r>
    </w:p>
    <w:p>
      <w:pPr>
        <w:numPr>
          <w:ilvl w:val="0"/>
          <w:numId w:val="3"/>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Drum stick (</w:t>
      </w:r>
      <w:r>
        <w:rPr>
          <w:rFonts w:ascii="Times New Roman" w:hAnsi="Times New Roman" w:eastAsia="Times New Roman" w:cs="Times New Roman"/>
          <w:b/>
          <w:i/>
          <w:color w:val="252525"/>
          <w:sz w:val="20"/>
          <w:szCs w:val="20"/>
        </w:rPr>
        <w:t>Moringa oleifera</w:t>
      </w:r>
      <w:r>
        <w:rPr>
          <w:rFonts w:ascii="Times New Roman" w:hAnsi="Times New Roman" w:eastAsia="Times New Roman" w:cs="Times New Roman"/>
          <w:b/>
          <w:color w:val="252525"/>
          <w:sz w:val="20"/>
          <w:szCs w:val="20"/>
        </w:rPr>
        <w:t>)</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 xml:space="preserve">The drum stick, </w:t>
      </w:r>
      <w:r>
        <w:rPr>
          <w:rFonts w:ascii="Times New Roman" w:hAnsi="Times New Roman" w:eastAsia="Times New Roman" w:cs="Times New Roman"/>
          <w:i/>
          <w:color w:val="252525"/>
          <w:sz w:val="20"/>
          <w:szCs w:val="20"/>
        </w:rPr>
        <w:t>Moringa oleifera</w:t>
      </w:r>
      <w:r>
        <w:rPr>
          <w:rFonts w:ascii="Times New Roman" w:hAnsi="Times New Roman" w:eastAsia="Times New Roman" w:cs="Times New Roman"/>
          <w:color w:val="252525"/>
          <w:sz w:val="20"/>
          <w:szCs w:val="20"/>
        </w:rPr>
        <w:t xml:space="preserve">, flowers are consumed after being fried with an egg. There are several findings on the biological and physiological activity of </w:t>
      </w:r>
      <w:r>
        <w:rPr>
          <w:rFonts w:ascii="Times New Roman" w:hAnsi="Times New Roman" w:eastAsia="Times New Roman" w:cs="Times New Roman"/>
          <w:i/>
          <w:color w:val="252525"/>
          <w:sz w:val="20"/>
          <w:szCs w:val="20"/>
        </w:rPr>
        <w:t>Moringa oleifera</w:t>
      </w:r>
      <w:r>
        <w:rPr>
          <w:rFonts w:ascii="Times New Roman" w:hAnsi="Times New Roman" w:eastAsia="Times New Roman" w:cs="Times New Roman"/>
          <w:color w:val="252525"/>
          <w:sz w:val="20"/>
          <w:szCs w:val="20"/>
        </w:rPr>
        <w:t xml:space="preserve"> in addition to its traditional usage as a food and medicine.</w:t>
      </w:r>
      <w:r>
        <w:rPr>
          <w:rFonts w:ascii="Times New Roman" w:hAnsi="Times New Roman" w:cs="Times New Roman"/>
          <w:sz w:val="20"/>
          <w:szCs w:val="20"/>
        </w:rPr>
        <w:t xml:space="preserve"> </w:t>
      </w:r>
      <w:r>
        <w:rPr>
          <w:rFonts w:ascii="Times New Roman" w:hAnsi="Times New Roman" w:eastAsia="Times New Roman" w:cs="Times New Roman"/>
          <w:color w:val="252525"/>
          <w:sz w:val="20"/>
          <w:szCs w:val="20"/>
        </w:rPr>
        <w:t>These include the management of heart disease, ulcers, and dyspepsia, as well as hypoglycemic and hypo cholesterolemic effects that are also analgesic, anti-inflammatory, and antihelmintic. When in bloom, the drumstick plant resembles a leguminous species.</w:t>
      </w:r>
    </w:p>
    <w:p>
      <w:pPr>
        <w:spacing w:after="0" w:line="240" w:lineRule="auto"/>
        <w:ind w:firstLine="720"/>
        <w:jc w:val="both"/>
        <w:rPr>
          <w:rFonts w:ascii="Times New Roman" w:hAnsi="Times New Roman" w:eastAsia="Times New Roman" w:cs="Times New Roman"/>
          <w:color w:val="252525"/>
          <w:sz w:val="20"/>
          <w:szCs w:val="20"/>
        </w:rPr>
      </w:pPr>
    </w:p>
    <w:p>
      <w:pPr>
        <w:numPr>
          <w:ilvl w:val="0"/>
          <w:numId w:val="3"/>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Water lily (</w:t>
      </w:r>
      <w:r>
        <w:rPr>
          <w:rFonts w:ascii="Times New Roman" w:hAnsi="Times New Roman" w:eastAsia="Times New Roman" w:cs="Times New Roman"/>
          <w:b/>
          <w:i/>
          <w:color w:val="252525"/>
          <w:sz w:val="20"/>
          <w:szCs w:val="20"/>
        </w:rPr>
        <w:t>Nymphae spp</w:t>
      </w:r>
      <w:r>
        <w:rPr>
          <w:rFonts w:ascii="Times New Roman" w:hAnsi="Times New Roman" w:eastAsia="Times New Roman" w:cs="Times New Roman"/>
          <w:b/>
          <w:color w:val="252525"/>
          <w:sz w:val="20"/>
          <w:szCs w:val="20"/>
        </w:rPr>
        <w:t>.)</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After frying, the flower of the water lily (</w:t>
      </w:r>
      <w:r>
        <w:rPr>
          <w:rFonts w:ascii="Times New Roman" w:hAnsi="Times New Roman" w:eastAsia="Times New Roman" w:cs="Times New Roman"/>
          <w:i/>
          <w:color w:val="252525"/>
          <w:sz w:val="20"/>
          <w:szCs w:val="20"/>
        </w:rPr>
        <w:t>Nymphaea spp</w:t>
      </w:r>
      <w:r>
        <w:rPr>
          <w:rFonts w:ascii="Times New Roman" w:hAnsi="Times New Roman" w:eastAsia="Times New Roman" w:cs="Times New Roman"/>
          <w:color w:val="252525"/>
          <w:sz w:val="20"/>
          <w:szCs w:val="20"/>
        </w:rPr>
        <w:t>.) is frequently used because it is said to be useful against anemia. These things are regularly prescribed to young girls or women who are anemic.</w:t>
      </w:r>
    </w:p>
    <w:p>
      <w:pPr>
        <w:numPr>
          <w:ilvl w:val="0"/>
          <w:numId w:val="3"/>
        </w:numPr>
        <w:spacing w:after="0" w:line="240" w:lineRule="auto"/>
        <w:jc w:val="both"/>
        <w:rPr>
          <w:rFonts w:ascii="Times New Roman" w:hAnsi="Times New Roman" w:eastAsia="Times New Roman" w:cs="Times New Roman"/>
          <w:b/>
          <w:color w:val="252525"/>
          <w:sz w:val="20"/>
          <w:szCs w:val="20"/>
        </w:rPr>
      </w:pPr>
      <w:r>
        <w:rPr>
          <w:rFonts w:ascii="Times New Roman" w:hAnsi="Times New Roman" w:eastAsia="Times New Roman" w:cs="Times New Roman"/>
          <w:b/>
          <w:i/>
          <w:color w:val="252525"/>
          <w:sz w:val="20"/>
          <w:szCs w:val="20"/>
        </w:rPr>
        <w:t>Musa</w:t>
      </w:r>
      <w:r>
        <w:rPr>
          <w:rFonts w:ascii="Times New Roman" w:hAnsi="Times New Roman" w:eastAsia="Times New Roman" w:cs="Times New Roman"/>
          <w:b/>
          <w:color w:val="252525"/>
          <w:sz w:val="20"/>
          <w:szCs w:val="20"/>
        </w:rPr>
        <w:t xml:space="preserve"> </w:t>
      </w:r>
      <w:r>
        <w:rPr>
          <w:rFonts w:ascii="Times New Roman" w:hAnsi="Times New Roman" w:eastAsia="Times New Roman" w:cs="Times New Roman"/>
          <w:b/>
          <w:i/>
          <w:color w:val="252525"/>
          <w:sz w:val="20"/>
          <w:szCs w:val="20"/>
        </w:rPr>
        <w:t>spp</w:t>
      </w:r>
      <w:r>
        <w:rPr>
          <w:rFonts w:ascii="Times New Roman" w:hAnsi="Times New Roman" w:eastAsia="Times New Roman" w:cs="Times New Roman"/>
          <w:b/>
          <w:color w:val="252525"/>
          <w:sz w:val="20"/>
          <w:szCs w:val="20"/>
        </w:rPr>
        <w:t>.</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Due to the high iron content of Musa spp. floral spadix, they aid to speed up blood hemoglobin growth and speed the healing of burns and cuts on patients. Various Assamese tribes and clans frequently prepare Musa spadix together with pigeon meat using a traditional spicy, tasty recipe.</w:t>
      </w:r>
    </w:p>
    <w:p>
      <w:pPr>
        <w:spacing w:after="0" w:line="240" w:lineRule="auto"/>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This mixture works wonders to treat low blood pressure, fever, colds, and cough. In South Asian and Southeast Asian cooking, banana hearts are utilized, either raw, steamed with dips, or cooked in soups and curries.</w:t>
      </w:r>
    </w:p>
    <w:p>
      <w:pPr>
        <w:numPr>
          <w:ilvl w:val="0"/>
          <w:numId w:val="3"/>
        </w:numPr>
        <w:spacing w:after="0" w:line="240" w:lineRule="auto"/>
        <w:jc w:val="both"/>
        <w:rPr>
          <w:rFonts w:ascii="Times New Roman" w:hAnsi="Times New Roman" w:eastAsia="Times New Roman" w:cs="Times New Roman"/>
          <w:b/>
          <w:i/>
          <w:color w:val="252525"/>
          <w:sz w:val="20"/>
          <w:szCs w:val="20"/>
        </w:rPr>
      </w:pPr>
      <w:r>
        <w:rPr>
          <w:rFonts w:ascii="Times New Roman" w:hAnsi="Times New Roman" w:eastAsia="Times New Roman" w:cs="Times New Roman"/>
          <w:b/>
          <w:i/>
          <w:color w:val="252525"/>
          <w:sz w:val="20"/>
          <w:szCs w:val="20"/>
        </w:rPr>
        <w:t>Cassia siamea</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The Caesalpiniaceae family plant, Cassia siamea, has edible flowers. The use of different Cassia species in various nations would draw attention to the plant for its pharmacological, traditional, and therapeutic properties.</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Some other plants like Pumpkin (</w:t>
      </w:r>
      <w:r>
        <w:rPr>
          <w:rFonts w:ascii="Times New Roman" w:hAnsi="Times New Roman" w:eastAsia="Times New Roman" w:cs="Times New Roman"/>
          <w:i/>
          <w:color w:val="252525"/>
          <w:sz w:val="20"/>
          <w:szCs w:val="20"/>
        </w:rPr>
        <w:t>Cucurbita moschata</w:t>
      </w:r>
      <w:r>
        <w:rPr>
          <w:rFonts w:ascii="Times New Roman" w:hAnsi="Times New Roman" w:eastAsia="Times New Roman" w:cs="Times New Roman"/>
          <w:color w:val="252525"/>
          <w:sz w:val="20"/>
          <w:szCs w:val="20"/>
        </w:rPr>
        <w:t>), Drum stick (</w:t>
      </w:r>
      <w:r>
        <w:rPr>
          <w:rFonts w:ascii="Times New Roman" w:hAnsi="Times New Roman" w:eastAsia="Times New Roman" w:cs="Times New Roman"/>
          <w:i/>
          <w:color w:val="252525"/>
          <w:sz w:val="20"/>
          <w:szCs w:val="20"/>
        </w:rPr>
        <w:t>Moringa oleifera</w:t>
      </w:r>
      <w:r>
        <w:rPr>
          <w:rFonts w:ascii="Times New Roman" w:hAnsi="Times New Roman" w:eastAsia="Times New Roman" w:cs="Times New Roman"/>
          <w:color w:val="252525"/>
          <w:sz w:val="20"/>
          <w:szCs w:val="20"/>
        </w:rPr>
        <w:t xml:space="preserve">) flower, and arrow leaf </w:t>
      </w:r>
      <w:r>
        <w:rPr>
          <w:rFonts w:ascii="Times New Roman" w:hAnsi="Times New Roman" w:eastAsia="Times New Roman" w:cs="Times New Roman"/>
          <w:i/>
          <w:color w:val="252525"/>
          <w:sz w:val="20"/>
          <w:szCs w:val="20"/>
        </w:rPr>
        <w:t>Monochoria hastata</w:t>
      </w:r>
      <w:r>
        <w:rPr>
          <w:rFonts w:ascii="Times New Roman" w:hAnsi="Times New Roman" w:eastAsia="Times New Roman" w:cs="Times New Roman"/>
          <w:color w:val="252525"/>
          <w:sz w:val="20"/>
          <w:szCs w:val="20"/>
        </w:rPr>
        <w:t>, an oval-leaved pond weed, is an energy-giving plant. Calcium is found in the flowers of plants including common arum (</w:t>
      </w:r>
      <w:r>
        <w:rPr>
          <w:rFonts w:ascii="Times New Roman" w:hAnsi="Times New Roman" w:eastAsia="Times New Roman" w:cs="Times New Roman"/>
          <w:i/>
          <w:color w:val="252525"/>
          <w:sz w:val="20"/>
          <w:szCs w:val="20"/>
        </w:rPr>
        <w:t>Alocasia acuminate</w:t>
      </w:r>
      <w:r>
        <w:rPr>
          <w:rFonts w:ascii="Times New Roman" w:hAnsi="Times New Roman" w:eastAsia="Times New Roman" w:cs="Times New Roman"/>
          <w:color w:val="252525"/>
          <w:sz w:val="20"/>
          <w:szCs w:val="20"/>
        </w:rPr>
        <w:t>) and kanakachu (</w:t>
      </w:r>
      <w:r>
        <w:rPr>
          <w:rFonts w:ascii="Times New Roman" w:hAnsi="Times New Roman" w:eastAsia="Times New Roman" w:cs="Times New Roman"/>
          <w:i/>
          <w:color w:val="252525"/>
          <w:sz w:val="20"/>
          <w:szCs w:val="20"/>
        </w:rPr>
        <w:t>Lasia spinosa</w:t>
      </w:r>
      <w:r>
        <w:rPr>
          <w:rFonts w:ascii="Times New Roman" w:hAnsi="Times New Roman" w:eastAsia="Times New Roman" w:cs="Times New Roman"/>
          <w:color w:val="252525"/>
          <w:sz w:val="20"/>
          <w:szCs w:val="20"/>
        </w:rPr>
        <w:t>). Therefore, they are recommended for women, especially during pregnancy, and are excellent for bone formation.</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These are some of the commonly consumed flowers which are be taken by many people through generations. The flowers may vary accordingly to their region of origin and practice of the native people.</w:t>
      </w:r>
    </w:p>
    <w:p>
      <w:pPr>
        <w:pStyle w:val="3"/>
        <w:shd w:val="clear" w:color="auto" w:fill="FFFFFF"/>
        <w:spacing w:before="0" w:beforeAutospacing="0" w:after="0" w:afterAutospacing="0"/>
        <w:jc w:val="both"/>
        <w:textAlignment w:val="baseline"/>
        <w:rPr>
          <w:rStyle w:val="12"/>
          <w:sz w:val="20"/>
          <w:szCs w:val="20"/>
        </w:rPr>
      </w:pPr>
    </w:p>
    <w:p>
      <w:pPr>
        <w:spacing w:after="0" w:line="240" w:lineRule="auto"/>
        <w:jc w:val="center"/>
        <w:rPr>
          <w:rFonts w:ascii="Times New Roman" w:hAnsi="Times New Roman" w:cs="Times New Roman"/>
          <w:b/>
          <w:bCs/>
          <w:spacing w:val="-3"/>
          <w:sz w:val="20"/>
          <w:szCs w:val="20"/>
        </w:rPr>
      </w:pPr>
      <w:r>
        <w:rPr>
          <w:rFonts w:ascii="Times New Roman" w:hAnsi="Times New Roman" w:cs="Times New Roman"/>
          <w:b/>
          <w:bCs/>
          <w:spacing w:val="-3"/>
          <w:sz w:val="20"/>
          <w:szCs w:val="20"/>
        </w:rPr>
        <w:t>VI. HARVEST AND STORAGE OF EDIBLE FLOWERS</w:t>
      </w:r>
    </w:p>
    <w:p>
      <w:pPr>
        <w:spacing w:after="0" w:line="240" w:lineRule="auto"/>
        <w:jc w:val="both"/>
        <w:rPr>
          <w:rFonts w:ascii="Times New Roman" w:hAnsi="Times New Roman" w:cs="Times New Roman"/>
          <w:b/>
          <w:bCs/>
          <w:spacing w:val="-3"/>
          <w:sz w:val="20"/>
          <w:szCs w:val="20"/>
        </w:rPr>
      </w:pPr>
      <w:r>
        <w:rPr>
          <w:rFonts w:ascii="Times New Roman" w:hAnsi="Times New Roman" w:cs="Times New Roman"/>
          <w:b/>
          <w:bCs/>
          <w:spacing w:val="-3"/>
          <w:sz w:val="20"/>
          <w:szCs w:val="20"/>
        </w:rPr>
        <w:t>Harvesting for edible flowers</w:t>
      </w:r>
    </w:p>
    <w:p>
      <w:pPr>
        <w:spacing w:after="0" w:line="240" w:lineRule="auto"/>
        <w:jc w:val="both"/>
        <w:rPr>
          <w:rFonts w:ascii="Times New Roman" w:hAnsi="Times New Roman" w:cs="Times New Roman"/>
          <w:b/>
          <w:bCs/>
          <w:spacing w:val="-3"/>
          <w:sz w:val="20"/>
          <w:szCs w:val="20"/>
        </w:rPr>
      </w:pPr>
      <w:r>
        <w:rPr>
          <w:rFonts w:ascii="Times New Roman" w:hAnsi="Times New Roman" w:cs="Times New Roman"/>
          <w:b/>
          <w:bCs/>
          <w:spacing w:val="-3"/>
          <w:sz w:val="20"/>
          <w:szCs w:val="20"/>
        </w:rPr>
        <w:t>When to harvest for edible flowers</w:t>
      </w:r>
    </w:p>
    <w:p>
      <w:pPr>
        <w:pStyle w:val="11"/>
        <w:numPr>
          <w:ilvl w:val="0"/>
          <w:numId w:val="4"/>
        </w:numPr>
        <w:spacing w:after="0" w:line="240" w:lineRule="auto"/>
        <w:jc w:val="both"/>
        <w:rPr>
          <w:rFonts w:ascii="Times New Roman" w:hAnsi="Times New Roman" w:cs="Times New Roman"/>
          <w:spacing w:val="-3"/>
          <w:sz w:val="20"/>
          <w:szCs w:val="20"/>
        </w:rPr>
      </w:pPr>
      <w:r>
        <w:rPr>
          <w:rFonts w:ascii="Times New Roman" w:hAnsi="Times New Roman" w:cs="Times New Roman"/>
          <w:spacing w:val="-3"/>
          <w:sz w:val="20"/>
          <w:szCs w:val="20"/>
        </w:rPr>
        <w:t>Blooming</w:t>
      </w:r>
    </w:p>
    <w:p>
      <w:pPr>
        <w:pStyle w:val="11"/>
        <w:numPr>
          <w:ilvl w:val="0"/>
          <w:numId w:val="4"/>
        </w:numPr>
        <w:spacing w:after="0" w:line="240" w:lineRule="auto"/>
        <w:jc w:val="both"/>
        <w:rPr>
          <w:rFonts w:ascii="Times New Roman" w:hAnsi="Times New Roman" w:cs="Times New Roman"/>
          <w:spacing w:val="-3"/>
          <w:sz w:val="20"/>
          <w:szCs w:val="20"/>
        </w:rPr>
      </w:pPr>
      <w:r>
        <w:rPr>
          <w:rFonts w:ascii="Times New Roman" w:hAnsi="Times New Roman" w:cs="Times New Roman"/>
          <w:spacing w:val="-3"/>
          <w:sz w:val="20"/>
          <w:szCs w:val="20"/>
        </w:rPr>
        <w:t>Fully open</w:t>
      </w:r>
    </w:p>
    <w:p>
      <w:pPr>
        <w:pStyle w:val="11"/>
        <w:numPr>
          <w:ilvl w:val="0"/>
          <w:numId w:val="4"/>
        </w:numPr>
        <w:spacing w:after="0" w:line="240" w:lineRule="auto"/>
        <w:jc w:val="both"/>
        <w:rPr>
          <w:rFonts w:ascii="Times New Roman" w:hAnsi="Times New Roman" w:cs="Times New Roman"/>
          <w:spacing w:val="-3"/>
          <w:sz w:val="20"/>
          <w:szCs w:val="20"/>
        </w:rPr>
      </w:pPr>
      <w:r>
        <w:rPr>
          <w:rFonts w:ascii="Times New Roman" w:hAnsi="Times New Roman" w:cs="Times New Roman"/>
          <w:spacing w:val="-3"/>
          <w:sz w:val="20"/>
          <w:szCs w:val="20"/>
        </w:rPr>
        <w:t>Not under-ripe</w:t>
      </w:r>
    </w:p>
    <w:p>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Morning is the best time to harvest, when plants are fresh, contain the maximum amount of scent, flavor and turgid. </w:t>
      </w:r>
    </w:p>
    <w:p>
      <w:pPr>
        <w:pStyle w:val="9"/>
        <w:shd w:val="clear" w:color="auto" w:fill="FFFFFF"/>
        <w:spacing w:before="0" w:beforeAutospacing="0" w:after="0" w:afterAutospacing="0"/>
        <w:jc w:val="both"/>
        <w:rPr>
          <w:b/>
          <w:bCs/>
          <w:sz w:val="20"/>
          <w:szCs w:val="20"/>
        </w:rPr>
      </w:pPr>
      <w:r>
        <w:rPr>
          <w:b/>
          <w:bCs/>
          <w:sz w:val="20"/>
          <w:szCs w:val="20"/>
        </w:rPr>
        <w:t>Harvesting depend on the type of flower</w:t>
      </w:r>
    </w:p>
    <w:p>
      <w:pPr>
        <w:pStyle w:val="9"/>
        <w:numPr>
          <w:ilvl w:val="0"/>
          <w:numId w:val="5"/>
        </w:numPr>
        <w:shd w:val="clear" w:color="auto" w:fill="FFFFFF"/>
        <w:spacing w:before="0" w:beforeAutospacing="0" w:after="0" w:afterAutospacing="0"/>
        <w:jc w:val="both"/>
        <w:rPr>
          <w:sz w:val="20"/>
          <w:szCs w:val="20"/>
        </w:rPr>
      </w:pPr>
      <w:r>
        <w:rPr>
          <w:sz w:val="20"/>
          <w:szCs w:val="20"/>
        </w:rPr>
        <w:t xml:space="preserve">For some plants </w:t>
      </w:r>
      <w:r>
        <w:fldChar w:fldCharType="begin"/>
      </w:r>
      <w:r>
        <w:instrText xml:space="preserve"> HYPERLINK "https://gardenerspath.com/plants/herbs/grow-dill/" </w:instrText>
      </w:r>
      <w:r>
        <w:fldChar w:fldCharType="separate"/>
      </w:r>
      <w:r>
        <w:rPr>
          <w:rStyle w:val="8"/>
          <w:color w:val="auto"/>
          <w:sz w:val="20"/>
          <w:szCs w:val="20"/>
          <w:u w:val="none"/>
        </w:rPr>
        <w:t>such as dill</w:t>
      </w:r>
      <w:r>
        <w:rPr>
          <w:rStyle w:val="8"/>
          <w:color w:val="auto"/>
          <w:sz w:val="20"/>
          <w:szCs w:val="20"/>
          <w:u w:val="none"/>
        </w:rPr>
        <w:fldChar w:fldCharType="end"/>
      </w:r>
      <w:r>
        <w:rPr>
          <w:sz w:val="20"/>
          <w:szCs w:val="20"/>
        </w:rPr>
        <w:t> or </w:t>
      </w:r>
      <w:r>
        <w:fldChar w:fldCharType="begin"/>
      </w:r>
      <w:r>
        <w:instrText xml:space="preserve"> HYPERLINK "https://gardenerspath.com/plants/herbs/fennel/" </w:instrText>
      </w:r>
      <w:r>
        <w:fldChar w:fldCharType="separate"/>
      </w:r>
      <w:r>
        <w:rPr>
          <w:rStyle w:val="8"/>
          <w:color w:val="auto"/>
          <w:sz w:val="20"/>
          <w:szCs w:val="20"/>
          <w:u w:val="none"/>
        </w:rPr>
        <w:t>fennel</w:t>
      </w:r>
      <w:r>
        <w:rPr>
          <w:rStyle w:val="8"/>
          <w:color w:val="auto"/>
          <w:sz w:val="20"/>
          <w:szCs w:val="20"/>
          <w:u w:val="none"/>
        </w:rPr>
        <w:fldChar w:fldCharType="end"/>
      </w:r>
      <w:r>
        <w:rPr>
          <w:sz w:val="20"/>
          <w:szCs w:val="20"/>
        </w:rPr>
        <w:t>,  the entire flower heads can be harvested and used. For others, like </w:t>
      </w:r>
      <w:r>
        <w:fldChar w:fldCharType="begin"/>
      </w:r>
      <w:r>
        <w:instrText xml:space="preserve"> HYPERLINK "https://gardenerspath.com/plants/flowers/grow-roses/" </w:instrText>
      </w:r>
      <w:r>
        <w:fldChar w:fldCharType="separate"/>
      </w:r>
      <w:r>
        <w:rPr>
          <w:rStyle w:val="8"/>
          <w:color w:val="auto"/>
          <w:sz w:val="20"/>
          <w:szCs w:val="20"/>
          <w:u w:val="none"/>
        </w:rPr>
        <w:t>roses</w:t>
      </w:r>
      <w:r>
        <w:rPr>
          <w:rStyle w:val="8"/>
          <w:color w:val="auto"/>
          <w:sz w:val="20"/>
          <w:szCs w:val="20"/>
          <w:u w:val="none"/>
        </w:rPr>
        <w:fldChar w:fldCharType="end"/>
      </w:r>
      <w:r>
        <w:rPr>
          <w:sz w:val="20"/>
          <w:szCs w:val="20"/>
        </w:rPr>
        <w:t> , pick off the petals individually is recommended.</w:t>
      </w:r>
    </w:p>
    <w:p>
      <w:pPr>
        <w:pStyle w:val="11"/>
        <w:numPr>
          <w:ilvl w:val="0"/>
          <w:numId w:val="5"/>
        </w:num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For Lavender flowers, florets can be picked off the stem directly as well.</w:t>
      </w:r>
    </w:p>
    <w:p>
      <w:pPr>
        <w:pStyle w:val="11"/>
        <w:numPr>
          <w:ilvl w:val="0"/>
          <w:numId w:val="5"/>
        </w:num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For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"https://gardenerspath.com/plants/flowers/grow-nasturtiums-easiest-annuals/" </w:instrText>
      </w:r>
      <w:r>
        <w:rPr>
          <w:rFonts w:ascii="Times New Roman" w:hAnsi="Times New Roman" w:cs="Times New Roman"/>
          <w:sz w:val="20"/>
          <w:szCs w:val="20"/>
        </w:rPr>
        <w:fldChar w:fldCharType="separate"/>
      </w:r>
      <w:r>
        <w:rPr>
          <w:rStyle w:val="8"/>
          <w:rFonts w:ascii="Times New Roman" w:hAnsi="Times New Roman" w:cs="Times New Roman"/>
          <w:color w:val="auto"/>
          <w:sz w:val="20"/>
          <w:szCs w:val="20"/>
          <w:u w:val="none"/>
          <w:shd w:val="clear" w:color="auto" w:fill="FFFFFF"/>
        </w:rPr>
        <w:t>Nasturtiums</w:t>
      </w:r>
      <w:r>
        <w:rPr>
          <w:rStyle w:val="8"/>
          <w:rFonts w:ascii="Times New Roman" w:hAnsi="Times New Roman" w:cs="Times New Roman"/>
          <w:color w:val="auto"/>
          <w:sz w:val="20"/>
          <w:szCs w:val="20"/>
          <w:u w:val="none"/>
          <w:shd w:val="clear" w:color="auto" w:fill="FFFFFF"/>
        </w:rPr>
        <w:fldChar w:fldCharType="end"/>
      </w:r>
      <w:r>
        <w:rPr>
          <w:rFonts w:ascii="Times New Roman" w:hAnsi="Times New Roman" w:cs="Times New Roman"/>
          <w:sz w:val="20"/>
          <w:szCs w:val="20"/>
          <w:shd w:val="clear" w:color="auto" w:fill="FFFFFF"/>
        </w:rPr>
        <w:t> and </w:t>
      </w:r>
      <w:r>
        <w:fldChar w:fldCharType="begin"/>
      </w:r>
      <w:r>
        <w:instrText xml:space="preserve"> HYPERLINK "https://gardenerspath.com/plants/flowers/grow-pansies/" </w:instrText>
      </w:r>
      <w:r>
        <w:fldChar w:fldCharType="separate"/>
      </w:r>
      <w:r>
        <w:rPr>
          <w:rStyle w:val="8"/>
          <w:rFonts w:ascii="Times New Roman" w:hAnsi="Times New Roman" w:cs="Times New Roman"/>
          <w:color w:val="auto"/>
          <w:sz w:val="20"/>
          <w:szCs w:val="20"/>
          <w:u w:val="none"/>
          <w:shd w:val="clear" w:color="auto" w:fill="FFFFFF"/>
        </w:rPr>
        <w:t>viola blooms</w:t>
      </w:r>
      <w:r>
        <w:rPr>
          <w:rStyle w:val="8"/>
          <w:rFonts w:ascii="Times New Roman" w:hAnsi="Times New Roman" w:cs="Times New Roman"/>
          <w:color w:val="auto"/>
          <w:sz w:val="20"/>
          <w:szCs w:val="20"/>
          <w:u w:val="none"/>
          <w:shd w:val="clear" w:color="auto" w:fill="FFFFFF"/>
        </w:rPr>
        <w:fldChar w:fldCharType="end"/>
      </w:r>
      <w:r>
        <w:rPr>
          <w:rStyle w:val="8"/>
          <w:rFonts w:ascii="Times New Roman" w:hAnsi="Times New Roman" w:cs="Times New Roman"/>
          <w:color w:val="auto"/>
          <w:sz w:val="20"/>
          <w:szCs w:val="20"/>
          <w:u w:val="none"/>
          <w:shd w:val="clear" w:color="auto" w:fill="FFFFFF"/>
        </w:rPr>
        <w:t xml:space="preserve"> : </w:t>
      </w:r>
      <w:r>
        <w:rPr>
          <w:rFonts w:ascii="Times New Roman" w:hAnsi="Times New Roman" w:cs="Times New Roman"/>
          <w:sz w:val="20"/>
          <w:szCs w:val="20"/>
          <w:shd w:val="clear" w:color="auto" w:fill="FFFFFF"/>
        </w:rPr>
        <w:t>cut just below the flower with a sharp equipment.</w:t>
      </w:r>
    </w:p>
    <w:p>
      <w:pPr>
        <w:pStyle w:val="11"/>
        <w:numPr>
          <w:ilvl w:val="0"/>
          <w:numId w:val="5"/>
        </w:num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To decorate a cake, making sure the flowers are still intact. For teas, </w:t>
      </w:r>
      <w:r>
        <w:rPr>
          <w:rFonts w:ascii="Times New Roman" w:hAnsi="Times New Roman" w:cs="Times New Roman"/>
          <w:sz w:val="20"/>
          <w:szCs w:val="20"/>
        </w:rPr>
        <w:t>dry the flowers.</w:t>
      </w:r>
    </w:p>
    <w:p>
      <w:pPr>
        <w:pStyle w:val="9"/>
        <w:numPr>
          <w:ilvl w:val="0"/>
          <w:numId w:val="5"/>
        </w:numPr>
        <w:shd w:val="clear" w:color="auto" w:fill="FFFFFF"/>
        <w:spacing w:before="0" w:beforeAutospacing="0" w:after="0" w:afterAutospacing="0"/>
        <w:jc w:val="both"/>
        <w:rPr>
          <w:sz w:val="20"/>
          <w:szCs w:val="20"/>
        </w:rPr>
      </w:pPr>
      <w:r>
        <w:rPr>
          <w:sz w:val="20"/>
          <w:szCs w:val="20"/>
        </w:rPr>
        <w:t>Some flowers can be eaten as a whole such as Nasturtiums , male </w:t>
      </w:r>
      <w:r>
        <w:fldChar w:fldCharType="begin"/>
      </w:r>
      <w:r>
        <w:instrText xml:space="preserve"> HYPERLINK "https://gardenerspath.com/plants/vegetables/grow-summer-squash/" </w:instrText>
      </w:r>
      <w:r>
        <w:fldChar w:fldCharType="separate"/>
      </w:r>
      <w:r>
        <w:rPr>
          <w:rStyle w:val="8"/>
          <w:color w:val="auto"/>
          <w:sz w:val="20"/>
          <w:szCs w:val="20"/>
          <w:u w:val="none"/>
        </w:rPr>
        <w:t>squash blossoms</w:t>
      </w:r>
      <w:r>
        <w:rPr>
          <w:rStyle w:val="8"/>
          <w:color w:val="auto"/>
          <w:sz w:val="20"/>
          <w:szCs w:val="20"/>
          <w:u w:val="none"/>
        </w:rPr>
        <w:fldChar w:fldCharType="end"/>
      </w:r>
      <w:r>
        <w:rPr>
          <w:sz w:val="20"/>
          <w:szCs w:val="20"/>
        </w:rPr>
        <w:t>, and clover. Delicately flavored portion in most of the flowers is going to be the petals.</w:t>
      </w:r>
    </w:p>
    <w:p>
      <w:pPr>
        <w:pStyle w:val="9"/>
        <w:numPr>
          <w:ilvl w:val="0"/>
          <w:numId w:val="5"/>
        </w:numPr>
        <w:shd w:val="clear" w:color="auto" w:fill="FFFFFF"/>
        <w:spacing w:before="0" w:beforeAutospacing="0" w:after="0" w:afterAutospacing="0"/>
        <w:jc w:val="both"/>
        <w:rPr>
          <w:sz w:val="20"/>
          <w:szCs w:val="20"/>
        </w:rPr>
      </w:pPr>
      <w:r>
        <w:rPr>
          <w:sz w:val="20"/>
          <w:szCs w:val="20"/>
        </w:rPr>
        <w:t>To improve the taste, the rest of the flower parts such as stamens with their pollen and pistils, should be removed</w:t>
      </w:r>
    </w:p>
    <w:p>
      <w:pPr>
        <w:pStyle w:val="9"/>
        <w:numPr>
          <w:ilvl w:val="0"/>
          <w:numId w:val="5"/>
        </w:numPr>
        <w:shd w:val="clear" w:color="auto" w:fill="FFFFFF"/>
        <w:spacing w:before="0" w:beforeAutospacing="0" w:after="0" w:afterAutospacing="0"/>
        <w:jc w:val="both"/>
        <w:rPr>
          <w:sz w:val="20"/>
          <w:szCs w:val="20"/>
        </w:rPr>
      </w:pPr>
      <w:r>
        <w:rPr>
          <w:sz w:val="20"/>
          <w:szCs w:val="20"/>
        </w:rPr>
        <w:t>To reduce the bitterness in the culinary items, one has to remove the sepals, or green petals at the base of the flower, the white base of petals (rose petals).</w:t>
      </w:r>
    </w:p>
    <w:p>
      <w:pPr>
        <w:pStyle w:val="9"/>
        <w:shd w:val="clear" w:color="auto" w:fill="FFFFFF"/>
        <w:spacing w:before="0" w:beforeAutospacing="0" w:after="0" w:afterAutospacing="0"/>
        <w:ind w:left="720"/>
        <w:jc w:val="both"/>
        <w:rPr>
          <w:sz w:val="20"/>
          <w:szCs w:val="20"/>
        </w:rPr>
      </w:pPr>
    </w:p>
    <w:p>
      <w:pPr>
        <w:pStyle w:val="2"/>
        <w:shd w:val="clear" w:color="auto" w:fill="FFFFFF"/>
        <w:spacing w:before="0" w:line="240" w:lineRule="auto"/>
        <w:jc w:val="center"/>
        <w:rPr>
          <w:rFonts w:ascii="Times New Roman" w:hAnsi="Times New Roman" w:cs="Times New Roman"/>
          <w:color w:val="auto"/>
          <w:sz w:val="20"/>
          <w:szCs w:val="20"/>
        </w:rPr>
      </w:pPr>
      <w:r>
        <w:rPr>
          <w:rFonts w:ascii="Times New Roman" w:hAnsi="Times New Roman" w:cs="Times New Roman"/>
          <w:b/>
          <w:bCs/>
          <w:color w:val="auto"/>
          <w:sz w:val="20"/>
          <w:szCs w:val="20"/>
        </w:rPr>
        <w:t>VII. STORAGE</w:t>
      </w:r>
    </w:p>
    <w:p>
      <w:pPr>
        <w:pStyle w:val="9"/>
        <w:numPr>
          <w:ilvl w:val="0"/>
          <w:numId w:val="6"/>
        </w:numPr>
        <w:shd w:val="clear" w:color="auto" w:fill="FFFFFF"/>
        <w:spacing w:before="0" w:beforeAutospacing="0" w:after="0" w:afterAutospacing="0"/>
        <w:jc w:val="both"/>
        <w:rPr>
          <w:sz w:val="20"/>
          <w:szCs w:val="20"/>
        </w:rPr>
      </w:pPr>
      <w:r>
        <w:rPr>
          <w:sz w:val="20"/>
          <w:szCs w:val="20"/>
        </w:rPr>
        <w:t>After harvest, dip the flowers or petals in cool water to rinse off any excess dirt particles.</w:t>
      </w:r>
    </w:p>
    <w:p>
      <w:pPr>
        <w:pStyle w:val="9"/>
        <w:numPr>
          <w:ilvl w:val="0"/>
          <w:numId w:val="6"/>
        </w:numPr>
        <w:shd w:val="clear" w:color="auto" w:fill="FFFFFF"/>
        <w:spacing w:before="0" w:beforeAutospacing="0" w:after="0" w:afterAutospacing="0"/>
        <w:jc w:val="both"/>
        <w:rPr>
          <w:sz w:val="20"/>
          <w:szCs w:val="20"/>
        </w:rPr>
      </w:pPr>
      <w:r>
        <w:rPr>
          <w:sz w:val="20"/>
          <w:szCs w:val="20"/>
        </w:rPr>
        <w:t>Lay the flowers out to dry on a paper towel, instead of salad spinner.</w:t>
      </w:r>
    </w:p>
    <w:p>
      <w:pPr>
        <w:pStyle w:val="9"/>
        <w:numPr>
          <w:ilvl w:val="0"/>
          <w:numId w:val="6"/>
        </w:numPr>
        <w:shd w:val="clear" w:color="auto" w:fill="FFFFFF"/>
        <w:spacing w:before="0" w:beforeAutospacing="0" w:after="0" w:afterAutospacing="0"/>
        <w:jc w:val="both"/>
        <w:rPr>
          <w:sz w:val="20"/>
          <w:szCs w:val="20"/>
        </w:rPr>
      </w:pPr>
      <w:r>
        <w:rPr>
          <w:sz w:val="20"/>
          <w:szCs w:val="20"/>
        </w:rPr>
        <w:t xml:space="preserve">The flowers can be stored up to a week in a basket or container lined with moist paper towels to maintain the humidity, placing the flowers on top, and popping it into the fridge. But It’s best to use the flowers as soon as after harvesting. </w:t>
      </w:r>
    </w:p>
    <w:p>
      <w:pPr>
        <w:pStyle w:val="9"/>
        <w:numPr>
          <w:ilvl w:val="0"/>
          <w:numId w:val="6"/>
        </w:numPr>
        <w:shd w:val="clear" w:color="auto" w:fill="FFFFFF"/>
        <w:spacing w:before="0" w:beforeAutospacing="0" w:after="0" w:afterAutospacing="0"/>
        <w:jc w:val="both"/>
        <w:rPr>
          <w:sz w:val="20"/>
          <w:szCs w:val="20"/>
        </w:rPr>
      </w:pPr>
      <w:r>
        <w:rPr>
          <w:sz w:val="20"/>
          <w:szCs w:val="20"/>
        </w:rPr>
        <w:t>To prevent the flowers from crushing, sticking to one another or with bag, avoid plastic bags.</w:t>
      </w:r>
    </w:p>
    <w:p>
      <w:pPr>
        <w:pStyle w:val="9"/>
        <w:numPr>
          <w:ilvl w:val="0"/>
          <w:numId w:val="6"/>
        </w:numPr>
        <w:shd w:val="clear" w:color="auto" w:fill="FFFFFF"/>
        <w:spacing w:before="0" w:beforeAutospacing="0" w:after="0" w:afterAutospacing="0"/>
        <w:jc w:val="both"/>
        <w:rPr>
          <w:sz w:val="20"/>
          <w:szCs w:val="20"/>
        </w:rPr>
      </w:pPr>
      <w:r>
        <w:rPr>
          <w:sz w:val="20"/>
          <w:szCs w:val="20"/>
        </w:rPr>
        <w:t xml:space="preserve">Letting the flowers to float in an ice water bath for a few minutes before using to revive the flowers from wilt. </w:t>
      </w:r>
    </w:p>
    <w:p>
      <w:pPr>
        <w:pStyle w:val="9"/>
        <w:numPr>
          <w:ilvl w:val="0"/>
          <w:numId w:val="6"/>
        </w:numPr>
        <w:shd w:val="clear" w:color="auto" w:fill="FFFFFF"/>
        <w:spacing w:before="0" w:beforeAutospacing="0" w:after="0" w:afterAutospacing="0"/>
        <w:jc w:val="both"/>
        <w:rPr>
          <w:b/>
          <w:bCs/>
          <w:sz w:val="20"/>
          <w:szCs w:val="20"/>
        </w:rPr>
      </w:pPr>
      <w:r>
        <w:rPr>
          <w:sz w:val="20"/>
          <w:szCs w:val="20"/>
        </w:rPr>
        <w:t>For herbal tea blends, the flower can also be dried in a dehydrator or a low oven</w:t>
      </w:r>
      <w:r>
        <w:rPr>
          <w:b/>
          <w:bCs/>
          <w:sz w:val="20"/>
          <w:szCs w:val="20"/>
        </w:rPr>
        <w:t>.</w:t>
      </w:r>
    </w:p>
    <w:p>
      <w:pPr>
        <w:pStyle w:val="9"/>
        <w:shd w:val="clear" w:color="auto" w:fill="FFFFFF"/>
        <w:spacing w:before="0" w:beforeAutospacing="0" w:after="0" w:afterAutospacing="0"/>
        <w:ind w:left="720"/>
        <w:jc w:val="both"/>
        <w:rPr>
          <w:b/>
          <w:bCs/>
          <w:sz w:val="20"/>
          <w:szCs w:val="20"/>
        </w:rPr>
      </w:pPr>
    </w:p>
    <w:p>
      <w:pPr>
        <w:pStyle w:val="9"/>
        <w:shd w:val="clear" w:color="auto" w:fill="FFFFFF"/>
        <w:spacing w:before="0" w:beforeAutospacing="0" w:after="0" w:afterAutospacing="0"/>
        <w:ind w:left="720"/>
        <w:jc w:val="center"/>
        <w:rPr>
          <w:b/>
          <w:bCs/>
          <w:sz w:val="20"/>
          <w:szCs w:val="20"/>
        </w:rPr>
      </w:pPr>
      <w:r>
        <w:rPr>
          <w:b/>
          <w:color w:val="252525"/>
          <w:sz w:val="20"/>
          <w:szCs w:val="20"/>
        </w:rPr>
        <w:t>VIII. RISKS</w:t>
      </w:r>
    </w:p>
    <w:p>
      <w:pPr>
        <w:tabs>
          <w:tab w:val="left" w:pos="1365"/>
        </w:tabs>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rPr>
        <w:t>Foods can benefit from the distinct flavor and captivating appearance of edible flowers. It is crucial to correctly identify each kind of flower and understand which portions of the flower should be eaten because not all flowers are edible. Only little amounts of some flowers can be eaten without risk. Pesticide traces are frequently found in flowers, which also frequently harbor other species like insects.</w:t>
      </w:r>
    </w:p>
    <w:p>
      <w:pPr>
        <w:tabs>
          <w:tab w:val="left" w:pos="1365"/>
        </w:tabs>
        <w:spacing w:after="0" w:line="240" w:lineRule="auto"/>
        <w:jc w:val="both"/>
        <w:rPr>
          <w:rFonts w:ascii="Times New Roman" w:hAnsi="Times New Roman" w:eastAsia="Times New Roman" w:cs="Times New Roman"/>
          <w:color w:val="252525"/>
          <w:sz w:val="20"/>
          <w:szCs w:val="20"/>
        </w:rPr>
      </w:pPr>
      <w:r>
        <w:rPr>
          <w:rFonts w:ascii="Times New Roman" w:hAnsi="Times New Roman" w:eastAsia="Times New Roman" w:cs="Times New Roman"/>
          <w:sz w:val="20"/>
          <w:szCs w:val="20"/>
        </w:rPr>
        <w:t>Flowers grown for decorative purposes in gardens are not meant to be consumed. It is best to avoid common garden flowers that are to some extent harmful.</w:t>
      </w:r>
    </w:p>
    <w:p>
      <w:pPr>
        <w:numPr>
          <w:ilvl w:val="0"/>
          <w:numId w:val="7"/>
        </w:numPr>
        <w:tabs>
          <w:tab w:val="left" w:pos="360"/>
          <w:tab w:val="clear" w:pos="420"/>
        </w:tabs>
        <w:spacing w:after="0" w:line="240" w:lineRule="auto"/>
        <w:ind w:left="360" w:firstLine="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Johnny Jump-ups (</w:t>
      </w:r>
      <w:r>
        <w:rPr>
          <w:rFonts w:ascii="Times New Roman" w:hAnsi="Times New Roman" w:eastAsia="Times New Roman" w:cs="Times New Roman"/>
          <w:i/>
          <w:color w:val="252525"/>
          <w:sz w:val="20"/>
          <w:szCs w:val="20"/>
        </w:rPr>
        <w:t>Viola tricolor</w:t>
      </w:r>
      <w:r>
        <w:rPr>
          <w:rFonts w:ascii="Times New Roman" w:hAnsi="Times New Roman" w:eastAsia="Times New Roman" w:cs="Times New Roman"/>
          <w:color w:val="252525"/>
          <w:sz w:val="20"/>
          <w:szCs w:val="20"/>
        </w:rPr>
        <w:t xml:space="preserve"> </w:t>
      </w:r>
      <w:r>
        <w:rPr>
          <w:rFonts w:ascii="Times New Roman" w:hAnsi="Times New Roman" w:eastAsia="Times New Roman" w:cs="Times New Roman"/>
          <w:i/>
          <w:color w:val="252525"/>
          <w:sz w:val="20"/>
          <w:szCs w:val="20"/>
        </w:rPr>
        <w:t>officinalis</w:t>
      </w:r>
      <w:r>
        <w:rPr>
          <w:rFonts w:ascii="Times New Roman" w:hAnsi="Times New Roman" w:eastAsia="Times New Roman" w:cs="Times New Roman"/>
          <w:color w:val="252525"/>
          <w:sz w:val="20"/>
          <w:szCs w:val="20"/>
        </w:rPr>
        <w:t xml:space="preserve">) flowers contain saponins. </w:t>
      </w:r>
    </w:p>
    <w:p>
      <w:pPr>
        <w:numPr>
          <w:ilvl w:val="0"/>
          <w:numId w:val="7"/>
        </w:numPr>
        <w:tabs>
          <w:tab w:val="left" w:pos="360"/>
          <w:tab w:val="clear" w:pos="420"/>
        </w:tabs>
        <w:spacing w:after="0" w:line="240" w:lineRule="auto"/>
        <w:ind w:hanging="116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Apple flowers (</w:t>
      </w:r>
      <w:r>
        <w:rPr>
          <w:rFonts w:ascii="Times New Roman" w:hAnsi="Times New Roman" w:eastAsia="Times New Roman" w:cs="Times New Roman"/>
          <w:i/>
          <w:color w:val="252525"/>
          <w:sz w:val="20"/>
          <w:szCs w:val="20"/>
        </w:rPr>
        <w:t>Malus spp</w:t>
      </w:r>
      <w:r>
        <w:rPr>
          <w:rFonts w:ascii="Times New Roman" w:hAnsi="Times New Roman" w:eastAsia="Times New Roman" w:cs="Times New Roman"/>
          <w:color w:val="252525"/>
          <w:sz w:val="20"/>
          <w:szCs w:val="20"/>
        </w:rPr>
        <w:t>.) contain cyanide precursors.</w:t>
      </w:r>
    </w:p>
    <w:p>
      <w:pPr>
        <w:numPr>
          <w:ilvl w:val="0"/>
          <w:numId w:val="7"/>
        </w:numPr>
        <w:tabs>
          <w:tab w:val="left" w:pos="720"/>
          <w:tab w:val="clear" w:pos="420"/>
        </w:tabs>
        <w:spacing w:after="0" w:line="240" w:lineRule="auto"/>
        <w:ind w:left="720" w:hanging="36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Daylilies (</w:t>
      </w:r>
      <w:r>
        <w:rPr>
          <w:rFonts w:ascii="Times New Roman" w:hAnsi="Times New Roman" w:eastAsia="Times New Roman" w:cs="Times New Roman"/>
          <w:i/>
          <w:color w:val="252525"/>
          <w:sz w:val="20"/>
          <w:szCs w:val="20"/>
        </w:rPr>
        <w:t>Henterocallis spp</w:t>
      </w:r>
      <w:r>
        <w:rPr>
          <w:rFonts w:ascii="Times New Roman" w:hAnsi="Times New Roman" w:eastAsia="Times New Roman" w:cs="Times New Roman"/>
          <w:color w:val="252525"/>
          <w:sz w:val="20"/>
          <w:szCs w:val="20"/>
        </w:rPr>
        <w:t>.) and Borage (</w:t>
      </w:r>
      <w:r>
        <w:rPr>
          <w:rFonts w:ascii="Times New Roman" w:hAnsi="Times New Roman" w:eastAsia="Times New Roman" w:cs="Times New Roman"/>
          <w:i/>
          <w:color w:val="252525"/>
          <w:sz w:val="20"/>
          <w:szCs w:val="20"/>
        </w:rPr>
        <w:t>Borago officinalis</w:t>
      </w:r>
      <w:r>
        <w:rPr>
          <w:rFonts w:ascii="Times New Roman" w:hAnsi="Times New Roman" w:eastAsia="Times New Roman" w:cs="Times New Roman"/>
          <w:color w:val="252525"/>
          <w:sz w:val="20"/>
          <w:szCs w:val="20"/>
        </w:rPr>
        <w:t>) are diuretics.</w:t>
      </w:r>
    </w:p>
    <w:p>
      <w:pPr>
        <w:numPr>
          <w:ilvl w:val="0"/>
          <w:numId w:val="7"/>
        </w:numPr>
        <w:tabs>
          <w:tab w:val="left" w:pos="720"/>
          <w:tab w:val="clear" w:pos="420"/>
        </w:tabs>
        <w:spacing w:after="0" w:line="240" w:lineRule="auto"/>
        <w:ind w:hanging="116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The herb sweet woodruff (</w:t>
      </w:r>
      <w:r>
        <w:rPr>
          <w:rFonts w:ascii="Times New Roman" w:hAnsi="Times New Roman" w:eastAsia="Times New Roman" w:cs="Times New Roman"/>
          <w:i/>
          <w:color w:val="252525"/>
          <w:sz w:val="20"/>
          <w:szCs w:val="20"/>
        </w:rPr>
        <w:t>Galiunt odoratum</w:t>
      </w:r>
      <w:r>
        <w:rPr>
          <w:rFonts w:ascii="Times New Roman" w:hAnsi="Times New Roman" w:eastAsia="Times New Roman" w:cs="Times New Roman"/>
          <w:color w:val="252525"/>
          <w:sz w:val="20"/>
          <w:szCs w:val="20"/>
        </w:rPr>
        <w:t xml:space="preserve">) may thin the blood. </w:t>
      </w:r>
    </w:p>
    <w:p>
      <w:pPr>
        <w:numPr>
          <w:ilvl w:val="0"/>
          <w:numId w:val="7"/>
        </w:numPr>
        <w:tabs>
          <w:tab w:val="clear" w:pos="420"/>
        </w:tabs>
        <w:spacing w:after="0" w:line="240" w:lineRule="auto"/>
        <w:ind w:hanging="116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Linden tree (</w:t>
      </w:r>
      <w:r>
        <w:rPr>
          <w:rFonts w:ascii="Times New Roman" w:hAnsi="Times New Roman" w:eastAsia="Times New Roman" w:cs="Times New Roman"/>
          <w:i/>
          <w:color w:val="252525"/>
          <w:sz w:val="20"/>
          <w:szCs w:val="20"/>
        </w:rPr>
        <w:t>Iilia spp</w:t>
      </w:r>
      <w:r>
        <w:rPr>
          <w:rFonts w:ascii="Times New Roman" w:hAnsi="Times New Roman" w:eastAsia="Times New Roman" w:cs="Times New Roman"/>
          <w:color w:val="252525"/>
          <w:sz w:val="20"/>
          <w:szCs w:val="20"/>
        </w:rPr>
        <w:t>.) flowers are harmless in moderation, but excessive ingestion can harm        the heart.</w:t>
      </w:r>
    </w:p>
    <w:p>
      <w:pPr>
        <w:numPr>
          <w:ilvl w:val="0"/>
          <w:numId w:val="7"/>
        </w:numPr>
        <w:tabs>
          <w:tab w:val="left" w:pos="720"/>
          <w:tab w:val="clear" w:pos="420"/>
        </w:tabs>
        <w:spacing w:after="0" w:line="240" w:lineRule="auto"/>
        <w:ind w:hanging="116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 xml:space="preserve"> Marigolds (</w:t>
      </w:r>
      <w:r>
        <w:rPr>
          <w:rFonts w:ascii="Times New Roman" w:hAnsi="Times New Roman" w:eastAsia="Times New Roman" w:cs="Times New Roman"/>
          <w:i/>
          <w:color w:val="252525"/>
          <w:sz w:val="20"/>
          <w:szCs w:val="20"/>
        </w:rPr>
        <w:t>Tagetes spp</w:t>
      </w:r>
      <w:r>
        <w:rPr>
          <w:rFonts w:ascii="Times New Roman" w:hAnsi="Times New Roman" w:eastAsia="Times New Roman" w:cs="Times New Roman"/>
          <w:color w:val="252525"/>
          <w:sz w:val="20"/>
          <w:szCs w:val="20"/>
        </w:rPr>
        <w:t>.) have a tasty flavor, yet they can be dangerous in big quantities.</w:t>
      </w:r>
    </w:p>
    <w:p>
      <w:pPr>
        <w:numPr>
          <w:ilvl w:val="0"/>
          <w:numId w:val="7"/>
        </w:numPr>
        <w:tabs>
          <w:tab w:val="left" w:pos="720"/>
          <w:tab w:val="clear" w:pos="420"/>
        </w:tabs>
        <w:spacing w:after="0" w:line="240" w:lineRule="auto"/>
        <w:ind w:hanging="116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The edible petals of the oblong-shaped Begonia (</w:t>
      </w:r>
      <w:r>
        <w:rPr>
          <w:rFonts w:ascii="Times New Roman" w:hAnsi="Times New Roman" w:eastAsia="Times New Roman" w:cs="Times New Roman"/>
          <w:i/>
          <w:color w:val="252525"/>
          <w:sz w:val="20"/>
          <w:szCs w:val="20"/>
        </w:rPr>
        <w:t>Begonia tuberhybrida</w:t>
      </w:r>
      <w:r>
        <w:rPr>
          <w:rFonts w:ascii="Times New Roman" w:hAnsi="Times New Roman" w:eastAsia="Times New Roman" w:cs="Times New Roman"/>
          <w:color w:val="252525"/>
          <w:sz w:val="20"/>
          <w:szCs w:val="20"/>
        </w:rPr>
        <w:t>) plant. The petals contain oxalic acid and should only be consumed in moderation. People with gout, kidney stones, or rheumatism should also avoid eating the petals.</w:t>
      </w:r>
    </w:p>
    <w:p>
      <w:pPr>
        <w:numPr>
          <w:ilvl w:val="0"/>
          <w:numId w:val="7"/>
        </w:numPr>
        <w:tabs>
          <w:tab w:val="left" w:pos="720"/>
          <w:tab w:val="clear" w:pos="420"/>
        </w:tabs>
        <w:spacing w:after="0" w:line="240" w:lineRule="auto"/>
        <w:ind w:hanging="116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Borage (</w:t>
      </w:r>
      <w:r>
        <w:rPr>
          <w:rFonts w:ascii="Times New Roman" w:hAnsi="Times New Roman" w:eastAsia="Times New Roman" w:cs="Times New Roman"/>
          <w:i/>
          <w:color w:val="252525"/>
          <w:sz w:val="20"/>
          <w:szCs w:val="20"/>
        </w:rPr>
        <w:t>Borago fficittalis</w:t>
      </w:r>
      <w:r>
        <w:rPr>
          <w:rFonts w:ascii="Times New Roman" w:hAnsi="Times New Roman" w:eastAsia="Times New Roman" w:cs="Times New Roman"/>
          <w:color w:val="252525"/>
          <w:sz w:val="20"/>
          <w:szCs w:val="20"/>
        </w:rPr>
        <w:t>) flowers should be avoided by pregnant and lactating women since more than eight to ten blossoms can make milk flow. They ought not to be consumed in large quantities because they might also have a diuretic effect.</w:t>
      </w:r>
    </w:p>
    <w:p>
      <w:pPr>
        <w:numPr>
          <w:ilvl w:val="0"/>
          <w:numId w:val="7"/>
        </w:numPr>
        <w:tabs>
          <w:tab w:val="left" w:pos="720"/>
          <w:tab w:val="clear" w:pos="420"/>
        </w:tabs>
        <w:spacing w:after="0" w:line="240" w:lineRule="auto"/>
        <w:ind w:hanging="116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The true jasmine (</w:t>
      </w:r>
      <w:r>
        <w:rPr>
          <w:rFonts w:ascii="Times New Roman" w:hAnsi="Times New Roman" w:eastAsia="Times New Roman" w:cs="Times New Roman"/>
          <w:i/>
          <w:color w:val="252525"/>
          <w:sz w:val="20"/>
          <w:szCs w:val="20"/>
        </w:rPr>
        <w:t>Jasminum officinale</w:t>
      </w:r>
      <w:r>
        <w:rPr>
          <w:rFonts w:ascii="Times New Roman" w:hAnsi="Times New Roman" w:eastAsia="Times New Roman" w:cs="Times New Roman"/>
          <w:color w:val="252525"/>
          <w:sz w:val="20"/>
          <w:szCs w:val="20"/>
        </w:rPr>
        <w:t>) is edible, but the fake jasmine (</w:t>
      </w:r>
      <w:r>
        <w:rPr>
          <w:rFonts w:ascii="Times New Roman" w:hAnsi="Times New Roman" w:eastAsia="Times New Roman" w:cs="Times New Roman"/>
          <w:i/>
          <w:color w:val="252525"/>
          <w:sz w:val="20"/>
          <w:szCs w:val="20"/>
        </w:rPr>
        <w:t>Gelsemium sempervirens</w:t>
      </w:r>
      <w:r>
        <w:rPr>
          <w:rFonts w:ascii="Times New Roman" w:hAnsi="Times New Roman" w:eastAsia="Times New Roman" w:cs="Times New Roman"/>
          <w:color w:val="252525"/>
          <w:sz w:val="20"/>
          <w:szCs w:val="20"/>
        </w:rPr>
        <w:t>), which belongs to a completely different species, is too poisonous for eating by humans.</w:t>
      </w:r>
    </w:p>
    <w:p>
      <w:pPr>
        <w:numPr>
          <w:ilvl w:val="0"/>
          <w:numId w:val="7"/>
        </w:numPr>
        <w:tabs>
          <w:tab w:val="left" w:pos="720"/>
          <w:tab w:val="clear" w:pos="420"/>
        </w:tabs>
        <w:spacing w:after="0" w:line="240" w:lineRule="auto"/>
        <w:ind w:hanging="1160"/>
        <w:jc w:val="both"/>
        <w:rPr>
          <w:rFonts w:ascii="Times New Roman" w:hAnsi="Times New Roman" w:eastAsia="Times New Roman" w:cs="Times New Roman"/>
          <w:color w:val="252525"/>
          <w:sz w:val="20"/>
          <w:szCs w:val="20"/>
        </w:rPr>
      </w:pPr>
      <w:r>
        <w:rPr>
          <w:rFonts w:ascii="Times New Roman" w:hAnsi="Times New Roman" w:eastAsia="Times New Roman" w:cs="Times New Roman"/>
          <w:i/>
          <w:color w:val="252525"/>
          <w:sz w:val="20"/>
          <w:szCs w:val="20"/>
        </w:rPr>
        <w:t xml:space="preserve">Tagetes patula, Tagetes tenudolia, </w:t>
      </w:r>
      <w:r>
        <w:rPr>
          <w:rFonts w:ascii="Times New Roman" w:hAnsi="Times New Roman" w:eastAsia="Times New Roman" w:cs="Times New Roman"/>
          <w:color w:val="252525"/>
          <w:sz w:val="20"/>
          <w:szCs w:val="20"/>
        </w:rPr>
        <w:t>and</w:t>
      </w:r>
      <w:r>
        <w:rPr>
          <w:rFonts w:ascii="Times New Roman" w:hAnsi="Times New Roman" w:eastAsia="Times New Roman" w:cs="Times New Roman"/>
          <w:i/>
          <w:color w:val="252525"/>
          <w:sz w:val="20"/>
          <w:szCs w:val="20"/>
        </w:rPr>
        <w:t xml:space="preserve"> Tagetes patula x erecta</w:t>
      </w:r>
      <w:r>
        <w:rPr>
          <w:rFonts w:ascii="Times New Roman" w:hAnsi="Times New Roman" w:eastAsia="Times New Roman" w:cs="Times New Roman"/>
          <w:color w:val="252525"/>
          <w:sz w:val="20"/>
          <w:szCs w:val="20"/>
        </w:rPr>
        <w:t xml:space="preserve"> marigolds can be dangerous in excessive quantities. They should only be consumed in moderation and on rare occasions.</w:t>
      </w:r>
    </w:p>
    <w:p>
      <w:pPr>
        <w:numPr>
          <w:ilvl w:val="0"/>
          <w:numId w:val="7"/>
        </w:numPr>
        <w:tabs>
          <w:tab w:val="left" w:pos="720"/>
          <w:tab w:val="clear" w:pos="420"/>
        </w:tabs>
        <w:spacing w:after="0" w:line="240" w:lineRule="auto"/>
        <w:ind w:hanging="1160"/>
        <w:jc w:val="both"/>
        <w:rPr>
          <w:rFonts w:ascii="Times New Roman" w:hAnsi="Times New Roman" w:eastAsia="Times New Roman" w:cs="Times New Roman"/>
          <w:color w:val="252525"/>
          <w:sz w:val="20"/>
          <w:szCs w:val="20"/>
        </w:rPr>
      </w:pPr>
      <w:r>
        <w:rPr>
          <w:rFonts w:ascii="Times New Roman" w:hAnsi="Times New Roman" w:eastAsia="Times New Roman" w:cs="Times New Roman"/>
          <w:i/>
          <w:iCs/>
          <w:color w:val="252525"/>
          <w:sz w:val="20"/>
          <w:szCs w:val="20"/>
        </w:rPr>
        <w:t>Phlox paniculata,</w:t>
      </w:r>
      <w:r>
        <w:rPr>
          <w:rFonts w:ascii="Times New Roman" w:hAnsi="Times New Roman" w:eastAsia="Times New Roman" w:cs="Times New Roman"/>
          <w:color w:val="252525"/>
          <w:sz w:val="20"/>
          <w:szCs w:val="20"/>
        </w:rPr>
        <w:t xml:space="preserve"> a perennial, is the only type of phlox that is edible. Annual and low-growing varieties are not edible.</w:t>
      </w:r>
    </w:p>
    <w:p>
      <w:pPr>
        <w:tabs>
          <w:tab w:val="left" w:pos="420"/>
          <w:tab w:val="left" w:pos="720"/>
        </w:tabs>
        <w:spacing w:after="0" w:line="240" w:lineRule="auto"/>
        <w:ind w:left="1520"/>
        <w:jc w:val="both"/>
        <w:rPr>
          <w:rFonts w:ascii="Times New Roman" w:hAnsi="Times New Roman" w:eastAsia="Times New Roman" w:cs="Times New Roman"/>
          <w:color w:val="252525"/>
          <w:sz w:val="20"/>
          <w:szCs w:val="20"/>
        </w:rPr>
      </w:pPr>
    </w:p>
    <w:p>
      <w:pPr>
        <w:spacing w:after="0" w:line="240" w:lineRule="auto"/>
        <w:jc w:val="center"/>
        <w:rPr>
          <w:rFonts w:ascii="Times New Roman" w:hAnsi="Times New Roman" w:eastAsia="Times New Roman" w:cs="Times New Roman"/>
          <w:b/>
          <w:color w:val="252525"/>
          <w:sz w:val="20"/>
          <w:szCs w:val="20"/>
        </w:rPr>
      </w:pPr>
      <w:r>
        <w:rPr>
          <w:rFonts w:ascii="Times New Roman" w:hAnsi="Times New Roman" w:eastAsia="Times New Roman" w:cs="Times New Roman"/>
          <w:b/>
          <w:color w:val="252525"/>
          <w:sz w:val="20"/>
          <w:szCs w:val="20"/>
        </w:rPr>
        <w:t>IX. CONCLUSION</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Due to the increased gastronomic usage of EF and the interest of many businesses in novel ingredients for the creation of new goods, EF are gaining fresh attention globally and their market is growing. Different kinds of culinary preparations can benefit from the use of edible flowers to make them more appealing.</w:t>
      </w:r>
    </w:p>
    <w:p>
      <w:pPr>
        <w:spacing w:after="0" w:line="240" w:lineRule="auto"/>
        <w:ind w:firstLine="720"/>
        <w:jc w:val="both"/>
        <w:rPr>
          <w:rFonts w:ascii="Times New Roman" w:hAnsi="Times New Roman" w:cs="Times New Roman"/>
          <w:sz w:val="20"/>
          <w:szCs w:val="20"/>
        </w:rPr>
      </w:pPr>
      <w:r>
        <w:rPr>
          <w:rFonts w:ascii="Times New Roman" w:hAnsi="Times New Roman" w:eastAsia="Times New Roman" w:cs="Times New Roman"/>
          <w:color w:val="252525"/>
          <w:sz w:val="20"/>
          <w:szCs w:val="20"/>
        </w:rPr>
        <w:t>Although the inclusion of flowers in food may seem innovative, it is actually a holdover from earlier cultures. Due to this, many EF have their uses established via tradition; but, for many species, it is still required to gain a deeper understanding of the chemical makeup and, specifically, the maximum daily intake. To boost confidence and security in the use of these items, it is also essential that the knowledge reaches the manufacturers and customers. The large accumulation of bio active compounds may be a result of environmental stressors experienced during plant growth.</w:t>
      </w:r>
      <w:r>
        <w:rPr>
          <w:rFonts w:ascii="Times New Roman" w:hAnsi="Times New Roman" w:cs="Times New Roman"/>
          <w:sz w:val="20"/>
          <w:szCs w:val="20"/>
        </w:rPr>
        <w:t xml:space="preserve"> </w:t>
      </w:r>
    </w:p>
    <w:p>
      <w:pPr>
        <w:spacing w:after="0" w:line="240" w:lineRule="auto"/>
        <w:ind w:firstLine="720"/>
        <w:jc w:val="both"/>
        <w:rPr>
          <w:rFonts w:ascii="Times New Roman" w:hAnsi="Times New Roman" w:eastAsia="Times New Roman" w:cs="Times New Roman"/>
          <w:color w:val="252525"/>
          <w:sz w:val="20"/>
          <w:szCs w:val="20"/>
        </w:rPr>
      </w:pPr>
      <w:r>
        <w:rPr>
          <w:rFonts w:ascii="Times New Roman" w:hAnsi="Times New Roman" w:eastAsia="Times New Roman" w:cs="Times New Roman"/>
          <w:color w:val="252525"/>
          <w:sz w:val="20"/>
          <w:szCs w:val="20"/>
        </w:rPr>
        <w:t>Because emerging food with edible flowers can be produced for less money at a lesser environmental and economic cost, using wild plants may benefit the local economy.</w:t>
      </w:r>
      <w:r>
        <w:rPr>
          <w:rFonts w:ascii="Times New Roman" w:hAnsi="Times New Roman" w:cs="Times New Roman"/>
          <w:sz w:val="20"/>
          <w:szCs w:val="20"/>
        </w:rPr>
        <w:t xml:space="preserve"> </w:t>
      </w:r>
      <w:r>
        <w:rPr>
          <w:rFonts w:ascii="Times New Roman" w:hAnsi="Times New Roman" w:eastAsia="Times New Roman" w:cs="Times New Roman"/>
          <w:color w:val="252525"/>
          <w:sz w:val="20"/>
          <w:szCs w:val="20"/>
        </w:rPr>
        <w:t>Future evaluation and assessment of edible flowers' sensory qualities and post-harvest performances will be crucial to promoting their consumption.Furthermore, the produce could be standardized through improved cultivation procedures.</w:t>
      </w:r>
    </w:p>
    <w:p>
      <w:pPr>
        <w:spacing w:after="0" w:line="240" w:lineRule="auto"/>
        <w:ind w:firstLine="720"/>
        <w:jc w:val="both"/>
        <w:rPr>
          <w:rFonts w:ascii="Times New Roman" w:hAnsi="Times New Roman" w:eastAsia="Times New Roman" w:cs="Times New Roman"/>
          <w:color w:val="252525"/>
          <w:sz w:val="20"/>
          <w:szCs w:val="20"/>
        </w:rPr>
      </w:pPr>
    </w:p>
    <w:p>
      <w:pPr>
        <w:spacing w:after="0" w:line="240" w:lineRule="auto"/>
        <w:ind w:firstLine="720"/>
        <w:jc w:val="center"/>
        <w:rPr>
          <w:rFonts w:hint="default" w:ascii="Times New Roman" w:hAnsi="Times New Roman" w:eastAsia="Times New Roman" w:cs="Times New Roman"/>
          <w:b/>
          <w:bCs/>
          <w:color w:val="252525"/>
          <w:sz w:val="20"/>
          <w:szCs w:val="20"/>
          <w:lang w:val="en-US"/>
        </w:rPr>
      </w:pPr>
      <w:r>
        <w:rPr>
          <w:rFonts w:hint="default" w:ascii="Times New Roman" w:hAnsi="Times New Roman" w:eastAsia="Times New Roman" w:cs="Times New Roman"/>
          <w:b/>
          <w:bCs/>
          <w:color w:val="252525"/>
          <w:sz w:val="20"/>
          <w:szCs w:val="20"/>
          <w:lang w:val="en-US"/>
        </w:rPr>
        <w:t>X. Reference</w:t>
      </w:r>
    </w:p>
    <w:p>
      <w:pPr>
        <w:spacing w:after="0" w:line="240" w:lineRule="auto"/>
        <w:ind w:firstLine="720"/>
        <w:jc w:val="center"/>
        <w:rPr>
          <w:rFonts w:ascii="Times New Roman" w:hAnsi="Times New Roman" w:eastAsia="Times New Roman" w:cs="Times New Roman"/>
          <w:b/>
          <w:bCs/>
          <w:color w:val="252525"/>
          <w:sz w:val="20"/>
          <w:szCs w:val="20"/>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C. Abbet, R. Mayor, D. Roguet, R. Spichiger, M. Hamburger, and O. Potterat, "Ethnobotanical survey on wild alpine food plants in Lower and Central Valais (Switzerland)," Journal of ethnopharmacology, vol. 151, no. 1, pp. 624-634, 2014.</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A. L. Abelti, T. A. Teka, and G. Bultosa, "Review on edible water lilies and lotus: Future food, nutrition and their health benefits," Applied Food Research, vol. 3, no. 1, pp. 100264, 2023.</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A. E. Al-Snafi, "Pharmacology and medicinal properties of Jasminum officinale-a review," Indo American journal of pharmaceutical sciences, vol. 05, no. 04, pp. 2191-2197, 2018.</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V. Arya, D. Kumar, and M. Gautam, "Phytopharmacological review on flowers: Source of inspiration for drug discovery," Biomedicine &amp; Preventive Nutrition, vol. 4, no. 1, pp. 45-51, 2014.</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N. H. Chen and S. Wei, "Factors influencing consumers’ attitudes towards the consumption of edible flowers," Food Quality and Preference, vol. 56, pp. 93-100, 2017.</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A. Cloud, D. Vilcins, and B. McEwen, "The effect of hawthorn (Crataegus spp.) on blood pressure: a systematic review," Advances in Integrative Medicine, vol. 7, no. 3, pp. 167-175, 2020.</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T. A. Cookson, "Bacterial-induced blood pressure reduction: mechanisms for the treatment of hypertension via the gut," Frontiers in Cardiovascular Medicine, vol. 8, p. 721393, 2021.</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S. Demasi, M. Caser, D. Donno, S. R. Enri, M. Lonati, and V. Scariot, "Exploring wild edible flowers as a source of bioactive compounds: New perspectives in horticulture," Folia Horticulturae, vol. 33, no. 1, pp. 27-48, 2021.</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M. M. Egebjerg, P. T. Olesen, F. D. Eriksen, G. Ravn-Haren, L. Bredsdorff, and K. Pilegaard, "Are wild and cultivated flowers served in restaurants or sold by local producers in Denmark safe for the consumer?," Food and Chemical Toxicology, vol. 120, pp. 129-142, 2018.</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H. R. El-Seedi, M. Azeem, N. S. Khalil, H. H. Sakr, S. A. Khalifa, K. Awang, et al., "Essential oils of aromatic Egyptian plants repel nymphs of the tick Ixodes ricinus (Acari: Ixodidae)," Experimental and Applied Acarology, vol. 73, pp. 139-157, 2017.</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L. Fernandes, E. Ramalhosa, J. A. Pereira, J. A. Saraiva, and S. Casal, "Borage, camellia, centaurea and pansies: Nutritional, fatty acids, free sugars, vitamin E, carotenoids and organic acids characterization," Food Research International, vol. 132, p. 109070, 2020.</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F. L. Franzen, H. F. Lidório, and M. S. R. Oliveira, "Edible flower considerations as ingredients in food, medicine and cosmetics," Journal of Analytical and Pharmaceutical Research, vol. 7, no. 3, pp. 271-273, 2018.</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A. S. Hegde, S. Gupta, S. Sharma, V. Srivatsan, and P. Kumari, "Edible rose flowers: a doorway to gastronomic and nutraceutical research," Food Research International, p. 111977, 2022.</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K. Hughes, "Botanicals With Benefits: develop a new relationship with your garden: The Edible Flower Volume," Vallejo: EthnoPharm, 2020.</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O. Kaisoon, I. Konczak, and S. Siriamornpun, "Potential health enhancing properties of edible flowers from Thailand," Food research international, vol. 46, no. 2, pp. 563-571, 2012.</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E. Lara-Cortés, P. Osorio-Díaz, A. Jiménez-Aparicio, and S. Bautista-Baños, "Nutritional content, functional properties and conservation of edible flowers," Archivos Latinoamericanos de Nutricion, vol. 63, no. 3, pp. 197-208, 2013.</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T. Li, S. Fu, X. Huang, X. Zhang, Y. Cui, Z. Zhang, et al., "Biological properties and potential application of hawthorn and its major functional components: A review," Journal of Functional Foods, vol. 90, p. 104988, 2022.</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S. J. Maleki, J. F. Crespo, and B. Cabanillas, "Anti-inflammatory effects of flavonoids," Food chemistry, vol. 299, p. 125124, 2019.</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M. Mileva, Y. Ilieva, G. Jovtchev, S. Gateva, M. M. Zaharieva, A. Georgieva, et al., "Rose flowers—A delicate perfume or a natural healer?," Biomolecules, vol. 11, no. 1, p. 127, 2021.</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J. Mlcek and O. Rop, "Fresh edible flowers of ornamental plants–A new source of nutraceutical foods," Trends in Food Science &amp; Technology, vol. 22, no. 10, pp. 561-569, 2011.</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S. Mulík and C. Ozuna, "Mexican edible flowers: Cultural background, traditional culinary uses, and potential health benefits," International Journal of Gastronomy and Food Science, vol. 21, p. 100235, 2020.</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O. Rop, J. Mlcek, T. Jurikova, J. Neugebauerova, and J. Vabkova, "Edible flowers—a new promising source of mineral elements in human nutrition," Molecules, vol. 17, no. 6, pp. 6672-6683, 2012.</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I. C. D. Santos and S. N. Reis, "Edible flowers: traditional and current use," Ornamental Horticulture, vol. 27, pp. 438-445, 2021.</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L. F. Santos-Cruz, J. G. Ávila-Acevedo, D. Ortega-Capitaine, J. C. Ojeda-Duplancher, J. L. Perdigón-Moya, L. B. Hernández-Portilla, et al., "Verbascoside is not genotoxic in the ST and HB crosses of the Drosophila wing spot test, and its constituent, caffeic acid, decreases the spontaneous mutation rate in the ST cross," Food and chemical toxicology, vol. 50, no. 3-4, pp. 1082-1090, 2012.</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M. H. Shahrajabian, M. Khoshkharam, W. Sun, and Q. Cheng, "Lily bulbs, a super food and a herbal remedy," International Journal of Agriculture and Nutrition, vol. 2, no. 1, pp. 01-05, 2019.</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M. H. Shahrajabian, W. Sun, P. Zandi, and Q. Cheng, "A review of Chrysanthemum, the eastern queen in traditional Chinese medicine with healing power in modern pharmaceutical sciences," Applied Ecology &amp; Environmental Research, vol. 17, no. 6, 2019.</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S. Sultana, A. Khan, M. M. Safhi, and H. A. Alhazmi, "Cough suppressant herbal drugs: A review," Int. J. Pharm. Sci. Invent, vol. 5, no. 5, pp. 15-28, 2016.</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S. Talebi, P. Sharifan, A. N. Ostad, S. E. Shariati, A. M. Ghalibaf, M. Barati, et al., "The Antioxidant and Anti-inflammatory Properties of Chamomile and Its Constituents," Reviews in Clinical Medicine, vol. 9, no. 3, 2022.</w:t>
      </w:r>
    </w:p>
    <w:p>
      <w:pPr>
        <w:spacing w:after="0" w:line="240" w:lineRule="auto"/>
        <w:jc w:val="both"/>
        <w:rPr>
          <w:rFonts w:ascii="Times New Roman" w:hAnsi="Times New Roman" w:cs="Times New Roman"/>
          <w:sz w:val="16"/>
          <w:szCs w:val="16"/>
        </w:rPr>
      </w:pPr>
    </w:p>
    <w:p>
      <w:pPr>
        <w:pStyle w:val="11"/>
        <w:numPr>
          <w:ilvl w:val="0"/>
          <w:numId w:val="8"/>
        </w:numPr>
        <w:spacing w:after="0" w:line="240" w:lineRule="auto"/>
        <w:jc w:val="both"/>
        <w:rPr>
          <w:rFonts w:ascii="Times New Roman" w:hAnsi="Times New Roman" w:eastAsia="Times New Roman" w:cs="Times New Roman"/>
          <w:sz w:val="20"/>
          <w:szCs w:val="20"/>
        </w:rPr>
      </w:pPr>
      <w:r>
        <w:rPr>
          <w:rFonts w:ascii="Times New Roman" w:hAnsi="Times New Roman" w:cs="Times New Roman"/>
          <w:sz w:val="16"/>
          <w:szCs w:val="16"/>
        </w:rPr>
        <w:t>M. Wu, L. Liu, Y. Xing, S. Yang, H. Li, and Y. Cao, "Roles and mechanisms of hawthorn and its extracts on atherosclerosis: a review," Frontiers in pharmacology, vol. 11, p. 118, 2020.</w:t>
      </w:r>
    </w:p>
    <w:sectPr>
      <w:pgSz w:w="11906" w:h="16838"/>
      <w:pgMar w:top="1440" w:right="1440" w:bottom="1440" w:left="1440" w:header="720" w:footer="720" w:gutter="0"/>
      <w:cols w:space="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Latha">
    <w:panose1 w:val="020B0604020202020204"/>
    <w:charset w:val="00"/>
    <w:family w:val="swiss"/>
    <w:pitch w:val="default"/>
    <w:sig w:usb0="00100003"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5D892"/>
    <w:multiLevelType w:val="singleLevel"/>
    <w:tmpl w:val="9215D892"/>
    <w:lvl w:ilvl="0" w:tentative="0">
      <w:start w:val="1"/>
      <w:numFmt w:val="upperLetter"/>
      <w:suff w:val="space"/>
      <w:lvlText w:val="%1."/>
      <w:lvlJc w:val="left"/>
      <w:rPr>
        <w:rFonts w:hint="default"/>
        <w:b/>
        <w:bCs/>
      </w:rPr>
    </w:lvl>
  </w:abstractNum>
  <w:abstractNum w:abstractNumId="1">
    <w:nsid w:val="C9677207"/>
    <w:multiLevelType w:val="singleLevel"/>
    <w:tmpl w:val="C9677207"/>
    <w:lvl w:ilvl="0" w:tentative="0">
      <w:start w:val="1"/>
      <w:numFmt w:val="bullet"/>
      <w:lvlText w:val=""/>
      <w:lvlJc w:val="left"/>
      <w:pPr>
        <w:tabs>
          <w:tab w:val="left" w:pos="420"/>
        </w:tabs>
        <w:ind w:left="1520" w:hanging="420"/>
      </w:pPr>
      <w:rPr>
        <w:rFonts w:hint="default" w:ascii="Wingdings" w:hAnsi="Wingdings"/>
      </w:rPr>
    </w:lvl>
  </w:abstractNum>
  <w:abstractNum w:abstractNumId="2">
    <w:nsid w:val="D646FBB2"/>
    <w:multiLevelType w:val="singleLevel"/>
    <w:tmpl w:val="D646FBB2"/>
    <w:lvl w:ilvl="0" w:tentative="0">
      <w:start w:val="1"/>
      <w:numFmt w:val="upperLetter"/>
      <w:suff w:val="space"/>
      <w:lvlText w:val="%1."/>
      <w:lvlJc w:val="left"/>
    </w:lvl>
  </w:abstractNum>
  <w:abstractNum w:abstractNumId="3">
    <w:nsid w:val="06AE77D9"/>
    <w:multiLevelType w:val="multilevel"/>
    <w:tmpl w:val="06AE77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E2C6245"/>
    <w:multiLevelType w:val="multilevel"/>
    <w:tmpl w:val="0E2C62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E206471"/>
    <w:multiLevelType w:val="multilevel"/>
    <w:tmpl w:val="1E20647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0DB2997"/>
    <w:multiLevelType w:val="multilevel"/>
    <w:tmpl w:val="50DB29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3E517D8"/>
    <w:multiLevelType w:val="singleLevel"/>
    <w:tmpl w:val="53E517D8"/>
    <w:lvl w:ilvl="0" w:tentative="0">
      <w:start w:val="1"/>
      <w:numFmt w:val="upperRoman"/>
      <w:suff w:val="space"/>
      <w:lvlText w:val="%1."/>
      <w:lvlJc w:val="left"/>
    </w:lvl>
  </w:abstractNum>
  <w:num w:numId="1">
    <w:abstractNumId w:val="7"/>
  </w:num>
  <w:num w:numId="2">
    <w:abstractNumId w:val="0"/>
  </w:num>
  <w:num w:numId="3">
    <w:abstractNumId w:val="2"/>
  </w:num>
  <w:num w:numId="4">
    <w:abstractNumId w:val="6"/>
  </w:num>
  <w:num w:numId="5">
    <w:abstractNumId w:val="3"/>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documentProtection w:enforcement="0"/>
  <w:defaultTabStop w:val="720"/>
  <w:drawingGridVerticalSpacing w:val="156"/>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how All Fiel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5403069F"/>
    <w:rsid w:val="000C192A"/>
    <w:rsid w:val="000F4FCC"/>
    <w:rsid w:val="002551F4"/>
    <w:rsid w:val="002554E1"/>
    <w:rsid w:val="003A397F"/>
    <w:rsid w:val="003D1C00"/>
    <w:rsid w:val="00426BF7"/>
    <w:rsid w:val="00456623"/>
    <w:rsid w:val="004874EC"/>
    <w:rsid w:val="004B7100"/>
    <w:rsid w:val="0064311F"/>
    <w:rsid w:val="007141CD"/>
    <w:rsid w:val="007D7708"/>
    <w:rsid w:val="008873A5"/>
    <w:rsid w:val="008D0077"/>
    <w:rsid w:val="009423D1"/>
    <w:rsid w:val="009B3535"/>
    <w:rsid w:val="00A46D1F"/>
    <w:rsid w:val="00AC2E6C"/>
    <w:rsid w:val="00B65898"/>
    <w:rsid w:val="00BE3121"/>
    <w:rsid w:val="00C26149"/>
    <w:rsid w:val="00C62EF9"/>
    <w:rsid w:val="00D57AA5"/>
    <w:rsid w:val="00F840D4"/>
    <w:rsid w:val="03CF762F"/>
    <w:rsid w:val="24E130A3"/>
    <w:rsid w:val="49C71546"/>
    <w:rsid w:val="50970D53"/>
    <w:rsid w:val="5403069F"/>
    <w:rsid w:val="556250F9"/>
    <w:rsid w:val="575C4FC3"/>
    <w:rsid w:val="5D025FBE"/>
    <w:rsid w:val="6F8E4F39"/>
    <w:rsid w:val="78510BE1"/>
    <w:rsid w:val="7A3F6069"/>
    <w:rsid w:val="7C72191C"/>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2"/>
    <w:basedOn w:val="1"/>
    <w:next w:val="1"/>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3">
    <w:name w:val="heading 3"/>
    <w:basedOn w:val="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en-IN"/>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3"/>
    <w:qFormat/>
    <w:uiPriority w:val="0"/>
    <w:pPr>
      <w:spacing w:after="0" w:line="240" w:lineRule="auto"/>
    </w:pPr>
    <w:rPr>
      <w:rFonts w:ascii="Tahoma" w:hAnsi="Tahoma" w:cs="Tahoma"/>
      <w:sz w:val="16"/>
      <w:szCs w:val="16"/>
    </w:rPr>
  </w:style>
  <w:style w:type="character" w:styleId="7">
    <w:name w:val="Emphasis"/>
    <w:basedOn w:val="4"/>
    <w:qFormat/>
    <w:uiPriority w:val="0"/>
    <w:rPr>
      <w:i/>
      <w:iCs/>
    </w:rPr>
  </w:style>
  <w:style w:type="character" w:styleId="8">
    <w:name w:val="Hyperlink"/>
    <w:basedOn w:val="4"/>
    <w:semiHidden/>
    <w:unhideWhenUsed/>
    <w:qFormat/>
    <w:uiPriority w:val="99"/>
    <w:rPr>
      <w:color w:val="0000FF"/>
      <w:u w:val="single"/>
    </w:r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table" w:styleId="10">
    <w:name w:val="Table Grid"/>
    <w:basedOn w:val="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1">
    <w:name w:val="List Paragraph"/>
    <w:basedOn w:val="1"/>
    <w:qFormat/>
    <w:uiPriority w:val="34"/>
    <w:pPr>
      <w:ind w:left="720"/>
      <w:contextualSpacing/>
    </w:pPr>
  </w:style>
  <w:style w:type="character" w:customStyle="1" w:styleId="12">
    <w:name w:val="mw-headline"/>
    <w:basedOn w:val="4"/>
    <w:qFormat/>
    <w:uiPriority w:val="0"/>
  </w:style>
  <w:style w:type="character" w:customStyle="1" w:styleId="13">
    <w:name w:val="Balloon Text Char"/>
    <w:basedOn w:val="4"/>
    <w:link w:val="6"/>
    <w:qFormat/>
    <w:uiPriority w:val="0"/>
    <w:rPr>
      <w:rFonts w:ascii="Tahoma" w:hAnsi="Tahoma" w:cs="Tahoma" w:eastAsiaTheme="minorEastAsia"/>
      <w:sz w:val="16"/>
      <w:szCs w:val="16"/>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F375A99-5D2E-4405-B917-43A713F60306}">
  <ds:schemaRefs/>
</ds:datastoreItem>
</file>

<file path=docProps/app.xml><?xml version="1.0" encoding="utf-8"?>
<Properties xmlns="http://schemas.openxmlformats.org/officeDocument/2006/extended-properties" xmlns:vt="http://schemas.openxmlformats.org/officeDocument/2006/docPropsVTypes">
  <Template>Normal</Template>
  <Pages>9</Pages>
  <Words>4837</Words>
  <Characters>27572</Characters>
  <Lines>229</Lines>
  <Paragraphs>64</Paragraphs>
  <TotalTime>168</TotalTime>
  <ScaleCrop>false</ScaleCrop>
  <LinksUpToDate>false</LinksUpToDate>
  <CharactersWithSpaces>32345</CharactersWithSpaces>
  <Application>WPS Office_12.2.0.13085_F1E327BC-269C-435d-A152-05C5408002CA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2023-07-27T01:15:00Z</dcterms:created>
  <dc:creator>Gokila Rajendran</dc:creator>
  <cp:lastModifiedBy>Gokila</cp:lastModifiedBy>
  <dcterms:modified xsi:type="dcterms:W3CDTF">2023-08-04T22:01:41Z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1033-12.2.0.13085</vt:lpwstr>
  </property>
  <property fmtid="{D5CDD505-2E9C-101B-9397-08002B2CF9AE}" pid="3" name="ICV">
    <vt:lpwstr>B16BD09891254765BF59384B0491D766_11</vt:lpwstr>
  </property>
  <property fmtid="{D5CDD505-2E9C-101B-9397-08002B2CF9AE}" pid="4" name="GrammarlyDocumentId">
    <vt:lpwstr>ad371843d47e578fcb036e4b4637f61a21faca7054bea485e93c61b0420daecb</vt:lpwstr>
  </property>
</Properties>
</file>