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661" w:rsidRPr="00516955" w:rsidRDefault="002E123F" w:rsidP="00516955">
      <w:pPr>
        <w:jc w:val="center"/>
        <w:rPr>
          <w:rFonts w:ascii="Times New Roman" w:hAnsi="Times New Roman" w:cs="Times New Roman"/>
          <w:i/>
          <w:color w:val="000000" w:themeColor="text1"/>
          <w:sz w:val="32"/>
          <w:szCs w:val="32"/>
        </w:rPr>
      </w:pPr>
      <w:r w:rsidRPr="00516955">
        <w:rPr>
          <w:rFonts w:ascii="Times New Roman" w:hAnsi="Times New Roman" w:cs="Times New Roman"/>
          <w:i/>
          <w:color w:val="000000" w:themeColor="text1"/>
          <w:sz w:val="32"/>
          <w:szCs w:val="32"/>
        </w:rPr>
        <w:t xml:space="preserve">De Novo drug </w:t>
      </w:r>
      <w:r w:rsidR="00516955" w:rsidRPr="00516955">
        <w:rPr>
          <w:rFonts w:ascii="Times New Roman" w:hAnsi="Times New Roman" w:cs="Times New Roman"/>
          <w:i/>
          <w:color w:val="000000" w:themeColor="text1"/>
          <w:sz w:val="32"/>
          <w:szCs w:val="32"/>
        </w:rPr>
        <w:t>designing</w:t>
      </w:r>
      <w:r w:rsidRPr="00516955">
        <w:rPr>
          <w:rFonts w:ascii="Times New Roman" w:hAnsi="Times New Roman" w:cs="Times New Roman"/>
          <w:i/>
          <w:color w:val="000000" w:themeColor="text1"/>
          <w:sz w:val="32"/>
          <w:szCs w:val="32"/>
        </w:rPr>
        <w:t xml:space="preserve"> </w:t>
      </w:r>
      <w:r w:rsidR="00516955">
        <w:rPr>
          <w:rFonts w:ascii="Times New Roman" w:eastAsiaTheme="majorEastAsia" w:hAnsi="Times New Roman" w:cs="Times New Roman"/>
          <w:bCs/>
          <w:i/>
          <w:color w:val="000000" w:themeColor="text1"/>
          <w:sz w:val="32"/>
          <w:szCs w:val="32"/>
        </w:rPr>
        <w:t>for</w:t>
      </w:r>
      <w:r w:rsidR="00516955" w:rsidRPr="00516955">
        <w:rPr>
          <w:rFonts w:ascii="Times New Roman" w:eastAsiaTheme="majorEastAsia" w:hAnsi="Times New Roman" w:cs="Times New Roman"/>
          <w:bCs/>
          <w:i/>
          <w:color w:val="000000" w:themeColor="text1"/>
          <w:sz w:val="32"/>
          <w:szCs w:val="32"/>
        </w:rPr>
        <w:t xml:space="preserve"> Influenza A virus H11N9, </w:t>
      </w:r>
      <w:r w:rsidR="00516955">
        <w:rPr>
          <w:rFonts w:ascii="Times New Roman" w:eastAsiaTheme="majorEastAsia" w:hAnsi="Times New Roman" w:cs="Times New Roman"/>
          <w:bCs/>
          <w:i/>
          <w:color w:val="000000" w:themeColor="text1"/>
          <w:sz w:val="32"/>
          <w:szCs w:val="32"/>
        </w:rPr>
        <w:t>lead</w:t>
      </w:r>
      <w:r w:rsidR="008860BD">
        <w:rPr>
          <w:rFonts w:ascii="Times New Roman" w:eastAsiaTheme="majorEastAsia" w:hAnsi="Times New Roman" w:cs="Times New Roman"/>
          <w:bCs/>
          <w:i/>
          <w:color w:val="000000" w:themeColor="text1"/>
          <w:sz w:val="32"/>
          <w:szCs w:val="32"/>
        </w:rPr>
        <w:t xml:space="preserve"> for</w:t>
      </w:r>
      <w:r w:rsidR="00516955" w:rsidRPr="00516955">
        <w:rPr>
          <w:rFonts w:ascii="Times New Roman" w:eastAsiaTheme="majorEastAsia" w:hAnsi="Times New Roman" w:cs="Times New Roman"/>
          <w:bCs/>
          <w:i/>
          <w:color w:val="000000" w:themeColor="text1"/>
          <w:sz w:val="32"/>
          <w:szCs w:val="32"/>
        </w:rPr>
        <w:t xml:space="preserve"> neuraminidase inhibitors,</w:t>
      </w:r>
    </w:p>
    <w:p w:rsidR="00633661" w:rsidRPr="00633661" w:rsidRDefault="00633661" w:rsidP="00633661">
      <w:pPr>
        <w:spacing w:after="0" w:line="240" w:lineRule="auto"/>
        <w:jc w:val="center"/>
        <w:rPr>
          <w:rFonts w:ascii="Times New Roman" w:eastAsia="Times New Roman" w:hAnsi="Times New Roman" w:cs="Times New Roman"/>
          <w:sz w:val="24"/>
          <w:szCs w:val="24"/>
        </w:rPr>
      </w:pPr>
    </w:p>
    <w:p w:rsidR="00633661" w:rsidRPr="00633661" w:rsidRDefault="00633661" w:rsidP="00633661">
      <w:pPr>
        <w:tabs>
          <w:tab w:val="left" w:pos="5340"/>
        </w:tabs>
        <w:spacing w:line="276" w:lineRule="auto"/>
        <w:jc w:val="both"/>
        <w:rPr>
          <w:rFonts w:ascii="Times New Roman" w:eastAsia="Times New Roman" w:hAnsi="Times New Roman" w:cs="Times New Roman"/>
          <w:sz w:val="24"/>
          <w:szCs w:val="24"/>
        </w:rPr>
      </w:pPr>
      <w:r w:rsidRPr="00633661">
        <w:rPr>
          <w:rFonts w:ascii="Times New Roman" w:eastAsia="Times New Roman" w:hAnsi="Times New Roman" w:cs="Times New Roman"/>
          <w:sz w:val="24"/>
          <w:szCs w:val="24"/>
        </w:rPr>
        <w:t xml:space="preserve"> Archana Tomer</w:t>
      </w:r>
      <w:r w:rsidRPr="00633661">
        <w:rPr>
          <w:rFonts w:ascii="Times New Roman" w:eastAsia="Times New Roman" w:hAnsi="Times New Roman" w:cs="Times New Roman"/>
          <w:sz w:val="24"/>
          <w:szCs w:val="24"/>
          <w:vertAlign w:val="superscript"/>
        </w:rPr>
        <w:t>1a</w:t>
      </w:r>
      <w:r w:rsidRPr="00633661">
        <w:rPr>
          <w:rFonts w:ascii="Times New Roman" w:eastAsia="Times New Roman" w:hAnsi="Times New Roman" w:cs="Times New Roman"/>
          <w:sz w:val="24"/>
          <w:szCs w:val="24"/>
        </w:rPr>
        <w:t>*, VishnuVats</w:t>
      </w:r>
      <w:r w:rsidRPr="00633661">
        <w:rPr>
          <w:rFonts w:ascii="Times New Roman" w:eastAsia="Times New Roman" w:hAnsi="Times New Roman" w:cs="Times New Roman"/>
          <w:sz w:val="24"/>
          <w:szCs w:val="24"/>
          <w:vertAlign w:val="superscript"/>
        </w:rPr>
        <w:t>2b</w:t>
      </w:r>
      <w:r w:rsidRPr="00633661">
        <w:rPr>
          <w:rFonts w:ascii="Times New Roman" w:eastAsia="Times New Roman" w:hAnsi="Times New Roman" w:cs="Times New Roman"/>
          <w:sz w:val="24"/>
          <w:szCs w:val="24"/>
        </w:rPr>
        <w:t>, Pravita Kumar</w:t>
      </w:r>
      <w:r w:rsidRPr="00633661">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vertAlign w:val="superscript"/>
        </w:rPr>
        <w:t>c</w:t>
      </w:r>
      <w:r w:rsidRPr="00633661">
        <w:rPr>
          <w:rFonts w:ascii="Times New Roman" w:eastAsia="Times New Roman" w:hAnsi="Times New Roman" w:cs="Times New Roman"/>
          <w:sz w:val="24"/>
          <w:szCs w:val="24"/>
        </w:rPr>
        <w:t>, Yogendra Kumar</w:t>
      </w:r>
      <w:r>
        <w:rPr>
          <w:rFonts w:ascii="Times New Roman" w:eastAsia="Times New Roman" w:hAnsi="Times New Roman" w:cs="Times New Roman"/>
          <w:sz w:val="24"/>
          <w:szCs w:val="24"/>
          <w:vertAlign w:val="superscript"/>
        </w:rPr>
        <w:t>3d</w:t>
      </w:r>
      <w:r w:rsidRPr="00633661">
        <w:rPr>
          <w:rFonts w:ascii="Times New Roman" w:eastAsia="Times New Roman" w:hAnsi="Times New Roman" w:cs="Times New Roman"/>
          <w:sz w:val="24"/>
          <w:szCs w:val="24"/>
        </w:rPr>
        <w:t>, Anjana Sarkar</w:t>
      </w:r>
      <w:r>
        <w:rPr>
          <w:rFonts w:ascii="Times New Roman" w:eastAsia="Times New Roman" w:hAnsi="Times New Roman" w:cs="Times New Roman"/>
          <w:sz w:val="24"/>
          <w:szCs w:val="24"/>
          <w:vertAlign w:val="superscript"/>
        </w:rPr>
        <w:t>1e</w:t>
      </w:r>
    </w:p>
    <w:p w:rsidR="00633661" w:rsidRPr="00633661" w:rsidRDefault="00633661" w:rsidP="00633661">
      <w:pPr>
        <w:spacing w:line="276" w:lineRule="auto"/>
        <w:jc w:val="both"/>
        <w:rPr>
          <w:rFonts w:ascii="Times New Roman" w:eastAsia="Times New Roman" w:hAnsi="Times New Roman" w:cs="Times New Roman"/>
          <w:sz w:val="24"/>
          <w:szCs w:val="24"/>
        </w:rPr>
      </w:pPr>
      <w:r w:rsidRPr="00633661">
        <w:rPr>
          <w:rFonts w:ascii="Times New Roman" w:eastAsia="Times New Roman" w:hAnsi="Times New Roman" w:cs="Times New Roman"/>
          <w:sz w:val="24"/>
          <w:szCs w:val="24"/>
          <w:vertAlign w:val="superscript"/>
        </w:rPr>
        <w:t>1</w:t>
      </w:r>
      <w:r w:rsidRPr="00633661">
        <w:rPr>
          <w:rFonts w:ascii="Times New Roman" w:eastAsia="Times New Roman" w:hAnsi="Times New Roman" w:cs="Times New Roman"/>
          <w:sz w:val="24"/>
          <w:szCs w:val="24"/>
        </w:rPr>
        <w:t>Dept. of Chemistry, Netaji Subhas University of Technology (N.S.U.T), erstwhile N.S.I.T, Azad Hind Fauj Marg, Dwarka, Delhi-110078</w:t>
      </w:r>
    </w:p>
    <w:p w:rsidR="00633661" w:rsidRPr="00633661" w:rsidRDefault="00633661" w:rsidP="00633661">
      <w:pPr>
        <w:spacing w:line="276" w:lineRule="auto"/>
        <w:jc w:val="both"/>
        <w:rPr>
          <w:rFonts w:ascii="Times New Roman" w:eastAsia="Times New Roman" w:hAnsi="Times New Roman" w:cs="Times New Roman"/>
          <w:sz w:val="24"/>
          <w:szCs w:val="24"/>
        </w:rPr>
      </w:pPr>
      <w:r w:rsidRPr="00633661">
        <w:rPr>
          <w:rFonts w:ascii="Times New Roman" w:eastAsia="Times New Roman" w:hAnsi="Times New Roman" w:cs="Times New Roman"/>
          <w:sz w:val="24"/>
          <w:szCs w:val="24"/>
          <w:vertAlign w:val="superscript"/>
        </w:rPr>
        <w:t>2</w:t>
      </w:r>
      <w:r w:rsidRPr="00633661">
        <w:rPr>
          <w:rFonts w:ascii="Times New Roman" w:eastAsia="Times New Roman" w:hAnsi="Times New Roman" w:cs="Times New Roman"/>
          <w:sz w:val="24"/>
          <w:szCs w:val="24"/>
        </w:rPr>
        <w:t>G.B Pant DSEU Okhla-1 Campus, Delhi-110020</w:t>
      </w:r>
    </w:p>
    <w:p w:rsidR="00633661" w:rsidRPr="00633661" w:rsidRDefault="00633661" w:rsidP="00633661">
      <w:pPr>
        <w:spacing w:line="276" w:lineRule="auto"/>
        <w:jc w:val="both"/>
        <w:rPr>
          <w:rFonts w:ascii="Times New Roman" w:eastAsia="Times New Roman" w:hAnsi="Times New Roman" w:cs="Times New Roman"/>
          <w:sz w:val="24"/>
          <w:szCs w:val="24"/>
        </w:rPr>
      </w:pPr>
      <w:r w:rsidRPr="00633661">
        <w:rPr>
          <w:rFonts w:ascii="Times New Roman" w:eastAsia="Times New Roman" w:hAnsi="Times New Roman" w:cs="Times New Roman"/>
          <w:sz w:val="24"/>
          <w:szCs w:val="24"/>
          <w:vertAlign w:val="superscript"/>
        </w:rPr>
        <w:t>3</w:t>
      </w:r>
      <w:r w:rsidRPr="00633661">
        <w:rPr>
          <w:rFonts w:ascii="Times New Roman" w:eastAsia="Times New Roman" w:hAnsi="Times New Roman" w:cs="Times New Roman"/>
          <w:sz w:val="24"/>
          <w:szCs w:val="24"/>
        </w:rPr>
        <w:t>Sri Aurobindo College Delhi (Delhi University)-110062</w:t>
      </w:r>
    </w:p>
    <w:p w:rsidR="00633661" w:rsidRPr="00633661" w:rsidRDefault="00633661" w:rsidP="00633661">
      <w:pPr>
        <w:spacing w:line="276" w:lineRule="auto"/>
        <w:jc w:val="both"/>
        <w:rPr>
          <w:rFonts w:ascii="Times New Roman" w:eastAsia="Times New Roman" w:hAnsi="Times New Roman" w:cs="Times New Roman"/>
          <w:sz w:val="24"/>
          <w:szCs w:val="24"/>
        </w:rPr>
      </w:pPr>
      <w:r w:rsidRPr="00633661">
        <w:rPr>
          <w:rFonts w:ascii="Times New Roman" w:hAnsi="Times New Roman" w:cs="Times New Roman"/>
          <w:sz w:val="24"/>
          <w:szCs w:val="24"/>
          <w:vertAlign w:val="superscript"/>
        </w:rPr>
        <w:t>a</w:t>
      </w:r>
      <w:hyperlink r:id="rId8" w:history="1">
        <w:r w:rsidRPr="00633661">
          <w:rPr>
            <w:rFonts w:ascii="Times New Roman" w:eastAsia="Times New Roman" w:hAnsi="Times New Roman" w:cs="Times New Roman"/>
            <w:color w:val="0563C1" w:themeColor="hyperlink"/>
            <w:sz w:val="24"/>
            <w:szCs w:val="24"/>
            <w:u w:val="single"/>
          </w:rPr>
          <w:t>Archana.organic17@gmail.com</w:t>
        </w:r>
      </w:hyperlink>
      <w:r w:rsidRPr="00633661">
        <w:rPr>
          <w:rFonts w:ascii="Times New Roman" w:eastAsia="Times New Roman" w:hAnsi="Times New Roman" w:cs="Times New Roman"/>
          <w:color w:val="0563C1" w:themeColor="hyperlink"/>
          <w:sz w:val="24"/>
          <w:szCs w:val="24"/>
          <w:u w:val="single"/>
        </w:rPr>
        <w:t>,</w:t>
      </w:r>
      <w:r w:rsidRPr="00633661">
        <w:rPr>
          <w:rFonts w:ascii="Times New Roman" w:eastAsia="Times New Roman" w:hAnsi="Times New Roman" w:cs="Times New Roman"/>
          <w:sz w:val="24"/>
          <w:szCs w:val="24"/>
        </w:rPr>
        <w:t xml:space="preserve"> </w:t>
      </w:r>
      <w:r w:rsidRPr="00633661">
        <w:rPr>
          <w:rFonts w:ascii="Times New Roman" w:eastAsia="Times New Roman" w:hAnsi="Times New Roman" w:cs="Times New Roman"/>
          <w:sz w:val="24"/>
          <w:szCs w:val="24"/>
          <w:vertAlign w:val="superscript"/>
        </w:rPr>
        <w:t>b</w:t>
      </w:r>
      <w:hyperlink r:id="rId9" w:history="1">
        <w:r w:rsidRPr="00633661">
          <w:rPr>
            <w:rFonts w:ascii="Times New Roman" w:eastAsia="Times New Roman" w:hAnsi="Times New Roman" w:cs="Times New Roman"/>
            <w:color w:val="0563C1" w:themeColor="hyperlink"/>
            <w:sz w:val="24"/>
            <w:szCs w:val="24"/>
            <w:u w:val="single"/>
          </w:rPr>
          <w:t>Vishnu.vats@dseu.ac.in</w:t>
        </w:r>
      </w:hyperlink>
      <w:r w:rsidRPr="00633661">
        <w:rPr>
          <w:rFonts w:ascii="Times New Roman" w:eastAsia="Times New Roman" w:hAnsi="Times New Roman" w:cs="Times New Roman"/>
          <w:color w:val="0563C1" w:themeColor="hyperlink"/>
          <w:sz w:val="24"/>
          <w:szCs w:val="24"/>
          <w:u w:val="single"/>
        </w:rPr>
        <w:t>,</w:t>
      </w:r>
      <w:r w:rsidRPr="006336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c</w:t>
      </w:r>
      <w:hyperlink r:id="rId10" w:history="1">
        <w:r w:rsidRPr="00633661">
          <w:rPr>
            <w:rFonts w:ascii="Times New Roman" w:eastAsia="Times New Roman" w:hAnsi="Times New Roman" w:cs="Times New Roman"/>
            <w:color w:val="0563C1" w:themeColor="hyperlink"/>
            <w:sz w:val="24"/>
            <w:szCs w:val="24"/>
            <w:u w:val="single"/>
          </w:rPr>
          <w:t>dr_yogendrak@yahoo.com</w:t>
        </w:r>
      </w:hyperlink>
      <w:r w:rsidRPr="00633661">
        <w:rPr>
          <w:rFonts w:ascii="Times New Roman" w:eastAsia="Times New Roman" w:hAnsi="Times New Roman" w:cs="Times New Roman"/>
          <w:color w:val="0563C1" w:themeColor="hyperlink"/>
          <w:sz w:val="24"/>
          <w:szCs w:val="24"/>
          <w:u w:val="single"/>
        </w:rPr>
        <w:t>,</w:t>
      </w:r>
      <w:r w:rsidRPr="00633661">
        <w:rPr>
          <w:rFonts w:ascii="Times New Roman" w:eastAsia="Times New Roman" w:hAnsi="Times New Roman" w:cs="Times New Roman"/>
          <w:sz w:val="24"/>
          <w:szCs w:val="24"/>
        </w:rPr>
        <w:t xml:space="preserve"> </w:t>
      </w:r>
      <w:r w:rsidR="00C05E34">
        <w:rPr>
          <w:rFonts w:ascii="Times New Roman" w:eastAsia="Times New Roman" w:hAnsi="Times New Roman" w:cs="Times New Roman"/>
          <w:sz w:val="24"/>
          <w:szCs w:val="24"/>
          <w:vertAlign w:val="superscript"/>
        </w:rPr>
        <w:t>d</w:t>
      </w:r>
      <w:hyperlink r:id="rId11" w:history="1">
        <w:r w:rsidRPr="00633661">
          <w:rPr>
            <w:rFonts w:ascii="Times New Roman" w:eastAsia="Times New Roman" w:hAnsi="Times New Roman" w:cs="Times New Roman"/>
            <w:color w:val="0563C1" w:themeColor="hyperlink"/>
            <w:sz w:val="24"/>
            <w:szCs w:val="24"/>
            <w:u w:val="single"/>
          </w:rPr>
          <w:t>Pravita.kumar@gmail.com</w:t>
        </w:r>
      </w:hyperlink>
      <w:r w:rsidRPr="00633661">
        <w:rPr>
          <w:rFonts w:ascii="Times New Roman" w:eastAsia="Times New Roman" w:hAnsi="Times New Roman" w:cs="Times New Roman"/>
          <w:color w:val="0563C1" w:themeColor="hyperlink"/>
          <w:sz w:val="24"/>
          <w:szCs w:val="24"/>
          <w:u w:val="single"/>
        </w:rPr>
        <w:t>,</w:t>
      </w:r>
      <w:r w:rsidRPr="00633661">
        <w:rPr>
          <w:rFonts w:ascii="Times New Roman" w:eastAsia="Times New Roman" w:hAnsi="Times New Roman" w:cs="Times New Roman"/>
          <w:sz w:val="24"/>
          <w:szCs w:val="24"/>
        </w:rPr>
        <w:t xml:space="preserve">   </w:t>
      </w:r>
      <w:r w:rsidR="00C05E34">
        <w:rPr>
          <w:rFonts w:ascii="Times New Roman" w:eastAsia="Times New Roman" w:hAnsi="Times New Roman" w:cs="Times New Roman"/>
          <w:sz w:val="24"/>
          <w:szCs w:val="24"/>
          <w:vertAlign w:val="superscript"/>
        </w:rPr>
        <w:t>e</w:t>
      </w:r>
      <w:r w:rsidRPr="00633661">
        <w:rPr>
          <w:rFonts w:ascii="Times New Roman" w:eastAsia="Times New Roman" w:hAnsi="Times New Roman" w:cs="Times New Roman"/>
          <w:sz w:val="24"/>
          <w:szCs w:val="24"/>
        </w:rPr>
        <w:t>anjisarkar@gmail.com</w:t>
      </w:r>
    </w:p>
    <w:p w:rsidR="00633661" w:rsidRPr="00633661" w:rsidRDefault="00633661" w:rsidP="00633661">
      <w:pPr>
        <w:spacing w:line="276" w:lineRule="auto"/>
        <w:jc w:val="both"/>
        <w:rPr>
          <w:rFonts w:ascii="Times New Roman" w:eastAsia="Times New Roman" w:hAnsi="Times New Roman" w:cs="Times New Roman"/>
          <w:sz w:val="24"/>
          <w:szCs w:val="24"/>
        </w:rPr>
      </w:pPr>
      <w:r w:rsidRPr="00633661">
        <w:rPr>
          <w:rFonts w:ascii="Times New Roman" w:eastAsia="Times New Roman" w:hAnsi="Times New Roman" w:cs="Times New Roman"/>
          <w:sz w:val="24"/>
          <w:szCs w:val="24"/>
        </w:rPr>
        <w:t>*Corresponding author</w:t>
      </w:r>
    </w:p>
    <w:p w:rsidR="00633661" w:rsidRPr="00633661" w:rsidRDefault="00633661" w:rsidP="00633661">
      <w:pPr>
        <w:spacing w:line="276" w:lineRule="auto"/>
        <w:jc w:val="both"/>
        <w:rPr>
          <w:rFonts w:ascii="Times New Roman" w:eastAsia="Times New Roman" w:hAnsi="Times New Roman" w:cs="Times New Roman"/>
          <w:sz w:val="24"/>
          <w:szCs w:val="24"/>
        </w:rPr>
      </w:pPr>
    </w:p>
    <w:p w:rsidR="00633661" w:rsidRDefault="00633661" w:rsidP="000B040B">
      <w:pPr>
        <w:rPr>
          <w:rFonts w:ascii="Times New Roman" w:hAnsi="Times New Roman" w:cs="Times New Roman"/>
          <w:b/>
          <w:color w:val="000000" w:themeColor="text1"/>
          <w:sz w:val="32"/>
          <w:szCs w:val="32"/>
        </w:rPr>
      </w:pPr>
    </w:p>
    <w:p w:rsidR="00A4546E" w:rsidRPr="00A4546E" w:rsidRDefault="00A4546E" w:rsidP="000B040B">
      <w:pPr>
        <w:rPr>
          <w:rFonts w:ascii="Times New Roman" w:hAnsi="Times New Roman" w:cs="Times New Roman"/>
          <w:b/>
          <w:color w:val="000000" w:themeColor="text1"/>
          <w:sz w:val="32"/>
          <w:szCs w:val="32"/>
        </w:rPr>
      </w:pPr>
      <w:r w:rsidRPr="00A4546E">
        <w:rPr>
          <w:rFonts w:ascii="Times New Roman" w:hAnsi="Times New Roman" w:cs="Times New Roman"/>
          <w:b/>
          <w:color w:val="000000" w:themeColor="text1"/>
          <w:sz w:val="32"/>
          <w:szCs w:val="32"/>
        </w:rPr>
        <w:t>ABSTRACT</w:t>
      </w:r>
    </w:p>
    <w:p w:rsidR="00A4546E" w:rsidRPr="00A4546E" w:rsidRDefault="00A4546E" w:rsidP="00A4546E">
      <w:pPr>
        <w:jc w:val="both"/>
        <w:rPr>
          <w:rFonts w:ascii="Times New Roman" w:hAnsi="Times New Roman" w:cs="Times New Roman"/>
          <w:color w:val="000000" w:themeColor="text1"/>
          <w:sz w:val="24"/>
          <w:szCs w:val="24"/>
        </w:rPr>
      </w:pPr>
      <w:r w:rsidRPr="00A4546E">
        <w:rPr>
          <w:rFonts w:ascii="Times New Roman" w:hAnsi="Times New Roman" w:cs="Times New Roman"/>
          <w:color w:val="000000" w:themeColor="text1"/>
          <w:sz w:val="24"/>
          <w:szCs w:val="24"/>
        </w:rPr>
        <w:t xml:space="preserve">The study highlights the effectiveness of computer-aided de novo drug design in swiftly and reliably generating novel, target-specific drugs or lead-like molecules through in silico techniques. Utilizing the e-Lea3D de novo design platform, a set of 20 distinct stereoisomers, exhibiting drug/lead-like attributes, were meticulously crafted within the protein's core. Notably, emphasis was directed </w:t>
      </w:r>
      <w:r w:rsidR="00633661">
        <w:rPr>
          <w:rFonts w:ascii="Times New Roman" w:hAnsi="Times New Roman" w:cs="Times New Roman"/>
          <w:color w:val="000000" w:themeColor="text1"/>
          <w:sz w:val="24"/>
          <w:szCs w:val="24"/>
        </w:rPr>
        <w:t>toward</w:t>
      </w:r>
      <w:r w:rsidRPr="00A4546E">
        <w:rPr>
          <w:rFonts w:ascii="Times New Roman" w:hAnsi="Times New Roman" w:cs="Times New Roman"/>
          <w:color w:val="000000" w:themeColor="text1"/>
          <w:sz w:val="24"/>
          <w:szCs w:val="24"/>
        </w:rPr>
        <w:t xml:space="preserve"> the de novo-generated molecules showcasing superior plant scores relative to their corresponding stereoisomers. Subsequent docking analyses, guided by the e-Lea3D website outputs, further underscored the </w:t>
      </w:r>
      <w:r>
        <w:rPr>
          <w:rFonts w:ascii="Times New Roman" w:hAnsi="Times New Roman" w:cs="Times New Roman"/>
          <w:color w:val="000000" w:themeColor="text1"/>
          <w:sz w:val="24"/>
          <w:szCs w:val="24"/>
        </w:rPr>
        <w:t>significance of these findings.</w:t>
      </w:r>
      <w:r w:rsidR="00633661">
        <w:rPr>
          <w:rFonts w:ascii="Times New Roman" w:hAnsi="Times New Roman" w:cs="Times New Roman"/>
          <w:color w:val="000000" w:themeColor="text1"/>
          <w:sz w:val="24"/>
          <w:szCs w:val="24"/>
        </w:rPr>
        <w:t xml:space="preserve"> </w:t>
      </w:r>
      <w:r w:rsidRPr="00A4546E">
        <w:rPr>
          <w:rFonts w:ascii="Times New Roman" w:hAnsi="Times New Roman" w:cs="Times New Roman"/>
          <w:color w:val="000000" w:themeColor="text1"/>
          <w:sz w:val="24"/>
          <w:szCs w:val="24"/>
        </w:rPr>
        <w:t xml:space="preserve">These results hold immense promise for the advancement of potential neuraminidase inhibitors, presenting a </w:t>
      </w:r>
      <w:r w:rsidR="00633661" w:rsidRPr="00A4546E">
        <w:rPr>
          <w:rFonts w:ascii="Times New Roman" w:hAnsi="Times New Roman" w:cs="Times New Roman"/>
          <w:color w:val="000000" w:themeColor="text1"/>
          <w:sz w:val="24"/>
          <w:szCs w:val="24"/>
        </w:rPr>
        <w:t>pathway</w:t>
      </w:r>
      <w:r w:rsidR="00633661">
        <w:rPr>
          <w:rFonts w:ascii="Times New Roman" w:hAnsi="Times New Roman" w:cs="Times New Roman"/>
          <w:color w:val="000000" w:themeColor="text1"/>
          <w:sz w:val="24"/>
          <w:szCs w:val="24"/>
        </w:rPr>
        <w:t xml:space="preserve"> towar</w:t>
      </w:r>
      <w:r w:rsidR="00633661" w:rsidRPr="00A4546E">
        <w:rPr>
          <w:rFonts w:ascii="Times New Roman" w:hAnsi="Times New Roman" w:cs="Times New Roman"/>
          <w:color w:val="000000" w:themeColor="text1"/>
          <w:sz w:val="24"/>
          <w:szCs w:val="24"/>
        </w:rPr>
        <w:t>ds</w:t>
      </w:r>
      <w:r w:rsidRPr="00A4546E">
        <w:rPr>
          <w:rFonts w:ascii="Times New Roman" w:hAnsi="Times New Roman" w:cs="Times New Roman"/>
          <w:color w:val="000000" w:themeColor="text1"/>
          <w:sz w:val="24"/>
          <w:szCs w:val="24"/>
        </w:rPr>
        <w:t xml:space="preserve"> developing compounds with enhanced therapeutic potential. The integration of computational methodologies, such as de novo design opens doors for accelerating drug discovery and design processes, ultimately contributing to the field of drug development and targeted treatment strategie</w:t>
      </w:r>
      <w:r>
        <w:rPr>
          <w:rFonts w:ascii="Times New Roman" w:hAnsi="Times New Roman" w:cs="Times New Roman"/>
          <w:color w:val="000000" w:themeColor="text1"/>
          <w:sz w:val="24"/>
          <w:szCs w:val="24"/>
        </w:rPr>
        <w:t>s</w:t>
      </w:r>
      <w:r w:rsidR="001F1C98">
        <w:rPr>
          <w:rFonts w:ascii="Times New Roman" w:hAnsi="Times New Roman" w:cs="Times New Roman"/>
          <w:color w:val="000000" w:themeColor="text1"/>
          <w:sz w:val="24"/>
          <w:szCs w:val="24"/>
        </w:rPr>
        <w:t>.</w:t>
      </w:r>
    </w:p>
    <w:p w:rsidR="00A4546E" w:rsidRDefault="00A4546E" w:rsidP="000B040B">
      <w:pPr>
        <w:rPr>
          <w:rFonts w:ascii="Times New Roman" w:hAnsi="Times New Roman" w:cs="Times New Roman"/>
          <w:b/>
          <w:color w:val="000000" w:themeColor="text1"/>
        </w:rPr>
      </w:pPr>
    </w:p>
    <w:p w:rsidR="00F73B8D" w:rsidRPr="00A4546E" w:rsidRDefault="00F73B8D" w:rsidP="00A4546E">
      <w:pPr>
        <w:pStyle w:val="Heading1"/>
        <w:numPr>
          <w:ilvl w:val="0"/>
          <w:numId w:val="6"/>
        </w:numPr>
        <w:rPr>
          <w:rFonts w:ascii="Times New Roman" w:hAnsi="Times New Roman" w:cs="Times New Roman"/>
          <w:b/>
          <w:color w:val="000000" w:themeColor="text1"/>
        </w:rPr>
      </w:pPr>
      <w:r w:rsidRPr="00A4546E">
        <w:rPr>
          <w:rFonts w:ascii="Times New Roman" w:hAnsi="Times New Roman" w:cs="Times New Roman"/>
          <w:b/>
          <w:color w:val="000000" w:themeColor="text1"/>
        </w:rPr>
        <w:t>INTRODUCTION</w:t>
      </w:r>
    </w:p>
    <w:p w:rsidR="00003638" w:rsidRPr="00003638" w:rsidRDefault="004E0C70" w:rsidP="00003638">
      <w:pPr>
        <w:jc w:val="both"/>
        <w:rPr>
          <w:rFonts w:ascii="Times New Roman" w:hAnsi="Times New Roman" w:cs="Times New Roman"/>
          <w:sz w:val="24"/>
          <w:szCs w:val="24"/>
        </w:rPr>
      </w:pPr>
      <w:r w:rsidRPr="00230142">
        <w:rPr>
          <w:rFonts w:ascii="Times New Roman" w:hAnsi="Times New Roman" w:cs="Times New Roman"/>
          <w:sz w:val="24"/>
          <w:szCs w:val="24"/>
        </w:rPr>
        <w:t xml:space="preserve">Influenza viruses exhibit genetic diversity due to mutations or gene reassortments, leading to drift or shift. </w:t>
      </w:r>
      <w:r w:rsidR="002979BF">
        <w:rPr>
          <w:rFonts w:ascii="Times New Roman" w:hAnsi="Times New Roman" w:cs="Times New Roman"/>
          <w:sz w:val="24"/>
          <w:szCs w:val="24"/>
        </w:rPr>
        <w:fldChar w:fldCharType="begin" w:fldLock="1"/>
      </w:r>
      <w:r w:rsidR="002979BF">
        <w:rPr>
          <w:rFonts w:ascii="Times New Roman" w:hAnsi="Times New Roman" w:cs="Times New Roman"/>
          <w:sz w:val="24"/>
          <w:szCs w:val="24"/>
        </w:rPr>
        <w:instrText>ADDIN CSL_CITATION {"citationItems":[{"id":"ITEM-1","itemData":{"DOI":"10.1111/irv.12570","ISSN":"17502659","PMID":"29727518","abstract":"The 1918 devastating influenza pandemic left a lasting impact on influenza experts and the public, and the importance of global influenza surveillance was soon recognized. The World Health Organization (WHO) Global Influenza Surveillance Network (GISN) was founded in 1952 and renamed to Global Influenza Surveillance and Response System in 2011 upon the adoption by the World Health Assembly, of the Pandemic Influenza Preparedness Framework for the Sharing of Influenza Viruses and Access to Vaccines and Other Benefits (“PIP Framework”). The importance of influenza surveillance had been recognized and promoted by experts prior to the years leading up to the establishment of WHO. In the 65 years of its existence, the Network has grown to comprise 143 National Influenza Centers recognized by WHO, 6 WHO Collaborating Centers, 4 Essential Regulatory Laboratories, and 13 H5 Reference Laboratories. The Network has proven its excellence throughout these 65 years, providing detailed information on circulating seasonal influenza viruses, as well as immediate response to the influenza pandemics in 1957, 1968, and 2009, and to threats caused by animal influenza viruses and by zoonotic transmission of coronaviruses. For its central role in global public health, the Network has been highly recognized by its many partners and by international bodies. Several generations of world-renowned influenza scientists have brought the Network to where it is now and they will take it forward to the future, as influenza will remain a preeminent threat to humans and to animals.","author":[{"dropping-particle":"","family":"Ziegler","given":"Thedi","non-dropping-particle":"","parse-names":false,"suffix":""},{"dropping-particle":"","family":"Mamahit","given":"Awandha","non-dropping-particle":"","parse-names":false,"suffix":""},{"dropping-particle":"","family":"Cox","given":"Nancy J.","non-dropping-particle":"","parse-names":false,"suffix":""}],"container-title":"Influenza and other Respiratory Viruses","id":"ITEM-1","issue":"5","issued":{"date-parts":[["2018"]]},"page":"558-565","title":"65 years of influenza surveillance by a World Health Organization-coordinated global network","type":"article-journal","volume":"12"},"uris":["http://www.mendeley.com/documents/?uuid=4d9f18fc-7c52-445d-ba92-cf9227165a02"]}],"mendeley":{"formattedCitation":"(1)","plainTextFormattedCitation":"(1)","previouslyFormattedCitation":"(1)"},"properties":{"noteIndex":0},"schema":"https://github.com/citation-style-language/schema/raw/master/csl-citation.json"}</w:instrText>
      </w:r>
      <w:r w:rsidR="002979BF">
        <w:rPr>
          <w:rFonts w:ascii="Times New Roman" w:hAnsi="Times New Roman" w:cs="Times New Roman"/>
          <w:sz w:val="24"/>
          <w:szCs w:val="24"/>
        </w:rPr>
        <w:fldChar w:fldCharType="separate"/>
      </w:r>
      <w:r w:rsidR="002979BF" w:rsidRPr="002979BF">
        <w:rPr>
          <w:rFonts w:ascii="Times New Roman" w:hAnsi="Times New Roman" w:cs="Times New Roman"/>
          <w:noProof/>
          <w:sz w:val="24"/>
          <w:szCs w:val="24"/>
        </w:rPr>
        <w:t>(1)</w:t>
      </w:r>
      <w:r w:rsidR="002979BF">
        <w:rPr>
          <w:rFonts w:ascii="Times New Roman" w:hAnsi="Times New Roman" w:cs="Times New Roman"/>
          <w:sz w:val="24"/>
          <w:szCs w:val="24"/>
        </w:rPr>
        <w:fldChar w:fldCharType="end"/>
      </w:r>
      <w:r w:rsidR="002979BF">
        <w:rPr>
          <w:rFonts w:ascii="Times New Roman" w:hAnsi="Times New Roman" w:cs="Times New Roman"/>
          <w:sz w:val="24"/>
          <w:szCs w:val="24"/>
        </w:rPr>
        <w:fldChar w:fldCharType="begin" w:fldLock="1"/>
      </w:r>
      <w:r w:rsidR="002979BF">
        <w:rPr>
          <w:rFonts w:ascii="Times New Roman" w:hAnsi="Times New Roman" w:cs="Times New Roman"/>
          <w:sz w:val="24"/>
          <w:szCs w:val="24"/>
        </w:rPr>
        <w:instrText>ADDIN CSL_CITATION {"citationItems":[{"id":"ITEM-1","itemData":{"DOI":"10.1038/nrmicro3248","ISSN":"17401534","PMID":"24608335","author":[{"dropping-particle":"","family":"Hofer","given":"Ursula","non-dropping-particle":"","parse-names":false,"suffix":""}],"container-title":"Nature Reviews Microbiology","id":"ITEM-1","issue":"4","issued":{"date-parts":[["2014"]]},"page":"237","title":"Viral evolution: Past, present and future of influenza viruses","type":"article-journal","volume":"12"},"uris":["http://www.mendeley.com/documents/?uuid=d24a289a-3af9-4207-b056-5a96d063f87a"]}],"mendeley":{"formattedCitation":"(2)","plainTextFormattedCitation":"(2)","previouslyFormattedCitation":"(2)"},"properties":{"noteIndex":0},"schema":"https://github.com/citation-style-language/schema/raw/master/csl-citation.json"}</w:instrText>
      </w:r>
      <w:r w:rsidR="002979BF">
        <w:rPr>
          <w:rFonts w:ascii="Times New Roman" w:hAnsi="Times New Roman" w:cs="Times New Roman"/>
          <w:sz w:val="24"/>
          <w:szCs w:val="24"/>
        </w:rPr>
        <w:fldChar w:fldCharType="separate"/>
      </w:r>
      <w:r w:rsidR="002979BF" w:rsidRPr="002979BF">
        <w:rPr>
          <w:rFonts w:ascii="Times New Roman" w:hAnsi="Times New Roman" w:cs="Times New Roman"/>
          <w:noProof/>
          <w:sz w:val="24"/>
          <w:szCs w:val="24"/>
        </w:rPr>
        <w:t>(2)</w:t>
      </w:r>
      <w:r w:rsidR="002979BF">
        <w:rPr>
          <w:rFonts w:ascii="Times New Roman" w:hAnsi="Times New Roman" w:cs="Times New Roman"/>
          <w:sz w:val="24"/>
          <w:szCs w:val="24"/>
        </w:rPr>
        <w:fldChar w:fldCharType="end"/>
      </w:r>
      <w:r w:rsidRPr="009766E5">
        <w:rPr>
          <w:rFonts w:ascii="Times New Roman" w:hAnsi="Times New Roman" w:cs="Times New Roman"/>
          <w:sz w:val="24"/>
          <w:szCs w:val="24"/>
        </w:rPr>
        <w:t>They</w:t>
      </w:r>
      <w:r w:rsidR="008860BD">
        <w:rPr>
          <w:rFonts w:ascii="Times New Roman" w:hAnsi="Times New Roman" w:cs="Times New Roman"/>
          <w:sz w:val="24"/>
          <w:szCs w:val="24"/>
        </w:rPr>
        <w:t xml:space="preserve"> are classified inside </w:t>
      </w:r>
      <w:r w:rsidRPr="00230142">
        <w:rPr>
          <w:rFonts w:ascii="Times New Roman" w:hAnsi="Times New Roman" w:cs="Times New Roman"/>
          <w:sz w:val="24"/>
          <w:szCs w:val="24"/>
        </w:rPr>
        <w:t>the</w:t>
      </w:r>
      <w:r w:rsidR="008860BD" w:rsidRPr="008860BD">
        <w:rPr>
          <w:rFonts w:ascii="Times New Roman" w:hAnsi="Times New Roman" w:cs="Times New Roman"/>
          <w:sz w:val="24"/>
          <w:szCs w:val="24"/>
        </w:rPr>
        <w:t xml:space="preserve"> </w:t>
      </w:r>
      <w:r w:rsidR="008860BD" w:rsidRPr="00230142">
        <w:rPr>
          <w:rFonts w:ascii="Times New Roman" w:hAnsi="Times New Roman" w:cs="Times New Roman"/>
          <w:sz w:val="24"/>
          <w:szCs w:val="24"/>
        </w:rPr>
        <w:t>family</w:t>
      </w:r>
      <w:r w:rsidRPr="00230142">
        <w:rPr>
          <w:rFonts w:ascii="Times New Roman" w:hAnsi="Times New Roman" w:cs="Times New Roman"/>
          <w:sz w:val="24"/>
          <w:szCs w:val="24"/>
        </w:rPr>
        <w:t xml:space="preserve"> Orthomyxoviridae.</w:t>
      </w:r>
      <w:r w:rsidR="00003638" w:rsidRPr="00003638">
        <w:t xml:space="preserve"> </w:t>
      </w:r>
      <w:r w:rsidR="00003638" w:rsidRPr="00003638">
        <w:rPr>
          <w:rFonts w:ascii="Times New Roman" w:hAnsi="Times New Roman" w:cs="Times New Roman"/>
          <w:sz w:val="24"/>
          <w:szCs w:val="24"/>
        </w:rPr>
        <w:t>Seasonal outbreaks of acute respiratory diseases are attributed to Influenza A and B viruses.</w:t>
      </w:r>
    </w:p>
    <w:p w:rsidR="00003638" w:rsidRPr="00003638" w:rsidRDefault="00003638" w:rsidP="00003638">
      <w:pPr>
        <w:jc w:val="both"/>
        <w:rPr>
          <w:rFonts w:ascii="Times New Roman" w:hAnsi="Times New Roman" w:cs="Times New Roman"/>
          <w:sz w:val="24"/>
          <w:szCs w:val="24"/>
        </w:rPr>
      </w:pPr>
    </w:p>
    <w:p w:rsidR="00003638" w:rsidRPr="00003638" w:rsidRDefault="00003638" w:rsidP="00003638">
      <w:pPr>
        <w:jc w:val="both"/>
        <w:rPr>
          <w:rFonts w:ascii="Times New Roman" w:hAnsi="Times New Roman" w:cs="Times New Roman"/>
          <w:sz w:val="24"/>
          <w:szCs w:val="24"/>
        </w:rPr>
      </w:pPr>
    </w:p>
    <w:p w:rsidR="00003638" w:rsidRPr="00003638" w:rsidRDefault="00003638" w:rsidP="00003638">
      <w:pPr>
        <w:jc w:val="both"/>
        <w:rPr>
          <w:rFonts w:ascii="Times New Roman" w:hAnsi="Times New Roman" w:cs="Times New Roman"/>
          <w:sz w:val="24"/>
          <w:szCs w:val="24"/>
        </w:rPr>
      </w:pPr>
    </w:p>
    <w:p w:rsidR="004E0C70" w:rsidRPr="002D0C67" w:rsidRDefault="006924CF" w:rsidP="00120618">
      <w:pPr>
        <w:jc w:val="both"/>
      </w:pPr>
      <w:r w:rsidRPr="00230142">
        <w:rPr>
          <w:rFonts w:ascii="Times New Roman" w:hAnsi="Times New Roman" w:cs="Times New Roman"/>
          <w:sz w:val="24"/>
          <w:szCs w:val="24"/>
        </w:rPr>
        <w:t>, resulting in a significant annual death toll ranging from 290,000 to 650,000 people. Additionally, over the past 150 years,</w:t>
      </w:r>
      <w:r w:rsidR="00003638" w:rsidRPr="00003638">
        <w:t xml:space="preserve"> </w:t>
      </w:r>
      <w:r w:rsidR="002D0C67" w:rsidRPr="002D0C67">
        <w:rPr>
          <w:rFonts w:ascii="Times New Roman" w:hAnsi="Times New Roman" w:cs="Times New Roman"/>
          <w:sz w:val="24"/>
          <w:szCs w:val="24"/>
        </w:rPr>
        <w:t>there have been a minimum of five instances of influenza A virus pandemics, encompassing the Spanish flu (1918–1920), Asian flu (1957–1958), Hong Kong flu (1968–1969), Russian flu (1977–1979), and swine flu (2009–2010).</w:t>
      </w:r>
      <w:r w:rsidR="002D0C67">
        <w:rPr>
          <w:rFonts w:ascii="Times New Roman" w:hAnsi="Times New Roman" w:cs="Times New Roman"/>
          <w:sz w:val="24"/>
          <w:szCs w:val="24"/>
        </w:rPr>
        <w:t xml:space="preserve"> </w:t>
      </w:r>
      <w:r w:rsidRPr="00230142">
        <w:rPr>
          <w:rFonts w:ascii="Times New Roman" w:hAnsi="Times New Roman" w:cs="Times New Roman"/>
          <w:sz w:val="24"/>
          <w:szCs w:val="24"/>
        </w:rPr>
        <w:t>These pandemics have caused the loss of millions of lives worldwide.</w:t>
      </w:r>
      <w:r w:rsidR="002979BF">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{"citationItems":[{"id":"ITEM-1","itemData":{"DOI":"10.2807/1560-7917.ES.2023.28.4.2200340","ISSN":"15607917","PMID":"36700868","abstract":"BackgroundTimely treatment with neuraminidase inhibitors (NAI) can reduce severe outcomes in influenza patients.AimWe assessed the impact of antiviral treatment on in-hospital deaths of laboratory-confirmed influenza patients in 11 European Union countries from 2010/11 to 2019/20.MethodsCase-based surveillance data from hospitalised patients with known age, sex, outcome, ward, vaccination status, timing of antiviral treatment, and hospitalisation were obtained. A mixed effect logistic regression model using country as random intercept was applied to estimate the adjusted odds ratio (aOR) for in-hospital death in patients treated with NAIs vs not treated.ResultsOf 19,937 patients, 31% received NAIs within 48 hours of hospital admission. Older age (60-79 years aOR 3.0, 95% CI: 2.4-3.8; 80 years 8.3 (6.6-10.5)) and intensive care unit admission (3.8, 95% CI: 3.4-4.2) increased risk of dying, while early hospital admission after symptom onset decreased risk (aOR 0.91, 95% CI: 0.90-0.93). NAI treatment initiation within 48 hours and up to 7 days reduced risk of dying (0-48 hours aOR 0.51, 95% CI: 0.45-0.59; 3-4 days 0.59 (0.51-0.67); 5-7 days 0.64 (0.56-0.74)), in particular in patients 40 years and older (e.g. treatment within 48 hours: 40-59 years aOR 0.43, 95% CI: 0.28-0.66; 60-79 years 0.50 (0.39-0.63); ≥80 years 0.51 (0.42-0.63)).ConclusionNAI treatment given within 48 hours and possibly up to 7 days after symptom onset reduced risk of in-hospital death. NAI treatment should be considered in older patients to prevent severe outcomes.","author":[{"dropping-particle":"","family":"Adlhoch","given":"Cornelia","non-dropping-particle":"","parse-names":false,"suffix":""},{"dropping-particle":"","family":"Delgado-Sanz","given":"Concepción","non-dropping-particle":"","parse-names":false,"suffix":""},{"dropping-particle":"","family":"Carnahan","given":"Anna Sara","non-dropping-particle":"","parse-names":false,"suffix":""},{"dropping-particle":"","family":"Larrauri","given":"Amparo","non-dropping-particle":"","parse-names":false,"suffix":""},{"dropping-particle":"","family":"Popovici","given":"Odette","non-dropping-particle":"","parse-names":false,"suffix":""},{"dropping-particle":"","family":"Bossuyt","given":"Nathalie","non-dropping-particle":"","parse-names":false,"suffix":""},{"dropping-particle":"","family":"Thomas","given":"Isabelle","non-dropping-particle":"","parse-names":false,"suffix":""},{"dropping-particle":"","family":"Kynčl","given":"Jan","non-dropping-particle":"","parse-names":false,"suffix":""},{"dropping-particle":"","family":"Slezak","given":"Pavel","non-dropping-particle":"","parse-names":false,"suffix":""},{"dropping-particle":"","family":"Brytting","given":"Mia","non-dropping-particle":"","parse-names":false,"suffix":""},{"dropping-particle":"","family":"Guiomar","given":"Raquel","non-dropping-particle":"","parse-names":false,"suffix":""},{"dropping-particle":"","family":"Redlberger-Fritz","given":"Monika","non-dropping-particle":"","parse-names":false,"suffix":""},{"dropping-particle":"","family":"Maistre Melillo","given":"Jackie","non-dropping-particle":"","parse-names":false,"suffix":""},{"dropping-particle":"","family":"Melillo","given":"Tanya","non-dropping-particle":"","parse-names":false,"suffix":""},{"dropping-particle":"","family":"Gageldonk-Lafeber","given":"Arianne B.","non-dropping-particle":"van","parse-names":false,"suffix":""},{"dropping-particle":"","family":"Marbus","given":"Sierk D.","non-dropping-particle":"","parse-names":false,"suffix":""},{"dropping-particle":"","family":"O'Donnell","given":"Joan","non-dropping-particle":"","parse-names":false,"suffix":""},{"dropping-particle":"","family":"Domegan","given":"Lisa","non-dropping-particle":"","parse-names":false,"suffix":""},{"dropping-particle":"","family":"Gomes Dias","given":"Joana","non-dropping-particle":"","parse-names":false,"suffix":""},{"dropping-particle":"","family":"Olsen","given":"Sonja J.","non-dropping-particle":"","parse-names":false,"suffix":""}],"container-title":"Euro surveillance : bulletin Europeen sur les maladies transmissibles = European communicable disease bulletin","id":"ITEM-1","issue":"4","issued":{"date-parts":[["2023"]]},"publisher":"European Centre for Disease Prevention and Control (ECDC)","title":"Effect of neuraminidase inhibitor (oseltamivir) treatment on outcome of hospitalised influenza patients, surveillance data from 11 EU countries, 2010 to 2020","type":"article-journal","volume":"28"},"uris":["http://www.mendeley.com/documents/?uuid=88dfb3d4-79a2-49ae-8fee-441b1d86ca5b"]}],"mendeley":{"formattedCitation":"(3)","plainTextFormattedCitation":"(3)","previouslyFormattedCitation":"(4)"},"properties":{"noteIndex":0},"schema":"https://github.com/citation-style-language/schema/raw/master/csl-citation.json"}</w:instrText>
      </w:r>
      <w:r w:rsidR="002979BF">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(3)</w:t>
      </w:r>
      <w:r w:rsidR="002979BF">
        <w:rPr>
          <w:rFonts w:ascii="Times New Roman" w:hAnsi="Times New Roman" w:cs="Times New Roman"/>
          <w:sz w:val="24"/>
          <w:szCs w:val="24"/>
        </w:rPr>
        <w:fldChar w:fldCharType="end"/>
      </w:r>
      <w:r w:rsidR="004E0C70" w:rsidRPr="00230142">
        <w:rPr>
          <w:rFonts w:ascii="Times New Roman" w:hAnsi="Times New Roman" w:cs="Times New Roman"/>
          <w:sz w:val="24"/>
          <w:szCs w:val="24"/>
        </w:rPr>
        <w:t xml:space="preserve"> According to </w:t>
      </w:r>
      <w:r w:rsidR="001F1C98">
        <w:rPr>
          <w:rFonts w:ascii="Times New Roman" w:hAnsi="Times New Roman" w:cs="Times New Roman"/>
          <w:sz w:val="24"/>
          <w:szCs w:val="24"/>
        </w:rPr>
        <w:t xml:space="preserve">the </w:t>
      </w:r>
      <w:r w:rsidR="004E0C70" w:rsidRPr="00230142">
        <w:rPr>
          <w:rFonts w:ascii="Times New Roman" w:hAnsi="Times New Roman" w:cs="Times New Roman"/>
          <w:sz w:val="24"/>
          <w:szCs w:val="24"/>
        </w:rPr>
        <w:t>data from FluNet, as of January 2021, the majority of tested specimens were positive for</w:t>
      </w:r>
      <w:r w:rsidR="002D0C67">
        <w:rPr>
          <w:rFonts w:ascii="Times New Roman" w:hAnsi="Times New Roman" w:cs="Times New Roman"/>
          <w:sz w:val="24"/>
          <w:szCs w:val="24"/>
        </w:rPr>
        <w:t xml:space="preserve"> type B influenza viruses instead of type </w:t>
      </w:r>
      <w:r w:rsidR="002D0C67" w:rsidRPr="00230142">
        <w:rPr>
          <w:rFonts w:ascii="Times New Roman" w:hAnsi="Times New Roman" w:cs="Times New Roman"/>
          <w:sz w:val="24"/>
          <w:szCs w:val="24"/>
        </w:rPr>
        <w:t>A influenza,</w:t>
      </w:r>
      <w:r w:rsidR="00B01A42" w:rsidRPr="00B01A42">
        <w:t xml:space="preserve"> </w:t>
      </w:r>
      <w:r w:rsidR="001F1C98">
        <w:rPr>
          <w:rFonts w:ascii="Times New Roman" w:hAnsi="Times New Roman" w:cs="Times New Roman"/>
          <w:sz w:val="24"/>
          <w:szCs w:val="24"/>
        </w:rPr>
        <w:t>c</w:t>
      </w:r>
      <w:r w:rsidR="00B01A42" w:rsidRPr="00B01A42">
        <w:rPr>
          <w:rFonts w:ascii="Times New Roman" w:hAnsi="Times New Roman" w:cs="Times New Roman"/>
          <w:sz w:val="24"/>
          <w:szCs w:val="24"/>
        </w:rPr>
        <w:t>onducted by the World Health Organization (WHO), this takes place within the framework of the Global Influenza Surveilla</w:t>
      </w:r>
      <w:r w:rsidR="00B01A42">
        <w:rPr>
          <w:rFonts w:ascii="Times New Roman" w:hAnsi="Times New Roman" w:cs="Times New Roman"/>
          <w:sz w:val="24"/>
          <w:szCs w:val="24"/>
        </w:rPr>
        <w:t>nce and Response System (GISRS)</w:t>
      </w:r>
      <w:r w:rsidR="004E0C70" w:rsidRPr="00230142">
        <w:rPr>
          <w:rFonts w:ascii="Times New Roman" w:hAnsi="Times New Roman" w:cs="Times New Roman"/>
          <w:sz w:val="24"/>
          <w:szCs w:val="24"/>
        </w:rPr>
        <w:t xml:space="preserve">. Within these viruses, there exist </w:t>
      </w:r>
      <w:r w:rsidR="00B01A42" w:rsidRPr="00230142">
        <w:rPr>
          <w:rFonts w:ascii="Times New Roman" w:hAnsi="Times New Roman" w:cs="Times New Roman"/>
          <w:sz w:val="24"/>
          <w:szCs w:val="24"/>
        </w:rPr>
        <w:t>11 neuraminidase (NA)</w:t>
      </w:r>
      <w:r w:rsidR="00B01A42">
        <w:rPr>
          <w:rFonts w:ascii="Times New Roman" w:hAnsi="Times New Roman" w:cs="Times New Roman"/>
          <w:sz w:val="24"/>
          <w:szCs w:val="24"/>
        </w:rPr>
        <w:t xml:space="preserve"> variants </w:t>
      </w:r>
      <w:r w:rsidR="00B01A42" w:rsidRPr="00230142">
        <w:rPr>
          <w:rFonts w:ascii="Times New Roman" w:hAnsi="Times New Roman" w:cs="Times New Roman"/>
          <w:sz w:val="24"/>
          <w:szCs w:val="24"/>
        </w:rPr>
        <w:t xml:space="preserve">and </w:t>
      </w:r>
      <w:r w:rsidR="00B01A42">
        <w:rPr>
          <w:rFonts w:ascii="Times New Roman" w:hAnsi="Times New Roman" w:cs="Times New Roman"/>
          <w:sz w:val="24"/>
          <w:szCs w:val="24"/>
        </w:rPr>
        <w:t>18 hemagglutinin (HA) variants</w:t>
      </w:r>
      <w:r w:rsidR="004E0C70" w:rsidRPr="00230142">
        <w:rPr>
          <w:rFonts w:ascii="Times New Roman" w:hAnsi="Times New Roman" w:cs="Times New Roman"/>
          <w:sz w:val="24"/>
          <w:szCs w:val="24"/>
        </w:rPr>
        <w:t xml:space="preserve">. </w:t>
      </w:r>
      <w:r w:rsidR="009766E5" w:rsidRPr="009766E5">
        <w:rPr>
          <w:rFonts w:ascii="Times New Roman" w:hAnsi="Times New Roman" w:cs="Times New Roman"/>
          <w:sz w:val="24"/>
          <w:szCs w:val="24"/>
          <w:vertAlign w:val="superscript"/>
        </w:rPr>
        <w:t>3</w:t>
      </w:r>
      <w:r w:rsidR="00DD388B" w:rsidRPr="00230142">
        <w:rPr>
          <w:rFonts w:ascii="Times New Roman" w:hAnsi="Times New Roman" w:cs="Times New Roman"/>
          <w:sz w:val="24"/>
          <w:szCs w:val="24"/>
        </w:rPr>
        <w:t>(H1–H3, H5–H7, H9, N1–N2, and N6–N9)</w:t>
      </w:r>
      <w:r w:rsidR="00DD388B">
        <w:rPr>
          <w:rFonts w:ascii="Times New Roman" w:hAnsi="Times New Roman" w:cs="Times New Roman"/>
          <w:sz w:val="24"/>
          <w:szCs w:val="24"/>
        </w:rPr>
        <w:t xml:space="preserve"> </w:t>
      </w:r>
      <w:r w:rsidR="004E0C70" w:rsidRPr="00230142">
        <w:rPr>
          <w:rFonts w:ascii="Times New Roman" w:hAnsi="Times New Roman" w:cs="Times New Roman"/>
          <w:sz w:val="24"/>
          <w:szCs w:val="24"/>
        </w:rPr>
        <w:t xml:space="preserve">Several of these </w:t>
      </w:r>
      <w:r w:rsidR="00B01A42">
        <w:rPr>
          <w:rFonts w:ascii="Times New Roman" w:hAnsi="Times New Roman" w:cs="Times New Roman"/>
          <w:sz w:val="24"/>
          <w:szCs w:val="24"/>
        </w:rPr>
        <w:t xml:space="preserve">variants </w:t>
      </w:r>
      <w:r w:rsidR="004E0C70" w:rsidRPr="00230142">
        <w:rPr>
          <w:rFonts w:ascii="Times New Roman" w:hAnsi="Times New Roman" w:cs="Times New Roman"/>
          <w:sz w:val="24"/>
          <w:szCs w:val="24"/>
        </w:rPr>
        <w:t xml:space="preserve"> have b</w:t>
      </w:r>
      <w:r w:rsidR="00DD388B">
        <w:rPr>
          <w:rFonts w:ascii="Times New Roman" w:hAnsi="Times New Roman" w:cs="Times New Roman"/>
          <w:sz w:val="24"/>
          <w:szCs w:val="24"/>
        </w:rPr>
        <w:t>een identified in diverse</w:t>
      </w:r>
      <w:r w:rsidR="004E0C70" w:rsidRPr="00230142">
        <w:rPr>
          <w:rFonts w:ascii="Times New Roman" w:hAnsi="Times New Roman" w:cs="Times New Roman"/>
          <w:sz w:val="24"/>
          <w:szCs w:val="24"/>
        </w:rPr>
        <w:t xml:space="preserve"> hosts, including </w:t>
      </w:r>
      <w:r w:rsidR="00DD388B" w:rsidRPr="00230142">
        <w:rPr>
          <w:rFonts w:ascii="Times New Roman" w:hAnsi="Times New Roman" w:cs="Times New Roman"/>
          <w:sz w:val="24"/>
          <w:szCs w:val="24"/>
        </w:rPr>
        <w:t>poultry</w:t>
      </w:r>
      <w:r w:rsidR="00DD388B">
        <w:rPr>
          <w:rFonts w:ascii="Times New Roman" w:hAnsi="Times New Roman" w:cs="Times New Roman"/>
          <w:sz w:val="24"/>
          <w:szCs w:val="24"/>
        </w:rPr>
        <w:t>,</w:t>
      </w:r>
      <w:r w:rsidR="00DD388B" w:rsidRPr="00DD388B">
        <w:rPr>
          <w:rFonts w:ascii="Times New Roman" w:hAnsi="Times New Roman" w:cs="Times New Roman"/>
          <w:sz w:val="24"/>
          <w:szCs w:val="24"/>
        </w:rPr>
        <w:t xml:space="preserve"> </w:t>
      </w:r>
      <w:r w:rsidR="00DD388B" w:rsidRPr="00230142">
        <w:rPr>
          <w:rFonts w:ascii="Times New Roman" w:hAnsi="Times New Roman" w:cs="Times New Roman"/>
          <w:sz w:val="24"/>
          <w:szCs w:val="24"/>
        </w:rPr>
        <w:t>swine</w:t>
      </w:r>
      <w:r w:rsidR="00DD388B">
        <w:rPr>
          <w:rFonts w:ascii="Times New Roman" w:hAnsi="Times New Roman" w:cs="Times New Roman"/>
          <w:sz w:val="24"/>
          <w:szCs w:val="24"/>
        </w:rPr>
        <w:t>, and</w:t>
      </w:r>
      <w:r w:rsidR="00DD388B" w:rsidRPr="00230142">
        <w:rPr>
          <w:rFonts w:ascii="Times New Roman" w:hAnsi="Times New Roman" w:cs="Times New Roman"/>
          <w:sz w:val="24"/>
          <w:szCs w:val="24"/>
        </w:rPr>
        <w:t xml:space="preserve"> </w:t>
      </w:r>
      <w:r w:rsidR="00DD388B">
        <w:rPr>
          <w:rFonts w:ascii="Times New Roman" w:hAnsi="Times New Roman" w:cs="Times New Roman"/>
          <w:sz w:val="24"/>
          <w:szCs w:val="24"/>
        </w:rPr>
        <w:t>humans,</w:t>
      </w:r>
      <w:r w:rsidR="004E0C70" w:rsidRPr="00230142">
        <w:rPr>
          <w:rFonts w:ascii="Times New Roman" w:hAnsi="Times New Roman" w:cs="Times New Roman"/>
          <w:sz w:val="24"/>
          <w:szCs w:val="24"/>
        </w:rPr>
        <w:t xml:space="preserve"> </w:t>
      </w:r>
      <w:r w:rsidR="003A22AB" w:rsidRPr="00230142">
        <w:rPr>
          <w:rFonts w:ascii="Times New Roman" w:hAnsi="Times New Roman" w:cs="Times New Roman"/>
          <w:sz w:val="24"/>
          <w:szCs w:val="24"/>
        </w:rPr>
        <w:t>Neuraminidase (NA) plays a crucial role in modern anti-influenza drug discovery efforts as it is a significant target. It serves as a key enzyme in the lifecycle of the influenza virus, aiding in viral release and transmission. The primary function of NA</w:t>
      </w:r>
      <w:r w:rsidR="005B0295">
        <w:rPr>
          <w:rFonts w:ascii="Times New Roman" w:hAnsi="Times New Roman" w:cs="Times New Roman"/>
          <w:sz w:val="24"/>
          <w:szCs w:val="24"/>
        </w:rPr>
        <w:t xml:space="preserve"> is </w:t>
      </w:r>
      <w:r w:rsidR="00DD388B" w:rsidRPr="00DD388B">
        <w:t xml:space="preserve"> </w:t>
      </w:r>
      <w:r w:rsidR="00DD388B" w:rsidRPr="00DD388B">
        <w:rPr>
          <w:rFonts w:ascii="Times New Roman" w:hAnsi="Times New Roman" w:cs="Times New Roman"/>
          <w:sz w:val="24"/>
          <w:szCs w:val="24"/>
        </w:rPr>
        <w:t>catalyzing the hydrolysis</w:t>
      </w:r>
      <w:r w:rsidR="003A22AB" w:rsidRPr="00230142">
        <w:rPr>
          <w:rFonts w:ascii="Times New Roman" w:hAnsi="Times New Roman" w:cs="Times New Roman"/>
          <w:sz w:val="24"/>
          <w:szCs w:val="24"/>
        </w:rPr>
        <w:t xml:space="preserve"> </w:t>
      </w:r>
      <w:r w:rsidR="005B0295">
        <w:rPr>
          <w:rFonts w:ascii="Times New Roman" w:hAnsi="Times New Roman" w:cs="Times New Roman"/>
          <w:sz w:val="24"/>
          <w:szCs w:val="24"/>
        </w:rPr>
        <w:t xml:space="preserve">of sialic acid </w:t>
      </w:r>
      <w:r w:rsidR="003A22AB" w:rsidRPr="00230142">
        <w:rPr>
          <w:rFonts w:ascii="Times New Roman" w:hAnsi="Times New Roman" w:cs="Times New Roman"/>
          <w:sz w:val="24"/>
          <w:szCs w:val="24"/>
        </w:rPr>
        <w:t xml:space="preserve"> from glyc</w:t>
      </w:r>
      <w:r w:rsidR="00DD388B">
        <w:rPr>
          <w:rFonts w:ascii="Times New Roman" w:hAnsi="Times New Roman" w:cs="Times New Roman"/>
          <w:sz w:val="24"/>
          <w:szCs w:val="24"/>
        </w:rPr>
        <w:t>oprotein receptors on cellular entity</w:t>
      </w:r>
      <w:r w:rsidR="003A22AB" w:rsidRPr="00230142">
        <w:rPr>
          <w:rFonts w:ascii="Times New Roman" w:hAnsi="Times New Roman" w:cs="Times New Roman"/>
          <w:sz w:val="24"/>
          <w:szCs w:val="24"/>
        </w:rPr>
        <w:t>, enabling the virus to spread and infect new cells.</w:t>
      </w:r>
      <w:r w:rsidR="00377D9B">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{"citationItems":[{"id":"ITEM-1","itemData":{"DOI":"10.1110/ps.41801","ISSN":"09618368","PMID":"11274459","abstract":"2,3-didehydro-2-deoxy-N-acetylneuraminic acid (DANA) is a transition state analog inhibitor of influenza virus neuraminidase (NA). Replacement of the hydroxyl at the C9 position in DANA and 4-amino-DANA with an amine group, with the intention of taking advantage of an increased electrostatic interaction with a conserved acidic group in the active site to improve inhibitor binding, significantly reduces the inhibitor activity of both compounds. The three-dimensional X-ray structure of the complexes of these ligands and NA was obtained to 1.4 Å resolution and showed that both ligands bind isosterically to DANA. Analysis of the geometry of the ammonium at the C4 position indicates that Glu119 may be neutral when these ligands bind. A computational analysis of the binding energies indicates that the substitution is successful in increasing the energy of interaction; however, the gains that are made are not sufficient to overcome the energy that is required to desolvate that part of the ligand that comes in contact with the protein.","author":[{"dropping-particle":"","family":"Smith","given":"B. J.","non-dropping-particle":"","parse-names":false,"suffix":""}],"container-title":"Protein Science","id":"ITEM-1","issue":"4","issued":{"date-parts":[["2001"]]},"page":"689-696","title":"Analysis of inhibitor binding in influenza virus neuraminidase","type":"article-journal","volume":"10"},"uris":["http://www.mendeley.com/documents/?uuid=f7dcfd35-83b5-4c4a-914d-936d8424ec13"]}],"mendeley":{"formattedCitation":"(4)","plainTextFormattedCitation":"(4)","previouslyFormattedCitation":"(5)"},"properties":{"noteIndex":0},"schema":"https://github.com/citation-style-language/schema/raw/master/csl-citation.json"}</w:instrText>
      </w:r>
      <w:r w:rsidR="00377D9B">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(4)</w:t>
      </w:r>
      <w:r w:rsidR="00377D9B">
        <w:rPr>
          <w:rFonts w:ascii="Times New Roman" w:hAnsi="Times New Roman" w:cs="Times New Roman"/>
          <w:sz w:val="24"/>
          <w:szCs w:val="24"/>
        </w:rPr>
        <w:fldChar w:fldCharType="end"/>
      </w:r>
    </w:p>
    <w:p w:rsidR="004E0C70" w:rsidRPr="009766E5" w:rsidRDefault="004E0C70" w:rsidP="00120618">
      <w:pPr>
        <w:jc w:val="both"/>
        <w:rPr>
          <w:rFonts w:ascii="Times New Roman" w:hAnsi="Times New Roman" w:cs="Times New Roman"/>
          <w:sz w:val="24"/>
          <w:szCs w:val="24"/>
          <w:vertAlign w:val="superscript"/>
        </w:rPr>
      </w:pPr>
      <w:r w:rsidRPr="00230142">
        <w:rPr>
          <w:rFonts w:ascii="Times New Roman" w:hAnsi="Times New Roman" w:cs="Times New Roman"/>
          <w:sz w:val="24"/>
          <w:szCs w:val="24"/>
        </w:rPr>
        <w:t>Neura</w:t>
      </w:r>
      <w:r w:rsidR="005B0295">
        <w:rPr>
          <w:rFonts w:ascii="Times New Roman" w:hAnsi="Times New Roman" w:cs="Times New Roman"/>
          <w:sz w:val="24"/>
          <w:szCs w:val="24"/>
        </w:rPr>
        <w:t xml:space="preserve">minidase (NA) is one of the pair </w:t>
      </w:r>
      <w:r w:rsidRPr="00230142">
        <w:rPr>
          <w:rFonts w:ascii="Times New Roman" w:hAnsi="Times New Roman" w:cs="Times New Roman"/>
          <w:sz w:val="24"/>
          <w:szCs w:val="24"/>
        </w:rPr>
        <w:t>surface glycoproteins found in influenza</w:t>
      </w:r>
      <w:r w:rsidR="005B0295">
        <w:rPr>
          <w:rFonts w:ascii="Times New Roman" w:hAnsi="Times New Roman" w:cs="Times New Roman"/>
          <w:sz w:val="24"/>
          <w:szCs w:val="24"/>
        </w:rPr>
        <w:t xml:space="preserve"> type</w:t>
      </w:r>
      <w:r w:rsidRPr="00230142">
        <w:rPr>
          <w:rFonts w:ascii="Times New Roman" w:hAnsi="Times New Roman" w:cs="Times New Roman"/>
          <w:sz w:val="24"/>
          <w:szCs w:val="24"/>
        </w:rPr>
        <w:t xml:space="preserve"> viruses. </w:t>
      </w:r>
      <w:r w:rsidR="005B0295" w:rsidRPr="005B0295">
        <w:rPr>
          <w:rFonts w:ascii="Times New Roman" w:hAnsi="Times New Roman" w:cs="Times New Roman"/>
          <w:sz w:val="24"/>
          <w:szCs w:val="24"/>
        </w:rPr>
        <w:t>Its primary role involves severing terminal sialic acid from cell surfaces lin</w:t>
      </w:r>
      <w:r w:rsidR="005B0295">
        <w:rPr>
          <w:rFonts w:ascii="Times New Roman" w:hAnsi="Times New Roman" w:cs="Times New Roman"/>
          <w:sz w:val="24"/>
          <w:szCs w:val="24"/>
        </w:rPr>
        <w:t>ked to glycol conjugated surfaces</w:t>
      </w:r>
      <w:r w:rsidR="005B0295" w:rsidRPr="005B0295">
        <w:rPr>
          <w:rFonts w:ascii="Times New Roman" w:hAnsi="Times New Roman" w:cs="Times New Roman"/>
          <w:sz w:val="24"/>
          <w:szCs w:val="24"/>
        </w:rPr>
        <w:t>, which act as receptors for hemagglutinin.</w:t>
      </w:r>
      <w:r w:rsidR="005B0295">
        <w:rPr>
          <w:rFonts w:ascii="Times New Roman" w:hAnsi="Times New Roman" w:cs="Times New Roman"/>
          <w:sz w:val="24"/>
          <w:szCs w:val="24"/>
        </w:rPr>
        <w:t xml:space="preserve"> </w:t>
      </w:r>
      <w:r w:rsidR="000546FD">
        <w:rPr>
          <w:rFonts w:ascii="Times New Roman" w:hAnsi="Times New Roman" w:cs="Times New Roman"/>
          <w:sz w:val="24"/>
          <w:szCs w:val="24"/>
        </w:rPr>
        <w:t>Blockage of NA slows the discharge</w:t>
      </w:r>
      <w:r w:rsidRPr="00230142">
        <w:rPr>
          <w:rFonts w:ascii="Times New Roman" w:hAnsi="Times New Roman" w:cs="Times New Roman"/>
          <w:sz w:val="24"/>
          <w:szCs w:val="24"/>
        </w:rPr>
        <w:t xml:space="preserve"> of new viral particles, reducing viral transmission and allowing the immune system to eliminate the viruses effectively.</w:t>
      </w:r>
      <w:r w:rsidR="000546FD" w:rsidRPr="000546FD">
        <w:t xml:space="preserve"> </w:t>
      </w:r>
      <w:r w:rsidR="000546FD" w:rsidRPr="000546FD">
        <w:rPr>
          <w:rFonts w:ascii="Times New Roman" w:hAnsi="Times New Roman" w:cs="Times New Roman"/>
          <w:sz w:val="24"/>
          <w:szCs w:val="24"/>
        </w:rPr>
        <w:t>NA is composed of four identic</w:t>
      </w:r>
      <w:r w:rsidR="000546FD">
        <w:rPr>
          <w:rFonts w:ascii="Times New Roman" w:hAnsi="Times New Roman" w:cs="Times New Roman"/>
          <w:sz w:val="24"/>
          <w:szCs w:val="24"/>
        </w:rPr>
        <w:t>al monomers, forming a tetramer</w:t>
      </w:r>
      <w:r w:rsidR="00BB7E57" w:rsidRPr="00230142">
        <w:rPr>
          <w:rFonts w:ascii="Times New Roman" w:hAnsi="Times New Roman" w:cs="Times New Roman"/>
          <w:sz w:val="24"/>
          <w:szCs w:val="24"/>
        </w:rPr>
        <w:t xml:space="preserve">. </w:t>
      </w:r>
      <w:r w:rsidR="0025654F" w:rsidRPr="00230142">
        <w:rPr>
          <w:rFonts w:ascii="Times New Roman" w:hAnsi="Times New Roman" w:cs="Times New Roman"/>
          <w:sz w:val="24"/>
          <w:szCs w:val="24"/>
        </w:rPr>
        <w:t>Founded</w:t>
      </w:r>
      <w:r w:rsidRPr="00230142">
        <w:rPr>
          <w:rFonts w:ascii="Times New Roman" w:hAnsi="Times New Roman" w:cs="Times New Roman"/>
          <w:sz w:val="24"/>
          <w:szCs w:val="24"/>
        </w:rPr>
        <w:t xml:space="preserve"> on sequence analysis</w:t>
      </w:r>
      <w:r w:rsidR="000546FD" w:rsidRPr="000546FD">
        <w:t xml:space="preserve"> </w:t>
      </w:r>
      <w:r w:rsidR="000546FD" w:rsidRPr="000546FD">
        <w:rPr>
          <w:rFonts w:ascii="Times New Roman" w:hAnsi="Times New Roman" w:cs="Times New Roman"/>
          <w:sz w:val="24"/>
          <w:szCs w:val="24"/>
        </w:rPr>
        <w:t>NAs can be categorized</w:t>
      </w:r>
      <w:r w:rsidR="000546FD">
        <w:rPr>
          <w:rFonts w:ascii="Times New Roman" w:hAnsi="Times New Roman" w:cs="Times New Roman"/>
          <w:sz w:val="24"/>
          <w:szCs w:val="24"/>
        </w:rPr>
        <w:t xml:space="preserve"> into two phylogenetic clusters,</w:t>
      </w:r>
      <w:r w:rsidR="000546FD" w:rsidRPr="00230142">
        <w:rPr>
          <w:rFonts w:ascii="Times New Roman" w:hAnsi="Times New Roman" w:cs="Times New Roman"/>
          <w:sz w:val="24"/>
          <w:szCs w:val="24"/>
        </w:rPr>
        <w:t xml:space="preserve">(N1, N4, N5, and N8) </w:t>
      </w:r>
      <w:r w:rsidRPr="00230142">
        <w:rPr>
          <w:rFonts w:ascii="Times New Roman" w:hAnsi="Times New Roman" w:cs="Times New Roman"/>
          <w:sz w:val="24"/>
          <w:szCs w:val="24"/>
        </w:rPr>
        <w:t xml:space="preserve"> Group 1 neuraminidases exhibit an open conformation 150-loop active site, while </w:t>
      </w:r>
      <w:r w:rsidR="00647936" w:rsidRPr="00230142">
        <w:rPr>
          <w:rFonts w:ascii="Times New Roman" w:hAnsi="Times New Roman" w:cs="Times New Roman"/>
          <w:sz w:val="24"/>
          <w:szCs w:val="24"/>
        </w:rPr>
        <w:t xml:space="preserve">(N2, N3, N6, N7, and N9) </w:t>
      </w:r>
      <w:r w:rsidRPr="00230142">
        <w:rPr>
          <w:rFonts w:ascii="Times New Roman" w:hAnsi="Times New Roman" w:cs="Times New Roman"/>
          <w:sz w:val="24"/>
          <w:szCs w:val="24"/>
        </w:rPr>
        <w:t>group 2 neuraminidases have a closed con</w:t>
      </w:r>
      <w:r w:rsidR="003A22AB" w:rsidRPr="00230142">
        <w:rPr>
          <w:rFonts w:ascii="Times New Roman" w:hAnsi="Times New Roman" w:cs="Times New Roman"/>
          <w:sz w:val="24"/>
          <w:szCs w:val="24"/>
        </w:rPr>
        <w:t>formation 150-loop active site.</w:t>
      </w:r>
      <w:r w:rsidR="00377D9B">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{"citationItems":[{"id":"ITEM-1","itemData":{"DOI":"10.1038/nsmb.1909","ISSN":"15459993","PMID":"20852645","abstract":"Influenza A virus neuraminidase can be classified into groups 1 and 2 on the basis of its primary structure. The main structural feature of group 1 neuraminidase is an extra cavity in the active site, the 150-cavity. Here we present the crystal structure of neuraminidase from the 2009 pandemic H1N1 influenza strain. In contrast to other characterized N1 neuraminidases, which are all members of group 1, 2009 H1N1 neuraminidase does not have a 150-cavity. © 2010 Nature America, Inc. All rights reserved.","author":[{"dropping-particle":"","family":"Li","given":"Qing","non-dropping-particle":"","parse-names":false,"suffix":""},{"dropping-particle":"","family":"Qi","given":"Jianxun","non-dropping-particle":"","parse-names":false,"suffix":""},{"dropping-particle":"","family":"Zhang","given":"Wei","non-dropping-particle":"","parse-names":false,"suffix":""},{"dropping-particle":"","family":"Vavricka","given":"Christopher J.","non-dropping-particle":"","parse-names":false,"suffix":""},{"dropping-particle":"","family":"Shi","given":"Yi","non-dropping-particle":"","parse-names":false,"suffix":""},{"dropping-particle":"","family":"Wei","given":"Jinhua","non-dropping-particle":"","parse-names":false,"suffix":""},{"dropping-particle":"","family":"Feng","given":"Enguang","non-dropping-particle":"","parse-names":false,"suffix":""},{"dropping-particle":"","family":"Shen","given":"Jingshan","non-dropping-particle":"","parse-names":false,"suffix":""},{"dropping-particle":"","family":"Chen","given":"Jilong","non-dropping-particle":"","parse-names":false,"suffix":""},{"dropping-particle":"","family":"Liu","given":"Di","non-dropping-particle":"","parse-names":false,"suffix":""},{"dropping-particle":"","family":"He","given":"Jianhua","non-dropping-particle":"","parse-names":false,"suffix":""},{"dropping-particle":"","family":"Yan","given":"Jinghua","non-dropping-particle":"","parse-names":false,"suffix":""},{"dropping-particle":"","family":"Liu","given":"Hong","non-dropping-particle":"","parse-names":false,"suffix":""},{"dropping-particle":"","family":"Jiang","given":"Hualiang","non-dropping-particle":"","parse-names":false,"suffix":""},{"dropping-particle":"","family":"Teng","given":"Maikun","non-dropping-particle":"","parse-names":false,"suffix":""},{"dropping-particle":"","family":"Li","given":"Xuebing","non-dropping-particle":"","parse-names":false,"suffix":""},{"dropping-particle":"","family":"Gao","given":"George F.","non-dropping-particle":"","parse-names":false,"suffix":""}],"container-title":"Nature Structural and Molecular Biology","id":"ITEM-1","issue":"10","issued":{"date-parts":[["2010"]]},"page":"1266-1268","publisher":"Nature Publishing Group","title":"The 2009 pandemic H1N1 neuraminidase N1 lacks the 150-cavity in its active site","type":"article-journal","volume":"17"},"uris":["http://www.mendeley.com/documents/?uuid=d3979c12-d14c-406c-92fd-f52e96597d9e"]}],"mendeley":{"formattedCitation":"(5)","plainTextFormattedCitation":"(5)","previouslyFormattedCitation":"(6)"},"properties":{"noteIndex":0},"schema":"https://github.com/citation-style-language/schema/raw/master/csl-citation.json"}</w:instrText>
      </w:r>
      <w:r w:rsidR="00377D9B">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(5)</w:t>
      </w:r>
      <w:r w:rsidR="00377D9B">
        <w:rPr>
          <w:rFonts w:ascii="Times New Roman" w:hAnsi="Times New Roman" w:cs="Times New Roman"/>
          <w:sz w:val="24"/>
          <w:szCs w:val="24"/>
        </w:rPr>
        <w:fldChar w:fldCharType="end"/>
      </w:r>
    </w:p>
    <w:p w:rsidR="004E0C70" w:rsidRPr="00230142" w:rsidRDefault="00993A43" w:rsidP="00120618">
      <w:pPr>
        <w:jc w:val="both"/>
        <w:rPr>
          <w:rFonts w:ascii="Times New Roman" w:hAnsi="Times New Roman" w:cs="Times New Roman"/>
          <w:sz w:val="24"/>
          <w:szCs w:val="24"/>
        </w:rPr>
      </w:pPr>
      <w:r w:rsidRPr="00230142">
        <w:rPr>
          <w:rFonts w:ascii="Times New Roman" w:hAnsi="Times New Roman" w:cs="Times New Roman"/>
          <w:sz w:val="24"/>
          <w:szCs w:val="24"/>
        </w:rPr>
        <w:t>The CDC recommends four FDA-approved drugs for treating influenza viruses: Oseltamivir, Zanamivir, Peramivir, and Baloxavir marboxil. The effects of the H11N9 strain on avians and humans are currently unknown. However, it is worth mentioning that the H7N9 strain, which caused severe illness and deaths in humans, is suspected to have originated from either the H11N9 or H2N9 strains, specifically regarding the NA component.</w:t>
      </w:r>
      <w:r w:rsidR="00377D9B">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{"citationItems":[{"id":"ITEM-1","itemData":{"DOI":"10.3390/v12020203","ISSN":"19994915","PMID":"32059510","abstract":"In July 2018, a novel avian influenza virus (A/Mandarin duck/South Korea/KNU18-12/2018(H11N9)) was isolated from Mandarin ducks in South Korea. Phylogenetic and molecular analyses were conducted to characterize the genetic origins of the H11N9 strain. Phylogenetic analysis indicated that eight gene segments of strain H11N9 belonged to the Eurasian lineages. Analysis of nucleotide sequence similarity of both the hemagglutinin (HA) and neuraminidase (NA) genes revealed the highest homology with A/duck/Kagoshima/KU57/2014 (H11N9), showing 97.70% and 98.00% nucleotide identities, respectively. Additionally, internal genes showed homology higher than 98% compared to those of other isolates derived from duck and wild birds. Both the polymerase acidic (PA) and polymerase basic 1 (PB1) genes were close to the H5N3 strain isolated in China; whereas, other internal genes were closely related to that of avian influenza virus in Japan. A single basic amino acid at the HA cleavage site (PAIASR↓GLF), the lack of a five-amino acid deletion (residue 69–73) in the stalk region of the NA gene, and E627 in the polymerase basic 2 (PB2) gene indicated that the A/Mandarin duck/South Korea/KNU18-12/2018(H11N9) isolate was a typical low-pathogenicity avian influenza. In vitro viral replication of H11N9 showed a lower titer than H1N1 and higher than H9N2. In mice, H11N9 showed lower adaptation than H1N1. The novel A/Mandarin duck/South Korea/KNU18-12/2018(H11N9) isolate may have resulted from an unknown reassortment through the import of multiple wild birds in Japan and Korea in approximately 2016–2017, evolving to produce a different H11N9 compared to the previous H11N9 in Korea (2016). Further reassortment events of this virus occurred in PB1 and PA in China-derived strains. These results indicate that Japanese- and Chinese-derived avian influenza contributes to the genetic diversity of A/Mandarin duck/South Korea/KNU18-12/2018(H11N9) in Korea.","author":[{"dropping-particle":"","family":"Tuong","given":"Hien Thi","non-dropping-particle":"","parse-names":false,"suffix":""},{"dropping-particle":"","family":"Nguyen","given":"Ngoc Minh","non-dropping-particle":"","parse-names":false,"suffix":""},{"dropping-particle":"","family":"Sung","given":"Haan Woo","non-dropping-particle":"","parse-names":false,"suffix":""},{"dropping-particle":"","family":"Park","given":"Hyun","non-dropping-particle":"","parse-names":false,"suffix":""},{"dropping-particle":"","family":"Yeo","given":"Seon Ju","non-dropping-particle":"","parse-names":false,"suffix":""}],"container-title":"Viruses","id":"ITEM-1","issue":"2","issued":{"date-parts":[["2020"]]},"title":"Genetic characterization of avian influenza A (H11N9) virus isolated from Mandarin ducks in South Korea in 2018","type":"article-journal","volume":"12"},"uris":["http://www.mendeley.com/documents/?uuid=8bb1140d-1fcf-4423-a0c2-c893535fa464"]}],"mendeley":{"formattedCitation":"(6)","plainTextFormattedCitation":"(6)","previouslyFormattedCitation":"(7)"},"properties":{"noteIndex":0},"schema":"https://github.com/citation-style-language/schema/raw/master/csl-citation.json"}</w:instrText>
      </w:r>
      <w:r w:rsidR="00377D9B">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(6)</w:t>
      </w:r>
      <w:r w:rsidR="00377D9B">
        <w:rPr>
          <w:rFonts w:ascii="Times New Roman" w:hAnsi="Times New Roman" w:cs="Times New Roman"/>
          <w:sz w:val="24"/>
          <w:szCs w:val="24"/>
        </w:rPr>
        <w:fldChar w:fldCharType="end"/>
      </w:r>
      <w:r w:rsidR="00A45167" w:rsidRPr="00230142">
        <w:rPr>
          <w:rFonts w:ascii="Times New Roman" w:hAnsi="Times New Roman" w:cs="Times New Roman"/>
        </w:rPr>
        <w:t xml:space="preserve"> </w:t>
      </w:r>
      <w:r w:rsidR="00A45167" w:rsidRPr="00230142">
        <w:rPr>
          <w:rFonts w:ascii="Times New Roman" w:hAnsi="Times New Roman" w:cs="Times New Roman"/>
          <w:sz w:val="24"/>
          <w:szCs w:val="24"/>
        </w:rPr>
        <w:t xml:space="preserve">Neuraminidase inhibitors are commonly used as antiviral </w:t>
      </w:r>
      <w:r w:rsidR="00647936">
        <w:rPr>
          <w:rFonts w:ascii="Times New Roman" w:hAnsi="Times New Roman" w:cs="Times New Roman"/>
          <w:sz w:val="24"/>
          <w:szCs w:val="24"/>
        </w:rPr>
        <w:t xml:space="preserve">medications to treat patients </w:t>
      </w:r>
      <w:r w:rsidR="00647936" w:rsidRPr="00647936">
        <w:rPr>
          <w:rFonts w:ascii="Times New Roman" w:hAnsi="Times New Roman" w:cs="Times New Roman"/>
          <w:sz w:val="24"/>
          <w:szCs w:val="24"/>
        </w:rPr>
        <w:t>increased susceptibility to influenza-related complications</w:t>
      </w:r>
      <w:r w:rsidR="00A45167" w:rsidRPr="00230142">
        <w:rPr>
          <w:rFonts w:ascii="Times New Roman" w:hAnsi="Times New Roman" w:cs="Times New Roman"/>
          <w:sz w:val="24"/>
          <w:szCs w:val="24"/>
        </w:rPr>
        <w:t>.</w:t>
      </w:r>
      <w:r w:rsidR="00377D9B">
        <w:rPr>
          <w:rFonts w:ascii="Times New Roman" w:hAnsi="Times New Roman" w:cs="Times New Roman"/>
          <w:sz w:val="24"/>
          <w:szCs w:val="24"/>
          <w:vertAlign w:val="superscript"/>
        </w:rPr>
        <w:t xml:space="preserve"> </w:t>
      </w:r>
      <w:r w:rsidR="00A45167" w:rsidRPr="00230142">
        <w:rPr>
          <w:rFonts w:ascii="Times New Roman" w:hAnsi="Times New Roman" w:cs="Times New Roman"/>
          <w:sz w:val="24"/>
          <w:szCs w:val="24"/>
        </w:rPr>
        <w:t xml:space="preserve">The well-known neuraminidase inhibitors include, zanamivir, </w:t>
      </w:r>
      <w:r w:rsidR="00647936" w:rsidRPr="00230142">
        <w:rPr>
          <w:rFonts w:ascii="Times New Roman" w:hAnsi="Times New Roman" w:cs="Times New Roman"/>
          <w:sz w:val="24"/>
          <w:szCs w:val="24"/>
        </w:rPr>
        <w:t>oseltamivir</w:t>
      </w:r>
      <w:r w:rsidR="00647936">
        <w:rPr>
          <w:rFonts w:ascii="Times New Roman" w:hAnsi="Times New Roman" w:cs="Times New Roman"/>
          <w:sz w:val="24"/>
          <w:szCs w:val="24"/>
        </w:rPr>
        <w:t>,</w:t>
      </w:r>
      <w:r w:rsidR="00647936" w:rsidRPr="00647936">
        <w:rPr>
          <w:rFonts w:ascii="Times New Roman" w:hAnsi="Times New Roman" w:cs="Times New Roman"/>
          <w:sz w:val="24"/>
          <w:szCs w:val="24"/>
        </w:rPr>
        <w:t xml:space="preserve"> </w:t>
      </w:r>
      <w:r w:rsidR="00647936" w:rsidRPr="00230142">
        <w:rPr>
          <w:rFonts w:ascii="Times New Roman" w:hAnsi="Times New Roman" w:cs="Times New Roman"/>
          <w:sz w:val="24"/>
          <w:szCs w:val="24"/>
        </w:rPr>
        <w:t>peramivir</w:t>
      </w:r>
      <w:r w:rsidR="00647936">
        <w:rPr>
          <w:rFonts w:ascii="Times New Roman" w:hAnsi="Times New Roman" w:cs="Times New Roman"/>
          <w:sz w:val="24"/>
          <w:szCs w:val="24"/>
        </w:rPr>
        <w:t>,</w:t>
      </w:r>
      <w:r w:rsidR="00647936" w:rsidRPr="00230142">
        <w:rPr>
          <w:rFonts w:ascii="Times New Roman" w:hAnsi="Times New Roman" w:cs="Times New Roman"/>
          <w:sz w:val="24"/>
          <w:szCs w:val="24"/>
        </w:rPr>
        <w:t xml:space="preserve"> </w:t>
      </w:r>
      <w:r w:rsidR="00A45167" w:rsidRPr="00230142">
        <w:rPr>
          <w:rFonts w:ascii="Times New Roman" w:hAnsi="Times New Roman" w:cs="Times New Roman"/>
          <w:sz w:val="24"/>
          <w:szCs w:val="24"/>
        </w:rPr>
        <w:t xml:space="preserve">and </w:t>
      </w:r>
      <w:r w:rsidR="00647936" w:rsidRPr="00230142">
        <w:rPr>
          <w:rFonts w:ascii="Times New Roman" w:hAnsi="Times New Roman" w:cs="Times New Roman"/>
          <w:sz w:val="24"/>
          <w:szCs w:val="24"/>
        </w:rPr>
        <w:t>laninamivir,</w:t>
      </w:r>
      <w:r w:rsidR="00A45167" w:rsidRPr="00230142">
        <w:rPr>
          <w:rFonts w:ascii="Times New Roman" w:hAnsi="Times New Roman" w:cs="Times New Roman"/>
          <w:sz w:val="24"/>
          <w:szCs w:val="24"/>
        </w:rPr>
        <w:t>.</w:t>
      </w:r>
      <w:r w:rsidR="00A153E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{"citationItems":[{"id":"ITEM-1","itemData":{"DOI":"10.1136/bmj.g2545","ISSN":"17561833","PMID":"24811411","abstract":"Objective To describe the potential benefits and harms of oseltamivir by reviewing all clinical study reports (or similar document when no clinical study report exists) of randomised placebo controlled trials and regulatory comments (\"regulatory information\"). Design Systematic review of regulatory information. Data sources Clinical study reports, trial registries, electronic databases, regulatory archives, and correspondence with manufacturers. Eligibility criteria for selecting studies Randomised placebo controlled trials on adults and children who had confirmed or suspected exposure to natural influenza. Main outcome measures Time to first alleviation of symptoms, influenza outcomes, complications, admissions to hospital, and adverse events in the intention to treat population. Results From the European Medicines Agency and Roche, we obtained clinical study reports for 83 trials. We included 23 trials in stage 1 (reliability and completeness screen) and 20 in stage 2 (formal analysis). In treatment trials on adults, oseltamivir reduced the time to first alleviation of symptoms by 16.8 hours (95% confidence interval 8.4 to 25.1 hours, P&lt;0.001). There was no effect in children with asthma, but there was an effect in otherwise healthy children (mean difference 29 hours, 95% confidence interval 12 to 47 hours, P=0.001). In treatment trials there was no difference in admissions to hospital in adults (risk difference 0.15%, 95% confidence interval -0.91% to 0.78%, P=0.84) and sparse data in children and for prophylaxis. In adult treatment trials, oseltamivir reduced investigator mediated unverified pneumonia (risk difference 1.00%, 0.22% to 1.49%; number needed to treat to benefit (NNTB) 100, 95% confidence interval 67 to 451). The effect was not statistically significant in the five trials that used a more detailed diagnostic form for \"pneumonia,\" and no clinical study reports reported laboratory or diagnostic confirmation of \"pneumonia.\" The effect on unverified pneumonia in children and for prophylaxis was not significant. There was no significant reduction in risk of unverified bronchitis, otitis media, sinusitis, or any complication classified as serious or that led to study withdrawal. 14 of 20 trials prompted participants to self report all secondary illnesses to an investigator. Oseltamivir in the treatment of adults increased the risk of nausea (risk difference 3.66%, 0.90% to 7.39%; number needed to treat to harm (NNTH) 28, 95% confidence interva…","author":[{"dropping-particle":"","family":"Jefferson","given":"Tom","non-dropping-particle":"","parse-names":false,"suffix":""},{"dropping-particle":"","family":"Jones","given":"Mark","non-dropping-particle":"","parse-names":false,"suffix":""},{"dropping-particle":"","family":"Doshi","given":"Peter","non-dropping-particle":"","parse-names":false,"suffix":""},{"dropping-particle":"","family":"Spencer","given":"Elizabeth A.","non-dropping-particle":"","parse-names":false,"suffix":""},{"dropping-particle":"","family":"Onakpoya","given":"Igho","non-dropping-particle":"","parse-names":false,"suffix":""},{"dropping-particle":"","family":"Heneghan","given":"Carl J.","non-dropping-particle":"","parse-names":false,"suffix":""}],"container-title":"BMJ (Online)","id":"ITEM-1","issue":"April","issued":{"date-parts":[["2014"]]},"page":"1-18","title":"Oseltamivir for influenza in adults and children: Systematic review of clinical study reports and summary of regulatory comments","type":"article-journal","volume":"348"},"uris":["http://www.mendeley.com/documents/?uuid=fb4b6e6f-9746-4d18-aae2-708ce19c7fdc"]}],"mendeley":{"formattedCitation":"(7)","plainTextFormattedCitation":"(7)","previouslyFormattedCitation":"(8)"},"properties":{"noteIndex":0},"schema":"https://github.com/citation-style-language/schema/raw/master/csl-citation.json"}</w:instrText>
      </w:r>
      <w:r w:rsidR="00A153E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(7)</w:t>
      </w:r>
      <w:r w:rsidR="00A153E8">
        <w:rPr>
          <w:rFonts w:ascii="Times New Roman" w:hAnsi="Times New Roman" w:cs="Times New Roman"/>
          <w:sz w:val="24"/>
          <w:szCs w:val="24"/>
        </w:rPr>
        <w:fldChar w:fldCharType="end"/>
      </w:r>
      <w:r w:rsidR="00A45167" w:rsidRPr="00230142">
        <w:rPr>
          <w:rFonts w:ascii="Times New Roman" w:hAnsi="Times New Roman" w:cs="Times New Roman"/>
          <w:sz w:val="24"/>
          <w:szCs w:val="24"/>
        </w:rPr>
        <w:t xml:space="preserve"> </w:t>
      </w:r>
      <w:r w:rsidR="00365A9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{"citationItems":[{"id":"ITEM-1","itemData":{"DOI":"10.1136/bmj.g2547","ISSN":"17561833","PMID":"24811412","abstract":"Objectives To describe the potential benefits and harms of zanamivir. Design Systematic review of clinical study reports of randomised placebo controlled trials and regulatory information Data sources Clinical study reports, trial registries, electronic databases, regulatory archives, and correspondence with manufacturers. Eligibility criteria for selecting studies Randomised placebo controlled trials in adults and children who had confirmed or suspected exposure to natural influenza. Main outcome measures Time to first alleviation of symptoms, influenza outcomes and complications, admissions to hospital, and adverse events in the intention to treat (ITT) population. Results We included 28 trials in stage 1 (judgment of appropriate study design) and 26 in stage 2 (formal analysis). For treatment of adults, zanamivir reduced the time to first alleviation of symptoms of influenza-like illness by 0.60 days (95% confidence interval 0.39 to 0.81, P&lt;0.001, I2=9%), which equates to an average 14.4 hours' reduction, or a 10% reduction in mean duration of symptoms from 6.6 days to 6.0 days. Time to first alleviation of symptoms was shorter in all participants when any relief drugs were allowed compared with no use. Zanamivir did not reduce the risk of self reported investigator mediated pneumonia (risk difference 0.17%, -0.73% to 0.70%) or radiologically confirmed pneumonia (-0.06%, -6.56% to 2.11%) in adults. The effect on pneumonia in children was also not significant (0.56%, -1.64% to 1.04%). There was no significant effect on otitis media or sinusitis in both adults and children, with only a small effect noted for bronchitis in adults (1.80%, 0.65% to 2.80%), but not in children. There were no data to assess effects on admissions in adults and children. Zanamivir tended to be well tolerated. In zanamivir prophylaxis studies, symptomatic influenza in individuals was significantly reduced (1.98%, (0.98% to 2.54%); reducing event rates from 3.26% to 1.27%, which means 51 people need to be treated to prevent one influenza case (95% confidence interval, 40 to 103). In contrast, the prophylaxis effect on asymptomatic influenza cases was not significant in individuals (risk difference 0.14%, -1.10% to 1.10%) or in households (1.32%, -2.20% to 3.84%). In households treated prophylactically there was an effect on symptomatic influenza (14.84%, 12.18% to 16.55%), but this was based on only two small studies including 824 participants. Prophylaxis in adults reduced unv…","author":[{"dropping-particle":"","family":"Heneghan","given":"Carl J.","non-dropping-particle":"","parse-names":false,"suffix":""},{"dropping-particle":"","family":"Onakpoya","given":"Igho","non-dropping-particle":"","parse-names":false,"suffix":""},{"dropping-particle":"","family":"Thompson","given":"Matthew","non-dropping-particle":"","parse-names":false,"suffix":""},{"dropping-particle":"","family":"Spencer","given":"Elizabeth A.","non-dropping-particle":"","parse-names":false,"suffix":""},{"dropping-particle":"","family":"Jones","given":"Mark","non-dropping-particle":"","parse-names":false,"suffix":""},{"dropping-particle":"","family":"Jefferson","given":"Tom","non-dropping-particle":"","parse-names":false,"suffix":""}],"container-title":"BMJ (Online)","id":"ITEM-1","issue":"April","issued":{"date-parts":[["2014"]]},"page":"1-16","title":"Zanamivir for influenza in adults and children: Systematic review of clinical study reports and summary of regulatory comments","type":"article-journal","volume":"348"},"uris":["http://www.mendeley.com/documents/?uuid=bd16235c-9859-47e6-9401-6baab04f8042"]}],"mendeley":{"formattedCitation":"(8)","plainTextFormattedCitation":"(8)","previouslyFormattedCitation":"(9)"},"properties":{"noteIndex":0},"schema":"https://github.com/citation-style-language/schema/raw/master/csl-citation.json"}</w:instrText>
      </w:r>
      <w:r w:rsidR="00365A9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(8)</w:t>
      </w:r>
      <w:r w:rsidR="00365A98">
        <w:rPr>
          <w:rFonts w:ascii="Times New Roman" w:hAnsi="Times New Roman" w:cs="Times New Roman"/>
          <w:sz w:val="24"/>
          <w:szCs w:val="24"/>
        </w:rPr>
        <w:fldChar w:fldCharType="end"/>
      </w:r>
      <w:r w:rsidR="00A153E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{"citationItems":[{"id":"ITEM-1","itemData":{"DOI":"10.1177/0091270009356297","ISSN":"00912700","PMID":"20145259","abstract":"Phase 1 studies of laninamivir, a novel long-acting neuraminidase inhibitor, were carried out to assess its safety, tolerability, and pharmacokinetics after inhaled administration of its prodrug, CS-8958. Healthy male volunteers (total N = 76) participated in double-blind, randomized, placebo-controlled trials and received 5, 10, 20, 40, 80, or 120 mg of a single dose or 20 or 40 mg of a twice-daily dose for 3 days. The clinical and laboratory parameters and plasma and urinary concentrations of CS-8958 and laninamivir for 144 hours post dosing were measured. There were no adverse events related to the test drug. CS-8958 disappeared from plasma with a half-life of about 2 hours, although laninamivir was slowly eliminated from the body, lasting for even up to 144 hours after administration with a half-life of about 3 days. Area under the curve and maximum concentration increased almost linearly with the dose administered. The cumulative urinary excretion amounts of CS-8958 and laninamivir were 2.3% to 3.6% and 10.7% to 14.6% of the dose, respectively. The half-life of the urinary excretion rates of laninamivir at higher single dose is comparable to plasma half-life. CS-8958, when inhaled by healthy volunteers, is well tolerated and exhibits a suitable pharmacokinetic profile, suggesting potential for long-lasting anti-influenza activity. © The Author(s) 2010.","author":[{"dropping-particle":"","family":"Ishizuka","given":"Hitoshi","non-dropping-particle":"","parse-names":false,"suffix":""},{"dropping-particle":"","family":"Yoshiba","given":"Satoshi","non-dropping-particle":"","parse-names":false,"suffix":""},{"dropping-particle":"","family":"Okabe","given":"Hiromi","non-dropping-particle":"","parse-names":false,"suffix":""},{"dropping-particle":"","family":"Yoshihara","given":"Kazutaka","non-dropping-particle":"","parse-names":false,"suffix":""}],"container-title":"Journal of Clinical Pharmacology","id":"ITEM-1","issue":"11","issued":{"date-parts":[["2010"]]},"page":"1319-1329","title":"Clinical pharmacokinetics of laninamivir, a novel long-acting neuraminidase inhibitor, after single and multiple inhaled doses of its prodrug, CS-8958, in healthy male volunteers","type":"article-journal","volume":"50"},"uris":["http://www.mendeley.com/documents/?uuid=4440623e-e9ef-4d8f-ad7e-0e9a4ddad3c9"]}],"mendeley":{"formattedCitation":"(9)","plainTextFormattedCitation":"(9)","previouslyFormattedCitation":"(10)"},"properties":{"noteIndex":0},"schema":"https://github.com/citation-style-language/schema/raw/master/csl-citation.json"}</w:instrText>
      </w:r>
      <w:r w:rsidR="00A153E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(9)</w:t>
      </w:r>
      <w:r w:rsidR="00A153E8">
        <w:rPr>
          <w:rFonts w:ascii="Times New Roman" w:hAnsi="Times New Roman" w:cs="Times New Roman"/>
          <w:sz w:val="24"/>
          <w:szCs w:val="24"/>
        </w:rPr>
        <w:fldChar w:fldCharType="end"/>
      </w:r>
      <w:r w:rsidR="00A153E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{"citationItems":[{"id":"ITEM-1","itemData":{"DOI":"10.1517/14656566.2015.1066336","ISSN":"17447666","PMID":"26153242","abstract":"Introduction: Peramivir (BCX-1812, RWJ-270201) is a highly selective inhibitor of influenza A and B neuraminidase that has recently been approved in the USA by the FDA to treat acute, uncomplicated influenza in adults.Areas covered: This review examines the discovery and development of peramavir as well as its role in the treatment of influenza. Peramivir is currently the only FDA-approved anti-influenza agent that can be given as an intravenous injection, granting it a unique role in therapy with the potential to improve adherence and outcomes in patients who are unable to tolerate oral agents. In vitro, animal, human and safety data are presented as well as information regarding special populations, resistance and drug approval.Expert opinion: Clinical trial data support the use of peramivir to relieve influenza symptoms in acute, uncomplicated influenza, with improvements over placebo similar to those of other approved anti-influenza treatments. The ability to give a one-time injectable dose offers improved adherence over currently available oral regimens. While not approved for hospitalized patients, available data suggest that multiple dose peramivir may also have a role in treatment of severally ill, hospitalized patients. Supportive data for the use of peramivir in special patient populations such as pediatrics and those especially at-risk to develop severe influenza symptoms are promising; however, they require further study.","author":[{"dropping-particle":"","family":"Mclaughlin","given":"Milena M.","non-dropping-particle":"","parse-names":false,"suffix":""},{"dropping-particle":"","family":"Skoglund","given":"Erik W.","non-dropping-particle":"","parse-names":false,"suffix":""},{"dropping-particle":"","family":"Ison","given":"Michael G.","non-dropping-particle":"","parse-names":false,"suffix":""}],"container-title":"Expert Opinion on Pharmacotherapy","id":"ITEM-1","issue":"12","issued":{"date-parts":[["2015"]]},"page":"1889-1900","title":"Peramivir: An intravenous neuraminidase inhibitor","type":"article-journal","volume":"16"},"uris":["http://www.mendeley.com/documents/?uuid=a5478e7d-5bf9-4b51-9996-ae4c7df1ee49"]}],"mendeley":{"formattedCitation":"(10)","plainTextFormattedCitation":"(10)","previouslyFormattedCitation":"(11)"},"properties":{"noteIndex":0},"schema":"https://github.com/citation-style-language/schema/raw/master/csl-citation.json"}</w:instrText>
      </w:r>
      <w:r w:rsidR="00A153E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(10)</w:t>
      </w:r>
      <w:r w:rsidR="00A153E8">
        <w:rPr>
          <w:rFonts w:ascii="Times New Roman" w:hAnsi="Times New Roman" w:cs="Times New Roman"/>
          <w:sz w:val="24"/>
          <w:szCs w:val="24"/>
        </w:rPr>
        <w:fldChar w:fldCharType="end"/>
      </w:r>
      <w:r w:rsidR="00A45167" w:rsidRPr="00230142">
        <w:rPr>
          <w:rFonts w:ascii="Times New Roman" w:hAnsi="Times New Roman" w:cs="Times New Roman"/>
          <w:sz w:val="24"/>
          <w:szCs w:val="24"/>
        </w:rPr>
        <w:t>These drugs have been effective in combating influenza; however, there have been reports of emerging resistance, highlighting</w:t>
      </w:r>
      <w:r w:rsidR="00552C9E">
        <w:rPr>
          <w:rFonts w:ascii="Times New Roman" w:hAnsi="Times New Roman" w:cs="Times New Roman"/>
          <w:sz w:val="24"/>
          <w:szCs w:val="24"/>
        </w:rPr>
        <w:t xml:space="preserve"> </w:t>
      </w:r>
      <w:r w:rsidR="00647936" w:rsidRPr="00647936">
        <w:rPr>
          <w:rFonts w:ascii="Times New Roman" w:hAnsi="Times New Roman" w:cs="Times New Roman"/>
          <w:sz w:val="24"/>
          <w:szCs w:val="24"/>
        </w:rPr>
        <w:t>the requirement for improved treatment options</w:t>
      </w:r>
      <w:r w:rsidR="00A45167" w:rsidRPr="00230142">
        <w:rPr>
          <w:rFonts w:ascii="Times New Roman" w:hAnsi="Times New Roman" w:cs="Times New Roman"/>
          <w:sz w:val="24"/>
          <w:szCs w:val="24"/>
        </w:rPr>
        <w:t xml:space="preserve"> Baloxavir marboxil, </w:t>
      </w:r>
      <w:r w:rsidR="00552C9E">
        <w:rPr>
          <w:rFonts w:ascii="Times New Roman" w:hAnsi="Times New Roman" w:cs="Times New Roman"/>
          <w:sz w:val="24"/>
          <w:szCs w:val="24"/>
        </w:rPr>
        <w:t xml:space="preserve">a </w:t>
      </w:r>
      <w:r w:rsidR="00552C9E" w:rsidRPr="00552C9E">
        <w:rPr>
          <w:rFonts w:ascii="Times New Roman" w:hAnsi="Times New Roman" w:cs="Times New Roman"/>
          <w:sz w:val="24"/>
          <w:szCs w:val="24"/>
        </w:rPr>
        <w:t xml:space="preserve">Cap-binding endonuclease blocker </w:t>
      </w:r>
      <w:r w:rsidR="00A45167" w:rsidRPr="00230142">
        <w:rPr>
          <w:rFonts w:ascii="Times New Roman" w:hAnsi="Times New Roman" w:cs="Times New Roman"/>
          <w:sz w:val="24"/>
          <w:szCs w:val="24"/>
        </w:rPr>
        <w:t>, is a recently approved drug that offers an alternative treatment option.</w:t>
      </w:r>
      <w:r w:rsidR="00A153E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10.1016/S1473-3099(21)00469-2","ISSN":"1473-3099","author":[{"dropping-particle":"","family":"Kumar","given":"Deepali","non-dropping-particle":"","parse-names":false,"suffix":""},{"dropping-particle":"","family":"Ison","given":"Michael G","non-dropping-particle":"","parse-names":false,"suffix":""},{"dropping-particle":"","family":"Mira","given":"Jean-Paul","non-dropping-particle":"","parse-names":false,"suffix":""},{"dropping-particle":"","family":"Welte","given":"Tobias","non-dropping-particle":"","parse-names":false,"suffix":""},{"dropping-particle":"","family":"Hwan Ha","given":"Jick","non-dropping-particle":"","parse-names":false,"suffix":""},{"dropping-particle":"","family":"Hui","given":"David S","non-dropping-particle":"","parse-names":false,"suffix":""},{"dropping-particle":"","family":"Zhong","given":"Nanshan","non-dropping-particle":"","parse-names":false,"suffix":""},{"dropping-particle":"","family":"Saito","given":"Takefumi","non-dropping-particle":"","parse-names":false,"suffix":""},{"dropping-particle":"","family":"Katugampola","given":"Laurie","non-dropping-particle":"","parse-names":false,"suffix":""},{"dropping-particle":"","family":"Collinson","given":"Neil","non-dropping-particle":"","parse-names":false,"suffix":""},{"dropping-particle":"","family":"Williams","given":"Sarah","non-dropping-particle":"","parse-names":false,"suffix":""},{"dropping-particle":"","family":"Wildum","given":"Steffen","non-dropping-particle":"","parse-names":false,"suffix":""},{"dropping-particle":"","family":"Ackrill","given":"Andrew","non-dropping-particle":"","parse-names":false,"suffix":""},{"dropping-particle":"","family":"Clinch","given":"Barry","non-dropping-particle":"","parse-names":false,"suffix":""},{"dropping-particle":"","family":"Lee","given":"Nelson","non-dropping-particle":"","parse-names":false,"suffix":""}],"container-title":"The Lancet Infectious Diseases","id":"ITEM-1","issue":"5","issued":{"date-parts":[["2022","5","1"]]},"note":"doi: 10.1016/S1473-3099(21)00469-2","page":"718-730","publisher":"Elsevier","title":"Combining baloxavir marboxil with standard-of-care neuraminidase inhibitor in patients hospitalised with severe influenza (FLAGSTONE): a randomised, parallel-group, double-blind, placebo-controlled, superiority trial","type":"article-journal","volume":"22"},"uris":["http://www.mendeley.com/documents/?uuid=fd030661-cc57-4402-a437-0190d0fa40ba"]}],"mendeley":{"formattedCitation":"(11)","plainTextFormattedCitation":"(11)","previouslyFormattedCitation":"(12)"},"properties":{"noteIndex":0},"schema":"https://github.com/citation-style-language/schema/raw/master/csl-citation.json"}</w:instrText>
      </w:r>
      <w:r w:rsidR="00A153E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(11)</w:t>
      </w:r>
      <w:r w:rsidR="00A153E8">
        <w:rPr>
          <w:rFonts w:ascii="Times New Roman" w:hAnsi="Times New Roman" w:cs="Times New Roman"/>
          <w:sz w:val="24"/>
          <w:szCs w:val="24"/>
        </w:rPr>
        <w:fldChar w:fldCharType="end"/>
      </w:r>
      <w:r w:rsidR="00A45167" w:rsidRPr="00230142">
        <w:rPr>
          <w:rFonts w:ascii="Times New Roman" w:hAnsi="Times New Roman" w:cs="Times New Roman"/>
          <w:sz w:val="24"/>
          <w:szCs w:val="24"/>
        </w:rPr>
        <w:t xml:space="preserve"> It's worth noting that laninamivir is currently a</w:t>
      </w:r>
      <w:r w:rsidR="00A153E8">
        <w:rPr>
          <w:rFonts w:ascii="Times New Roman" w:hAnsi="Times New Roman" w:cs="Times New Roman"/>
          <w:sz w:val="24"/>
          <w:szCs w:val="24"/>
        </w:rPr>
        <w:t>pproved only in Japan.</w:t>
      </w:r>
      <w:r w:rsidR="00A153E8">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10.1111/j.1750-2659.2012.00351.x","ISSN":"17502640","PMID":"22405585","author":[{"dropping-particle":"","family":"Sunagawa","given":"Satoko","non-dropping-particle":"","parse-names":false,"suffix":""},{"dropping-particle":"","family":"Higa","given":"Futoshi","non-dropping-particle":"","parse-names":false,"suffix":""},{"dropping-particle":"","family":"Cash","given":"Haley L.","non-dropping-particle":"","parse-names":false,"suffix":""},{"dropping-particle":"","family":"Tateyama","given":"Masao","non-dropping-particle":"","parse-names":false,"suffix":""},{"dropping-particle":"","family":"Uno","given":"Tsukasa","non-dropping-particle":"","parse-names":false,"suffix":""},{"dropping-particle":"","family":"Fujita","given":"Jiro","non-dropping-particle":"","parse-names":false,"suffix":""}],"container-title":"Influenza and other Respiratory Viruses","id":"ITEM-1","issue":"1","issued":{"date-parts":[["2013"]]},"page":"1-3","title":"Single-dose inhaled laninamivir: Registered in Japan and its potential role in control of influenza epidemics","type":"article-journal","volume":"7"},"uris":["http://www.mendeley.com/documents/?uuid=78589e48-1e0a-4e10-b5a3-744b4b2301fc"]}],"mendeley":{"formattedCitation":"(12)","plainTextFormattedCitation":"(12)","previouslyFormattedCitation":"(13)"},"properties":{"noteIndex":0},"schema":"https://github.com/citation-style-language/schema/raw/master/csl-citation.json"}</w:instrText>
      </w:r>
      <w:r w:rsidR="00A153E8">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(12)</w:t>
      </w:r>
      <w:r w:rsidR="00A153E8">
        <w:rPr>
          <w:rFonts w:ascii="Times New Roman" w:hAnsi="Times New Roman" w:cs="Times New Roman"/>
          <w:sz w:val="24"/>
          <w:szCs w:val="24"/>
        </w:rPr>
        <w:fldChar w:fldCharType="end"/>
      </w:r>
      <w:r w:rsidR="00E81B63">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{"citationItems":[{"id":"ITEM-1","itemData":{"DOI":"10.1016/j.antiviral.2018.07.001","ISSN":"18729096","PMID":"29981793","abstract":"A total of 13672 viruses, collected by World Health Organization recognised National Influenza Centres between May 2016 and May 2017, were assessed for neuraminidase inhibitor susceptibility by four WHO Collaborating Centres for Reference and Research on Influenza and one WHO Collaborating Centre for the Surveillance Epidemiology and Control of Influenza. The 50% inhibitory concentration (IC50) was determined for oseltamivir and zanamivir for all viruses, and for peramivir and laninamivir in a subset (n = 8457). Of the viruses tested, 94% were obtained from the Western Pacific, Americas and European WHO regions, while limited viruses were available from the Eastern Mediterranean, African and South East Asian regions. Reduced inhibition (RI) by one or more neuraminidase inhibitor was exhibited by 0.2% of viruses tested (n = 32). The frequency of viruses with RI has remained low since this global analysis began (2015/16: 0.8%, 2014/15: 0.5%; 2013/14: 1.9%; 2012/13: 0.6%) but 2016/17 has the lowest frequency observed to date. Analysis of 13581 neuraminidase sequences retrieved from public databases, of which 5243 sequences were from viruses not included in the phenotypic analyses, identified 58 further viruses (29 without phenotypic analyses) with amino acid substitutions associated with RI by at least one neuraminidase inhibitor. Bringing the total proportion to 0.5% (90/18915). This 2016/17 analysis demonstrates that neuraminidase inhibitors remain suitable for treatment and prophylaxis of influenza virus infections, but continued monitoring is important. An expansion of surveillance testing is paramount since several novel influenza antivirals are in late stage clinical trials with some resistance already having been identified.","author":[{"dropping-particle":"","family":"Lackenby","given":"Angie","non-dropping-particle":"","parse-names":false,"suffix":""},{"dropping-particle":"","family":"Besselaar","given":"Terry G.","non-dropping-particle":"","parse-names":false,"suffix":""},{"dropping-particle":"","family":"Daniels","given":"Rod S.","non-dropping-particle":"","parse-names":false,"suffix":""},{"dropping-particle":"","family":"Fry","given":"Alicia","non-dropping-particle":"","parse-names":false,"suffix":""},{"dropping-particle":"","family":"Gregory","given":"Vicki","non-dropping-particle":"","parse-names":false,"suffix":""},{"dropping-particle":"V.","family":"Gubareva","given":"Larisa","non-dropping-particle":"","parse-names":false,"suffix":""},{"dropping-particle":"","family":"Huang","given":"Weijuan","non-dropping-particle":"","parse-names":false,"suffix":""},{"dropping-particle":"","family":"Hurt","given":"Aeron C.","non-dropping-particle":"","parse-names":false,"suffix":""},{"dropping-particle":"","family":"Leang","given":"Sook Kwan","non-dropping-particle":"","parse-names":false,"suffix":""},{"dropping-particle":"","family":"Lee","given":"Raphael T.C.","non-dropping-particle":"","parse-names":false,"suffix":""},{"dropping-particle":"","family":"Lo","given":"Janice","non-dropping-particle":"","parse-names":false,"suffix":""},{"dropping-particle":"","family":"Lollis","given":"Lori","non-dropping-particle":"","parse-names":false,"suffix":""},{"dropping-particle":"","family":"Maurer-Stroh","given":"Sebastian","non-dropping-particle":"","parse-names":false,"suffix":""},{"dropping-particle":"","family":"Odagiri","given":"Takato","non-dropping-particle":"","parse-names":false,"suffix":""},{"dropping-particle":"","family":"Pereyaslov","given":"Dmitriy","non-dropping-particle":"","parse-names":false,"suffix":""},{"dropping-particle":"","family":"Takashita","given":"Emi","non-dropping-particle":"","parse-names":false,"suffix":""},{"dropping-particle":"","family":"Wang","given":"Dayan","non-dropping-particle":"","parse-names":false,"suffix":""},{"dropping-particle":"","family":"Zhang","given":"Wenqing","non-dropping-particle":"","parse-names":false,"suffix":""},{"dropping-particle":"","family":"Meijer","given":"Adam","non-dropping-particle":"","parse-names":false,"suffix":""}],"container-title":"Antiviral Research","id":"ITEM-1","issued":{"date-parts":[["2018"]]},"page":"38-46","publisher":"Elsevier B.V.","title":"Global update on the susceptibility of human influenza viruses to neuraminidase inhibitors and status of novel antivirals, 2016–2017","type":"article-journal","volume":"157"},"uris":["http://www.mendeley.com/documents/?uuid=dea4d49f-92d9-4312-baa1-7d1b7736d9dc"]}],"mendeley":{"formattedCitation":"(13)","plainTextFormattedCitation":"(13)","previouslyFormattedCitation":"(14)"},"properties":{"noteIndex":0},"schema":"https://github.com/citation-style-language/schema/raw/master/csl-citation.json"}</w:instrText>
      </w:r>
      <w:r w:rsidR="00E81B63">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(13)</w:t>
      </w:r>
      <w:r w:rsidR="00E81B63">
        <w:rPr>
          <w:rFonts w:ascii="Times New Roman" w:hAnsi="Times New Roman" w:cs="Times New Roman"/>
          <w:sz w:val="24"/>
          <w:szCs w:val="24"/>
        </w:rPr>
        <w:fldChar w:fldCharType="end"/>
      </w:r>
    </w:p>
    <w:p w:rsidR="00A45167" w:rsidRPr="00230142" w:rsidRDefault="00A45167" w:rsidP="00120618">
      <w:pPr>
        <w:jc w:val="both"/>
        <w:rPr>
          <w:rFonts w:ascii="Times New Roman" w:hAnsi="Times New Roman" w:cs="Times New Roman"/>
          <w:sz w:val="24"/>
          <w:szCs w:val="24"/>
        </w:rPr>
      </w:pPr>
    </w:p>
    <w:p w:rsidR="004E0C70" w:rsidRPr="00230142" w:rsidRDefault="004E0C70" w:rsidP="00120618">
      <w:pPr>
        <w:jc w:val="both"/>
        <w:rPr>
          <w:rFonts w:ascii="Times New Roman" w:hAnsi="Times New Roman" w:cs="Times New Roman"/>
          <w:sz w:val="32"/>
          <w:szCs w:val="32"/>
        </w:rPr>
      </w:pPr>
    </w:p>
    <w:p w:rsidR="00CE4977" w:rsidRDefault="000B040B" w:rsidP="000B040B">
      <w:pPr>
        <w:pStyle w:val="Heading1"/>
        <w:rPr>
          <w:rFonts w:ascii="Times New Roman" w:hAnsi="Times New Roman" w:cs="Times New Roman"/>
          <w:b/>
          <w:color w:val="000000" w:themeColor="text1"/>
        </w:rPr>
      </w:pPr>
      <w:r w:rsidRPr="008850E9">
        <w:rPr>
          <w:rFonts w:ascii="Times New Roman" w:hAnsi="Times New Roman" w:cs="Times New Roman"/>
          <w:color w:val="000000" w:themeColor="text1"/>
        </w:rPr>
        <w:lastRenderedPageBreak/>
        <w:t xml:space="preserve">2. </w:t>
      </w:r>
      <w:r w:rsidRPr="008850E9">
        <w:rPr>
          <w:rFonts w:ascii="Times New Roman" w:hAnsi="Times New Roman" w:cs="Times New Roman"/>
          <w:b/>
          <w:color w:val="000000" w:themeColor="text1"/>
        </w:rPr>
        <w:t>MATERIAL AND METHODOLOGY</w:t>
      </w:r>
    </w:p>
    <w:p w:rsidR="00F01D86" w:rsidRPr="008850E9" w:rsidRDefault="000B040B" w:rsidP="000B040B">
      <w:pPr>
        <w:pStyle w:val="Heading1"/>
        <w:rPr>
          <w:rFonts w:ascii="Times New Roman" w:hAnsi="Times New Roman" w:cs="Times New Roman"/>
          <w:b/>
          <w:color w:val="000000" w:themeColor="text1"/>
        </w:rPr>
      </w:pPr>
      <w:r w:rsidRPr="008850E9">
        <w:rPr>
          <w:rFonts w:ascii="Times New Roman" w:hAnsi="Times New Roman" w:cs="Times New Roman"/>
          <w:b/>
          <w:color w:val="000000" w:themeColor="text1"/>
        </w:rPr>
        <w:t>2.1 3D structure of a target</w:t>
      </w:r>
    </w:p>
    <w:p w:rsidR="00F01D86" w:rsidRPr="00230142" w:rsidRDefault="002D3C52" w:rsidP="00F01D86">
      <w:pPr>
        <w:jc w:val="both"/>
        <w:rPr>
          <w:rFonts w:ascii="Times New Roman" w:hAnsi="Times New Roman" w:cs="Times New Roman"/>
          <w:sz w:val="24"/>
          <w:szCs w:val="24"/>
        </w:rPr>
      </w:pPr>
      <w:r w:rsidRPr="002D3C52">
        <w:rPr>
          <w:rFonts w:ascii="Times New Roman" w:hAnsi="Times New Roman" w:cs="Times New Roman"/>
          <w:sz w:val="24"/>
          <w:szCs w:val="24"/>
        </w:rPr>
        <w:t>The Protein Data Bank (PDB) database was explored to locate the 3D crysta</w:t>
      </w:r>
      <w:r>
        <w:rPr>
          <w:rFonts w:ascii="Times New Roman" w:hAnsi="Times New Roman" w:cs="Times New Roman"/>
          <w:sz w:val="24"/>
          <w:szCs w:val="24"/>
        </w:rPr>
        <w:t>l structure of N9 neuraminidase</w:t>
      </w:r>
      <w:r w:rsidR="00CE4977">
        <w:rPr>
          <w:rFonts w:ascii="Times New Roman" w:hAnsi="Times New Roman" w:cs="Times New Roman"/>
          <w:sz w:val="24"/>
          <w:szCs w:val="24"/>
        </w:rPr>
        <w:t xml:space="preserve"> originating from the Influenza A</w:t>
      </w:r>
      <w:r>
        <w:rPr>
          <w:rFonts w:ascii="Times New Roman" w:hAnsi="Times New Roman" w:cs="Times New Roman"/>
          <w:sz w:val="24"/>
          <w:szCs w:val="24"/>
        </w:rPr>
        <w:t xml:space="preserve"> </w:t>
      </w:r>
      <w:r w:rsidRPr="002D3C52">
        <w:rPr>
          <w:rFonts w:ascii="Times New Roman" w:hAnsi="Times New Roman" w:cs="Times New Roman"/>
          <w:sz w:val="24"/>
          <w:szCs w:val="24"/>
        </w:rPr>
        <w:t>(strain A/Tern/Australia/G70C/1975(H11N9)).</w:t>
      </w:r>
      <w:r>
        <w:rPr>
          <w:rFonts w:ascii="Times New Roman" w:hAnsi="Times New Roman" w:cs="Times New Roman"/>
          <w:sz w:val="24"/>
          <w:szCs w:val="24"/>
        </w:rPr>
        <w:t xml:space="preserve"> </w:t>
      </w:r>
      <w:r w:rsidR="00F01D86" w:rsidRPr="00230142">
        <w:rPr>
          <w:rFonts w:ascii="Times New Roman" w:hAnsi="Times New Roman" w:cs="Times New Roman"/>
          <w:sz w:val="24"/>
          <w:szCs w:val="24"/>
        </w:rPr>
        <w:t xml:space="preserve">The search criteria included </w:t>
      </w:r>
      <w:r w:rsidR="000B040B" w:rsidRPr="00230142">
        <w:rPr>
          <w:rFonts w:ascii="Times New Roman" w:hAnsi="Times New Roman" w:cs="Times New Roman"/>
          <w:sz w:val="24"/>
          <w:szCs w:val="24"/>
        </w:rPr>
        <w:t xml:space="preserve">the </w:t>
      </w:r>
      <w:r w:rsidR="00F01D86" w:rsidRPr="00230142">
        <w:rPr>
          <w:rFonts w:ascii="Times New Roman" w:hAnsi="Times New Roman" w:cs="Times New Roman"/>
          <w:sz w:val="24"/>
          <w:szCs w:val="24"/>
        </w:rPr>
        <w:t xml:space="preserve">X-ray crystallography method, </w:t>
      </w:r>
      <w:r w:rsidR="003A22AB" w:rsidRPr="00230142">
        <w:rPr>
          <w:rFonts w:ascii="Times New Roman" w:hAnsi="Times New Roman" w:cs="Times New Roman"/>
          <w:sz w:val="24"/>
          <w:szCs w:val="24"/>
        </w:rPr>
        <w:t xml:space="preserve">the </w:t>
      </w:r>
      <w:r w:rsidR="00F01D86" w:rsidRPr="00230142">
        <w:rPr>
          <w:rFonts w:ascii="Times New Roman" w:hAnsi="Times New Roman" w:cs="Times New Roman"/>
          <w:sz w:val="24"/>
          <w:szCs w:val="24"/>
        </w:rPr>
        <w:t xml:space="preserve">best resolution, and the best global validation metrics for protein retrieval. Among the available X-ray crystallography structures, the one with PDB </w:t>
      </w:r>
      <w:r w:rsidR="000B040B" w:rsidRPr="00230142">
        <w:rPr>
          <w:rFonts w:ascii="Times New Roman" w:hAnsi="Times New Roman" w:cs="Times New Roman"/>
          <w:sz w:val="24"/>
          <w:szCs w:val="24"/>
        </w:rPr>
        <w:t>ID: 6HCX</w:t>
      </w:r>
      <w:r w:rsidR="00F01D86" w:rsidRPr="00230142">
        <w:rPr>
          <w:rFonts w:ascii="Times New Roman" w:hAnsi="Times New Roman" w:cs="Times New Roman"/>
          <w:sz w:val="24"/>
          <w:szCs w:val="24"/>
        </w:rPr>
        <w:t>, at a resolution of 1.30 Å and the best global validation metrics, was selected for further analysis. This structure represented a monomer with chain A and was complexed with Zanamivir (ZMR). Chain A consisted of 388 amino acids (AA) spanning from ARG83 to LEU470. Other neuraminidase structures were excluded due to reasons such as poor resolution, mutant protein structure, artificial re-assortment, missing residues, or lower global validation metrics, as per the PDB X-ray structure validation criteria.</w:t>
      </w:r>
      <w:r w:rsidR="00657807">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{"citationItems":[{"id":"ITEM-1","itemData":{"DOI":"10.1093/nar/gky949","ISSN":"13624962","PMID":"30357364","abstract":"The Protein Data Bank (PDB) is the single global archive of experimentally determined threedimensional (3D) structure data of biological macromolecules. Since 2003, the PDB has been managed by the Worldwide Protein Data Bank (wwPDB; wwpdb.org), an international consortium that collaboratively oversees deposition, validation, biocuration, and open access dissemination of 3D macromolecular structure data. The PDB Core Archive houses 3D atomic coordinates of more than 144 000 structural models of proteins, DNA/RNA, and their complexes with metals and small molecules and related experimental data and metadata. Structure and experimental data/metadata are also stored in the PDB Core Archive using the readily extensible ww- PDB PDBx/mmCIF master data format, which will continue to evolve as data/metadata from new experimental techniques and structure determination methods are incorporated by the wwPDB. Impacts of the recently developed universal wwPDB OneDep deposition/validation/biocuration system and various methods-specific wwPDB Validation Task Forces on improving the quality of structures and data housed in the PDB Core Archive are described together with current challenges and future plans.","author":[{"dropping-particle":"","family":"Burley","given":"Stephen K.","non-dropping-particle":"","parse-names":false,"suffix":""},{"dropping-particle":"","family":"Berman","given":"Helen M.","non-dropping-particle":"","parse-names":false,"suffix":""},{"dropping-particle":"","family":"Bhikadiya","given":"Charmi","non-dropping-particle":"","parse-names":false,"suffix":""},{"dropping-particle":"","family":"Bi","given":"Chunxiao","non-dropping-particle":"","parse-names":false,"suffix":""},{"dropping-particle":"","family":"Chen","given":"Li","non-dropping-particle":"","parse-names":false,"suffix":""},{"dropping-particle":"","family":"Costanzo","given":"Luigi","non-dropping-particle":"Di","parse-names":false,"suffix":""},{"dropping-particle":"","family":"Christie","given":"Cole","non-dropping-particle":"","parse-names":false,"suffix":""},{"dropping-particle":"","family":"Duarte","given":"Jose M.","non-dropping-particle":"","parse-names":false,"suffix":""},{"dropping-particle":"","family":"Dutta","given":"Shuchismita","non-dropping-particle":"","parse-names":false,"suffix":""},{"dropping-particle":"","family":"Feng","given":"Zukang","non-dropping-particle":"","parse-names":false,"suffix":""},{"dropping-particle":"","family":"Ghosh","given":"Sutapa","non-dropping-particle":"","parse-names":false,"suffix":""},{"dropping-particle":"","family":"Goodsell","given":"David S.","non-dropping-particle":"","parse-names":false,"suffix":""},{"dropping-particle":"","family":"Green","given":"Rachel Kramer","non-dropping-particle":"","parse-names":false,"suffix":""},{"dropping-particle":"","family":"Guranovic","given":"Vladimir","non-dropping-particle":"","parse-names":false,"suffix":""},{"dropping-particle":"","family":"Guzenko","given":"Dmytro","non-dropping-particle":"","parse-names":false,"suffix":""},{"dropping-particle":"","family":"Hudson","given":"Brian P.","non-dropping-particle":"","parse-names":false,"suffix":""},{"dropping-particle":"","family":"Liang","given":"Yuhe","non-dropping-particle":"","parse-names":false,"suffix":""},{"dropping-particle":"","family":"Lowe","given":"Robert","non-dropping-particle":"","parse-names":false,"suffix":""},{"dropping-particle":"","family":"Peisach","given":"Ezra","non-dropping-particle":"","parse-names":false,"suffix":""},{"dropping-particle":"","family":"Periskova","given":"Irina","non-dropping-particle":"","parse-names":false,"suffix":""},{"dropping-particle":"","family":"Randle","given":"Chris","non-dropping-particle":"","parse-names":false,"suffix":""},{"dropping-particle":"","family":"Rose","given":"Alexander","non-dropping-particle":"","parse-names":false,"suffix":""},{"dropping-particle":"","family":"Sekharan","given":"Monica","non-dropping-particle":"","parse-names":false,"suffix":""},{"dropping-particle":"","family":"Shao","given":"Chenghua","non-dropping-particle":"","parse-names":false,"suffix":""},{"dropping-particle":"","family":"Tao","given":"Yi Ping","non-dropping-particle":"","parse-names":false,"suffix":""},{"dropping-particle":"","family":"Valasatava","given":"Yana","non-dropping-particle":"","parse-names":false,"suffix":""},{"dropping-particle":"","family":"Voigt","given":"Maria","non-dropping-particle":"","parse-names":false,"suffix":""},{"dropping-particle":"","family":"Westbrook","given":"John","non-dropping-particle":"","parse-names":false,"suffix":""},{"dropping-particle":"","family":"Young","given":"Jasmine","non-dropping-particle":"","parse-names":false,"suffix":""},{"dropping-particle":"","family":"Zardecki","given":"Christine","non-dropping-particle":"","parse-names":false,"suffix":""},{"dropping-particle":"","family":"Zhuravleva","given":"Marina","non-dropping-particle":"","parse-names":false,"suffix":""},{"dropping-particle":"","family":"Kurisu","given":"Genji","non-dropping-particle":"","parse-names":false,"suffix":""},{"dropping-particle":"","family":"Nakamura","given":"Haruki","non-dropping-particle":"","parse-names":false,"suffix":""},{"dropping-particle":"","family":"Kengaku","given":"Yumiko","non-dropping-particle":"","parse-names":false,"suffix":""},{"dropping-particle":"","family":"Cho","given":"Hasumi","non-dropping-particle":"","parse-names":false,"suffix":""},{"dropping-particle":"","family":"Sato","given":"Junko","non-dropping-particle":"","parse-names":false,"suffix":""},{"dropping-particle":"","family":"Kim","given":"Ju Yaen","non-dropping-particle":"","parse-names":false,"suffix":""},{"dropping-particle":"","family":"Ikegawa","given":"Yasuyo","non-dropping-particle":"","parse-names":false,"suffix":""},{"dropping-particle":"","family":"Nakagawa","given":"Atsushi","non-dropping-particle":"","parse-names":false,"suffix":""},{"dropping-particle":"","family":"Yamashita","given":"Reiko","non-dropping-particle":"","parse-names":false,"suffix":""},{"dropping-particle":"","family":"Kudou","given":"Takahiro","non-dropping-particle":"","parse-names":false,"suffix":""},{"dropping-particle":"","family":"Bekker","given":"Gert Jan","non-dropping-particle":"","parse-names":false,"suffix":""},{"dropping-particle":"","family":"Suzuki","given":"Hirofumi","non-dropping-particle":"","parse-names":false,"suffix":""},{"dropping-particle":"","family":"Iwata","given":"Takeshi","non-dropping-particle":"","parse-names":false,"suffix":""},{"dropping-particle":"","family":"Yokochi","given":"Masashi","non-dropping-particle":"","parse-names":false,"suffix":""},{"dropping-particle":"","family":"Kobayashi","given":"Naohiro","non-dropping-particle":"","parse-names":false,"suffix":""},{"dropping-particle":"","family":"Fujiwara","given":"Toshimichi","non-dropping-particle":"","parse-names":false,"suffix":""},{"dropping-particle":"","family":"Velankar","given":"Sameer","non-dropping-particle":"","parse-names":false,"suffix":""},{"dropping-particle":"","family":"Kleywegt","given":"Gerard J.","non-dropping-particle":"","parse-names":false,"suffix":""},{"dropping-particle":"","family":"Anyango","given":"Stephen","non-dropping-particle":"","parse-names":false,"suffix":""},{"dropping-particle":"","family":"Armstrong","given":"David R.","non-dropping-particle":"","parse-names":false,"suffix":""},{"dropping-particle":"","family":"Berrisford","given":"John M.","non-dropping-particle":"","parse-names":false,"suffix":""},{"dropping-particle":"","family":"Conroy","given":"Matthew J.","non-dropping-particle":"","parse-names":false,"suffix":""},{"dropping-particle":"","family":"Dana","given":"Jose M.","non-dropping-particle":"","parse-names":false,"suffix":""},{"dropping-particle":"","family":"Deshpande","given":"Mandar","non-dropping-particle":"","parse-names":false,"suffix":""},{"dropping-particle":"","family":"Gane","given":"Paul","non-dropping-particle":"","parse-names":false,"suffix":""},{"dropping-particle":"","family":"Gáborová","given":"Romana","non-dropping-particle":"","parse-names":false,"suffix":""},{"dropping-particle":"","family":"Gupta","given":"Deepti","non-dropping-particle":"","parse-names":false,"suffix":""},{"dropping-particle":"","family":"Gutmanas","given":"Aleksandras","non-dropping-particle":"","parse-names":false,"suffix":""},{"dropping-particle":"","family":"Koča","given":"Jaroslav","non-dropping-particle":"","parse-names":false,"suffix":""},{"dropping-particle":"","family":"Mak","given":"Lora","non-dropping-particle":"","parse-names":false,"suffix":""},{"dropping-particle":"","family":"Mir","given":"Saqib","non-dropping-particle":"","parse-names":false,"suffix":""},{"dropping-particle":"","family":"Mukhopadhyay","given":"Abhik","non-dropping-particle":"","parse-names":false,"suffix":""},{"dropping-particle":"","family":"Nadzirin","given":"Nurul","non-dropping-particle":"","parse-names":false,"suffix":""},{"dropping-particle":"","family":"Nair","given":"Sreenath","non-dropping-particle":"","parse-names":false,"suffix":""},{"dropping-particle":"","family":"Patwardhan","given":"Ardan","non-dropping-particle":"","parse-names":false,"suffix":""},{"dropping-particle":"","family":"Paysan-Lafosse","given":"Typhaine","non-dropping-particle":"","parse-names":false,"suffix":""},{"dropping-particle":"","family":"Pravda","given":"Lukas","non-dropping-particle":"","parse-names":false,"suffix":""},{"dropping-particle":"","family":"Salih","given":"Osman","non-dropping-particle":"","parse-names":false,"suffix":""},{"dropping-particle":"","family":"Sehnal","given":"David","non-dropping-particle":"","parse-names":false,"suffix":""},{"dropping-particle":"","family":"Varadi","given":"Mihaly","non-dropping-particle":"","parse-names":false,"suffix":""},{"dropping-particle":"","family":"Vǎreková","given":"Radka","non-dropping-particle":"","parse-names":false,"suffix":""},{"dropping-particle":"","family":"Markley","given":"John L.","non-dropping-particle":"","parse-names":false,"suffix":""},{"dropping-particle":"","family":"Hoch","given":"Jeffrey C.","non-dropping-particle":"","parse-names":false,"suffix":""},{"dropping-particle":"","family":"Romero","given":"Pedro R.","non-dropping-particle":"","parse-names":false,"suffix":""},{"dropping-particle":"","family":"Baskaran","given":"Kumaran","non-dropping-particle":"","parse-names":false,"suffix":""},{"dropping-particle":"","family":"Maziuk","given":"Dimitri","non-dropping-particle":"","parse-names":false,"suffix":""},{"dropping-particle":"","family":"Ulrich","given":"Eldon L.","non-dropping-particle":"","parse-names":false,"suffix":""},{"dropping-particle":"","family":"Wedell","given":"Jonathan R.","non-dropping-particle":"","parse-names":false,"suffix":""},{"dropping-particle":"","family":"Yao","given":"Hongyang","non-dropping-particle":"","parse-names":false,"suffix":""},{"dropping-particle":"","family":"Livny","given":"Miron","non-dropping-particle":"","parse-names":false,"suffix":""},{"dropping-particle":"","family":"Ioannidis","given":"Yannis E.","non-dropping-particle":"","parse-names":false,"suffix":""}],"container-title":"Nucleic Acids Research","id":"ITEM-1","issue":"D1","issued":{"date-parts":[["2019"]]},"page":"D520-D528","title":"Protein Data Bank: The single global archive for 3D macromolecular structure data","type":"article-journal","volume":"47"},"uris":["http://www.mendeley.com/documents/?uuid=c40ef1e7-5761-4d21-aa93-823e16e75707"]}],"mendeley":{"formattedCitation":"(14)","plainTextFormattedCitation":"(14)","previouslyFormattedCitation":"(15)"},"properties":{"noteIndex":0},"schema":"https://github.com/citation-style-language/schema/raw/master/csl-citation.json"}</w:instrText>
      </w:r>
      <w:r w:rsidR="00657807">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(14)</w:t>
      </w:r>
      <w:r w:rsidR="00657807">
        <w:rPr>
          <w:rFonts w:ascii="Times New Roman" w:hAnsi="Times New Roman" w:cs="Times New Roman"/>
          <w:sz w:val="24"/>
          <w:szCs w:val="24"/>
        </w:rPr>
        <w:fldChar w:fldCharType="end"/>
      </w:r>
      <w:r w:rsidR="0074717F">
        <w:rPr>
          <w:rFonts w:ascii="Times New Roman" w:hAnsi="Times New Roman" w:cs="Times New Roman"/>
          <w:sz w:val="24"/>
          <w:szCs w:val="24"/>
        </w:rPr>
        <w:t>(14)</w:t>
      </w:r>
    </w:p>
    <w:p w:rsidR="00F01D86" w:rsidRPr="008850E9" w:rsidRDefault="000B040B" w:rsidP="000B040B">
      <w:pPr>
        <w:pStyle w:val="Heading1"/>
        <w:rPr>
          <w:rFonts w:ascii="Times New Roman" w:hAnsi="Times New Roman" w:cs="Times New Roman"/>
          <w:b/>
          <w:color w:val="000000" w:themeColor="text1"/>
        </w:rPr>
      </w:pPr>
      <w:r w:rsidRPr="008850E9">
        <w:rPr>
          <w:rFonts w:ascii="Times New Roman" w:hAnsi="Times New Roman" w:cs="Times New Roman"/>
          <w:b/>
          <w:color w:val="000000" w:themeColor="text1"/>
        </w:rPr>
        <w:t>2.2 Active site</w:t>
      </w:r>
    </w:p>
    <w:p w:rsidR="00F01D86" w:rsidRPr="00230142" w:rsidRDefault="00507697" w:rsidP="00120618">
      <w:pPr>
        <w:jc w:val="both"/>
        <w:rPr>
          <w:rFonts w:ascii="Times New Roman" w:hAnsi="Times New Roman" w:cs="Times New Roman"/>
          <w:sz w:val="24"/>
          <w:szCs w:val="24"/>
        </w:rPr>
      </w:pPr>
      <w:r w:rsidRPr="00230142">
        <w:rPr>
          <w:rFonts w:ascii="Times New Roman" w:hAnsi="Times New Roman" w:cs="Times New Roman"/>
          <w:sz w:val="24"/>
          <w:szCs w:val="24"/>
        </w:rPr>
        <w:t>In all NA</w:t>
      </w:r>
      <w:r w:rsidR="00CE4977">
        <w:rPr>
          <w:rFonts w:ascii="Times New Roman" w:hAnsi="Times New Roman" w:cs="Times New Roman"/>
          <w:sz w:val="24"/>
          <w:szCs w:val="24"/>
        </w:rPr>
        <w:t xml:space="preserve"> subtypes, there are </w:t>
      </w:r>
      <w:r w:rsidR="00CE4977" w:rsidRPr="00CE4977">
        <w:rPr>
          <w:rFonts w:ascii="Times New Roman" w:hAnsi="Times New Roman" w:cs="Times New Roman"/>
          <w:sz w:val="24"/>
          <w:szCs w:val="24"/>
        </w:rPr>
        <w:t>pivotal role in enabling the catalytic function of the NA enzyme is carried out by the amino acid residues situated within the active site.</w:t>
      </w:r>
      <w:r w:rsidR="00CE4977">
        <w:rPr>
          <w:rFonts w:ascii="Times New Roman" w:hAnsi="Times New Roman" w:cs="Times New Roman"/>
          <w:sz w:val="24"/>
          <w:szCs w:val="24"/>
        </w:rPr>
        <w:t xml:space="preserve"> </w:t>
      </w:r>
      <w:r w:rsidR="00F01D86" w:rsidRPr="00230142">
        <w:rPr>
          <w:rFonts w:ascii="Times New Roman" w:hAnsi="Times New Roman" w:cs="Times New Roman"/>
          <w:sz w:val="24"/>
          <w:szCs w:val="24"/>
        </w:rPr>
        <w:t xml:space="preserve">These </w:t>
      </w:r>
      <w:r w:rsidR="00CE4977">
        <w:rPr>
          <w:rFonts w:ascii="Times New Roman" w:hAnsi="Times New Roman" w:cs="Times New Roman"/>
          <w:sz w:val="24"/>
          <w:szCs w:val="24"/>
        </w:rPr>
        <w:t xml:space="preserve">amino acid </w:t>
      </w:r>
      <w:r w:rsidR="00F01D86" w:rsidRPr="00230142">
        <w:rPr>
          <w:rFonts w:ascii="Times New Roman" w:hAnsi="Times New Roman" w:cs="Times New Roman"/>
          <w:sz w:val="24"/>
          <w:szCs w:val="24"/>
        </w:rPr>
        <w:t>residues include ARG118,</w:t>
      </w:r>
      <w:r w:rsidR="00CE4977" w:rsidRPr="00CE4977">
        <w:t xml:space="preserve"> </w:t>
      </w:r>
      <w:r w:rsidR="00CE4977" w:rsidRPr="00CE4977">
        <w:rPr>
          <w:rFonts w:ascii="Times New Roman" w:hAnsi="Times New Roman" w:cs="Times New Roman"/>
          <w:sz w:val="24"/>
          <w:szCs w:val="24"/>
        </w:rPr>
        <w:t>ARG152</w:t>
      </w:r>
      <w:r w:rsidR="00CE4977" w:rsidRPr="00CE4977">
        <w:t>,</w:t>
      </w:r>
      <w:r w:rsidR="00CE4977" w:rsidRPr="00CE4977">
        <w:rPr>
          <w:rFonts w:ascii="Times New Roman" w:hAnsi="Times New Roman" w:cs="Times New Roman"/>
          <w:sz w:val="24"/>
          <w:szCs w:val="24"/>
        </w:rPr>
        <w:t>ARG224 ARG292,</w:t>
      </w:r>
      <w:r w:rsidR="00CE4977" w:rsidRPr="00CE4977">
        <w:t xml:space="preserve"> </w:t>
      </w:r>
      <w:r w:rsidR="00CE4977" w:rsidRPr="00CE4977">
        <w:rPr>
          <w:rFonts w:ascii="Times New Roman" w:hAnsi="Times New Roman" w:cs="Times New Roman"/>
          <w:sz w:val="24"/>
          <w:szCs w:val="24"/>
        </w:rPr>
        <w:t>ARG371,</w:t>
      </w:r>
      <w:r w:rsidR="00CE4977">
        <w:rPr>
          <w:rFonts w:ascii="Times New Roman" w:hAnsi="Times New Roman" w:cs="Times New Roman"/>
          <w:sz w:val="24"/>
          <w:szCs w:val="24"/>
        </w:rPr>
        <w:t xml:space="preserve"> ASP151, </w:t>
      </w:r>
      <w:r w:rsidR="00F01D86" w:rsidRPr="00230142">
        <w:rPr>
          <w:rFonts w:ascii="Times New Roman" w:hAnsi="Times New Roman" w:cs="Times New Roman"/>
          <w:sz w:val="24"/>
          <w:szCs w:val="24"/>
        </w:rPr>
        <w:t>GLU276, and TYR406</w:t>
      </w:r>
      <w:r w:rsidR="00CE4977">
        <w:rPr>
          <w:rFonts w:ascii="Times New Roman" w:hAnsi="Times New Roman" w:cs="Times New Roman"/>
          <w:sz w:val="24"/>
          <w:szCs w:val="24"/>
        </w:rPr>
        <w:t>.</w:t>
      </w:r>
      <w:r w:rsidR="00CE4977" w:rsidRPr="00CE4977">
        <w:rPr>
          <w:rFonts w:ascii="Times New Roman" w:hAnsi="Times New Roman" w:cs="Times New Roman"/>
          <w:sz w:val="24"/>
          <w:szCs w:val="24"/>
        </w:rPr>
        <w:t>The active site's three-dimensional structure comprises ARG156, ASP198</w:t>
      </w:r>
      <w:r w:rsidR="00CE4977">
        <w:rPr>
          <w:rFonts w:ascii="Times New Roman" w:hAnsi="Times New Roman" w:cs="Times New Roman"/>
          <w:sz w:val="24"/>
          <w:szCs w:val="24"/>
        </w:rPr>
        <w:t>,</w:t>
      </w:r>
      <w:r w:rsidR="00CE4977" w:rsidRPr="00CE4977">
        <w:rPr>
          <w:rFonts w:ascii="Times New Roman" w:hAnsi="Times New Roman" w:cs="Times New Roman"/>
          <w:sz w:val="24"/>
          <w:szCs w:val="24"/>
        </w:rPr>
        <w:t>ASP293,</w:t>
      </w:r>
      <w:r w:rsidR="00CE4977" w:rsidRPr="00CE4977">
        <w:t xml:space="preserve"> </w:t>
      </w:r>
      <w:r w:rsidR="003B150E">
        <w:rPr>
          <w:rFonts w:ascii="Times New Roman" w:hAnsi="Times New Roman" w:cs="Times New Roman"/>
          <w:sz w:val="24"/>
          <w:szCs w:val="24"/>
        </w:rPr>
        <w:t>GLU227</w:t>
      </w:r>
      <w:r w:rsidR="00CE4977" w:rsidRPr="00CE4977">
        <w:rPr>
          <w:rFonts w:ascii="Times New Roman" w:hAnsi="Times New Roman" w:cs="Times New Roman"/>
          <w:sz w:val="24"/>
          <w:szCs w:val="24"/>
        </w:rPr>
        <w:t>, GLU425</w:t>
      </w:r>
      <w:r w:rsidR="00CE4977">
        <w:rPr>
          <w:rFonts w:ascii="Times New Roman" w:hAnsi="Times New Roman" w:cs="Times New Roman"/>
          <w:sz w:val="24"/>
          <w:szCs w:val="24"/>
        </w:rPr>
        <w:t>,</w:t>
      </w:r>
      <w:r w:rsidR="00CE4977" w:rsidRPr="00CE4977">
        <w:t xml:space="preserve"> </w:t>
      </w:r>
      <w:r w:rsidR="003B150E" w:rsidRPr="00CE4977">
        <w:rPr>
          <w:rFonts w:ascii="Times New Roman" w:hAnsi="Times New Roman" w:cs="Times New Roman"/>
          <w:sz w:val="24"/>
          <w:szCs w:val="24"/>
        </w:rPr>
        <w:t>GLU119,</w:t>
      </w:r>
      <w:r w:rsidR="003B150E">
        <w:rPr>
          <w:rFonts w:ascii="Times New Roman" w:hAnsi="Times New Roman" w:cs="Times New Roman"/>
          <w:sz w:val="24"/>
          <w:szCs w:val="24"/>
        </w:rPr>
        <w:t xml:space="preserve"> </w:t>
      </w:r>
      <w:r w:rsidR="00CE4977" w:rsidRPr="00CE4977">
        <w:rPr>
          <w:rFonts w:ascii="Times New Roman" w:hAnsi="Times New Roman" w:cs="Times New Roman"/>
          <w:sz w:val="24"/>
          <w:szCs w:val="24"/>
        </w:rPr>
        <w:t>ILE222, , SER179, , and</w:t>
      </w:r>
      <w:r w:rsidR="00CE4977" w:rsidRPr="00CE4977">
        <w:t xml:space="preserve"> </w:t>
      </w:r>
      <w:r w:rsidR="00CE4977" w:rsidRPr="00CE4977">
        <w:rPr>
          <w:rFonts w:ascii="Times New Roman" w:hAnsi="Times New Roman" w:cs="Times New Roman"/>
          <w:sz w:val="24"/>
          <w:szCs w:val="24"/>
        </w:rPr>
        <w:t xml:space="preserve">TRP178 </w:t>
      </w:r>
      <w:r w:rsidR="00CE4977">
        <w:rPr>
          <w:rFonts w:ascii="Times New Roman" w:hAnsi="Times New Roman" w:cs="Times New Roman"/>
          <w:sz w:val="24"/>
          <w:szCs w:val="24"/>
        </w:rPr>
        <w:t>.</w:t>
      </w:r>
      <w:r w:rsidR="004D2A5D">
        <w:rPr>
          <w:rFonts w:ascii="Times New Roman" w:hAnsi="Times New Roman" w:cs="Times New Roman"/>
          <w:sz w:val="24"/>
          <w:szCs w:val="24"/>
        </w:rPr>
        <w:t>I</w:t>
      </w:r>
      <w:r w:rsidR="004D2A5D" w:rsidRPr="00230142">
        <w:rPr>
          <w:rFonts w:ascii="Times New Roman" w:hAnsi="Times New Roman" w:cs="Times New Roman"/>
          <w:sz w:val="24"/>
          <w:szCs w:val="24"/>
        </w:rPr>
        <w:t>nteractions</w:t>
      </w:r>
      <w:r w:rsidR="00F01D86" w:rsidRPr="00230142">
        <w:rPr>
          <w:rFonts w:ascii="Times New Roman" w:hAnsi="Times New Roman" w:cs="Times New Roman"/>
          <w:sz w:val="24"/>
          <w:szCs w:val="24"/>
        </w:rPr>
        <w:t xml:space="preserve"> between the target 6HCX and the ligand Zanamivir (ZMR) at the active site, including both hydrogen and non-hydrogen </w:t>
      </w:r>
      <w:r w:rsidR="00C02843">
        <w:rPr>
          <w:rFonts w:ascii="Times New Roman" w:hAnsi="Times New Roman" w:cs="Times New Roman"/>
          <w:sz w:val="24"/>
          <w:szCs w:val="24"/>
        </w:rPr>
        <w:t>bond interactions, were examined</w:t>
      </w:r>
      <w:r w:rsidR="00F01D86" w:rsidRPr="00230142">
        <w:rPr>
          <w:rFonts w:ascii="Times New Roman" w:hAnsi="Times New Roman" w:cs="Times New Roman"/>
          <w:sz w:val="24"/>
          <w:szCs w:val="24"/>
        </w:rPr>
        <w:t xml:space="preserve"> using LIGPLOT. The LIGPLOT interactions, which represent the active pocket of the target 6HCX with ZMR, were obtained from PDBsum.</w:t>
      </w:r>
      <w:r w:rsidR="00B17905" w:rsidRPr="00B17905">
        <w:t xml:space="preserve"> </w:t>
      </w:r>
      <w:r w:rsidR="00B17905">
        <w:rPr>
          <w:rFonts w:ascii="Times New Roman" w:hAnsi="Times New Roman" w:cs="Times New Roman"/>
          <w:sz w:val="24"/>
          <w:szCs w:val="24"/>
        </w:rPr>
        <w:t>(Figure1b</w:t>
      </w:r>
      <w:r w:rsidR="00B17905" w:rsidRPr="00B17905">
        <w:rPr>
          <w:rFonts w:ascii="Times New Roman" w:hAnsi="Times New Roman" w:cs="Times New Roman"/>
          <w:sz w:val="24"/>
          <w:szCs w:val="24"/>
        </w:rPr>
        <w:t>)</w:t>
      </w:r>
    </w:p>
    <w:p w:rsidR="00F01D86" w:rsidRPr="00230142" w:rsidRDefault="00F01D86" w:rsidP="00F01D86">
      <w:pPr>
        <w:jc w:val="both"/>
        <w:rPr>
          <w:rFonts w:ascii="Times New Roman" w:hAnsi="Times New Roman" w:cs="Times New Roman"/>
          <w:sz w:val="32"/>
          <w:szCs w:val="32"/>
        </w:rPr>
      </w:pPr>
    </w:p>
    <w:p w:rsidR="007075A4" w:rsidRPr="00230142" w:rsidRDefault="007075A4" w:rsidP="007075A4">
      <w:pPr>
        <w:jc w:val="both"/>
        <w:rPr>
          <w:rFonts w:ascii="Times New Roman" w:hAnsi="Times New Roman" w:cs="Times New Roman"/>
          <w:sz w:val="24"/>
          <w:szCs w:val="24"/>
        </w:rPr>
      </w:pPr>
      <w:r w:rsidRPr="00230142">
        <w:rPr>
          <w:rFonts w:ascii="Times New Roman" w:hAnsi="Times New Roman" w:cs="Times New Roman"/>
          <w:sz w:val="24"/>
          <w:szCs w:val="24"/>
        </w:rPr>
        <w:t>.</w:t>
      </w:r>
    </w:p>
    <w:p w:rsidR="007075A4" w:rsidRPr="00230142" w:rsidRDefault="007075A4" w:rsidP="007075A4">
      <w:pPr>
        <w:jc w:val="both"/>
        <w:rPr>
          <w:rFonts w:ascii="Times New Roman" w:hAnsi="Times New Roman" w:cs="Times New Roman"/>
          <w:sz w:val="32"/>
          <w:szCs w:val="32"/>
        </w:rPr>
      </w:pPr>
    </w:p>
    <w:p w:rsidR="007075A4" w:rsidRPr="00230142" w:rsidRDefault="00061015" w:rsidP="00061015">
      <w:pPr>
        <w:pStyle w:val="Heading1"/>
        <w:rPr>
          <w:rFonts w:ascii="Times New Roman" w:hAnsi="Times New Roman" w:cs="Times New Roman"/>
          <w:b/>
        </w:rPr>
      </w:pPr>
      <w:r w:rsidRPr="008850E9">
        <w:rPr>
          <w:rFonts w:ascii="Times New Roman" w:hAnsi="Times New Roman" w:cs="Times New Roman"/>
          <w:b/>
          <w:color w:val="000000" w:themeColor="text1"/>
        </w:rPr>
        <w:t>2.3. Protein preparation</w:t>
      </w:r>
    </w:p>
    <w:p w:rsidR="007075A4" w:rsidRDefault="007075A4" w:rsidP="007075A4">
      <w:pPr>
        <w:jc w:val="both"/>
        <w:rPr>
          <w:rFonts w:ascii="Times New Roman" w:hAnsi="Times New Roman" w:cs="Times New Roman"/>
          <w:sz w:val="24"/>
          <w:szCs w:val="24"/>
        </w:rPr>
      </w:pPr>
      <w:r w:rsidRPr="00230142">
        <w:rPr>
          <w:rFonts w:ascii="Times New Roman" w:hAnsi="Times New Roman" w:cs="Times New Roman"/>
          <w:sz w:val="24"/>
          <w:szCs w:val="24"/>
        </w:rPr>
        <w:t xml:space="preserve">To prepare the protein for docking, specific components of the PDB structure 6HCX, including </w:t>
      </w:r>
      <w:r w:rsidR="000C7A7F" w:rsidRPr="00230142">
        <w:rPr>
          <w:rFonts w:ascii="Times New Roman" w:hAnsi="Times New Roman" w:cs="Times New Roman"/>
          <w:sz w:val="24"/>
          <w:szCs w:val="24"/>
        </w:rPr>
        <w:t>heteroatoms,</w:t>
      </w:r>
      <w:r w:rsidR="000C7A7F">
        <w:rPr>
          <w:rFonts w:ascii="Times New Roman" w:hAnsi="Times New Roman" w:cs="Times New Roman"/>
          <w:sz w:val="24"/>
          <w:szCs w:val="24"/>
        </w:rPr>
        <w:t xml:space="preserve"> </w:t>
      </w:r>
      <w:r w:rsidRPr="00230142">
        <w:rPr>
          <w:rFonts w:ascii="Times New Roman" w:hAnsi="Times New Roman" w:cs="Times New Roman"/>
          <w:sz w:val="24"/>
          <w:szCs w:val="24"/>
        </w:rPr>
        <w:t>water molecules, and l</w:t>
      </w:r>
      <w:r w:rsidR="000C7A7F">
        <w:rPr>
          <w:rFonts w:ascii="Times New Roman" w:hAnsi="Times New Roman" w:cs="Times New Roman"/>
          <w:sz w:val="24"/>
          <w:szCs w:val="24"/>
        </w:rPr>
        <w:t>igand groups, were cleaned utilizing</w:t>
      </w:r>
      <w:r w:rsidRPr="00230142">
        <w:rPr>
          <w:rFonts w:ascii="Times New Roman" w:hAnsi="Times New Roman" w:cs="Times New Roman"/>
          <w:sz w:val="24"/>
          <w:szCs w:val="24"/>
        </w:rPr>
        <w:t xml:space="preserve"> Discovery Studio Visua</w:t>
      </w:r>
      <w:r w:rsidR="00061015" w:rsidRPr="00230142">
        <w:rPr>
          <w:rFonts w:ascii="Times New Roman" w:hAnsi="Times New Roman" w:cs="Times New Roman"/>
          <w:sz w:val="24"/>
          <w:szCs w:val="24"/>
        </w:rPr>
        <w:t>lizer</w:t>
      </w:r>
      <w:r w:rsidR="00A45167" w:rsidRPr="00230142">
        <w:rPr>
          <w:rFonts w:ascii="Times New Roman" w:hAnsi="Times New Roman" w:cs="Times New Roman"/>
          <w:sz w:val="24"/>
          <w:szCs w:val="24"/>
        </w:rPr>
        <w:t>.</w:t>
      </w:r>
      <w:r w:rsidR="00B17905">
        <w:rPr>
          <w:rFonts w:ascii="Times New Roman" w:hAnsi="Times New Roman" w:cs="Times New Roman"/>
          <w:sz w:val="24"/>
          <w:szCs w:val="24"/>
        </w:rPr>
        <w:t xml:space="preserve"> (Figure1a</w:t>
      </w:r>
      <w:r w:rsidR="007031BE">
        <w:rPr>
          <w:rFonts w:ascii="Times New Roman" w:hAnsi="Times New Roman" w:cs="Times New Roman"/>
          <w:sz w:val="24"/>
          <w:szCs w:val="24"/>
        </w:rPr>
        <w:t xml:space="preserve"> and 1b</w:t>
      </w:r>
      <w:r w:rsidR="00B17905">
        <w:rPr>
          <w:rFonts w:ascii="Times New Roman" w:hAnsi="Times New Roman" w:cs="Times New Roman"/>
          <w:sz w:val="24"/>
          <w:szCs w:val="24"/>
        </w:rPr>
        <w:t>)</w:t>
      </w: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437CF4" w:rsidRDefault="00437CF4" w:rsidP="007075A4">
      <w:pPr>
        <w:jc w:val="both"/>
        <w:rPr>
          <w:rFonts w:ascii="Times New Roman" w:hAnsi="Times New Roman" w:cs="Times New Roman"/>
          <w:sz w:val="24"/>
          <w:szCs w:val="24"/>
        </w:rPr>
      </w:pPr>
    </w:p>
    <w:p w:rsidR="00437CF4" w:rsidRDefault="00437CF4" w:rsidP="007075A4">
      <w:pPr>
        <w:jc w:val="both"/>
        <w:rPr>
          <w:rFonts w:ascii="Times New Roman" w:hAnsi="Times New Roman" w:cs="Times New Roman"/>
          <w:sz w:val="24"/>
          <w:szCs w:val="24"/>
        </w:rPr>
      </w:pPr>
    </w:p>
    <w:p w:rsidR="00437CF4" w:rsidRDefault="00437CF4" w:rsidP="007075A4">
      <w:pPr>
        <w:jc w:val="both"/>
        <w:rPr>
          <w:rFonts w:ascii="Times New Roman" w:hAnsi="Times New Roman" w:cs="Times New Roman"/>
          <w:sz w:val="24"/>
          <w:szCs w:val="24"/>
        </w:rPr>
      </w:pPr>
    </w:p>
    <w:p w:rsidR="00437CF4" w:rsidRDefault="00437CF4"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tbl>
      <w:tblPr>
        <w:tblStyle w:val="TableGrid"/>
        <w:tblW w:w="9928" w:type="dxa"/>
        <w:tblLook w:val="04A0" w:firstRow="1" w:lastRow="0" w:firstColumn="1" w:lastColumn="0" w:noHBand="0" w:noVBand="1"/>
      </w:tblPr>
      <w:tblGrid>
        <w:gridCol w:w="5176"/>
        <w:gridCol w:w="4752"/>
      </w:tblGrid>
      <w:tr w:rsidR="008B039F" w:rsidTr="008B039F">
        <w:tc>
          <w:tcPr>
            <w:tcW w:w="9928" w:type="dxa"/>
            <w:gridSpan w:val="2"/>
          </w:tcPr>
          <w:p w:rsidR="008B039F" w:rsidRPr="00B17905" w:rsidRDefault="008B039F" w:rsidP="008B039F">
            <w:pPr>
              <w:jc w:val="both"/>
              <w:rPr>
                <w:rFonts w:ascii="Times New Roman" w:hAnsi="Times New Roman" w:cs="Times New Roman"/>
                <w:b/>
                <w:sz w:val="24"/>
                <w:szCs w:val="24"/>
              </w:rPr>
            </w:pPr>
            <w:r w:rsidRPr="00B17905">
              <w:rPr>
                <w:rFonts w:ascii="Times New Roman" w:hAnsi="Times New Roman" w:cs="Times New Roman"/>
                <w:b/>
                <w:sz w:val="24"/>
                <w:szCs w:val="24"/>
              </w:rPr>
              <w:t>Figure 1(a-b) : 3D structure of 6HCX chain A, b</w:t>
            </w:r>
            <w:r w:rsidRPr="00B17905">
              <w:rPr>
                <w:b/>
              </w:rPr>
              <w:t xml:space="preserve"> </w:t>
            </w:r>
            <w:r w:rsidRPr="00B17905">
              <w:rPr>
                <w:rFonts w:ascii="Times New Roman" w:hAnsi="Times New Roman" w:cs="Times New Roman"/>
                <w:b/>
                <w:sz w:val="24"/>
                <w:szCs w:val="24"/>
              </w:rPr>
              <w:t>LIGPLOT of interactions involving ligand ZMR with 6HCX amino acid residues</w:t>
            </w:r>
          </w:p>
        </w:tc>
      </w:tr>
      <w:tr w:rsidR="00EC768E" w:rsidTr="008B039F">
        <w:tc>
          <w:tcPr>
            <w:tcW w:w="5176" w:type="dxa"/>
          </w:tcPr>
          <w:p w:rsidR="00EC768E" w:rsidRDefault="00EC768E" w:rsidP="007075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9A0709" wp14:editId="410CCD2B">
                  <wp:extent cx="3119120" cy="3124059"/>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6019" cy="3130969"/>
                          </a:xfrm>
                          <a:prstGeom prst="rect">
                            <a:avLst/>
                          </a:prstGeom>
                          <a:noFill/>
                        </pic:spPr>
                      </pic:pic>
                    </a:graphicData>
                  </a:graphic>
                </wp:inline>
              </w:drawing>
            </w:r>
            <w:r w:rsidR="003A6239">
              <w:rPr>
                <w:rFonts w:ascii="Times New Roman" w:hAnsi="Times New Roman" w:cs="Times New Roman"/>
                <w:sz w:val="24"/>
                <w:szCs w:val="24"/>
              </w:rPr>
              <w:t>a</w:t>
            </w:r>
          </w:p>
        </w:tc>
        <w:tc>
          <w:tcPr>
            <w:tcW w:w="4752" w:type="dxa"/>
          </w:tcPr>
          <w:p w:rsidR="003A6239" w:rsidRDefault="003A6239" w:rsidP="007075A4">
            <w:pPr>
              <w:jc w:val="both"/>
              <w:rPr>
                <w:rFonts w:ascii="Times New Roman" w:hAnsi="Times New Roman" w:cs="Times New Roman"/>
                <w:sz w:val="24"/>
                <w:szCs w:val="24"/>
              </w:rPr>
            </w:pPr>
            <w:r w:rsidRPr="008B039F">
              <w:rPr>
                <w:rFonts w:ascii="Times New Roman" w:hAnsi="Times New Roman" w:cs="Times New Roman"/>
                <w:sz w:val="24"/>
                <w:szCs w:val="24"/>
                <w:lang w:val="en-IN"/>
              </w:rPr>
              <w:object w:dxaOrig="5676" w:dyaOrig="5664">
                <v:rect id="rectole0000000001" o:spid="_x0000_i1025" style="width:224.4pt;height:238.8pt" o:ole="" o:preferrelative="t" stroked="f">
                  <v:imagedata r:id="rId13" o:title=""/>
                </v:rect>
                <o:OLEObject Type="Embed" ProgID="StaticMetafile" ShapeID="rectole0000000001" DrawAspect="Content" ObjectID="_1753787965" r:id="rId14"/>
              </w:object>
            </w:r>
          </w:p>
          <w:p w:rsidR="00EC768E" w:rsidRPr="003A6239" w:rsidRDefault="003A6239" w:rsidP="003A6239">
            <w:pPr>
              <w:rPr>
                <w:rFonts w:ascii="Times New Roman" w:hAnsi="Times New Roman" w:cs="Times New Roman"/>
                <w:sz w:val="24"/>
                <w:szCs w:val="24"/>
              </w:rPr>
            </w:pPr>
            <w:r>
              <w:rPr>
                <w:rFonts w:ascii="Times New Roman" w:hAnsi="Times New Roman" w:cs="Times New Roman"/>
                <w:sz w:val="24"/>
                <w:szCs w:val="24"/>
              </w:rPr>
              <w:t>b</w:t>
            </w:r>
          </w:p>
        </w:tc>
      </w:tr>
    </w:tbl>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Default="00EC768E" w:rsidP="007075A4">
      <w:pPr>
        <w:jc w:val="both"/>
        <w:rPr>
          <w:rFonts w:ascii="Times New Roman" w:hAnsi="Times New Roman" w:cs="Times New Roman"/>
          <w:sz w:val="24"/>
          <w:szCs w:val="24"/>
        </w:rPr>
      </w:pPr>
    </w:p>
    <w:p w:rsidR="00EC768E" w:rsidRPr="00230142" w:rsidRDefault="00EC768E" w:rsidP="007075A4">
      <w:pPr>
        <w:jc w:val="both"/>
        <w:rPr>
          <w:rFonts w:ascii="Times New Roman" w:hAnsi="Times New Roman" w:cs="Times New Roman"/>
          <w:sz w:val="24"/>
          <w:szCs w:val="24"/>
        </w:rPr>
      </w:pPr>
    </w:p>
    <w:p w:rsidR="00EC768E" w:rsidRPr="008850E9" w:rsidRDefault="00061015" w:rsidP="00EC768E">
      <w:pPr>
        <w:pStyle w:val="Heading1"/>
        <w:rPr>
          <w:rFonts w:ascii="Times New Roman" w:eastAsia="Times New Roman" w:hAnsi="Times New Roman" w:cs="Times New Roman"/>
          <w:b/>
          <w:color w:val="000000" w:themeColor="text1"/>
        </w:rPr>
      </w:pPr>
      <w:r w:rsidRPr="008850E9">
        <w:rPr>
          <w:rFonts w:ascii="Times New Roman" w:eastAsia="Times New Roman" w:hAnsi="Times New Roman" w:cs="Times New Roman"/>
          <w:b/>
          <w:color w:val="000000" w:themeColor="text1"/>
        </w:rPr>
        <w:t>2.4. ADME prediction</w:t>
      </w:r>
    </w:p>
    <w:p w:rsidR="007075A4" w:rsidRPr="00230142" w:rsidRDefault="00B436BE" w:rsidP="007075A4">
      <w:pPr>
        <w:jc w:val="both"/>
        <w:rPr>
          <w:rFonts w:ascii="Times New Roman" w:hAnsi="Times New Roman" w:cs="Times New Roman"/>
          <w:sz w:val="24"/>
          <w:szCs w:val="24"/>
        </w:rPr>
      </w:pPr>
      <w:r w:rsidRPr="00230142">
        <w:rPr>
          <w:rFonts w:ascii="Times New Roman" w:hAnsi="Times New Roman" w:cs="Times New Roman"/>
          <w:sz w:val="24"/>
          <w:szCs w:val="24"/>
        </w:rPr>
        <w:t>The Swiss</w:t>
      </w:r>
      <w:r w:rsidR="0025654F" w:rsidRPr="00230142">
        <w:rPr>
          <w:rFonts w:ascii="Times New Roman" w:hAnsi="Times New Roman" w:cs="Times New Roman"/>
          <w:sz w:val="24"/>
          <w:szCs w:val="24"/>
        </w:rPr>
        <w:t xml:space="preserve"> </w:t>
      </w:r>
      <w:r w:rsidRPr="00230142">
        <w:rPr>
          <w:rFonts w:ascii="Times New Roman" w:hAnsi="Times New Roman" w:cs="Times New Roman"/>
          <w:sz w:val="24"/>
          <w:szCs w:val="24"/>
        </w:rPr>
        <w:t>ADME web server was employed to evaluate</w:t>
      </w:r>
      <w:r w:rsidR="00A81587" w:rsidRPr="00A81587">
        <w:rPr>
          <w:rFonts w:ascii="Times New Roman" w:hAnsi="Times New Roman" w:cs="Times New Roman"/>
          <w:sz w:val="24"/>
          <w:szCs w:val="24"/>
        </w:rPr>
        <w:t xml:space="preserve"> </w:t>
      </w:r>
      <w:r w:rsidR="00A81587" w:rsidRPr="00230142">
        <w:rPr>
          <w:rFonts w:ascii="Times New Roman" w:hAnsi="Times New Roman" w:cs="Times New Roman"/>
          <w:sz w:val="24"/>
          <w:szCs w:val="24"/>
        </w:rPr>
        <w:t>ADME</w:t>
      </w:r>
      <w:r w:rsidR="00A81587" w:rsidRPr="00A81587">
        <w:rPr>
          <w:rFonts w:ascii="Times New Roman" w:hAnsi="Times New Roman" w:cs="Times New Roman"/>
          <w:sz w:val="24"/>
          <w:szCs w:val="24"/>
        </w:rPr>
        <w:t xml:space="preserve"> </w:t>
      </w:r>
      <w:r w:rsidR="00A81587" w:rsidRPr="00230142">
        <w:rPr>
          <w:rFonts w:ascii="Times New Roman" w:hAnsi="Times New Roman" w:cs="Times New Roman"/>
          <w:sz w:val="24"/>
          <w:szCs w:val="24"/>
        </w:rPr>
        <w:t>properties</w:t>
      </w:r>
      <w:r w:rsidR="00A81587">
        <w:rPr>
          <w:rFonts w:ascii="Times New Roman" w:hAnsi="Times New Roman" w:cs="Times New Roman"/>
          <w:sz w:val="24"/>
          <w:szCs w:val="24"/>
        </w:rPr>
        <w:t xml:space="preserve"> (</w:t>
      </w:r>
      <w:r w:rsidRPr="00230142">
        <w:rPr>
          <w:rFonts w:ascii="Times New Roman" w:hAnsi="Times New Roman" w:cs="Times New Roman"/>
          <w:sz w:val="24"/>
          <w:szCs w:val="24"/>
        </w:rPr>
        <w:t>absorption, distribution, metabolism, and excretion</w:t>
      </w:r>
      <w:r w:rsidR="00A81587">
        <w:rPr>
          <w:rFonts w:ascii="Times New Roman" w:hAnsi="Times New Roman" w:cs="Times New Roman"/>
          <w:sz w:val="24"/>
          <w:szCs w:val="24"/>
        </w:rPr>
        <w:t>)</w:t>
      </w:r>
      <w:r w:rsidRPr="00230142">
        <w:rPr>
          <w:rFonts w:ascii="Times New Roman" w:hAnsi="Times New Roman" w:cs="Times New Roman"/>
          <w:sz w:val="24"/>
          <w:szCs w:val="24"/>
        </w:rPr>
        <w:t>. This assessment offered valuable information on their physicochemical properties, lipophilicity, bioavailability, and pharmacokinetics. Additionally, Swiss</w:t>
      </w:r>
      <w:r w:rsidR="0025654F" w:rsidRPr="00230142">
        <w:rPr>
          <w:rFonts w:ascii="Times New Roman" w:hAnsi="Times New Roman" w:cs="Times New Roman"/>
          <w:sz w:val="24"/>
          <w:szCs w:val="24"/>
        </w:rPr>
        <w:t xml:space="preserve"> </w:t>
      </w:r>
      <w:r w:rsidRPr="00230142">
        <w:rPr>
          <w:rFonts w:ascii="Times New Roman" w:hAnsi="Times New Roman" w:cs="Times New Roman"/>
          <w:sz w:val="24"/>
          <w:szCs w:val="24"/>
        </w:rPr>
        <w:t>ADME was used to predict drug-likeness and potential interactions of the drugs with cytochrome P450 enzymes.</w:t>
      </w:r>
      <w:r w:rsidR="00E81B63">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Reports","id":"ITEM-1","issue":"January","issued":{"date-parts":[["2017"]]},"page":"1-13","publisher":"Nature Publishing Group","title":"SwissADME: A free web tool to evaluate pharmacokinetics, drug-likeness and medicinal chemistry friendliness of small molecules","type":"article-journal","volume":"7"},"uris":["http://www.mendeley.com/documents/?uuid=8fe2f422-2d61-46d2-90e7-7d829615cb76"]}],"mendeley":{"formattedCitation":"(15)","plainTextFormattedCitation":"(15)","previouslyFormattedCitation":"(16)"},"properties":{"noteIndex":0},"schema":"https://github.com/citation-style-language/schema/raw/master/csl-citation.json"}</w:instrText>
      </w:r>
      <w:r w:rsidR="00E81B63">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(15)</w:t>
      </w:r>
      <w:r w:rsidR="00E81B63">
        <w:rPr>
          <w:rFonts w:ascii="Times New Roman" w:hAnsi="Times New Roman" w:cs="Times New Roman"/>
          <w:sz w:val="24"/>
          <w:szCs w:val="24"/>
        </w:rPr>
        <w:fldChar w:fldCharType="end"/>
      </w:r>
      <w:r w:rsidR="00D04863">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ISBN":"9789819913169","author":[{"dropping-particle":"","family":"Kesh","given":"Monalisa","non-dropping-particle":"","parse-names":false,"suffix":""},{"dropping-particle":"","family":"Goel","given":"Sachin","non-dropping-particle":"","parse-names":false,"suffix":""}],"id":"ITEM-1","issued":{"date-parts":[["2023"]]},"number-of-pages":"141-173","title":"Target-Based Screening for Lead Discovery","type":"book"},"uris":["http://www.mendeley.com/documents/?uuid=5d7a724d-8d8d-4070-ad18-b5f00760a148"]}],"mendeley":{"formattedCitation":"(16)","plainTextFormattedCitation":"(16)"},"properties":{"noteIndex":0},"schema":"https://github.com/citation-style-language/schema/raw/master/csl-citation.json"}</w:instrText>
      </w:r>
      <w:r w:rsidR="00D04863">
        <w:rPr>
          <w:rFonts w:ascii="Times New Roman" w:hAnsi="Times New Roman" w:cs="Times New Roman"/>
          <w:sz w:val="24"/>
          <w:szCs w:val="24"/>
        </w:rPr>
        <w:fldChar w:fldCharType="separate"/>
      </w:r>
      <w:r w:rsidR="00D04863" w:rsidRPr="00D04863">
        <w:rPr>
          <w:rFonts w:ascii="Times New Roman" w:hAnsi="Times New Roman" w:cs="Times New Roman"/>
          <w:noProof/>
          <w:sz w:val="24"/>
          <w:szCs w:val="24"/>
        </w:rPr>
        <w:t>(16)</w:t>
      </w:r>
      <w:r w:rsidR="00D04863">
        <w:rPr>
          <w:rFonts w:ascii="Times New Roman" w:hAnsi="Times New Roman" w:cs="Times New Roman"/>
          <w:sz w:val="24"/>
          <w:szCs w:val="24"/>
        </w:rPr>
        <w:fldChar w:fldCharType="end"/>
      </w:r>
    </w:p>
    <w:p w:rsidR="007075A4" w:rsidRPr="00230142" w:rsidRDefault="007075A4" w:rsidP="007075A4">
      <w:pPr>
        <w:jc w:val="both"/>
        <w:rPr>
          <w:rFonts w:ascii="Times New Roman" w:hAnsi="Times New Roman" w:cs="Times New Roman"/>
          <w:sz w:val="32"/>
          <w:szCs w:val="32"/>
        </w:rPr>
      </w:pPr>
      <w:r w:rsidRPr="00230142">
        <w:rPr>
          <w:rFonts w:ascii="Times New Roman" w:hAnsi="Times New Roman" w:cs="Times New Roman"/>
          <w:sz w:val="32"/>
          <w:szCs w:val="32"/>
        </w:rPr>
        <w:t>.</w:t>
      </w:r>
    </w:p>
    <w:p w:rsidR="007075A4" w:rsidRPr="00230142" w:rsidRDefault="007075A4" w:rsidP="00A45167">
      <w:pPr>
        <w:pStyle w:val="Heading1"/>
        <w:rPr>
          <w:rFonts w:ascii="Times New Roman" w:hAnsi="Times New Roman" w:cs="Times New Roman"/>
        </w:rPr>
      </w:pPr>
    </w:p>
    <w:p w:rsidR="00A45167" w:rsidRPr="008850E9" w:rsidRDefault="00A45167" w:rsidP="00A45167">
      <w:pPr>
        <w:pStyle w:val="Heading1"/>
        <w:rPr>
          <w:rFonts w:ascii="Times New Roman" w:eastAsia="Times New Roman" w:hAnsi="Times New Roman" w:cs="Times New Roman"/>
          <w:b/>
          <w:color w:val="000000" w:themeColor="text1"/>
        </w:rPr>
      </w:pPr>
      <w:r w:rsidRPr="008850E9">
        <w:rPr>
          <w:rFonts w:ascii="Times New Roman" w:eastAsia="Times New Roman" w:hAnsi="Times New Roman" w:cs="Times New Roman"/>
          <w:b/>
          <w:color w:val="000000" w:themeColor="text1"/>
        </w:rPr>
        <w:t>2.5. De novo designing using e-LEA3D</w:t>
      </w:r>
    </w:p>
    <w:p w:rsidR="00A45167" w:rsidRPr="00230142" w:rsidRDefault="00A45167" w:rsidP="00A45167">
      <w:pPr>
        <w:rPr>
          <w:rFonts w:ascii="Times New Roman" w:hAnsi="Times New Roman" w:cs="Times New Roman"/>
        </w:rPr>
      </w:pPr>
    </w:p>
    <w:p w:rsidR="007075A4" w:rsidRDefault="00A45167" w:rsidP="007075A4">
      <w:pPr>
        <w:jc w:val="both"/>
        <w:rPr>
          <w:rFonts w:ascii="Times New Roman" w:hAnsi="Times New Roman" w:cs="Times New Roman"/>
          <w:sz w:val="24"/>
          <w:szCs w:val="24"/>
        </w:rPr>
      </w:pPr>
      <w:r w:rsidRPr="00230142">
        <w:rPr>
          <w:rFonts w:ascii="Times New Roman" w:hAnsi="Times New Roman" w:cs="Times New Roman"/>
          <w:sz w:val="24"/>
          <w:szCs w:val="24"/>
        </w:rPr>
        <w:t>Researchers utilized the e-LEA3D web server to conduct computer-aided de novo drug design. Th</w:t>
      </w:r>
      <w:r w:rsidR="00A56646">
        <w:rPr>
          <w:rFonts w:ascii="Times New Roman" w:hAnsi="Times New Roman" w:cs="Times New Roman"/>
          <w:sz w:val="24"/>
          <w:szCs w:val="24"/>
        </w:rPr>
        <w:t>is tool generates fresh compounds either by starting from square one</w:t>
      </w:r>
      <w:r w:rsidRPr="00230142">
        <w:rPr>
          <w:rFonts w:ascii="Times New Roman" w:hAnsi="Times New Roman" w:cs="Times New Roman"/>
          <w:sz w:val="24"/>
          <w:szCs w:val="24"/>
        </w:rPr>
        <w:t xml:space="preserve"> or using a </w:t>
      </w:r>
      <w:r w:rsidR="00A56646">
        <w:rPr>
          <w:rFonts w:ascii="Times New Roman" w:hAnsi="Times New Roman" w:cs="Times New Roman"/>
          <w:sz w:val="24"/>
          <w:szCs w:val="24"/>
        </w:rPr>
        <w:t>t</w:t>
      </w:r>
      <w:r w:rsidR="00A56646" w:rsidRPr="00A56646">
        <w:rPr>
          <w:rFonts w:ascii="Times New Roman" w:hAnsi="Times New Roman" w:cs="Times New Roman"/>
          <w:sz w:val="24"/>
          <w:szCs w:val="24"/>
        </w:rPr>
        <w:t>ailored scaffold featuring optimized substituents as defined by the user.</w:t>
      </w:r>
      <w:r w:rsidR="00A56646">
        <w:rPr>
          <w:rFonts w:ascii="Times New Roman" w:hAnsi="Times New Roman" w:cs="Times New Roman"/>
          <w:sz w:val="24"/>
          <w:szCs w:val="24"/>
        </w:rPr>
        <w:t xml:space="preserve"> </w:t>
      </w:r>
      <w:r w:rsidRPr="00230142">
        <w:rPr>
          <w:rFonts w:ascii="Times New Roman" w:hAnsi="Times New Roman" w:cs="Times New Roman"/>
          <w:sz w:val="24"/>
          <w:szCs w:val="24"/>
        </w:rPr>
        <w:t>The a</w:t>
      </w:r>
      <w:r w:rsidR="00A56646">
        <w:rPr>
          <w:rFonts w:ascii="Times New Roman" w:hAnsi="Times New Roman" w:cs="Times New Roman"/>
          <w:sz w:val="24"/>
          <w:szCs w:val="24"/>
        </w:rPr>
        <w:t>pproach is fragment-based and u</w:t>
      </w:r>
      <w:r w:rsidR="00A56646" w:rsidRPr="00A56646">
        <w:rPr>
          <w:rFonts w:ascii="Times New Roman" w:hAnsi="Times New Roman" w:cs="Times New Roman"/>
          <w:sz w:val="24"/>
          <w:szCs w:val="24"/>
        </w:rPr>
        <w:t>tilizing a genetic algorithm for the enhancement of fragment combinations.</w:t>
      </w:r>
      <w:r w:rsidRPr="00230142">
        <w:rPr>
          <w:rFonts w:ascii="Times New Roman" w:hAnsi="Times New Roman" w:cs="Times New Roman"/>
          <w:sz w:val="24"/>
          <w:szCs w:val="24"/>
        </w:rPr>
        <w:t xml:space="preserve"> The protein structure was uploaded onto the e-LEA3D web server, and the binding site coordinates were adjusted </w:t>
      </w:r>
      <w:r w:rsidR="0025654F" w:rsidRPr="00230142">
        <w:rPr>
          <w:rFonts w:ascii="Times New Roman" w:hAnsi="Times New Roman" w:cs="Times New Roman"/>
          <w:sz w:val="24"/>
          <w:szCs w:val="24"/>
        </w:rPr>
        <w:t xml:space="preserve">to match the predicted activity </w:t>
      </w:r>
      <w:r w:rsidR="00C3585A" w:rsidRPr="00230142">
        <w:rPr>
          <w:rFonts w:ascii="Times New Roman" w:hAnsi="Times New Roman" w:cs="Times New Roman"/>
          <w:sz w:val="24"/>
          <w:szCs w:val="24"/>
        </w:rPr>
        <w:t>(X= 17.89466812, Y = 20.99328986, Z= 55.71566522)</w:t>
      </w:r>
      <w:r w:rsidR="0025654F" w:rsidRPr="00230142">
        <w:rPr>
          <w:rFonts w:ascii="Times New Roman" w:hAnsi="Times New Roman" w:cs="Times New Roman"/>
          <w:sz w:val="24"/>
          <w:szCs w:val="24"/>
        </w:rPr>
        <w:t xml:space="preserve">. </w:t>
      </w:r>
      <w:r w:rsidR="00C3585A" w:rsidRPr="00230142">
        <w:rPr>
          <w:rFonts w:ascii="Times New Roman" w:hAnsi="Times New Roman" w:cs="Times New Roman"/>
          <w:sz w:val="24"/>
          <w:szCs w:val="24"/>
        </w:rPr>
        <w:t xml:space="preserve">The parameters for the </w:t>
      </w:r>
      <w:r w:rsidR="00A56646" w:rsidRPr="00230142">
        <w:rPr>
          <w:rFonts w:ascii="Times New Roman" w:hAnsi="Times New Roman" w:cs="Times New Roman"/>
          <w:sz w:val="24"/>
          <w:szCs w:val="24"/>
        </w:rPr>
        <w:t xml:space="preserve">radius </w:t>
      </w:r>
      <w:r w:rsidR="00C3585A" w:rsidRPr="00230142">
        <w:rPr>
          <w:rFonts w:ascii="Times New Roman" w:hAnsi="Times New Roman" w:cs="Times New Roman"/>
          <w:sz w:val="24"/>
          <w:szCs w:val="24"/>
        </w:rPr>
        <w:t>binding site (10A) and weight in the</w:t>
      </w:r>
      <w:r w:rsidR="00A56646">
        <w:rPr>
          <w:rFonts w:ascii="Times New Roman" w:hAnsi="Times New Roman" w:cs="Times New Roman"/>
          <w:sz w:val="24"/>
          <w:szCs w:val="24"/>
        </w:rPr>
        <w:t xml:space="preserve"> final score (1) were personalized</w:t>
      </w:r>
      <w:r w:rsidR="00C3585A" w:rsidRPr="00230142">
        <w:rPr>
          <w:rFonts w:ascii="Times New Roman" w:hAnsi="Times New Roman" w:cs="Times New Roman"/>
          <w:sz w:val="24"/>
          <w:szCs w:val="24"/>
        </w:rPr>
        <w:t>. However, the genet</w:t>
      </w:r>
      <w:r w:rsidR="00A56646">
        <w:rPr>
          <w:rFonts w:ascii="Times New Roman" w:hAnsi="Times New Roman" w:cs="Times New Roman"/>
          <w:sz w:val="24"/>
          <w:szCs w:val="24"/>
        </w:rPr>
        <w:t>ic algorithm parameters, like</w:t>
      </w:r>
      <w:r w:rsidR="00C3585A" w:rsidRPr="00230142">
        <w:rPr>
          <w:rFonts w:ascii="Times New Roman" w:hAnsi="Times New Roman" w:cs="Times New Roman"/>
          <w:sz w:val="24"/>
          <w:szCs w:val="24"/>
        </w:rPr>
        <w:t xml:space="preserve"> the number of generations, population size, and other molecular properties, w</w:t>
      </w:r>
      <w:r w:rsidR="00A56646">
        <w:rPr>
          <w:rFonts w:ascii="Times New Roman" w:hAnsi="Times New Roman" w:cs="Times New Roman"/>
          <w:sz w:val="24"/>
          <w:szCs w:val="24"/>
        </w:rPr>
        <w:t>ere adjusted</w:t>
      </w:r>
      <w:r w:rsidR="00296015">
        <w:rPr>
          <w:rFonts w:ascii="Times New Roman" w:hAnsi="Times New Roman" w:cs="Times New Roman"/>
          <w:sz w:val="24"/>
          <w:szCs w:val="24"/>
        </w:rPr>
        <w:t xml:space="preserve"> to their default values.</w:t>
      </w:r>
      <w:r w:rsidR="00E81B63">
        <w:rPr>
          <w:rFonts w:ascii="Times New Roman" w:hAnsi="Times New Roman" w:cs="Times New Roman"/>
          <w:sz w:val="24"/>
          <w:szCs w:val="24"/>
        </w:rPr>
        <w:fldChar w:fldCharType="begin" w:fldLock="1"/>
      </w:r>
      <w:r w:rsidR="00D04863">
        <w:rPr>
          <w:rFonts w:ascii="Times New Roman" w:hAnsi="Times New Roman" w:cs="Times New Roman"/>
          <w:sz w:val="24"/>
          <w:szCs w:val="24"/>
        </w:rPr>
        <w:instrText>ADDIN CSL_CITATION {"citationItems":[{"id":"ITEM-1","itemData":{"DOI":"10.1093/nar/gkq322","ISSN":"0305-1048","abstract":"e-LEA3D web server integrates three complementary tools to perform computer-aided drug design based on molecular fragments. In drug discovery projects, there is a considerable interest in identifying novel and diverse molecular scaffolds to enhance chances of success. The de novo drug design tool is used to invent new ligands to optimize a user-specified scoring function. The composite scoring function includes both structure- and ligand-based evaluations. The de novo approach is an alternative to a blind virtual screening of large compound collections. A heuristic based on a genetic algorithm rapidly finds which fragments or combination of fragments fit a QSAR model or the binding site of a protein. While the approach is ideally suited for scaffold-hopping, this module also allows a scan for possible substituents to a user-specified scaffold. The second tool offers a traditional virtual screening and filtering of an uploaded library of compounds. The third module addresses the combinatorial library design that is based on a user-drawn scaffold and reactants coming, for example, from a chemical supplier. The e-LEA3D server is available at: http://bioinfo.ipmc.cnrs.fr/lea.html.","author":[{"dropping-particle":"","family":"Douguet","given":"Dominique","non-dropping-particle":"","parse-names":false,"suffix":""}],"container-title":"Nucleic Acids Research","id":"ITEM-1","issue":"suppl_2","issued":{"date-parts":[["2010","7","1"]]},"page":"W615-W621","title":"e-LEA3D: a computational-aided drug design web server","type":"article-journal","volume":"38"},"uris":["http://www.mendeley.com/documents/?uuid=2df1b4dc-9898-4ac9-a36a-545688ccd688"]}],"mendeley":{"formattedCitation":"(17)","plainTextFormattedCitation":"(17)","previouslyFormattedCitation":"(17)"},"properties":{"noteIndex":0},"schema":"https://github.com/citation-style-language/schema/raw/master/csl-citation.json"}</w:instrText>
      </w:r>
      <w:r w:rsidR="00E81B63">
        <w:rPr>
          <w:rFonts w:ascii="Times New Roman" w:hAnsi="Times New Roman" w:cs="Times New Roman"/>
          <w:sz w:val="24"/>
          <w:szCs w:val="24"/>
        </w:rPr>
        <w:fldChar w:fldCharType="separate"/>
      </w:r>
      <w:r w:rsidR="00E81B63" w:rsidRPr="00E81B63">
        <w:rPr>
          <w:rFonts w:ascii="Times New Roman" w:hAnsi="Times New Roman" w:cs="Times New Roman"/>
          <w:noProof/>
          <w:sz w:val="24"/>
          <w:szCs w:val="24"/>
        </w:rPr>
        <w:t>(17)</w:t>
      </w:r>
      <w:r w:rsidR="00E81B63">
        <w:rPr>
          <w:rFonts w:ascii="Times New Roman" w:hAnsi="Times New Roman" w:cs="Times New Roman"/>
          <w:sz w:val="24"/>
          <w:szCs w:val="24"/>
        </w:rPr>
        <w:fldChar w:fldCharType="end"/>
      </w:r>
      <w:r w:rsidR="00296015" w:rsidRPr="00296015">
        <w:t xml:space="preserve"> </w:t>
      </w:r>
      <w:r w:rsidR="00296015" w:rsidRPr="00296015">
        <w:rPr>
          <w:rFonts w:ascii="Times New Roman" w:hAnsi="Times New Roman" w:cs="Times New Roman"/>
          <w:sz w:val="24"/>
          <w:szCs w:val="24"/>
        </w:rPr>
        <w:t>The visualization of the acquired results was carried out using Discovery Studio software.</w:t>
      </w:r>
    </w:p>
    <w:p w:rsidR="00323AB7" w:rsidRDefault="00323AB7" w:rsidP="007075A4">
      <w:pPr>
        <w:jc w:val="both"/>
        <w:rPr>
          <w:rFonts w:ascii="Times New Roman" w:hAnsi="Times New Roman" w:cs="Times New Roman"/>
          <w:sz w:val="24"/>
          <w:szCs w:val="24"/>
        </w:rPr>
      </w:pPr>
    </w:p>
    <w:p w:rsidR="00323AB7" w:rsidRPr="00230142" w:rsidRDefault="00323AB7" w:rsidP="007075A4">
      <w:pPr>
        <w:jc w:val="both"/>
        <w:rPr>
          <w:rFonts w:ascii="Times New Roman" w:hAnsi="Times New Roman" w:cs="Times New Roman"/>
          <w:sz w:val="24"/>
          <w:szCs w:val="24"/>
        </w:rPr>
      </w:pPr>
    </w:p>
    <w:p w:rsidR="006E0849" w:rsidRPr="008850E9" w:rsidRDefault="006E0849" w:rsidP="00D73345">
      <w:pPr>
        <w:pStyle w:val="Heading1"/>
        <w:rPr>
          <w:rFonts w:ascii="Times New Roman" w:hAnsi="Times New Roman" w:cs="Times New Roman"/>
          <w:b/>
          <w:color w:val="000000" w:themeColor="text1"/>
        </w:rPr>
      </w:pPr>
      <w:r w:rsidRPr="008850E9">
        <w:rPr>
          <w:rFonts w:ascii="Times New Roman" w:hAnsi="Times New Roman" w:cs="Times New Roman"/>
          <w:b/>
          <w:color w:val="000000" w:themeColor="text1"/>
        </w:rPr>
        <w:t>2.6 SWISS ADME Studies</w:t>
      </w:r>
    </w:p>
    <w:p w:rsidR="006E0849" w:rsidRPr="00230142" w:rsidRDefault="006E0849" w:rsidP="006E0849">
      <w:pPr>
        <w:jc w:val="both"/>
        <w:rPr>
          <w:rFonts w:ascii="Times New Roman" w:hAnsi="Times New Roman" w:cs="Times New Roman"/>
          <w:sz w:val="24"/>
          <w:szCs w:val="24"/>
        </w:rPr>
      </w:pPr>
      <w:r w:rsidRPr="00230142">
        <w:rPr>
          <w:rFonts w:ascii="Times New Roman" w:hAnsi="Times New Roman" w:cs="Times New Roman"/>
          <w:sz w:val="24"/>
          <w:szCs w:val="24"/>
        </w:rPr>
        <w:t xml:space="preserve">ADME studies are crucial for assessing the drug-likeness of potential ligands, involving </w:t>
      </w:r>
      <w:r w:rsidR="00ED4AF6">
        <w:rPr>
          <w:rFonts w:ascii="Times New Roman" w:hAnsi="Times New Roman" w:cs="Times New Roman"/>
          <w:sz w:val="24"/>
          <w:szCs w:val="24"/>
        </w:rPr>
        <w:t>(</w:t>
      </w:r>
      <w:r w:rsidRPr="00230142">
        <w:rPr>
          <w:rFonts w:ascii="Times New Roman" w:hAnsi="Times New Roman" w:cs="Times New Roman"/>
          <w:sz w:val="24"/>
          <w:szCs w:val="24"/>
        </w:rPr>
        <w:t>absorption, distribution, metabolism, and excretion</w:t>
      </w:r>
      <w:r w:rsidR="00ED4AF6">
        <w:rPr>
          <w:rFonts w:ascii="Times New Roman" w:hAnsi="Times New Roman" w:cs="Times New Roman"/>
          <w:sz w:val="24"/>
          <w:szCs w:val="24"/>
        </w:rPr>
        <w:t>)</w:t>
      </w:r>
      <w:r w:rsidRPr="00230142">
        <w:rPr>
          <w:rFonts w:ascii="Times New Roman" w:hAnsi="Times New Roman" w:cs="Times New Roman"/>
          <w:sz w:val="24"/>
          <w:szCs w:val="24"/>
        </w:rPr>
        <w:t xml:space="preserve"> properties. The Swiss</w:t>
      </w:r>
      <w:r w:rsidR="00ED4AF6" w:rsidRPr="00ED4AF6">
        <w:rPr>
          <w:rFonts w:ascii="Times New Roman" w:hAnsi="Times New Roman" w:cs="Times New Roman"/>
          <w:sz w:val="24"/>
          <w:szCs w:val="24"/>
        </w:rPr>
        <w:t xml:space="preserve"> </w:t>
      </w:r>
      <w:r w:rsidR="00ED4AF6" w:rsidRPr="00230142">
        <w:rPr>
          <w:rFonts w:ascii="Times New Roman" w:hAnsi="Times New Roman" w:cs="Times New Roman"/>
          <w:sz w:val="24"/>
          <w:szCs w:val="24"/>
        </w:rPr>
        <w:t>ADME</w:t>
      </w:r>
      <w:r w:rsidR="00ED4AF6">
        <w:rPr>
          <w:rFonts w:ascii="Times New Roman" w:hAnsi="Times New Roman" w:cs="Times New Roman"/>
          <w:sz w:val="24"/>
          <w:szCs w:val="24"/>
        </w:rPr>
        <w:t xml:space="preserve"> system</w:t>
      </w:r>
      <w:r w:rsidRPr="00230142">
        <w:rPr>
          <w:rFonts w:ascii="Times New Roman" w:hAnsi="Times New Roman" w:cs="Times New Roman"/>
          <w:sz w:val="24"/>
          <w:szCs w:val="24"/>
        </w:rPr>
        <w:t xml:space="preserve"> is utilized to predict various physicochemical attributes, such as lipophilicity, water solubility, pharmacokinetics, and adherence to key drug-likeness rules (like Lipinski, Ghose, Veber, Egan, Mugge, and Bioavailability score). Among these, the widely cited Lipinski rule offers valuable insights into a ligand's potential as a drug candidate, st</w:t>
      </w:r>
      <w:r w:rsidR="00ED4AF6">
        <w:rPr>
          <w:rFonts w:ascii="Times New Roman" w:hAnsi="Times New Roman" w:cs="Times New Roman"/>
          <w:sz w:val="24"/>
          <w:szCs w:val="24"/>
        </w:rPr>
        <w:t>ipulating the below criteria</w:t>
      </w:r>
      <w:r w:rsidRPr="00230142">
        <w:rPr>
          <w:rFonts w:ascii="Times New Roman" w:hAnsi="Times New Roman" w:cs="Times New Roman"/>
          <w:sz w:val="24"/>
          <w:szCs w:val="24"/>
        </w:rPr>
        <w:t>:</w:t>
      </w:r>
    </w:p>
    <w:p w:rsidR="006E0849" w:rsidRPr="00230142" w:rsidRDefault="006E0849" w:rsidP="00332B56">
      <w:pPr>
        <w:spacing w:after="0"/>
        <w:jc w:val="both"/>
        <w:rPr>
          <w:rFonts w:ascii="Times New Roman" w:hAnsi="Times New Roman" w:cs="Times New Roman"/>
          <w:sz w:val="24"/>
          <w:szCs w:val="24"/>
        </w:rPr>
      </w:pPr>
      <w:r w:rsidRPr="00230142">
        <w:rPr>
          <w:rFonts w:ascii="Times New Roman" w:hAnsi="Times New Roman" w:cs="Times New Roman"/>
          <w:sz w:val="24"/>
          <w:szCs w:val="24"/>
        </w:rPr>
        <w:t>Molecular weight under 500.</w:t>
      </w:r>
    </w:p>
    <w:p w:rsidR="006E0849" w:rsidRPr="00230142" w:rsidRDefault="006E0849" w:rsidP="00332B56">
      <w:pPr>
        <w:spacing w:after="0"/>
        <w:jc w:val="both"/>
        <w:rPr>
          <w:rFonts w:ascii="Times New Roman" w:hAnsi="Times New Roman" w:cs="Times New Roman"/>
          <w:sz w:val="24"/>
          <w:szCs w:val="24"/>
        </w:rPr>
      </w:pPr>
      <w:r w:rsidRPr="00230142">
        <w:rPr>
          <w:rFonts w:ascii="Times New Roman" w:hAnsi="Times New Roman" w:cs="Times New Roman"/>
          <w:sz w:val="24"/>
          <w:szCs w:val="24"/>
        </w:rPr>
        <w:t>Octanol-water coefficient (logP) less than 5.</w:t>
      </w:r>
    </w:p>
    <w:p w:rsidR="006E0849" w:rsidRDefault="009B46F6" w:rsidP="009B46F6">
      <w:pPr>
        <w:spacing w:after="0"/>
        <w:jc w:val="both"/>
        <w:rPr>
          <w:rFonts w:ascii="Times New Roman" w:hAnsi="Times New Roman" w:cs="Times New Roman"/>
          <w:sz w:val="24"/>
          <w:szCs w:val="24"/>
        </w:rPr>
      </w:pPr>
      <w:r w:rsidRPr="009B46F6">
        <w:rPr>
          <w:rFonts w:ascii="Times New Roman" w:hAnsi="Times New Roman" w:cs="Times New Roman"/>
          <w:sz w:val="24"/>
          <w:szCs w:val="24"/>
        </w:rPr>
        <w:t>A maximum of 5 hydrogen bond donors and no more than 10 hydrogen bond acceptors.</w:t>
      </w:r>
    </w:p>
    <w:p w:rsidR="00332B56" w:rsidRPr="00230142" w:rsidRDefault="00332B56" w:rsidP="00332B56">
      <w:pPr>
        <w:spacing w:after="0"/>
        <w:jc w:val="both"/>
        <w:rPr>
          <w:rFonts w:ascii="Times New Roman" w:hAnsi="Times New Roman" w:cs="Times New Roman"/>
          <w:sz w:val="24"/>
          <w:szCs w:val="24"/>
        </w:rPr>
      </w:pPr>
    </w:p>
    <w:p w:rsidR="00230142" w:rsidRPr="00230142" w:rsidRDefault="006E0849" w:rsidP="00230142">
      <w:pPr>
        <w:jc w:val="both"/>
        <w:rPr>
          <w:rFonts w:ascii="Times New Roman" w:hAnsi="Times New Roman" w:cs="Times New Roman"/>
          <w:sz w:val="24"/>
          <w:szCs w:val="24"/>
        </w:rPr>
      </w:pPr>
      <w:r w:rsidRPr="00230142">
        <w:rPr>
          <w:rFonts w:ascii="Times New Roman" w:hAnsi="Times New Roman" w:cs="Times New Roman"/>
          <w:sz w:val="24"/>
          <w:szCs w:val="24"/>
        </w:rPr>
        <w:t>Built upon Lip</w:t>
      </w:r>
      <w:r w:rsidR="00B33941" w:rsidRPr="00230142">
        <w:rPr>
          <w:rFonts w:ascii="Times New Roman" w:hAnsi="Times New Roman" w:cs="Times New Roman"/>
          <w:sz w:val="24"/>
          <w:szCs w:val="24"/>
        </w:rPr>
        <w:t xml:space="preserve">inski's rule, compounds </w:t>
      </w:r>
      <w:r w:rsidRPr="00230142">
        <w:rPr>
          <w:rFonts w:ascii="Times New Roman" w:hAnsi="Times New Roman" w:cs="Times New Roman"/>
          <w:sz w:val="24"/>
          <w:szCs w:val="24"/>
        </w:rPr>
        <w:t>have progressed to the stage of pre-filtration for identifying promising drug candidates. This preliminary filtering of drug candidates serves to secure their pharmacological relevance and potential.</w:t>
      </w:r>
    </w:p>
    <w:p w:rsidR="00526908" w:rsidRPr="008850E9" w:rsidRDefault="008850E9" w:rsidP="008850E9">
      <w:pPr>
        <w:pStyle w:val="Heading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00B436BE" w:rsidRPr="008850E9">
        <w:rPr>
          <w:rFonts w:ascii="Times New Roman" w:hAnsi="Times New Roman" w:cs="Times New Roman"/>
          <w:b/>
          <w:color w:val="000000" w:themeColor="text1"/>
          <w:sz w:val="28"/>
          <w:szCs w:val="28"/>
        </w:rPr>
        <w:t>RESULT &amp; DISCUSSION</w:t>
      </w:r>
    </w:p>
    <w:p w:rsidR="00230142" w:rsidRPr="00230142" w:rsidRDefault="00230142" w:rsidP="00230142">
      <w:pPr>
        <w:rPr>
          <w:rFonts w:ascii="Times New Roman" w:hAnsi="Times New Roman" w:cs="Times New Roman"/>
        </w:rPr>
      </w:pPr>
    </w:p>
    <w:p w:rsidR="00635CE1" w:rsidRPr="008850E9" w:rsidRDefault="00230142" w:rsidP="008850E9">
      <w:pPr>
        <w:jc w:val="both"/>
        <w:rPr>
          <w:rFonts w:ascii="Times New Roman" w:hAnsi="Times New Roman" w:cs="Times New Roman"/>
          <w:b/>
          <w:sz w:val="28"/>
          <w:szCs w:val="28"/>
        </w:rPr>
      </w:pPr>
      <w:r w:rsidRPr="008850E9">
        <w:rPr>
          <w:rFonts w:ascii="Times New Roman" w:hAnsi="Times New Roman" w:cs="Times New Roman"/>
          <w:b/>
          <w:sz w:val="28"/>
          <w:szCs w:val="28"/>
        </w:rPr>
        <w:t>3.1 ADME Properties</w:t>
      </w:r>
    </w:p>
    <w:p w:rsidR="00635CE1" w:rsidRPr="00230142" w:rsidRDefault="00635CE1" w:rsidP="00635CE1">
      <w:pPr>
        <w:jc w:val="both"/>
        <w:rPr>
          <w:rFonts w:ascii="Times New Roman" w:hAnsi="Times New Roman" w:cs="Times New Roman"/>
          <w:sz w:val="24"/>
          <w:szCs w:val="24"/>
        </w:rPr>
      </w:pPr>
      <w:r w:rsidRPr="00230142">
        <w:rPr>
          <w:rFonts w:ascii="Times New Roman" w:hAnsi="Times New Roman" w:cs="Times New Roman"/>
          <w:sz w:val="24"/>
          <w:szCs w:val="24"/>
        </w:rPr>
        <w:t xml:space="preserve">De novo drug design is an automated computational process that constructs molecules targeting specific biological targets using atoms or fragments. The goal is to create molecular structures that meet the criteria for in silico drug/lead likeness. In our study, we successfully designed novel </w:t>
      </w:r>
      <w:r w:rsidRPr="00230142">
        <w:rPr>
          <w:rFonts w:ascii="Times New Roman" w:hAnsi="Times New Roman" w:cs="Times New Roman"/>
          <w:sz w:val="24"/>
          <w:szCs w:val="24"/>
        </w:rPr>
        <w:lastRenderedPageBreak/>
        <w:t>molecules within the active pockets using the de novo technique with a n</w:t>
      </w:r>
      <w:r w:rsidR="008E7AB7" w:rsidRPr="00230142">
        <w:rPr>
          <w:rFonts w:ascii="Times New Roman" w:hAnsi="Times New Roman" w:cs="Times New Roman"/>
          <w:sz w:val="24"/>
          <w:szCs w:val="24"/>
        </w:rPr>
        <w:t>ew version of the LEA3D engine.</w:t>
      </w:r>
    </w:p>
    <w:p w:rsidR="004E0C70" w:rsidRDefault="00635CE1" w:rsidP="00635CE1">
      <w:pPr>
        <w:jc w:val="both"/>
        <w:rPr>
          <w:rFonts w:ascii="Times New Roman" w:hAnsi="Times New Roman" w:cs="Times New Roman"/>
          <w:sz w:val="24"/>
          <w:szCs w:val="24"/>
        </w:rPr>
      </w:pPr>
      <w:r w:rsidRPr="00230142">
        <w:rPr>
          <w:rFonts w:ascii="Times New Roman" w:hAnsi="Times New Roman" w:cs="Times New Roman"/>
          <w:sz w:val="24"/>
          <w:szCs w:val="24"/>
        </w:rPr>
        <w:t xml:space="preserve">From the e-LEA3D output, we obtained </w:t>
      </w:r>
      <w:r w:rsidR="00883001" w:rsidRPr="00230142">
        <w:rPr>
          <w:rFonts w:ascii="Times New Roman" w:hAnsi="Times New Roman" w:cs="Times New Roman"/>
          <w:sz w:val="24"/>
          <w:szCs w:val="24"/>
        </w:rPr>
        <w:t>20 molecules, but on</w:t>
      </w:r>
      <w:r w:rsidR="00D05FA0" w:rsidRPr="00230142">
        <w:rPr>
          <w:rFonts w:ascii="Times New Roman" w:hAnsi="Times New Roman" w:cs="Times New Roman"/>
          <w:sz w:val="24"/>
          <w:szCs w:val="24"/>
        </w:rPr>
        <w:t>ly three</w:t>
      </w:r>
      <w:r w:rsidR="00883001" w:rsidRPr="00230142">
        <w:rPr>
          <w:rFonts w:ascii="Times New Roman" w:hAnsi="Times New Roman" w:cs="Times New Roman"/>
          <w:sz w:val="24"/>
          <w:szCs w:val="24"/>
        </w:rPr>
        <w:t xml:space="preserve"> </w:t>
      </w:r>
      <w:r w:rsidR="00411802">
        <w:rPr>
          <w:rFonts w:ascii="Times New Roman" w:hAnsi="Times New Roman" w:cs="Times New Roman"/>
          <w:sz w:val="24"/>
          <w:szCs w:val="24"/>
        </w:rPr>
        <w:t xml:space="preserve">were taken into account. </w:t>
      </w:r>
      <w:r w:rsidRPr="00230142">
        <w:rPr>
          <w:rFonts w:ascii="Times New Roman" w:hAnsi="Times New Roman" w:cs="Times New Roman"/>
          <w:sz w:val="24"/>
          <w:szCs w:val="24"/>
        </w:rPr>
        <w:t xml:space="preserve"> </w:t>
      </w:r>
      <w:r w:rsidR="004F2437" w:rsidRPr="00230142">
        <w:rPr>
          <w:rFonts w:ascii="Times New Roman" w:hAnsi="Times New Roman" w:cs="Times New Roman"/>
          <w:sz w:val="24"/>
          <w:szCs w:val="24"/>
        </w:rPr>
        <w:t>(Table 1</w:t>
      </w:r>
      <w:r w:rsidR="00323AB7">
        <w:rPr>
          <w:rFonts w:ascii="Times New Roman" w:hAnsi="Times New Roman" w:cs="Times New Roman"/>
          <w:sz w:val="24"/>
          <w:szCs w:val="24"/>
        </w:rPr>
        <w:t xml:space="preserve"> and Figure 2(a-c)</w:t>
      </w:r>
      <w:r w:rsidR="004F2437" w:rsidRPr="00230142">
        <w:rPr>
          <w:rFonts w:ascii="Times New Roman" w:hAnsi="Times New Roman" w:cs="Times New Roman"/>
          <w:sz w:val="24"/>
          <w:szCs w:val="24"/>
        </w:rPr>
        <w:t>)</w:t>
      </w:r>
      <w:r w:rsidRPr="00230142">
        <w:rPr>
          <w:rFonts w:ascii="Times New Roman" w:hAnsi="Times New Roman" w:cs="Times New Roman"/>
          <w:sz w:val="24"/>
          <w:szCs w:val="24"/>
        </w:rPr>
        <w:t xml:space="preserve">The others were excluded based on </w:t>
      </w:r>
      <w:r w:rsidR="00F62D4E">
        <w:rPr>
          <w:rFonts w:ascii="Times New Roman" w:hAnsi="Times New Roman" w:cs="Times New Roman"/>
          <w:sz w:val="24"/>
          <w:szCs w:val="24"/>
        </w:rPr>
        <w:t>score, and constraint</w:t>
      </w:r>
      <w:r w:rsidRPr="00230142">
        <w:rPr>
          <w:rFonts w:ascii="Times New Roman" w:hAnsi="Times New Roman" w:cs="Times New Roman"/>
          <w:sz w:val="24"/>
          <w:szCs w:val="24"/>
        </w:rPr>
        <w:t xml:space="preserve"> applied during in </w:t>
      </w:r>
      <w:r w:rsidR="00411802" w:rsidRPr="00230142">
        <w:rPr>
          <w:rFonts w:ascii="Times New Roman" w:hAnsi="Times New Roman" w:cs="Times New Roman"/>
          <w:sz w:val="24"/>
          <w:szCs w:val="24"/>
        </w:rPr>
        <w:t xml:space="preserve">ADMET screening </w:t>
      </w:r>
      <w:r w:rsidR="00411802">
        <w:rPr>
          <w:rFonts w:ascii="Times New Roman" w:hAnsi="Times New Roman" w:cs="Times New Roman"/>
          <w:sz w:val="24"/>
          <w:szCs w:val="24"/>
        </w:rPr>
        <w:t xml:space="preserve">and </w:t>
      </w:r>
      <w:r w:rsidRPr="00230142">
        <w:rPr>
          <w:rFonts w:ascii="Times New Roman" w:hAnsi="Times New Roman" w:cs="Times New Roman"/>
          <w:sz w:val="24"/>
          <w:szCs w:val="24"/>
        </w:rPr>
        <w:t>silico drug/lead likeness which included the evaluati</w:t>
      </w:r>
      <w:r w:rsidR="00411802">
        <w:rPr>
          <w:rFonts w:ascii="Times New Roman" w:hAnsi="Times New Roman" w:cs="Times New Roman"/>
          <w:sz w:val="24"/>
          <w:szCs w:val="24"/>
        </w:rPr>
        <w:t xml:space="preserve">on of Lipinski's rule of 5.  </w:t>
      </w:r>
      <w:r w:rsidR="00411802" w:rsidRPr="00411802">
        <w:rPr>
          <w:rFonts w:ascii="Times New Roman" w:hAnsi="Times New Roman" w:cs="Times New Roman"/>
          <w:sz w:val="24"/>
          <w:szCs w:val="24"/>
        </w:rPr>
        <w:t>According to the rule, for a molecule to be a potential orally active drug candidate, it must not breach more than one of the specified criteria defined within the rule.</w:t>
      </w:r>
    </w:p>
    <w:tbl>
      <w:tblPr>
        <w:tblStyle w:val="TableGrid"/>
        <w:tblW w:w="0" w:type="auto"/>
        <w:tblLook w:val="04A0" w:firstRow="1" w:lastRow="0" w:firstColumn="1" w:lastColumn="0" w:noHBand="0" w:noVBand="1"/>
      </w:tblPr>
      <w:tblGrid>
        <w:gridCol w:w="9350"/>
      </w:tblGrid>
      <w:tr w:rsidR="00323AB7" w:rsidTr="00323AB7">
        <w:tc>
          <w:tcPr>
            <w:tcW w:w="9350" w:type="dxa"/>
          </w:tcPr>
          <w:p w:rsidR="00323AB7" w:rsidRPr="00323AB7" w:rsidRDefault="00323AB7" w:rsidP="00323AB7">
            <w:pPr>
              <w:jc w:val="center"/>
              <w:rPr>
                <w:rFonts w:ascii="Times New Roman" w:hAnsi="Times New Roman" w:cs="Times New Roman"/>
                <w:b/>
                <w:sz w:val="24"/>
                <w:szCs w:val="24"/>
              </w:rPr>
            </w:pPr>
            <w:r w:rsidRPr="00323AB7">
              <w:rPr>
                <w:rFonts w:ascii="Times New Roman" w:hAnsi="Times New Roman" w:cs="Times New Roman"/>
                <w:b/>
                <w:sz w:val="24"/>
                <w:szCs w:val="24"/>
              </w:rPr>
              <w:t>Figure 2 :(a-c)) de novo drug design top score results</w:t>
            </w:r>
          </w:p>
        </w:tc>
      </w:tr>
      <w:tr w:rsidR="00323AB7" w:rsidTr="00323AB7">
        <w:tc>
          <w:tcPr>
            <w:tcW w:w="9350" w:type="dxa"/>
          </w:tcPr>
          <w:p w:rsidR="00323AB7" w:rsidRDefault="00323AB7" w:rsidP="00635CE1">
            <w:pPr>
              <w:jc w:val="both"/>
              <w:rPr>
                <w:rFonts w:ascii="Times New Roman" w:hAnsi="Times New Roman" w:cs="Times New Roman"/>
                <w:sz w:val="24"/>
                <w:szCs w:val="24"/>
              </w:rPr>
            </w:pPr>
            <w:r>
              <w:rPr>
                <w:noProof/>
              </w:rPr>
              <w:drawing>
                <wp:inline distT="0" distB="0" distL="0" distR="0" wp14:anchorId="21172DF4" wp14:editId="114AA4FD">
                  <wp:extent cx="5662569" cy="147510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690929" cy="1482493"/>
                          </a:xfrm>
                          <a:prstGeom prst="rect">
                            <a:avLst/>
                          </a:prstGeom>
                        </pic:spPr>
                      </pic:pic>
                    </a:graphicData>
                  </a:graphic>
                </wp:inline>
              </w:drawing>
            </w:r>
          </w:p>
          <w:p w:rsidR="0054479E" w:rsidRPr="0054479E" w:rsidRDefault="0054479E" w:rsidP="00635CE1">
            <w:pPr>
              <w:jc w:val="both"/>
              <w:rPr>
                <w:rFonts w:ascii="Times New Roman" w:hAnsi="Times New Roman" w:cs="Times New Roman"/>
                <w:b/>
                <w:sz w:val="24"/>
                <w:szCs w:val="24"/>
              </w:rPr>
            </w:pPr>
            <w:r w:rsidRPr="0054479E">
              <w:rPr>
                <w:rFonts w:ascii="Times New Roman" w:hAnsi="Times New Roman" w:cs="Times New Roman"/>
                <w:b/>
                <w:sz w:val="24"/>
                <w:szCs w:val="24"/>
              </w:rPr>
              <w:t>a</w:t>
            </w:r>
          </w:p>
        </w:tc>
      </w:tr>
      <w:tr w:rsidR="00323AB7" w:rsidTr="00323AB7">
        <w:tc>
          <w:tcPr>
            <w:tcW w:w="9350" w:type="dxa"/>
          </w:tcPr>
          <w:p w:rsidR="00323AB7" w:rsidRDefault="00323AB7" w:rsidP="00635CE1">
            <w:pPr>
              <w:jc w:val="both"/>
              <w:rPr>
                <w:rFonts w:ascii="Times New Roman" w:hAnsi="Times New Roman" w:cs="Times New Roman"/>
                <w:sz w:val="24"/>
                <w:szCs w:val="24"/>
              </w:rPr>
            </w:pPr>
            <w:r>
              <w:rPr>
                <w:noProof/>
              </w:rPr>
              <w:drawing>
                <wp:inline distT="0" distB="0" distL="0" distR="0" wp14:anchorId="4A66E6D8" wp14:editId="68B2D1FF">
                  <wp:extent cx="5763237" cy="1745615"/>
                  <wp:effectExtent l="0" t="0" r="9525" b="698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764803" cy="1746089"/>
                          </a:xfrm>
                          <a:prstGeom prst="rect">
                            <a:avLst/>
                          </a:prstGeom>
                        </pic:spPr>
                      </pic:pic>
                    </a:graphicData>
                  </a:graphic>
                </wp:inline>
              </w:drawing>
            </w:r>
          </w:p>
          <w:p w:rsidR="0054479E" w:rsidRPr="0054479E" w:rsidRDefault="0054479E" w:rsidP="00635CE1">
            <w:pPr>
              <w:jc w:val="both"/>
              <w:rPr>
                <w:rFonts w:ascii="Times New Roman" w:hAnsi="Times New Roman" w:cs="Times New Roman"/>
                <w:b/>
                <w:sz w:val="24"/>
                <w:szCs w:val="24"/>
              </w:rPr>
            </w:pPr>
            <w:r w:rsidRPr="0054479E">
              <w:rPr>
                <w:rFonts w:ascii="Times New Roman" w:hAnsi="Times New Roman" w:cs="Times New Roman"/>
                <w:b/>
                <w:sz w:val="24"/>
                <w:szCs w:val="24"/>
              </w:rPr>
              <w:t>b</w:t>
            </w:r>
          </w:p>
        </w:tc>
      </w:tr>
      <w:tr w:rsidR="00323AB7" w:rsidTr="00323AB7">
        <w:tc>
          <w:tcPr>
            <w:tcW w:w="9350" w:type="dxa"/>
          </w:tcPr>
          <w:p w:rsidR="00323AB7" w:rsidRDefault="00323AB7" w:rsidP="00635CE1">
            <w:pPr>
              <w:jc w:val="both"/>
              <w:rPr>
                <w:rFonts w:ascii="Times New Roman" w:hAnsi="Times New Roman" w:cs="Times New Roman"/>
                <w:sz w:val="24"/>
                <w:szCs w:val="24"/>
              </w:rPr>
            </w:pPr>
            <w:r>
              <w:rPr>
                <w:noProof/>
              </w:rPr>
              <w:drawing>
                <wp:inline distT="0" distB="0" distL="0" distR="0" wp14:anchorId="0B82558D" wp14:editId="2218AE35">
                  <wp:extent cx="5721292" cy="169608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723835" cy="1696839"/>
                          </a:xfrm>
                          <a:prstGeom prst="rect">
                            <a:avLst/>
                          </a:prstGeom>
                        </pic:spPr>
                      </pic:pic>
                    </a:graphicData>
                  </a:graphic>
                </wp:inline>
              </w:drawing>
            </w:r>
          </w:p>
          <w:p w:rsidR="0054479E" w:rsidRPr="0054479E" w:rsidRDefault="0054479E" w:rsidP="00635CE1">
            <w:pPr>
              <w:jc w:val="both"/>
              <w:rPr>
                <w:rFonts w:ascii="Times New Roman" w:hAnsi="Times New Roman" w:cs="Times New Roman"/>
                <w:b/>
                <w:sz w:val="24"/>
                <w:szCs w:val="24"/>
              </w:rPr>
            </w:pPr>
            <w:r w:rsidRPr="0054479E">
              <w:rPr>
                <w:rFonts w:ascii="Times New Roman" w:hAnsi="Times New Roman" w:cs="Times New Roman"/>
                <w:b/>
                <w:sz w:val="24"/>
                <w:szCs w:val="24"/>
              </w:rPr>
              <w:t>c</w:t>
            </w:r>
          </w:p>
        </w:tc>
      </w:tr>
    </w:tbl>
    <w:p w:rsidR="00323AB7" w:rsidRDefault="00323AB7" w:rsidP="00635CE1">
      <w:pPr>
        <w:jc w:val="both"/>
        <w:rPr>
          <w:rFonts w:ascii="Times New Roman" w:hAnsi="Times New Roman" w:cs="Times New Roman"/>
          <w:sz w:val="24"/>
          <w:szCs w:val="24"/>
        </w:rPr>
      </w:pPr>
    </w:p>
    <w:p w:rsidR="00323AB7" w:rsidRDefault="00323AB7" w:rsidP="00635CE1">
      <w:pPr>
        <w:jc w:val="both"/>
        <w:rPr>
          <w:rFonts w:ascii="Times New Roman" w:hAnsi="Times New Roman" w:cs="Times New Roman"/>
          <w:sz w:val="24"/>
          <w:szCs w:val="24"/>
        </w:rPr>
      </w:pPr>
    </w:p>
    <w:p w:rsidR="00323AB7" w:rsidRDefault="00323AB7" w:rsidP="00635CE1">
      <w:pPr>
        <w:jc w:val="both"/>
        <w:rPr>
          <w:rFonts w:ascii="Times New Roman" w:hAnsi="Times New Roman" w:cs="Times New Roman"/>
          <w:sz w:val="24"/>
          <w:szCs w:val="24"/>
        </w:rPr>
      </w:pPr>
    </w:p>
    <w:p w:rsidR="00323AB7" w:rsidRDefault="00323AB7" w:rsidP="00635CE1">
      <w:pPr>
        <w:jc w:val="both"/>
        <w:rPr>
          <w:rFonts w:ascii="Times New Roman" w:hAnsi="Times New Roman" w:cs="Times New Roman"/>
          <w:sz w:val="24"/>
          <w:szCs w:val="24"/>
        </w:rPr>
      </w:pPr>
    </w:p>
    <w:p w:rsidR="00323AB7" w:rsidRDefault="00323AB7" w:rsidP="00635CE1">
      <w:pPr>
        <w:jc w:val="both"/>
        <w:rPr>
          <w:rFonts w:ascii="Times New Roman" w:hAnsi="Times New Roman" w:cs="Times New Roman"/>
          <w:sz w:val="24"/>
          <w:szCs w:val="24"/>
        </w:rPr>
      </w:pPr>
    </w:p>
    <w:p w:rsidR="00323AB7" w:rsidRPr="00230142" w:rsidRDefault="00323AB7" w:rsidP="00635CE1">
      <w:pPr>
        <w:jc w:val="both"/>
        <w:rPr>
          <w:rFonts w:ascii="Times New Roman" w:hAnsi="Times New Roman" w:cs="Times New Roman"/>
          <w:sz w:val="24"/>
          <w:szCs w:val="24"/>
        </w:rPr>
      </w:pPr>
    </w:p>
    <w:p w:rsidR="004F2437" w:rsidRDefault="004F2437" w:rsidP="00635CE1">
      <w:pPr>
        <w:jc w:val="both"/>
        <w:rPr>
          <w:rFonts w:ascii="Times New Roman" w:hAnsi="Times New Roman" w:cs="Times New Roman"/>
          <w:sz w:val="32"/>
          <w:szCs w:val="32"/>
        </w:rPr>
      </w:pPr>
    </w:p>
    <w:p w:rsidR="00323AB7" w:rsidRDefault="00323AB7" w:rsidP="00635CE1">
      <w:pPr>
        <w:jc w:val="both"/>
        <w:rPr>
          <w:rFonts w:ascii="Times New Roman" w:hAnsi="Times New Roman" w:cs="Times New Roman"/>
          <w:sz w:val="32"/>
          <w:szCs w:val="32"/>
        </w:rPr>
      </w:pPr>
    </w:p>
    <w:p w:rsidR="00323AB7" w:rsidRDefault="00323AB7" w:rsidP="00635CE1">
      <w:pPr>
        <w:jc w:val="both"/>
        <w:rPr>
          <w:rFonts w:ascii="Times New Roman" w:hAnsi="Times New Roman" w:cs="Times New Roman"/>
          <w:sz w:val="32"/>
          <w:szCs w:val="32"/>
        </w:rPr>
      </w:pPr>
    </w:p>
    <w:p w:rsidR="00323AB7" w:rsidRDefault="00323AB7" w:rsidP="00635CE1">
      <w:pPr>
        <w:jc w:val="both"/>
        <w:rPr>
          <w:rFonts w:ascii="Times New Roman" w:hAnsi="Times New Roman" w:cs="Times New Roman"/>
          <w:sz w:val="32"/>
          <w:szCs w:val="32"/>
        </w:rPr>
      </w:pPr>
    </w:p>
    <w:p w:rsidR="00323AB7" w:rsidRDefault="00323AB7" w:rsidP="00635CE1">
      <w:pPr>
        <w:jc w:val="both"/>
        <w:rPr>
          <w:rFonts w:ascii="Times New Roman" w:hAnsi="Times New Roman" w:cs="Times New Roman"/>
          <w:sz w:val="32"/>
          <w:szCs w:val="32"/>
        </w:rPr>
      </w:pPr>
    </w:p>
    <w:p w:rsidR="00323AB7" w:rsidRDefault="00323AB7" w:rsidP="00635CE1">
      <w:pPr>
        <w:jc w:val="both"/>
        <w:rPr>
          <w:rFonts w:ascii="Times New Roman" w:hAnsi="Times New Roman" w:cs="Times New Roman"/>
          <w:sz w:val="32"/>
          <w:szCs w:val="32"/>
        </w:rPr>
      </w:pPr>
    </w:p>
    <w:p w:rsidR="00323AB7" w:rsidRPr="00230142" w:rsidRDefault="00323AB7" w:rsidP="00635CE1">
      <w:pPr>
        <w:jc w:val="both"/>
        <w:rPr>
          <w:rFonts w:ascii="Times New Roman" w:hAnsi="Times New Roman" w:cs="Times New Roman"/>
          <w:sz w:val="32"/>
          <w:szCs w:val="32"/>
        </w:rPr>
      </w:pPr>
    </w:p>
    <w:tbl>
      <w:tblPr>
        <w:tblStyle w:val="TableGrid"/>
        <w:tblW w:w="9445" w:type="dxa"/>
        <w:tblLook w:val="04A0" w:firstRow="1" w:lastRow="0" w:firstColumn="1" w:lastColumn="0" w:noHBand="0" w:noVBand="1"/>
      </w:tblPr>
      <w:tblGrid>
        <w:gridCol w:w="794"/>
        <w:gridCol w:w="8651"/>
      </w:tblGrid>
      <w:tr w:rsidR="000776EC" w:rsidRPr="00230142" w:rsidTr="00A32201">
        <w:tc>
          <w:tcPr>
            <w:tcW w:w="9445" w:type="dxa"/>
            <w:gridSpan w:val="2"/>
          </w:tcPr>
          <w:p w:rsidR="000776EC" w:rsidRPr="00230142" w:rsidRDefault="000776EC" w:rsidP="00732AC4">
            <w:pPr>
              <w:jc w:val="center"/>
              <w:rPr>
                <w:rFonts w:ascii="Times New Roman" w:hAnsi="Times New Roman" w:cs="Times New Roman"/>
                <w:sz w:val="32"/>
                <w:szCs w:val="32"/>
              </w:rPr>
            </w:pPr>
            <w:r w:rsidRPr="00230142">
              <w:rPr>
                <w:rFonts w:ascii="Times New Roman" w:hAnsi="Times New Roman" w:cs="Times New Roman"/>
                <w:sz w:val="32"/>
                <w:szCs w:val="32"/>
              </w:rPr>
              <w:t>Table1:</w:t>
            </w:r>
            <w:r>
              <w:rPr>
                <w:rFonts w:ascii="Times New Roman" w:hAnsi="Times New Roman" w:cs="Times New Roman"/>
                <w:sz w:val="32"/>
                <w:szCs w:val="32"/>
              </w:rPr>
              <w:t xml:space="preserve"> Generated compounds</w:t>
            </w:r>
          </w:p>
        </w:tc>
      </w:tr>
      <w:tr w:rsidR="004F2437" w:rsidRPr="00230142" w:rsidTr="00732AC4">
        <w:tc>
          <w:tcPr>
            <w:tcW w:w="794"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sz w:val="32"/>
                <w:szCs w:val="32"/>
              </w:rPr>
              <w:t>S.no</w:t>
            </w:r>
          </w:p>
        </w:tc>
        <w:tc>
          <w:tcPr>
            <w:tcW w:w="8651"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sz w:val="32"/>
                <w:szCs w:val="32"/>
              </w:rPr>
              <w:t>Potential Ligands</w:t>
            </w:r>
          </w:p>
        </w:tc>
      </w:tr>
      <w:tr w:rsidR="004F2437" w:rsidRPr="00230142" w:rsidTr="00732AC4">
        <w:tc>
          <w:tcPr>
            <w:tcW w:w="794" w:type="dxa"/>
          </w:tcPr>
          <w:p w:rsidR="004F2437" w:rsidRPr="00230142" w:rsidRDefault="004F2437" w:rsidP="00732AC4">
            <w:pPr>
              <w:jc w:val="center"/>
              <w:rPr>
                <w:rFonts w:ascii="Times New Roman" w:hAnsi="Times New Roman" w:cs="Times New Roman"/>
                <w:sz w:val="32"/>
                <w:szCs w:val="32"/>
              </w:rPr>
            </w:pPr>
          </w:p>
        </w:tc>
        <w:tc>
          <w:tcPr>
            <w:tcW w:w="8651" w:type="dxa"/>
          </w:tcPr>
          <w:p w:rsidR="004F2437" w:rsidRPr="00230142" w:rsidRDefault="004F2437" w:rsidP="00732AC4">
            <w:pPr>
              <w:jc w:val="center"/>
              <w:rPr>
                <w:rFonts w:ascii="Times New Roman" w:hAnsi="Times New Roman" w:cs="Times New Roman"/>
                <w:sz w:val="32"/>
                <w:szCs w:val="32"/>
              </w:rPr>
            </w:pPr>
          </w:p>
        </w:tc>
      </w:tr>
      <w:tr w:rsidR="004F2437" w:rsidRPr="00230142" w:rsidTr="00732AC4">
        <w:tc>
          <w:tcPr>
            <w:tcW w:w="794"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sz w:val="32"/>
                <w:szCs w:val="32"/>
              </w:rPr>
              <w:t>1</w:t>
            </w:r>
          </w:p>
        </w:tc>
        <w:tc>
          <w:tcPr>
            <w:tcW w:w="8651"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noProof/>
                <w:sz w:val="32"/>
                <w:szCs w:val="32"/>
              </w:rPr>
              <w:drawing>
                <wp:inline distT="0" distB="0" distL="0" distR="0" wp14:anchorId="5C3D4549" wp14:editId="3597DE82">
                  <wp:extent cx="4895880" cy="20848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880" cy="2084832"/>
                          </a:xfrm>
                          <a:prstGeom prst="rect">
                            <a:avLst/>
                          </a:prstGeom>
                        </pic:spPr>
                      </pic:pic>
                    </a:graphicData>
                  </a:graphic>
                </wp:inline>
              </w:drawing>
            </w:r>
          </w:p>
        </w:tc>
      </w:tr>
      <w:tr w:rsidR="004F2437" w:rsidRPr="00230142" w:rsidTr="00732AC4">
        <w:tc>
          <w:tcPr>
            <w:tcW w:w="794"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sz w:val="32"/>
                <w:szCs w:val="32"/>
              </w:rPr>
              <w:lastRenderedPageBreak/>
              <w:t>2</w:t>
            </w:r>
          </w:p>
        </w:tc>
        <w:tc>
          <w:tcPr>
            <w:tcW w:w="8651"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noProof/>
                <w:sz w:val="32"/>
                <w:szCs w:val="32"/>
              </w:rPr>
              <w:drawing>
                <wp:inline distT="0" distB="0" distL="0" distR="0" wp14:anchorId="1E3FE4AA" wp14:editId="14341385">
                  <wp:extent cx="3583750" cy="2072640"/>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3750" cy="2072640"/>
                          </a:xfrm>
                          <a:prstGeom prst="rect">
                            <a:avLst/>
                          </a:prstGeom>
                        </pic:spPr>
                      </pic:pic>
                    </a:graphicData>
                  </a:graphic>
                </wp:inline>
              </w:drawing>
            </w:r>
          </w:p>
        </w:tc>
      </w:tr>
      <w:tr w:rsidR="004F2437" w:rsidRPr="00230142" w:rsidTr="00732AC4">
        <w:tc>
          <w:tcPr>
            <w:tcW w:w="794"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sz w:val="32"/>
                <w:szCs w:val="32"/>
              </w:rPr>
              <w:t>3</w:t>
            </w:r>
          </w:p>
        </w:tc>
        <w:tc>
          <w:tcPr>
            <w:tcW w:w="8651" w:type="dxa"/>
          </w:tcPr>
          <w:p w:rsidR="004F2437" w:rsidRPr="00230142" w:rsidRDefault="004F2437" w:rsidP="00732AC4">
            <w:pPr>
              <w:jc w:val="center"/>
              <w:rPr>
                <w:rFonts w:ascii="Times New Roman" w:hAnsi="Times New Roman" w:cs="Times New Roman"/>
                <w:sz w:val="32"/>
                <w:szCs w:val="32"/>
              </w:rPr>
            </w:pPr>
            <w:r w:rsidRPr="00230142">
              <w:rPr>
                <w:rFonts w:ascii="Times New Roman" w:hAnsi="Times New Roman" w:cs="Times New Roman"/>
                <w:b/>
                <w:noProof/>
              </w:rPr>
              <w:drawing>
                <wp:inline distT="0" distB="0" distL="0" distR="0" wp14:anchorId="2CDD8CEA" wp14:editId="4A73BE4E">
                  <wp:extent cx="3108960" cy="3005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3005455"/>
                          </a:xfrm>
                          <a:prstGeom prst="rect">
                            <a:avLst/>
                          </a:prstGeom>
                          <a:noFill/>
                        </pic:spPr>
                      </pic:pic>
                    </a:graphicData>
                  </a:graphic>
                </wp:inline>
              </w:drawing>
            </w:r>
          </w:p>
        </w:tc>
      </w:tr>
    </w:tbl>
    <w:p w:rsidR="004F2437" w:rsidRPr="00230142" w:rsidRDefault="004F2437" w:rsidP="00635CE1">
      <w:pPr>
        <w:jc w:val="both"/>
        <w:rPr>
          <w:rFonts w:ascii="Times New Roman" w:hAnsi="Times New Roman" w:cs="Times New Roman"/>
          <w:sz w:val="32"/>
          <w:szCs w:val="32"/>
        </w:rPr>
      </w:pPr>
    </w:p>
    <w:p w:rsidR="00526908" w:rsidRPr="00230142" w:rsidRDefault="00526908" w:rsidP="00526908">
      <w:pPr>
        <w:jc w:val="both"/>
        <w:rPr>
          <w:rFonts w:ascii="Times New Roman" w:hAnsi="Times New Roman" w:cs="Times New Roman"/>
          <w:sz w:val="24"/>
          <w:szCs w:val="24"/>
        </w:rPr>
      </w:pPr>
      <w:r w:rsidRPr="00230142">
        <w:rPr>
          <w:rFonts w:ascii="Times New Roman" w:hAnsi="Times New Roman" w:cs="Times New Roman"/>
          <w:sz w:val="24"/>
          <w:szCs w:val="24"/>
        </w:rPr>
        <w:t xml:space="preserve">The initial screening process for potential life-saving drug candidates involved the application of Lipinski's Rule of Five. This rule examines key parameters like </w:t>
      </w:r>
      <w:r w:rsidR="00E46B23" w:rsidRPr="00230142">
        <w:rPr>
          <w:rFonts w:ascii="Times New Roman" w:hAnsi="Times New Roman" w:cs="Times New Roman"/>
          <w:sz w:val="24"/>
          <w:szCs w:val="24"/>
        </w:rPr>
        <w:t xml:space="preserve">Hydrogen Bond Donor (HBD) count </w:t>
      </w:r>
      <w:r w:rsidRPr="00230142">
        <w:rPr>
          <w:rFonts w:ascii="Times New Roman" w:hAnsi="Times New Roman" w:cs="Times New Roman"/>
          <w:sz w:val="24"/>
          <w:szCs w:val="24"/>
        </w:rPr>
        <w:t>Molecular Weight (M.wt), Hydr</w:t>
      </w:r>
      <w:r w:rsidR="00755E2F">
        <w:rPr>
          <w:rFonts w:ascii="Times New Roman" w:hAnsi="Times New Roman" w:cs="Times New Roman"/>
          <w:sz w:val="24"/>
          <w:szCs w:val="24"/>
        </w:rPr>
        <w:t>ogen Bond Acceptor (HBA) count,</w:t>
      </w:r>
      <w:r w:rsidRPr="00230142">
        <w:rPr>
          <w:rFonts w:ascii="Times New Roman" w:hAnsi="Times New Roman" w:cs="Times New Roman"/>
          <w:sz w:val="24"/>
          <w:szCs w:val="24"/>
        </w:rPr>
        <w:t>Octanol-Water Partition Coefficient (logP), and molar refractivity index. The eva</w:t>
      </w:r>
      <w:r w:rsidR="00D05FA0" w:rsidRPr="00230142">
        <w:rPr>
          <w:rFonts w:ascii="Times New Roman" w:hAnsi="Times New Roman" w:cs="Times New Roman"/>
          <w:sz w:val="24"/>
          <w:szCs w:val="24"/>
        </w:rPr>
        <w:t>luation of all three</w:t>
      </w:r>
      <w:r w:rsidRPr="00230142">
        <w:rPr>
          <w:rFonts w:ascii="Times New Roman" w:hAnsi="Times New Roman" w:cs="Times New Roman"/>
          <w:sz w:val="24"/>
          <w:szCs w:val="24"/>
        </w:rPr>
        <w:t xml:space="preserve"> </w:t>
      </w:r>
      <w:r w:rsidR="00230142" w:rsidRPr="00230142">
        <w:rPr>
          <w:rFonts w:ascii="Times New Roman" w:hAnsi="Times New Roman" w:cs="Times New Roman"/>
          <w:sz w:val="24"/>
          <w:szCs w:val="24"/>
        </w:rPr>
        <w:t>compounds</w:t>
      </w:r>
      <w:r w:rsidRPr="00230142">
        <w:rPr>
          <w:rFonts w:ascii="Times New Roman" w:hAnsi="Times New Roman" w:cs="Times New Roman"/>
          <w:sz w:val="24"/>
          <w:szCs w:val="24"/>
        </w:rPr>
        <w:t xml:space="preserve"> against these criteria was detailed in </w:t>
      </w:r>
      <w:r w:rsidR="00D302FA">
        <w:rPr>
          <w:rFonts w:ascii="Times New Roman" w:hAnsi="Times New Roman" w:cs="Times New Roman"/>
          <w:sz w:val="24"/>
          <w:szCs w:val="24"/>
        </w:rPr>
        <w:t>Table</w:t>
      </w:r>
      <w:r w:rsidRPr="008850E9">
        <w:rPr>
          <w:rFonts w:ascii="Times New Roman" w:hAnsi="Times New Roman" w:cs="Times New Roman"/>
          <w:sz w:val="24"/>
          <w:szCs w:val="24"/>
        </w:rPr>
        <w:t>2.</w:t>
      </w:r>
      <w:r w:rsidRPr="00230142">
        <w:rPr>
          <w:rFonts w:ascii="Times New Roman" w:hAnsi="Times New Roman" w:cs="Times New Roman"/>
          <w:sz w:val="24"/>
          <w:szCs w:val="24"/>
        </w:rPr>
        <w:t xml:space="preserve"> Notably, these Schiff bases not only met the stringent criteria of the first assessment but also conformed to Veber's law, which gauges the bioavailability score of drug candidates. The calculated bioavailability score for these was 0.55.</w:t>
      </w:r>
    </w:p>
    <w:p w:rsidR="00526908" w:rsidRPr="00230142" w:rsidRDefault="00526908" w:rsidP="00526908">
      <w:pPr>
        <w:jc w:val="both"/>
        <w:rPr>
          <w:rFonts w:ascii="Times New Roman" w:hAnsi="Times New Roman" w:cs="Times New Roman"/>
          <w:sz w:val="24"/>
          <w:szCs w:val="24"/>
        </w:rPr>
      </w:pPr>
    </w:p>
    <w:p w:rsidR="00526908" w:rsidRDefault="00526908" w:rsidP="00526908">
      <w:pPr>
        <w:jc w:val="both"/>
        <w:rPr>
          <w:rFonts w:ascii="Times New Roman" w:hAnsi="Times New Roman" w:cs="Times New Roman"/>
          <w:sz w:val="24"/>
          <w:szCs w:val="24"/>
        </w:rPr>
      </w:pPr>
      <w:r w:rsidRPr="00230142">
        <w:rPr>
          <w:rFonts w:ascii="Times New Roman" w:hAnsi="Times New Roman" w:cs="Times New Roman"/>
          <w:sz w:val="24"/>
          <w:szCs w:val="24"/>
        </w:rPr>
        <w:t>Furthermore, the Synthetic Access</w:t>
      </w:r>
      <w:r w:rsidR="001D5507" w:rsidRPr="00230142">
        <w:rPr>
          <w:rFonts w:ascii="Times New Roman" w:hAnsi="Times New Roman" w:cs="Times New Roman"/>
          <w:sz w:val="24"/>
          <w:szCs w:val="24"/>
        </w:rPr>
        <w:t>ibility (SA) of the compound</w:t>
      </w:r>
      <w:r w:rsidRPr="00230142">
        <w:rPr>
          <w:rFonts w:ascii="Times New Roman" w:hAnsi="Times New Roman" w:cs="Times New Roman"/>
          <w:sz w:val="24"/>
          <w:szCs w:val="24"/>
        </w:rPr>
        <w:t xml:space="preserve"> was determined to be within the favorable range of greater than one and less than ten. This range signifies the ease of synthesizing these compounds in a laboratory setting. The consideration of Synthetic Accessibility is pivotal in the selection process of drug design, and its integration into computer-aided design (CAD) workflows can significantly enhance the efficiency and success rates of drug development </w:t>
      </w:r>
      <w:r w:rsidRPr="00230142">
        <w:rPr>
          <w:rFonts w:ascii="Times New Roman" w:hAnsi="Times New Roman" w:cs="Times New Roman"/>
          <w:sz w:val="24"/>
          <w:szCs w:val="24"/>
        </w:rPr>
        <w:lastRenderedPageBreak/>
        <w:t>endeavors. In essence, these findings collectively underscore the promisi</w:t>
      </w:r>
      <w:r w:rsidR="001D5507" w:rsidRPr="00230142">
        <w:rPr>
          <w:rFonts w:ascii="Times New Roman" w:hAnsi="Times New Roman" w:cs="Times New Roman"/>
          <w:sz w:val="24"/>
          <w:szCs w:val="24"/>
        </w:rPr>
        <w:t>ng potential of these designed compounds</w:t>
      </w:r>
      <w:r w:rsidRPr="00230142">
        <w:rPr>
          <w:rFonts w:ascii="Times New Roman" w:hAnsi="Times New Roman" w:cs="Times New Roman"/>
          <w:sz w:val="24"/>
          <w:szCs w:val="24"/>
        </w:rPr>
        <w:t xml:space="preserve"> as viable candidates for further drug design and development.</w:t>
      </w:r>
    </w:p>
    <w:p w:rsidR="00D451B6" w:rsidRDefault="00D451B6" w:rsidP="00526908">
      <w:pPr>
        <w:jc w:val="both"/>
        <w:rPr>
          <w:rFonts w:ascii="Times New Roman" w:hAnsi="Times New Roman" w:cs="Times New Roman"/>
          <w:sz w:val="24"/>
          <w:szCs w:val="24"/>
        </w:rPr>
      </w:pPr>
    </w:p>
    <w:p w:rsidR="00D451B6" w:rsidRDefault="00D451B6" w:rsidP="00526908">
      <w:pPr>
        <w:jc w:val="both"/>
        <w:rPr>
          <w:rFonts w:ascii="Times New Roman" w:hAnsi="Times New Roman" w:cs="Times New Roman"/>
          <w:sz w:val="24"/>
          <w:szCs w:val="24"/>
        </w:rPr>
      </w:pPr>
    </w:p>
    <w:p w:rsidR="00D451B6" w:rsidRDefault="00D451B6" w:rsidP="00526908">
      <w:pPr>
        <w:jc w:val="both"/>
        <w:rPr>
          <w:rFonts w:ascii="Times New Roman" w:hAnsi="Times New Roman" w:cs="Times New Roman"/>
          <w:sz w:val="24"/>
          <w:szCs w:val="24"/>
        </w:rPr>
      </w:pPr>
    </w:p>
    <w:p w:rsidR="00D451B6" w:rsidRPr="00230142" w:rsidRDefault="00D451B6" w:rsidP="00526908">
      <w:pPr>
        <w:jc w:val="both"/>
        <w:rPr>
          <w:rFonts w:ascii="Times New Roman" w:hAnsi="Times New Roman" w:cs="Times New Roman"/>
          <w:sz w:val="24"/>
          <w:szCs w:val="24"/>
        </w:rPr>
      </w:pPr>
    </w:p>
    <w:p w:rsidR="00BA09F3" w:rsidRPr="00230142" w:rsidRDefault="00BA09F3" w:rsidP="00526908">
      <w:pPr>
        <w:jc w:val="both"/>
        <w:rPr>
          <w:rFonts w:ascii="Times New Roman" w:hAnsi="Times New Roman" w:cs="Times New Roman"/>
          <w:sz w:val="24"/>
          <w:szCs w:val="24"/>
        </w:rPr>
      </w:pPr>
    </w:p>
    <w:p w:rsidR="00BA09F3" w:rsidRPr="00230142" w:rsidRDefault="00BA09F3" w:rsidP="00526908">
      <w:pPr>
        <w:jc w:val="both"/>
        <w:rPr>
          <w:rFonts w:ascii="Times New Roman" w:hAnsi="Times New Roman" w:cs="Times New Roman"/>
          <w:sz w:val="32"/>
          <w:szCs w:val="32"/>
        </w:rPr>
      </w:pPr>
    </w:p>
    <w:p w:rsidR="00BA09F3" w:rsidRPr="00861651" w:rsidRDefault="00BA09F3" w:rsidP="00526908">
      <w:pPr>
        <w:jc w:val="both"/>
        <w:rPr>
          <w:rFonts w:ascii="Times New Roman" w:hAnsi="Times New Roman" w:cs="Times New Roman"/>
          <w:sz w:val="28"/>
          <w:szCs w:val="28"/>
        </w:rPr>
      </w:pPr>
    </w:p>
    <w:tbl>
      <w:tblPr>
        <w:tblStyle w:val="TableGrid"/>
        <w:tblW w:w="9707" w:type="dxa"/>
        <w:tblLook w:val="0000" w:firstRow="0" w:lastRow="0" w:firstColumn="0" w:lastColumn="0" w:noHBand="0" w:noVBand="0"/>
      </w:tblPr>
      <w:tblGrid>
        <w:gridCol w:w="3513"/>
        <w:gridCol w:w="1406"/>
        <w:gridCol w:w="2394"/>
        <w:gridCol w:w="2394"/>
      </w:tblGrid>
      <w:tr w:rsidR="00D302FA" w:rsidTr="00D302FA">
        <w:trPr>
          <w:trHeight w:val="456"/>
        </w:trPr>
        <w:tc>
          <w:tcPr>
            <w:tcW w:w="9707" w:type="dxa"/>
            <w:gridSpan w:val="4"/>
          </w:tcPr>
          <w:p w:rsidR="00D302FA" w:rsidRDefault="00D302FA" w:rsidP="00D302FA">
            <w:pPr>
              <w:jc w:val="center"/>
              <w:rPr>
                <w:rFonts w:ascii="Times New Roman" w:hAnsi="Times New Roman" w:cs="Times New Roman"/>
                <w:b/>
                <w:sz w:val="24"/>
                <w:szCs w:val="24"/>
              </w:rPr>
            </w:pPr>
            <w:r w:rsidRPr="00861651">
              <w:rPr>
                <w:rFonts w:ascii="Times New Roman" w:hAnsi="Times New Roman" w:cs="Times New Roman"/>
                <w:sz w:val="28"/>
                <w:szCs w:val="28"/>
              </w:rPr>
              <w:t>Table2:</w:t>
            </w:r>
            <w:r>
              <w:rPr>
                <w:rFonts w:ascii="Times New Roman" w:hAnsi="Times New Roman" w:cs="Times New Roman"/>
                <w:sz w:val="28"/>
                <w:szCs w:val="28"/>
              </w:rPr>
              <w:t xml:space="preserve"> Druglikeness Parameter Versus Compound</w:t>
            </w:r>
          </w:p>
        </w:tc>
      </w:tr>
      <w:tr w:rsidR="004F2437" w:rsidRPr="00230142" w:rsidTr="00D302FA">
        <w:tblPrEx>
          <w:tblLook w:val="04A0" w:firstRow="1" w:lastRow="0" w:firstColumn="1" w:lastColumn="0" w:noHBand="0" w:noVBand="1"/>
        </w:tblPrEx>
        <w:trPr>
          <w:trHeight w:val="704"/>
        </w:trPr>
        <w:tc>
          <w:tcPr>
            <w:tcW w:w="3513" w:type="dxa"/>
            <w:vMerge w:val="restart"/>
          </w:tcPr>
          <w:p w:rsidR="009F2EA4" w:rsidRPr="00230142" w:rsidRDefault="004F2437" w:rsidP="00D302FA">
            <w:pPr>
              <w:jc w:val="center"/>
              <w:rPr>
                <w:rFonts w:ascii="Times New Roman" w:hAnsi="Times New Roman" w:cs="Times New Roman"/>
                <w:b/>
                <w:sz w:val="24"/>
                <w:szCs w:val="24"/>
              </w:rPr>
            </w:pPr>
            <w:r w:rsidRPr="00230142">
              <w:rPr>
                <w:rFonts w:ascii="Times New Roman" w:hAnsi="Times New Roman" w:cs="Times New Roman"/>
                <w:b/>
                <w:sz w:val="24"/>
                <w:szCs w:val="24"/>
              </w:rPr>
              <w:t xml:space="preserve"> </w:t>
            </w:r>
            <w:r w:rsidR="009F2EA4" w:rsidRPr="00230142">
              <w:rPr>
                <w:rFonts w:ascii="Times New Roman" w:hAnsi="Times New Roman" w:cs="Times New Roman"/>
                <w:b/>
                <w:sz w:val="24"/>
                <w:szCs w:val="24"/>
              </w:rPr>
              <w:t xml:space="preserve"> Drug likeness property Parameter</w:t>
            </w:r>
          </w:p>
        </w:tc>
        <w:tc>
          <w:tcPr>
            <w:tcW w:w="6194" w:type="dxa"/>
            <w:gridSpan w:val="3"/>
            <w:shd w:val="clear" w:color="auto" w:fill="auto"/>
          </w:tcPr>
          <w:p w:rsidR="004F2437" w:rsidRPr="00230142" w:rsidRDefault="004F2437" w:rsidP="00D302FA">
            <w:pPr>
              <w:jc w:val="center"/>
              <w:rPr>
                <w:rFonts w:ascii="Times New Roman" w:hAnsi="Times New Roman" w:cs="Times New Roman"/>
                <w:b/>
                <w:sz w:val="28"/>
                <w:szCs w:val="28"/>
              </w:rPr>
            </w:pPr>
            <w:r w:rsidRPr="00230142">
              <w:rPr>
                <w:rFonts w:ascii="Times New Roman" w:hAnsi="Times New Roman" w:cs="Times New Roman"/>
                <w:b/>
                <w:color w:val="000000" w:themeColor="text1"/>
                <w:sz w:val="28"/>
                <w:szCs w:val="28"/>
              </w:rPr>
              <w:t>Compounds</w:t>
            </w:r>
          </w:p>
        </w:tc>
      </w:tr>
      <w:tr w:rsidR="009F2EA4" w:rsidRPr="00230142" w:rsidTr="00D302FA">
        <w:tblPrEx>
          <w:tblLook w:val="04A0" w:firstRow="1" w:lastRow="0" w:firstColumn="1" w:lastColumn="0" w:noHBand="0" w:noVBand="1"/>
        </w:tblPrEx>
        <w:trPr>
          <w:trHeight w:val="500"/>
        </w:trPr>
        <w:tc>
          <w:tcPr>
            <w:tcW w:w="3513" w:type="dxa"/>
            <w:vMerge/>
          </w:tcPr>
          <w:p w:rsidR="009F2EA4" w:rsidRPr="00230142" w:rsidRDefault="009F2EA4" w:rsidP="00D302FA">
            <w:pPr>
              <w:jc w:val="center"/>
              <w:rPr>
                <w:rFonts w:ascii="Times New Roman" w:hAnsi="Times New Roman" w:cs="Times New Roman"/>
                <w:b/>
                <w:sz w:val="24"/>
                <w:szCs w:val="24"/>
              </w:rPr>
            </w:pPr>
          </w:p>
        </w:tc>
        <w:tc>
          <w:tcPr>
            <w:tcW w:w="1406" w:type="dxa"/>
          </w:tcPr>
          <w:p w:rsidR="009F2EA4" w:rsidRPr="00230142" w:rsidRDefault="009F2EA4" w:rsidP="00D302FA">
            <w:pPr>
              <w:rPr>
                <w:rFonts w:ascii="Times New Roman" w:hAnsi="Times New Roman" w:cs="Times New Roman"/>
                <w:b/>
                <w:sz w:val="24"/>
                <w:szCs w:val="24"/>
              </w:rPr>
            </w:pPr>
            <w:r w:rsidRPr="00230142">
              <w:rPr>
                <w:rFonts w:ascii="Times New Roman" w:hAnsi="Times New Roman" w:cs="Times New Roman"/>
                <w:b/>
                <w:sz w:val="24"/>
                <w:szCs w:val="24"/>
              </w:rPr>
              <w:t>1</w:t>
            </w:r>
          </w:p>
        </w:tc>
        <w:tc>
          <w:tcPr>
            <w:tcW w:w="2394" w:type="dxa"/>
          </w:tcPr>
          <w:p w:rsidR="009F2EA4" w:rsidRPr="00230142" w:rsidRDefault="009F2EA4" w:rsidP="00D302FA">
            <w:pPr>
              <w:rPr>
                <w:rFonts w:ascii="Times New Roman" w:hAnsi="Times New Roman" w:cs="Times New Roman"/>
                <w:b/>
                <w:sz w:val="24"/>
                <w:szCs w:val="24"/>
              </w:rPr>
            </w:pPr>
            <w:r w:rsidRPr="00230142">
              <w:rPr>
                <w:rFonts w:ascii="Times New Roman" w:hAnsi="Times New Roman" w:cs="Times New Roman"/>
                <w:b/>
                <w:sz w:val="24"/>
                <w:szCs w:val="24"/>
              </w:rPr>
              <w:t xml:space="preserve">           2</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b/>
                <w:sz w:val="24"/>
                <w:szCs w:val="24"/>
              </w:rPr>
              <w:t>3</w:t>
            </w:r>
          </w:p>
          <w:p w:rsidR="009F2EA4" w:rsidRPr="00230142" w:rsidRDefault="009F2EA4" w:rsidP="00D302FA">
            <w:pPr>
              <w:jc w:val="center"/>
              <w:rPr>
                <w:rFonts w:ascii="Times New Roman" w:hAnsi="Times New Roman" w:cs="Times New Roman"/>
                <w:b/>
                <w:sz w:val="24"/>
                <w:szCs w:val="24"/>
              </w:rPr>
            </w:pP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M.Wt &lt;500</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186</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117</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101</w:t>
            </w:r>
          </w:p>
        </w:tc>
      </w:tr>
      <w:tr w:rsidR="009F2EA4" w:rsidRPr="00230142" w:rsidTr="00D302FA">
        <w:tblPrEx>
          <w:tblLook w:val="04A0" w:firstRow="1" w:lastRow="0" w:firstColumn="1" w:lastColumn="0" w:noHBand="0" w:noVBand="1"/>
        </w:tblPrEx>
        <w:trPr>
          <w:trHeight w:val="377"/>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HBA &lt;5</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3</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5</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4</w:t>
            </w: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HBD&lt;10</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5</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2</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2</w:t>
            </w:r>
          </w:p>
        </w:tc>
      </w:tr>
      <w:tr w:rsidR="009F2EA4" w:rsidRPr="00230142" w:rsidTr="00D302FA">
        <w:tblPrEx>
          <w:tblLook w:val="04A0" w:firstRow="1" w:lastRow="0" w:firstColumn="1" w:lastColumn="0" w:noHBand="0" w:noVBand="1"/>
        </w:tblPrEx>
        <w:trPr>
          <w:trHeight w:val="295"/>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logP &lt;5</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1.10</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0.54</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0.06</w:t>
            </w: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shd w:val="clear" w:color="auto" w:fill="FFFFFF"/>
              </w:rPr>
              <w:t>Lipinski Rule</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Yes</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Yes</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Yes</w:t>
            </w: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shd w:val="clear" w:color="auto" w:fill="FFFFFF"/>
              </w:rPr>
            </w:pPr>
            <w:r w:rsidRPr="00230142">
              <w:rPr>
                <w:rFonts w:ascii="Times New Roman" w:hAnsi="Times New Roman" w:cs="Times New Roman"/>
                <w:sz w:val="24"/>
                <w:szCs w:val="24"/>
              </w:rPr>
              <w:t>Bioavailability  score</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0.55</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0.55</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0.55</w:t>
            </w: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Veber’s Rule</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Yes</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Yes</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Yes</w:t>
            </w:r>
          </w:p>
        </w:tc>
      </w:tr>
      <w:tr w:rsidR="009F2EA4" w:rsidRPr="00230142" w:rsidTr="00D302FA">
        <w:tblPrEx>
          <w:tblLook w:val="04A0" w:firstRow="1" w:lastRow="0" w:firstColumn="1" w:lastColumn="0" w:noHBand="0" w:noVBand="1"/>
        </w:tblPrEx>
        <w:trPr>
          <w:trHeight w:val="306"/>
        </w:trPr>
        <w:tc>
          <w:tcPr>
            <w:tcW w:w="3513"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shd w:val="clear" w:color="auto" w:fill="FFFFFF"/>
              </w:rPr>
              <w:t>Synthetic accessibility</w:t>
            </w:r>
          </w:p>
        </w:tc>
        <w:tc>
          <w:tcPr>
            <w:tcW w:w="1406" w:type="dxa"/>
          </w:tcPr>
          <w:p w:rsidR="009F2EA4" w:rsidRPr="00230142" w:rsidRDefault="009F2EA4" w:rsidP="00D302FA">
            <w:pPr>
              <w:rPr>
                <w:rFonts w:ascii="Times New Roman" w:hAnsi="Times New Roman" w:cs="Times New Roman"/>
                <w:sz w:val="24"/>
                <w:szCs w:val="24"/>
              </w:rPr>
            </w:pPr>
            <w:r w:rsidRPr="00230142">
              <w:rPr>
                <w:rFonts w:ascii="Times New Roman" w:hAnsi="Times New Roman" w:cs="Times New Roman"/>
                <w:sz w:val="24"/>
                <w:szCs w:val="24"/>
              </w:rPr>
              <w:t>3.04</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3.05</w:t>
            </w:r>
          </w:p>
        </w:tc>
        <w:tc>
          <w:tcPr>
            <w:tcW w:w="2394" w:type="dxa"/>
          </w:tcPr>
          <w:p w:rsidR="009F2EA4" w:rsidRPr="00230142" w:rsidRDefault="009F2EA4" w:rsidP="00D302FA">
            <w:pPr>
              <w:jc w:val="center"/>
              <w:rPr>
                <w:rFonts w:ascii="Times New Roman" w:hAnsi="Times New Roman" w:cs="Times New Roman"/>
                <w:sz w:val="24"/>
                <w:szCs w:val="24"/>
              </w:rPr>
            </w:pPr>
            <w:r w:rsidRPr="00230142">
              <w:rPr>
                <w:rFonts w:ascii="Times New Roman" w:hAnsi="Times New Roman" w:cs="Times New Roman"/>
                <w:sz w:val="24"/>
                <w:szCs w:val="24"/>
              </w:rPr>
              <w:t>2.56</w:t>
            </w:r>
          </w:p>
        </w:tc>
      </w:tr>
    </w:tbl>
    <w:p w:rsidR="00BA09F3" w:rsidRPr="00230142" w:rsidRDefault="00BA09F3" w:rsidP="00526908">
      <w:pPr>
        <w:jc w:val="both"/>
        <w:rPr>
          <w:rFonts w:ascii="Times New Roman" w:hAnsi="Times New Roman" w:cs="Times New Roman"/>
          <w:sz w:val="32"/>
          <w:szCs w:val="32"/>
        </w:rPr>
      </w:pPr>
    </w:p>
    <w:p w:rsidR="00526908" w:rsidRPr="00230142" w:rsidRDefault="00526908" w:rsidP="00635CE1">
      <w:pPr>
        <w:jc w:val="both"/>
        <w:rPr>
          <w:rFonts w:ascii="Times New Roman" w:hAnsi="Times New Roman" w:cs="Times New Roman"/>
          <w:sz w:val="32"/>
          <w:szCs w:val="32"/>
        </w:rPr>
      </w:pPr>
    </w:p>
    <w:p w:rsidR="00526908" w:rsidRPr="000C6B96" w:rsidRDefault="008850E9" w:rsidP="00635CE1">
      <w:pPr>
        <w:jc w:val="both"/>
        <w:rPr>
          <w:rFonts w:ascii="Times New Roman" w:hAnsi="Times New Roman" w:cs="Times New Roman"/>
          <w:b/>
          <w:color w:val="000000" w:themeColor="text1"/>
          <w:sz w:val="32"/>
          <w:szCs w:val="32"/>
        </w:rPr>
      </w:pPr>
      <w:r w:rsidRPr="000C6B96">
        <w:rPr>
          <w:rFonts w:ascii="Times New Roman" w:hAnsi="Times New Roman" w:cs="Times New Roman"/>
          <w:b/>
          <w:color w:val="000000" w:themeColor="text1"/>
          <w:sz w:val="32"/>
          <w:szCs w:val="32"/>
        </w:rPr>
        <w:t>3.1</w:t>
      </w:r>
      <w:r w:rsidR="000C6B96" w:rsidRPr="000C6B96">
        <w:rPr>
          <w:rFonts w:ascii="Times New Roman" w:hAnsi="Times New Roman" w:cs="Times New Roman"/>
          <w:b/>
          <w:color w:val="000000" w:themeColor="text1"/>
          <w:sz w:val="32"/>
          <w:szCs w:val="32"/>
        </w:rPr>
        <w:t>Moleculardocking Analysis</w:t>
      </w:r>
    </w:p>
    <w:p w:rsidR="00104F3D" w:rsidRPr="007E537C" w:rsidRDefault="007E537C" w:rsidP="00635CE1">
      <w:pPr>
        <w:jc w:val="both"/>
        <w:rPr>
          <w:rFonts w:ascii="Times New Roman" w:hAnsi="Times New Roman" w:cs="Times New Roman"/>
          <w:sz w:val="24"/>
          <w:szCs w:val="24"/>
          <w:highlight w:val="yellow"/>
        </w:rPr>
      </w:pPr>
      <w:r w:rsidRPr="007E537C">
        <w:rPr>
          <w:rFonts w:ascii="Times New Roman" w:hAnsi="Times New Roman" w:cs="Times New Roman"/>
          <w:sz w:val="24"/>
          <w:szCs w:val="24"/>
        </w:rPr>
        <w:t xml:space="preserve">In the process of de novo drug design, an assessment was conducted on a total of 420 molecules. Subsequently, the software generated results for the top 20 molecules. From this subset, focused attention was directed </w:t>
      </w:r>
      <w:r w:rsidR="0048358D">
        <w:rPr>
          <w:rFonts w:ascii="Times New Roman" w:hAnsi="Times New Roman" w:cs="Times New Roman"/>
          <w:sz w:val="24"/>
          <w:szCs w:val="24"/>
        </w:rPr>
        <w:t>toward</w:t>
      </w:r>
      <w:r w:rsidRPr="007E537C">
        <w:rPr>
          <w:rFonts w:ascii="Times New Roman" w:hAnsi="Times New Roman" w:cs="Times New Roman"/>
          <w:sz w:val="24"/>
          <w:szCs w:val="24"/>
        </w:rPr>
        <w:t xml:space="preserve"> the investigation of the top 3 molecules, which were selected based on their highest scores.</w:t>
      </w:r>
      <w:r w:rsidR="0048358D">
        <w:rPr>
          <w:rFonts w:ascii="Times New Roman" w:hAnsi="Times New Roman" w:cs="Times New Roman"/>
          <w:sz w:val="24"/>
          <w:szCs w:val="24"/>
        </w:rPr>
        <w:t xml:space="preserve"> </w:t>
      </w:r>
      <w:r w:rsidR="009A7656" w:rsidRPr="007E537C">
        <w:rPr>
          <w:rFonts w:ascii="Times New Roman" w:hAnsi="Times New Roman" w:cs="Times New Roman"/>
          <w:sz w:val="24"/>
          <w:szCs w:val="24"/>
        </w:rPr>
        <w:t>Compound 1 exhibited the most elevated score of 42.32, while compound 2 achieved a score of 38.61, and compound 3 obtained a score of 35.65. These results establish their superior performance compared to the other compounds within the designed molecule set. Furthermore, among all the designed molecules, compounds 1, 2, and 3 maintained their leading positions.</w:t>
      </w:r>
    </w:p>
    <w:p w:rsidR="00230142" w:rsidRPr="008850E9" w:rsidRDefault="00230142" w:rsidP="00230142">
      <w:pPr>
        <w:jc w:val="both"/>
        <w:rPr>
          <w:rFonts w:ascii="Times New Roman" w:hAnsi="Times New Roman" w:cs="Times New Roman"/>
          <w:sz w:val="24"/>
          <w:szCs w:val="24"/>
        </w:rPr>
      </w:pPr>
      <w:r w:rsidRPr="008850E9">
        <w:rPr>
          <w:rFonts w:ascii="Times New Roman" w:hAnsi="Times New Roman" w:cs="Times New Roman"/>
          <w:sz w:val="24"/>
          <w:szCs w:val="24"/>
        </w:rPr>
        <w:lastRenderedPageBreak/>
        <w:t>The docking results</w:t>
      </w:r>
      <w:r w:rsidR="00741A2F" w:rsidRPr="008850E9">
        <w:rPr>
          <w:rFonts w:ascii="Times New Roman" w:hAnsi="Times New Roman" w:cs="Times New Roman"/>
          <w:sz w:val="24"/>
          <w:szCs w:val="24"/>
        </w:rPr>
        <w:t xml:space="preserve"> obtained from</w:t>
      </w:r>
      <w:r w:rsidR="00741A2F" w:rsidRPr="008850E9">
        <w:t xml:space="preserve"> </w:t>
      </w:r>
      <w:r w:rsidR="00741A2F" w:rsidRPr="008850E9">
        <w:rPr>
          <w:rFonts w:ascii="Times New Roman" w:hAnsi="Times New Roman" w:cs="Times New Roman"/>
          <w:sz w:val="24"/>
          <w:szCs w:val="24"/>
        </w:rPr>
        <w:t xml:space="preserve">e-LEA3D output </w:t>
      </w:r>
      <w:r w:rsidRPr="008850E9">
        <w:rPr>
          <w:rFonts w:ascii="Times New Roman" w:hAnsi="Times New Roman" w:cs="Times New Roman"/>
          <w:sz w:val="24"/>
          <w:szCs w:val="24"/>
        </w:rPr>
        <w:t>of compounds (1-3) with the target prote</w:t>
      </w:r>
      <w:r w:rsidR="00D302FA">
        <w:rPr>
          <w:rFonts w:ascii="Times New Roman" w:hAnsi="Times New Roman" w:cs="Times New Roman"/>
          <w:sz w:val="24"/>
          <w:szCs w:val="24"/>
        </w:rPr>
        <w:t>in 6HCX are summarized in Table</w:t>
      </w:r>
      <w:r w:rsidRPr="008850E9">
        <w:rPr>
          <w:rFonts w:ascii="Times New Roman" w:hAnsi="Times New Roman" w:cs="Times New Roman"/>
          <w:sz w:val="24"/>
          <w:szCs w:val="24"/>
        </w:rPr>
        <w:t xml:space="preserve">3. The 2D and 3D structures of the docked compound (1-3) are illustrated in Figure </w:t>
      </w:r>
      <w:r w:rsidR="009F075D">
        <w:rPr>
          <w:rFonts w:ascii="Times New Roman" w:hAnsi="Times New Roman" w:cs="Times New Roman"/>
          <w:sz w:val="24"/>
          <w:szCs w:val="24"/>
        </w:rPr>
        <w:t>3</w:t>
      </w:r>
      <w:r w:rsidRPr="008850E9">
        <w:rPr>
          <w:rFonts w:ascii="Times New Roman" w:hAnsi="Times New Roman" w:cs="Times New Roman"/>
          <w:sz w:val="24"/>
          <w:szCs w:val="24"/>
        </w:rPr>
        <w:t>(a-c) and Figure</w:t>
      </w:r>
      <w:r w:rsidR="009F075D">
        <w:rPr>
          <w:rFonts w:ascii="Times New Roman" w:hAnsi="Times New Roman" w:cs="Times New Roman"/>
          <w:sz w:val="24"/>
          <w:szCs w:val="24"/>
        </w:rPr>
        <w:t xml:space="preserve"> 4</w:t>
      </w:r>
      <w:r w:rsidRPr="008850E9">
        <w:rPr>
          <w:rFonts w:ascii="Times New Roman" w:hAnsi="Times New Roman" w:cs="Times New Roman"/>
          <w:sz w:val="24"/>
          <w:szCs w:val="24"/>
        </w:rPr>
        <w:t xml:space="preserve"> (a-c) respectively.</w:t>
      </w:r>
    </w:p>
    <w:p w:rsidR="009A7656" w:rsidRPr="008850E9" w:rsidRDefault="009A7656" w:rsidP="00230142">
      <w:pPr>
        <w:jc w:val="both"/>
        <w:rPr>
          <w:rFonts w:ascii="Times New Roman" w:hAnsi="Times New Roman" w:cs="Times New Roman"/>
          <w:sz w:val="24"/>
          <w:szCs w:val="24"/>
        </w:rPr>
      </w:pPr>
      <w:r w:rsidRPr="008850E9">
        <w:rPr>
          <w:rFonts w:ascii="Times New Roman" w:hAnsi="Times New Roman" w:cs="Times New Roman"/>
          <w:sz w:val="24"/>
          <w:szCs w:val="24"/>
        </w:rPr>
        <w:t>Additionally, it is of significance that compound 1 exhibited interactions involving 5 hydrogen bonds, compound 2 displayed 6 hydrogen bonds, and compound 3 demonstrated 4 hydrogen bonds. These observations further underline the substantial affinity between these compounds and the protein complex.</w:t>
      </w:r>
    </w:p>
    <w:p w:rsidR="00861651" w:rsidRDefault="0048358D" w:rsidP="00230142">
      <w:pPr>
        <w:jc w:val="both"/>
        <w:rPr>
          <w:rFonts w:ascii="Times New Roman" w:hAnsi="Times New Roman" w:cs="Times New Roman"/>
          <w:sz w:val="24"/>
          <w:szCs w:val="24"/>
        </w:rPr>
      </w:pPr>
      <w:r w:rsidRPr="008850E9">
        <w:rPr>
          <w:rFonts w:ascii="Times New Roman" w:hAnsi="Times New Roman" w:cs="Times New Roman"/>
          <w:sz w:val="24"/>
          <w:szCs w:val="24"/>
        </w:rPr>
        <w:t>This high score</w:t>
      </w:r>
      <w:r w:rsidR="00230142" w:rsidRPr="008850E9">
        <w:rPr>
          <w:rFonts w:ascii="Times New Roman" w:hAnsi="Times New Roman" w:cs="Times New Roman"/>
          <w:sz w:val="24"/>
          <w:szCs w:val="24"/>
        </w:rPr>
        <w:t xml:space="preserve"> is a posit</w:t>
      </w:r>
      <w:r w:rsidR="000B631A">
        <w:rPr>
          <w:rFonts w:ascii="Times New Roman" w:hAnsi="Times New Roman" w:cs="Times New Roman"/>
          <w:sz w:val="24"/>
          <w:szCs w:val="24"/>
        </w:rPr>
        <w:t>ive indicator of the strong connection</w:t>
      </w:r>
      <w:r w:rsidRPr="008850E9">
        <w:rPr>
          <w:rFonts w:ascii="Times New Roman" w:hAnsi="Times New Roman" w:cs="Times New Roman"/>
          <w:sz w:val="24"/>
          <w:szCs w:val="24"/>
        </w:rPr>
        <w:t xml:space="preserve"> between the</w:t>
      </w:r>
      <w:r w:rsidR="000B631A" w:rsidRPr="000B631A">
        <w:rPr>
          <w:rFonts w:ascii="Times New Roman" w:hAnsi="Times New Roman" w:cs="Times New Roman"/>
          <w:sz w:val="24"/>
          <w:szCs w:val="24"/>
        </w:rPr>
        <w:t xml:space="preserve"> </w:t>
      </w:r>
      <w:r w:rsidR="000B631A" w:rsidRPr="008850E9">
        <w:rPr>
          <w:rFonts w:ascii="Times New Roman" w:hAnsi="Times New Roman" w:cs="Times New Roman"/>
          <w:sz w:val="24"/>
          <w:szCs w:val="24"/>
        </w:rPr>
        <w:t>target protein</w:t>
      </w:r>
      <w:r w:rsidRPr="008850E9">
        <w:rPr>
          <w:rFonts w:ascii="Times New Roman" w:hAnsi="Times New Roman" w:cs="Times New Roman"/>
          <w:sz w:val="24"/>
          <w:szCs w:val="24"/>
        </w:rPr>
        <w:t xml:space="preserve"> </w:t>
      </w:r>
      <w:r w:rsidR="00230142" w:rsidRPr="008850E9">
        <w:rPr>
          <w:rFonts w:ascii="Times New Roman" w:hAnsi="Times New Roman" w:cs="Times New Roman"/>
          <w:sz w:val="24"/>
          <w:szCs w:val="24"/>
        </w:rPr>
        <w:t>and</w:t>
      </w:r>
      <w:r w:rsidR="000B631A" w:rsidRPr="000B631A">
        <w:rPr>
          <w:rFonts w:ascii="Times New Roman" w:hAnsi="Times New Roman" w:cs="Times New Roman"/>
          <w:sz w:val="24"/>
          <w:szCs w:val="24"/>
        </w:rPr>
        <w:t xml:space="preserve"> </w:t>
      </w:r>
      <w:r w:rsidR="000B631A" w:rsidRPr="008850E9">
        <w:rPr>
          <w:rFonts w:ascii="Times New Roman" w:hAnsi="Times New Roman" w:cs="Times New Roman"/>
          <w:sz w:val="24"/>
          <w:szCs w:val="24"/>
        </w:rPr>
        <w:t>compound</w:t>
      </w:r>
      <w:r w:rsidR="00230142" w:rsidRPr="008850E9">
        <w:rPr>
          <w:rFonts w:ascii="Times New Roman" w:hAnsi="Times New Roman" w:cs="Times New Roman"/>
          <w:sz w:val="24"/>
          <w:szCs w:val="24"/>
        </w:rPr>
        <w:t xml:space="preserve"> the. The comprehe</w:t>
      </w:r>
      <w:r w:rsidR="00525DE8">
        <w:rPr>
          <w:rFonts w:ascii="Times New Roman" w:hAnsi="Times New Roman" w:cs="Times New Roman"/>
          <w:sz w:val="24"/>
          <w:szCs w:val="24"/>
        </w:rPr>
        <w:t xml:space="preserve">nsive details provided in Table </w:t>
      </w:r>
      <w:bookmarkStart w:id="0" w:name="_GoBack"/>
      <w:bookmarkEnd w:id="0"/>
      <w:r w:rsidR="00230142" w:rsidRPr="008850E9">
        <w:rPr>
          <w:rFonts w:ascii="Times New Roman" w:hAnsi="Times New Roman" w:cs="Times New Roman"/>
          <w:sz w:val="24"/>
          <w:szCs w:val="24"/>
        </w:rPr>
        <w:t>3 shed light on the distinct binding chara</w:t>
      </w:r>
      <w:r w:rsidRPr="008850E9">
        <w:rPr>
          <w:rFonts w:ascii="Times New Roman" w:hAnsi="Times New Roman" w:cs="Times New Roman"/>
          <w:sz w:val="24"/>
          <w:szCs w:val="24"/>
        </w:rPr>
        <w:t>cteristics of these compounds</w:t>
      </w:r>
      <w:r w:rsidR="00230142" w:rsidRPr="008850E9">
        <w:rPr>
          <w:rFonts w:ascii="Times New Roman" w:hAnsi="Times New Roman" w:cs="Times New Roman"/>
          <w:sz w:val="24"/>
          <w:szCs w:val="24"/>
        </w:rPr>
        <w:t xml:space="preserve"> and their potential as promising candidates for further exploration</w:t>
      </w:r>
      <w:r w:rsidR="008C6B39">
        <w:rPr>
          <w:rFonts w:ascii="Times New Roman" w:hAnsi="Times New Roman" w:cs="Times New Roman"/>
          <w:sz w:val="24"/>
          <w:szCs w:val="24"/>
        </w:rPr>
        <w:t xml:space="preserve"> in protein-ligand interactions</w:t>
      </w:r>
    </w:p>
    <w:p w:rsidR="00861651" w:rsidRDefault="00861651" w:rsidP="00230142">
      <w:pPr>
        <w:jc w:val="both"/>
        <w:rPr>
          <w:rFonts w:ascii="Times New Roman" w:hAnsi="Times New Roman" w:cs="Times New Roman"/>
          <w:sz w:val="24"/>
          <w:szCs w:val="24"/>
        </w:rPr>
      </w:pPr>
    </w:p>
    <w:tbl>
      <w:tblPr>
        <w:tblStyle w:val="TableGrid1"/>
        <w:tblW w:w="9625" w:type="dxa"/>
        <w:tblLayout w:type="fixed"/>
        <w:tblLook w:val="04A0" w:firstRow="1" w:lastRow="0" w:firstColumn="1" w:lastColumn="0" w:noHBand="0" w:noVBand="1"/>
      </w:tblPr>
      <w:tblGrid>
        <w:gridCol w:w="985"/>
        <w:gridCol w:w="1530"/>
        <w:gridCol w:w="2610"/>
        <w:gridCol w:w="1380"/>
        <w:gridCol w:w="1590"/>
        <w:gridCol w:w="1530"/>
      </w:tblGrid>
      <w:tr w:rsidR="00512EED" w:rsidRPr="00861651" w:rsidTr="000A3C10">
        <w:trPr>
          <w:trHeight w:val="404"/>
        </w:trPr>
        <w:tc>
          <w:tcPr>
            <w:tcW w:w="9625" w:type="dxa"/>
            <w:gridSpan w:val="6"/>
          </w:tcPr>
          <w:p w:rsidR="00512EED" w:rsidRDefault="00512EED" w:rsidP="00861651">
            <w:pPr>
              <w:jc w:val="both"/>
              <w:rPr>
                <w:rFonts w:ascii="Times New Roman" w:hAnsi="Times New Roman" w:cs="Times New Roman"/>
                <w:b/>
                <w:sz w:val="24"/>
                <w:szCs w:val="24"/>
              </w:rPr>
            </w:pPr>
            <w:r>
              <w:rPr>
                <w:rFonts w:ascii="Times New Roman" w:hAnsi="Times New Roman" w:cs="Times New Roman"/>
                <w:sz w:val="24"/>
                <w:szCs w:val="24"/>
              </w:rPr>
              <w:t xml:space="preserve">Table 3: </w:t>
            </w:r>
            <w:r>
              <w:rPr>
                <w:rFonts w:ascii="Times New Roman" w:hAnsi="Times New Roman" w:cs="Times New Roman"/>
                <w:b/>
                <w:sz w:val="24"/>
                <w:szCs w:val="24"/>
              </w:rPr>
              <w:t>2D interaction of 6HCX and Compounds (1-3)</w:t>
            </w:r>
          </w:p>
        </w:tc>
      </w:tr>
      <w:tr w:rsidR="00861651" w:rsidRPr="00861651" w:rsidTr="00D451B6">
        <w:trPr>
          <w:trHeight w:val="1331"/>
        </w:trPr>
        <w:tc>
          <w:tcPr>
            <w:tcW w:w="985" w:type="dxa"/>
          </w:tcPr>
          <w:p w:rsidR="00861651" w:rsidRPr="00861651" w:rsidRDefault="00861651" w:rsidP="00861651">
            <w:pPr>
              <w:jc w:val="both"/>
              <w:rPr>
                <w:rFonts w:ascii="Times New Roman" w:hAnsi="Times New Roman" w:cs="Times New Roman"/>
                <w:b/>
                <w:sz w:val="24"/>
                <w:szCs w:val="24"/>
              </w:rPr>
            </w:pPr>
            <w:r w:rsidRPr="00861651">
              <w:rPr>
                <w:rFonts w:ascii="Times New Roman" w:hAnsi="Times New Roman" w:cs="Times New Roman"/>
                <w:b/>
                <w:sz w:val="24"/>
                <w:szCs w:val="24"/>
              </w:rPr>
              <w:t>Target Protein       (PDB ID)</w:t>
            </w:r>
          </w:p>
        </w:tc>
        <w:tc>
          <w:tcPr>
            <w:tcW w:w="1530" w:type="dxa"/>
          </w:tcPr>
          <w:p w:rsidR="00861651" w:rsidRPr="00861651" w:rsidRDefault="005B5876" w:rsidP="00861651">
            <w:pPr>
              <w:rPr>
                <w:rFonts w:ascii="Times New Roman" w:hAnsi="Times New Roman" w:cs="Times New Roman"/>
                <w:b/>
                <w:sz w:val="24"/>
                <w:szCs w:val="24"/>
              </w:rPr>
            </w:pPr>
            <w:r>
              <w:rPr>
                <w:rFonts w:ascii="Times New Roman" w:hAnsi="Times New Roman" w:cs="Times New Roman"/>
                <w:b/>
                <w:sz w:val="24"/>
                <w:szCs w:val="24"/>
              </w:rPr>
              <w:t>Generated</w:t>
            </w:r>
            <w:r w:rsidR="00861651">
              <w:rPr>
                <w:rFonts w:ascii="Times New Roman" w:hAnsi="Times New Roman" w:cs="Times New Roman"/>
                <w:b/>
                <w:sz w:val="24"/>
                <w:szCs w:val="24"/>
              </w:rPr>
              <w:t xml:space="preserve"> Compound</w:t>
            </w:r>
          </w:p>
        </w:tc>
        <w:tc>
          <w:tcPr>
            <w:tcW w:w="2610" w:type="dxa"/>
          </w:tcPr>
          <w:p w:rsidR="00861651" w:rsidRPr="00861651" w:rsidRDefault="00861651" w:rsidP="00861651">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861651">
              <w:rPr>
                <w:rFonts w:ascii="Times New Roman" w:hAnsi="Times New Roman" w:cs="Times New Roman"/>
                <w:b/>
                <w:sz w:val="24"/>
                <w:szCs w:val="24"/>
              </w:rPr>
              <w:t>Interacting amino acid at the active site</w:t>
            </w:r>
          </w:p>
        </w:tc>
        <w:tc>
          <w:tcPr>
            <w:tcW w:w="1380" w:type="dxa"/>
          </w:tcPr>
          <w:p w:rsidR="00861651" w:rsidRPr="00861651" w:rsidRDefault="00861651" w:rsidP="00861651">
            <w:pPr>
              <w:jc w:val="both"/>
              <w:rPr>
                <w:rFonts w:ascii="Times New Roman" w:hAnsi="Times New Roman" w:cs="Times New Roman"/>
                <w:b/>
                <w:sz w:val="24"/>
                <w:szCs w:val="24"/>
              </w:rPr>
            </w:pPr>
            <w:r w:rsidRPr="00861651">
              <w:rPr>
                <w:rFonts w:ascii="Times New Roman" w:hAnsi="Times New Roman" w:cs="Times New Roman"/>
                <w:b/>
                <w:sz w:val="24"/>
                <w:szCs w:val="24"/>
              </w:rPr>
              <w:t>Interaction type</w:t>
            </w:r>
          </w:p>
        </w:tc>
        <w:tc>
          <w:tcPr>
            <w:tcW w:w="1590" w:type="dxa"/>
          </w:tcPr>
          <w:p w:rsidR="00861651" w:rsidRPr="00861651" w:rsidRDefault="00861651" w:rsidP="00861651">
            <w:pPr>
              <w:rPr>
                <w:rFonts w:ascii="Times New Roman" w:hAnsi="Times New Roman" w:cs="Times New Roman"/>
                <w:b/>
                <w:sz w:val="24"/>
                <w:szCs w:val="24"/>
              </w:rPr>
            </w:pPr>
            <w:r w:rsidRPr="00861651">
              <w:rPr>
                <w:rFonts w:ascii="Times New Roman" w:hAnsi="Times New Roman" w:cs="Times New Roman"/>
                <w:b/>
                <w:sz w:val="24"/>
                <w:szCs w:val="24"/>
              </w:rPr>
              <w:t>H-bond</w:t>
            </w:r>
          </w:p>
          <w:p w:rsidR="00861651" w:rsidRPr="00861651" w:rsidRDefault="00861651" w:rsidP="00861651">
            <w:pPr>
              <w:jc w:val="both"/>
              <w:rPr>
                <w:rFonts w:ascii="Times New Roman" w:hAnsi="Times New Roman" w:cs="Times New Roman"/>
                <w:b/>
                <w:sz w:val="24"/>
                <w:szCs w:val="24"/>
              </w:rPr>
            </w:pPr>
          </w:p>
        </w:tc>
        <w:tc>
          <w:tcPr>
            <w:tcW w:w="1530" w:type="dxa"/>
          </w:tcPr>
          <w:p w:rsidR="00861651" w:rsidRPr="00861651" w:rsidRDefault="00861651" w:rsidP="00861651">
            <w:pPr>
              <w:jc w:val="both"/>
              <w:rPr>
                <w:rFonts w:ascii="Times New Roman" w:hAnsi="Times New Roman" w:cs="Times New Roman"/>
                <w:b/>
                <w:sz w:val="24"/>
                <w:szCs w:val="24"/>
              </w:rPr>
            </w:pPr>
            <w:r>
              <w:rPr>
                <w:rFonts w:ascii="Times New Roman" w:hAnsi="Times New Roman" w:cs="Times New Roman"/>
                <w:b/>
                <w:sz w:val="24"/>
                <w:szCs w:val="24"/>
              </w:rPr>
              <w:t>Score</w:t>
            </w:r>
          </w:p>
        </w:tc>
      </w:tr>
      <w:tr w:rsidR="00861651" w:rsidRPr="00861651" w:rsidTr="00D451B6">
        <w:trPr>
          <w:trHeight w:val="1223"/>
        </w:trPr>
        <w:tc>
          <w:tcPr>
            <w:tcW w:w="985" w:type="dxa"/>
            <w:vMerge w:val="restart"/>
          </w:tcPr>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p>
          <w:p w:rsidR="00861651" w:rsidRPr="00861651" w:rsidRDefault="00861651" w:rsidP="00861651">
            <w:pPr>
              <w:jc w:val="both"/>
              <w:rPr>
                <w:rFonts w:ascii="Times New Roman" w:hAnsi="Times New Roman" w:cs="Times New Roman"/>
                <w:b/>
                <w:sz w:val="24"/>
                <w:szCs w:val="24"/>
              </w:rPr>
            </w:pPr>
            <w:r>
              <w:rPr>
                <w:rFonts w:ascii="Times New Roman" w:hAnsi="Times New Roman" w:cs="Times New Roman"/>
                <w:b/>
                <w:sz w:val="24"/>
                <w:szCs w:val="24"/>
              </w:rPr>
              <w:t>6HCX</w:t>
            </w:r>
          </w:p>
        </w:tc>
        <w:tc>
          <w:tcPr>
            <w:tcW w:w="1530" w:type="dxa"/>
          </w:tcPr>
          <w:p w:rsidR="00861651" w:rsidRPr="00861651" w:rsidRDefault="00861651" w:rsidP="00861651">
            <w:pPr>
              <w:rPr>
                <w:rFonts w:ascii="Times New Roman" w:hAnsi="Times New Roman" w:cs="Times New Roman"/>
                <w:b/>
                <w:sz w:val="24"/>
                <w:szCs w:val="24"/>
              </w:rPr>
            </w:pPr>
            <w:r>
              <w:rPr>
                <w:rFonts w:ascii="Times New Roman" w:hAnsi="Times New Roman" w:cs="Times New Roman"/>
                <w:b/>
                <w:sz w:val="24"/>
                <w:szCs w:val="24"/>
              </w:rPr>
              <w:t>1</w:t>
            </w:r>
          </w:p>
        </w:tc>
        <w:tc>
          <w:tcPr>
            <w:tcW w:w="2610" w:type="dxa"/>
          </w:tcPr>
          <w:p w:rsidR="00861651" w:rsidRPr="00861651" w:rsidRDefault="00861651" w:rsidP="005B5876">
            <w:pPr>
              <w:rPr>
                <w:rFonts w:ascii="Times New Roman" w:hAnsi="Times New Roman" w:cs="Times New Roman"/>
                <w:sz w:val="24"/>
                <w:szCs w:val="24"/>
              </w:rPr>
            </w:pPr>
            <w:r>
              <w:rPr>
                <w:rFonts w:ascii="Times New Roman" w:hAnsi="Times New Roman" w:cs="Times New Roman"/>
                <w:sz w:val="24"/>
                <w:szCs w:val="24"/>
              </w:rPr>
              <w:t>GLU120,</w:t>
            </w:r>
            <w:r w:rsidR="005B5876">
              <w:rPr>
                <w:rFonts w:ascii="Times New Roman" w:hAnsi="Times New Roman" w:cs="Times New Roman"/>
                <w:sz w:val="24"/>
                <w:szCs w:val="24"/>
              </w:rPr>
              <w:t>ASP152,THR227,</w:t>
            </w:r>
            <w:r>
              <w:rPr>
                <w:rFonts w:ascii="Times New Roman" w:hAnsi="Times New Roman" w:cs="Times New Roman"/>
                <w:sz w:val="24"/>
                <w:szCs w:val="24"/>
              </w:rPr>
              <w:t>GLU</w:t>
            </w:r>
            <w:r w:rsidR="005B5876">
              <w:rPr>
                <w:rFonts w:ascii="Times New Roman" w:hAnsi="Times New Roman" w:cs="Times New Roman"/>
                <w:sz w:val="24"/>
                <w:szCs w:val="24"/>
              </w:rPr>
              <w:t>229,GLU279,TYR406</w:t>
            </w:r>
          </w:p>
        </w:tc>
        <w:tc>
          <w:tcPr>
            <w:tcW w:w="1380" w:type="dxa"/>
          </w:tcPr>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H-bond </w:t>
            </w:r>
          </w:p>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Vander Waals </w:t>
            </w:r>
          </w:p>
          <w:p w:rsidR="00861651" w:rsidRPr="00861651" w:rsidRDefault="005B5876" w:rsidP="00861651">
            <w:pPr>
              <w:rPr>
                <w:rFonts w:ascii="Times New Roman" w:hAnsi="Times New Roman" w:cs="Times New Roman"/>
                <w:sz w:val="24"/>
                <w:szCs w:val="24"/>
              </w:rPr>
            </w:pPr>
            <w:r>
              <w:rPr>
                <w:rFonts w:ascii="Times New Roman" w:hAnsi="Times New Roman" w:cs="Times New Roman"/>
                <w:sz w:val="24"/>
                <w:szCs w:val="24"/>
              </w:rPr>
              <w:t>Pi-anion</w:t>
            </w:r>
          </w:p>
        </w:tc>
        <w:tc>
          <w:tcPr>
            <w:tcW w:w="1590" w:type="dxa"/>
          </w:tcPr>
          <w:p w:rsidR="00861651" w:rsidRPr="00861651" w:rsidRDefault="005B5876" w:rsidP="00861651">
            <w:pPr>
              <w:rPr>
                <w:rFonts w:ascii="Times New Roman" w:hAnsi="Times New Roman" w:cs="Times New Roman"/>
                <w:sz w:val="24"/>
                <w:szCs w:val="24"/>
              </w:rPr>
            </w:pPr>
            <w:r>
              <w:rPr>
                <w:rFonts w:ascii="Times New Roman" w:hAnsi="Times New Roman" w:cs="Times New Roman"/>
                <w:sz w:val="24"/>
                <w:szCs w:val="24"/>
              </w:rPr>
              <w:t>5</w:t>
            </w:r>
          </w:p>
        </w:tc>
        <w:tc>
          <w:tcPr>
            <w:tcW w:w="1530" w:type="dxa"/>
          </w:tcPr>
          <w:p w:rsidR="00861651" w:rsidRPr="00861651" w:rsidRDefault="005B5876" w:rsidP="00861651">
            <w:pPr>
              <w:rPr>
                <w:rFonts w:ascii="Times New Roman" w:hAnsi="Times New Roman" w:cs="Times New Roman"/>
                <w:sz w:val="24"/>
                <w:szCs w:val="24"/>
              </w:rPr>
            </w:pPr>
            <w:r>
              <w:rPr>
                <w:rFonts w:ascii="Times New Roman" w:hAnsi="Times New Roman" w:cs="Times New Roman"/>
                <w:sz w:val="24"/>
                <w:szCs w:val="24"/>
              </w:rPr>
              <w:t>42.32</w:t>
            </w:r>
          </w:p>
        </w:tc>
      </w:tr>
      <w:tr w:rsidR="00861651" w:rsidRPr="00861651" w:rsidTr="00D451B6">
        <w:trPr>
          <w:trHeight w:val="1016"/>
        </w:trPr>
        <w:tc>
          <w:tcPr>
            <w:tcW w:w="985" w:type="dxa"/>
            <w:vMerge/>
          </w:tcPr>
          <w:p w:rsidR="00861651" w:rsidRPr="00861651" w:rsidRDefault="00861651" w:rsidP="00861651">
            <w:pPr>
              <w:jc w:val="both"/>
              <w:rPr>
                <w:rFonts w:ascii="Times New Roman" w:hAnsi="Times New Roman" w:cs="Times New Roman"/>
                <w:b/>
                <w:sz w:val="24"/>
                <w:szCs w:val="24"/>
              </w:rPr>
            </w:pPr>
          </w:p>
        </w:tc>
        <w:tc>
          <w:tcPr>
            <w:tcW w:w="1530" w:type="dxa"/>
          </w:tcPr>
          <w:p w:rsidR="00861651" w:rsidRPr="00861651" w:rsidRDefault="00861651" w:rsidP="00861651">
            <w:pPr>
              <w:rPr>
                <w:rFonts w:ascii="Times New Roman" w:hAnsi="Times New Roman" w:cs="Times New Roman"/>
                <w:sz w:val="24"/>
                <w:szCs w:val="24"/>
              </w:rPr>
            </w:pPr>
            <w:r>
              <w:rPr>
                <w:rFonts w:ascii="Times New Roman" w:hAnsi="Times New Roman" w:cs="Times New Roman"/>
                <w:b/>
                <w:sz w:val="24"/>
                <w:szCs w:val="24"/>
              </w:rPr>
              <w:t>2</w:t>
            </w:r>
          </w:p>
        </w:tc>
        <w:tc>
          <w:tcPr>
            <w:tcW w:w="2610" w:type="dxa"/>
          </w:tcPr>
          <w:p w:rsidR="00861651" w:rsidRPr="00861651" w:rsidRDefault="00001ED2" w:rsidP="00001ED2">
            <w:pPr>
              <w:rPr>
                <w:rFonts w:ascii="Times New Roman" w:hAnsi="Times New Roman" w:cs="Times New Roman"/>
                <w:sz w:val="24"/>
                <w:szCs w:val="24"/>
              </w:rPr>
            </w:pPr>
            <w:r>
              <w:rPr>
                <w:rFonts w:ascii="Times New Roman" w:hAnsi="Times New Roman" w:cs="Times New Roman"/>
                <w:sz w:val="24"/>
                <w:szCs w:val="24"/>
              </w:rPr>
              <w:t>THR325,</w:t>
            </w:r>
            <w:r w:rsidR="00B21ED8">
              <w:rPr>
                <w:rFonts w:ascii="Times New Roman" w:hAnsi="Times New Roman" w:cs="Times New Roman"/>
                <w:sz w:val="24"/>
                <w:szCs w:val="24"/>
              </w:rPr>
              <w:t>ARG302,VAL350,</w:t>
            </w:r>
            <w:r>
              <w:rPr>
                <w:rFonts w:ascii="Times New Roman" w:hAnsi="Times New Roman" w:cs="Times New Roman"/>
                <w:sz w:val="24"/>
                <w:szCs w:val="24"/>
              </w:rPr>
              <w:t xml:space="preserve"> </w:t>
            </w:r>
            <w:r w:rsidR="00B21ED8">
              <w:rPr>
                <w:rFonts w:ascii="Times New Roman" w:hAnsi="Times New Roman" w:cs="Times New Roman"/>
                <w:sz w:val="24"/>
                <w:szCs w:val="24"/>
              </w:rPr>
              <w:t>ARG365,</w:t>
            </w:r>
            <w:r w:rsidR="005B5876">
              <w:rPr>
                <w:rFonts w:ascii="Times New Roman" w:hAnsi="Times New Roman" w:cs="Times New Roman"/>
                <w:sz w:val="24"/>
                <w:szCs w:val="24"/>
              </w:rPr>
              <w:t>THR366,</w:t>
            </w:r>
            <w:r w:rsidR="00B21ED8">
              <w:rPr>
                <w:rFonts w:ascii="Times New Roman" w:hAnsi="Times New Roman" w:cs="Times New Roman"/>
                <w:sz w:val="24"/>
                <w:szCs w:val="24"/>
              </w:rPr>
              <w:t>TYR375,</w:t>
            </w:r>
            <w:r>
              <w:rPr>
                <w:rFonts w:ascii="Times New Roman" w:hAnsi="Times New Roman" w:cs="Times New Roman"/>
                <w:sz w:val="24"/>
                <w:szCs w:val="24"/>
              </w:rPr>
              <w:t>G</w:t>
            </w:r>
            <w:r w:rsidR="005B5876">
              <w:rPr>
                <w:rFonts w:ascii="Times New Roman" w:hAnsi="Times New Roman" w:cs="Times New Roman"/>
                <w:sz w:val="24"/>
                <w:szCs w:val="24"/>
              </w:rPr>
              <w:t>LY405,SER407,</w:t>
            </w:r>
            <w:r w:rsidR="00B21ED8">
              <w:rPr>
                <w:rFonts w:ascii="Times New Roman" w:hAnsi="Times New Roman" w:cs="Times New Roman"/>
                <w:sz w:val="24"/>
                <w:szCs w:val="24"/>
              </w:rPr>
              <w:t xml:space="preserve"> </w:t>
            </w:r>
          </w:p>
        </w:tc>
        <w:tc>
          <w:tcPr>
            <w:tcW w:w="1380" w:type="dxa"/>
          </w:tcPr>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H-bond </w:t>
            </w:r>
          </w:p>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Vander Waals </w:t>
            </w:r>
          </w:p>
          <w:p w:rsid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Pi-alkyl</w:t>
            </w:r>
          </w:p>
          <w:p w:rsidR="005B5876" w:rsidRDefault="005B5876" w:rsidP="00861651">
            <w:pPr>
              <w:rPr>
                <w:rFonts w:ascii="Times New Roman" w:hAnsi="Times New Roman" w:cs="Times New Roman"/>
                <w:sz w:val="24"/>
                <w:szCs w:val="24"/>
              </w:rPr>
            </w:pPr>
            <w:r>
              <w:rPr>
                <w:rFonts w:ascii="Times New Roman" w:hAnsi="Times New Roman" w:cs="Times New Roman"/>
                <w:sz w:val="24"/>
                <w:szCs w:val="24"/>
              </w:rPr>
              <w:t>Pi-Cation</w:t>
            </w:r>
          </w:p>
          <w:p w:rsidR="00F62D4E" w:rsidRDefault="00F62D4E" w:rsidP="00F62D4E">
            <w:pPr>
              <w:rPr>
                <w:rFonts w:ascii="Times New Roman" w:hAnsi="Times New Roman" w:cs="Times New Roman"/>
                <w:sz w:val="24"/>
                <w:szCs w:val="24"/>
              </w:rPr>
            </w:pPr>
            <w:r>
              <w:rPr>
                <w:rFonts w:ascii="Times New Roman" w:hAnsi="Times New Roman" w:cs="Times New Roman"/>
                <w:sz w:val="24"/>
                <w:szCs w:val="24"/>
              </w:rPr>
              <w:t>Pi-Sigma</w:t>
            </w:r>
          </w:p>
          <w:p w:rsidR="00F62D4E" w:rsidRDefault="00F62D4E" w:rsidP="00F62D4E">
            <w:pPr>
              <w:rPr>
                <w:rFonts w:ascii="Times New Roman" w:hAnsi="Times New Roman" w:cs="Times New Roman"/>
                <w:sz w:val="24"/>
                <w:szCs w:val="24"/>
              </w:rPr>
            </w:pPr>
            <w:r>
              <w:rPr>
                <w:rFonts w:ascii="Times New Roman" w:hAnsi="Times New Roman" w:cs="Times New Roman"/>
                <w:sz w:val="24"/>
                <w:szCs w:val="24"/>
              </w:rPr>
              <w:t>Pi- Pi T-shaped</w:t>
            </w:r>
          </w:p>
          <w:p w:rsidR="00F62D4E" w:rsidRDefault="00F62D4E" w:rsidP="00861651">
            <w:pPr>
              <w:rPr>
                <w:rFonts w:ascii="Times New Roman" w:hAnsi="Times New Roman" w:cs="Times New Roman"/>
                <w:sz w:val="24"/>
                <w:szCs w:val="24"/>
              </w:rPr>
            </w:pPr>
          </w:p>
          <w:p w:rsidR="005B5876" w:rsidRPr="00861651" w:rsidRDefault="005B5876" w:rsidP="00861651">
            <w:pPr>
              <w:rPr>
                <w:rFonts w:ascii="Times New Roman" w:hAnsi="Times New Roman" w:cs="Times New Roman"/>
                <w:sz w:val="24"/>
                <w:szCs w:val="24"/>
              </w:rPr>
            </w:pPr>
          </w:p>
        </w:tc>
        <w:tc>
          <w:tcPr>
            <w:tcW w:w="1590" w:type="dxa"/>
          </w:tcPr>
          <w:p w:rsidR="00861651" w:rsidRPr="00861651" w:rsidRDefault="003D3B28" w:rsidP="00861651">
            <w:pPr>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861651" w:rsidRPr="00861651" w:rsidRDefault="003D3B28" w:rsidP="00861651">
            <w:pPr>
              <w:rPr>
                <w:rFonts w:ascii="Times New Roman" w:hAnsi="Times New Roman" w:cs="Times New Roman"/>
                <w:sz w:val="24"/>
                <w:szCs w:val="24"/>
              </w:rPr>
            </w:pPr>
            <w:r>
              <w:rPr>
                <w:rFonts w:ascii="Times New Roman" w:hAnsi="Times New Roman" w:cs="Times New Roman"/>
                <w:sz w:val="24"/>
                <w:szCs w:val="24"/>
              </w:rPr>
              <w:t>38.61</w:t>
            </w:r>
          </w:p>
        </w:tc>
      </w:tr>
      <w:tr w:rsidR="00861651" w:rsidRPr="00861651" w:rsidTr="00D451B6">
        <w:trPr>
          <w:trHeight w:val="1421"/>
        </w:trPr>
        <w:tc>
          <w:tcPr>
            <w:tcW w:w="985" w:type="dxa"/>
            <w:vMerge/>
          </w:tcPr>
          <w:p w:rsidR="00861651" w:rsidRPr="00861651" w:rsidRDefault="00861651" w:rsidP="00861651">
            <w:pPr>
              <w:jc w:val="both"/>
              <w:rPr>
                <w:rFonts w:ascii="Times New Roman" w:hAnsi="Times New Roman" w:cs="Times New Roman"/>
                <w:b/>
                <w:sz w:val="24"/>
                <w:szCs w:val="24"/>
              </w:rPr>
            </w:pPr>
          </w:p>
        </w:tc>
        <w:tc>
          <w:tcPr>
            <w:tcW w:w="1530" w:type="dxa"/>
          </w:tcPr>
          <w:p w:rsidR="00861651" w:rsidRPr="00861651" w:rsidRDefault="00861651" w:rsidP="00861651">
            <w:pPr>
              <w:rPr>
                <w:rFonts w:ascii="Times New Roman" w:hAnsi="Times New Roman" w:cs="Times New Roman"/>
                <w:b/>
                <w:sz w:val="24"/>
                <w:szCs w:val="24"/>
              </w:rPr>
            </w:pPr>
            <w:r>
              <w:rPr>
                <w:rFonts w:ascii="Times New Roman" w:hAnsi="Times New Roman" w:cs="Times New Roman"/>
                <w:b/>
                <w:sz w:val="24"/>
                <w:szCs w:val="24"/>
              </w:rPr>
              <w:t>3</w:t>
            </w:r>
          </w:p>
        </w:tc>
        <w:tc>
          <w:tcPr>
            <w:tcW w:w="2610" w:type="dxa"/>
          </w:tcPr>
          <w:p w:rsidR="00253E0C" w:rsidRDefault="00CC20D2" w:rsidP="00CC20D2">
            <w:pPr>
              <w:rPr>
                <w:rFonts w:ascii="Times New Roman" w:hAnsi="Times New Roman" w:cs="Times New Roman"/>
                <w:sz w:val="24"/>
                <w:szCs w:val="24"/>
              </w:rPr>
            </w:pPr>
            <w:r w:rsidRPr="00CC20D2">
              <w:rPr>
                <w:rFonts w:ascii="Times New Roman" w:hAnsi="Times New Roman" w:cs="Times New Roman"/>
                <w:sz w:val="24"/>
                <w:szCs w:val="24"/>
              </w:rPr>
              <w:t>ARG302</w:t>
            </w:r>
            <w:r>
              <w:rPr>
                <w:rFonts w:ascii="Times New Roman" w:hAnsi="Times New Roman" w:cs="Times New Roman"/>
                <w:sz w:val="24"/>
                <w:szCs w:val="24"/>
              </w:rPr>
              <w:t>,</w:t>
            </w:r>
            <w:r w:rsidRPr="00CC20D2">
              <w:rPr>
                <w:rFonts w:ascii="Times New Roman" w:hAnsi="Times New Roman" w:cs="Times New Roman"/>
                <w:sz w:val="24"/>
                <w:szCs w:val="24"/>
              </w:rPr>
              <w:t>THR325</w:t>
            </w:r>
            <w:r>
              <w:rPr>
                <w:rFonts w:ascii="Times New Roman" w:hAnsi="Times New Roman" w:cs="Times New Roman"/>
                <w:sz w:val="24"/>
                <w:szCs w:val="24"/>
              </w:rPr>
              <w:t>,</w:t>
            </w:r>
            <w:r w:rsidRPr="00CC20D2">
              <w:rPr>
                <w:rFonts w:ascii="Times New Roman" w:hAnsi="Times New Roman" w:cs="Times New Roman"/>
                <w:sz w:val="24"/>
                <w:szCs w:val="24"/>
              </w:rPr>
              <w:t>VAL350</w:t>
            </w:r>
            <w:r>
              <w:rPr>
                <w:rFonts w:ascii="Times New Roman" w:hAnsi="Times New Roman" w:cs="Times New Roman"/>
                <w:sz w:val="24"/>
                <w:szCs w:val="24"/>
              </w:rPr>
              <w:t>,</w:t>
            </w:r>
            <w:r w:rsidRPr="00CC20D2">
              <w:rPr>
                <w:rFonts w:ascii="Times New Roman" w:hAnsi="Times New Roman" w:cs="Times New Roman"/>
                <w:sz w:val="24"/>
                <w:szCs w:val="24"/>
              </w:rPr>
              <w:t xml:space="preserve"> ARG365,</w:t>
            </w:r>
            <w:r w:rsidR="00407BDF" w:rsidRPr="00CC20D2">
              <w:rPr>
                <w:rFonts w:ascii="Times New Roman" w:hAnsi="Times New Roman" w:cs="Times New Roman"/>
                <w:sz w:val="24"/>
                <w:szCs w:val="24"/>
              </w:rPr>
              <w:t>THR366,</w:t>
            </w:r>
            <w:r w:rsidR="00253E0C">
              <w:rPr>
                <w:rFonts w:ascii="Times New Roman" w:hAnsi="Times New Roman" w:cs="Times New Roman"/>
                <w:sz w:val="24"/>
                <w:szCs w:val="24"/>
              </w:rPr>
              <w:t>TYR375</w:t>
            </w:r>
          </w:p>
          <w:p w:rsidR="00407BDF" w:rsidRPr="00861651" w:rsidRDefault="00CC20D2" w:rsidP="00CC20D2">
            <w:pPr>
              <w:rPr>
                <w:rFonts w:ascii="Times New Roman" w:hAnsi="Times New Roman" w:cs="Times New Roman"/>
                <w:sz w:val="24"/>
                <w:szCs w:val="24"/>
              </w:rPr>
            </w:pPr>
            <w:r w:rsidRPr="00CC20D2">
              <w:rPr>
                <w:rFonts w:ascii="Times New Roman" w:hAnsi="Times New Roman" w:cs="Times New Roman"/>
                <w:sz w:val="24"/>
                <w:szCs w:val="24"/>
              </w:rPr>
              <w:t>GLY405,SER407</w:t>
            </w:r>
          </w:p>
        </w:tc>
        <w:tc>
          <w:tcPr>
            <w:tcW w:w="1380" w:type="dxa"/>
          </w:tcPr>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H-bond </w:t>
            </w:r>
          </w:p>
          <w:p w:rsidR="00861651" w:rsidRP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 xml:space="preserve">Vander Waals </w:t>
            </w:r>
          </w:p>
          <w:p w:rsidR="00861651" w:rsidRDefault="00861651" w:rsidP="00861651">
            <w:pPr>
              <w:rPr>
                <w:rFonts w:ascii="Times New Roman" w:hAnsi="Times New Roman" w:cs="Times New Roman"/>
                <w:sz w:val="24"/>
                <w:szCs w:val="24"/>
              </w:rPr>
            </w:pPr>
            <w:r w:rsidRPr="00861651">
              <w:rPr>
                <w:rFonts w:ascii="Times New Roman" w:hAnsi="Times New Roman" w:cs="Times New Roman"/>
                <w:sz w:val="24"/>
                <w:szCs w:val="24"/>
              </w:rPr>
              <w:t>Pi-alkyl</w:t>
            </w:r>
          </w:p>
          <w:p w:rsidR="00B21ED8" w:rsidRDefault="00B21ED8" w:rsidP="00B21ED8">
            <w:pPr>
              <w:rPr>
                <w:rFonts w:ascii="Times New Roman" w:hAnsi="Times New Roman" w:cs="Times New Roman"/>
                <w:sz w:val="24"/>
                <w:szCs w:val="24"/>
              </w:rPr>
            </w:pPr>
            <w:r>
              <w:rPr>
                <w:rFonts w:ascii="Times New Roman" w:hAnsi="Times New Roman" w:cs="Times New Roman"/>
                <w:sz w:val="24"/>
                <w:szCs w:val="24"/>
              </w:rPr>
              <w:t>Pi-Cation</w:t>
            </w:r>
          </w:p>
          <w:p w:rsidR="00B21ED8" w:rsidRDefault="00B21ED8" w:rsidP="00B21ED8">
            <w:pPr>
              <w:rPr>
                <w:rFonts w:ascii="Times New Roman" w:hAnsi="Times New Roman" w:cs="Times New Roman"/>
                <w:sz w:val="24"/>
                <w:szCs w:val="24"/>
              </w:rPr>
            </w:pPr>
            <w:r>
              <w:rPr>
                <w:rFonts w:ascii="Times New Roman" w:hAnsi="Times New Roman" w:cs="Times New Roman"/>
                <w:sz w:val="24"/>
                <w:szCs w:val="24"/>
              </w:rPr>
              <w:t>Pi-Sigma</w:t>
            </w:r>
          </w:p>
          <w:p w:rsidR="00B21ED8" w:rsidRDefault="00B21ED8" w:rsidP="00B21ED8">
            <w:pPr>
              <w:rPr>
                <w:rFonts w:ascii="Times New Roman" w:hAnsi="Times New Roman" w:cs="Times New Roman"/>
                <w:sz w:val="24"/>
                <w:szCs w:val="24"/>
              </w:rPr>
            </w:pPr>
            <w:r>
              <w:rPr>
                <w:rFonts w:ascii="Times New Roman" w:hAnsi="Times New Roman" w:cs="Times New Roman"/>
                <w:sz w:val="24"/>
                <w:szCs w:val="24"/>
              </w:rPr>
              <w:t>Pi- Pi T-shaped</w:t>
            </w:r>
          </w:p>
          <w:p w:rsidR="00B21ED8" w:rsidRPr="00861651" w:rsidRDefault="00B21ED8" w:rsidP="00861651">
            <w:pPr>
              <w:rPr>
                <w:rFonts w:ascii="Times New Roman" w:hAnsi="Times New Roman" w:cs="Times New Roman"/>
                <w:sz w:val="24"/>
                <w:szCs w:val="24"/>
              </w:rPr>
            </w:pPr>
          </w:p>
        </w:tc>
        <w:tc>
          <w:tcPr>
            <w:tcW w:w="1590" w:type="dxa"/>
          </w:tcPr>
          <w:p w:rsidR="00861651" w:rsidRPr="00861651" w:rsidRDefault="003D3B28" w:rsidP="00861651">
            <w:pP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861651" w:rsidRPr="00861651" w:rsidRDefault="003D3B28" w:rsidP="00861651">
            <w:pPr>
              <w:rPr>
                <w:rFonts w:ascii="Times New Roman" w:hAnsi="Times New Roman" w:cs="Times New Roman"/>
                <w:sz w:val="24"/>
                <w:szCs w:val="24"/>
              </w:rPr>
            </w:pPr>
            <w:r w:rsidRPr="003D3B28">
              <w:rPr>
                <w:rFonts w:ascii="Times New Roman" w:hAnsi="Times New Roman" w:cs="Times New Roman"/>
                <w:sz w:val="24"/>
                <w:szCs w:val="24"/>
              </w:rPr>
              <w:t>35.65</w:t>
            </w:r>
          </w:p>
        </w:tc>
      </w:tr>
    </w:tbl>
    <w:p w:rsidR="00616EF6" w:rsidRDefault="00616EF6" w:rsidP="00635CE1">
      <w:pPr>
        <w:jc w:val="both"/>
        <w:rPr>
          <w:rFonts w:ascii="Times New Roman" w:hAnsi="Times New Roman" w:cs="Times New Roman"/>
          <w:sz w:val="32"/>
          <w:szCs w:val="32"/>
        </w:rPr>
      </w:pPr>
    </w:p>
    <w:p w:rsidR="00B00752" w:rsidRDefault="00B00752" w:rsidP="00635CE1">
      <w:pPr>
        <w:jc w:val="both"/>
        <w:rPr>
          <w:rFonts w:ascii="Times New Roman" w:hAnsi="Times New Roman" w:cs="Times New Roman"/>
          <w:sz w:val="32"/>
          <w:szCs w:val="32"/>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0"/>
        <w:gridCol w:w="3654"/>
        <w:gridCol w:w="3641"/>
        <w:gridCol w:w="1020"/>
      </w:tblGrid>
      <w:tr w:rsidR="00F27BF9" w:rsidTr="00F27BF9">
        <w:trPr>
          <w:trHeight w:val="1008"/>
        </w:trPr>
        <w:tc>
          <w:tcPr>
            <w:tcW w:w="9535" w:type="dxa"/>
            <w:gridSpan w:val="4"/>
          </w:tcPr>
          <w:p w:rsidR="00F27BF9" w:rsidRDefault="00F27BF9" w:rsidP="00F27BF9">
            <w:pPr>
              <w:jc w:val="both"/>
              <w:rPr>
                <w:rFonts w:ascii="Times New Roman" w:hAnsi="Times New Roman" w:cs="Times New Roman"/>
                <w:sz w:val="32"/>
                <w:szCs w:val="32"/>
              </w:rPr>
            </w:pPr>
            <w:r>
              <w:rPr>
                <w:rFonts w:ascii="Times New Roman" w:hAnsi="Times New Roman" w:cs="Times New Roman"/>
                <w:sz w:val="32"/>
                <w:szCs w:val="32"/>
              </w:rPr>
              <w:t xml:space="preserve">Figure </w:t>
            </w:r>
            <w:r w:rsidR="00A420B1">
              <w:rPr>
                <w:rFonts w:ascii="Times New Roman" w:hAnsi="Times New Roman" w:cs="Times New Roman"/>
                <w:sz w:val="32"/>
                <w:szCs w:val="32"/>
              </w:rPr>
              <w:t>3</w:t>
            </w:r>
            <w:r>
              <w:rPr>
                <w:rFonts w:ascii="Times New Roman" w:hAnsi="Times New Roman" w:cs="Times New Roman"/>
                <w:sz w:val="32"/>
                <w:szCs w:val="32"/>
              </w:rPr>
              <w:t xml:space="preserve"> :(a-c)</w:t>
            </w:r>
            <w:r w:rsidRPr="00C90BC3">
              <w:t xml:space="preserve"> </w:t>
            </w:r>
            <w:r>
              <w:rPr>
                <w:rFonts w:ascii="Times New Roman" w:hAnsi="Times New Roman" w:cs="Times New Roman"/>
                <w:sz w:val="32"/>
                <w:szCs w:val="32"/>
              </w:rPr>
              <w:t>2</w:t>
            </w:r>
            <w:r w:rsidRPr="00C90BC3">
              <w:rPr>
                <w:rFonts w:ascii="Times New Roman" w:hAnsi="Times New Roman" w:cs="Times New Roman"/>
                <w:sz w:val="32"/>
                <w:szCs w:val="32"/>
              </w:rPr>
              <w:t xml:space="preserve">D Interaction between  targeted protein </w:t>
            </w:r>
            <w:r>
              <w:rPr>
                <w:rFonts w:ascii="Times New Roman" w:hAnsi="Times New Roman" w:cs="Times New Roman"/>
                <w:sz w:val="32"/>
                <w:szCs w:val="32"/>
              </w:rPr>
              <w:t>,</w:t>
            </w:r>
            <w:r w:rsidRPr="00C90BC3">
              <w:rPr>
                <w:rFonts w:ascii="Times New Roman" w:hAnsi="Times New Roman" w:cs="Times New Roman"/>
                <w:sz w:val="32"/>
                <w:szCs w:val="32"/>
              </w:rPr>
              <w:t>PDB ID</w:t>
            </w:r>
            <w:r>
              <w:rPr>
                <w:rFonts w:ascii="Times New Roman" w:hAnsi="Times New Roman" w:cs="Times New Roman"/>
                <w:sz w:val="32"/>
                <w:szCs w:val="32"/>
              </w:rPr>
              <w:t>:</w:t>
            </w:r>
            <w:r w:rsidRPr="00C90BC3">
              <w:rPr>
                <w:rFonts w:ascii="Times New Roman" w:hAnsi="Times New Roman" w:cs="Times New Roman"/>
                <w:sz w:val="32"/>
                <w:szCs w:val="32"/>
              </w:rPr>
              <w:t xml:space="preserve"> 3T88 with generated compounds (1-3 respectively)</w:t>
            </w:r>
          </w:p>
        </w:tc>
      </w:tr>
      <w:tr w:rsidR="00A43B16" w:rsidTr="00F27BF9">
        <w:trPr>
          <w:trHeight w:val="1163"/>
        </w:trPr>
        <w:tc>
          <w:tcPr>
            <w:tcW w:w="4874" w:type="dxa"/>
            <w:gridSpan w:val="2"/>
          </w:tcPr>
          <w:p w:rsidR="00625E80" w:rsidRDefault="00A43B16" w:rsidP="00F27BF9">
            <w:pPr>
              <w:jc w:val="both"/>
              <w:rPr>
                <w:rFonts w:ascii="Times New Roman" w:hAnsi="Times New Roman" w:cs="Times New Roman"/>
                <w:sz w:val="32"/>
                <w:szCs w:val="32"/>
              </w:rPr>
            </w:pPr>
            <w:r>
              <w:rPr>
                <w:rFonts w:ascii="Times New Roman" w:hAnsi="Times New Roman" w:cs="Times New Roman"/>
                <w:sz w:val="32"/>
                <w:szCs w:val="32"/>
              </w:rPr>
              <w:t>a</w:t>
            </w:r>
          </w:p>
          <w:p w:rsidR="00625E80" w:rsidRDefault="00A43B16" w:rsidP="00F27BF9">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3F16501">
                  <wp:extent cx="3037840" cy="290665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355" cy="2914806"/>
                          </a:xfrm>
                          <a:prstGeom prst="rect">
                            <a:avLst/>
                          </a:prstGeom>
                          <a:noFill/>
                        </pic:spPr>
                      </pic:pic>
                    </a:graphicData>
                  </a:graphic>
                </wp:inline>
              </w:drawing>
            </w:r>
          </w:p>
        </w:tc>
        <w:tc>
          <w:tcPr>
            <w:tcW w:w="4661" w:type="dxa"/>
            <w:gridSpan w:val="2"/>
          </w:tcPr>
          <w:p w:rsidR="00625E80" w:rsidRDefault="00A43B16" w:rsidP="00F27BF9">
            <w:pPr>
              <w:rPr>
                <w:rFonts w:ascii="Times New Roman" w:hAnsi="Times New Roman" w:cs="Times New Roman"/>
                <w:sz w:val="32"/>
                <w:szCs w:val="32"/>
              </w:rPr>
            </w:pPr>
            <w:r>
              <w:rPr>
                <w:rFonts w:ascii="Times New Roman" w:hAnsi="Times New Roman" w:cs="Times New Roman"/>
                <w:sz w:val="32"/>
                <w:szCs w:val="32"/>
              </w:rPr>
              <w:t>b</w:t>
            </w:r>
          </w:p>
          <w:p w:rsidR="00625E80" w:rsidRDefault="00A43B16" w:rsidP="00F27BF9">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1780B45">
                  <wp:extent cx="2903220" cy="289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702" cy="2904249"/>
                          </a:xfrm>
                          <a:prstGeom prst="rect">
                            <a:avLst/>
                          </a:prstGeom>
                          <a:noFill/>
                        </pic:spPr>
                      </pic:pic>
                    </a:graphicData>
                  </a:graphic>
                </wp:inline>
              </w:drawing>
            </w:r>
          </w:p>
        </w:tc>
      </w:tr>
      <w:tr w:rsidR="00F27BF9" w:rsidTr="00F27BF9">
        <w:trPr>
          <w:gridBefore w:val="1"/>
          <w:gridAfter w:val="1"/>
          <w:wBefore w:w="1138" w:type="dxa"/>
          <w:wAfter w:w="977" w:type="dxa"/>
          <w:trHeight w:val="5345"/>
        </w:trPr>
        <w:tc>
          <w:tcPr>
            <w:tcW w:w="7420" w:type="dxa"/>
            <w:gridSpan w:val="2"/>
          </w:tcPr>
          <w:p w:rsidR="00625E80" w:rsidRDefault="00A43B16" w:rsidP="00F27BF9">
            <w:pPr>
              <w:jc w:val="both"/>
              <w:rPr>
                <w:rFonts w:ascii="Times New Roman" w:hAnsi="Times New Roman" w:cs="Times New Roman"/>
                <w:sz w:val="32"/>
                <w:szCs w:val="32"/>
              </w:rPr>
            </w:pPr>
            <w:r>
              <w:rPr>
                <w:rFonts w:ascii="Times New Roman" w:hAnsi="Times New Roman" w:cs="Times New Roman"/>
                <w:sz w:val="32"/>
                <w:szCs w:val="32"/>
              </w:rPr>
              <w:t>c</w:t>
            </w:r>
          </w:p>
          <w:p w:rsidR="00625E80" w:rsidRDefault="00625E80" w:rsidP="00F27BF9">
            <w:pPr>
              <w:jc w:val="both"/>
              <w:rPr>
                <w:rFonts w:ascii="Times New Roman" w:hAnsi="Times New Roman" w:cs="Times New Roman"/>
                <w:sz w:val="32"/>
                <w:szCs w:val="32"/>
              </w:rPr>
            </w:pPr>
          </w:p>
          <w:p w:rsidR="00625E80" w:rsidRDefault="00A43B16" w:rsidP="00F27BF9">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D638B60">
                  <wp:extent cx="2717800" cy="2600438"/>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097" cy="2604549"/>
                          </a:xfrm>
                          <a:prstGeom prst="rect">
                            <a:avLst/>
                          </a:prstGeom>
                          <a:noFill/>
                        </pic:spPr>
                      </pic:pic>
                    </a:graphicData>
                  </a:graphic>
                </wp:inline>
              </w:drawing>
            </w:r>
          </w:p>
          <w:p w:rsidR="00625E80" w:rsidRDefault="00625E80" w:rsidP="00F27BF9">
            <w:pPr>
              <w:jc w:val="both"/>
              <w:rPr>
                <w:rFonts w:ascii="Times New Roman" w:hAnsi="Times New Roman" w:cs="Times New Roman"/>
                <w:sz w:val="32"/>
                <w:szCs w:val="32"/>
              </w:rPr>
            </w:pPr>
          </w:p>
        </w:tc>
      </w:tr>
    </w:tbl>
    <w:p w:rsidR="00E2032A" w:rsidRDefault="00E2032A" w:rsidP="00635CE1">
      <w:pPr>
        <w:jc w:val="both"/>
        <w:rPr>
          <w:rFonts w:ascii="Times New Roman" w:hAnsi="Times New Roman" w:cs="Times New Roman"/>
          <w:sz w:val="32"/>
          <w:szCs w:val="32"/>
        </w:rPr>
      </w:pP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868"/>
        <w:gridCol w:w="3312"/>
        <w:gridCol w:w="1284"/>
      </w:tblGrid>
      <w:tr w:rsidR="00F27BF9" w:rsidTr="00F27BF9">
        <w:trPr>
          <w:trHeight w:val="1484"/>
        </w:trPr>
        <w:tc>
          <w:tcPr>
            <w:tcW w:w="8892" w:type="dxa"/>
            <w:gridSpan w:val="4"/>
          </w:tcPr>
          <w:p w:rsidR="00F27BF9" w:rsidRDefault="00F27BF9" w:rsidP="00F27BF9">
            <w:pPr>
              <w:spacing w:before="240"/>
              <w:jc w:val="right"/>
              <w:rPr>
                <w:rFonts w:ascii="Times New Roman" w:hAnsi="Times New Roman" w:cs="Times New Roman"/>
                <w:sz w:val="32"/>
                <w:szCs w:val="32"/>
              </w:rPr>
            </w:pPr>
          </w:p>
          <w:p w:rsidR="00F27BF9" w:rsidRPr="00AB7983" w:rsidRDefault="00A420B1" w:rsidP="00F27BF9">
            <w:pPr>
              <w:tabs>
                <w:tab w:val="left" w:pos="260"/>
                <w:tab w:val="left" w:pos="4040"/>
                <w:tab w:val="center" w:pos="4680"/>
              </w:tabs>
              <w:spacing w:line="256" w:lineRule="auto"/>
              <w:rPr>
                <w:rFonts w:ascii="Times New Roman" w:eastAsia="Calibri" w:hAnsi="Times New Roman" w:cs="Times New Roman"/>
                <w:b/>
                <w:bCs/>
                <w:color w:val="000000" w:themeColor="text1"/>
                <w:kern w:val="24"/>
                <w:sz w:val="24"/>
                <w:szCs w:val="24"/>
              </w:rPr>
            </w:pPr>
            <w:r>
              <w:rPr>
                <w:rFonts w:ascii="Times New Roman" w:hAnsi="Times New Roman" w:cs="Times New Roman"/>
                <w:sz w:val="32"/>
                <w:szCs w:val="32"/>
              </w:rPr>
              <w:t>Figure 4</w:t>
            </w:r>
            <w:r w:rsidR="00F27BF9" w:rsidRPr="00C90BC3">
              <w:rPr>
                <w:rFonts w:ascii="Times New Roman" w:hAnsi="Times New Roman" w:cs="Times New Roman"/>
                <w:sz w:val="32"/>
                <w:szCs w:val="32"/>
              </w:rPr>
              <w:t>:(a-c)</w:t>
            </w:r>
            <w:r w:rsidR="00F27BF9" w:rsidRPr="00C90BC3">
              <w:rPr>
                <w:rFonts w:ascii="Times New Roman" w:eastAsia="Calibri" w:hAnsi="Times New Roman" w:cs="Times New Roman"/>
                <w:b/>
                <w:bCs/>
                <w:color w:val="000000" w:themeColor="text1"/>
                <w:kern w:val="24"/>
                <w:sz w:val="24"/>
                <w:szCs w:val="24"/>
              </w:rPr>
              <w:t xml:space="preserve"> </w:t>
            </w:r>
            <w:r w:rsidR="00F27BF9">
              <w:rPr>
                <w:rFonts w:ascii="Times New Roman" w:eastAsia="Calibri" w:hAnsi="Times New Roman" w:cs="Times New Roman"/>
                <w:b/>
                <w:bCs/>
                <w:color w:val="000000" w:themeColor="text1"/>
                <w:kern w:val="24"/>
                <w:sz w:val="24"/>
                <w:szCs w:val="24"/>
              </w:rPr>
              <w:t>3</w:t>
            </w:r>
            <w:r w:rsidR="00F27BF9" w:rsidRPr="00AB7983">
              <w:rPr>
                <w:rFonts w:ascii="Times New Roman" w:eastAsia="Calibri" w:hAnsi="Times New Roman" w:cs="Times New Roman"/>
                <w:b/>
                <w:bCs/>
                <w:color w:val="000000" w:themeColor="text1"/>
                <w:kern w:val="24"/>
                <w:sz w:val="24"/>
                <w:szCs w:val="24"/>
              </w:rPr>
              <w:t>D Inte</w:t>
            </w:r>
            <w:r w:rsidR="00F27BF9">
              <w:rPr>
                <w:rFonts w:ascii="Times New Roman" w:eastAsia="Calibri" w:hAnsi="Times New Roman" w:cs="Times New Roman"/>
                <w:b/>
                <w:bCs/>
                <w:color w:val="000000" w:themeColor="text1"/>
                <w:kern w:val="24"/>
                <w:sz w:val="24"/>
                <w:szCs w:val="24"/>
              </w:rPr>
              <w:t xml:space="preserve">raction between  targeted </w:t>
            </w:r>
            <w:r w:rsidR="00F27BF9" w:rsidRPr="00AB7983">
              <w:rPr>
                <w:rFonts w:ascii="Times New Roman" w:eastAsia="Calibri" w:hAnsi="Times New Roman" w:cs="Times New Roman"/>
                <w:b/>
                <w:bCs/>
                <w:color w:val="000000" w:themeColor="text1"/>
                <w:kern w:val="24"/>
                <w:sz w:val="24"/>
                <w:szCs w:val="24"/>
              </w:rPr>
              <w:t>protein</w:t>
            </w:r>
            <w:r w:rsidR="00F27BF9">
              <w:rPr>
                <w:rFonts w:ascii="Times New Roman" w:eastAsia="Calibri" w:hAnsi="Times New Roman" w:cs="Times New Roman"/>
                <w:b/>
                <w:bCs/>
                <w:color w:val="000000" w:themeColor="text1"/>
                <w:kern w:val="24"/>
                <w:sz w:val="24"/>
                <w:szCs w:val="24"/>
              </w:rPr>
              <w:t xml:space="preserve"> PDB ID :3T88 with generated compounds (1-3 respectively) </w:t>
            </w:r>
          </w:p>
          <w:p w:rsidR="00F27BF9" w:rsidRPr="00F27BF9" w:rsidRDefault="00F27BF9" w:rsidP="00F27BF9">
            <w:pPr>
              <w:ind w:firstLine="720"/>
              <w:rPr>
                <w:rFonts w:ascii="Times New Roman" w:hAnsi="Times New Roman" w:cs="Times New Roman"/>
                <w:sz w:val="32"/>
                <w:szCs w:val="32"/>
              </w:rPr>
            </w:pPr>
          </w:p>
        </w:tc>
      </w:tr>
      <w:tr w:rsidR="00183FB2" w:rsidTr="00F27BF9">
        <w:trPr>
          <w:trHeight w:val="984"/>
        </w:trPr>
        <w:tc>
          <w:tcPr>
            <w:tcW w:w="4296" w:type="dxa"/>
            <w:gridSpan w:val="2"/>
            <w:vAlign w:val="bottom"/>
          </w:tcPr>
          <w:p w:rsidR="00602C34" w:rsidRDefault="00C90BC3" w:rsidP="00F27BF9">
            <w:pPr>
              <w:spacing w:before="240"/>
              <w:jc w:val="right"/>
              <w:rPr>
                <w:rFonts w:ascii="Times New Roman" w:hAnsi="Times New Roman" w:cs="Times New Roman"/>
                <w:sz w:val="32"/>
                <w:szCs w:val="32"/>
              </w:rPr>
            </w:pPr>
            <w:r>
              <w:rPr>
                <w:rFonts w:ascii="Times New Roman" w:hAnsi="Times New Roman" w:cs="Times New Roman"/>
                <w:sz w:val="32"/>
                <w:szCs w:val="32"/>
              </w:rPr>
              <w:t>a</w:t>
            </w:r>
            <w:r w:rsidR="00602C34" w:rsidRPr="00602C34">
              <w:rPr>
                <w:rFonts w:ascii="Times New Roman" w:hAnsi="Times New Roman" w:cs="Times New Roman"/>
                <w:noProof/>
                <w:sz w:val="32"/>
                <w:szCs w:val="32"/>
              </w:rPr>
              <w:drawing>
                <wp:inline distT="0" distB="0" distL="0" distR="0" wp14:anchorId="3621B6B6" wp14:editId="4FB03058">
                  <wp:extent cx="2316387" cy="221876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7698" cy="2258333"/>
                          </a:xfrm>
                          <a:prstGeom prst="rect">
                            <a:avLst/>
                          </a:prstGeom>
                        </pic:spPr>
                      </pic:pic>
                    </a:graphicData>
                  </a:graphic>
                </wp:inline>
              </w:drawing>
            </w:r>
          </w:p>
        </w:tc>
        <w:tc>
          <w:tcPr>
            <w:tcW w:w="4596" w:type="dxa"/>
            <w:gridSpan w:val="2"/>
          </w:tcPr>
          <w:p w:rsidR="00C90BC3" w:rsidRDefault="00C90BC3" w:rsidP="00F27BF9">
            <w:pPr>
              <w:jc w:val="both"/>
              <w:rPr>
                <w:rFonts w:ascii="Times New Roman" w:hAnsi="Times New Roman" w:cs="Times New Roman"/>
                <w:sz w:val="32"/>
                <w:szCs w:val="32"/>
              </w:rPr>
            </w:pPr>
          </w:p>
          <w:p w:rsidR="00602C34" w:rsidRDefault="00C90BC3" w:rsidP="00F27BF9">
            <w:pPr>
              <w:jc w:val="both"/>
              <w:rPr>
                <w:rFonts w:ascii="Times New Roman" w:hAnsi="Times New Roman" w:cs="Times New Roman"/>
                <w:sz w:val="32"/>
                <w:szCs w:val="32"/>
              </w:rPr>
            </w:pPr>
            <w:r>
              <w:rPr>
                <w:rFonts w:ascii="Times New Roman" w:hAnsi="Times New Roman" w:cs="Times New Roman"/>
                <w:sz w:val="32"/>
                <w:szCs w:val="32"/>
              </w:rPr>
              <w:t>b</w:t>
            </w:r>
            <w:r w:rsidR="00183FB2">
              <w:rPr>
                <w:rFonts w:ascii="Times New Roman" w:hAnsi="Times New Roman" w:cs="Times New Roman"/>
                <w:noProof/>
                <w:sz w:val="32"/>
                <w:szCs w:val="32"/>
              </w:rPr>
              <w:drawing>
                <wp:inline distT="0" distB="0" distL="0" distR="0" wp14:anchorId="3BB66C73">
                  <wp:extent cx="2530301" cy="21107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8821" cy="2117847"/>
                          </a:xfrm>
                          <a:prstGeom prst="rect">
                            <a:avLst/>
                          </a:prstGeom>
                          <a:noFill/>
                        </pic:spPr>
                      </pic:pic>
                    </a:graphicData>
                  </a:graphic>
                </wp:inline>
              </w:drawing>
            </w:r>
          </w:p>
        </w:tc>
      </w:tr>
      <w:tr w:rsidR="00183FB2" w:rsidTr="00F27BF9">
        <w:trPr>
          <w:gridBefore w:val="1"/>
          <w:gridAfter w:val="1"/>
          <w:wBefore w:w="1428" w:type="dxa"/>
          <w:wAfter w:w="1284" w:type="dxa"/>
          <w:trHeight w:val="1584"/>
        </w:trPr>
        <w:tc>
          <w:tcPr>
            <w:tcW w:w="6180" w:type="dxa"/>
            <w:gridSpan w:val="2"/>
          </w:tcPr>
          <w:p w:rsidR="00602C34" w:rsidRDefault="00602C34" w:rsidP="00F27BF9">
            <w:pPr>
              <w:jc w:val="both"/>
              <w:rPr>
                <w:rFonts w:ascii="Times New Roman" w:hAnsi="Times New Roman" w:cs="Times New Roman"/>
                <w:sz w:val="32"/>
                <w:szCs w:val="32"/>
              </w:rPr>
            </w:pPr>
          </w:p>
          <w:p w:rsidR="00602C34" w:rsidRDefault="00183FB2" w:rsidP="00F27BF9">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1CBF85A">
                  <wp:extent cx="3566201" cy="202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2237" cy="2030351"/>
                          </a:xfrm>
                          <a:prstGeom prst="rect">
                            <a:avLst/>
                          </a:prstGeom>
                          <a:noFill/>
                        </pic:spPr>
                      </pic:pic>
                    </a:graphicData>
                  </a:graphic>
                </wp:inline>
              </w:drawing>
            </w:r>
          </w:p>
          <w:p w:rsidR="00602C34" w:rsidRDefault="00C90BC3" w:rsidP="00F27BF9">
            <w:pPr>
              <w:jc w:val="both"/>
              <w:rPr>
                <w:rFonts w:ascii="Times New Roman" w:hAnsi="Times New Roman" w:cs="Times New Roman"/>
                <w:sz w:val="32"/>
                <w:szCs w:val="32"/>
              </w:rPr>
            </w:pPr>
            <w:r>
              <w:rPr>
                <w:rFonts w:ascii="Times New Roman" w:hAnsi="Times New Roman" w:cs="Times New Roman"/>
                <w:sz w:val="32"/>
                <w:szCs w:val="32"/>
              </w:rPr>
              <w:t>c</w:t>
            </w:r>
          </w:p>
        </w:tc>
      </w:tr>
    </w:tbl>
    <w:p w:rsidR="00625E80" w:rsidRDefault="00625E80" w:rsidP="00635CE1">
      <w:pPr>
        <w:jc w:val="both"/>
        <w:rPr>
          <w:rFonts w:ascii="Times New Roman" w:hAnsi="Times New Roman" w:cs="Times New Roman"/>
          <w:sz w:val="32"/>
          <w:szCs w:val="32"/>
        </w:rPr>
      </w:pPr>
    </w:p>
    <w:p w:rsidR="00625E80" w:rsidRPr="00230142" w:rsidRDefault="00625E80" w:rsidP="00635CE1">
      <w:pPr>
        <w:jc w:val="both"/>
        <w:rPr>
          <w:rFonts w:ascii="Times New Roman" w:hAnsi="Times New Roman" w:cs="Times New Roman"/>
          <w:sz w:val="32"/>
          <w:szCs w:val="32"/>
        </w:rPr>
      </w:pPr>
    </w:p>
    <w:p w:rsidR="00E2032A" w:rsidRDefault="00E2032A" w:rsidP="00E2032A">
      <w:pPr>
        <w:pStyle w:val="ListParagraph"/>
        <w:jc w:val="both"/>
        <w:rPr>
          <w:rFonts w:ascii="Times New Roman" w:hAnsi="Times New Roman" w:cs="Times New Roman"/>
          <w:sz w:val="32"/>
          <w:szCs w:val="32"/>
        </w:rPr>
      </w:pPr>
    </w:p>
    <w:p w:rsidR="00E2032A" w:rsidRDefault="00E2032A" w:rsidP="00E2032A">
      <w:pPr>
        <w:pStyle w:val="ListParagraph"/>
        <w:jc w:val="both"/>
        <w:rPr>
          <w:rFonts w:ascii="Times New Roman" w:hAnsi="Times New Roman" w:cs="Times New Roman"/>
          <w:sz w:val="32"/>
          <w:szCs w:val="32"/>
        </w:rPr>
      </w:pPr>
    </w:p>
    <w:p w:rsidR="00104F3D" w:rsidRDefault="00861651" w:rsidP="00861651">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Conclusion</w:t>
      </w:r>
    </w:p>
    <w:p w:rsidR="003D3B28" w:rsidRPr="00B20665" w:rsidRDefault="00B20665" w:rsidP="003D3B28">
      <w:pPr>
        <w:pStyle w:val="ListParagraph"/>
        <w:jc w:val="both"/>
        <w:rPr>
          <w:rFonts w:ascii="Times New Roman" w:hAnsi="Times New Roman" w:cs="Times New Roman"/>
          <w:sz w:val="24"/>
          <w:szCs w:val="24"/>
        </w:rPr>
      </w:pPr>
      <w:r w:rsidRPr="00B20665">
        <w:rPr>
          <w:rFonts w:ascii="Times New Roman" w:hAnsi="Times New Roman" w:cs="Times New Roman"/>
          <w:sz w:val="24"/>
          <w:szCs w:val="24"/>
        </w:rPr>
        <w:t>Co</w:t>
      </w:r>
      <w:r w:rsidR="003912F1">
        <w:rPr>
          <w:rFonts w:ascii="Times New Roman" w:hAnsi="Times New Roman" w:cs="Times New Roman"/>
          <w:sz w:val="24"/>
          <w:szCs w:val="24"/>
        </w:rPr>
        <w:t>mputer-aided de novo drug formulated</w:t>
      </w:r>
      <w:r w:rsidRPr="00B20665">
        <w:rPr>
          <w:rFonts w:ascii="Times New Roman" w:hAnsi="Times New Roman" w:cs="Times New Roman"/>
          <w:sz w:val="24"/>
          <w:szCs w:val="24"/>
        </w:rPr>
        <w:t xml:space="preserve"> represents a rapid and dependable in si</w:t>
      </w:r>
      <w:r w:rsidR="003912F1">
        <w:rPr>
          <w:rFonts w:ascii="Times New Roman" w:hAnsi="Times New Roman" w:cs="Times New Roman"/>
          <w:sz w:val="24"/>
          <w:szCs w:val="24"/>
        </w:rPr>
        <w:t>lico approach for creating new</w:t>
      </w:r>
      <w:r w:rsidRPr="00B20665">
        <w:rPr>
          <w:rFonts w:ascii="Times New Roman" w:hAnsi="Times New Roman" w:cs="Times New Roman"/>
          <w:sz w:val="24"/>
          <w:szCs w:val="24"/>
        </w:rPr>
        <w:t xml:space="preserve"> target-specific drugs or</w:t>
      </w:r>
      <w:r w:rsidR="003912F1">
        <w:rPr>
          <w:rFonts w:ascii="Times New Roman" w:hAnsi="Times New Roman" w:cs="Times New Roman"/>
          <w:sz w:val="24"/>
          <w:szCs w:val="24"/>
        </w:rPr>
        <w:t xml:space="preserve"> molecules with lead-like properties</w:t>
      </w:r>
      <w:r w:rsidRPr="00B20665">
        <w:rPr>
          <w:rFonts w:ascii="Times New Roman" w:hAnsi="Times New Roman" w:cs="Times New Roman"/>
          <w:sz w:val="24"/>
          <w:szCs w:val="24"/>
        </w:rPr>
        <w:t xml:space="preserve">. In this study, the e-Lea3D de novo design platform was employed to generate 20 distinct stereoisomers with drug/lead-like properties within the protein's core. Specifically, </w:t>
      </w:r>
      <w:r>
        <w:rPr>
          <w:rFonts w:ascii="Times New Roman" w:hAnsi="Times New Roman" w:cs="Times New Roman"/>
          <w:sz w:val="24"/>
          <w:szCs w:val="24"/>
        </w:rPr>
        <w:t xml:space="preserve">the </w:t>
      </w:r>
      <w:r w:rsidRPr="00B20665">
        <w:rPr>
          <w:rFonts w:ascii="Times New Roman" w:hAnsi="Times New Roman" w:cs="Times New Roman"/>
          <w:sz w:val="24"/>
          <w:szCs w:val="24"/>
        </w:rPr>
        <w:t>focus was placed on the de novo-generated molecules that displayed the highest plant scores among their respective stereoisomers. These molecules were subsequently subjected to docking analyses, utilizing the outcomes provided by the e-Lea3D website</w:t>
      </w:r>
      <w:r w:rsidRPr="00B20665">
        <w:rPr>
          <w:rFonts w:ascii="Times New Roman" w:hAnsi="Times New Roman" w:cs="Times New Roman"/>
          <w:sz w:val="32"/>
          <w:szCs w:val="32"/>
        </w:rPr>
        <w:t>.</w:t>
      </w:r>
      <w:r w:rsidRPr="00B20665">
        <w:t xml:space="preserve"> </w:t>
      </w:r>
      <w:r w:rsidRPr="00B20665">
        <w:rPr>
          <w:rFonts w:ascii="Times New Roman" w:hAnsi="Times New Roman" w:cs="Times New Roman"/>
          <w:sz w:val="24"/>
          <w:szCs w:val="24"/>
        </w:rPr>
        <w:t>These results possess the potential to contribute significantly to the advancement of promising neuraminidase inhibitors.</w:t>
      </w:r>
    </w:p>
    <w:p w:rsidR="00104F3D" w:rsidRPr="00230142" w:rsidRDefault="00104F3D" w:rsidP="00635CE1">
      <w:pPr>
        <w:jc w:val="both"/>
        <w:rPr>
          <w:rFonts w:ascii="Times New Roman" w:hAnsi="Times New Roman" w:cs="Times New Roman"/>
          <w:sz w:val="32"/>
          <w:szCs w:val="32"/>
        </w:rPr>
      </w:pPr>
    </w:p>
    <w:p w:rsidR="009766E5" w:rsidRDefault="009766E5" w:rsidP="009766E5">
      <w:pPr>
        <w:pStyle w:val="Heading1"/>
        <w:jc w:val="both"/>
        <w:rPr>
          <w:rFonts w:ascii="Times New Roman" w:eastAsia="Times New Roman" w:hAnsi="Times New Roman" w:cs="Times New Roman"/>
          <w:color w:val="000000" w:themeColor="text1"/>
        </w:rPr>
      </w:pPr>
      <w:r w:rsidRPr="009766E5">
        <w:rPr>
          <w:rFonts w:ascii="Times New Roman" w:eastAsia="Times New Roman" w:hAnsi="Times New Roman" w:cs="Times New Roman"/>
          <w:color w:val="000000" w:themeColor="text1"/>
        </w:rPr>
        <w:t>REFERENCES</w:t>
      </w:r>
    </w:p>
    <w:p w:rsidR="002979BF" w:rsidRDefault="002979BF" w:rsidP="002979BF">
      <w:r>
        <w:t xml:space="preserve"> </w:t>
      </w:r>
    </w:p>
    <w:p w:rsidR="00D04863" w:rsidRPr="00D04863" w:rsidRDefault="00657807" w:rsidP="00D04863">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D04863" w:rsidRPr="00D04863">
        <w:rPr>
          <w:rFonts w:ascii="Calibri" w:hAnsi="Calibri" w:cs="Calibri"/>
          <w:noProof/>
          <w:szCs w:val="24"/>
        </w:rPr>
        <w:t xml:space="preserve">1. </w:t>
      </w:r>
      <w:r w:rsidR="00D04863" w:rsidRPr="00D04863">
        <w:rPr>
          <w:rFonts w:ascii="Calibri" w:hAnsi="Calibri" w:cs="Calibri"/>
          <w:noProof/>
          <w:szCs w:val="24"/>
        </w:rPr>
        <w:tab/>
        <w:t xml:space="preserve">Ziegler T, Mamahit A, Cox NJ. 65 years of influenza surveillance by a World Health Organization-coordinated global network. Influenza Other Respi Viruses. 2018;12(5):558–65.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2. </w:t>
      </w:r>
      <w:r w:rsidRPr="00D04863">
        <w:rPr>
          <w:rFonts w:ascii="Calibri" w:hAnsi="Calibri" w:cs="Calibri"/>
          <w:noProof/>
          <w:szCs w:val="24"/>
        </w:rPr>
        <w:tab/>
        <w:t xml:space="preserve">Hofer U. Viral evolution: Past, present and future of influenza viruses. Nat Rev Microbiol. 2014;12(4):237.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3. </w:t>
      </w:r>
      <w:r w:rsidRPr="00D04863">
        <w:rPr>
          <w:rFonts w:ascii="Calibri" w:hAnsi="Calibri" w:cs="Calibri"/>
          <w:noProof/>
          <w:szCs w:val="24"/>
        </w:rPr>
        <w:tab/>
        <w:t>Adlhoch C, Delgado-Sanz C, Carnahan AS, Larrauri A, Popovici O, Bossuyt N, et al. Effect of neuraminidase inhibitor (oseltamivir) treatment on outcome of hospitalised influenza patients, surveillance data from 11 EU countries, 2010 to 2020. Euro Surveill [Internet]. 2023;28(4). Available from: http://dx.doi.org/10.2807/1560-7917.ES.2023.28.4.2200340</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4. </w:t>
      </w:r>
      <w:r w:rsidRPr="00D04863">
        <w:rPr>
          <w:rFonts w:ascii="Calibri" w:hAnsi="Calibri" w:cs="Calibri"/>
          <w:noProof/>
          <w:szCs w:val="24"/>
        </w:rPr>
        <w:tab/>
        <w:t xml:space="preserve">Smith BJ. Analysis of inhibitor binding in influenza virus neuraminidase. Protein Sci. 2001;10(4):689–96.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5. </w:t>
      </w:r>
      <w:r w:rsidRPr="00D04863">
        <w:rPr>
          <w:rFonts w:ascii="Calibri" w:hAnsi="Calibri" w:cs="Calibri"/>
          <w:noProof/>
          <w:szCs w:val="24"/>
        </w:rPr>
        <w:tab/>
        <w:t>Li Q, Qi J, Zhang W, Vavricka CJ, Shi Y, Wei J, et al. The 2009 pandemic H1N1 neuraminidase N1 lacks the 150-cavity in its active site. Nat Struct Mol Biol [Internet]. 2010;17(10):1266–8. Available from: http://dx.doi.org/10.1038/nsmb.1909</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6. </w:t>
      </w:r>
      <w:r w:rsidRPr="00D04863">
        <w:rPr>
          <w:rFonts w:ascii="Calibri" w:hAnsi="Calibri" w:cs="Calibri"/>
          <w:noProof/>
          <w:szCs w:val="24"/>
        </w:rPr>
        <w:tab/>
        <w:t xml:space="preserve">Tuong HT, Nguyen NM, Sung HW, Park H, Yeo SJ. Genetic characterization of avian influenza A (H11N9) virus isolated from Mandarin ducks in South Korea in 2018. Viruses. 2020;12(2).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7. </w:t>
      </w:r>
      <w:r w:rsidRPr="00D04863">
        <w:rPr>
          <w:rFonts w:ascii="Calibri" w:hAnsi="Calibri" w:cs="Calibri"/>
          <w:noProof/>
          <w:szCs w:val="24"/>
        </w:rPr>
        <w:tab/>
        <w:t xml:space="preserve">Jefferson T, Jones M, Doshi P, Spencer EA, Onakpoya I, Heneghan CJ. Oseltamivir for influenza in adults and children: Systematic review of clinical study reports and summary of regulatory comments. BMJ. 2014;348(April):1–18.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8. </w:t>
      </w:r>
      <w:r w:rsidRPr="00D04863">
        <w:rPr>
          <w:rFonts w:ascii="Calibri" w:hAnsi="Calibri" w:cs="Calibri"/>
          <w:noProof/>
          <w:szCs w:val="24"/>
        </w:rPr>
        <w:tab/>
        <w:t xml:space="preserve">Heneghan CJ, Onakpoya I, Thompson M, Spencer EA, Jones M, Jefferson T. Zanamivir for influenza in adults and children: Systematic review of clinical study reports and summary of regulatory comments. BMJ. 2014;348(April):1–16.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9. </w:t>
      </w:r>
      <w:r w:rsidRPr="00D04863">
        <w:rPr>
          <w:rFonts w:ascii="Calibri" w:hAnsi="Calibri" w:cs="Calibri"/>
          <w:noProof/>
          <w:szCs w:val="24"/>
        </w:rPr>
        <w:tab/>
        <w:t xml:space="preserve">Ishizuka H, Yoshiba S, Okabe H, Yoshihara K. Clinical pharmacokinetics of laninamivir, a novel long-acting neuraminidase inhibitor, after single and multiple inhaled doses of its prodrug, CS-8958, in healthy male volunteers. J Clin Pharmacol. 2010;50(11):1319–29.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lastRenderedPageBreak/>
        <w:t xml:space="preserve">10. </w:t>
      </w:r>
      <w:r w:rsidRPr="00D04863">
        <w:rPr>
          <w:rFonts w:ascii="Calibri" w:hAnsi="Calibri" w:cs="Calibri"/>
          <w:noProof/>
          <w:szCs w:val="24"/>
        </w:rPr>
        <w:tab/>
        <w:t xml:space="preserve">Mclaughlin MM, Skoglund EW, Ison MG. Peramivir: An intravenous neuraminidase inhibitor. Expert Opin Pharmacother. 2015;16(12):1889–900.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11. </w:t>
      </w:r>
      <w:r w:rsidRPr="00D04863">
        <w:rPr>
          <w:rFonts w:ascii="Calibri" w:hAnsi="Calibri" w:cs="Calibri"/>
          <w:noProof/>
          <w:szCs w:val="24"/>
        </w:rPr>
        <w:tab/>
        <w:t>Kumar D, Ison MG, Mira J-P, Welte T, Hwan Ha J, Hui DS, et al. Combining baloxavir marboxil with standard-of-care neuraminidase inhibitor in patients hospitalised with severe influenza (FLAGSTONE): a randomised, parallel-group, double-blind, placebo-controlled, superiority trial. Lancet Infect Dis [Internet]. 2022 May 1;22(5):718–30. Available from: https://doi.org/10.1016/S1473-3099(21)00469-2</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12. </w:t>
      </w:r>
      <w:r w:rsidRPr="00D04863">
        <w:rPr>
          <w:rFonts w:ascii="Calibri" w:hAnsi="Calibri" w:cs="Calibri"/>
          <w:noProof/>
          <w:szCs w:val="24"/>
        </w:rPr>
        <w:tab/>
        <w:t xml:space="preserve">Sunagawa S, Higa F, Cash HL, Tateyama M, Uno T, Fujita J. Single-dose inhaled laninamivir: Registered in Japan and its potential role in control of influenza epidemics. Influenza Other Respi Viruses. 2013;7(1):1–3.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13. </w:t>
      </w:r>
      <w:r w:rsidRPr="00D04863">
        <w:rPr>
          <w:rFonts w:ascii="Calibri" w:hAnsi="Calibri" w:cs="Calibri"/>
          <w:noProof/>
          <w:szCs w:val="24"/>
        </w:rPr>
        <w:tab/>
        <w:t>Lackenby A, Besselaar TG, Daniels RS, Fry A, Gregory V, Gubareva L V., et al. Global update on the susceptibility of human influenza viruses to neuraminidase inhibitors and status of novel antivirals, 2016–2017. Antiviral Res [Internet]. 2018;157:38–46. Available from: https://doi.org/10.1016/j.antiviral.2018.07.001</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14. </w:t>
      </w:r>
      <w:r w:rsidRPr="00D04863">
        <w:rPr>
          <w:rFonts w:ascii="Calibri" w:hAnsi="Calibri" w:cs="Calibri"/>
          <w:noProof/>
          <w:szCs w:val="24"/>
        </w:rPr>
        <w:tab/>
        <w:t xml:space="preserve">Burley SK, Berman HM, Bhikadiya C, Bi C, Chen L, Di Costanzo L, et al. Protein Data Bank: The single global archive for 3D macromolecular structure data. Nucleic Acids Res. 2019;47(D1):D520–8.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15. </w:t>
      </w:r>
      <w:r w:rsidRPr="00D04863">
        <w:rPr>
          <w:rFonts w:ascii="Calibri" w:hAnsi="Calibri" w:cs="Calibri"/>
          <w:noProof/>
          <w:szCs w:val="24"/>
        </w:rPr>
        <w:tab/>
        <w:t xml:space="preserve">Daina A, Michielin O, Zoete V. SwissADME: A free web tool to evaluate pharmacokinetics, drug-likeness and medicinal chemistry friendliness of small molecules. Sci Rep. 2017;7(January):1–13.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szCs w:val="24"/>
        </w:rPr>
      </w:pPr>
      <w:r w:rsidRPr="00D04863">
        <w:rPr>
          <w:rFonts w:ascii="Calibri" w:hAnsi="Calibri" w:cs="Calibri"/>
          <w:noProof/>
          <w:szCs w:val="24"/>
        </w:rPr>
        <w:t xml:space="preserve">16. </w:t>
      </w:r>
      <w:r w:rsidRPr="00D04863">
        <w:rPr>
          <w:rFonts w:ascii="Calibri" w:hAnsi="Calibri" w:cs="Calibri"/>
          <w:noProof/>
          <w:szCs w:val="24"/>
        </w:rPr>
        <w:tab/>
        <w:t xml:space="preserve">Kesh M, Goel S. Target-Based Screening for Lead Discovery. 2023. 141–173 p. </w:t>
      </w:r>
    </w:p>
    <w:p w:rsidR="00D04863" w:rsidRPr="00D04863" w:rsidRDefault="00D04863" w:rsidP="00D04863">
      <w:pPr>
        <w:widowControl w:val="0"/>
        <w:autoSpaceDE w:val="0"/>
        <w:autoSpaceDN w:val="0"/>
        <w:adjustRightInd w:val="0"/>
        <w:spacing w:line="240" w:lineRule="auto"/>
        <w:ind w:left="640" w:hanging="640"/>
        <w:rPr>
          <w:rFonts w:ascii="Calibri" w:hAnsi="Calibri" w:cs="Calibri"/>
          <w:noProof/>
        </w:rPr>
      </w:pPr>
      <w:r w:rsidRPr="00D04863">
        <w:rPr>
          <w:rFonts w:ascii="Calibri" w:hAnsi="Calibri" w:cs="Calibri"/>
          <w:noProof/>
          <w:szCs w:val="24"/>
        </w:rPr>
        <w:t xml:space="preserve">17. </w:t>
      </w:r>
      <w:r w:rsidRPr="00D04863">
        <w:rPr>
          <w:rFonts w:ascii="Calibri" w:hAnsi="Calibri" w:cs="Calibri"/>
          <w:noProof/>
          <w:szCs w:val="24"/>
        </w:rPr>
        <w:tab/>
        <w:t>Douguet D. e-LEA3D: a computational-aided drug design web server. Nucleic Acids Res [Internet]. 2010 Jul 1;38(suppl_2):W615–21. Available from: https://doi.org/10.1093/nar/gkq322</w:t>
      </w:r>
    </w:p>
    <w:p w:rsidR="002979BF" w:rsidRPr="002979BF" w:rsidRDefault="00657807" w:rsidP="002979BF">
      <w:r>
        <w:fldChar w:fldCharType="end"/>
      </w:r>
    </w:p>
    <w:p w:rsidR="00104F3D" w:rsidRPr="00230142" w:rsidRDefault="00104F3D" w:rsidP="00635CE1">
      <w:pPr>
        <w:jc w:val="both"/>
        <w:rPr>
          <w:rFonts w:ascii="Times New Roman" w:hAnsi="Times New Roman" w:cs="Times New Roman"/>
          <w:sz w:val="32"/>
          <w:szCs w:val="32"/>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CD6BD6" w:rsidRPr="00230142" w:rsidRDefault="00CD6BD6" w:rsidP="00CD6BD6">
      <w:pPr>
        <w:rPr>
          <w:rFonts w:ascii="Times New Roman" w:hAnsi="Times New Roman" w:cs="Times New Roman"/>
          <w:b/>
        </w:rPr>
      </w:pPr>
    </w:p>
    <w:p w:rsidR="004E0C70" w:rsidRPr="00230142" w:rsidRDefault="004E0C70" w:rsidP="004E0C70">
      <w:pPr>
        <w:jc w:val="both"/>
        <w:rPr>
          <w:rFonts w:ascii="Times New Roman" w:hAnsi="Times New Roman" w:cs="Times New Roman"/>
          <w:sz w:val="32"/>
          <w:szCs w:val="32"/>
        </w:rPr>
      </w:pPr>
    </w:p>
    <w:p w:rsidR="005B3543" w:rsidRPr="00230142" w:rsidRDefault="005B3543" w:rsidP="004E0C70">
      <w:pPr>
        <w:jc w:val="both"/>
        <w:rPr>
          <w:rFonts w:ascii="Times New Roman" w:hAnsi="Times New Roman" w:cs="Times New Roman"/>
          <w:sz w:val="32"/>
          <w:szCs w:val="32"/>
        </w:rPr>
      </w:pPr>
    </w:p>
    <w:p w:rsidR="005B3543" w:rsidRPr="00230142" w:rsidRDefault="005B3543" w:rsidP="004E0C70">
      <w:pPr>
        <w:jc w:val="both"/>
        <w:rPr>
          <w:rFonts w:ascii="Times New Roman" w:hAnsi="Times New Roman" w:cs="Times New Roman"/>
          <w:sz w:val="32"/>
          <w:szCs w:val="32"/>
        </w:rPr>
      </w:pPr>
    </w:p>
    <w:p w:rsidR="005B3543" w:rsidRPr="00230142" w:rsidRDefault="005B3543" w:rsidP="004E0C70">
      <w:pPr>
        <w:jc w:val="both"/>
        <w:rPr>
          <w:rFonts w:ascii="Times New Roman" w:hAnsi="Times New Roman" w:cs="Times New Roman"/>
          <w:sz w:val="32"/>
          <w:szCs w:val="32"/>
        </w:rPr>
      </w:pPr>
    </w:p>
    <w:p w:rsidR="005B3543" w:rsidRPr="00230142" w:rsidRDefault="005B3543" w:rsidP="004E0C70">
      <w:pPr>
        <w:jc w:val="both"/>
        <w:rPr>
          <w:rFonts w:ascii="Times New Roman" w:hAnsi="Times New Roman" w:cs="Times New Roman"/>
          <w:sz w:val="32"/>
          <w:szCs w:val="32"/>
        </w:rPr>
      </w:pPr>
    </w:p>
    <w:p w:rsidR="005B3543" w:rsidRPr="00230142" w:rsidRDefault="005B3543"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DF4645" w:rsidRPr="00230142" w:rsidRDefault="00DF4645" w:rsidP="004E0C70">
      <w:pPr>
        <w:jc w:val="both"/>
        <w:rPr>
          <w:rFonts w:ascii="Times New Roman" w:hAnsi="Times New Roman" w:cs="Times New Roman"/>
          <w:sz w:val="32"/>
          <w:szCs w:val="32"/>
        </w:rPr>
      </w:pPr>
    </w:p>
    <w:p w:rsidR="00DF4645" w:rsidRPr="00230142" w:rsidRDefault="00DF4645" w:rsidP="004E0C70">
      <w:pPr>
        <w:jc w:val="both"/>
        <w:rPr>
          <w:rFonts w:ascii="Times New Roman" w:hAnsi="Times New Roman" w:cs="Times New Roman"/>
          <w:sz w:val="32"/>
          <w:szCs w:val="32"/>
        </w:rPr>
      </w:pPr>
    </w:p>
    <w:p w:rsidR="00DF4645" w:rsidRPr="00230142" w:rsidRDefault="00DF4645"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CD6BD6" w:rsidRPr="00230142" w:rsidRDefault="00CD6BD6" w:rsidP="004E0C70">
      <w:pPr>
        <w:jc w:val="both"/>
        <w:rPr>
          <w:rFonts w:ascii="Times New Roman" w:hAnsi="Times New Roman" w:cs="Times New Roman"/>
          <w:sz w:val="32"/>
          <w:szCs w:val="32"/>
        </w:rPr>
      </w:pPr>
    </w:p>
    <w:p w:rsidR="00AE6D65" w:rsidRDefault="00AE6D65" w:rsidP="004E0C70">
      <w:pPr>
        <w:jc w:val="both"/>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Pr="00AE6D65" w:rsidRDefault="00AE6D65" w:rsidP="00AE6D65">
      <w:pPr>
        <w:rPr>
          <w:rFonts w:ascii="Times New Roman" w:hAnsi="Times New Roman" w:cs="Times New Roman"/>
          <w:sz w:val="32"/>
          <w:szCs w:val="32"/>
        </w:rPr>
      </w:pPr>
    </w:p>
    <w:p w:rsidR="00AE6D65" w:rsidRDefault="00AE6D65" w:rsidP="00AE6D65">
      <w:pPr>
        <w:rPr>
          <w:rFonts w:ascii="Times New Roman" w:hAnsi="Times New Roman" w:cs="Times New Roman"/>
          <w:sz w:val="32"/>
          <w:szCs w:val="32"/>
        </w:rPr>
      </w:pPr>
    </w:p>
    <w:sectPr w:rsidR="00AE6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659" w:rsidRDefault="00DD1659" w:rsidP="00AE6D65">
      <w:pPr>
        <w:spacing w:after="0" w:line="240" w:lineRule="auto"/>
      </w:pPr>
      <w:r>
        <w:separator/>
      </w:r>
    </w:p>
  </w:endnote>
  <w:endnote w:type="continuationSeparator" w:id="0">
    <w:p w:rsidR="00DD1659" w:rsidRDefault="00DD1659" w:rsidP="00AE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659" w:rsidRDefault="00DD1659" w:rsidP="00AE6D65">
      <w:pPr>
        <w:spacing w:after="0" w:line="240" w:lineRule="auto"/>
      </w:pPr>
      <w:r>
        <w:separator/>
      </w:r>
    </w:p>
  </w:footnote>
  <w:footnote w:type="continuationSeparator" w:id="0">
    <w:p w:rsidR="00DD1659" w:rsidRDefault="00DD1659" w:rsidP="00AE6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D2E03"/>
    <w:multiLevelType w:val="hybridMultilevel"/>
    <w:tmpl w:val="007A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C10997"/>
    <w:multiLevelType w:val="hybridMultilevel"/>
    <w:tmpl w:val="911C71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5C2E6A"/>
    <w:multiLevelType w:val="hybridMultilevel"/>
    <w:tmpl w:val="159A006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F64125"/>
    <w:multiLevelType w:val="hybridMultilevel"/>
    <w:tmpl w:val="B2584F6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41B44CB4"/>
    <w:multiLevelType w:val="hybridMultilevel"/>
    <w:tmpl w:val="01FEB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E64D03"/>
    <w:multiLevelType w:val="hybridMultilevel"/>
    <w:tmpl w:val="B208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D614FE"/>
    <w:multiLevelType w:val="hybridMultilevel"/>
    <w:tmpl w:val="88743754"/>
    <w:lvl w:ilvl="0" w:tplc="191A502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5"/>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D56"/>
    <w:rsid w:val="00001ED2"/>
    <w:rsid w:val="00003638"/>
    <w:rsid w:val="000546FD"/>
    <w:rsid w:val="00061015"/>
    <w:rsid w:val="000776EC"/>
    <w:rsid w:val="000A2C4B"/>
    <w:rsid w:val="000A3C10"/>
    <w:rsid w:val="000B040B"/>
    <w:rsid w:val="000B631A"/>
    <w:rsid w:val="000C6B96"/>
    <w:rsid w:val="000C7A7F"/>
    <w:rsid w:val="00104F3D"/>
    <w:rsid w:val="00120618"/>
    <w:rsid w:val="00183FB2"/>
    <w:rsid w:val="001A5A2A"/>
    <w:rsid w:val="001D5507"/>
    <w:rsid w:val="001F1C98"/>
    <w:rsid w:val="00230142"/>
    <w:rsid w:val="00253E0C"/>
    <w:rsid w:val="0025654F"/>
    <w:rsid w:val="00296015"/>
    <w:rsid w:val="002979BF"/>
    <w:rsid w:val="002C0B4C"/>
    <w:rsid w:val="002D0C67"/>
    <w:rsid w:val="002D3C52"/>
    <w:rsid w:val="002E123F"/>
    <w:rsid w:val="0030160F"/>
    <w:rsid w:val="003053DD"/>
    <w:rsid w:val="00321FEF"/>
    <w:rsid w:val="00323AB7"/>
    <w:rsid w:val="00332B56"/>
    <w:rsid w:val="00335A7C"/>
    <w:rsid w:val="00365A98"/>
    <w:rsid w:val="00377D9B"/>
    <w:rsid w:val="003912F1"/>
    <w:rsid w:val="003A22AB"/>
    <w:rsid w:val="003A6239"/>
    <w:rsid w:val="003A6B55"/>
    <w:rsid w:val="003B150E"/>
    <w:rsid w:val="003D3B28"/>
    <w:rsid w:val="00407BDF"/>
    <w:rsid w:val="00411802"/>
    <w:rsid w:val="00425E50"/>
    <w:rsid w:val="00430351"/>
    <w:rsid w:val="00437CF4"/>
    <w:rsid w:val="00441565"/>
    <w:rsid w:val="00443B22"/>
    <w:rsid w:val="0048358D"/>
    <w:rsid w:val="004D2A5D"/>
    <w:rsid w:val="004E0C70"/>
    <w:rsid w:val="004F2437"/>
    <w:rsid w:val="00507697"/>
    <w:rsid w:val="00512EED"/>
    <w:rsid w:val="00516955"/>
    <w:rsid w:val="00525DE8"/>
    <w:rsid w:val="00526908"/>
    <w:rsid w:val="0054479E"/>
    <w:rsid w:val="00552C9E"/>
    <w:rsid w:val="005B0295"/>
    <w:rsid w:val="005B0BA1"/>
    <w:rsid w:val="005B3543"/>
    <w:rsid w:val="005B5876"/>
    <w:rsid w:val="00602C34"/>
    <w:rsid w:val="00616EF6"/>
    <w:rsid w:val="00625E80"/>
    <w:rsid w:val="00633661"/>
    <w:rsid w:val="00635CE1"/>
    <w:rsid w:val="00647936"/>
    <w:rsid w:val="00657807"/>
    <w:rsid w:val="006924CF"/>
    <w:rsid w:val="006E0849"/>
    <w:rsid w:val="007031BE"/>
    <w:rsid w:val="007075A4"/>
    <w:rsid w:val="00741A2F"/>
    <w:rsid w:val="0074717F"/>
    <w:rsid w:val="00755E2F"/>
    <w:rsid w:val="00760703"/>
    <w:rsid w:val="007D6E8A"/>
    <w:rsid w:val="007E537C"/>
    <w:rsid w:val="00861651"/>
    <w:rsid w:val="00874E32"/>
    <w:rsid w:val="00883001"/>
    <w:rsid w:val="008850E9"/>
    <w:rsid w:val="008860BD"/>
    <w:rsid w:val="008B039F"/>
    <w:rsid w:val="008C4272"/>
    <w:rsid w:val="008C6B39"/>
    <w:rsid w:val="008E7AB7"/>
    <w:rsid w:val="009665E4"/>
    <w:rsid w:val="00975D56"/>
    <w:rsid w:val="009766E5"/>
    <w:rsid w:val="00993A43"/>
    <w:rsid w:val="009A7656"/>
    <w:rsid w:val="009B46F6"/>
    <w:rsid w:val="009F075D"/>
    <w:rsid w:val="009F2EA4"/>
    <w:rsid w:val="00A153E8"/>
    <w:rsid w:val="00A17A5F"/>
    <w:rsid w:val="00A420B1"/>
    <w:rsid w:val="00A43B16"/>
    <w:rsid w:val="00A45167"/>
    <w:rsid w:val="00A4546E"/>
    <w:rsid w:val="00A56646"/>
    <w:rsid w:val="00A81587"/>
    <w:rsid w:val="00AE6D65"/>
    <w:rsid w:val="00AF0D58"/>
    <w:rsid w:val="00B00752"/>
    <w:rsid w:val="00B01A42"/>
    <w:rsid w:val="00B17905"/>
    <w:rsid w:val="00B20665"/>
    <w:rsid w:val="00B21ED8"/>
    <w:rsid w:val="00B33941"/>
    <w:rsid w:val="00B436BE"/>
    <w:rsid w:val="00B63347"/>
    <w:rsid w:val="00B72115"/>
    <w:rsid w:val="00BA09F3"/>
    <w:rsid w:val="00BB7E57"/>
    <w:rsid w:val="00C01112"/>
    <w:rsid w:val="00C02843"/>
    <w:rsid w:val="00C030AC"/>
    <w:rsid w:val="00C05E34"/>
    <w:rsid w:val="00C229AD"/>
    <w:rsid w:val="00C3585A"/>
    <w:rsid w:val="00C7057D"/>
    <w:rsid w:val="00C90BC3"/>
    <w:rsid w:val="00CC1F54"/>
    <w:rsid w:val="00CC20D2"/>
    <w:rsid w:val="00CD6BD6"/>
    <w:rsid w:val="00CD6E85"/>
    <w:rsid w:val="00CE4977"/>
    <w:rsid w:val="00D04863"/>
    <w:rsid w:val="00D05FA0"/>
    <w:rsid w:val="00D302FA"/>
    <w:rsid w:val="00D451B6"/>
    <w:rsid w:val="00D73345"/>
    <w:rsid w:val="00DA2C4A"/>
    <w:rsid w:val="00DB7431"/>
    <w:rsid w:val="00DD1659"/>
    <w:rsid w:val="00DD388B"/>
    <w:rsid w:val="00DF4645"/>
    <w:rsid w:val="00E00C95"/>
    <w:rsid w:val="00E2032A"/>
    <w:rsid w:val="00E46B23"/>
    <w:rsid w:val="00E70094"/>
    <w:rsid w:val="00E81B63"/>
    <w:rsid w:val="00EB312D"/>
    <w:rsid w:val="00EC768E"/>
    <w:rsid w:val="00ED4AF6"/>
    <w:rsid w:val="00F01D86"/>
    <w:rsid w:val="00F27BF9"/>
    <w:rsid w:val="00F53832"/>
    <w:rsid w:val="00F62D4E"/>
    <w:rsid w:val="00F73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D1356A-5E01-4815-A302-A4F74DA2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0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610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7C"/>
    <w:pPr>
      <w:ind w:left="720"/>
      <w:contextualSpacing/>
    </w:pPr>
  </w:style>
  <w:style w:type="character" w:customStyle="1" w:styleId="Heading1Char">
    <w:name w:val="Heading 1 Char"/>
    <w:basedOn w:val="DefaultParagraphFont"/>
    <w:link w:val="Heading1"/>
    <w:uiPriority w:val="9"/>
    <w:rsid w:val="000B040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6101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04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D6BD6"/>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39"/>
    <w:rsid w:val="00861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E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D65"/>
  </w:style>
  <w:style w:type="paragraph" w:styleId="Footer">
    <w:name w:val="footer"/>
    <w:basedOn w:val="Normal"/>
    <w:link w:val="FooterChar"/>
    <w:uiPriority w:val="99"/>
    <w:unhideWhenUsed/>
    <w:rsid w:val="00AE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D65"/>
  </w:style>
  <w:style w:type="paragraph" w:styleId="NoSpacing">
    <w:name w:val="No Spacing"/>
    <w:uiPriority w:val="1"/>
    <w:qFormat/>
    <w:rsid w:val="009766E5"/>
    <w:pPr>
      <w:spacing w:after="0" w:line="240" w:lineRule="auto"/>
    </w:pPr>
    <w:rPr>
      <w:rFonts w:eastAsiaTheme="minorEastAsia"/>
      <w:szCs w:val="20"/>
      <w:lang w:val="en-IN" w:eastAsia="ja-JP"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3670">
      <w:bodyDiv w:val="1"/>
      <w:marLeft w:val="0"/>
      <w:marRight w:val="0"/>
      <w:marTop w:val="0"/>
      <w:marBottom w:val="0"/>
      <w:divBdr>
        <w:top w:val="none" w:sz="0" w:space="0" w:color="auto"/>
        <w:left w:val="none" w:sz="0" w:space="0" w:color="auto"/>
        <w:bottom w:val="none" w:sz="0" w:space="0" w:color="auto"/>
        <w:right w:val="none" w:sz="0" w:space="0" w:color="auto"/>
      </w:divBdr>
    </w:div>
    <w:div w:id="63187590">
      <w:bodyDiv w:val="1"/>
      <w:marLeft w:val="0"/>
      <w:marRight w:val="0"/>
      <w:marTop w:val="0"/>
      <w:marBottom w:val="0"/>
      <w:divBdr>
        <w:top w:val="none" w:sz="0" w:space="0" w:color="auto"/>
        <w:left w:val="none" w:sz="0" w:space="0" w:color="auto"/>
        <w:bottom w:val="none" w:sz="0" w:space="0" w:color="auto"/>
        <w:right w:val="none" w:sz="0" w:space="0" w:color="auto"/>
      </w:divBdr>
    </w:div>
    <w:div w:id="430012770">
      <w:bodyDiv w:val="1"/>
      <w:marLeft w:val="0"/>
      <w:marRight w:val="0"/>
      <w:marTop w:val="0"/>
      <w:marBottom w:val="0"/>
      <w:divBdr>
        <w:top w:val="none" w:sz="0" w:space="0" w:color="auto"/>
        <w:left w:val="none" w:sz="0" w:space="0" w:color="auto"/>
        <w:bottom w:val="none" w:sz="0" w:space="0" w:color="auto"/>
        <w:right w:val="none" w:sz="0" w:space="0" w:color="auto"/>
      </w:divBdr>
    </w:div>
    <w:div w:id="539166735">
      <w:bodyDiv w:val="1"/>
      <w:marLeft w:val="0"/>
      <w:marRight w:val="0"/>
      <w:marTop w:val="0"/>
      <w:marBottom w:val="0"/>
      <w:divBdr>
        <w:top w:val="none" w:sz="0" w:space="0" w:color="auto"/>
        <w:left w:val="none" w:sz="0" w:space="0" w:color="auto"/>
        <w:bottom w:val="none" w:sz="0" w:space="0" w:color="auto"/>
        <w:right w:val="none" w:sz="0" w:space="0" w:color="auto"/>
      </w:divBdr>
    </w:div>
    <w:div w:id="1540311781">
      <w:bodyDiv w:val="1"/>
      <w:marLeft w:val="0"/>
      <w:marRight w:val="0"/>
      <w:marTop w:val="0"/>
      <w:marBottom w:val="0"/>
      <w:divBdr>
        <w:top w:val="none" w:sz="0" w:space="0" w:color="auto"/>
        <w:left w:val="none" w:sz="0" w:space="0" w:color="auto"/>
        <w:bottom w:val="none" w:sz="0" w:space="0" w:color="auto"/>
        <w:right w:val="none" w:sz="0" w:space="0" w:color="auto"/>
      </w:divBdr>
    </w:div>
    <w:div w:id="1793480789">
      <w:bodyDiv w:val="1"/>
      <w:marLeft w:val="0"/>
      <w:marRight w:val="0"/>
      <w:marTop w:val="0"/>
      <w:marBottom w:val="0"/>
      <w:divBdr>
        <w:top w:val="none" w:sz="0" w:space="0" w:color="auto"/>
        <w:left w:val="none" w:sz="0" w:space="0" w:color="auto"/>
        <w:bottom w:val="none" w:sz="0" w:space="0" w:color="auto"/>
        <w:right w:val="none" w:sz="0" w:space="0" w:color="auto"/>
      </w:divBdr>
    </w:div>
    <w:div w:id="179748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ana.organic17@gmail.com" TargetMode="External"/><Relationship Id="rId13" Type="http://schemas.openxmlformats.org/officeDocument/2006/relationships/image" Target="media/image2.png"/><Relationship Id="rId18" Type="http://schemas.openxmlformats.org/officeDocument/2006/relationships/image" Target="media/image6.tif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vita.kumar@gmail.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dr_yogendrak@yahoo.com"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Vishnu.vats@dseu.ac.in"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0AF8A-7A02-4185-B87B-E2D84953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8304</TotalTime>
  <Pages>17</Pages>
  <Words>10934</Words>
  <Characters>64512</Characters>
  <Application>Microsoft Office Word</Application>
  <DocSecurity>0</DocSecurity>
  <Lines>2224</Lines>
  <Paragraphs>2218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81</cp:revision>
  <dcterms:created xsi:type="dcterms:W3CDTF">2023-07-28T04:14:00Z</dcterms:created>
  <dcterms:modified xsi:type="dcterms:W3CDTF">2023-08-17T09:02:00Z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069d76cd797b2bfc65a8402cdda7d5a28c71fdae7649ab29324f434afd51d497</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f4052173-b8b3-371e-ab46-620fdc7f82a3</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