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bCs/>
          <w:sz w:val="24"/>
          <w:szCs w:val="24"/>
        </w:rPr>
      </w:pPr>
      <w:r>
        <w:rPr>
          <w:rFonts w:ascii="Times New Roman" w:hAnsi="Times New Roman" w:cs="Times New Roman"/>
          <w:b/>
          <w:bCs/>
          <w:sz w:val="24"/>
          <w:szCs w:val="24"/>
        </w:rPr>
        <w:t>ROLE OF ENDOPHYTIC FUNGI IN PLANT DEFENCE MECHANISM</w:t>
      </w:r>
    </w:p>
    <w:p>
      <w:pPr>
        <w:jc w:val="center"/>
        <w:rPr>
          <w:rFonts w:ascii="Times New Roman" w:hAnsi="Times New Roman" w:cs="Times New Roman"/>
          <w:b/>
          <w:bCs/>
          <w:sz w:val="24"/>
          <w:szCs w:val="24"/>
          <w:vertAlign w:val="superscript"/>
        </w:rPr>
      </w:pPr>
      <w:r>
        <w:rPr>
          <w:rFonts w:ascii="Times New Roman" w:hAnsi="Times New Roman" w:cs="Times New Roman"/>
          <w:b/>
          <w:bCs/>
          <w:sz w:val="24"/>
          <w:szCs w:val="24"/>
        </w:rPr>
        <w:t>NIVETHA L,  PAVITHRA K and SUNDAR. M</w:t>
      </w:r>
    </w:p>
    <w:p>
      <w:pPr>
        <w:pStyle w:val="11"/>
        <w:numPr>
          <w:ilvl w:val="0"/>
          <w:numId w:val="1"/>
        </w:numPr>
        <w:rPr>
          <w:rFonts w:ascii="Times New Roman" w:hAnsi="Times New Roman" w:cs="Times New Roman"/>
          <w:sz w:val="24"/>
          <w:szCs w:val="24"/>
        </w:rPr>
      </w:pPr>
      <w:r>
        <w:rPr>
          <w:rFonts w:ascii="Times New Roman" w:hAnsi="Times New Roman" w:cs="Times New Roman"/>
          <w:sz w:val="24"/>
          <w:szCs w:val="24"/>
        </w:rPr>
        <w:t xml:space="preserve">Assistant professor, </w:t>
      </w:r>
      <w:r>
        <w:rPr>
          <w:rFonts w:hint="default" w:ascii="Times New Roman" w:hAnsi="Times New Roman" w:cs="Times New Roman"/>
          <w:sz w:val="24"/>
          <w:szCs w:val="24"/>
          <w:lang w:val="en-US"/>
        </w:rPr>
        <w:t>D</w:t>
      </w:r>
      <w:r>
        <w:rPr>
          <w:rFonts w:ascii="Times New Roman" w:hAnsi="Times New Roman" w:cs="Times New Roman"/>
          <w:sz w:val="24"/>
          <w:szCs w:val="24"/>
        </w:rPr>
        <w:t>epartment of Biotechnology, PSG College of Arts &amp; Science</w:t>
      </w:r>
    </w:p>
    <w:p>
      <w:pPr>
        <w:pStyle w:val="11"/>
        <w:numPr>
          <w:ilvl w:val="0"/>
          <w:numId w:val="1"/>
        </w:numPr>
        <w:rPr>
          <w:rFonts w:ascii="Times New Roman" w:hAnsi="Times New Roman" w:cs="Times New Roman"/>
          <w:sz w:val="24"/>
          <w:szCs w:val="24"/>
        </w:rPr>
      </w:pPr>
      <w:r>
        <w:rPr>
          <w:rFonts w:ascii="Times New Roman" w:hAnsi="Times New Roman" w:cs="Times New Roman"/>
          <w:sz w:val="24"/>
          <w:szCs w:val="24"/>
        </w:rPr>
        <w:t xml:space="preserve">Research scholar, </w:t>
      </w:r>
      <w:r>
        <w:rPr>
          <w:rFonts w:hint="default" w:ascii="Times New Roman" w:hAnsi="Times New Roman" w:cs="Times New Roman"/>
          <w:sz w:val="24"/>
          <w:szCs w:val="24"/>
          <w:lang w:val="en-US"/>
        </w:rPr>
        <w:t>D</w:t>
      </w:r>
      <w:r>
        <w:rPr>
          <w:rFonts w:ascii="Times New Roman" w:hAnsi="Times New Roman" w:cs="Times New Roman"/>
          <w:sz w:val="24"/>
          <w:szCs w:val="24"/>
        </w:rPr>
        <w:t>epartment of Biotechnology, PSG College of Arts &amp; Science</w:t>
      </w:r>
    </w:p>
    <w:p>
      <w:pPr>
        <w:pStyle w:val="11"/>
        <w:numPr>
          <w:ilvl w:val="0"/>
          <w:numId w:val="1"/>
        </w:numPr>
        <w:rPr>
          <w:rFonts w:ascii="Times New Roman" w:hAnsi="Times New Roman" w:cs="Times New Roman"/>
          <w:sz w:val="24"/>
          <w:szCs w:val="24"/>
        </w:rPr>
      </w:pPr>
      <w:r>
        <w:rPr>
          <w:rFonts w:ascii="Times New Roman" w:hAnsi="Times New Roman" w:cs="Times New Roman"/>
          <w:sz w:val="24"/>
          <w:szCs w:val="24"/>
        </w:rPr>
        <w:t xml:space="preserve">Research scholar, </w:t>
      </w:r>
      <w:r>
        <w:rPr>
          <w:rFonts w:hint="default" w:ascii="Times New Roman" w:hAnsi="Times New Roman" w:cs="Times New Roman"/>
          <w:sz w:val="24"/>
          <w:szCs w:val="24"/>
          <w:lang w:val="en-US"/>
        </w:rPr>
        <w:t>D</w:t>
      </w:r>
      <w:r>
        <w:rPr>
          <w:rFonts w:ascii="Times New Roman" w:hAnsi="Times New Roman" w:cs="Times New Roman"/>
          <w:sz w:val="24"/>
          <w:szCs w:val="24"/>
        </w:rPr>
        <w:t>epartment of Biotechnology, PSG College of Arts &amp; Science</w:t>
      </w:r>
    </w:p>
    <w:p>
      <w:pPr>
        <w:ind w:left="360"/>
        <w:jc w:val="center"/>
        <w:rPr>
          <w:rFonts w:ascii="Times New Roman" w:hAnsi="Times New Roman" w:cs="Times New Roman"/>
          <w:sz w:val="24"/>
          <w:szCs w:val="24"/>
        </w:rPr>
      </w:pPr>
      <w:r>
        <w:rPr>
          <w:rFonts w:ascii="Times New Roman" w:hAnsi="Times New Roman" w:cs="Times New Roman"/>
          <w:sz w:val="24"/>
          <w:szCs w:val="24"/>
        </w:rPr>
        <w:t>mail.id: nivedha.laxman@gmail.com</w:t>
      </w:r>
    </w:p>
    <w:p>
      <w:pPr>
        <w:jc w:val="both"/>
        <w:rPr>
          <w:rFonts w:ascii="Times New Roman" w:hAnsi="Times New Roman" w:cs="Times New Roman"/>
          <w:sz w:val="24"/>
          <w:szCs w:val="24"/>
        </w:rPr>
      </w:pPr>
      <w:r>
        <w:rPr>
          <w:rFonts w:ascii="Times New Roman" w:hAnsi="Times New Roman" w:cs="Times New Roman"/>
          <w:sz w:val="24"/>
          <w:szCs w:val="24"/>
        </w:rPr>
        <w:t>ABSTRACT</w:t>
      </w:r>
    </w:p>
    <w:p>
      <w:pPr>
        <w:jc w:val="both"/>
        <w:rPr>
          <w:rFonts w:ascii="Times New Roman" w:hAnsi="Times New Roman" w:cs="Times New Roman"/>
          <w:sz w:val="24"/>
          <w:szCs w:val="24"/>
        </w:rPr>
      </w:pPr>
      <w:r>
        <w:rPr>
          <w:rFonts w:ascii="Times New Roman" w:hAnsi="Times New Roman" w:cs="Times New Roman"/>
          <w:sz w:val="24"/>
          <w:szCs w:val="24"/>
        </w:rPr>
        <w:t>The enigmatic endophytic fungi are starting to emerge. They can use the host to their advantage, much like infections, to develop their ideal environment. Some endophytic modifications can be used for biological control because they cause resistance or otherwise outcompete pathogens. Endophytes create effector proteins and other compounds, such as specific metabolites, phytohormones, and microRNAs, to influence their hosts and other microbes they come into contact with, just like pathogens and other symbionts. From endophyte to a pathogen. Some microorganisms can infect or wreak illness in some hosts but not in others. Understanding the biological processes driving endophytic fungal relationships has been made possible by the use of molecular genetics methods in conjunction with functional characterization.</w:t>
      </w:r>
    </w:p>
    <w:p>
      <w:pPr>
        <w:jc w:val="both"/>
        <w:rPr>
          <w:rFonts w:ascii="Times New Roman" w:hAnsi="Times New Roman" w:cs="Times New Roman"/>
          <w:sz w:val="24"/>
          <w:szCs w:val="24"/>
        </w:rPr>
      </w:pPr>
      <w:r>
        <w:rPr>
          <w:rFonts w:ascii="Times New Roman" w:hAnsi="Times New Roman" w:cs="Times New Roman"/>
          <w:sz w:val="24"/>
          <w:szCs w:val="24"/>
        </w:rPr>
        <w:t>Keywords: endophytic fungi, host, resistance, phytohormone.</w:t>
      </w:r>
    </w:p>
    <w:p>
      <w:pPr>
        <w:jc w:val="both"/>
        <w:rPr>
          <w:rFonts w:ascii="Times New Roman" w:hAnsi="Times New Roman" w:cs="Times New Roman"/>
          <w:sz w:val="24"/>
          <w:szCs w:val="24"/>
        </w:rPr>
      </w:pPr>
      <w:r>
        <w:rPr>
          <w:rFonts w:ascii="Times New Roman" w:hAnsi="Times New Roman" w:cs="Times New Roman"/>
          <w:sz w:val="24"/>
          <w:szCs w:val="24"/>
        </w:rPr>
        <w:t>INTRODUCTION</w:t>
      </w:r>
    </w:p>
    <w:p>
      <w:pPr>
        <w:jc w:val="both"/>
        <w:rPr>
          <w:rFonts w:ascii="Times New Roman" w:hAnsi="Times New Roman" w:cs="Times New Roman"/>
          <w:sz w:val="24"/>
          <w:szCs w:val="24"/>
        </w:rPr>
      </w:pPr>
      <w:r>
        <w:rPr>
          <w:rFonts w:ascii="Times New Roman" w:hAnsi="Times New Roman" w:cs="Times New Roman"/>
          <w:sz w:val="24"/>
          <w:szCs w:val="24"/>
        </w:rPr>
        <w:t>The pioneer of modern plant pathology, Anton de Bary, developed the term "endophyte" to describe "any organism growing within plant tissues" (de Bary, 2016). Endophyte is a contraction of the words "within" and "plant." Only those organisms that do not spread disease and occasionally even benefit their hosts are included in the improved definition of what is currently considered acceptable (Jørgensen et al, 2020 and Collinge et al, 2019). All kinds of plants have endophytes, and microorganisms across all spheres of life have adopted an endophytic lifestyle that can benefit plant growth, increase its capacity to adapt to abiotic stress and help it fight off pathogens and pests (Hardoim et al, 2015, Grabka et al, 2022). A given organism can be a pathogen in some situations (depending on the environment or host) or possibly even mutualistic in others, which presents a biological and semantic conundrum (Freeman and Rodriguez. 1993 and Redman et al 2011). In this review, we focus on recent research that has added new information about the lethal interactions between pathogenic and other fungi, as well as their hosts, and endophytic fungi (EF).</w:t>
      </w:r>
    </w:p>
    <w:p>
      <w:pPr>
        <w:jc w:val="both"/>
        <w:rPr>
          <w:rFonts w:ascii="Times New Roman" w:hAnsi="Times New Roman" w:cs="Times New Roman"/>
          <w:sz w:val="24"/>
          <w:szCs w:val="24"/>
        </w:rPr>
      </w:pPr>
      <w:r>
        <w:rPr>
          <w:rFonts w:ascii="Times New Roman" w:hAnsi="Times New Roman" w:cs="Times New Roman"/>
          <w:sz w:val="24"/>
          <w:szCs w:val="24"/>
        </w:rPr>
        <w:t>ENDOPHYTIC LIFE</w:t>
      </w:r>
    </w:p>
    <w:p>
      <w:pPr>
        <w:jc w:val="both"/>
        <w:rPr>
          <w:rFonts w:ascii="Times New Roman" w:hAnsi="Times New Roman" w:cs="Times New Roman"/>
          <w:sz w:val="24"/>
          <w:szCs w:val="24"/>
        </w:rPr>
      </w:pPr>
      <w:r>
        <w:rPr>
          <w:rFonts w:ascii="Times New Roman" w:hAnsi="Times New Roman" w:cs="Times New Roman"/>
          <w:sz w:val="24"/>
          <w:szCs w:val="24"/>
        </w:rPr>
        <w:t xml:space="preserve">The plant is home to many microbe communities known as the microbiome (Berg et al., 2020, 2021), which is occasionally enlarged to include the path biome (Bez et al, 2021 Droby et al, 2022). This complex creature is known as a holobiont (Hassani et al., 2018). To assess the health of the host, the pathobiome concept has been used in cases where the disease is thought to be caused by interactions between a group of organisms (including eukaryotic, microbial, and viral communities) within the plant and its biotic environment </w:t>
      </w:r>
      <w:r>
        <w:rPr>
          <w:rFonts w:hint="default" w:ascii="Times New Roman" w:hAnsi="Times New Roman" w:cs="Times New Roman"/>
          <w:sz w:val="24"/>
          <w:szCs w:val="24"/>
          <w:lang w:val="en-US"/>
        </w:rPr>
        <w:t>(</w:t>
      </w:r>
      <w:r>
        <w:rPr>
          <w:rFonts w:ascii="Times New Roman" w:hAnsi="Times New Roman" w:cs="Times New Roman"/>
          <w:sz w:val="24"/>
          <w:szCs w:val="24"/>
        </w:rPr>
        <w:t>Bass et al., 2019</w:t>
      </w:r>
      <w:r>
        <w:rPr>
          <w:rFonts w:hint="default" w:ascii="Times New Roman" w:hAnsi="Times New Roman" w:cs="Times New Roman"/>
          <w:sz w:val="24"/>
          <w:szCs w:val="24"/>
          <w:lang w:val="en-US"/>
        </w:rPr>
        <w:t>)</w:t>
      </w:r>
      <w:r>
        <w:rPr>
          <w:rFonts w:ascii="Times New Roman" w:hAnsi="Times New Roman" w:cs="Times New Roman"/>
          <w:sz w:val="24"/>
          <w:szCs w:val="24"/>
        </w:rPr>
        <w:t>. The interactions between the organisms range from mutualism over commensalism to amensalism and parasitism, and they may reside inside the plant for their whole life cycle or just at specific stages (J</w:t>
      </w:r>
      <w:r>
        <w:rPr>
          <w:rFonts w:hint="default" w:ascii="Times New Roman" w:hAnsi="Times New Roman" w:cs="Times New Roman"/>
          <w:sz w:val="24"/>
          <w:szCs w:val="24"/>
          <w:lang w:val="en-US"/>
        </w:rPr>
        <w:t>o</w:t>
      </w:r>
      <w:r>
        <w:rPr>
          <w:rFonts w:ascii="Times New Roman" w:hAnsi="Times New Roman" w:cs="Times New Roman"/>
          <w:sz w:val="24"/>
          <w:szCs w:val="24"/>
        </w:rPr>
        <w:t>rgensen et al. 2020). All interactions between plants and the organisms that live inside of them share the characteristic of being controlled by intricate mechanisms that we are only now starting to comprehend. The same is true for successful infections (de Queiroz and Santana. 2020), but endophytes have devised different strategies to avoid provoking the plant immune system to the point where their colonisation is halted (Lu et al., 2021).</w:t>
      </w:r>
    </w:p>
    <w:p>
      <w:pPr>
        <w:jc w:val="both"/>
        <w:rPr>
          <w:rFonts w:ascii="Times New Roman" w:hAnsi="Times New Roman" w:cs="Times New Roman"/>
          <w:sz w:val="24"/>
          <w:szCs w:val="24"/>
        </w:rPr>
      </w:pPr>
      <w:r>
        <w:rPr>
          <w:rFonts w:ascii="Times New Roman" w:hAnsi="Times New Roman" w:cs="Times New Roman"/>
          <w:sz w:val="24"/>
          <w:szCs w:val="24"/>
        </w:rPr>
        <w:t xml:space="preserve">Although 'real' endophytes do not infect plants with the disease, there are numerous instances in which an organism that is a known pathogen in one host plant can be found colonising another plant species without infecting that host, so acting as an endophyte there. For instance, the barley pathogen </w:t>
      </w:r>
      <w:r>
        <w:rPr>
          <w:rFonts w:ascii="Times New Roman" w:hAnsi="Times New Roman" w:cs="Times New Roman"/>
          <w:i/>
          <w:sz w:val="24"/>
          <w:szCs w:val="24"/>
        </w:rPr>
        <w:t>Ramularia collo-cygni</w:t>
      </w:r>
      <w:r>
        <w:rPr>
          <w:rFonts w:ascii="Times New Roman" w:hAnsi="Times New Roman" w:cs="Times New Roman"/>
          <w:sz w:val="24"/>
          <w:szCs w:val="24"/>
        </w:rPr>
        <w:t xml:space="preserve"> is a harmless endophyte in other cereals (Kaczmarek et al., 2017) and </w:t>
      </w:r>
      <w:r>
        <w:rPr>
          <w:rFonts w:ascii="Times New Roman" w:hAnsi="Times New Roman" w:cs="Times New Roman"/>
          <w:i/>
          <w:sz w:val="24"/>
          <w:szCs w:val="24"/>
        </w:rPr>
        <w:t>Fusarium</w:t>
      </w:r>
      <w:r>
        <w:rPr>
          <w:rFonts w:ascii="Times New Roman" w:hAnsi="Times New Roman" w:cs="Times New Roman"/>
          <w:sz w:val="24"/>
          <w:szCs w:val="24"/>
        </w:rPr>
        <w:t xml:space="preserve"> species that cause head blight in cereals have been discovered in carrots (Louarn et al., 2013). Fungi like </w:t>
      </w:r>
      <w:r>
        <w:rPr>
          <w:rFonts w:ascii="Times New Roman" w:hAnsi="Times New Roman" w:cs="Times New Roman"/>
          <w:i/>
          <w:sz w:val="24"/>
          <w:szCs w:val="24"/>
        </w:rPr>
        <w:t>Verticillium dahliae</w:t>
      </w:r>
      <w:r>
        <w:rPr>
          <w:rFonts w:ascii="Times New Roman" w:hAnsi="Times New Roman" w:cs="Times New Roman"/>
          <w:sz w:val="24"/>
          <w:szCs w:val="24"/>
        </w:rPr>
        <w:t xml:space="preserve"> are examples of other plant species where this has been noted (Wheeler  et al 2019).</w:t>
      </w:r>
    </w:p>
    <w:p>
      <w:pPr>
        <w:jc w:val="both"/>
        <w:rPr>
          <w:rFonts w:ascii="Times New Roman" w:hAnsi="Times New Roman" w:cs="Times New Roman"/>
          <w:sz w:val="24"/>
          <w:szCs w:val="24"/>
        </w:rPr>
      </w:pPr>
      <w:r>
        <w:rPr>
          <w:rFonts w:ascii="Times New Roman" w:hAnsi="Times New Roman" w:cs="Times New Roman"/>
          <w:sz w:val="24"/>
          <w:szCs w:val="24"/>
        </w:rPr>
        <w:t>Similar to this, pathogenic organisms may undergo an endophytic phase of their life cycle during which they survive unnoticed in the host. Potential pathogens can be found in the environment of healthy plants. As a result, many investigations (Manzott et al,2020, Latz et al., 2021, Rojas et al, 2020, Pereira Vázquez de Aldana et al, 2019, Bacon, 2008 and Salvatore et al., 2020) have found that fungal endophytes isolated or identified by amplicon rings contained potential pathogens that were not at the time causing disease in the host.</w:t>
      </w:r>
    </w:p>
    <w:p>
      <w:pPr>
        <w:jc w:val="both"/>
        <w:rPr>
          <w:rFonts w:ascii="Times New Roman" w:hAnsi="Times New Roman" w:cs="Times New Roman"/>
          <w:sz w:val="24"/>
          <w:szCs w:val="24"/>
        </w:rPr>
      </w:pPr>
      <w:r>
        <w:rPr>
          <w:rFonts w:ascii="Times New Roman" w:hAnsi="Times New Roman" w:cs="Times New Roman"/>
          <w:sz w:val="24"/>
          <w:szCs w:val="24"/>
        </w:rPr>
        <w:t xml:space="preserve">Manzotti et al. 2020 isolated six fungal species from tomato roots that, when inoculated separately on tomato plants, induced disease. These species included </w:t>
      </w:r>
      <w:r>
        <w:rPr>
          <w:rFonts w:ascii="Times New Roman" w:hAnsi="Times New Roman" w:cs="Times New Roman"/>
          <w:i/>
          <w:sz w:val="24"/>
          <w:szCs w:val="24"/>
        </w:rPr>
        <w:t xml:space="preserve">Colletotrichum coccodes, Plectosphaerella sp., Pyrenochaeta lycopersici, Thielaviopsis basicola, Alternaria infectoria, </w:t>
      </w:r>
      <w:r>
        <w:rPr>
          <w:rFonts w:ascii="Times New Roman" w:hAnsi="Times New Roman" w:cs="Times New Roman"/>
          <w:sz w:val="24"/>
          <w:szCs w:val="24"/>
        </w:rPr>
        <w:t>and</w:t>
      </w:r>
      <w:r>
        <w:rPr>
          <w:rFonts w:ascii="Times New Roman" w:hAnsi="Times New Roman" w:cs="Times New Roman"/>
          <w:i/>
          <w:sz w:val="24"/>
          <w:szCs w:val="24"/>
        </w:rPr>
        <w:t xml:space="preserve"> Fusarium sp</w:t>
      </w:r>
      <w:r>
        <w:rPr>
          <w:rFonts w:ascii="Times New Roman" w:hAnsi="Times New Roman" w:cs="Times New Roman"/>
          <w:sz w:val="24"/>
          <w:szCs w:val="24"/>
        </w:rPr>
        <w:t xml:space="preserve">. This finding backs up the claim that a lanced microbiome is crucial for plant health (Berg et al, 2021), as the pathogenic organisms are controlled by the other organisms present. </w:t>
      </w:r>
      <w:r>
        <w:rPr>
          <w:rFonts w:ascii="Times New Roman" w:hAnsi="Times New Roman" w:cs="Times New Roman"/>
          <w:i/>
          <w:sz w:val="24"/>
          <w:szCs w:val="24"/>
        </w:rPr>
        <w:t>Ramularia collo-cygni</w:t>
      </w:r>
      <w:r>
        <w:rPr>
          <w:rFonts w:ascii="Times New Roman" w:hAnsi="Times New Roman" w:cs="Times New Roman"/>
          <w:sz w:val="24"/>
          <w:szCs w:val="24"/>
        </w:rPr>
        <w:t xml:space="preserve">, a pathogen that affects barley, is a well-known example of a latent pathogen (Dussart, 2020 and Lemcke, et al., 2021). This fungus may live in barley seeds and colonise the host barley chemically without exhibiting any symptoms (Stam et al., 2018). However, once it reaches the leaves, it starts to produce symptoms. This behaviour has been attributed to the fungus's recent pathogen status, which accounts for why it lacks the conventional genomic features, and pathogen characteristics (Stam et al., 2018). Other significant pathogens in the </w:t>
      </w:r>
      <w:r>
        <w:rPr>
          <w:rFonts w:ascii="Times New Roman" w:hAnsi="Times New Roman" w:cs="Times New Roman"/>
          <w:i/>
          <w:sz w:val="24"/>
          <w:szCs w:val="24"/>
        </w:rPr>
        <w:t>Mycosphaerellaceae</w:t>
      </w:r>
      <w:r>
        <w:rPr>
          <w:rFonts w:ascii="Times New Roman" w:hAnsi="Times New Roman" w:cs="Times New Roman"/>
          <w:sz w:val="24"/>
          <w:szCs w:val="24"/>
        </w:rPr>
        <w:t xml:space="preserve"> family, including </w:t>
      </w:r>
      <w:r>
        <w:rPr>
          <w:rFonts w:ascii="Times New Roman" w:hAnsi="Times New Roman" w:cs="Times New Roman"/>
          <w:i/>
          <w:sz w:val="24"/>
          <w:szCs w:val="24"/>
        </w:rPr>
        <w:t>Zymoseptoria tips</w:t>
      </w:r>
      <w:r>
        <w:rPr>
          <w:rFonts w:ascii="Times New Roman" w:hAnsi="Times New Roman" w:cs="Times New Roman"/>
          <w:sz w:val="24"/>
          <w:szCs w:val="24"/>
        </w:rPr>
        <w:t xml:space="preserve"> in wheat (Brennan et al, 2019 and Shetty, 2003), </w:t>
      </w:r>
      <w:r>
        <w:rPr>
          <w:rFonts w:ascii="Times New Roman" w:hAnsi="Times New Roman" w:cs="Times New Roman"/>
          <w:i/>
          <w:sz w:val="24"/>
          <w:szCs w:val="24"/>
        </w:rPr>
        <w:t>Pseudocercospora fijiensis</w:t>
      </w:r>
      <w:r>
        <w:rPr>
          <w:rFonts w:ascii="Times New Roman" w:hAnsi="Times New Roman" w:cs="Times New Roman"/>
          <w:sz w:val="24"/>
          <w:szCs w:val="24"/>
        </w:rPr>
        <w:t xml:space="preserve"> in banana (Churchill 2011), </w:t>
      </w:r>
      <w:r>
        <w:rPr>
          <w:rFonts w:ascii="Times New Roman" w:hAnsi="Times New Roman" w:cs="Times New Roman"/>
          <w:i/>
          <w:sz w:val="24"/>
          <w:szCs w:val="24"/>
        </w:rPr>
        <w:t>Cercospora beticola</w:t>
      </w:r>
      <w:r>
        <w:rPr>
          <w:rFonts w:ascii="Times New Roman" w:hAnsi="Times New Roman" w:cs="Times New Roman"/>
          <w:sz w:val="24"/>
          <w:szCs w:val="24"/>
        </w:rPr>
        <w:t xml:space="preserve"> in beetroot (Rangel et al, 2020), and </w:t>
      </w:r>
      <w:r>
        <w:rPr>
          <w:rFonts w:ascii="Times New Roman" w:hAnsi="Times New Roman" w:cs="Times New Roman"/>
          <w:i/>
          <w:sz w:val="24"/>
          <w:szCs w:val="24"/>
        </w:rPr>
        <w:t>Fulvia fulva</w:t>
      </w:r>
      <w:r>
        <w:rPr>
          <w:rFonts w:ascii="Times New Roman" w:hAnsi="Times New Roman" w:cs="Times New Roman"/>
          <w:sz w:val="24"/>
          <w:szCs w:val="24"/>
        </w:rPr>
        <w:t xml:space="preserve"> and </w:t>
      </w:r>
      <w:r>
        <w:rPr>
          <w:rFonts w:ascii="Times New Roman" w:hAnsi="Times New Roman" w:cs="Times New Roman"/>
          <w:i/>
          <w:sz w:val="24"/>
          <w:szCs w:val="24"/>
        </w:rPr>
        <w:t>Fusarium oxysporum</w:t>
      </w:r>
      <w:r>
        <w:rPr>
          <w:rFonts w:ascii="Times New Roman" w:hAnsi="Times New Roman" w:cs="Times New Roman"/>
          <w:sz w:val="24"/>
          <w:szCs w:val="24"/>
        </w:rPr>
        <w:t xml:space="preserve"> in tomato (Thomma et al. 2005 and Constantin et al., 2021), also exhibit a stealthy infection path, with symptomless colonisation before sporulation.</w:t>
      </w:r>
    </w:p>
    <w:p>
      <w:pPr>
        <w:jc w:val="both"/>
        <w:rPr>
          <w:rFonts w:ascii="Times New Roman" w:hAnsi="Times New Roman" w:cs="Times New Roman"/>
          <w:sz w:val="24"/>
          <w:szCs w:val="24"/>
        </w:rPr>
      </w:pPr>
      <w:r>
        <w:rPr>
          <w:rFonts w:ascii="Times New Roman" w:hAnsi="Times New Roman" w:cs="Times New Roman"/>
          <w:sz w:val="24"/>
          <w:szCs w:val="24"/>
        </w:rPr>
        <w:t xml:space="preserve">It is obvious that the biological world is not simple and that organisms do not fit into simple classifications because they can exhibit an endophytic existence in some situations while changing into a pathogen in others. We do, however, aim to distinguish clearly between harmful and endophytic fungi. Pathogens can live an endophytic lifestyle in their host plant for a while, but they shouldn't be regarded as true endophytes for the simple reason that, if they are in the right place at the right time, they can eventually lead to disease. On the other hand, because it never spreads disease to that plant species, the same organism can be a true endophyte in a non-host plant. Notably, some endophytes, such as </w:t>
      </w:r>
      <w:r>
        <w:rPr>
          <w:rFonts w:ascii="Times New Roman" w:hAnsi="Times New Roman" w:cs="Times New Roman"/>
          <w:i/>
          <w:sz w:val="24"/>
          <w:szCs w:val="24"/>
        </w:rPr>
        <w:t>Serendipita indica,</w:t>
      </w:r>
      <w:r>
        <w:rPr>
          <w:rFonts w:ascii="Times New Roman" w:hAnsi="Times New Roman" w:cs="Times New Roman"/>
          <w:sz w:val="24"/>
          <w:szCs w:val="24"/>
        </w:rPr>
        <w:t xml:space="preserve"> are recognised as biological control agents or biostimulants even though they only cause their hosts to experience small necroses without any sickness (Ntana et al., 2022 and Deshmukh et al 2006).</w:t>
      </w:r>
    </w:p>
    <w:p>
      <w:pPr>
        <w:jc w:val="both"/>
        <w:rPr>
          <w:rFonts w:ascii="Times New Roman" w:hAnsi="Times New Roman" w:cs="Times New Roman"/>
          <w:bCs/>
          <w:sz w:val="24"/>
          <w:szCs w:val="24"/>
        </w:rPr>
      </w:pPr>
      <w:r>
        <w:rPr>
          <w:rFonts w:ascii="Times New Roman" w:hAnsi="Times New Roman" w:cs="Times New Roman"/>
          <w:bCs/>
          <w:sz w:val="24"/>
          <w:szCs w:val="24"/>
        </w:rPr>
        <w:t>THE MOLECULAR DIFFERENCES BETWEEN ENDOPHYTES AND PATHOGENS</w:t>
      </w:r>
    </w:p>
    <w:p>
      <w:pPr>
        <w:jc w:val="both"/>
        <w:rPr>
          <w:rFonts w:ascii="Times New Roman" w:hAnsi="Times New Roman" w:cs="Times New Roman"/>
          <w:sz w:val="24"/>
          <w:szCs w:val="24"/>
        </w:rPr>
      </w:pPr>
      <w:r>
        <w:rPr>
          <w:rFonts w:ascii="Times New Roman" w:hAnsi="Times New Roman" w:cs="Times New Roman"/>
          <w:sz w:val="24"/>
          <w:szCs w:val="24"/>
        </w:rPr>
        <w:t xml:space="preserve">To the extent that the plant immune system does not prevent colonisation, both successful pathogens and endophytes have figured out how to elude detection (Lu et al., 2021 and Khare et al 2018). The exact reasons why some organisms become pathogenic while others go the endophytic route are not now fully understood. Kogel et al.2006 among others, looked into specific molecular mechanisms to address this issue sooner. The quantity or concentration of the organisms is another crucial aspect (Mishra et al., 2021) endophytes are frequently present in considerably lower concentrations than infections, which means immunity may not be induced. </w:t>
      </w:r>
    </w:p>
    <w:p>
      <w:pPr>
        <w:jc w:val="both"/>
        <w:rPr>
          <w:rFonts w:ascii="Times New Roman" w:hAnsi="Times New Roman" w:cs="Times New Roman"/>
          <w:sz w:val="24"/>
          <w:szCs w:val="24"/>
        </w:rPr>
      </w:pPr>
      <w:r>
        <w:rPr>
          <w:rFonts w:ascii="Times New Roman" w:hAnsi="Times New Roman" w:cs="Times New Roman"/>
          <w:sz w:val="24"/>
          <w:szCs w:val="24"/>
        </w:rPr>
        <w:t xml:space="preserve">Because they modify the biological activity of the relationship between microorganisms and plants, effector molecules are particularly intriguing for understanding interactions </w:t>
      </w:r>
      <w:r>
        <w:rPr>
          <w:rFonts w:hint="default" w:ascii="Times New Roman" w:hAnsi="Times New Roman" w:cs="Times New Roman"/>
          <w:sz w:val="24"/>
          <w:szCs w:val="24"/>
          <w:lang w:val="en-US"/>
        </w:rPr>
        <w:t>(</w:t>
      </w:r>
      <w:r>
        <w:rPr>
          <w:rFonts w:ascii="Times New Roman" w:hAnsi="Times New Roman" w:cs="Times New Roman"/>
          <w:sz w:val="24"/>
          <w:szCs w:val="24"/>
        </w:rPr>
        <w:t xml:space="preserve">Mishra, 2021 and Bauters et al., 2021). The function of endophytic effector molecules has been the subject of numerous studies. Although endophytic </w:t>
      </w:r>
      <w:r>
        <w:rPr>
          <w:rFonts w:ascii="Times New Roman" w:hAnsi="Times New Roman" w:cs="Times New Roman"/>
          <w:i/>
          <w:sz w:val="24"/>
          <w:szCs w:val="24"/>
        </w:rPr>
        <w:t>F. oxysporum</w:t>
      </w:r>
      <w:r>
        <w:rPr>
          <w:rFonts w:ascii="Times New Roman" w:hAnsi="Times New Roman" w:cs="Times New Roman"/>
          <w:sz w:val="24"/>
          <w:szCs w:val="24"/>
        </w:rPr>
        <w:t xml:space="preserve"> strains typically featured fewer effector candidates than pathogenic </w:t>
      </w:r>
      <w:r>
        <w:rPr>
          <w:rFonts w:ascii="Times New Roman" w:hAnsi="Times New Roman" w:cs="Times New Roman"/>
          <w:i/>
          <w:sz w:val="24"/>
          <w:szCs w:val="24"/>
        </w:rPr>
        <w:t>F. oxysporum</w:t>
      </w:r>
      <w:r>
        <w:rPr>
          <w:rFonts w:ascii="Times New Roman" w:hAnsi="Times New Roman" w:cs="Times New Roman"/>
          <w:sz w:val="24"/>
          <w:szCs w:val="24"/>
        </w:rPr>
        <w:t xml:space="preserve"> strains, Constantin et al.</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2021  investigation revealed homologues of known </w:t>
      </w:r>
      <w:r>
        <w:rPr>
          <w:rFonts w:ascii="Times New Roman" w:hAnsi="Times New Roman" w:cs="Times New Roman"/>
          <w:i/>
          <w:sz w:val="24"/>
          <w:szCs w:val="24"/>
        </w:rPr>
        <w:t>Fusarium oxysporum</w:t>
      </w:r>
      <w:r>
        <w:rPr>
          <w:rFonts w:ascii="Times New Roman" w:hAnsi="Times New Roman" w:cs="Times New Roman"/>
          <w:sz w:val="24"/>
          <w:szCs w:val="24"/>
        </w:rPr>
        <w:t xml:space="preserve"> from pathogens. They claimed that research into the "effectorome" can be utilised to determine if a specific strain has the potential to be pathogenic or advantageous. Santana and de Queiroz studied the expected secretomes (which comprise effector proteins) of many unrelated species of fungal, ranging from endophytic to pathogenic, and discovered both similarities and differences between the species. Although several intriguing similarities were discovered, it was unable to draw any definitive conclusions about their contributions to plant colonisation. This either means that investigations of much larger sample size are necessary to identify unambiguous trends or that various organisms have evolved various strategies for controlling the host. The second option appears more likely. To confirm the significance of the discoveries, functional characterization would be required, (Constantin et al., 2021). The balance between nutrient requirements and plant fence, according to Mishra et al., was critical in determining whether an agricultural crop will succeed if an organism becomes virulent or endophytic. So, an imbalance would either cause disease onset (plant defence is circumvented) or plant resistance (pathogen growth is stopped). A few of the various types of stress have already been discussed (Hardoim et al, 2015 and Kogel. 2006). However, a recent intriguing example demonstrated how </w:t>
      </w:r>
      <w:r>
        <w:rPr>
          <w:rFonts w:ascii="Times New Roman" w:hAnsi="Times New Roman" w:cs="Times New Roman"/>
          <w:i/>
          <w:sz w:val="24"/>
          <w:szCs w:val="24"/>
        </w:rPr>
        <w:t>Sclerotinia sclerotiorum</w:t>
      </w:r>
      <w:r>
        <w:rPr>
          <w:rFonts w:ascii="Times New Roman" w:hAnsi="Times New Roman" w:cs="Times New Roman"/>
          <w:sz w:val="24"/>
          <w:szCs w:val="24"/>
        </w:rPr>
        <w:t xml:space="preserve"> became a helpful endophyte after contracting a mycovirus (Zhang et al., 2020).</w:t>
      </w:r>
    </w:p>
    <w:p>
      <w:pPr>
        <w:jc w:val="both"/>
        <w:rPr>
          <w:rFonts w:ascii="Times New Roman" w:hAnsi="Times New Roman" w:cs="Times New Roman"/>
          <w:sz w:val="24"/>
          <w:szCs w:val="24"/>
        </w:rPr>
      </w:pPr>
      <w:r>
        <w:rPr>
          <w:rFonts w:ascii="Times New Roman" w:hAnsi="Times New Roman" w:cs="Times New Roman"/>
          <w:sz w:val="24"/>
          <w:szCs w:val="24"/>
        </w:rPr>
        <w:t xml:space="preserve">The outcome of interactions between plants and microbes depends on the modulation of plant-defence hormone signalling (Pieterse et al 2014). Phytohormone levels can be altered by plant pathogens to promote infection (Bauters et al, 2021 and Collinge, 2020). This manipulation often involves abiotic stress (Xu et al, 2018 and Hilbert et al., 2012). Other compounds have been shown to provide signals across kingdoms, primarily to promote commensal or harmful interactions. As a result, some necrotrophic infections can create tiny signalling RNA molecules (RNAi) that can inhibit host defences (Wang, 2016). Additionally, these compounds have been linked to changes in endophytic signalling as well as interactions between the fungus </w:t>
      </w:r>
      <w:r>
        <w:rPr>
          <w:rFonts w:ascii="Times New Roman" w:hAnsi="Times New Roman" w:cs="Times New Roman"/>
          <w:i/>
          <w:sz w:val="24"/>
          <w:szCs w:val="24"/>
        </w:rPr>
        <w:t>Serendipita indica</w:t>
      </w:r>
      <w:r>
        <w:rPr>
          <w:rFonts w:ascii="Times New Roman" w:hAnsi="Times New Roman" w:cs="Times New Roman"/>
          <w:sz w:val="24"/>
          <w:szCs w:val="24"/>
        </w:rPr>
        <w:t xml:space="preserve"> and the grass </w:t>
      </w:r>
      <w:r>
        <w:rPr>
          <w:rFonts w:ascii="Times New Roman" w:hAnsi="Times New Roman" w:cs="Times New Roman"/>
          <w:i/>
          <w:sz w:val="24"/>
          <w:szCs w:val="24"/>
        </w:rPr>
        <w:t>Brachypodium distachyon</w:t>
      </w:r>
      <w:r>
        <w:rPr>
          <w:rFonts w:ascii="Times New Roman" w:hAnsi="Times New Roman" w:cs="Times New Roman"/>
          <w:sz w:val="24"/>
          <w:szCs w:val="24"/>
        </w:rPr>
        <w:t xml:space="preserve"> (</w:t>
      </w:r>
      <w:r>
        <w:rPr>
          <w:rFonts w:hint="default" w:ascii="Times New Roman" w:hAnsi="Times New Roman" w:cs="Times New Roman"/>
          <w:sz w:val="24"/>
          <w:szCs w:val="24"/>
          <w:lang w:val="en-US"/>
        </w:rPr>
        <w:t xml:space="preserve"> Secic</w:t>
      </w:r>
      <w:r>
        <w:rPr>
          <w:rFonts w:ascii="Times New Roman" w:hAnsi="Times New Roman" w:cs="Times New Roman"/>
          <w:sz w:val="24"/>
          <w:szCs w:val="24"/>
        </w:rPr>
        <w:t xml:space="preserve"> et al., 2021).</w:t>
      </w:r>
    </w:p>
    <w:p>
      <w:pPr>
        <w:jc w:val="both"/>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5731510" cy="57550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731510" cy="5755080"/>
                    </a:xfrm>
                    <a:prstGeom prst="rect">
                      <a:avLst/>
                    </a:prstGeom>
                    <a:noFill/>
                    <a:ln>
                      <a:noFill/>
                    </a:ln>
                  </pic:spPr>
                </pic:pic>
              </a:graphicData>
            </a:graphic>
          </wp:inline>
        </w:drawing>
      </w:r>
    </w:p>
    <w:p>
      <w:pPr>
        <w:jc w:val="both"/>
        <w:rPr>
          <w:rFonts w:ascii="Times New Roman" w:hAnsi="Times New Roman" w:cs="Times New Roman"/>
          <w:sz w:val="24"/>
          <w:szCs w:val="24"/>
        </w:rPr>
      </w:pPr>
      <w:r>
        <w:rPr>
          <w:rFonts w:ascii="Times New Roman" w:hAnsi="Times New Roman" w:cs="Times New Roman"/>
          <w:sz w:val="24"/>
          <w:szCs w:val="24"/>
        </w:rPr>
        <w:t>Figure 1: a conceptual structure for endophytic interaction (meikelatz.com)</w:t>
      </w:r>
    </w:p>
    <w:p>
      <w:pPr>
        <w:jc w:val="both"/>
        <w:rPr>
          <w:rFonts w:ascii="Times New Roman" w:hAnsi="Times New Roman" w:cs="Times New Roman"/>
          <w:sz w:val="24"/>
          <w:szCs w:val="24"/>
        </w:rPr>
      </w:pPr>
      <w:r>
        <w:rPr>
          <w:rFonts w:ascii="Times New Roman" w:hAnsi="Times New Roman" w:cs="Times New Roman"/>
          <w:sz w:val="24"/>
          <w:szCs w:val="24"/>
        </w:rPr>
        <w:t>As previously stated, several characteristics may help an endophytic organism avoid activating plant defences, and perhaps there are lessons to be gained from research on the evolution of novel virulence in infections. In their analysis of potential virulence-influencing mechanisms, (Sacrist</w:t>
      </w:r>
      <w:r>
        <w:rPr>
          <w:rFonts w:hint="default" w:ascii="Times New Roman" w:hAnsi="Times New Roman" w:cs="Times New Roman"/>
          <w:sz w:val="24"/>
          <w:szCs w:val="24"/>
          <w:lang w:val="en-US"/>
        </w:rPr>
        <w:t>a</w:t>
      </w:r>
      <w:r>
        <w:rPr>
          <w:rFonts w:ascii="Times New Roman" w:hAnsi="Times New Roman" w:cs="Times New Roman"/>
          <w:sz w:val="24"/>
          <w:szCs w:val="24"/>
        </w:rPr>
        <w:t xml:space="preserve">n et al, 2021] highlighted the significance of mutations, transposable genetic elements, gene duplication, neofunctionalization, and genetic exchange (horizontal gene transfer). De Queiroz and Santana. 2020 also regarded transposable elements as being significant when contrasting endophytes and pathogens, and it is well-known that the difference between pathogenic and non-pathogenic </w:t>
      </w:r>
      <w:r>
        <w:rPr>
          <w:rFonts w:ascii="Times New Roman" w:hAnsi="Times New Roman" w:cs="Times New Roman"/>
          <w:i/>
          <w:sz w:val="24"/>
          <w:szCs w:val="24"/>
        </w:rPr>
        <w:t>Fusarium oxysporum</w:t>
      </w:r>
      <w:r>
        <w:rPr>
          <w:rFonts w:ascii="Times New Roman" w:hAnsi="Times New Roman" w:cs="Times New Roman"/>
          <w:sz w:val="24"/>
          <w:szCs w:val="24"/>
        </w:rPr>
        <w:t xml:space="preserve"> lies in the presence of particular supernumerary chromosomes (Ma et al, 2010). </w:t>
      </w:r>
    </w:p>
    <w:p>
      <w:pPr>
        <w:jc w:val="both"/>
        <w:rPr>
          <w:rFonts w:ascii="Times New Roman" w:hAnsi="Times New Roman" w:cs="Times New Roman"/>
          <w:sz w:val="24"/>
          <w:szCs w:val="24"/>
        </w:rPr>
      </w:pPr>
      <w:r>
        <w:rPr>
          <w:rFonts w:ascii="Times New Roman" w:hAnsi="Times New Roman" w:cs="Times New Roman"/>
          <w:sz w:val="24"/>
          <w:szCs w:val="24"/>
        </w:rPr>
        <w:t>CONTROL OF PLANT DISEASES BY ENDOPHYTES</w:t>
      </w:r>
    </w:p>
    <w:p>
      <w:pPr>
        <w:jc w:val="both"/>
        <w:rPr>
          <w:rFonts w:ascii="Times New Roman" w:hAnsi="Times New Roman" w:cs="Times New Roman"/>
          <w:sz w:val="24"/>
          <w:szCs w:val="24"/>
        </w:rPr>
      </w:pPr>
      <w:r>
        <w:rPr>
          <w:rFonts w:ascii="Times New Roman" w:hAnsi="Times New Roman" w:cs="Times New Roman"/>
          <w:sz w:val="24"/>
          <w:szCs w:val="24"/>
        </w:rPr>
        <w:t>Biological disease control is another result of interactions between endophytes, pathogens, and plants (Jørgensen et al. 2019, 2020). The requirement for establishing efficient yet sustainable (i.e. low input means) disease management strategies represents the practical side of understanding microbial lives. The use of biological control as an alternative to chemical disease control in particular has been researched for decades (Collinge et al., 2022). The importance of endophytes as a reliable source of microbial biological control agents is growing (J</w:t>
      </w:r>
      <w:r>
        <w:rPr>
          <w:rFonts w:hint="default" w:ascii="Times New Roman" w:hAnsi="Times New Roman" w:cs="Times New Roman"/>
          <w:sz w:val="24"/>
          <w:szCs w:val="24"/>
          <w:lang w:val="en-US"/>
        </w:rPr>
        <w:t>o</w:t>
      </w:r>
      <w:bookmarkStart w:id="0" w:name="_GoBack"/>
      <w:bookmarkEnd w:id="0"/>
      <w:r>
        <w:rPr>
          <w:rFonts w:ascii="Times New Roman" w:hAnsi="Times New Roman" w:cs="Times New Roman"/>
          <w:sz w:val="24"/>
          <w:szCs w:val="24"/>
        </w:rPr>
        <w:t>rgensen et al. 2019).</w:t>
      </w:r>
    </w:p>
    <w:p>
      <w:pPr>
        <w:jc w:val="both"/>
        <w:rPr>
          <w:rFonts w:ascii="Times New Roman" w:hAnsi="Times New Roman" w:cs="Times New Roman"/>
          <w:sz w:val="24"/>
          <w:szCs w:val="24"/>
        </w:rPr>
      </w:pPr>
      <w:r>
        <w:rPr>
          <w:rFonts w:ascii="Times New Roman" w:hAnsi="Times New Roman" w:cs="Times New Roman"/>
          <w:sz w:val="24"/>
          <w:szCs w:val="24"/>
        </w:rPr>
        <w:t xml:space="preserve">One benefit of employing an endophyte for biocontrol is that since the organism lives inside the plant, it is shielded from harmful environmental factors. Even while some biocontrol organisms have been recovered from the plant's interior, it may not have been confirmed that the organisms were endophytic at the time they had an impact on the environment (Ma et al., 2018). The fact that an organism may only be endophytic during a portion of its life cycle is likely reflected in the fact that an effective bio-control effect can still be obtained. For instance, in two recent studies, fungal endophytes derived from disease-free wheat tissues were demonstrated to be efficient biological control agents of </w:t>
      </w:r>
      <w:r>
        <w:rPr>
          <w:rFonts w:ascii="Times New Roman" w:hAnsi="Times New Roman" w:cs="Times New Roman"/>
          <w:i/>
          <w:sz w:val="24"/>
          <w:szCs w:val="24"/>
        </w:rPr>
        <w:t>Septoria tritici</w:t>
      </w:r>
      <w:r>
        <w:rPr>
          <w:rFonts w:ascii="Times New Roman" w:hAnsi="Times New Roman" w:cs="Times New Roman"/>
          <w:sz w:val="24"/>
          <w:szCs w:val="24"/>
        </w:rPr>
        <w:t xml:space="preserve"> blotch (Latz, et al., 2020) and </w:t>
      </w:r>
      <w:r>
        <w:rPr>
          <w:rFonts w:ascii="Times New Roman" w:hAnsi="Times New Roman" w:cs="Times New Roman"/>
          <w:i/>
          <w:sz w:val="24"/>
          <w:szCs w:val="24"/>
        </w:rPr>
        <w:t>Fusarium</w:t>
      </w:r>
      <w:r>
        <w:rPr>
          <w:rFonts w:ascii="Times New Roman" w:hAnsi="Times New Roman" w:cs="Times New Roman"/>
          <w:sz w:val="24"/>
          <w:szCs w:val="24"/>
        </w:rPr>
        <w:t xml:space="preserve"> head blight (Rojas et al., 2020) utilising spray treatments. The fact that the protective effect of the bio-control agents strongly depended on inducing host-plant resistance in both instances was startling (Rojas et al., 2022 and Latz, 2019]. This shows that the biocontrol organisms, which had been isolated as endophytes, were capable of controlling plant immunity.</w:t>
      </w:r>
    </w:p>
    <w:p>
      <w:pPr>
        <w:jc w:val="both"/>
        <w:rPr>
          <w:rFonts w:ascii="Times New Roman" w:hAnsi="Times New Roman" w:cs="Times New Roman"/>
          <w:sz w:val="24"/>
          <w:szCs w:val="24"/>
        </w:rPr>
      </w:pPr>
      <w:r>
        <w:rPr>
          <w:rFonts w:ascii="Times New Roman" w:hAnsi="Times New Roman" w:cs="Times New Roman"/>
          <w:sz w:val="24"/>
          <w:szCs w:val="24"/>
        </w:rPr>
        <w:t xml:space="preserve">The discovery by Wang et al. 2020 that an endophyte gene, Fhb7, conferring broad-spectrum resistance against </w:t>
      </w:r>
      <w:r>
        <w:rPr>
          <w:rFonts w:ascii="Times New Roman" w:hAnsi="Times New Roman" w:cs="Times New Roman"/>
          <w:i/>
          <w:sz w:val="24"/>
          <w:szCs w:val="24"/>
        </w:rPr>
        <w:t>Fusarium</w:t>
      </w:r>
      <w:r>
        <w:rPr>
          <w:rFonts w:ascii="Times New Roman" w:hAnsi="Times New Roman" w:cs="Times New Roman"/>
          <w:sz w:val="24"/>
          <w:szCs w:val="24"/>
        </w:rPr>
        <w:t xml:space="preserve"> spp. in wheat, was probably transferred from an </w:t>
      </w:r>
      <w:r>
        <w:rPr>
          <w:rFonts w:ascii="Times New Roman" w:hAnsi="Times New Roman" w:cs="Times New Roman"/>
          <w:i/>
          <w:sz w:val="24"/>
          <w:szCs w:val="24"/>
        </w:rPr>
        <w:t>Epichlo</w:t>
      </w:r>
      <w:r>
        <w:rPr>
          <w:rFonts w:ascii="Times New Roman" w:hAnsi="Times New Roman" w:cs="Times New Roman"/>
          <w:sz w:val="24"/>
          <w:szCs w:val="24"/>
        </w:rPr>
        <w:t xml:space="preserve"> spp. through horizontal gene transfer points to another intriguing method underlying disease control involving endophytes. Endophytes may contribute to biocontrol in a variety of intricate ways that are still developing.</w:t>
      </w:r>
    </w:p>
    <w:p>
      <w:pPr>
        <w:jc w:val="both"/>
        <w:rPr>
          <w:rFonts w:ascii="Times New Roman" w:hAnsi="Times New Roman" w:cs="Times New Roman"/>
          <w:sz w:val="24"/>
          <w:szCs w:val="24"/>
        </w:rPr>
      </w:pPr>
      <w:r>
        <w:rPr>
          <w:rFonts w:ascii="Times New Roman" w:hAnsi="Times New Roman" w:cs="Times New Roman"/>
          <w:sz w:val="24"/>
          <w:szCs w:val="24"/>
        </w:rPr>
        <w:t>CONCLUSION</w:t>
      </w:r>
    </w:p>
    <w:p>
      <w:pPr>
        <w:jc w:val="both"/>
        <w:rPr>
          <w:rFonts w:ascii="Times New Roman" w:hAnsi="Times New Roman" w:cs="Times New Roman"/>
          <w:sz w:val="24"/>
          <w:szCs w:val="24"/>
        </w:rPr>
      </w:pPr>
      <w:r>
        <w:rPr>
          <w:rFonts w:ascii="Times New Roman" w:hAnsi="Times New Roman" w:cs="Times New Roman"/>
          <w:sz w:val="24"/>
          <w:szCs w:val="24"/>
        </w:rPr>
        <w:t>Endophytes and pathogens share several characteristics and can play a variety of roles in interactions. Some fungi can act as beneficial endophytes or commensal organisms in one setting and pathogenic in another. Our knowledge of the interactions between plants, endophytes, and pathogens is still developing, but it will grow in the future to provide more effective and long-lasting disease control choices. In recent years, research on microbiomes, especially that of endophytes, has grown significantly, but the findings are mostly descriptive rather than prescriptive. By manipulating specific elements (i.e., genes and microbes), and utilising traditional molecular genetic approaches and functional investigations, we can gain a better knowledge of how the microbiome affects plant growth, development, and stress resistance. Future research will continue to make use of these technologies to comprehend this mysterious way of life and to take advantage of it for sustainable agricultural growth to address the concerns of population increase, urbanisation, and climate change.</w:t>
      </w:r>
    </w:p>
    <w:p>
      <w:pPr>
        <w:jc w:val="both"/>
        <w:rPr>
          <w:rFonts w:ascii="Times New Roman" w:hAnsi="Times New Roman" w:cs="Times New Roman"/>
          <w:sz w:val="24"/>
          <w:szCs w:val="24"/>
        </w:rPr>
      </w:pPr>
      <w:r>
        <w:rPr>
          <w:rFonts w:ascii="Times New Roman" w:hAnsi="Times New Roman" w:cs="Times New Roman"/>
          <w:sz w:val="24"/>
          <w:szCs w:val="24"/>
        </w:rPr>
        <w:t>REFERENCE</w:t>
      </w:r>
    </w:p>
    <w:p>
      <w:pPr>
        <w:jc w:val="both"/>
        <w:rPr>
          <w:rFonts w:ascii="Times New Roman" w:hAnsi="Times New Roman" w:cs="Times New Roman"/>
          <w:sz w:val="24"/>
          <w:szCs w:val="24"/>
        </w:rPr>
      </w:pPr>
      <w:r>
        <w:rPr>
          <w:rFonts w:ascii="Times New Roman" w:hAnsi="Times New Roman" w:cs="Times New Roman"/>
          <w:sz w:val="24"/>
          <w:szCs w:val="24"/>
        </w:rPr>
        <w:t>1. de Bary A: Morphologie und Physiologie der Pilze, Flechten und Myxomyceten. W. Engelmann; 1866.</w:t>
      </w:r>
    </w:p>
    <w:p>
      <w:pPr>
        <w:jc w:val="both"/>
        <w:rPr>
          <w:rFonts w:ascii="Times New Roman" w:hAnsi="Times New Roman" w:cs="Times New Roman"/>
          <w:sz w:val="24"/>
          <w:szCs w:val="24"/>
        </w:rPr>
      </w:pPr>
      <w:r>
        <w:rPr>
          <w:rFonts w:ascii="Times New Roman" w:hAnsi="Times New Roman" w:cs="Times New Roman"/>
          <w:sz w:val="24"/>
          <w:szCs w:val="24"/>
        </w:rPr>
        <w:t xml:space="preserve">2. Jørgensen HJL, Collinge DB, Rojas EC, Latz MAC, Manzotti A, Ntana F, Jensen B: Plant endophytes. Encycl Life Sci 2020, a0028893, </w:t>
      </w:r>
      <w:r>
        <w:fldChar w:fldCharType="begin"/>
      </w:r>
      <w:r>
        <w:instrText xml:space="preserve"> HYPERLINK "https://doi.org/10.1002/9780470015902.%20a0028893" </w:instrText>
      </w:r>
      <w:r>
        <w:fldChar w:fldCharType="separate"/>
      </w:r>
      <w:r>
        <w:rPr>
          <w:rStyle w:val="7"/>
          <w:rFonts w:ascii="Times New Roman" w:hAnsi="Times New Roman" w:cs="Times New Roman"/>
          <w:color w:val="auto"/>
          <w:sz w:val="24"/>
          <w:szCs w:val="24"/>
          <w:u w:val="none"/>
        </w:rPr>
        <w:t>https://doi.org/10.1002/9780470015902. a0028893</w:t>
      </w:r>
      <w:r>
        <w:rPr>
          <w:rStyle w:val="7"/>
          <w:rFonts w:ascii="Times New Roman" w:hAnsi="Times New Roman" w:cs="Times New Roman"/>
          <w:color w:val="auto"/>
          <w:sz w:val="24"/>
          <w:szCs w:val="24"/>
          <w:u w:val="none"/>
        </w:rPr>
        <w:fldChar w:fldCharType="end"/>
      </w:r>
    </w:p>
    <w:p>
      <w:pPr>
        <w:jc w:val="both"/>
        <w:rPr>
          <w:rFonts w:ascii="Times New Roman" w:hAnsi="Times New Roman" w:cs="Times New Roman"/>
          <w:sz w:val="24"/>
          <w:szCs w:val="24"/>
        </w:rPr>
      </w:pPr>
      <w:r>
        <w:rPr>
          <w:rFonts w:ascii="Times New Roman" w:hAnsi="Times New Roman" w:cs="Times New Roman"/>
          <w:sz w:val="24"/>
          <w:szCs w:val="24"/>
        </w:rPr>
        <w:t xml:space="preserve"> 3. Collinge DB, Jørgensen HJL, Latz MAC, Manzotti A, Ntana F, Rojas EC, and Jensen B: Searching for novel fungal biological control agents for plant disease control among endophytes. In Endophytes: for a Growing World. Edited by Hodkinson TR, Doohan FM, Saunders M, Murphy BR. Cambridge University Press; 2019:25-51, </w:t>
      </w:r>
      <w:r>
        <w:fldChar w:fldCharType="begin"/>
      </w:r>
      <w:r>
        <w:instrText xml:space="preserve"> HYPERLINK "https://doi.org/10.1017/9781108607667.003" </w:instrText>
      </w:r>
      <w:r>
        <w:fldChar w:fldCharType="separate"/>
      </w:r>
      <w:r>
        <w:rPr>
          <w:rStyle w:val="7"/>
          <w:rFonts w:ascii="Times New Roman" w:hAnsi="Times New Roman" w:cs="Times New Roman"/>
          <w:color w:val="auto"/>
          <w:sz w:val="24"/>
          <w:szCs w:val="24"/>
          <w:u w:val="none"/>
        </w:rPr>
        <w:t>https://doi.org/10.1017/9781108607667.003</w:t>
      </w:r>
      <w:r>
        <w:rPr>
          <w:rStyle w:val="7"/>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w:t>
      </w:r>
    </w:p>
    <w:p>
      <w:pPr>
        <w:jc w:val="both"/>
        <w:rPr>
          <w:rFonts w:ascii="Times New Roman" w:hAnsi="Times New Roman" w:cs="Times New Roman"/>
          <w:sz w:val="24"/>
          <w:szCs w:val="24"/>
        </w:rPr>
      </w:pPr>
      <w:r>
        <w:rPr>
          <w:rFonts w:ascii="Times New Roman" w:hAnsi="Times New Roman" w:cs="Times New Roman"/>
          <w:sz w:val="24"/>
          <w:szCs w:val="24"/>
        </w:rPr>
        <w:t>4. Hardoim PR, van Overbeek LS, Berg G, Pirttila AM, Compant S, Campisano A, Doring M, Sessitsch A: The hidden world within plants: ecological and evolutionary considerations for defining functioning of microbial endophytes. Microbiol Mol Biol Rev 2015, 79:293-320.</w:t>
      </w:r>
    </w:p>
    <w:p>
      <w:pPr>
        <w:jc w:val="both"/>
        <w:rPr>
          <w:rFonts w:ascii="Times New Roman" w:hAnsi="Times New Roman" w:cs="Times New Roman"/>
          <w:sz w:val="24"/>
          <w:szCs w:val="24"/>
        </w:rPr>
      </w:pPr>
      <w:r>
        <w:rPr>
          <w:rFonts w:ascii="Times New Roman" w:hAnsi="Times New Roman" w:cs="Times New Roman"/>
          <w:sz w:val="24"/>
          <w:szCs w:val="24"/>
        </w:rPr>
        <w:t xml:space="preserve"> 5. Grabka R, d’Entremont TW, Adams SJ, Walker AK, Tanney JB, Abbasi PA, Ali S: Fungal endophytes and their role in agricultural plant protection against pests and pathogens. Plants 2022, 11:384. </w:t>
      </w:r>
    </w:p>
    <w:p>
      <w:pPr>
        <w:jc w:val="both"/>
        <w:rPr>
          <w:rFonts w:ascii="Times New Roman" w:hAnsi="Times New Roman" w:cs="Times New Roman"/>
          <w:sz w:val="24"/>
          <w:szCs w:val="24"/>
        </w:rPr>
      </w:pPr>
      <w:r>
        <w:rPr>
          <w:rFonts w:ascii="Times New Roman" w:hAnsi="Times New Roman" w:cs="Times New Roman"/>
          <w:sz w:val="24"/>
          <w:szCs w:val="24"/>
        </w:rPr>
        <w:t xml:space="preserve">6. Freeman S, Rodriguez RJ: Genetic conversion of a fungal plant pathogen to a nonpathogenic, endophytic mutualist. Science 1993, 260:75-78. </w:t>
      </w:r>
    </w:p>
    <w:p>
      <w:pPr>
        <w:jc w:val="both"/>
        <w:rPr>
          <w:rFonts w:ascii="Times New Roman" w:hAnsi="Times New Roman" w:cs="Times New Roman"/>
          <w:sz w:val="24"/>
          <w:szCs w:val="24"/>
        </w:rPr>
      </w:pPr>
      <w:r>
        <w:rPr>
          <w:rFonts w:ascii="Times New Roman" w:hAnsi="Times New Roman" w:cs="Times New Roman"/>
          <w:sz w:val="24"/>
          <w:szCs w:val="24"/>
        </w:rPr>
        <w:t xml:space="preserve">7. Redman RS, Kim YO, Woodward CJDA, Greer C, Espino L, Doty SL, and Rodriguez RJ: Increased fitness of rice plants to abiotic stress via habitat adapted symbiosis: a strategy for mitigating impacts of climate change. PLoS One 2011, 6:e14823. </w:t>
      </w:r>
    </w:p>
    <w:p>
      <w:pPr>
        <w:jc w:val="both"/>
        <w:rPr>
          <w:rFonts w:ascii="Times New Roman" w:hAnsi="Times New Roman" w:cs="Times New Roman"/>
          <w:sz w:val="24"/>
          <w:szCs w:val="24"/>
        </w:rPr>
      </w:pPr>
      <w:r>
        <w:rPr>
          <w:rFonts w:ascii="Times New Roman" w:hAnsi="Times New Roman" w:cs="Times New Roman"/>
          <w:sz w:val="24"/>
          <w:szCs w:val="24"/>
        </w:rPr>
        <w:t xml:space="preserve"> 8. Berg G, Rybakova D, Fischer D, Cernava T, Vergès M-CC, Charles T, Chen X, Cocolin L, Eversole K, Corral GH, Microbiome definition re-visited: old concepts and new challenges. Microbiome 2020, 8:103.</w:t>
      </w:r>
    </w:p>
    <w:p>
      <w:pPr>
        <w:jc w:val="both"/>
        <w:rPr>
          <w:rFonts w:ascii="Times New Roman" w:hAnsi="Times New Roman" w:cs="Times New Roman"/>
          <w:sz w:val="24"/>
          <w:szCs w:val="24"/>
        </w:rPr>
      </w:pPr>
      <w:r>
        <w:rPr>
          <w:rFonts w:ascii="Times New Roman" w:hAnsi="Times New Roman" w:cs="Times New Roman"/>
          <w:sz w:val="24"/>
          <w:szCs w:val="24"/>
        </w:rPr>
        <w:t xml:space="preserve"> 9. Berg G, Kusstatscher P, Abdelfattah A, Cernava T, Smalla K: Microbiome modulation—toward a better understanding of plant microbiome response to microbial inoculants. Front Microbiol 2021, 12:650610, </w:t>
      </w:r>
      <w:r>
        <w:fldChar w:fldCharType="begin"/>
      </w:r>
      <w:r>
        <w:instrText xml:space="preserve"> HYPERLINK "https://doi.org/10.3389/fmicb.2021.%20650610" </w:instrText>
      </w:r>
      <w:r>
        <w:fldChar w:fldCharType="separate"/>
      </w:r>
      <w:r>
        <w:rPr>
          <w:rStyle w:val="7"/>
          <w:rFonts w:ascii="Times New Roman" w:hAnsi="Times New Roman" w:cs="Times New Roman"/>
          <w:color w:val="auto"/>
          <w:sz w:val="24"/>
          <w:szCs w:val="24"/>
          <w:u w:val="none"/>
        </w:rPr>
        <w:t>https://doi.org/10.3389/fmicb.2021. 650610</w:t>
      </w:r>
      <w:r>
        <w:rPr>
          <w:rStyle w:val="7"/>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w:t>
      </w:r>
    </w:p>
    <w:p>
      <w:pPr>
        <w:jc w:val="both"/>
        <w:rPr>
          <w:rFonts w:ascii="Times New Roman" w:hAnsi="Times New Roman" w:cs="Times New Roman"/>
          <w:sz w:val="24"/>
          <w:szCs w:val="24"/>
        </w:rPr>
      </w:pPr>
      <w:r>
        <w:rPr>
          <w:rFonts w:ascii="Times New Roman" w:hAnsi="Times New Roman" w:cs="Times New Roman"/>
          <w:sz w:val="24"/>
          <w:szCs w:val="24"/>
        </w:rPr>
        <w:t xml:space="preserve">10. Bez C, Esposito A, Thuy HD, Nguyen Hong M, Valè G, Licastro D, Bertani I, Piazza S, and Venturi V: The rice foot rot pathogen </w:t>
      </w:r>
      <w:r>
        <w:rPr>
          <w:rFonts w:ascii="Times New Roman" w:hAnsi="Times New Roman" w:cs="Times New Roman"/>
          <w:i/>
          <w:sz w:val="24"/>
          <w:szCs w:val="24"/>
        </w:rPr>
        <w:t>Dickeya zeae</w:t>
      </w:r>
      <w:r>
        <w:rPr>
          <w:rFonts w:ascii="Times New Roman" w:hAnsi="Times New Roman" w:cs="Times New Roman"/>
          <w:sz w:val="24"/>
          <w:szCs w:val="24"/>
        </w:rPr>
        <w:t xml:space="preserve"> alters the in-field plant microbiome. Environ Microbiol 2021, 23:7671-7687. </w:t>
      </w:r>
    </w:p>
    <w:p>
      <w:pPr>
        <w:jc w:val="both"/>
        <w:rPr>
          <w:rFonts w:ascii="Times New Roman" w:hAnsi="Times New Roman" w:cs="Times New Roman"/>
          <w:sz w:val="24"/>
          <w:szCs w:val="24"/>
        </w:rPr>
      </w:pPr>
      <w:r>
        <w:rPr>
          <w:rFonts w:ascii="Times New Roman" w:hAnsi="Times New Roman" w:cs="Times New Roman"/>
          <w:sz w:val="24"/>
          <w:szCs w:val="24"/>
        </w:rPr>
        <w:t xml:space="preserve">11. Droby S, Zhimo VY, Wisniewski M, Freilich S: The pathobiome concept applied to postharvest pathology and its implication on biocontrol strategies. Postharvest Biol Technol 2022, 189:111911. </w:t>
      </w:r>
    </w:p>
    <w:p>
      <w:pPr>
        <w:jc w:val="both"/>
        <w:rPr>
          <w:rFonts w:ascii="Times New Roman" w:hAnsi="Times New Roman" w:cs="Times New Roman"/>
          <w:sz w:val="24"/>
          <w:szCs w:val="24"/>
        </w:rPr>
      </w:pPr>
      <w:r>
        <w:rPr>
          <w:rFonts w:ascii="Times New Roman" w:hAnsi="Times New Roman" w:cs="Times New Roman"/>
          <w:sz w:val="24"/>
          <w:szCs w:val="24"/>
        </w:rPr>
        <w:t>12. Hassani MA, Durán P, Hacquard S: Microbial interactions within the plant holobiont. Microbiome 2018, 6:58.</w:t>
      </w:r>
    </w:p>
    <w:p>
      <w:pPr>
        <w:jc w:val="both"/>
        <w:rPr>
          <w:rFonts w:ascii="Times New Roman" w:hAnsi="Times New Roman" w:cs="Times New Roman"/>
          <w:sz w:val="24"/>
          <w:szCs w:val="24"/>
        </w:rPr>
      </w:pPr>
      <w:r>
        <w:rPr>
          <w:rFonts w:ascii="Times New Roman" w:hAnsi="Times New Roman" w:cs="Times New Roman"/>
          <w:sz w:val="24"/>
          <w:szCs w:val="24"/>
        </w:rPr>
        <w:t xml:space="preserve"> 13. Bass D, Stentiford GD, Wang H-C, Koskella B, Tyler CR: The pathobiome in animal and plant diseases. Trends Ecol Evol 2019, 34:996-1008. </w:t>
      </w:r>
    </w:p>
    <w:p>
      <w:pPr>
        <w:jc w:val="both"/>
        <w:rPr>
          <w:rFonts w:ascii="Times New Roman" w:hAnsi="Times New Roman" w:cs="Times New Roman"/>
          <w:sz w:val="24"/>
          <w:szCs w:val="24"/>
        </w:rPr>
      </w:pPr>
      <w:r>
        <w:rPr>
          <w:rFonts w:ascii="Times New Roman" w:hAnsi="Times New Roman" w:cs="Times New Roman"/>
          <w:sz w:val="24"/>
          <w:szCs w:val="24"/>
        </w:rPr>
        <w:t xml:space="preserve">14. Lu H, Wei T, Lou H, Shu X, Chen Q: A critical review on communication mechanism within plant-endophytic fungi interactions to cope with biotic and abiotic stresses. J Fungi 2021, 7:719. </w:t>
      </w:r>
    </w:p>
    <w:p>
      <w:pPr>
        <w:jc w:val="both"/>
        <w:rPr>
          <w:rFonts w:ascii="Times New Roman" w:hAnsi="Times New Roman" w:cs="Times New Roman"/>
          <w:sz w:val="24"/>
          <w:szCs w:val="24"/>
        </w:rPr>
      </w:pPr>
      <w:r>
        <w:rPr>
          <w:rFonts w:ascii="Times New Roman" w:hAnsi="Times New Roman" w:cs="Times New Roman"/>
          <w:sz w:val="24"/>
          <w:szCs w:val="24"/>
        </w:rPr>
        <w:t xml:space="preserve">15. de Queiroz CB, Santana MF: Prediction of the secretomes of endophytic and non-endophytic fungi reveals similarities in host plant infection and colonization strategies. Mycologia 2020, 112:491-503.  </w:t>
      </w:r>
    </w:p>
    <w:p>
      <w:pPr>
        <w:jc w:val="both"/>
        <w:rPr>
          <w:rFonts w:ascii="Times New Roman" w:hAnsi="Times New Roman" w:cs="Times New Roman"/>
          <w:sz w:val="24"/>
          <w:szCs w:val="24"/>
        </w:rPr>
      </w:pPr>
      <w:r>
        <w:rPr>
          <w:rFonts w:ascii="Times New Roman" w:hAnsi="Times New Roman" w:cs="Times New Roman"/>
          <w:sz w:val="24"/>
          <w:szCs w:val="24"/>
        </w:rPr>
        <w:t xml:space="preserve">16. Louarn S, Nawrocki A, Thorup-Kristensen K, Lund OS, Jensen ON, Collinge DB, Jensen B: Proteomic changes and endophytic micromycota during storage of organically and conventionally grown carrots. Postharvest Biol Technol 2013, 76:26-33. </w:t>
      </w:r>
    </w:p>
    <w:p>
      <w:pPr>
        <w:jc w:val="both"/>
        <w:rPr>
          <w:rFonts w:ascii="Times New Roman" w:hAnsi="Times New Roman" w:cs="Times New Roman"/>
          <w:sz w:val="24"/>
          <w:szCs w:val="24"/>
        </w:rPr>
      </w:pPr>
      <w:r>
        <w:rPr>
          <w:rFonts w:ascii="Times New Roman" w:hAnsi="Times New Roman" w:cs="Times New Roman"/>
          <w:sz w:val="24"/>
          <w:szCs w:val="24"/>
        </w:rPr>
        <w:t xml:space="preserve">17. Kaczmarek M, Piotrowska MJ, Fountaine JM, Gorniak K, McGrann GRD, Armstrong A, Wright KM, Newton AC, Havis ND: Infection strategy of </w:t>
      </w:r>
      <w:r>
        <w:rPr>
          <w:rFonts w:ascii="Times New Roman" w:hAnsi="Times New Roman" w:cs="Times New Roman"/>
          <w:i/>
          <w:sz w:val="24"/>
          <w:szCs w:val="24"/>
        </w:rPr>
        <w:t>Ramularia collo-cygni</w:t>
      </w:r>
      <w:r>
        <w:rPr>
          <w:rFonts w:ascii="Times New Roman" w:hAnsi="Times New Roman" w:cs="Times New Roman"/>
          <w:sz w:val="24"/>
          <w:szCs w:val="24"/>
        </w:rPr>
        <w:t xml:space="preserve"> and development of </w:t>
      </w:r>
      <w:r>
        <w:rPr>
          <w:rFonts w:ascii="Times New Roman" w:hAnsi="Times New Roman" w:cs="Times New Roman"/>
          <w:i/>
          <w:sz w:val="24"/>
          <w:szCs w:val="24"/>
        </w:rPr>
        <w:t>ramularia</w:t>
      </w:r>
      <w:r>
        <w:rPr>
          <w:rFonts w:ascii="Times New Roman" w:hAnsi="Times New Roman" w:cs="Times New Roman"/>
          <w:sz w:val="24"/>
          <w:szCs w:val="24"/>
        </w:rPr>
        <w:t xml:space="preserve"> leaf spot on barley and alternative graminaceous hosts. Plant Pathol 2017, 66:45-55. </w:t>
      </w:r>
    </w:p>
    <w:p>
      <w:pPr>
        <w:jc w:val="both"/>
        <w:rPr>
          <w:rFonts w:ascii="Times New Roman" w:hAnsi="Times New Roman" w:cs="Times New Roman"/>
          <w:sz w:val="24"/>
          <w:szCs w:val="24"/>
        </w:rPr>
      </w:pPr>
      <w:r>
        <w:rPr>
          <w:rFonts w:ascii="Times New Roman" w:hAnsi="Times New Roman" w:cs="Times New Roman"/>
          <w:sz w:val="24"/>
          <w:szCs w:val="24"/>
        </w:rPr>
        <w:t xml:space="preserve">18. Wheeler DL, Dung JKS, Johnson DA: From pathogen to endophyte: an endophytic population of Verticillium dahliae evolved from a sympatric pathogenic population. N Phytol 2019, 222:497-510. </w:t>
      </w:r>
    </w:p>
    <w:p>
      <w:pPr>
        <w:jc w:val="both"/>
        <w:rPr>
          <w:rFonts w:ascii="Times New Roman" w:hAnsi="Times New Roman" w:cs="Times New Roman"/>
          <w:sz w:val="24"/>
          <w:szCs w:val="24"/>
        </w:rPr>
      </w:pPr>
      <w:r>
        <w:rPr>
          <w:rFonts w:ascii="Times New Roman" w:hAnsi="Times New Roman" w:cs="Times New Roman"/>
          <w:sz w:val="24"/>
          <w:szCs w:val="24"/>
        </w:rPr>
        <w:t xml:space="preserve">19. Manzotti A, Bergna A, Burow M, Jørgensen HJL, Cernava T, Berg G, Collinge DB, Jensen B: Insights into the community structure and lifestyle of the fungal root endophytes of tomato by combining amplicon sequencing and isolation approaches with phytohormone profiling. FEMS Microbiol Ecol 2020, 96:fiaa052, https://doi.org/10.1093/femsec/fiaa052. </w:t>
      </w:r>
    </w:p>
    <w:p>
      <w:pPr>
        <w:jc w:val="both"/>
        <w:rPr>
          <w:rFonts w:ascii="Times New Roman" w:hAnsi="Times New Roman" w:cs="Times New Roman"/>
          <w:sz w:val="24"/>
          <w:szCs w:val="24"/>
        </w:rPr>
      </w:pPr>
      <w:r>
        <w:rPr>
          <w:rFonts w:ascii="Times New Roman" w:hAnsi="Times New Roman" w:cs="Times New Roman"/>
          <w:sz w:val="24"/>
          <w:szCs w:val="24"/>
        </w:rPr>
        <w:t xml:space="preserve">20. Latz MAC, Kerrn MH, Sørensen H, Collinge DB, Jensen B, Brown JKM, Madsen AM, Jørgensen HJL: Succession of the fungal endophytic microbiome of wheat is dependent on tissue-specific interactions between host genotype and environment. Sci Total Environ 2021, 759:143804. </w:t>
      </w:r>
    </w:p>
    <w:p>
      <w:pPr>
        <w:jc w:val="both"/>
        <w:rPr>
          <w:rFonts w:ascii="Times New Roman" w:hAnsi="Times New Roman" w:cs="Times New Roman"/>
          <w:sz w:val="24"/>
          <w:szCs w:val="24"/>
        </w:rPr>
      </w:pPr>
      <w:r>
        <w:rPr>
          <w:rFonts w:ascii="Times New Roman" w:hAnsi="Times New Roman" w:cs="Times New Roman"/>
          <w:sz w:val="24"/>
          <w:szCs w:val="24"/>
        </w:rPr>
        <w:t>21. Rojas EC, Sapkota R, Jensen B, Jørgensen HJL, Henriksson T, Jørgensen LN, Nicolaisen M, Collinge DB: Fusarium head blight modifies fungal endophytic communities during infection of wheat spikes. Microb Ecol 2020, 79:397-408.</w:t>
      </w:r>
    </w:p>
    <w:p>
      <w:pPr>
        <w:jc w:val="both"/>
        <w:rPr>
          <w:rFonts w:ascii="Times New Roman" w:hAnsi="Times New Roman" w:cs="Times New Roman"/>
          <w:sz w:val="24"/>
          <w:szCs w:val="24"/>
        </w:rPr>
      </w:pPr>
      <w:r>
        <w:rPr>
          <w:rFonts w:ascii="Times New Roman" w:hAnsi="Times New Roman" w:cs="Times New Roman"/>
          <w:sz w:val="24"/>
          <w:szCs w:val="24"/>
        </w:rPr>
        <w:t xml:space="preserve"> 22. Pereira E, Vázquez de Aldana BR, San Emeterio L, Zabalgogeazcoa I: A survey of culturable fungal endophytes from </w:t>
      </w:r>
      <w:r>
        <w:rPr>
          <w:rFonts w:ascii="Times New Roman" w:hAnsi="Times New Roman" w:cs="Times New Roman"/>
          <w:i/>
          <w:sz w:val="24"/>
          <w:szCs w:val="24"/>
        </w:rPr>
        <w:t xml:space="preserve">Festuca rubra </w:t>
      </w:r>
      <w:r>
        <w:rPr>
          <w:rFonts w:ascii="Times New Roman" w:hAnsi="Times New Roman" w:cs="Times New Roman"/>
          <w:sz w:val="24"/>
          <w:szCs w:val="24"/>
        </w:rPr>
        <w:t xml:space="preserve">subsp. pruinosa, a grass from marine cliffs, reveals a core microbiome. Front Microbiol 2019, 9. </w:t>
      </w:r>
    </w:p>
    <w:p>
      <w:pPr>
        <w:jc w:val="both"/>
        <w:rPr>
          <w:rFonts w:ascii="Times New Roman" w:hAnsi="Times New Roman" w:cs="Times New Roman"/>
          <w:sz w:val="24"/>
          <w:szCs w:val="24"/>
        </w:rPr>
      </w:pPr>
      <w:r>
        <w:rPr>
          <w:rFonts w:ascii="Times New Roman" w:hAnsi="Times New Roman" w:cs="Times New Roman"/>
          <w:sz w:val="24"/>
          <w:szCs w:val="24"/>
        </w:rPr>
        <w:t xml:space="preserve">23. Bacon CW, Glenn AE, Yates IE: </w:t>
      </w:r>
      <w:r>
        <w:rPr>
          <w:rFonts w:ascii="Times New Roman" w:hAnsi="Times New Roman" w:cs="Times New Roman"/>
          <w:i/>
          <w:sz w:val="24"/>
          <w:szCs w:val="24"/>
        </w:rPr>
        <w:t>Fusarium verticillioides</w:t>
      </w:r>
      <w:r>
        <w:rPr>
          <w:rFonts w:ascii="Times New Roman" w:hAnsi="Times New Roman" w:cs="Times New Roman"/>
          <w:sz w:val="24"/>
          <w:szCs w:val="24"/>
        </w:rPr>
        <w:t xml:space="preserve">: managing the endophytic association with maize for reduced fumonisins accumulation. Toxin Rev 2008, 27:411-446. </w:t>
      </w:r>
    </w:p>
    <w:p>
      <w:pPr>
        <w:jc w:val="both"/>
        <w:rPr>
          <w:rFonts w:ascii="Times New Roman" w:hAnsi="Times New Roman" w:cs="Times New Roman"/>
          <w:sz w:val="24"/>
          <w:szCs w:val="24"/>
        </w:rPr>
      </w:pPr>
      <w:r>
        <w:rPr>
          <w:rFonts w:ascii="Times New Roman" w:hAnsi="Times New Roman" w:cs="Times New Roman"/>
          <w:sz w:val="24"/>
          <w:szCs w:val="24"/>
        </w:rPr>
        <w:t xml:space="preserve">24. Salvatore MM, Andolfi A, Nicoletti R: The thin line between pathogenicity and endophytic: the case of </w:t>
      </w:r>
      <w:r>
        <w:rPr>
          <w:rFonts w:ascii="Times New Roman" w:hAnsi="Times New Roman" w:cs="Times New Roman"/>
          <w:i/>
          <w:sz w:val="24"/>
          <w:szCs w:val="24"/>
        </w:rPr>
        <w:t xml:space="preserve">Lasiodiplodia theobromae. </w:t>
      </w:r>
      <w:r>
        <w:rPr>
          <w:rFonts w:ascii="Times New Roman" w:hAnsi="Times New Roman" w:cs="Times New Roman"/>
          <w:sz w:val="24"/>
          <w:szCs w:val="24"/>
        </w:rPr>
        <w:t xml:space="preserve">Agriculture 2020, 10:488. </w:t>
      </w:r>
    </w:p>
    <w:p>
      <w:pPr>
        <w:jc w:val="both"/>
        <w:rPr>
          <w:rFonts w:ascii="Times New Roman" w:hAnsi="Times New Roman" w:cs="Times New Roman"/>
          <w:sz w:val="24"/>
          <w:szCs w:val="24"/>
        </w:rPr>
      </w:pPr>
      <w:r>
        <w:rPr>
          <w:rFonts w:ascii="Times New Roman" w:hAnsi="Times New Roman" w:cs="Times New Roman"/>
          <w:sz w:val="24"/>
          <w:szCs w:val="24"/>
        </w:rPr>
        <w:t xml:space="preserve">25. Dussart F, Creissen HE, Havis ND: </w:t>
      </w:r>
      <w:r>
        <w:rPr>
          <w:rFonts w:ascii="Times New Roman" w:hAnsi="Times New Roman" w:cs="Times New Roman"/>
          <w:i/>
          <w:sz w:val="24"/>
          <w:szCs w:val="24"/>
        </w:rPr>
        <w:t>Ramularia collo-cygni</w:t>
      </w:r>
      <w:r>
        <w:rPr>
          <w:rFonts w:ascii="Times New Roman" w:hAnsi="Times New Roman" w:cs="Times New Roman"/>
          <w:sz w:val="24"/>
          <w:szCs w:val="24"/>
        </w:rPr>
        <w:t xml:space="preserve"> – an enemy in waiting. eLS 2020,1-8. </w:t>
      </w:r>
    </w:p>
    <w:p>
      <w:pPr>
        <w:jc w:val="both"/>
        <w:rPr>
          <w:rFonts w:ascii="Times New Roman" w:hAnsi="Times New Roman" w:cs="Times New Roman"/>
          <w:sz w:val="24"/>
          <w:szCs w:val="24"/>
        </w:rPr>
      </w:pPr>
      <w:r>
        <w:rPr>
          <w:rFonts w:ascii="Times New Roman" w:hAnsi="Times New Roman" w:cs="Times New Roman"/>
          <w:sz w:val="24"/>
          <w:szCs w:val="24"/>
        </w:rPr>
        <w:t xml:space="preserve">26. Lemcke R, Sjökvist E, Visentin S, Kamble M, James EK, Hjørtshøj R, Wright KM, Avrova A, Newton AC, Havis ND, et al.: Deciphering molecular host-pathogen interactions during </w:t>
      </w:r>
      <w:r>
        <w:rPr>
          <w:rFonts w:ascii="Times New Roman" w:hAnsi="Times New Roman" w:cs="Times New Roman"/>
          <w:i/>
          <w:sz w:val="24"/>
          <w:szCs w:val="24"/>
        </w:rPr>
        <w:t>Ramularia collocygni</w:t>
      </w:r>
      <w:r>
        <w:rPr>
          <w:rFonts w:ascii="Times New Roman" w:hAnsi="Times New Roman" w:cs="Times New Roman"/>
          <w:sz w:val="24"/>
          <w:szCs w:val="24"/>
        </w:rPr>
        <w:t xml:space="preserve"> infection on barley. Front Plant Sci (2367) 2021, 12:747661, </w:t>
      </w:r>
      <w:r>
        <w:fldChar w:fldCharType="begin"/>
      </w:r>
      <w:r>
        <w:instrText xml:space="preserve"> HYPERLINK "https://doi.org/10.3389/fpls.2021.747661" </w:instrText>
      </w:r>
      <w:r>
        <w:fldChar w:fldCharType="separate"/>
      </w:r>
      <w:r>
        <w:rPr>
          <w:rStyle w:val="7"/>
          <w:rFonts w:ascii="Times New Roman" w:hAnsi="Times New Roman" w:cs="Times New Roman"/>
          <w:color w:val="auto"/>
          <w:sz w:val="24"/>
          <w:szCs w:val="24"/>
          <w:u w:val="none"/>
        </w:rPr>
        <w:t>https://doi.org/10.3389/fpls.2021.747661</w:t>
      </w:r>
      <w:r>
        <w:rPr>
          <w:rStyle w:val="7"/>
          <w:rFonts w:ascii="Times New Roman" w:hAnsi="Times New Roman" w:cs="Times New Roman"/>
          <w:color w:val="auto"/>
          <w:sz w:val="24"/>
          <w:szCs w:val="24"/>
          <w:u w:val="none"/>
        </w:rPr>
        <w:fldChar w:fldCharType="end"/>
      </w:r>
    </w:p>
    <w:p>
      <w:pPr>
        <w:jc w:val="both"/>
        <w:rPr>
          <w:rFonts w:ascii="Times New Roman" w:hAnsi="Times New Roman" w:cs="Times New Roman"/>
          <w:sz w:val="24"/>
          <w:szCs w:val="24"/>
        </w:rPr>
      </w:pPr>
      <w:r>
        <w:rPr>
          <w:rFonts w:ascii="Times New Roman" w:hAnsi="Times New Roman" w:cs="Times New Roman"/>
          <w:sz w:val="24"/>
          <w:szCs w:val="24"/>
        </w:rPr>
        <w:t xml:space="preserve">27. Stam R, Münsterkötter M, Pophaly SD, Fokkens L, Sghyer H, Güldener U, Hückelhoven R, Hess M: A new reference genome shows the one-speed genome structure of the barley pathogen </w:t>
      </w:r>
      <w:r>
        <w:rPr>
          <w:rFonts w:ascii="Times New Roman" w:hAnsi="Times New Roman" w:cs="Times New Roman"/>
          <w:i/>
          <w:sz w:val="24"/>
          <w:szCs w:val="24"/>
        </w:rPr>
        <w:t>Ramularia collo-cygni</w:t>
      </w:r>
      <w:r>
        <w:rPr>
          <w:rFonts w:ascii="Times New Roman" w:hAnsi="Times New Roman" w:cs="Times New Roman"/>
          <w:sz w:val="24"/>
          <w:szCs w:val="24"/>
        </w:rPr>
        <w:t>. Genome Biol Evol 2018, 10:3243-3249.</w:t>
      </w:r>
    </w:p>
    <w:p>
      <w:pPr>
        <w:jc w:val="both"/>
        <w:rPr>
          <w:rFonts w:ascii="Times New Roman" w:hAnsi="Times New Roman" w:cs="Times New Roman"/>
          <w:sz w:val="24"/>
          <w:szCs w:val="24"/>
        </w:rPr>
      </w:pPr>
      <w:r>
        <w:rPr>
          <w:rFonts w:ascii="Times New Roman" w:hAnsi="Times New Roman" w:cs="Times New Roman"/>
          <w:sz w:val="24"/>
          <w:szCs w:val="24"/>
        </w:rPr>
        <w:t xml:space="preserve">28. Brennan CJ, Benbow HR, Mullins E, Doohan FM: A review of the known unknowns in the early stages of </w:t>
      </w:r>
      <w:r>
        <w:rPr>
          <w:rFonts w:ascii="Times New Roman" w:hAnsi="Times New Roman" w:cs="Times New Roman"/>
          <w:i/>
          <w:sz w:val="24"/>
          <w:szCs w:val="24"/>
        </w:rPr>
        <w:t>septoria tritici</w:t>
      </w:r>
      <w:r>
        <w:rPr>
          <w:rFonts w:ascii="Times New Roman" w:hAnsi="Times New Roman" w:cs="Times New Roman"/>
          <w:sz w:val="24"/>
          <w:szCs w:val="24"/>
        </w:rPr>
        <w:t xml:space="preserve"> blotch disease of wheat. Plant Pathol 2019, 68:1427-1438.</w:t>
      </w:r>
    </w:p>
    <w:p>
      <w:pPr>
        <w:jc w:val="both"/>
        <w:rPr>
          <w:rFonts w:ascii="Times New Roman" w:hAnsi="Times New Roman" w:cs="Times New Roman"/>
          <w:sz w:val="24"/>
          <w:szCs w:val="24"/>
        </w:rPr>
      </w:pPr>
      <w:r>
        <w:rPr>
          <w:rFonts w:ascii="Times New Roman" w:hAnsi="Times New Roman" w:cs="Times New Roman"/>
          <w:sz w:val="24"/>
          <w:szCs w:val="24"/>
        </w:rPr>
        <w:t xml:space="preserve">29. Shetty NP, Kristensen BK, Newman MA, Møller K, Gregersen PL, Jørgensen HJL: Association of hydrogen peroxide with restriction of </w:t>
      </w:r>
      <w:r>
        <w:rPr>
          <w:rFonts w:ascii="Times New Roman" w:hAnsi="Times New Roman" w:cs="Times New Roman"/>
          <w:i/>
          <w:sz w:val="24"/>
          <w:szCs w:val="24"/>
        </w:rPr>
        <w:t>Septoria tritici</w:t>
      </w:r>
      <w:r>
        <w:rPr>
          <w:rFonts w:ascii="Times New Roman" w:hAnsi="Times New Roman" w:cs="Times New Roman"/>
          <w:sz w:val="24"/>
          <w:szCs w:val="24"/>
        </w:rPr>
        <w:t xml:space="preserve"> in resistant wheat. Physiol Mol Plant Pathol 2003, 62:333-346. </w:t>
      </w:r>
    </w:p>
    <w:p>
      <w:pPr>
        <w:jc w:val="both"/>
        <w:rPr>
          <w:rFonts w:ascii="Times New Roman" w:hAnsi="Times New Roman" w:cs="Times New Roman"/>
          <w:sz w:val="24"/>
          <w:szCs w:val="24"/>
        </w:rPr>
      </w:pPr>
      <w:r>
        <w:rPr>
          <w:rFonts w:ascii="Times New Roman" w:hAnsi="Times New Roman" w:cs="Times New Roman"/>
          <w:sz w:val="24"/>
          <w:szCs w:val="24"/>
        </w:rPr>
        <w:t>30. Churchill ACL: Mycosphaerella fijiensis, the black leaf streak pathogen of banana: progress towards understanding pathogen biology and detection, disease development, and the challenges of control. Mol Plant Pathol 2011, 12:307-328. Fungal Endophytes in Plants and Disease Collinge, Jensen and Jørgensen5</w:t>
      </w:r>
    </w:p>
    <w:p>
      <w:pPr>
        <w:jc w:val="both"/>
        <w:rPr>
          <w:rFonts w:ascii="Times New Roman" w:hAnsi="Times New Roman" w:cs="Times New Roman"/>
          <w:sz w:val="24"/>
          <w:szCs w:val="24"/>
        </w:rPr>
      </w:pPr>
      <w:r>
        <w:rPr>
          <w:rFonts w:ascii="Times New Roman" w:hAnsi="Times New Roman" w:cs="Times New Roman"/>
          <w:sz w:val="24"/>
          <w:szCs w:val="24"/>
        </w:rPr>
        <w:t>31. Rangel LI, Spanner RE, Ebert MK, Pethybridge SJ, Stukenbrock EH, de Jonge R, Secor GA, Bolton MD: Cercospora beticola: the intoxicating lifestyle of the leaf spot pathogen of sugar beet. Mol Plant Pathol 2020, 21:1020-1041.</w:t>
      </w:r>
    </w:p>
    <w:p>
      <w:pPr>
        <w:jc w:val="both"/>
        <w:rPr>
          <w:rFonts w:ascii="Times New Roman" w:hAnsi="Times New Roman" w:cs="Times New Roman"/>
          <w:sz w:val="24"/>
          <w:szCs w:val="24"/>
        </w:rPr>
      </w:pPr>
      <w:r>
        <w:rPr>
          <w:rFonts w:ascii="Times New Roman" w:hAnsi="Times New Roman" w:cs="Times New Roman"/>
          <w:sz w:val="24"/>
          <w:szCs w:val="24"/>
        </w:rPr>
        <w:t xml:space="preserve">32. BPHJ Thomma, Van Esse HP, Crous PW, De Wit PJGM: </w:t>
      </w:r>
      <w:r>
        <w:rPr>
          <w:rFonts w:ascii="Times New Roman" w:hAnsi="Times New Roman" w:cs="Times New Roman"/>
          <w:i/>
          <w:sz w:val="24"/>
          <w:szCs w:val="24"/>
        </w:rPr>
        <w:t>Cladosporium fulvum</w:t>
      </w:r>
      <w:r>
        <w:rPr>
          <w:rFonts w:ascii="Times New Roman" w:hAnsi="Times New Roman" w:cs="Times New Roman"/>
          <w:sz w:val="24"/>
          <w:szCs w:val="24"/>
        </w:rPr>
        <w:t xml:space="preserve"> (syn. </w:t>
      </w:r>
      <w:r>
        <w:rPr>
          <w:rFonts w:ascii="Times New Roman" w:hAnsi="Times New Roman" w:cs="Times New Roman"/>
          <w:i/>
          <w:sz w:val="24"/>
          <w:szCs w:val="24"/>
        </w:rPr>
        <w:t>Passalora fulva</w:t>
      </w:r>
      <w:r>
        <w:rPr>
          <w:rFonts w:ascii="Times New Roman" w:hAnsi="Times New Roman" w:cs="Times New Roman"/>
          <w:sz w:val="24"/>
          <w:szCs w:val="24"/>
        </w:rPr>
        <w:t xml:space="preserve">), a highly specialized plant pathogen as a model for functional studies on plant pathogenic </w:t>
      </w:r>
      <w:r>
        <w:rPr>
          <w:rFonts w:ascii="Times New Roman" w:hAnsi="Times New Roman" w:cs="Times New Roman"/>
          <w:i/>
          <w:sz w:val="24"/>
          <w:szCs w:val="24"/>
        </w:rPr>
        <w:t>Mycosphaerellaceae</w:t>
      </w:r>
      <w:r>
        <w:rPr>
          <w:rFonts w:ascii="Times New Roman" w:hAnsi="Times New Roman" w:cs="Times New Roman"/>
          <w:sz w:val="24"/>
          <w:szCs w:val="24"/>
        </w:rPr>
        <w:t xml:space="preserve">. Mol Plant Pathol 2005, 6:379-393. </w:t>
      </w:r>
    </w:p>
    <w:p>
      <w:pPr>
        <w:jc w:val="both"/>
        <w:rPr>
          <w:rFonts w:ascii="Times New Roman" w:hAnsi="Times New Roman" w:cs="Times New Roman"/>
          <w:sz w:val="24"/>
          <w:szCs w:val="24"/>
        </w:rPr>
      </w:pPr>
      <w:r>
        <w:rPr>
          <w:rFonts w:ascii="Times New Roman" w:hAnsi="Times New Roman" w:cs="Times New Roman"/>
          <w:sz w:val="24"/>
          <w:szCs w:val="24"/>
        </w:rPr>
        <w:t xml:space="preserve">33. Constantin ME, Fokkens L, de Sain M, Takken FLW, Rep M: Number of candidate effector genes in accessory genomes differentiates pathogenic from endophytic </w:t>
      </w:r>
      <w:r>
        <w:rPr>
          <w:rFonts w:ascii="Times New Roman" w:hAnsi="Times New Roman" w:cs="Times New Roman"/>
          <w:i/>
          <w:sz w:val="24"/>
          <w:szCs w:val="24"/>
        </w:rPr>
        <w:t>Fusarium oxysporum</w:t>
      </w:r>
      <w:r>
        <w:rPr>
          <w:rFonts w:ascii="Times New Roman" w:hAnsi="Times New Roman" w:cs="Times New Roman"/>
          <w:sz w:val="24"/>
          <w:szCs w:val="24"/>
        </w:rPr>
        <w:t xml:space="preserve"> strains. Front Plant Sci 2021, 12:761740, https://doi. org/10.3389/fpls.2021.761740. </w:t>
      </w:r>
    </w:p>
    <w:p>
      <w:pPr>
        <w:jc w:val="both"/>
        <w:rPr>
          <w:rFonts w:ascii="Times New Roman" w:hAnsi="Times New Roman" w:cs="Times New Roman"/>
          <w:sz w:val="24"/>
          <w:szCs w:val="24"/>
        </w:rPr>
      </w:pPr>
      <w:r>
        <w:rPr>
          <w:rFonts w:ascii="Times New Roman" w:hAnsi="Times New Roman" w:cs="Times New Roman"/>
          <w:sz w:val="24"/>
          <w:szCs w:val="24"/>
        </w:rPr>
        <w:t xml:space="preserve">34. Zuo W, Ökmen B, Depotter JRL, Ebert MK, Redkar A, Villamil JM, Doehlemann G: Molecular interactions between smut fungi and their host plants. Annu Rev Phytopathol 2019, 57:411-430. </w:t>
      </w:r>
    </w:p>
    <w:p>
      <w:pPr>
        <w:jc w:val="both"/>
        <w:rPr>
          <w:rFonts w:ascii="Times New Roman" w:hAnsi="Times New Roman" w:cs="Times New Roman"/>
          <w:sz w:val="24"/>
          <w:szCs w:val="24"/>
        </w:rPr>
      </w:pPr>
      <w:r>
        <w:rPr>
          <w:rFonts w:ascii="Times New Roman" w:hAnsi="Times New Roman" w:cs="Times New Roman"/>
          <w:sz w:val="24"/>
          <w:szCs w:val="24"/>
        </w:rPr>
        <w:t xml:space="preserve">35. Zhang H, Xie J, Fu Y, Cheng J, Qu Z, Zhao Z, Cheng S, Chen T, Li B, Wang Q, et al.: A 2-kb mycovirus converts a pathogenic fungus into a beneficial endophyte for brassica protection and yield enhancement. Mol Plant 2020, 13:1420-1433. </w:t>
      </w:r>
    </w:p>
    <w:p>
      <w:pPr>
        <w:jc w:val="both"/>
        <w:rPr>
          <w:rFonts w:ascii="Times New Roman" w:hAnsi="Times New Roman" w:cs="Times New Roman"/>
          <w:sz w:val="24"/>
          <w:szCs w:val="24"/>
        </w:rPr>
      </w:pPr>
      <w:r>
        <w:rPr>
          <w:rFonts w:ascii="Times New Roman" w:hAnsi="Times New Roman" w:cs="Times New Roman"/>
          <w:sz w:val="24"/>
          <w:szCs w:val="24"/>
        </w:rPr>
        <w:t xml:space="preserve">36. Ntana F, Johnson SR, Hamberger B, Jensen B, Jørgensen HJL, Collinge DB: Regulation of tomato specialised metabolism after the establishment of symbiosis with the endophytic fungus </w:t>
      </w:r>
      <w:r>
        <w:rPr>
          <w:rFonts w:ascii="Times New Roman" w:hAnsi="Times New Roman" w:cs="Times New Roman"/>
          <w:i/>
          <w:sz w:val="24"/>
          <w:szCs w:val="24"/>
        </w:rPr>
        <w:t>Serendipita indica</w:t>
      </w:r>
      <w:r>
        <w:rPr>
          <w:rFonts w:ascii="Times New Roman" w:hAnsi="Times New Roman" w:cs="Times New Roman"/>
          <w:sz w:val="24"/>
          <w:szCs w:val="24"/>
        </w:rPr>
        <w:t xml:space="preserve">. Microorganisms 2022, 10:194. </w:t>
      </w:r>
    </w:p>
    <w:p>
      <w:pPr>
        <w:jc w:val="both"/>
        <w:rPr>
          <w:rFonts w:ascii="Times New Roman" w:hAnsi="Times New Roman" w:cs="Times New Roman"/>
          <w:sz w:val="24"/>
          <w:szCs w:val="24"/>
        </w:rPr>
      </w:pPr>
      <w:r>
        <w:rPr>
          <w:rFonts w:ascii="Times New Roman" w:hAnsi="Times New Roman" w:cs="Times New Roman"/>
          <w:sz w:val="24"/>
          <w:szCs w:val="24"/>
        </w:rPr>
        <w:t xml:space="preserve">37. Deshmukh S, Hueckelhoven R, Schaefer P, Imani J, Sharma M, Weiss M, Waller F, Kogel KH: The root endophytic fungus </w:t>
      </w:r>
      <w:r>
        <w:rPr>
          <w:rFonts w:ascii="Times New Roman" w:hAnsi="Times New Roman" w:cs="Times New Roman"/>
          <w:i/>
          <w:sz w:val="24"/>
          <w:szCs w:val="24"/>
        </w:rPr>
        <w:t>Piriformospora indica</w:t>
      </w:r>
      <w:r>
        <w:rPr>
          <w:rFonts w:ascii="Times New Roman" w:hAnsi="Times New Roman" w:cs="Times New Roman"/>
          <w:sz w:val="24"/>
          <w:szCs w:val="24"/>
        </w:rPr>
        <w:t xml:space="preserve"> requires host cell death for proliferation during mutualistic symbiosis with barley. Proc Natl Acad Sci USA 2006, 103:18450-18457. </w:t>
      </w:r>
    </w:p>
    <w:p>
      <w:pPr>
        <w:jc w:val="both"/>
        <w:rPr>
          <w:rFonts w:ascii="Times New Roman" w:hAnsi="Times New Roman" w:cs="Times New Roman"/>
          <w:sz w:val="24"/>
          <w:szCs w:val="24"/>
        </w:rPr>
      </w:pPr>
      <w:r>
        <w:rPr>
          <w:rFonts w:ascii="Times New Roman" w:hAnsi="Times New Roman" w:cs="Times New Roman"/>
          <w:sz w:val="24"/>
          <w:szCs w:val="24"/>
        </w:rPr>
        <w:t xml:space="preserve">38. Khare E, Mishra J, Arora NK: Multifaceted interactions between endophytes and plant: developments and prospects. Front Microbiol (2732) 2018, 9:2732, https://doi.org/10.3389/fmicb.2018. 02732 </w:t>
      </w:r>
    </w:p>
    <w:p>
      <w:pPr>
        <w:jc w:val="both"/>
        <w:rPr>
          <w:rFonts w:ascii="Times New Roman" w:hAnsi="Times New Roman" w:cs="Times New Roman"/>
          <w:sz w:val="24"/>
          <w:szCs w:val="24"/>
        </w:rPr>
      </w:pPr>
      <w:r>
        <w:rPr>
          <w:rFonts w:ascii="Times New Roman" w:hAnsi="Times New Roman" w:cs="Times New Roman"/>
          <w:sz w:val="24"/>
          <w:szCs w:val="24"/>
        </w:rPr>
        <w:t>39. Kogel KH, Franken P, Huckelhoven R: Endophyte or parasite - what decides? Curr Opin Plant Biol 2006, 9:358-363.</w:t>
      </w:r>
    </w:p>
    <w:p>
      <w:pPr>
        <w:jc w:val="both"/>
        <w:rPr>
          <w:rFonts w:ascii="Times New Roman" w:hAnsi="Times New Roman" w:cs="Times New Roman"/>
          <w:sz w:val="24"/>
          <w:szCs w:val="24"/>
        </w:rPr>
      </w:pPr>
      <w:r>
        <w:rPr>
          <w:rFonts w:ascii="Times New Roman" w:hAnsi="Times New Roman" w:cs="Times New Roman"/>
          <w:sz w:val="24"/>
          <w:szCs w:val="24"/>
        </w:rPr>
        <w:t>40. Mishra S, Bhattacharjee A, Sharma S: An ecological insight into the multifaceted world of plant-endophyte association. Crit Rev Plant Sci 2021, 40:127-146.</w:t>
      </w:r>
    </w:p>
    <w:p>
      <w:pPr>
        <w:jc w:val="both"/>
        <w:rPr>
          <w:rFonts w:ascii="Times New Roman" w:hAnsi="Times New Roman" w:cs="Times New Roman"/>
          <w:sz w:val="24"/>
          <w:szCs w:val="24"/>
        </w:rPr>
      </w:pPr>
      <w:r>
        <w:rPr>
          <w:rFonts w:ascii="Times New Roman" w:hAnsi="Times New Roman" w:cs="Times New Roman"/>
          <w:sz w:val="24"/>
          <w:szCs w:val="24"/>
        </w:rPr>
        <w:t xml:space="preserve"> 41. Bauters L, Stojilković B, Gheysen G: Pathogens pulling the strings: effectors manipulating salicylic acid and phenylpropanoid biosynthesis in plants. Mol Plant Pathol 2021, 22:1436-18.</w:t>
      </w:r>
    </w:p>
    <w:p>
      <w:pPr>
        <w:jc w:val="both"/>
        <w:rPr>
          <w:rFonts w:ascii="Times New Roman" w:hAnsi="Times New Roman" w:cs="Times New Roman"/>
          <w:sz w:val="24"/>
          <w:szCs w:val="24"/>
        </w:rPr>
      </w:pPr>
      <w:r>
        <w:rPr>
          <w:rFonts w:ascii="Times New Roman" w:hAnsi="Times New Roman" w:cs="Times New Roman"/>
          <w:sz w:val="24"/>
          <w:szCs w:val="24"/>
        </w:rPr>
        <w:t xml:space="preserve"> 42. Pieterse CMJ, Zamioudis C, Berendsen RL, Weller DM, Van Wees SCM, Bakker PAHM: Induced systemic resistance by beneficial microbes. Annu Rev Phytopathol 2014, 52:347-375. </w:t>
      </w:r>
    </w:p>
    <w:p>
      <w:pPr>
        <w:jc w:val="both"/>
        <w:rPr>
          <w:rFonts w:ascii="Times New Roman" w:hAnsi="Times New Roman" w:cs="Times New Roman"/>
          <w:sz w:val="24"/>
          <w:szCs w:val="24"/>
        </w:rPr>
      </w:pPr>
      <w:r>
        <w:rPr>
          <w:rFonts w:ascii="Times New Roman" w:hAnsi="Times New Roman" w:cs="Times New Roman"/>
          <w:sz w:val="24"/>
          <w:szCs w:val="24"/>
        </w:rPr>
        <w:t>43. Collinge DB, Taylor P: Mechanisms of pathogenicity. In Plant Pathology and Plant Diseases. Edited by Tronsmo AM, Collinge DB, Djurle A, Munk L, Yuen J, Tronsmo A. CABI; 2020:185-204.</w:t>
      </w:r>
    </w:p>
    <w:p>
      <w:pPr>
        <w:jc w:val="both"/>
        <w:rPr>
          <w:rFonts w:ascii="Times New Roman" w:hAnsi="Times New Roman" w:cs="Times New Roman"/>
          <w:sz w:val="24"/>
          <w:szCs w:val="24"/>
        </w:rPr>
      </w:pPr>
      <w:r>
        <w:rPr>
          <w:rFonts w:ascii="Times New Roman" w:hAnsi="Times New Roman" w:cs="Times New Roman"/>
          <w:sz w:val="24"/>
          <w:szCs w:val="24"/>
        </w:rPr>
        <w:t xml:space="preserve">44. Xu G, Yang S, Meng L, Wang B-G: The plant hormone abscisic acid regulates the growth and metabolism of the endophytic fungus </w:t>
      </w:r>
      <w:r>
        <w:rPr>
          <w:rFonts w:ascii="Times New Roman" w:hAnsi="Times New Roman" w:cs="Times New Roman"/>
          <w:i/>
          <w:sz w:val="24"/>
          <w:szCs w:val="24"/>
        </w:rPr>
        <w:t>Aspergillus nidulans</w:t>
      </w:r>
      <w:r>
        <w:rPr>
          <w:rFonts w:ascii="Times New Roman" w:hAnsi="Times New Roman" w:cs="Times New Roman"/>
          <w:sz w:val="24"/>
          <w:szCs w:val="24"/>
        </w:rPr>
        <w:t>. Sci Rep 2018, 8:6504.</w:t>
      </w:r>
    </w:p>
    <w:p>
      <w:pPr>
        <w:jc w:val="both"/>
        <w:rPr>
          <w:rFonts w:ascii="Times New Roman" w:hAnsi="Times New Roman" w:cs="Times New Roman"/>
          <w:sz w:val="24"/>
          <w:szCs w:val="24"/>
        </w:rPr>
      </w:pPr>
      <w:r>
        <w:rPr>
          <w:rFonts w:ascii="Times New Roman" w:hAnsi="Times New Roman" w:cs="Times New Roman"/>
          <w:sz w:val="24"/>
          <w:szCs w:val="24"/>
        </w:rPr>
        <w:t xml:space="preserve">45. Hilbert M, Voll LM, Ding Y, Hofmann J, Sharma M, Zuccaro A: Indole derivative production by the root endophyte </w:t>
      </w:r>
      <w:r>
        <w:rPr>
          <w:rFonts w:ascii="Times New Roman" w:hAnsi="Times New Roman" w:cs="Times New Roman"/>
          <w:i/>
          <w:sz w:val="24"/>
          <w:szCs w:val="24"/>
        </w:rPr>
        <w:t>Piriformospora indica</w:t>
      </w:r>
      <w:r>
        <w:rPr>
          <w:rFonts w:ascii="Times New Roman" w:hAnsi="Times New Roman" w:cs="Times New Roman"/>
          <w:sz w:val="24"/>
          <w:szCs w:val="24"/>
        </w:rPr>
        <w:t xml:space="preserve"> is not required for growth promotion but for biotrophic colonization of barley roots. N Phytol 2012, 196:520-534.</w:t>
      </w:r>
    </w:p>
    <w:p>
      <w:pPr>
        <w:jc w:val="both"/>
        <w:rPr>
          <w:rFonts w:ascii="Times New Roman" w:hAnsi="Times New Roman" w:cs="Times New Roman"/>
          <w:sz w:val="24"/>
          <w:szCs w:val="24"/>
        </w:rPr>
      </w:pPr>
      <w:r>
        <w:rPr>
          <w:rFonts w:ascii="Times New Roman" w:hAnsi="Times New Roman" w:cs="Times New Roman"/>
          <w:sz w:val="24"/>
          <w:szCs w:val="24"/>
        </w:rPr>
        <w:t xml:space="preserve"> 46. Wang M, Weiberg A, Lin F-M, Thomma BPHJ, Huang H-D, Jin H: Bidirectional cross-kingdom RNAi and fungal uptake of external RNAs confer plant protection. Nat Plants 2016, 2:16151. Cross kingdom signalling: the pathogen Botrytis silences host immunity gene expression. </w:t>
      </w:r>
    </w:p>
    <w:p>
      <w:pPr>
        <w:jc w:val="both"/>
        <w:rPr>
          <w:rFonts w:ascii="Times New Roman" w:hAnsi="Times New Roman" w:cs="Times New Roman"/>
          <w:sz w:val="24"/>
          <w:szCs w:val="24"/>
        </w:rPr>
      </w:pPr>
      <w:r>
        <w:rPr>
          <w:rFonts w:ascii="Times New Roman" w:hAnsi="Times New Roman" w:cs="Times New Roman"/>
          <w:sz w:val="24"/>
          <w:szCs w:val="24"/>
        </w:rPr>
        <w:t>47.Šečić E, Zanini S, Wibberg D, Jelonek L, Busche T, Kalinowski J, Nasfi S, Thielmann J, Imani J, Steinbrenner J, et al.: A novel plant-fungal association reveals fundamental sRNA and gene expression reprogramming at the onset of symbiosis. BMC Biol 2021, 19:171.</w:t>
      </w:r>
    </w:p>
    <w:p>
      <w:pPr>
        <w:jc w:val="both"/>
        <w:rPr>
          <w:rFonts w:ascii="Times New Roman" w:hAnsi="Times New Roman" w:cs="Times New Roman"/>
          <w:sz w:val="24"/>
          <w:szCs w:val="24"/>
        </w:rPr>
      </w:pPr>
      <w:r>
        <w:rPr>
          <w:rFonts w:ascii="Times New Roman" w:hAnsi="Times New Roman" w:cs="Times New Roman"/>
          <w:sz w:val="24"/>
          <w:szCs w:val="24"/>
        </w:rPr>
        <w:t xml:space="preserve">48. Sacristán S, Goss EM, Eves-van den Akker S: How do pathogens evolve novel virulence activities? Mol Plant-Microbe Interact 2021, 34:576-586. </w:t>
      </w:r>
    </w:p>
    <w:p>
      <w:pPr>
        <w:jc w:val="both"/>
        <w:rPr>
          <w:rFonts w:ascii="Times New Roman" w:hAnsi="Times New Roman" w:cs="Times New Roman"/>
          <w:sz w:val="24"/>
          <w:szCs w:val="24"/>
        </w:rPr>
      </w:pPr>
      <w:r>
        <w:rPr>
          <w:rFonts w:ascii="Times New Roman" w:hAnsi="Times New Roman" w:cs="Times New Roman"/>
          <w:sz w:val="24"/>
          <w:szCs w:val="24"/>
        </w:rPr>
        <w:t xml:space="preserve">49. Ma LJ, van der Does HC, Borkovich KA, Coleman JJ, Daboussi MJ, Di Pietro A, Dufresne M, Freitag M, Grabherr M, Henrissat B, et al.: Comparative genomics reveals mobile pathogenicity chromosomes in </w:t>
      </w:r>
      <w:r>
        <w:rPr>
          <w:rFonts w:ascii="Times New Roman" w:hAnsi="Times New Roman" w:cs="Times New Roman"/>
          <w:i/>
          <w:sz w:val="24"/>
          <w:szCs w:val="24"/>
        </w:rPr>
        <w:t>Fusarium</w:t>
      </w:r>
      <w:r>
        <w:rPr>
          <w:rFonts w:ascii="Times New Roman" w:hAnsi="Times New Roman" w:cs="Times New Roman"/>
          <w:sz w:val="24"/>
          <w:szCs w:val="24"/>
        </w:rPr>
        <w:t xml:space="preserve">. Nature 2010, 464:367-373. Pathogenicity – host range – is carried by supernumerary chromosomes in </w:t>
      </w:r>
      <w:r>
        <w:rPr>
          <w:rFonts w:ascii="Times New Roman" w:hAnsi="Times New Roman" w:cs="Times New Roman"/>
          <w:i/>
          <w:sz w:val="24"/>
          <w:szCs w:val="24"/>
        </w:rPr>
        <w:t>Fusarium oxysporum</w:t>
      </w:r>
      <w:r>
        <w:rPr>
          <w:rFonts w:ascii="Times New Roman" w:hAnsi="Times New Roman" w:cs="Times New Roman"/>
          <w:sz w:val="24"/>
          <w:szCs w:val="24"/>
        </w:rPr>
        <w:t xml:space="preserve">. </w:t>
      </w:r>
    </w:p>
    <w:p>
      <w:pPr>
        <w:jc w:val="both"/>
        <w:rPr>
          <w:rFonts w:ascii="Times New Roman" w:hAnsi="Times New Roman" w:cs="Times New Roman"/>
          <w:sz w:val="24"/>
          <w:szCs w:val="24"/>
        </w:rPr>
      </w:pPr>
      <w:r>
        <w:rPr>
          <w:rFonts w:ascii="Times New Roman" w:hAnsi="Times New Roman" w:cs="Times New Roman"/>
          <w:sz w:val="24"/>
          <w:szCs w:val="24"/>
        </w:rPr>
        <w:t xml:space="preserve">50. Latz MAC, Jensen B, Collinge DB, Jørgensen HJL: Endophytic fungi as biocontrol agents: elucidating mechanisms in disease suppression. Plant Ecol Divers 2018, 11:555. </w:t>
      </w:r>
    </w:p>
    <w:p>
      <w:pPr>
        <w:jc w:val="both"/>
        <w:rPr>
          <w:rFonts w:ascii="Times New Roman" w:hAnsi="Times New Roman" w:cs="Times New Roman"/>
          <w:sz w:val="24"/>
          <w:szCs w:val="24"/>
        </w:rPr>
      </w:pPr>
      <w:r>
        <w:rPr>
          <w:rFonts w:ascii="Times New Roman" w:hAnsi="Times New Roman" w:cs="Times New Roman"/>
          <w:sz w:val="24"/>
          <w:szCs w:val="24"/>
        </w:rPr>
        <w:t xml:space="preserve">51. Collinge DB, Jensen DF, Rabiey M, Sarrocco S, Shaw MW, Shaw R: Biological control of plant diseases – what has been achieved and what is the direction? Plant Pathol 2022, 71:1021-1228. </w:t>
      </w:r>
    </w:p>
    <w:p>
      <w:pPr>
        <w:jc w:val="both"/>
        <w:rPr>
          <w:rFonts w:ascii="Times New Roman" w:hAnsi="Times New Roman" w:cs="Times New Roman"/>
          <w:sz w:val="24"/>
          <w:szCs w:val="24"/>
        </w:rPr>
      </w:pPr>
      <w:r>
        <w:rPr>
          <w:rFonts w:ascii="Times New Roman" w:hAnsi="Times New Roman" w:cs="Times New Roman"/>
          <w:sz w:val="24"/>
          <w:szCs w:val="24"/>
        </w:rPr>
        <w:t xml:space="preserve">52. Rojas EC, Jensen B, Jørgensen HJL, Latz MAC, Esteban P, Ding Y, Collinge DB: Selection of fungal endophytes with biocontrol potential against </w:t>
      </w:r>
      <w:r>
        <w:rPr>
          <w:rFonts w:ascii="Times New Roman" w:hAnsi="Times New Roman" w:cs="Times New Roman"/>
          <w:i/>
          <w:sz w:val="24"/>
          <w:szCs w:val="24"/>
        </w:rPr>
        <w:t>Fusarium</w:t>
      </w:r>
      <w:r>
        <w:rPr>
          <w:rFonts w:ascii="Times New Roman" w:hAnsi="Times New Roman" w:cs="Times New Roman"/>
          <w:sz w:val="24"/>
          <w:szCs w:val="24"/>
        </w:rPr>
        <w:t xml:space="preserve"> head blight in wheat. Biol Control 2020, 144:104222. </w:t>
      </w:r>
    </w:p>
    <w:p>
      <w:pPr>
        <w:jc w:val="both"/>
        <w:rPr>
          <w:rFonts w:ascii="Times New Roman" w:hAnsi="Times New Roman" w:cs="Times New Roman"/>
          <w:sz w:val="24"/>
          <w:szCs w:val="24"/>
        </w:rPr>
      </w:pPr>
      <w:r>
        <w:rPr>
          <w:rFonts w:ascii="Times New Roman" w:hAnsi="Times New Roman" w:cs="Times New Roman"/>
          <w:sz w:val="24"/>
          <w:szCs w:val="24"/>
        </w:rPr>
        <w:t>53. Latz MAC, Jensen B, Collinge DB, Jørgensen HJL: Identification of two endophytic fungi that control Septoria tritici blotch in the field, using a structured screening approach. Biol Control 2020, 141:104128.</w:t>
      </w:r>
    </w:p>
    <w:p>
      <w:pPr>
        <w:jc w:val="both"/>
        <w:rPr>
          <w:rFonts w:ascii="Times New Roman" w:hAnsi="Times New Roman" w:cs="Times New Roman"/>
          <w:sz w:val="24"/>
          <w:szCs w:val="24"/>
        </w:rPr>
      </w:pPr>
      <w:r>
        <w:rPr>
          <w:rFonts w:ascii="Times New Roman" w:hAnsi="Times New Roman" w:cs="Times New Roman"/>
          <w:sz w:val="24"/>
          <w:szCs w:val="24"/>
        </w:rPr>
        <w:t xml:space="preserve"> 54. Rojas EC, Jensen B, jørgensen HJL, Latz MAC, Esteban P, Collinge DB: The fungal endophyte </w:t>
      </w:r>
      <w:r>
        <w:rPr>
          <w:rFonts w:ascii="Times New Roman" w:hAnsi="Times New Roman" w:cs="Times New Roman"/>
          <w:i/>
          <w:sz w:val="24"/>
          <w:szCs w:val="24"/>
        </w:rPr>
        <w:t>Penicillium olsonii</w:t>
      </w:r>
      <w:r>
        <w:rPr>
          <w:rFonts w:ascii="Times New Roman" w:hAnsi="Times New Roman" w:cs="Times New Roman"/>
          <w:sz w:val="24"/>
          <w:szCs w:val="24"/>
        </w:rPr>
        <w:t xml:space="preserve"> ML37 reduces </w:t>
      </w:r>
      <w:r>
        <w:rPr>
          <w:rFonts w:ascii="Times New Roman" w:hAnsi="Times New Roman" w:cs="Times New Roman"/>
          <w:i/>
          <w:sz w:val="24"/>
          <w:szCs w:val="24"/>
        </w:rPr>
        <w:t>Fusarium</w:t>
      </w:r>
      <w:r>
        <w:rPr>
          <w:rFonts w:ascii="Times New Roman" w:hAnsi="Times New Roman" w:cs="Times New Roman"/>
          <w:sz w:val="24"/>
          <w:szCs w:val="24"/>
        </w:rPr>
        <w:t xml:space="preserve"> head blight by local induced resistance in wheat spikes. J Fungi 2022, 8:345, </w:t>
      </w:r>
      <w:r>
        <w:fldChar w:fldCharType="begin"/>
      </w:r>
      <w:r>
        <w:instrText xml:space="preserve"> HYPERLINK "https://doi.org/10.3390/jof8040345" </w:instrText>
      </w:r>
      <w:r>
        <w:fldChar w:fldCharType="separate"/>
      </w:r>
      <w:r>
        <w:rPr>
          <w:rStyle w:val="7"/>
          <w:rFonts w:ascii="Times New Roman" w:hAnsi="Times New Roman" w:cs="Times New Roman"/>
          <w:color w:val="auto"/>
          <w:sz w:val="24"/>
          <w:szCs w:val="24"/>
          <w:u w:val="none"/>
        </w:rPr>
        <w:t>https://doi.org/10.3390/jof8040345</w:t>
      </w:r>
      <w:r>
        <w:rPr>
          <w:rStyle w:val="7"/>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w:t>
      </w:r>
    </w:p>
    <w:p>
      <w:pPr>
        <w:jc w:val="both"/>
        <w:rPr>
          <w:rFonts w:ascii="Times New Roman" w:hAnsi="Times New Roman" w:cs="Times New Roman"/>
          <w:sz w:val="24"/>
          <w:szCs w:val="24"/>
        </w:rPr>
      </w:pPr>
      <w:r>
        <w:rPr>
          <w:rFonts w:ascii="Times New Roman" w:hAnsi="Times New Roman" w:cs="Times New Roman"/>
          <w:sz w:val="24"/>
          <w:szCs w:val="24"/>
        </w:rPr>
        <w:t xml:space="preserve">55. Latz MAC: Endophytic fungi in wheat – plant-microbe interactions from molecular to community scale. In: Plant and Environmental Sciences. Edited by Jørgensen H Jørgen Lyngs, Jensen B, Collinge DB. Copenhagen; 2019.154. </w:t>
      </w:r>
    </w:p>
    <w:p>
      <w:pPr>
        <w:jc w:val="both"/>
        <w:rPr>
          <w:rFonts w:ascii="Times New Roman" w:hAnsi="Times New Roman" w:cs="Times New Roman"/>
          <w:sz w:val="24"/>
          <w:szCs w:val="24"/>
        </w:rPr>
      </w:pPr>
      <w:r>
        <w:rPr>
          <w:rFonts w:ascii="Times New Roman" w:hAnsi="Times New Roman" w:cs="Times New Roman"/>
          <w:sz w:val="24"/>
          <w:szCs w:val="24"/>
        </w:rPr>
        <w:t xml:space="preserve">56. Wang H, Sun S, Ge W, Zhao L, Hou B, Wang K, Lyu Z, Chen L, Xu S, Guo J, et al.: Horizontal gene transfer of Fhb7 from fungus underlies </w:t>
      </w:r>
      <w:r>
        <w:rPr>
          <w:rFonts w:ascii="Times New Roman" w:hAnsi="Times New Roman" w:cs="Times New Roman"/>
          <w:i/>
          <w:sz w:val="24"/>
          <w:szCs w:val="24"/>
        </w:rPr>
        <w:t>Fusarium</w:t>
      </w:r>
      <w:r>
        <w:rPr>
          <w:rFonts w:ascii="Times New Roman" w:hAnsi="Times New Roman" w:cs="Times New Roman"/>
          <w:sz w:val="24"/>
          <w:szCs w:val="24"/>
        </w:rPr>
        <w:t xml:space="preserve"> head blight resistance in wheat. Science 2020, 368:eaba5435, https://doi.org/10.1126/science.aba5435.</w:t>
      </w:r>
    </w:p>
    <w:p>
      <w:pPr>
        <w:jc w:val="both"/>
        <w:rPr>
          <w:rFonts w:ascii="Times New Roman" w:hAnsi="Times New Roman" w:cs="Times New Roman"/>
          <w:sz w:val="24"/>
          <w:szCs w:val="24"/>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FC3FDF"/>
    <w:multiLevelType w:val="multilevel"/>
    <w:tmpl w:val="44FC3FD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4F5"/>
    <w:rsid w:val="0000018D"/>
    <w:rsid w:val="00045DCA"/>
    <w:rsid w:val="000766F9"/>
    <w:rsid w:val="000C24F5"/>
    <w:rsid w:val="000C6C59"/>
    <w:rsid w:val="00137918"/>
    <w:rsid w:val="001C1F16"/>
    <w:rsid w:val="002369FC"/>
    <w:rsid w:val="0027127C"/>
    <w:rsid w:val="00315A60"/>
    <w:rsid w:val="003203BE"/>
    <w:rsid w:val="00340729"/>
    <w:rsid w:val="00352B12"/>
    <w:rsid w:val="003903C3"/>
    <w:rsid w:val="003A401D"/>
    <w:rsid w:val="00444615"/>
    <w:rsid w:val="00444B2D"/>
    <w:rsid w:val="004B7D61"/>
    <w:rsid w:val="005E6D7B"/>
    <w:rsid w:val="005F1809"/>
    <w:rsid w:val="006243FD"/>
    <w:rsid w:val="0069456C"/>
    <w:rsid w:val="006C6926"/>
    <w:rsid w:val="006C7FD4"/>
    <w:rsid w:val="00713586"/>
    <w:rsid w:val="00742080"/>
    <w:rsid w:val="007A0839"/>
    <w:rsid w:val="008049BC"/>
    <w:rsid w:val="0081477E"/>
    <w:rsid w:val="00896904"/>
    <w:rsid w:val="00905F98"/>
    <w:rsid w:val="00963B5F"/>
    <w:rsid w:val="009A4F13"/>
    <w:rsid w:val="009E4814"/>
    <w:rsid w:val="00A0262E"/>
    <w:rsid w:val="00A569CA"/>
    <w:rsid w:val="00AA75FC"/>
    <w:rsid w:val="00AF2DC4"/>
    <w:rsid w:val="00B61B3D"/>
    <w:rsid w:val="00B74CE5"/>
    <w:rsid w:val="00BD0AA1"/>
    <w:rsid w:val="00C6488D"/>
    <w:rsid w:val="00CC78F9"/>
    <w:rsid w:val="00CD46D0"/>
    <w:rsid w:val="00CF507A"/>
    <w:rsid w:val="00DE2A4C"/>
    <w:rsid w:val="00E42DF0"/>
    <w:rsid w:val="00EB09BF"/>
    <w:rsid w:val="00F46B28"/>
    <w:rsid w:val="00F621DD"/>
    <w:rsid w:val="00F75C37"/>
    <w:rsid w:val="00FC4759"/>
    <w:rsid w:val="7C4C26ED"/>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paragraph" w:styleId="2">
    <w:name w:val="heading 1"/>
    <w:basedOn w:val="1"/>
    <w:next w:val="1"/>
    <w:link w:val="8"/>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lang w:val="en-US"/>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0"/>
    <w:unhideWhenUsed/>
    <w:uiPriority w:val="99"/>
    <w:pPr>
      <w:tabs>
        <w:tab w:val="center" w:pos="4513"/>
        <w:tab w:val="right" w:pos="9026"/>
      </w:tabs>
      <w:spacing w:after="0" w:line="240" w:lineRule="auto"/>
    </w:pPr>
  </w:style>
  <w:style w:type="paragraph" w:styleId="6">
    <w:name w:val="header"/>
    <w:basedOn w:val="1"/>
    <w:link w:val="9"/>
    <w:unhideWhenUsed/>
    <w:uiPriority w:val="99"/>
    <w:pPr>
      <w:tabs>
        <w:tab w:val="center" w:pos="4513"/>
        <w:tab w:val="right" w:pos="9026"/>
      </w:tabs>
      <w:spacing w:after="0" w:line="240" w:lineRule="auto"/>
    </w:pPr>
  </w:style>
  <w:style w:type="character" w:styleId="7">
    <w:name w:val="Hyperlink"/>
    <w:basedOn w:val="3"/>
    <w:unhideWhenUsed/>
    <w:qFormat/>
    <w:uiPriority w:val="99"/>
    <w:rPr>
      <w:color w:val="0563C1" w:themeColor="hyperlink"/>
      <w:u w:val="single"/>
      <w14:textFill>
        <w14:solidFill>
          <w14:schemeClr w14:val="hlink"/>
        </w14:solidFill>
      </w14:textFill>
    </w:rPr>
  </w:style>
  <w:style w:type="character" w:customStyle="1" w:styleId="8">
    <w:name w:val="Heading 1 Char"/>
    <w:basedOn w:val="3"/>
    <w:link w:val="2"/>
    <w:uiPriority w:val="9"/>
    <w:rPr>
      <w:rFonts w:asciiTheme="majorHAnsi" w:hAnsiTheme="majorHAnsi" w:eastAsiaTheme="majorEastAsia" w:cstheme="majorBidi"/>
      <w:color w:val="2E75B6" w:themeColor="accent1" w:themeShade="BF"/>
      <w:sz w:val="32"/>
      <w:szCs w:val="32"/>
      <w:lang w:val="en-US"/>
    </w:rPr>
  </w:style>
  <w:style w:type="character" w:customStyle="1" w:styleId="9">
    <w:name w:val="Header Char"/>
    <w:basedOn w:val="3"/>
    <w:link w:val="6"/>
    <w:uiPriority w:val="99"/>
  </w:style>
  <w:style w:type="character" w:customStyle="1" w:styleId="10">
    <w:name w:val="Footer Char"/>
    <w:basedOn w:val="3"/>
    <w:link w:val="5"/>
    <w:uiPriority w:val="99"/>
  </w:style>
  <w:style w:type="paragraph" w:styleId="1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6FBC5-92D7-4EEC-9E9D-4B305AC57503}">
  <ds:schemaRefs/>
</ds:datastoreItem>
</file>

<file path=docProps/app.xml><?xml version="1.0" encoding="utf-8"?>
<Properties xmlns="http://schemas.openxmlformats.org/officeDocument/2006/extended-properties" xmlns:vt="http://schemas.openxmlformats.org/officeDocument/2006/docPropsVTypes">
  <Template>Normal</Template>
  <Pages>10</Pages>
  <Words>4062</Words>
  <Characters>23158</Characters>
  <Lines>192</Lines>
  <Paragraphs>54</Paragraphs>
  <TotalTime>962</TotalTime>
  <ScaleCrop>false</ScaleCrop>
  <LinksUpToDate>false</LinksUpToDate>
  <CharactersWithSpaces>27166</CharactersWithSpaces>
  <Application>WPS Office_12.2.0.13193_F1E327BC-269C-435d-A152-05C5408002CA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2023-07-20T05:19:00Z</dcterms:created>
  <dc:creator>Microsoft account</dc:creator>
  <cp:lastModifiedBy>HP</cp:lastModifiedBy>
  <dcterms:modified xsi:type="dcterms:W3CDTF">2023-09-05T18:00:41Z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9fe5a59c-229e-40c5-97a2-24261d21fcc2</vt:lpwstr>
  </property>
  <property fmtid="{D5CDD505-2E9C-101B-9397-08002B2CF9AE}" pid="3" name="KSOProductBuildVer">
    <vt:lpwstr>1033-12.2.0.13193</vt:lpwstr>
  </property>
  <property fmtid="{D5CDD505-2E9C-101B-9397-08002B2CF9AE}" pid="4" name="ICV">
    <vt:lpwstr>96852B15881A49019FFB632C76B2496A_12</vt:lpwstr>
  </property>
</Properties>
</file>