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3F18" w:rsidRDefault="00D41AB9" w:rsidP="00E56483">
      <w:pPr>
        <w:pBdr>
          <w:top w:val="nil"/>
          <w:left w:val="nil"/>
          <w:bottom w:val="nil"/>
          <w:right w:val="nil"/>
          <w:between w:val="nil"/>
        </w:pBdr>
        <w:spacing w:after="120" w:line="240" w:lineRule="auto"/>
        <w:ind w:left="851" w:right="559"/>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A Review on Electro catalysis of Oxygen Redox Reaction: It’s Influence on Life and Energy</w:t>
      </w:r>
    </w:p>
    <w:p w:rsidR="00E56483" w:rsidRPr="009038BD" w:rsidRDefault="00E56483" w:rsidP="00D41AB9">
      <w:pPr>
        <w:pBdr>
          <w:top w:val="nil"/>
          <w:left w:val="nil"/>
          <w:bottom w:val="nil"/>
          <w:right w:val="nil"/>
          <w:between w:val="nil"/>
        </w:pBdr>
        <w:spacing w:after="0" w:line="240" w:lineRule="auto"/>
        <w:ind w:left="851" w:right="559"/>
        <w:jc w:val="center"/>
        <w:rPr>
          <w:rFonts w:ascii="Times New Roman" w:eastAsia="Times New Roman" w:hAnsi="Times New Roman" w:cs="Times New Roman"/>
          <w:color w:val="000000"/>
          <w:sz w:val="24"/>
          <w:szCs w:val="32"/>
        </w:rPr>
      </w:pPr>
      <w:proofErr w:type="spellStart"/>
      <w:r w:rsidRPr="009038BD">
        <w:rPr>
          <w:rFonts w:ascii="Times New Roman" w:eastAsia="Times New Roman" w:hAnsi="Times New Roman" w:cs="Times New Roman"/>
          <w:color w:val="000000"/>
          <w:sz w:val="24"/>
          <w:szCs w:val="32"/>
        </w:rPr>
        <w:t>Arindam</w:t>
      </w:r>
      <w:proofErr w:type="spellEnd"/>
      <w:r w:rsidRPr="009038BD">
        <w:rPr>
          <w:rFonts w:ascii="Times New Roman" w:eastAsia="Times New Roman" w:hAnsi="Times New Roman" w:cs="Times New Roman"/>
          <w:color w:val="000000"/>
          <w:sz w:val="24"/>
          <w:szCs w:val="32"/>
        </w:rPr>
        <w:t xml:space="preserve"> Roy</w:t>
      </w:r>
    </w:p>
    <w:p w:rsidR="00E56483" w:rsidRPr="009038BD" w:rsidRDefault="00E56483" w:rsidP="00D41AB9">
      <w:pPr>
        <w:pBdr>
          <w:top w:val="nil"/>
          <w:left w:val="nil"/>
          <w:bottom w:val="nil"/>
          <w:right w:val="nil"/>
          <w:between w:val="nil"/>
        </w:pBdr>
        <w:spacing w:after="0" w:line="240" w:lineRule="auto"/>
        <w:ind w:left="851" w:right="559"/>
        <w:jc w:val="center"/>
        <w:rPr>
          <w:rFonts w:ascii="Times New Roman" w:eastAsia="Times New Roman" w:hAnsi="Times New Roman" w:cs="Times New Roman"/>
          <w:color w:val="000000"/>
          <w:sz w:val="24"/>
          <w:szCs w:val="32"/>
        </w:rPr>
      </w:pPr>
      <w:r w:rsidRPr="009038BD">
        <w:rPr>
          <w:rFonts w:ascii="Times New Roman" w:eastAsia="Times New Roman" w:hAnsi="Times New Roman" w:cs="Times New Roman"/>
          <w:color w:val="000000"/>
          <w:sz w:val="24"/>
          <w:szCs w:val="32"/>
        </w:rPr>
        <w:t>Department of Materials Science and Technology</w:t>
      </w:r>
    </w:p>
    <w:p w:rsidR="00E56483" w:rsidRPr="009038BD" w:rsidRDefault="00E56483" w:rsidP="00D41AB9">
      <w:pPr>
        <w:pBdr>
          <w:top w:val="nil"/>
          <w:left w:val="nil"/>
          <w:bottom w:val="nil"/>
          <w:right w:val="nil"/>
          <w:between w:val="nil"/>
        </w:pBdr>
        <w:spacing w:after="0" w:line="240" w:lineRule="auto"/>
        <w:ind w:left="851" w:right="559"/>
        <w:jc w:val="center"/>
        <w:rPr>
          <w:rFonts w:ascii="Times New Roman" w:eastAsia="Times New Roman" w:hAnsi="Times New Roman" w:cs="Times New Roman"/>
          <w:color w:val="000000"/>
          <w:sz w:val="24"/>
          <w:szCs w:val="32"/>
        </w:rPr>
      </w:pPr>
      <w:proofErr w:type="spellStart"/>
      <w:r w:rsidRPr="009038BD">
        <w:rPr>
          <w:rFonts w:ascii="Times New Roman" w:eastAsia="Times New Roman" w:hAnsi="Times New Roman" w:cs="Times New Roman"/>
          <w:color w:val="000000"/>
          <w:sz w:val="24"/>
          <w:szCs w:val="32"/>
        </w:rPr>
        <w:t>Maulana</w:t>
      </w:r>
      <w:proofErr w:type="spellEnd"/>
      <w:r w:rsidRPr="009038BD">
        <w:rPr>
          <w:rFonts w:ascii="Times New Roman" w:eastAsia="Times New Roman" w:hAnsi="Times New Roman" w:cs="Times New Roman"/>
          <w:color w:val="000000"/>
          <w:sz w:val="24"/>
          <w:szCs w:val="32"/>
        </w:rPr>
        <w:t xml:space="preserve"> </w:t>
      </w:r>
      <w:proofErr w:type="spellStart"/>
      <w:r w:rsidRPr="009038BD">
        <w:rPr>
          <w:rFonts w:ascii="Times New Roman" w:eastAsia="Times New Roman" w:hAnsi="Times New Roman" w:cs="Times New Roman"/>
          <w:color w:val="000000"/>
          <w:sz w:val="24"/>
          <w:szCs w:val="32"/>
        </w:rPr>
        <w:t>Abul</w:t>
      </w:r>
      <w:proofErr w:type="spellEnd"/>
      <w:r w:rsidRPr="009038BD">
        <w:rPr>
          <w:rFonts w:ascii="Times New Roman" w:eastAsia="Times New Roman" w:hAnsi="Times New Roman" w:cs="Times New Roman"/>
          <w:color w:val="000000"/>
          <w:sz w:val="24"/>
          <w:szCs w:val="32"/>
        </w:rPr>
        <w:t xml:space="preserve"> </w:t>
      </w:r>
      <w:proofErr w:type="spellStart"/>
      <w:r w:rsidRPr="009038BD">
        <w:rPr>
          <w:rFonts w:ascii="Times New Roman" w:eastAsia="Times New Roman" w:hAnsi="Times New Roman" w:cs="Times New Roman"/>
          <w:color w:val="000000"/>
          <w:sz w:val="24"/>
          <w:szCs w:val="32"/>
        </w:rPr>
        <w:t>Kalam</w:t>
      </w:r>
      <w:proofErr w:type="spellEnd"/>
      <w:r w:rsidRPr="009038BD">
        <w:rPr>
          <w:rFonts w:ascii="Times New Roman" w:eastAsia="Times New Roman" w:hAnsi="Times New Roman" w:cs="Times New Roman"/>
          <w:color w:val="000000"/>
          <w:sz w:val="24"/>
          <w:szCs w:val="32"/>
        </w:rPr>
        <w:t xml:space="preserve"> Azad University of Technology, West Bengal</w:t>
      </w:r>
    </w:p>
    <w:p w:rsidR="00E56483" w:rsidRDefault="00E56483" w:rsidP="00D41AB9">
      <w:pPr>
        <w:pBdr>
          <w:top w:val="nil"/>
          <w:left w:val="nil"/>
          <w:bottom w:val="nil"/>
          <w:right w:val="nil"/>
          <w:between w:val="nil"/>
        </w:pBdr>
        <w:spacing w:after="0" w:line="240" w:lineRule="auto"/>
        <w:ind w:left="851" w:right="559"/>
        <w:jc w:val="center"/>
        <w:rPr>
          <w:rFonts w:ascii="Times New Roman" w:eastAsia="Times New Roman" w:hAnsi="Times New Roman" w:cs="Times New Roman"/>
          <w:b/>
          <w:color w:val="000000"/>
          <w:sz w:val="32"/>
          <w:szCs w:val="32"/>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b/>
          <w:color w:val="000000"/>
          <w:sz w:val="24"/>
          <w:szCs w:val="24"/>
        </w:rPr>
      </w:pPr>
    </w:p>
    <w:p w:rsidR="000B3F18" w:rsidRDefault="00D41AB9" w:rsidP="00D41AB9">
      <w:pPr>
        <w:pBdr>
          <w:top w:val="nil"/>
          <w:left w:val="nil"/>
          <w:bottom w:val="nil"/>
          <w:right w:val="nil"/>
          <w:between w:val="nil"/>
        </w:pBdr>
        <w:spacing w:after="0" w:line="240" w:lineRule="auto"/>
        <w:ind w:left="851" w:right="559"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This article gives a detailed summary of the impact of oxygen redox electro catalysis on life and energy conversion. Oxygen reduction reaction electro catalysis is important for several natural processes, including respiration, because the process boosts the conversion of oxygen to water in living organisms. (Lane</w:t>
      </w:r>
      <w:r w:rsidR="00C732FF">
        <w:rPr>
          <w:rFonts w:ascii="Times New Roman" w:eastAsia="Times New Roman" w:hAnsi="Times New Roman" w:cs="Times New Roman"/>
          <w:sz w:val="24"/>
          <w:szCs w:val="24"/>
        </w:rPr>
        <w:t xml:space="preserve"> et al.</w:t>
      </w:r>
      <w:r>
        <w:rPr>
          <w:rFonts w:ascii="Times New Roman" w:eastAsia="Times New Roman" w:hAnsi="Times New Roman" w:cs="Times New Roman"/>
          <w:sz w:val="24"/>
          <w:szCs w:val="24"/>
        </w:rPr>
        <w:t>). The understanding of ORR mechanisms within biological systems has significant implications for biomedical technologies such as implantable biosensors and biofuel cells (Li et al.). The review discusses recent advancements in elucidating ORR mechanisms in biological systems and highlights the development of bio-inspired catalysts for improved performance and compatibility. ORR electro catalysis plays an important role in the discipline of energy conversion for electrochemical energy storage and conversion devices, in particular fuel cells and metal-air batteries. To enhance their performance, these technologies rely on efficient and selective ORR catalysts. Because of their high catalytic activity, precious metal catalysts such as platinum (</w:t>
      </w:r>
      <w:proofErr w:type="spellStart"/>
      <w:r>
        <w:rPr>
          <w:rFonts w:ascii="Times New Roman" w:eastAsia="Times New Roman" w:hAnsi="Times New Roman" w:cs="Times New Roman"/>
          <w:sz w:val="24"/>
          <w:szCs w:val="24"/>
        </w:rPr>
        <w:t>Pt</w:t>
      </w:r>
      <w:proofErr w:type="spellEnd"/>
      <w:r>
        <w:rPr>
          <w:rFonts w:ascii="Times New Roman" w:eastAsia="Times New Roman" w:hAnsi="Times New Roman" w:cs="Times New Roman"/>
          <w:sz w:val="24"/>
          <w:szCs w:val="24"/>
        </w:rPr>
        <w:t>) and palladium (</w:t>
      </w:r>
      <w:proofErr w:type="spellStart"/>
      <w:r>
        <w:rPr>
          <w:rFonts w:ascii="Times New Roman" w:eastAsia="Times New Roman" w:hAnsi="Times New Roman" w:cs="Times New Roman"/>
          <w:sz w:val="24"/>
          <w:szCs w:val="24"/>
        </w:rPr>
        <w:t>Pd</w:t>
      </w:r>
      <w:proofErr w:type="spellEnd"/>
      <w:r>
        <w:rPr>
          <w:rFonts w:ascii="Times New Roman" w:eastAsia="Times New Roman" w:hAnsi="Times New Roman" w:cs="Times New Roman"/>
          <w:sz w:val="24"/>
          <w:szCs w:val="24"/>
        </w:rPr>
        <w:t>) have long been used (</w:t>
      </w:r>
      <w:proofErr w:type="spellStart"/>
      <w:r>
        <w:rPr>
          <w:rFonts w:ascii="Times New Roman" w:eastAsia="Times New Roman" w:hAnsi="Times New Roman" w:cs="Times New Roman"/>
          <w:sz w:val="24"/>
          <w:szCs w:val="24"/>
        </w:rPr>
        <w:t>Gasteiger</w:t>
      </w:r>
      <w:proofErr w:type="spellEnd"/>
      <w:r>
        <w:rPr>
          <w:rFonts w:ascii="Times New Roman" w:eastAsia="Times New Roman" w:hAnsi="Times New Roman" w:cs="Times New Roman"/>
          <w:sz w:val="24"/>
          <w:szCs w:val="24"/>
        </w:rPr>
        <w:t xml:space="preserve"> et al.). Due to the scarcity and expensive cost of these noble metals, researchers have been looking at other non-precious metal catalysts. The study digs into advances in the design and synthesis of non-precious metal catalysts, such as transition metal-based compounds, metal-free carbon materials, and hybrid nanomaterial’s (Zhu et al.). These materials provide potential alternatives with strong ORR activity, selectivity, and stability, aiming for cost-effective and long-term energy conversion solutions. The review focuses on ORR electro catalysts, the impact they have on life sciences and energy conversion, and current attempts to produce efficient and sustainable catalysts.</w:t>
      </w: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b/>
          <w:color w:val="000000"/>
          <w:sz w:val="24"/>
          <w:szCs w:val="24"/>
        </w:rPr>
      </w:pPr>
    </w:p>
    <w:p w:rsidR="000B3F18" w:rsidRDefault="00D41AB9" w:rsidP="00D41AB9">
      <w:pPr>
        <w:pBdr>
          <w:top w:val="nil"/>
          <w:left w:val="nil"/>
          <w:bottom w:val="nil"/>
          <w:right w:val="nil"/>
          <w:between w:val="nil"/>
        </w:pBdr>
        <w:spacing w:after="0" w:line="240" w:lineRule="auto"/>
        <w:ind w:left="851" w:right="55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Keywords: </w:t>
      </w:r>
      <w:r>
        <w:rPr>
          <w:rFonts w:ascii="Times New Roman" w:eastAsia="Times New Roman" w:hAnsi="Times New Roman" w:cs="Times New Roman"/>
          <w:color w:val="000000"/>
          <w:sz w:val="24"/>
          <w:szCs w:val="24"/>
        </w:rPr>
        <w:t>Electro catalyst, O</w:t>
      </w:r>
      <w:r>
        <w:rPr>
          <w:rFonts w:ascii="Times New Roman" w:eastAsia="Times New Roman" w:hAnsi="Times New Roman" w:cs="Times New Roman"/>
          <w:sz w:val="24"/>
          <w:szCs w:val="24"/>
        </w:rPr>
        <w:t>RR</w:t>
      </w:r>
      <w:r>
        <w:rPr>
          <w:rFonts w:ascii="Times New Roman" w:eastAsia="Times New Roman" w:hAnsi="Times New Roman" w:cs="Times New Roman"/>
          <w:color w:val="000000"/>
          <w:sz w:val="24"/>
          <w:szCs w:val="24"/>
        </w:rPr>
        <w:t xml:space="preserve">, Energy </w:t>
      </w:r>
      <w:r>
        <w:rPr>
          <w:rFonts w:ascii="Times New Roman" w:eastAsia="Times New Roman" w:hAnsi="Times New Roman" w:cs="Times New Roman"/>
          <w:sz w:val="24"/>
          <w:szCs w:val="24"/>
        </w:rPr>
        <w:t>Conservation</w:t>
      </w:r>
      <w:r>
        <w:rPr>
          <w:rFonts w:ascii="Times New Roman" w:eastAsia="Times New Roman" w:hAnsi="Times New Roman" w:cs="Times New Roman"/>
          <w:color w:val="000000"/>
          <w:sz w:val="24"/>
          <w:szCs w:val="24"/>
        </w:rPr>
        <w:t>, Fuel Cell.</w:t>
      </w: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b/>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b/>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b/>
          <w:color w:val="000000"/>
          <w:sz w:val="24"/>
          <w:szCs w:val="24"/>
        </w:rPr>
      </w:pPr>
      <w:bookmarkStart w:id="0" w:name="_GoBack"/>
      <w:bookmarkEnd w:id="0"/>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b/>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b/>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b/>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b/>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b/>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b/>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b/>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b/>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b/>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b/>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b/>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b/>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b/>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b/>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b/>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b/>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b/>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b/>
          <w:color w:val="000000"/>
          <w:sz w:val="24"/>
          <w:szCs w:val="24"/>
        </w:rPr>
      </w:pPr>
    </w:p>
    <w:p w:rsidR="00AD53A1" w:rsidRDefault="00AD53A1" w:rsidP="005E04DB">
      <w:pPr>
        <w:pBdr>
          <w:top w:val="nil"/>
          <w:left w:val="nil"/>
          <w:bottom w:val="nil"/>
          <w:right w:val="nil"/>
          <w:between w:val="nil"/>
        </w:pBdr>
        <w:spacing w:after="0" w:line="240" w:lineRule="auto"/>
        <w:ind w:right="559"/>
        <w:jc w:val="both"/>
        <w:rPr>
          <w:rFonts w:ascii="Times New Roman" w:eastAsia="Times New Roman" w:hAnsi="Times New Roman" w:cs="Times New Roman"/>
          <w:b/>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b/>
          <w:color w:val="000000"/>
          <w:sz w:val="24"/>
          <w:szCs w:val="24"/>
        </w:rPr>
      </w:pPr>
    </w:p>
    <w:p w:rsidR="000B3F18" w:rsidRDefault="00D41AB9" w:rsidP="00D41AB9">
      <w:pPr>
        <w:pBdr>
          <w:top w:val="nil"/>
          <w:left w:val="nil"/>
          <w:bottom w:val="nil"/>
          <w:right w:val="nil"/>
          <w:between w:val="nil"/>
        </w:pBdr>
        <w:spacing w:after="0" w:line="360" w:lineRule="auto"/>
        <w:ind w:left="851" w:right="55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Introduction:</w:t>
      </w:r>
    </w:p>
    <w:p w:rsidR="000B3F18" w:rsidRDefault="00D41AB9" w:rsidP="00D41AB9">
      <w:pPr>
        <w:pBdr>
          <w:top w:val="nil"/>
          <w:left w:val="nil"/>
          <w:bottom w:val="nil"/>
          <w:right w:val="nil"/>
          <w:between w:val="nil"/>
        </w:pBdr>
        <w:spacing w:after="0" w:line="240" w:lineRule="auto"/>
        <w:ind w:left="851" w:right="55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Hydrogen fuel's contribution to sustainable energy is crucial for addressing the world's energy problems and reducing environmental risks. </w:t>
      </w:r>
      <w:r>
        <w:rPr>
          <w:rFonts w:ascii="Times New Roman" w:eastAsia="Times New Roman" w:hAnsi="Times New Roman" w:cs="Times New Roman"/>
          <w:sz w:val="24"/>
          <w:szCs w:val="24"/>
        </w:rPr>
        <w:t>Hydrogen fuel is a clean and ample power carrier that can be relied on for a wide range of functions such as transportation, power generation, and industrial operations. It is made from renewable resources like water electrolysis.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The capacity of hydrogen fuel as a source of sustainable energy. Energies may be carbon-free through the manufacture of hydrogen through electrolysis using renewable energy sources such as solar and wind power (Zhang et al.). Hydrogen fuel cells, which convert hydrogen and oxygen into electricity and offer greater efficiency and lower emissions than characteristic combustion engines, exhibit promise as an alternative.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Infrastructure enhancement, cost containment, and safety concerns all pose barriers to the widespread usage of hydrogen fuel. To fully exploit hydrogen's promise as a sustainable energy carrier, these barriers must be addressed by sustained research, advancement in technology,</w:t>
      </w:r>
      <w:r>
        <w:rPr>
          <w:rFonts w:ascii="Times New Roman" w:eastAsia="Times New Roman" w:hAnsi="Times New Roman" w:cs="Times New Roman"/>
          <w:color w:val="000000"/>
          <w:sz w:val="24"/>
          <w:szCs w:val="24"/>
        </w:rPr>
        <w:t xml:space="preserve"> Conventional fossil fuels, on the other hand, continue to dominate the world's energy mix and are a major cause of greenhouse gas emissions and environmental damage. Hydrogen fuel, an alternative energy source, and scientific data from the International Energy Agency (IEA, 2020), present promising solutions to these environmental issues. When used in fuel cells, it is a clean and effective fuel that only emits water vapour as a by-product. </w:t>
      </w:r>
      <w:r>
        <w:rPr>
          <w:rFonts w:ascii="Times New Roman" w:eastAsia="Times New Roman" w:hAnsi="Times New Roman" w:cs="Times New Roman"/>
          <w:sz w:val="24"/>
          <w:szCs w:val="24"/>
        </w:rPr>
        <w:t>Although hydrogen produces zero greenhouse gases or other pollutants when burned, it is an excellent alternative to traditional fuels for reducing carbon emissions and improving air quality. Hydrogen may also be created utilizing sustainable energy sources such as solar and wind energy, which increases its sustainability. We can reduce our dependence on fossil fuels while simultaneously paving the way for a more renewable and beneficial future by transitioning to hydrogen fuel.</w:t>
      </w:r>
    </w:p>
    <w:p w:rsidR="000B3F18" w:rsidRDefault="000B3F18" w:rsidP="00D41AB9">
      <w:pPr>
        <w:pBdr>
          <w:top w:val="nil"/>
          <w:left w:val="nil"/>
          <w:bottom w:val="nil"/>
          <w:right w:val="nil"/>
          <w:between w:val="nil"/>
        </w:pBdr>
        <w:spacing w:after="0" w:line="240" w:lineRule="auto"/>
        <w:ind w:left="851" w:right="559" w:firstLine="720"/>
        <w:jc w:val="both"/>
        <w:rPr>
          <w:rFonts w:ascii="Times New Roman" w:eastAsia="Times New Roman" w:hAnsi="Times New Roman" w:cs="Times New Roman"/>
          <w:color w:val="000000"/>
          <w:sz w:val="24"/>
          <w:szCs w:val="24"/>
        </w:rPr>
      </w:pPr>
    </w:p>
    <w:p w:rsidR="000B3F18" w:rsidRDefault="00D41AB9" w:rsidP="00D41AB9">
      <w:pPr>
        <w:pBdr>
          <w:top w:val="nil"/>
          <w:left w:val="nil"/>
          <w:bottom w:val="nil"/>
          <w:right w:val="nil"/>
          <w:between w:val="nil"/>
        </w:pBdr>
        <w:spacing w:after="0" w:line="240" w:lineRule="auto"/>
        <w:ind w:left="851" w:right="559" w:firstLine="720"/>
        <w:jc w:val="both"/>
        <w:rPr>
          <w:rFonts w:ascii="Times New Roman" w:eastAsia="Times New Roman" w:hAnsi="Times New Roman" w:cs="Times New Roman"/>
          <w:color w:val="000000"/>
          <w:sz w:val="24"/>
          <w:szCs w:val="24"/>
        </w:rPr>
      </w:pPr>
      <w:r>
        <w:rPr>
          <w:noProof/>
        </w:rPr>
        <w:drawing>
          <wp:anchor distT="0" distB="0" distL="114300" distR="114300" simplePos="0" relativeHeight="251658240" behindDoc="0" locked="0" layoutInCell="1" hidden="0" allowOverlap="1" wp14:anchorId="4AAD4B3C" wp14:editId="752C1D4D">
            <wp:simplePos x="0" y="0"/>
            <wp:positionH relativeFrom="column">
              <wp:posOffset>918210</wp:posOffset>
            </wp:positionH>
            <wp:positionV relativeFrom="paragraph">
              <wp:posOffset>0</wp:posOffset>
            </wp:positionV>
            <wp:extent cx="4766945" cy="3242945"/>
            <wp:effectExtent l="0" t="0" r="0" b="0"/>
            <wp:wrapSquare wrapText="bothSides" distT="0" distB="0" distL="114300" distR="114300"/>
            <wp:docPr id="31" name="image8.png" descr="a-Hydrogen-and-oxygen-cycles-for-energy-storage-and-conversion-HER-and-OER-can-realize"/>
            <wp:cNvGraphicFramePr/>
            <a:graphic xmlns:a="http://schemas.openxmlformats.org/drawingml/2006/main">
              <a:graphicData uri="http://schemas.openxmlformats.org/drawingml/2006/picture">
                <pic:pic xmlns:pic="http://schemas.openxmlformats.org/drawingml/2006/picture">
                  <pic:nvPicPr>
                    <pic:cNvPr id="0" name="image8.png" descr="a-Hydrogen-and-oxygen-cycles-for-energy-storage-and-conversion-HER-and-OER-can-realize"/>
                    <pic:cNvPicPr preferRelativeResize="0"/>
                  </pic:nvPicPr>
                  <pic:blipFill>
                    <a:blip r:embed="rId7"/>
                    <a:srcRect/>
                    <a:stretch>
                      <a:fillRect/>
                    </a:stretch>
                  </pic:blipFill>
                  <pic:spPr>
                    <a:xfrm>
                      <a:off x="0" y="0"/>
                      <a:ext cx="4766945" cy="3242945"/>
                    </a:xfrm>
                    <a:prstGeom prst="rect">
                      <a:avLst/>
                    </a:prstGeom>
                    <a:ln/>
                  </pic:spPr>
                </pic:pic>
              </a:graphicData>
            </a:graphic>
            <wp14:sizeRelV relativeFrom="margin">
              <wp14:pctHeight>0</wp14:pctHeight>
            </wp14:sizeRelV>
          </wp:anchor>
        </w:drawing>
      </w:r>
    </w:p>
    <w:p w:rsidR="000B3F18" w:rsidRDefault="000B3F18" w:rsidP="00D41AB9">
      <w:pPr>
        <w:pBdr>
          <w:top w:val="nil"/>
          <w:left w:val="nil"/>
          <w:bottom w:val="nil"/>
          <w:right w:val="nil"/>
          <w:between w:val="nil"/>
        </w:pBdr>
        <w:spacing w:after="0" w:line="240" w:lineRule="auto"/>
        <w:ind w:left="851" w:right="559" w:firstLine="720"/>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firstLine="720"/>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firstLine="720"/>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firstLine="720"/>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firstLine="720"/>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firstLine="720"/>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firstLine="720"/>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firstLine="720"/>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firstLine="720"/>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firstLine="720"/>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firstLine="720"/>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firstLine="720"/>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firstLine="720"/>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firstLine="720"/>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firstLine="720"/>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firstLine="720"/>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firstLine="720"/>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firstLine="720"/>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right="559"/>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firstLine="720"/>
        <w:jc w:val="both"/>
        <w:rPr>
          <w:rFonts w:ascii="Times New Roman" w:eastAsia="Times New Roman" w:hAnsi="Times New Roman" w:cs="Times New Roman"/>
          <w:color w:val="000000"/>
          <w:sz w:val="24"/>
          <w:szCs w:val="24"/>
        </w:rPr>
      </w:pPr>
    </w:p>
    <w:p w:rsidR="000B3F18" w:rsidRPr="00D41AB9" w:rsidRDefault="00AD53A1" w:rsidP="00D41AB9">
      <w:pPr>
        <w:pStyle w:val="Heading1"/>
        <w:shd w:val="clear" w:color="auto" w:fill="FFFFFF"/>
        <w:ind w:left="851" w:right="559"/>
        <w:jc w:val="both"/>
        <w:rPr>
          <w:rFonts w:ascii="Times New Roman" w:eastAsia="Times New Roman" w:hAnsi="Times New Roman" w:cs="Times New Roman" w:hint="default"/>
          <w:b w:val="0"/>
          <w:color w:val="111111"/>
          <w:sz w:val="22"/>
          <w:szCs w:val="22"/>
          <w:highlight w:val="white"/>
        </w:rPr>
      </w:pPr>
      <w:proofErr w:type="gramStart"/>
      <w:r>
        <w:rPr>
          <w:rFonts w:ascii="Times New Roman" w:eastAsia="Times New Roman" w:hAnsi="Times New Roman" w:cs="Times New Roman"/>
          <w:b w:val="0"/>
          <w:color w:val="111111"/>
          <w:sz w:val="22"/>
          <w:szCs w:val="22"/>
          <w:highlight w:val="white"/>
        </w:rPr>
        <w:t>Fig</w:t>
      </w:r>
      <w:r>
        <w:rPr>
          <w:rFonts w:ascii="Times New Roman" w:eastAsia="Times New Roman" w:hAnsi="Times New Roman" w:cs="Times New Roman" w:hint="default"/>
          <w:b w:val="0"/>
          <w:color w:val="111111"/>
          <w:sz w:val="22"/>
          <w:szCs w:val="22"/>
          <w:highlight w:val="white"/>
        </w:rPr>
        <w:t>.</w:t>
      </w:r>
      <w:proofErr w:type="gramEnd"/>
      <w:r>
        <w:rPr>
          <w:rFonts w:ascii="Times New Roman" w:eastAsia="Times New Roman" w:hAnsi="Times New Roman" w:cs="Times New Roman" w:hint="default"/>
          <w:b w:val="0"/>
          <w:color w:val="111111"/>
          <w:sz w:val="22"/>
          <w:szCs w:val="22"/>
          <w:highlight w:val="white"/>
        </w:rPr>
        <w:t xml:space="preserve"> </w:t>
      </w:r>
      <w:r w:rsidR="00D41AB9">
        <w:rPr>
          <w:rFonts w:ascii="Times New Roman" w:eastAsia="Times New Roman" w:hAnsi="Times New Roman" w:cs="Times New Roman"/>
          <w:b w:val="0"/>
          <w:color w:val="111111"/>
          <w:sz w:val="22"/>
          <w:szCs w:val="22"/>
          <w:highlight w:val="white"/>
        </w:rPr>
        <w:t xml:space="preserve"> No</w:t>
      </w:r>
      <w:r w:rsidR="00D41AB9">
        <w:rPr>
          <w:rFonts w:ascii="Times New Roman" w:eastAsia="Times New Roman" w:hAnsi="Times New Roman" w:cs="Times New Roman" w:hint="default"/>
          <w:b w:val="0"/>
          <w:color w:val="111111"/>
          <w:sz w:val="22"/>
          <w:szCs w:val="22"/>
          <w:highlight w:val="white"/>
        </w:rPr>
        <w:t>: 1</w:t>
      </w:r>
      <w:r w:rsidR="00D41AB9">
        <w:rPr>
          <w:rFonts w:ascii="Times New Roman" w:eastAsia="Times New Roman" w:hAnsi="Times New Roman" w:cs="Times New Roman"/>
          <w:b w:val="0"/>
          <w:color w:val="111111"/>
          <w:sz w:val="22"/>
          <w:szCs w:val="22"/>
          <w:highlight w:val="white"/>
        </w:rPr>
        <w:t xml:space="preserve">, (a) </w:t>
      </w:r>
      <w:r w:rsidR="00D41AB9">
        <w:rPr>
          <w:rFonts w:ascii="Times New Roman" w:eastAsia="Times New Roman" w:hAnsi="Times New Roman" w:cs="Times New Roman" w:hint="default"/>
          <w:b w:val="0"/>
          <w:color w:val="111111"/>
          <w:sz w:val="22"/>
          <w:szCs w:val="22"/>
          <w:highlight w:val="white"/>
        </w:rPr>
        <w:t>the</w:t>
      </w:r>
      <w:r w:rsidR="00D41AB9">
        <w:rPr>
          <w:rFonts w:ascii="Times New Roman" w:eastAsia="Times New Roman" w:hAnsi="Times New Roman" w:cs="Times New Roman"/>
          <w:b w:val="0"/>
          <w:color w:val="111111"/>
          <w:sz w:val="22"/>
          <w:szCs w:val="22"/>
          <w:highlight w:val="white"/>
        </w:rPr>
        <w:t xml:space="preserve"> hydrogen and oxygen cycles are employed for storing and transforming energy. Chemical energy storage is possible using HER and OER. ORR and HOR (MOR) are two half-cell reactions of fuel cells used for energy conversion. (b) Schematic representation of the </w:t>
      </w:r>
      <w:r w:rsidR="00D41AB9">
        <w:rPr>
          <w:rFonts w:ascii="Times New Roman" w:eastAsia="Times New Roman" w:hAnsi="Times New Roman" w:cs="Times New Roman" w:hint="default"/>
          <w:b w:val="0"/>
          <w:color w:val="111111"/>
          <w:sz w:val="22"/>
          <w:szCs w:val="22"/>
          <w:highlight w:val="white"/>
        </w:rPr>
        <w:t>over potentials</w:t>
      </w:r>
      <w:r w:rsidR="00D41AB9">
        <w:rPr>
          <w:rFonts w:ascii="Times New Roman" w:eastAsia="Times New Roman" w:hAnsi="Times New Roman" w:cs="Times New Roman"/>
          <w:b w:val="0"/>
          <w:color w:val="111111"/>
          <w:sz w:val="22"/>
          <w:szCs w:val="22"/>
          <w:highlight w:val="white"/>
        </w:rPr>
        <w:t xml:space="preserve"> associated with HER, OER, ORR, and HOR. (c) Anion-exchange membrane </w:t>
      </w:r>
      <w:r w:rsidR="00D41AB9">
        <w:rPr>
          <w:rFonts w:ascii="Times New Roman" w:eastAsia="Times New Roman" w:hAnsi="Times New Roman" w:cs="Times New Roman" w:hint="default"/>
          <w:b w:val="0"/>
          <w:color w:val="111111"/>
          <w:sz w:val="22"/>
          <w:szCs w:val="22"/>
          <w:highlight w:val="white"/>
        </w:rPr>
        <w:t>electrolyzes</w:t>
      </w:r>
      <w:r w:rsidR="00D41AB9">
        <w:rPr>
          <w:rFonts w:ascii="Times New Roman" w:eastAsia="Times New Roman" w:hAnsi="Times New Roman" w:cs="Times New Roman"/>
          <w:b w:val="0"/>
          <w:color w:val="111111"/>
          <w:sz w:val="22"/>
          <w:szCs w:val="22"/>
          <w:highlight w:val="white"/>
        </w:rPr>
        <w:t xml:space="preserve"> schematic. (d) Diagram of an alkaline electrolyte fuel cell. Royal Society of Chemistry 2015, all rights reserved.</w:t>
      </w:r>
    </w:p>
    <w:p w:rsidR="000B3F18" w:rsidRDefault="00D41AB9" w:rsidP="00D41AB9">
      <w:pPr>
        <w:spacing w:before="240" w:after="240" w:line="240" w:lineRule="auto"/>
        <w:ind w:left="851" w:right="559" w:firstLine="589"/>
        <w:jc w:val="both"/>
        <w:rPr>
          <w:rFonts w:ascii="Times New Roman" w:eastAsia="Times New Roman" w:hAnsi="Times New Roman" w:cs="Times New Roman"/>
          <w:sz w:val="24"/>
          <w:szCs w:val="24"/>
        </w:rPr>
      </w:pPr>
      <w:r>
        <w:rPr>
          <w:rFonts w:ascii="Times New Roman" w:eastAsia="Times New Roman" w:hAnsi="Times New Roman" w:cs="Times New Roman"/>
          <w:color w:val="252525"/>
          <w:sz w:val="24"/>
          <w:szCs w:val="24"/>
        </w:rPr>
        <w:t>This shift will not only benefit the environment, but it will also encourage technical improvements in the renewable energy industry and the creation of new job possibilities. Accepting hydrogen as a feasible source of energy is a vital first step toward a more robust and sustainable future for our planet. The oxygen reduction process is important because it aids in the effective conversion of oxygen into water. ORR is critical in many electrochemical energy conversion and storage systems, such as fuel cells and metal-air batteries. ORR catalyst research is critical for improving the performance and lifetime of these devices. Extensive studies have</w:t>
      </w:r>
      <w:r w:rsidR="00AD53A1">
        <w:rPr>
          <w:rFonts w:ascii="Times New Roman" w:eastAsia="Times New Roman" w:hAnsi="Times New Roman" w:cs="Times New Roman"/>
          <w:color w:val="252525"/>
          <w:sz w:val="24"/>
          <w:szCs w:val="24"/>
        </w:rPr>
        <w:t xml:space="preserve"> been conducted on platinum </w:t>
      </w:r>
      <w:proofErr w:type="spellStart"/>
      <w:r w:rsidR="00AD53A1">
        <w:rPr>
          <w:rFonts w:ascii="Times New Roman" w:eastAsia="Times New Roman" w:hAnsi="Times New Roman" w:cs="Times New Roman"/>
          <w:color w:val="252525"/>
          <w:sz w:val="24"/>
          <w:szCs w:val="24"/>
        </w:rPr>
        <w:t>Pt</w:t>
      </w:r>
      <w:proofErr w:type="spellEnd"/>
      <w:r>
        <w:rPr>
          <w:rFonts w:ascii="Times New Roman" w:eastAsia="Times New Roman" w:hAnsi="Times New Roman" w:cs="Times New Roman"/>
          <w:color w:val="252525"/>
          <w:sz w:val="24"/>
          <w:szCs w:val="24"/>
        </w:rPr>
        <w:t xml:space="preserve">-based catalysts, which have shown good ORR activity. </w:t>
      </w:r>
      <w:proofErr w:type="spellStart"/>
      <w:r>
        <w:rPr>
          <w:rFonts w:ascii="Times New Roman" w:eastAsia="Times New Roman" w:hAnsi="Times New Roman" w:cs="Times New Roman"/>
          <w:color w:val="252525"/>
          <w:sz w:val="24"/>
          <w:szCs w:val="24"/>
        </w:rPr>
        <w:t>Pt's</w:t>
      </w:r>
      <w:proofErr w:type="spellEnd"/>
      <w:r>
        <w:rPr>
          <w:rFonts w:ascii="Times New Roman" w:eastAsia="Times New Roman" w:hAnsi="Times New Roman" w:cs="Times New Roman"/>
          <w:color w:val="252525"/>
          <w:sz w:val="24"/>
          <w:szCs w:val="24"/>
        </w:rPr>
        <w:t xml:space="preserve"> discovery triggered an investigation for substitute catalysts with a high price and limited supply. Transition metal-based catalysts that contain iron (</w:t>
      </w:r>
      <m:oMath>
        <m:r>
          <w:rPr>
            <w:rFonts w:ascii="Cambria Math" w:eastAsia="Times New Roman" w:hAnsi="Cambria Math" w:cs="Times New Roman"/>
            <w:color w:val="252525"/>
            <w:sz w:val="24"/>
            <w:szCs w:val="24"/>
          </w:rPr>
          <m:t>Fe</m:t>
        </m:r>
      </m:oMath>
      <w:r>
        <w:rPr>
          <w:rFonts w:ascii="Times New Roman" w:eastAsia="Times New Roman" w:hAnsi="Times New Roman" w:cs="Times New Roman"/>
          <w:color w:val="252525"/>
          <w:sz w:val="24"/>
          <w:szCs w:val="24"/>
        </w:rPr>
        <w:t>), cobalt (</w:t>
      </w:r>
      <m:oMath>
        <m:r>
          <w:rPr>
            <w:rFonts w:ascii="Cambria Math" w:eastAsia="Times New Roman" w:hAnsi="Cambria Math" w:cs="Times New Roman"/>
            <w:color w:val="252525"/>
            <w:sz w:val="24"/>
            <w:szCs w:val="24"/>
          </w:rPr>
          <m:t>Co</m:t>
        </m:r>
      </m:oMath>
      <w:r>
        <w:rPr>
          <w:rFonts w:ascii="Times New Roman" w:eastAsia="Times New Roman" w:hAnsi="Times New Roman" w:cs="Times New Roman"/>
          <w:color w:val="252525"/>
          <w:sz w:val="24"/>
          <w:szCs w:val="24"/>
        </w:rPr>
        <w:t>), and nickel (</w:t>
      </w:r>
      <m:oMath>
        <m:r>
          <w:rPr>
            <w:rFonts w:ascii="Cambria Math" w:eastAsia="Times New Roman" w:hAnsi="Cambria Math" w:cs="Times New Roman"/>
            <w:color w:val="252525"/>
            <w:sz w:val="24"/>
            <w:szCs w:val="24"/>
          </w:rPr>
          <m:t>Ni</m:t>
        </m:r>
      </m:oMath>
      <w:r>
        <w:rPr>
          <w:rFonts w:ascii="Times New Roman" w:eastAsia="Times New Roman" w:hAnsi="Times New Roman" w:cs="Times New Roman"/>
          <w:color w:val="252525"/>
          <w:sz w:val="24"/>
          <w:szCs w:val="24"/>
        </w:rPr>
        <w:t xml:space="preserve">) have emerged as attractive possibilities due to their availability and cost. A range of approaches, such as alloying, doping, and Nano structuring, can be applied to boost the ORR activity of these catalysts. Non-metallic materials, such as metal-organic frameworks (MOFs) and carbon-based catalysts, have also shown promise in ORR applications. High-throughput screening technologies and computational modelling advancements have accelerated the quest for novel ORR catalysts with improved performance. Before these catalysts can be employed in real devices, they must be further improved to deal with stability, selectivity, and mass transport bounds. The pursuit for effective and long-lasting ORR catalysts continues to fuel attempts to create more efficient energy conversion and storage systems. Because of the high cost and limited availability of </w:t>
      </w:r>
      <w:proofErr w:type="spellStart"/>
      <w:r>
        <w:rPr>
          <w:rFonts w:ascii="Times New Roman" w:eastAsia="Times New Roman" w:hAnsi="Times New Roman" w:cs="Times New Roman"/>
          <w:color w:val="252525"/>
          <w:sz w:val="24"/>
          <w:szCs w:val="24"/>
        </w:rPr>
        <w:t>Pt</w:t>
      </w:r>
      <w:proofErr w:type="spellEnd"/>
      <w:r>
        <w:rPr>
          <w:rFonts w:ascii="Times New Roman" w:eastAsia="Times New Roman" w:hAnsi="Times New Roman" w:cs="Times New Roman"/>
          <w:color w:val="252525"/>
          <w:sz w:val="24"/>
          <w:szCs w:val="24"/>
        </w:rPr>
        <w:t>, it is necessary to study alternate catalysts. The objective of research has been to develop non-</w:t>
      </w:r>
      <w:proofErr w:type="spellStart"/>
      <w:r>
        <w:rPr>
          <w:rFonts w:ascii="Times New Roman" w:eastAsia="Times New Roman" w:hAnsi="Times New Roman" w:cs="Times New Roman"/>
          <w:color w:val="252525"/>
          <w:sz w:val="24"/>
          <w:szCs w:val="24"/>
        </w:rPr>
        <w:t>Pt</w:t>
      </w:r>
      <w:proofErr w:type="spellEnd"/>
      <w:r>
        <w:rPr>
          <w:rFonts w:ascii="Times New Roman" w:eastAsia="Times New Roman" w:hAnsi="Times New Roman" w:cs="Times New Roman"/>
          <w:color w:val="252525"/>
          <w:sz w:val="24"/>
          <w:szCs w:val="24"/>
        </w:rPr>
        <w:t xml:space="preserve"> catalysts that can outperform </w:t>
      </w:r>
      <w:proofErr w:type="spellStart"/>
      <w:r>
        <w:rPr>
          <w:rFonts w:ascii="Times New Roman" w:eastAsia="Times New Roman" w:hAnsi="Times New Roman" w:cs="Times New Roman"/>
          <w:color w:val="252525"/>
          <w:sz w:val="24"/>
          <w:szCs w:val="24"/>
        </w:rPr>
        <w:t>Pt</w:t>
      </w:r>
      <w:proofErr w:type="spellEnd"/>
      <w:r>
        <w:rPr>
          <w:rFonts w:ascii="Times New Roman" w:eastAsia="Times New Roman" w:hAnsi="Times New Roman" w:cs="Times New Roman"/>
          <w:color w:val="252525"/>
          <w:sz w:val="24"/>
          <w:szCs w:val="24"/>
        </w:rPr>
        <w:t>-based catalysts. M</w:t>
      </w:r>
      <w:r w:rsidR="00AD53A1">
        <w:rPr>
          <w:rFonts w:ascii="Times New Roman" w:eastAsia="Times New Roman" w:hAnsi="Times New Roman" w:cs="Times New Roman"/>
          <w:color w:val="252525"/>
          <w:sz w:val="24"/>
          <w:szCs w:val="24"/>
        </w:rPr>
        <w:t>olybdenum nitride (Chung et al.</w:t>
      </w:r>
      <w:r>
        <w:rPr>
          <w:rFonts w:ascii="Times New Roman" w:eastAsia="Times New Roman" w:hAnsi="Times New Roman" w:cs="Times New Roman"/>
          <w:color w:val="252525"/>
          <w:sz w:val="24"/>
          <w:szCs w:val="24"/>
        </w:rPr>
        <w:t>) and other transition metal nitrides have shown promise in terms of strong ORR catalytic activity. Metal oxides, especially iron-based catalysts, have also been explored as prospective ORR catalysts (</w:t>
      </w:r>
      <w:proofErr w:type="spellStart"/>
      <w:r>
        <w:rPr>
          <w:rFonts w:ascii="Times New Roman" w:eastAsia="Times New Roman" w:hAnsi="Times New Roman" w:cs="Times New Roman"/>
          <w:color w:val="252525"/>
          <w:sz w:val="24"/>
          <w:szCs w:val="24"/>
        </w:rPr>
        <w:t>Lefèvre</w:t>
      </w:r>
      <w:proofErr w:type="spellEnd"/>
      <w:r>
        <w:rPr>
          <w:rFonts w:ascii="Times New Roman" w:eastAsia="Times New Roman" w:hAnsi="Times New Roman" w:cs="Times New Roman"/>
          <w:color w:val="252525"/>
          <w:sz w:val="24"/>
          <w:szCs w:val="24"/>
        </w:rPr>
        <w:t xml:space="preserve"> et al.). Carbon-based materials, such as nitrogen-doped carbon and carbon nanotubes, have been studied due to their fundamental catalytic characteristics and abundance (Li et al.). Understanding the ORR mechanism is required for the rational creation of effective catalysts. Multiple intermediate species are involved in the reaction's extensive four-electron transfer phase (</w:t>
      </w:r>
      <w:proofErr w:type="spellStart"/>
      <w:r>
        <w:rPr>
          <w:rFonts w:ascii="Times New Roman" w:eastAsia="Times New Roman" w:hAnsi="Times New Roman" w:cs="Times New Roman"/>
          <w:color w:val="252525"/>
          <w:sz w:val="24"/>
          <w:szCs w:val="24"/>
        </w:rPr>
        <w:t>Nrskov</w:t>
      </w:r>
      <w:proofErr w:type="spellEnd"/>
      <w:r>
        <w:rPr>
          <w:rFonts w:ascii="Times New Roman" w:eastAsia="Times New Roman" w:hAnsi="Times New Roman" w:cs="Times New Roman"/>
          <w:color w:val="252525"/>
          <w:sz w:val="24"/>
          <w:szCs w:val="24"/>
        </w:rPr>
        <w:t xml:space="preserve"> et al.). Spectroscopy, microscopy, and theoretical simulations have all been utilized to investigate the reaction routes, active sites, and structure-activity connections of ORR catalysts. ORR catalytic performance, selectivity, and stability are all being worked on, as are efforts to reduce dependency on precious metals. Advanced synthesis processes, catalyst support materials, and nanostructured catalysts with enhanced surface area and adjustable surface compositions are among the projects being worked on (Chung et al.). The development of efficient ORR catalysts is critical for electrochemical energy conversion and storage systems to perform better and be more economically viable. This will lead to a more sustainable energy future (Li et al.).</w:t>
      </w:r>
      <w:r>
        <w:rPr>
          <w:rFonts w:ascii="Times New Roman" w:eastAsia="Times New Roman" w:hAnsi="Times New Roman" w:cs="Times New Roman"/>
          <w:sz w:val="24"/>
          <w:szCs w:val="24"/>
        </w:rPr>
        <w:tab/>
      </w:r>
    </w:p>
    <w:p w:rsidR="000B3F18" w:rsidRDefault="00D41AB9" w:rsidP="00D41AB9">
      <w:pPr>
        <w:spacing w:before="240" w:after="240" w:line="240" w:lineRule="auto"/>
        <w:ind w:left="851" w:right="55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 is important to understand the various ORR modes in order to optimize catalyst design and boost energy conversion efficiency. Water is the primary product of ORR in aqueous environments, where it typically follows a four-electron transfer pathway. Alternative reaction pathways, which produce different reaction products and kinetics, may predominate in non-aqueous solvents or at high temperatures. </w:t>
      </w:r>
      <w:r>
        <w:rPr>
          <w:rFonts w:ascii="Times New Roman" w:eastAsia="Times New Roman" w:hAnsi="Times New Roman" w:cs="Times New Roman"/>
          <w:sz w:val="24"/>
          <w:szCs w:val="24"/>
        </w:rPr>
        <w:t>Surface composition, structure, and electronic structure within a catalyst have a bearing on the ORR procedure (Lopes et al.).</w:t>
      </w:r>
      <w:r>
        <w:rPr>
          <w:rFonts w:ascii="Times New Roman" w:eastAsia="Times New Roman" w:hAnsi="Times New Roman" w:cs="Times New Roman"/>
          <w:color w:val="000000"/>
          <w:sz w:val="24"/>
          <w:szCs w:val="24"/>
        </w:rPr>
        <w:t xml:space="preserve"> For instance, due to their capacity to promote electron transfer and stabilise reaction intermediates, transition metal-based catalysts display increased activity. In addition, catalyst surfaces can be Nano structured to increase their surface area and reveal more ORR-active sites</w:t>
      </w:r>
      <w:r w:rsidR="009274D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(Li et al.). Researchers can open new doors for effective electrochemical energy conversion systems with improved performance and sustainability by adjusting both the reaction environment and catalyst properties. Technologies for cleaner and more effective combustion have been developed in an effort to lessen its negative environmental effects. Utilizing catalytic converters is one such method, which aids in reducing harmful emissions by encouraging the conversion of pollutants into less harmful ones. As catalysts, these converters frequently use priceless metals like platinum, palladium, and rhodium (Stephens et al.). </w:t>
      </w:r>
      <w:r w:rsidR="009274D3">
        <w:rPr>
          <w:rFonts w:ascii="Times New Roman" w:eastAsia="Times New Roman" w:hAnsi="Times New Roman" w:cs="Times New Roman"/>
          <w:color w:val="000000"/>
          <w:sz w:val="24"/>
          <w:szCs w:val="24"/>
        </w:rPr>
        <w:t>Research</w:t>
      </w:r>
      <w:r>
        <w:rPr>
          <w:rFonts w:ascii="Times New Roman" w:eastAsia="Times New Roman" w:hAnsi="Times New Roman" w:cs="Times New Roman"/>
          <w:color w:val="000000"/>
          <w:sz w:val="24"/>
          <w:szCs w:val="24"/>
        </w:rPr>
        <w:t xml:space="preserve"> into substitute catalyst materials has been sparked by the expensive price and limited supply of these metals. This is where transition metal oxides, </w:t>
      </w:r>
      <w:proofErr w:type="spellStart"/>
      <w:r>
        <w:rPr>
          <w:rFonts w:ascii="Times New Roman" w:eastAsia="Times New Roman" w:hAnsi="Times New Roman" w:cs="Times New Roman"/>
          <w:color w:val="000000"/>
          <w:sz w:val="24"/>
          <w:szCs w:val="24"/>
        </w:rPr>
        <w:t>perovskites</w:t>
      </w:r>
      <w:proofErr w:type="spellEnd"/>
      <w:r>
        <w:rPr>
          <w:rFonts w:ascii="Times New Roman" w:eastAsia="Times New Roman" w:hAnsi="Times New Roman" w:cs="Times New Roman"/>
          <w:color w:val="000000"/>
          <w:sz w:val="24"/>
          <w:szCs w:val="24"/>
        </w:rPr>
        <w:t xml:space="preserve">, and zeolites have shown promise because of their special properties that make pollutant conversion effective (Shao et al.).Advances in catalyst synthesis methods like atomic layer deposition (ALD) and sol-gel techniques have made it possible to precisely control the structure and makeup of catalysts. </w:t>
      </w:r>
      <w:r>
        <w:rPr>
          <w:rFonts w:ascii="Times New Roman" w:eastAsia="Times New Roman" w:hAnsi="Times New Roman" w:cs="Times New Roman"/>
          <w:sz w:val="24"/>
          <w:szCs w:val="24"/>
        </w:rPr>
        <w:t>A certain amount of control is essential for adapting the catalytic system's selectivity and activity to particular reactions. Integration of catalytic materials into hierarchical structures or supported on high-surface-area substrates has improved their performance by increasing the accessibility and stability of</w:t>
      </w:r>
      <w:r w:rsidR="009274D3">
        <w:rPr>
          <w:rFonts w:ascii="Times New Roman" w:eastAsia="Times New Roman" w:hAnsi="Times New Roman" w:cs="Times New Roman"/>
          <w:sz w:val="24"/>
          <w:szCs w:val="24"/>
        </w:rPr>
        <w:t xml:space="preserve"> the active site (Yang et al.).</w:t>
      </w:r>
      <w:r>
        <w:rPr>
          <w:rFonts w:ascii="Times New Roman" w:eastAsia="Times New Roman" w:hAnsi="Times New Roman" w:cs="Times New Roman"/>
          <w:sz w:val="24"/>
          <w:szCs w:val="24"/>
        </w:rPr>
        <w:t xml:space="preserve"> </w:t>
      </w:r>
      <w:r w:rsidR="009274D3">
        <w:rPr>
          <w:rFonts w:ascii="Times New Roman" w:eastAsia="Times New Roman" w:hAnsi="Times New Roman" w:cs="Times New Roman"/>
          <w:sz w:val="24"/>
          <w:szCs w:val="24"/>
        </w:rPr>
        <w:t>T</w:t>
      </w:r>
      <w:r>
        <w:rPr>
          <w:rFonts w:ascii="Times New Roman" w:eastAsia="Times New Roman" w:hAnsi="Times New Roman" w:cs="Times New Roman"/>
          <w:sz w:val="24"/>
          <w:szCs w:val="24"/>
        </w:rPr>
        <w:t>heoretical modelling and density functional theory (DFT) calculations have provided a deeper understanding of the reaction pathways and the identification of active sites on catalyst surfaces. In the meantime, conventional fuel combustion remains an urgent concern.</w:t>
      </w:r>
    </w:p>
    <w:p w:rsidR="000B3F18" w:rsidRDefault="00D41AB9" w:rsidP="00D41AB9">
      <w:pPr>
        <w:pBdr>
          <w:top w:val="nil"/>
          <w:left w:val="nil"/>
          <w:bottom w:val="nil"/>
          <w:right w:val="nil"/>
          <w:between w:val="nil"/>
        </w:pBdr>
        <w:spacing w:after="0" w:line="240" w:lineRule="auto"/>
        <w:ind w:left="851" w:right="55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 redox reaction of oxygen ORR is a fundamental mechanism in an extensive variety of biological applications. ORR is an essential phase in the cellular respiration of aerobic organisms, when oxygen is converted into water, releasing energy in the form of adenosine triphosphate (ATP) (Lane et al.). This system is essential for life support and complex metabolic processes. ORR has significant implications for biomedical technology. ORR, for example, is significant in the detection and measurement of biological analyses (such as glucose) in implantable biosensors using enzymatic processes paired with oxygen reduction (Li et al.). ORR-based biofuel cells have captured the interest of researchers as potential power sources for implantable devices and bio electronics, because of ORR's improved electron transport and energy conversion features (</w:t>
      </w:r>
      <w:proofErr w:type="spellStart"/>
      <w:r>
        <w:rPr>
          <w:rFonts w:ascii="Times New Roman" w:eastAsia="Times New Roman" w:hAnsi="Times New Roman" w:cs="Times New Roman"/>
          <w:sz w:val="24"/>
          <w:szCs w:val="24"/>
        </w:rPr>
        <w:t>Atanassov</w:t>
      </w:r>
      <w:proofErr w:type="spellEnd"/>
      <w:r>
        <w:rPr>
          <w:rFonts w:ascii="Times New Roman" w:eastAsia="Times New Roman" w:hAnsi="Times New Roman" w:cs="Times New Roman"/>
          <w:sz w:val="24"/>
          <w:szCs w:val="24"/>
        </w:rPr>
        <w:t xml:space="preserve"> et al.). </w:t>
      </w:r>
    </w:p>
    <w:p w:rsidR="000B3F18" w:rsidRDefault="000B3F18" w:rsidP="00D41AB9">
      <w:pPr>
        <w:pBdr>
          <w:top w:val="nil"/>
          <w:left w:val="nil"/>
          <w:bottom w:val="nil"/>
          <w:right w:val="nil"/>
          <w:between w:val="nil"/>
        </w:pBdr>
        <w:spacing w:after="0" w:line="240" w:lineRule="auto"/>
        <w:ind w:left="851" w:right="559" w:firstLine="720"/>
        <w:jc w:val="both"/>
        <w:rPr>
          <w:rFonts w:ascii="Times New Roman" w:eastAsia="Times New Roman" w:hAnsi="Times New Roman" w:cs="Times New Roman"/>
          <w:color w:val="000000"/>
          <w:sz w:val="24"/>
          <w:szCs w:val="24"/>
        </w:rPr>
      </w:pPr>
    </w:p>
    <w:p w:rsidR="00243ACC" w:rsidRDefault="00D41AB9" w:rsidP="00243ACC">
      <w:pPr>
        <w:spacing w:after="0" w:line="240" w:lineRule="auto"/>
        <w:ind w:left="851" w:right="559"/>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2. </w:t>
      </w:r>
      <w:r>
        <w:rPr>
          <w:rFonts w:ascii="Times New Roman" w:eastAsia="Times New Roman" w:hAnsi="Times New Roman" w:cs="Times New Roman"/>
          <w:b/>
          <w:color w:val="000000"/>
          <w:sz w:val="24"/>
          <w:szCs w:val="24"/>
        </w:rPr>
        <w:t>An insight on the involvement of noble and non-noble metal-based catalysis for ORR</w:t>
      </w:r>
    </w:p>
    <w:p w:rsidR="000B3F18" w:rsidRPr="00243ACC" w:rsidRDefault="00D41AB9" w:rsidP="00243ACC">
      <w:pPr>
        <w:spacing w:after="0" w:line="240" w:lineRule="auto"/>
        <w:ind w:left="851" w:right="559" w:firstLine="58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252525"/>
          <w:sz w:val="24"/>
          <w:szCs w:val="24"/>
        </w:rPr>
        <w:t>Noble metal-based catalysts have been extensively studied for the ORR owing to their strong electro catalytic activity. Platinum (</w:t>
      </w:r>
      <m:oMath>
        <m:r>
          <w:rPr>
            <w:rFonts w:ascii="Cambria Math" w:eastAsia="Times New Roman" w:hAnsi="Cambria Math" w:cs="Times New Roman"/>
            <w:color w:val="252525"/>
            <w:sz w:val="24"/>
            <w:szCs w:val="24"/>
          </w:rPr>
          <m:t>Pt</m:t>
        </m:r>
      </m:oMath>
      <w:r>
        <w:rPr>
          <w:rFonts w:ascii="Times New Roman" w:eastAsia="Times New Roman" w:hAnsi="Times New Roman" w:cs="Times New Roman"/>
          <w:color w:val="252525"/>
          <w:sz w:val="24"/>
          <w:szCs w:val="24"/>
        </w:rPr>
        <w:t>) has been accepted as the gold standard catalyst for ORR because of its high activity and selectivity. Due to the scarcity and high cost of platinum, researchers are looking for non-noble metal-based catalysts as replacements. For transition metal-based catalysts, transition metal nitrides, carbides, and phosphides have emerged as feasible choices. These materials exhibit high ORR activity, are stable, and are relatively cheap (Wei et al.). Transition metal nitrides, such as molybdenum nitride (</w:t>
      </w:r>
      <m:oMath>
        <m:r>
          <w:rPr>
            <w:rFonts w:ascii="Cambria Math" w:eastAsia="Times New Roman" w:hAnsi="Cambria Math" w:cs="Times New Roman"/>
            <w:color w:val="252525"/>
            <w:sz w:val="24"/>
            <w:szCs w:val="24"/>
          </w:rPr>
          <m:t>MoN</m:t>
        </m:r>
      </m:oMath>
      <w:r>
        <w:rPr>
          <w:rFonts w:ascii="Times New Roman" w:eastAsia="Times New Roman" w:hAnsi="Times New Roman" w:cs="Times New Roman"/>
          <w:color w:val="252525"/>
          <w:sz w:val="24"/>
          <w:szCs w:val="24"/>
        </w:rPr>
        <w:t>) and tungsten nitride (</w:t>
      </w:r>
      <m:oMath>
        <m:r>
          <w:rPr>
            <w:rFonts w:ascii="Cambria Math" w:eastAsia="Times New Roman" w:hAnsi="Cambria Math" w:cs="Times New Roman"/>
            <w:color w:val="252525"/>
            <w:sz w:val="24"/>
            <w:szCs w:val="24"/>
          </w:rPr>
          <m:t>WN</m:t>
        </m:r>
      </m:oMath>
      <w:r>
        <w:rPr>
          <w:rFonts w:ascii="Times New Roman" w:eastAsia="Times New Roman" w:hAnsi="Times New Roman" w:cs="Times New Roman"/>
          <w:color w:val="252525"/>
          <w:sz w:val="24"/>
          <w:szCs w:val="24"/>
        </w:rPr>
        <w:t xml:space="preserve">), have demonstrated excellent ORR activity comparable to Pt-based catalysts (Xu et al.). Non-noble metal carbon-based catalysts, such as nitrogen-doped carbon compounds and metal-free carbon compounds, also demonstrate significant promise for ORR catalysis (Zhang et al.). These non-noble metal-based catalysts offer a low-cost, long-term ORR alternative in several kinds of electrochemical energy conversion devices. The combination of noble and non-noble metal-based catalysts has piqued the interest of ORR scientists. In terms of ORR activity and durability, bimetallic catalysts, such as </w:t>
      </w:r>
      <m:oMath>
        <m:r>
          <w:rPr>
            <w:rFonts w:ascii="Cambria Math" w:eastAsia="Times New Roman" w:hAnsi="Cambria Math" w:cs="Times New Roman"/>
            <w:color w:val="252525"/>
            <w:sz w:val="24"/>
            <w:szCs w:val="24"/>
          </w:rPr>
          <m:t>Pt</m:t>
        </m:r>
      </m:oMath>
      <w:r>
        <w:rPr>
          <w:rFonts w:ascii="Times New Roman" w:eastAsia="Times New Roman" w:hAnsi="Times New Roman" w:cs="Times New Roman"/>
          <w:color w:val="252525"/>
          <w:sz w:val="24"/>
          <w:szCs w:val="24"/>
        </w:rPr>
        <w:t>-based alloys including transition metals (e.g.</w:t>
      </w:r>
      <w:proofErr w:type="gramStart"/>
      <w:r>
        <w:rPr>
          <w:rFonts w:ascii="Times New Roman" w:eastAsia="Times New Roman" w:hAnsi="Times New Roman" w:cs="Times New Roman"/>
          <w:color w:val="252525"/>
          <w:sz w:val="24"/>
          <w:szCs w:val="24"/>
        </w:rPr>
        <w:t xml:space="preserve">, </w:t>
      </w:r>
      <w:proofErr w:type="gramEnd"/>
      <m:oMath>
        <m:r>
          <w:rPr>
            <w:rFonts w:ascii="Cambria Math" w:eastAsia="Times New Roman" w:hAnsi="Cambria Math" w:cs="Times New Roman"/>
            <w:color w:val="252525"/>
            <w:sz w:val="24"/>
            <w:szCs w:val="24"/>
          </w:rPr>
          <m:t>Pt-Co, Pt-Fe</m:t>
        </m:r>
      </m:oMath>
      <w:r>
        <w:rPr>
          <w:rFonts w:ascii="Times New Roman" w:eastAsia="Times New Roman" w:hAnsi="Times New Roman" w:cs="Times New Roman"/>
          <w:color w:val="252525"/>
          <w:sz w:val="24"/>
          <w:szCs w:val="24"/>
        </w:rPr>
        <w:t xml:space="preserve">), outperform pure </w:t>
      </w:r>
      <m:oMath>
        <m:r>
          <w:rPr>
            <w:rFonts w:ascii="Cambria Math" w:eastAsia="Times New Roman" w:hAnsi="Cambria Math" w:cs="Times New Roman"/>
            <w:color w:val="252525"/>
            <w:sz w:val="24"/>
            <w:szCs w:val="24"/>
          </w:rPr>
          <m:t>Pt</m:t>
        </m:r>
      </m:oMath>
      <w:r>
        <w:rPr>
          <w:rFonts w:ascii="Times New Roman" w:eastAsia="Times New Roman" w:hAnsi="Times New Roman" w:cs="Times New Roman"/>
          <w:color w:val="252525"/>
          <w:sz w:val="24"/>
          <w:szCs w:val="24"/>
        </w:rPr>
        <w:t xml:space="preserve"> catalysts (Li et al.). The inclusion of a transition metal changes the electronic structure and surface properties of the catalyst, resulting in higher catalytic activity in these bimetallic catalysts. Core-shell structures with a noble metal core surrounded by a non-noble metal shell have exhibited enhanced activity and stability due to optimization of surface composition and atomic-scale interactions (</w:t>
      </w:r>
      <w:proofErr w:type="spellStart"/>
      <w:r>
        <w:rPr>
          <w:rFonts w:ascii="Times New Roman" w:eastAsia="Times New Roman" w:hAnsi="Times New Roman" w:cs="Times New Roman"/>
          <w:color w:val="252525"/>
          <w:sz w:val="24"/>
          <w:szCs w:val="24"/>
        </w:rPr>
        <w:t>Ivanantham</w:t>
      </w:r>
      <w:proofErr w:type="spellEnd"/>
      <w:r>
        <w:rPr>
          <w:rFonts w:ascii="Times New Roman" w:eastAsia="Times New Roman" w:hAnsi="Times New Roman" w:cs="Times New Roman"/>
          <w:color w:val="252525"/>
          <w:sz w:val="24"/>
          <w:szCs w:val="24"/>
        </w:rPr>
        <w:t xml:space="preserve"> et al.). Developing noble and n</w:t>
      </w:r>
      <w:r w:rsidR="009274D3">
        <w:rPr>
          <w:rFonts w:ascii="Times New Roman" w:eastAsia="Times New Roman" w:hAnsi="Times New Roman" w:cs="Times New Roman"/>
          <w:color w:val="252525"/>
          <w:sz w:val="24"/>
          <w:szCs w:val="24"/>
        </w:rPr>
        <w:t>on-noble metal-based catalysts and it has</w:t>
      </w:r>
      <w:r>
        <w:rPr>
          <w:rFonts w:ascii="Times New Roman" w:eastAsia="Times New Roman" w:hAnsi="Times New Roman" w:cs="Times New Roman"/>
          <w:color w:val="252525"/>
          <w:sz w:val="24"/>
          <w:szCs w:val="24"/>
        </w:rPr>
        <w:t xml:space="preserve"> wide range of possibilities for further research and development of ORR electro catalysis.</w:t>
      </w:r>
    </w:p>
    <w:p w:rsidR="000B3F18" w:rsidRPr="00D41AB9" w:rsidRDefault="00D41AB9" w:rsidP="00D41AB9">
      <w:pPr>
        <w:spacing w:before="240" w:after="240"/>
        <w:ind w:left="851" w:right="559" w:firstLine="720"/>
        <w:jc w:val="both"/>
        <w:rPr>
          <w:rFonts w:ascii="Times New Roman" w:eastAsia="Times New Roman" w:hAnsi="Times New Roman" w:cs="Times New Roman"/>
          <w:color w:val="252525"/>
          <w:sz w:val="24"/>
          <w:szCs w:val="24"/>
        </w:rPr>
      </w:pPr>
      <w:r>
        <w:rPr>
          <w:rFonts w:ascii="Times New Roman" w:eastAsia="Times New Roman" w:hAnsi="Times New Roman" w:cs="Times New Roman"/>
          <w:color w:val="252525"/>
          <w:sz w:val="24"/>
          <w:szCs w:val="24"/>
        </w:rPr>
        <w:t>Noble-metal-free electro catalysts have attracted interest in academia and made significant scientific achievements in recent decades. In this part of the article, we will highlight some of the most recent advances in non-noble metal electro catalysts (</w:t>
      </w:r>
      <w:r w:rsidR="00243ACC">
        <w:rPr>
          <w:rFonts w:ascii="Times New Roman" w:eastAsia="Times New Roman" w:hAnsi="Times New Roman" w:cs="Times New Roman"/>
          <w:color w:val="252525"/>
          <w:sz w:val="24"/>
          <w:szCs w:val="24"/>
        </w:rPr>
        <w:t>primarily</w:t>
      </w:r>
      <m:oMath>
        <m:r>
          <w:rPr>
            <w:rFonts w:ascii="Cambria Math" w:eastAsia="Times New Roman" w:hAnsi="Cambria Math" w:cs="Times New Roman"/>
            <w:color w:val="252525"/>
            <w:sz w:val="24"/>
            <w:szCs w:val="24"/>
          </w:rPr>
          <m:t>Mn, Fe, Co, and Ni</m:t>
        </m:r>
      </m:oMath>
      <w:r>
        <w:rPr>
          <w:rFonts w:ascii="Times New Roman" w:eastAsia="Times New Roman" w:hAnsi="Times New Roman" w:cs="Times New Roman"/>
          <w:color w:val="252525"/>
          <w:sz w:val="24"/>
          <w:szCs w:val="24"/>
        </w:rPr>
        <w:t>), with a classification of metals and alloys, oxides, hydroxides, chalcogenides, phosphides, phosphates and borates, and other earth-abundant metal compounds. Every component of the synthetic process, electro catalytic performance, structural characterization, and catalytic mechanism research are thoroughly discussed.</w:t>
      </w:r>
    </w:p>
    <w:p w:rsidR="000B3F18" w:rsidRDefault="00D41AB9" w:rsidP="00243ACC">
      <w:pPr>
        <w:numPr>
          <w:ilvl w:val="1"/>
          <w:numId w:val="1"/>
        </w:numPr>
        <w:spacing w:after="0"/>
        <w:ind w:left="851" w:right="55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Metals/Alloys:</w:t>
      </w:r>
    </w:p>
    <w:p w:rsidR="000B3F18" w:rsidRDefault="00D41AB9" w:rsidP="00243ACC">
      <w:pPr>
        <w:spacing w:after="0"/>
        <w:ind w:left="851" w:right="559" w:firstLine="5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Non-noble-metal-based electro catalysts in their pure metallic state typically cannot survive directly in harsh electrolytes containing both acidic and alkaline media due to the strong corrosion effect. As a result, they are typically incorporated or decorated in very stable hosts (such as carbon compounds), whether in monometallic or alloy form. By immediately annealing the metal-organic framework (MOF) material, </w:t>
      </w:r>
      <w:proofErr w:type="spellStart"/>
      <w:r>
        <w:rPr>
          <w:rFonts w:ascii="Times New Roman" w:eastAsia="Times New Roman" w:hAnsi="Times New Roman" w:cs="Times New Roman"/>
          <w:sz w:val="24"/>
          <w:szCs w:val="24"/>
        </w:rPr>
        <w:t>Xu</w:t>
      </w:r>
      <w:proofErr w:type="spellEnd"/>
      <w:r>
        <w:rPr>
          <w:rFonts w:ascii="Times New Roman" w:eastAsia="Times New Roman" w:hAnsi="Times New Roman" w:cs="Times New Roman"/>
          <w:sz w:val="24"/>
          <w:szCs w:val="24"/>
        </w:rPr>
        <w:t xml:space="preserve"> et al. constructed a highly productive OER electro catalyst implementing </w:t>
      </w:r>
      <m:oMath>
        <m:r>
          <w:rPr>
            <w:rFonts w:ascii="Cambria Math" w:eastAsia="Times New Roman" w:hAnsi="Cambria Math" w:cs="Times New Roman"/>
            <w:sz w:val="24"/>
            <w:szCs w:val="24"/>
          </w:rPr>
          <m:t>Ni</m:t>
        </m:r>
      </m:oMath>
      <w:r>
        <w:rPr>
          <w:rFonts w:ascii="Times New Roman" w:eastAsia="Times New Roman" w:hAnsi="Times New Roman" w:cs="Times New Roman"/>
          <w:sz w:val="24"/>
          <w:szCs w:val="24"/>
        </w:rPr>
        <w:t xml:space="preserve"> nanoparticles (NPs) enclosed in </w:t>
      </w:r>
      <m:oMath>
        <m:r>
          <w:rPr>
            <w:rFonts w:ascii="Cambria Math" w:eastAsia="Times New Roman" w:hAnsi="Cambria Math" w:cs="Times New Roman"/>
            <w:sz w:val="24"/>
            <w:szCs w:val="24"/>
          </w:rPr>
          <m:t>N</m:t>
        </m:r>
      </m:oMath>
      <w:r>
        <w:rPr>
          <w:rFonts w:ascii="Times New Roman" w:eastAsia="Times New Roman" w:hAnsi="Times New Roman" w:cs="Times New Roman"/>
          <w:sz w:val="24"/>
          <w:szCs w:val="24"/>
        </w:rPr>
        <w:t xml:space="preserve">-doped graphene (Xu et al.). Because of the synergistic effect of metals, metal alloys frequently have enhanced catalytic activity for processes. Wang et al. studied </w:t>
      </w:r>
      <m:oMath>
        <m:r>
          <w:rPr>
            <w:rFonts w:ascii="Cambria Math" w:eastAsia="Times New Roman" w:hAnsi="Cambria Math" w:cs="Times New Roman"/>
            <w:sz w:val="24"/>
            <w:szCs w:val="24"/>
          </w:rPr>
          <m:t>NiFe</m:t>
        </m:r>
      </m:oMath>
      <w:r>
        <w:rPr>
          <w:rFonts w:ascii="Times New Roman" w:eastAsia="Times New Roman" w:hAnsi="Times New Roman" w:cs="Times New Roman"/>
          <w:sz w:val="24"/>
          <w:szCs w:val="24"/>
        </w:rPr>
        <w:t xml:space="preserve"> alloy NPs utilizing various crystal phase configurations as well as an N-doped carbon shell. The hexagonal close-packed (</w:t>
      </w:r>
      <w:r w:rsidR="00A330EC">
        <w:rPr>
          <w:rFonts w:ascii="Times New Roman" w:eastAsia="Times New Roman" w:hAnsi="Times New Roman" w:cs="Times New Roman"/>
          <w:sz w:val="24"/>
          <w:szCs w:val="24"/>
        </w:rPr>
        <w:t>HCP</w:t>
      </w:r>
      <w:r>
        <w:rPr>
          <w:rFonts w:ascii="Times New Roman" w:eastAsia="Times New Roman" w:hAnsi="Times New Roman" w:cs="Times New Roman"/>
          <w:sz w:val="24"/>
          <w:szCs w:val="24"/>
        </w:rPr>
        <w:t xml:space="preserve">) phase of the </w:t>
      </w:r>
      <m:oMath>
        <m:r>
          <w:rPr>
            <w:rFonts w:ascii="Cambria Math" w:eastAsia="Times New Roman" w:hAnsi="Cambria Math" w:cs="Times New Roman"/>
            <w:sz w:val="24"/>
            <w:szCs w:val="24"/>
          </w:rPr>
          <m:t>NiFe</m:t>
        </m:r>
      </m:oMath>
      <w:r>
        <w:rPr>
          <w:rFonts w:ascii="Times New Roman" w:eastAsia="Times New Roman" w:hAnsi="Times New Roman" w:cs="Times New Roman"/>
          <w:sz w:val="24"/>
          <w:szCs w:val="24"/>
        </w:rPr>
        <w:t xml:space="preserve"> alloy catalyst has an ultralow over potential of 226 mV, allowing it to produce an OER current density of 10 mA cm-2. Aside from research on tiny earth-abundant metal NPs, scientists have been investigating chambers in </w:t>
      </w:r>
      <w:proofErr w:type="spellStart"/>
      <w:r>
        <w:rPr>
          <w:rFonts w:ascii="Times New Roman" w:eastAsia="Times New Roman" w:hAnsi="Times New Roman" w:cs="Times New Roman"/>
          <w:sz w:val="24"/>
          <w:szCs w:val="24"/>
        </w:rPr>
        <w:t>nano</w:t>
      </w:r>
      <w:proofErr w:type="spellEnd"/>
      <w:r>
        <w:rPr>
          <w:rFonts w:ascii="Times New Roman" w:eastAsia="Times New Roman" w:hAnsi="Times New Roman" w:cs="Times New Roman"/>
          <w:sz w:val="24"/>
          <w:szCs w:val="24"/>
        </w:rPr>
        <w:t xml:space="preserve"> clusters and single-atom catalysts to enhance atomic efficiency and increase electro catalytic activity (Liu et al.). Recently, Zhang et al. reported on an efficient OER </w:t>
      </w:r>
      <w:proofErr w:type="spellStart"/>
      <w:r>
        <w:rPr>
          <w:rFonts w:ascii="Times New Roman" w:eastAsia="Times New Roman" w:hAnsi="Times New Roman" w:cs="Times New Roman"/>
          <w:sz w:val="24"/>
          <w:szCs w:val="24"/>
        </w:rPr>
        <w:t>electrocatalyst</w:t>
      </w:r>
      <w:proofErr w:type="spellEnd"/>
      <w:r>
        <w:rPr>
          <w:rFonts w:ascii="Times New Roman" w:eastAsia="Times New Roman" w:hAnsi="Times New Roman" w:cs="Times New Roman"/>
          <w:sz w:val="24"/>
          <w:szCs w:val="24"/>
        </w:rPr>
        <w:t xml:space="preserve"> with atomically distributed </w:t>
      </w:r>
      <m:oMath>
        <m:r>
          <w:rPr>
            <w:rFonts w:ascii="Cambria Math" w:eastAsia="Times New Roman" w:hAnsi="Cambria Math" w:cs="Times New Roman"/>
            <w:sz w:val="24"/>
            <w:szCs w:val="24"/>
          </w:rPr>
          <m:t>Ni</m:t>
        </m:r>
      </m:oMath>
      <w:r>
        <w:rPr>
          <w:rFonts w:ascii="Times New Roman" w:eastAsia="Times New Roman" w:hAnsi="Times New Roman" w:cs="Times New Roman"/>
          <w:sz w:val="24"/>
          <w:szCs w:val="24"/>
        </w:rPr>
        <w:t xml:space="preserve"> sites on an </w:t>
      </w:r>
      <m:oMath>
        <m:r>
          <w:rPr>
            <w:rFonts w:ascii="Cambria Math" w:eastAsia="Times New Roman" w:hAnsi="Cambria Math" w:cs="Times New Roman"/>
            <w:sz w:val="24"/>
            <w:szCs w:val="24"/>
          </w:rPr>
          <m:t>N</m:t>
        </m:r>
      </m:oMath>
      <w:r>
        <w:rPr>
          <w:rFonts w:ascii="Times New Roman" w:eastAsia="Times New Roman" w:hAnsi="Times New Roman" w:cs="Times New Roman"/>
          <w:sz w:val="24"/>
          <w:szCs w:val="24"/>
        </w:rPr>
        <w:t>-doped hollow carbon matrix (</w:t>
      </w:r>
      <m:oMath>
        <m:r>
          <w:rPr>
            <w:rFonts w:ascii="Cambria Math" w:eastAsia="Times New Roman" w:hAnsi="Cambria Math" w:cs="Times New Roman"/>
            <w:sz w:val="24"/>
            <w:szCs w:val="24"/>
          </w:rPr>
          <m:t>HCM@Ni-N</m:t>
        </m:r>
      </m:oMath>
      <w:r>
        <w:rPr>
          <w:rFonts w:ascii="Times New Roman" w:eastAsia="Times New Roman" w:hAnsi="Times New Roman" w:cs="Times New Roman"/>
          <w:sz w:val="24"/>
          <w:szCs w:val="24"/>
        </w:rPr>
        <w:t xml:space="preserve">).To put together the final </w:t>
      </w:r>
      <w:r w:rsidR="00A330EC">
        <w:rPr>
          <w:rFonts w:ascii="Times New Roman" w:eastAsia="Times New Roman" w:hAnsi="Times New Roman" w:cs="Times New Roman"/>
          <w:sz w:val="24"/>
          <w:szCs w:val="24"/>
        </w:rPr>
        <w:t>consequence;</w:t>
      </w:r>
      <w:r>
        <w:rPr>
          <w:rFonts w:ascii="Times New Roman" w:eastAsia="Times New Roman" w:hAnsi="Times New Roman" w:cs="Times New Roman"/>
          <w:sz w:val="24"/>
          <w:szCs w:val="24"/>
        </w:rPr>
        <w:t xml:space="preserve"> the synthetic approach develops a hard-template technique, which is then followed by pyrolysis and acid etching procedures. The morphology and structure of the </w:t>
      </w:r>
      <m:oMath>
        <m:r>
          <w:rPr>
            <w:rFonts w:ascii="Cambria Math" w:eastAsia="Times New Roman" w:hAnsi="Cambria Math" w:cs="Times New Roman"/>
            <w:sz w:val="24"/>
            <w:szCs w:val="24"/>
          </w:rPr>
          <m:t xml:space="preserve">HCM@Ni-N </m:t>
        </m:r>
      </m:oMath>
      <w:r>
        <w:rPr>
          <w:rFonts w:ascii="Times New Roman" w:eastAsia="Times New Roman" w:hAnsi="Times New Roman" w:cs="Times New Roman"/>
          <w:sz w:val="24"/>
          <w:szCs w:val="24"/>
        </w:rPr>
        <w:t xml:space="preserve">particles were characterized using transmission electron microscope (TEM), annular dark-field scanning transmission electron microscope (HAADF-STEM), and high-angle annular dark-field scanning transmission electron microscope (HAADF-STEM) techniques, which revealed </w:t>
      </w:r>
      <w:r w:rsidR="00A330EC">
        <w:rPr>
          <w:rFonts w:ascii="Times New Roman" w:eastAsia="Times New Roman" w:hAnsi="Times New Roman" w:cs="Times New Roman"/>
          <w:sz w:val="24"/>
          <w:szCs w:val="24"/>
        </w:rPr>
        <w:t>uniformly,</w:t>
      </w:r>
      <w:r>
        <w:rPr>
          <w:rFonts w:ascii="Times New Roman" w:eastAsia="Times New Roman" w:hAnsi="Times New Roman" w:cs="Times New Roman"/>
          <w:sz w:val="24"/>
          <w:szCs w:val="24"/>
        </w:rPr>
        <w:t xml:space="preserve"> distributed spherical hollow structures with atomically dispersed isolated </w:t>
      </w:r>
      <m:oMath>
        <m:r>
          <w:rPr>
            <w:rFonts w:ascii="Cambria Math" w:eastAsia="Times New Roman" w:hAnsi="Cambria Math" w:cs="Times New Roman"/>
            <w:sz w:val="24"/>
            <w:szCs w:val="24"/>
          </w:rPr>
          <m:t xml:space="preserve">Ni </m:t>
        </m:r>
      </m:oMath>
      <w:r>
        <w:rPr>
          <w:rFonts w:ascii="Times New Roman" w:eastAsia="Times New Roman" w:hAnsi="Times New Roman" w:cs="Times New Roman"/>
          <w:sz w:val="24"/>
          <w:szCs w:val="24"/>
        </w:rPr>
        <w:t xml:space="preserve">atoms throughout the particles. According to X-ray absorption spectroscopy (XAS) and DFT calculations, the improved catalytic activity is due to effective electronic coupling between </w:t>
      </w:r>
      <m:oMath>
        <m:r>
          <w:rPr>
            <w:rFonts w:ascii="Cambria Math" w:eastAsia="Times New Roman" w:hAnsi="Cambria Math" w:cs="Times New Roman"/>
            <w:sz w:val="24"/>
            <w:szCs w:val="24"/>
          </w:rPr>
          <m:t>Ni</m:t>
        </m:r>
      </m:oMath>
      <w:r>
        <w:rPr>
          <w:rFonts w:ascii="Times New Roman" w:eastAsia="Times New Roman" w:hAnsi="Times New Roman" w:cs="Times New Roman"/>
          <w:sz w:val="24"/>
          <w:szCs w:val="24"/>
        </w:rPr>
        <w:t xml:space="preserve"> </w:t>
      </w:r>
      <w:r w:rsidR="00A330EC">
        <w:rPr>
          <w:rFonts w:ascii="Times New Roman" w:eastAsia="Times New Roman" w:hAnsi="Times New Roman" w:cs="Times New Roman"/>
          <w:sz w:val="24"/>
          <w:szCs w:val="24"/>
        </w:rPr>
        <w:t>and</w:t>
      </w:r>
      <m:oMath>
        <m:r>
          <w:rPr>
            <w:rFonts w:ascii="Cambria Math" w:eastAsia="Times New Roman" w:hAnsi="Cambria Math" w:cs="Times New Roman"/>
            <w:sz w:val="24"/>
            <w:szCs w:val="24"/>
          </w:rPr>
          <m:t>N</m:t>
        </m:r>
      </m:oMath>
      <w:r>
        <w:rPr>
          <w:rFonts w:ascii="Times New Roman" w:eastAsia="Times New Roman" w:hAnsi="Times New Roman" w:cs="Times New Roman"/>
          <w:sz w:val="24"/>
          <w:szCs w:val="24"/>
        </w:rPr>
        <w:t xml:space="preserve">, which </w:t>
      </w:r>
      <w:r w:rsidRPr="00BE6DFC">
        <w:rPr>
          <w:rFonts w:ascii="Times New Roman" w:eastAsia="Times New Roman" w:hAnsi="Times New Roman" w:cs="Times New Roman"/>
          <w:sz w:val="24"/>
          <w:szCs w:val="24"/>
        </w:rPr>
        <w:t>may lower the Fermi level and change the absorption of key intermediates.</w:t>
      </w:r>
    </w:p>
    <w:p w:rsidR="000B3F18" w:rsidRDefault="00D41AB9" w:rsidP="00BE6DFC">
      <w:pPr>
        <w:numPr>
          <w:ilvl w:val="1"/>
          <w:numId w:val="1"/>
        </w:numPr>
        <w:spacing w:after="0"/>
        <w:ind w:left="851" w:right="55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Oxides:</w:t>
      </w:r>
    </w:p>
    <w:p w:rsidR="000B3F18" w:rsidRDefault="00D41AB9" w:rsidP="00BE6DFC">
      <w:pPr>
        <w:spacing w:after="0"/>
        <w:ind w:left="851" w:right="559" w:firstLine="5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Due to their low cost, high reversible nature, customizable frameworks, and stable properties, non-noble-metal-based oxides have caught the interest of electro catalysis researchers. Controlling the morphology, manipulating the composition, modifying the electrical structure by foreign metal doping, and adding hybrid structures into composites have all been shown to be successful methods of producing highly efficient oxide-based OER electro catalysts. In this section, we will present a brief summary of several recently found non-noble-metal-based oxide electro catalysts, such as single metal oxides, spinel oxides, and </w:t>
      </w:r>
      <w:proofErr w:type="spellStart"/>
      <w:r>
        <w:rPr>
          <w:rFonts w:ascii="Times New Roman" w:eastAsia="Times New Roman" w:hAnsi="Times New Roman" w:cs="Times New Roman"/>
          <w:sz w:val="24"/>
          <w:szCs w:val="24"/>
        </w:rPr>
        <w:t>perovskite</w:t>
      </w:r>
      <w:proofErr w:type="spellEnd"/>
      <w:r>
        <w:rPr>
          <w:rFonts w:ascii="Times New Roman" w:eastAsia="Times New Roman" w:hAnsi="Times New Roman" w:cs="Times New Roman"/>
          <w:sz w:val="24"/>
          <w:szCs w:val="24"/>
        </w:rPr>
        <w:t xml:space="preserve"> oxides (Wu et al.).The activities of single non-noble-metal oxide electro catalysts are influenced by metal types, metal oxidation states, morphology, and supports; nevertheless, their low conductivity severely restricts their application potential to. Two solutions are being developed to overcome the low conductivity issue: i) modifying the structures and compositions of the oxides by doping heteroatoms, creating oxygen vacancies, and generating </w:t>
      </w:r>
      <w:proofErr w:type="spellStart"/>
      <w:r>
        <w:rPr>
          <w:rFonts w:ascii="Times New Roman" w:eastAsia="Times New Roman" w:hAnsi="Times New Roman" w:cs="Times New Roman"/>
          <w:sz w:val="24"/>
          <w:szCs w:val="24"/>
        </w:rPr>
        <w:t>polymetallic</w:t>
      </w:r>
      <w:proofErr w:type="spellEnd"/>
      <w:r>
        <w:rPr>
          <w:rFonts w:ascii="Times New Roman" w:eastAsia="Times New Roman" w:hAnsi="Times New Roman" w:cs="Times New Roman"/>
          <w:sz w:val="24"/>
          <w:szCs w:val="24"/>
        </w:rPr>
        <w:t xml:space="preserve"> oxides; and ii) putting conductive substrates (carbon material or metal substrate). Tong et al., for example, studied a hybrid electro catalyst comprised </w:t>
      </w:r>
      <m:oMath>
        <m:r>
          <w:rPr>
            <w:rFonts w:ascii="Cambria Math" w:eastAsia="Times New Roman" w:hAnsi="Cambria Math" w:cs="Times New Roman"/>
            <w:sz w:val="24"/>
            <w:szCs w:val="24"/>
          </w:rPr>
          <m:t>Co</m:t>
        </m:r>
      </m:oMath>
      <w:r>
        <w:rPr>
          <w:rFonts w:ascii="Times New Roman" w:eastAsia="Times New Roman" w:hAnsi="Times New Roman" w:cs="Times New Roman"/>
          <w:sz w:val="24"/>
          <w:szCs w:val="24"/>
        </w:rPr>
        <w:t xml:space="preserve"> oxide </w:t>
      </w:r>
      <m:oMath>
        <m:r>
          <w:rPr>
            <w:rFonts w:ascii="Cambria Math" w:eastAsia="Times New Roman" w:hAnsi="Cambria Math" w:cs="Times New Roman"/>
            <w:sz w:val="24"/>
            <w:szCs w:val="24"/>
          </w:rPr>
          <m:t>NP</m:t>
        </m:r>
      </m:oMath>
      <w:r>
        <w:rPr>
          <w:rFonts w:ascii="Times New Roman" w:eastAsia="Times New Roman" w:hAnsi="Times New Roman" w:cs="Times New Roman"/>
          <w:sz w:val="24"/>
          <w:szCs w:val="24"/>
        </w:rPr>
        <w:t xml:space="preserve">s and </w:t>
      </w:r>
      <m:oMath>
        <m:r>
          <w:rPr>
            <w:rFonts w:ascii="Cambria Math" w:eastAsia="Times New Roman" w:hAnsi="Cambria Math" w:cs="Times New Roman"/>
            <w:sz w:val="24"/>
            <w:szCs w:val="24"/>
          </w:rPr>
          <m:t>B,N</m:t>
        </m:r>
      </m:oMath>
      <w:r>
        <w:rPr>
          <w:rFonts w:ascii="Times New Roman" w:eastAsia="Times New Roman" w:hAnsi="Times New Roman" w:cs="Times New Roman"/>
          <w:sz w:val="24"/>
          <w:szCs w:val="24"/>
        </w:rPr>
        <w:t xml:space="preserve"> decorated </w:t>
      </w:r>
      <w:proofErr w:type="spellStart"/>
      <w:r>
        <w:rPr>
          <w:rFonts w:ascii="Times New Roman" w:eastAsia="Times New Roman" w:hAnsi="Times New Roman" w:cs="Times New Roman"/>
          <w:sz w:val="24"/>
          <w:szCs w:val="24"/>
        </w:rPr>
        <w:t>graphene</w:t>
      </w:r>
      <w:proofErr w:type="spellEnd"/>
      <w:r>
        <w:rPr>
          <w:rFonts w:ascii="Times New Roman" w:eastAsia="Times New Roman" w:hAnsi="Times New Roman" w:cs="Times New Roman"/>
          <w:sz w:val="24"/>
          <w:szCs w:val="24"/>
        </w:rPr>
        <w:t xml:space="preserve"> produced via heat annealing the precursor in </w:t>
      </w:r>
      <w:r w:rsidR="00BE6DFC">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NH</m:t>
            </m:r>
          </m:e>
          <m:sub>
            <m:r>
              <w:rPr>
                <w:rFonts w:ascii="Cambria Math" w:eastAsia="Times New Roman" w:hAnsi="Cambria Math" w:cs="Times New Roman"/>
                <w:sz w:val="24"/>
                <w:szCs w:val="24"/>
              </w:rPr>
              <m:t>3</m:t>
            </m:r>
          </m:sub>
        </m:sSub>
      </m:oMath>
      <w:r>
        <w:rPr>
          <w:rFonts w:ascii="Times New Roman" w:eastAsia="Times New Roman" w:hAnsi="Times New Roman" w:cs="Times New Roman"/>
          <w:sz w:val="24"/>
          <w:szCs w:val="24"/>
        </w:rPr>
        <w:t xml:space="preserve"> surroundings. The active sites have many and strong </w:t>
      </w:r>
      <m:oMath>
        <m:r>
          <w:rPr>
            <w:rFonts w:ascii="Cambria Math" w:eastAsia="Times New Roman" w:hAnsi="Cambria Math" w:cs="Times New Roman"/>
            <w:sz w:val="24"/>
            <w:szCs w:val="24"/>
          </w:rPr>
          <m:t>CoNC</m:t>
        </m:r>
      </m:oMath>
      <w:r>
        <w:rPr>
          <w:rFonts w:ascii="Times New Roman" w:eastAsia="Times New Roman" w:hAnsi="Times New Roman" w:cs="Times New Roman"/>
          <w:sz w:val="24"/>
          <w:szCs w:val="24"/>
        </w:rPr>
        <w:t xml:space="preserve"> bridging bridges with numerous oxygen vacancies that exhibit a high synergetic effect and boost electron transfer efficiency.  The electro</w:t>
      </w:r>
      <w:r w:rsidR="00BE6DF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catalytic activity of the OER gets enhanced by greater charge transfer in catalysis (over potential of 261 mV at 10 mA cm-2). </w:t>
      </w:r>
      <w:proofErr w:type="spellStart"/>
      <w:r>
        <w:rPr>
          <w:rFonts w:ascii="Times New Roman" w:eastAsia="Times New Roman" w:hAnsi="Times New Roman" w:cs="Times New Roman"/>
          <w:sz w:val="24"/>
          <w:szCs w:val="24"/>
        </w:rPr>
        <w:t>Perovskite</w:t>
      </w:r>
      <w:proofErr w:type="spellEnd"/>
      <w:r>
        <w:rPr>
          <w:rFonts w:ascii="Times New Roman" w:eastAsia="Times New Roman" w:hAnsi="Times New Roman" w:cs="Times New Roman"/>
          <w:sz w:val="24"/>
          <w:szCs w:val="24"/>
        </w:rPr>
        <w:t xml:space="preserve"> oxides in </w:t>
      </w:r>
      <w:r w:rsidR="00AD21ED">
        <w:rPr>
          <w:rFonts w:ascii="Times New Roman" w:eastAsia="Times New Roman" w:hAnsi="Times New Roman" w:cs="Times New Roman"/>
          <w:sz w:val="24"/>
          <w:szCs w:val="24"/>
        </w:rPr>
        <w:t>general</w:t>
      </w:r>
      <m:oMath>
        <m:r>
          <w:rPr>
            <w:rFonts w:ascii="Cambria Math" w:eastAsia="Cambria Math" w:hAnsi="Cambria Math" w:cs="Cambria Math"/>
            <w:sz w:val="24"/>
            <w:szCs w:val="24"/>
          </w:rPr>
          <m:t>AB</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O</m:t>
            </m:r>
          </m:e>
          <m:sub>
            <m:r>
              <w:rPr>
                <w:rFonts w:ascii="Cambria Math" w:eastAsia="Cambria Math" w:hAnsi="Cambria Math" w:cs="Cambria Math"/>
                <w:sz w:val="24"/>
                <w:szCs w:val="24"/>
              </w:rPr>
              <m:t>3</m:t>
            </m:r>
          </m:sub>
        </m:sSub>
      </m:oMath>
      <w:r>
        <w:rPr>
          <w:rFonts w:ascii="Times New Roman" w:eastAsia="Times New Roman" w:hAnsi="Times New Roman" w:cs="Times New Roman"/>
          <w:sz w:val="24"/>
          <w:szCs w:val="24"/>
        </w:rPr>
        <w:t xml:space="preserve">, where A is often a rare-earth or alkaline-earth metal and B is a transition metal, have been extensively examined as promising non-noble-metal-based electrocatalysts for energy conversion and storage applications (Chen et al.). </w:t>
      </w:r>
      <w:proofErr w:type="spellStart"/>
      <w:r>
        <w:rPr>
          <w:rFonts w:ascii="Times New Roman" w:eastAsia="Times New Roman" w:hAnsi="Times New Roman" w:cs="Times New Roman"/>
          <w:sz w:val="24"/>
          <w:szCs w:val="24"/>
        </w:rPr>
        <w:t>Perovskite</w:t>
      </w:r>
      <w:proofErr w:type="spellEnd"/>
      <w:r>
        <w:rPr>
          <w:rFonts w:ascii="Times New Roman" w:eastAsia="Times New Roman" w:hAnsi="Times New Roman" w:cs="Times New Roman"/>
          <w:sz w:val="24"/>
          <w:szCs w:val="24"/>
        </w:rPr>
        <w:t xml:space="preserve"> oxides are classed in the following way:</w:t>
      </w:r>
      <m:oMath>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A</m:t>
            </m:r>
          </m:e>
          <m:sup>
            <m:r>
              <w:rPr>
                <w:rFonts w:ascii="Cambria Math" w:eastAsia="Cambria Math" w:hAnsi="Cambria Math" w:cs="Cambria Math"/>
                <w:sz w:val="24"/>
                <w:szCs w:val="24"/>
              </w:rPr>
              <m:t>2+</m:t>
            </m:r>
          </m:sup>
        </m:sSup>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B</m:t>
            </m:r>
          </m:e>
          <m:sup>
            <m:r>
              <w:rPr>
                <w:rFonts w:ascii="Cambria Math" w:eastAsia="Cambria Math" w:hAnsi="Cambria Math" w:cs="Cambria Math"/>
                <w:sz w:val="24"/>
                <w:szCs w:val="24"/>
              </w:rPr>
              <m:t>4+</m:t>
            </m:r>
          </m:sup>
        </m:sSup>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O</m:t>
            </m:r>
          </m:e>
          <m:sub>
            <m:r>
              <w:rPr>
                <w:rFonts w:ascii="Cambria Math" w:eastAsia="Cambria Math" w:hAnsi="Cambria Math" w:cs="Cambria Math"/>
                <w:sz w:val="24"/>
                <w:szCs w:val="24"/>
              </w:rPr>
              <m:t xml:space="preserve">3 </m:t>
            </m:r>
          </m:sub>
        </m:sSub>
      </m:oMath>
      <w:proofErr w:type="gramStart"/>
      <w:r w:rsidR="00BE6DFC">
        <w:rPr>
          <w:rFonts w:ascii="Times New Roman" w:eastAsia="Times New Roman" w:hAnsi="Times New Roman" w:cs="Times New Roman"/>
          <w:sz w:val="24"/>
          <w:szCs w:val="24"/>
        </w:rPr>
        <w:t xml:space="preserve">, </w:t>
      </w:r>
      <w:proofErr w:type="gramEnd"/>
      <m:oMath>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A</m:t>
            </m:r>
          </m:e>
          <m:sup>
            <m:r>
              <w:rPr>
                <w:rFonts w:ascii="Cambria Math" w:eastAsia="Cambria Math" w:hAnsi="Cambria Math" w:cs="Cambria Math"/>
                <w:sz w:val="24"/>
                <w:szCs w:val="24"/>
              </w:rPr>
              <m:t>3+</m:t>
            </m:r>
          </m:sup>
        </m:sSup>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B</m:t>
            </m:r>
          </m:e>
          <m:sup>
            <m:r>
              <w:rPr>
                <w:rFonts w:ascii="Cambria Math" w:eastAsia="Cambria Math" w:hAnsi="Cambria Math" w:cs="Cambria Math"/>
                <w:sz w:val="24"/>
                <w:szCs w:val="24"/>
              </w:rPr>
              <m:t>3+</m:t>
            </m:r>
          </m:sup>
        </m:sSup>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O</m:t>
            </m:r>
          </m:e>
          <m:sub>
            <m:r>
              <w:rPr>
                <w:rFonts w:ascii="Cambria Math" w:eastAsia="Cambria Math" w:hAnsi="Cambria Math" w:cs="Cambria Math"/>
                <w:sz w:val="24"/>
                <w:szCs w:val="24"/>
              </w:rPr>
              <m:t>3</m:t>
            </m:r>
          </m:sub>
        </m:sSub>
      </m:oMath>
      <w:r>
        <w:rPr>
          <w:rFonts w:ascii="Times New Roman" w:eastAsia="Times New Roman" w:hAnsi="Times New Roman" w:cs="Times New Roman"/>
          <w:sz w:val="24"/>
          <w:szCs w:val="24"/>
        </w:rPr>
        <w:t xml:space="preserve">, or various forms. Because of their highly adjustable metal combinations and compositions, peculiar 3d electronic structures, and outstanding stability, </w:t>
      </w:r>
      <w:proofErr w:type="spellStart"/>
      <w:r>
        <w:rPr>
          <w:rFonts w:ascii="Times New Roman" w:eastAsia="Times New Roman" w:hAnsi="Times New Roman" w:cs="Times New Roman"/>
          <w:sz w:val="24"/>
          <w:szCs w:val="24"/>
        </w:rPr>
        <w:t>perovskite</w:t>
      </w:r>
      <w:proofErr w:type="spellEnd"/>
      <w:r>
        <w:rPr>
          <w:rFonts w:ascii="Times New Roman" w:eastAsia="Times New Roman" w:hAnsi="Times New Roman" w:cs="Times New Roman"/>
          <w:sz w:val="24"/>
          <w:szCs w:val="24"/>
        </w:rPr>
        <w:t xml:space="preserve"> oxides exhibit exceptional catalytic activity. Li et al. investigated the roles of covalent bonding and surface oxygen separation in the formation of OER, </w:t>
      </w:r>
      <m:oMath>
        <m:r>
          <w:rPr>
            <w:rFonts w:ascii="Cambria Math" w:eastAsia="Cambria Math" w:hAnsi="Cambria Math" w:cs="Cambria Math"/>
            <w:sz w:val="24"/>
            <w:szCs w:val="24"/>
          </w:rPr>
          <m:t>CaCo</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O</m:t>
            </m:r>
          </m:e>
          <m:sub>
            <m:r>
              <w:rPr>
                <w:rFonts w:ascii="Cambria Math" w:eastAsia="Cambria Math" w:hAnsi="Cambria Math" w:cs="Cambria Math"/>
                <w:sz w:val="24"/>
                <w:szCs w:val="24"/>
              </w:rPr>
              <m:t>3</m:t>
            </m:r>
          </m:sub>
        </m:sSub>
      </m:oMath>
      <w:r>
        <w:rPr>
          <w:rFonts w:ascii="Times New Roman" w:eastAsia="Times New Roman" w:hAnsi="Times New Roman" w:cs="Times New Roman"/>
          <w:sz w:val="24"/>
          <w:szCs w:val="24"/>
        </w:rPr>
        <w:t xml:space="preserve">  and </w:t>
      </w:r>
      <m:oMath>
        <m:r>
          <w:rPr>
            <w:rFonts w:ascii="Cambria Math" w:eastAsia="Cambria Math" w:hAnsi="Cambria Math" w:cs="Cambria Math"/>
            <w:sz w:val="24"/>
            <w:szCs w:val="24"/>
          </w:rPr>
          <m:t>SrCo</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O</m:t>
            </m:r>
          </m:e>
          <m:sub>
            <m:r>
              <w:rPr>
                <w:rFonts w:ascii="Cambria Math" w:eastAsia="Cambria Math" w:hAnsi="Cambria Math" w:cs="Cambria Math"/>
                <w:sz w:val="24"/>
                <w:szCs w:val="24"/>
              </w:rPr>
              <m:t>3</m:t>
            </m:r>
          </m:sub>
        </m:sSub>
      </m:oMath>
      <w:r>
        <w:rPr>
          <w:rFonts w:ascii="Times New Roman" w:eastAsia="Times New Roman" w:hAnsi="Times New Roman" w:cs="Times New Roman"/>
          <w:sz w:val="24"/>
          <w:szCs w:val="24"/>
        </w:rPr>
        <w:t xml:space="preserve"> cubic perovskite oxide catalysts.Both perovskite catalysts have a comparable </w:t>
      </w:r>
      <m:oMath>
        <m:r>
          <w:rPr>
            <w:rFonts w:ascii="Cambria Math" w:eastAsia="Times New Roman" w:hAnsi="Cambria Math" w:cs="Times New Roman"/>
            <w:sz w:val="24"/>
            <w:szCs w:val="24"/>
          </w:rPr>
          <m:t>Co</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4</m:t>
            </m:r>
          </m:e>
          <m:sup>
            <m:r>
              <w:rPr>
                <w:rFonts w:ascii="Cambria Math" w:eastAsia="Times New Roman" w:hAnsi="Cambria Math" w:cs="Times New Roman"/>
                <w:sz w:val="24"/>
                <w:szCs w:val="24"/>
              </w:rPr>
              <m:t>+</m:t>
            </m:r>
          </m:sup>
        </m:sSup>
        <m:r>
          <w:rPr>
            <w:rFonts w:ascii="Cambria Math" w:eastAsia="Times New Roman" w:hAnsi="Cambria Math" w:cs="Times New Roman"/>
            <w:sz w:val="24"/>
            <w:szCs w:val="24"/>
          </w:rPr>
          <m:t xml:space="preserve"> </m:t>
        </m:r>
      </m:oMath>
      <w:r>
        <w:rPr>
          <w:rFonts w:ascii="Times New Roman" w:eastAsia="Times New Roman" w:hAnsi="Times New Roman" w:cs="Times New Roman"/>
          <w:sz w:val="24"/>
          <w:szCs w:val="24"/>
        </w:rPr>
        <w:t xml:space="preserve">intermediate spin state, which accounts for their equal onset potential. </w:t>
      </w:r>
      <m:oMath>
        <m:r>
          <w:rPr>
            <w:rFonts w:ascii="Cambria Math" w:eastAsia="Cambria Math" w:hAnsi="Cambria Math" w:cs="Cambria Math"/>
            <w:sz w:val="24"/>
            <w:szCs w:val="24"/>
          </w:rPr>
          <m:t>CaCo</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O</m:t>
            </m:r>
          </m:e>
          <m:sub>
            <m:r>
              <w:rPr>
                <w:rFonts w:ascii="Cambria Math" w:eastAsia="Cambria Math" w:hAnsi="Cambria Math" w:cs="Cambria Math"/>
                <w:sz w:val="24"/>
                <w:szCs w:val="24"/>
              </w:rPr>
              <m:t>3</m:t>
            </m:r>
          </m:sub>
        </m:sSub>
      </m:oMath>
      <w:r>
        <w:rPr>
          <w:rFonts w:ascii="Times New Roman" w:eastAsia="Times New Roman" w:hAnsi="Times New Roman" w:cs="Times New Roman"/>
          <w:sz w:val="24"/>
          <w:szCs w:val="24"/>
        </w:rPr>
        <w:t xml:space="preserve"> Has superior electrochemical activity and stability for the OER than </w:t>
      </w:r>
      <m:oMath>
        <m:r>
          <w:rPr>
            <w:rFonts w:ascii="Cambria Math" w:eastAsia="Cambria Math" w:hAnsi="Cambria Math" w:cs="Cambria Math"/>
            <w:sz w:val="24"/>
            <w:szCs w:val="24"/>
          </w:rPr>
          <m:t>SrCo</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O</m:t>
            </m:r>
          </m:e>
          <m:sub>
            <m:r>
              <w:rPr>
                <w:rFonts w:ascii="Cambria Math" w:eastAsia="Cambria Math" w:hAnsi="Cambria Math" w:cs="Cambria Math"/>
                <w:sz w:val="24"/>
                <w:szCs w:val="24"/>
              </w:rPr>
              <m:t>3</m:t>
            </m:r>
          </m:sub>
        </m:sSub>
      </m:oMath>
      <w:r>
        <w:rPr>
          <w:rFonts w:ascii="Times New Roman" w:eastAsia="Times New Roman" w:hAnsi="Times New Roman" w:cs="Times New Roman"/>
          <w:sz w:val="24"/>
          <w:szCs w:val="24"/>
        </w:rPr>
        <w:t xml:space="preserve"> due to its lower lattice constant and shorter surface oxygen separation. The rate determining step (RDS) for the OER was thought to be the generation of surface peroxide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O</m:t>
            </m:r>
          </m:e>
          <m:sub>
            <m:r>
              <w:rPr>
                <w:rFonts w:ascii="Cambria Math" w:eastAsia="Cambria Math" w:hAnsi="Cambria Math" w:cs="Cambria Math"/>
                <w:sz w:val="24"/>
                <w:szCs w:val="24"/>
              </w:rPr>
              <m:t>2</m:t>
            </m:r>
          </m:sub>
        </m:sSub>
      </m:oMath>
      <w:r>
        <w:rPr>
          <w:rFonts w:ascii="Times New Roman" w:eastAsia="Times New Roman" w:hAnsi="Times New Roman" w:cs="Times New Roman"/>
          <w:sz w:val="24"/>
          <w:szCs w:val="24"/>
        </w:rPr>
        <w:t>) 2 intermediate. Due to their various electronic structures and significant synergistic effects, double perovskite oxide catalysts, often with the formula</w:t>
      </w:r>
      <m:oMath>
        <m:r>
          <w:rPr>
            <w:rFonts w:ascii="Cambria Math" w:eastAsia="Cambria Math" w:hAnsi="Cambria Math" w:cs="Cambria Math"/>
            <w:sz w:val="24"/>
            <w:szCs w:val="24"/>
          </w:rPr>
          <m:t>AA'BB'</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O</m:t>
            </m:r>
          </m:e>
          <m:sub>
            <m:r>
              <w:rPr>
                <w:rFonts w:ascii="Cambria Math" w:eastAsia="Cambria Math" w:hAnsi="Cambria Math" w:cs="Cambria Math"/>
                <w:sz w:val="24"/>
                <w:szCs w:val="24"/>
              </w:rPr>
              <m:t>6</m:t>
            </m:r>
          </m:sub>
        </m:sSub>
      </m:oMath>
      <w:r>
        <w:rPr>
          <w:rFonts w:ascii="Times New Roman" w:eastAsia="Times New Roman" w:hAnsi="Times New Roman" w:cs="Times New Roman"/>
          <w:sz w:val="24"/>
          <w:szCs w:val="24"/>
        </w:rPr>
        <w:t xml:space="preserve">, demonstrate outstanding catalytic activity for OER. Wang et al. used a sol-gel method to create double </w:t>
      </w:r>
      <w:proofErr w:type="gramStart"/>
      <w:r>
        <w:rPr>
          <w:rFonts w:ascii="Times New Roman" w:eastAsia="Times New Roman" w:hAnsi="Times New Roman" w:cs="Times New Roman"/>
          <w:sz w:val="24"/>
          <w:szCs w:val="24"/>
        </w:rPr>
        <w:t xml:space="preserve">perovskite </w:t>
      </w:r>
      <m:oMath>
        <m:r>
          <w:rPr>
            <w:rFonts w:ascii="Cambria Math" w:eastAsia="Cambria Math" w:hAnsi="Cambria Math" w:cs="Cambria Math"/>
            <w:sz w:val="24"/>
            <w:szCs w:val="24"/>
          </w:rPr>
          <m:t/>
        </m:r>
        <w:proofErr w:type="gramEnd"/>
        <m:r>
          <w:rPr>
            <w:rFonts w:ascii="Cambria Math" w:eastAsia="Cambria Math" w:hAnsi="Cambria Math" w:cs="Cambria Math"/>
            <w:sz w:val="24"/>
            <w:szCs w:val="24"/>
          </w:rPr>
          <m:t>aFexNi1x</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O</m:t>
            </m:r>
          </m:e>
          <m:sub>
            <m:r>
              <w:rPr>
                <w:rFonts w:ascii="Cambria Math" w:eastAsia="Cambria Math" w:hAnsi="Cambria Math" w:cs="Cambria Math"/>
                <w:sz w:val="24"/>
                <w:szCs w:val="24"/>
              </w:rPr>
              <m:t>3</m:t>
            </m:r>
          </m:sub>
        </m:sSub>
      </m:oMath>
      <w:r>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(LFNO</m:t>
        </m:r>
      </m:oMath>
      <w:r>
        <w:rPr>
          <w:rFonts w:ascii="Times New Roman" w:eastAsia="Times New Roman" w:hAnsi="Times New Roman" w:cs="Times New Roman"/>
          <w:sz w:val="24"/>
          <w:szCs w:val="24"/>
        </w:rPr>
        <w:t xml:space="preserve">) nanorods.[Chen et al.] The broadened electrochemical performance produced by the catalyst is a consequence of its increased surface area, optimized electronic structure, and strong interaction between Ni and lattice oxygen. A low over potential of 302 mV at 10 mA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cm</m:t>
            </m:r>
          </m:e>
          <m:sup>
            <m:r>
              <w:rPr>
                <w:rFonts w:ascii="Cambria Math" w:eastAsia="Times New Roman" w:hAnsi="Cambria Math" w:cs="Times New Roman"/>
                <w:sz w:val="24"/>
                <w:szCs w:val="24"/>
              </w:rPr>
              <m:t>-2</m:t>
            </m:r>
          </m:sup>
        </m:sSup>
      </m:oMath>
      <w:r>
        <w:rPr>
          <w:rFonts w:ascii="Times New Roman" w:eastAsia="Times New Roman" w:hAnsi="Times New Roman" w:cs="Times New Roman"/>
          <w:sz w:val="24"/>
          <w:szCs w:val="24"/>
        </w:rPr>
        <w:t xml:space="preserve"> and a 20-hour stability performance with zero current decay were obtained by changing the </w:t>
      </w:r>
      <m:oMath>
        <m:r>
          <w:rPr>
            <w:rFonts w:ascii="Cambria Math" w:eastAsia="Times New Roman" w:hAnsi="Cambria Math" w:cs="Times New Roman"/>
            <w:sz w:val="24"/>
            <w:szCs w:val="24"/>
          </w:rPr>
          <m:t>Ni/Fe</m:t>
        </m:r>
      </m:oMath>
      <w:r>
        <w:rPr>
          <w:rFonts w:ascii="Times New Roman" w:eastAsia="Times New Roman" w:hAnsi="Times New Roman" w:cs="Times New Roman"/>
          <w:sz w:val="24"/>
          <w:szCs w:val="24"/>
        </w:rPr>
        <w:t xml:space="preserve"> ratio in the </w:t>
      </w:r>
      <w:proofErr w:type="spellStart"/>
      <w:r>
        <w:rPr>
          <w:rFonts w:ascii="Times New Roman" w:eastAsia="Times New Roman" w:hAnsi="Times New Roman" w:cs="Times New Roman"/>
          <w:sz w:val="24"/>
          <w:szCs w:val="24"/>
        </w:rPr>
        <w:t>perovskite</w:t>
      </w:r>
      <w:proofErr w:type="spellEnd"/>
      <w:r>
        <w:rPr>
          <w:rFonts w:ascii="Times New Roman" w:eastAsia="Times New Roman" w:hAnsi="Times New Roman" w:cs="Times New Roman"/>
          <w:sz w:val="24"/>
          <w:szCs w:val="24"/>
        </w:rPr>
        <w:t xml:space="preserve"> oxide catalysts.</w:t>
      </w:r>
    </w:p>
    <w:p w:rsidR="000B3F18" w:rsidRDefault="00657200" w:rsidP="00D41AB9">
      <w:pPr>
        <w:ind w:left="851" w:right="559" w:firstLine="720"/>
        <w:jc w:val="both"/>
        <w:rPr>
          <w:rFonts w:ascii="Times New Roman" w:eastAsia="Times New Roman" w:hAnsi="Times New Roman" w:cs="Times New Roman"/>
          <w:sz w:val="24"/>
          <w:szCs w:val="24"/>
        </w:rPr>
      </w:pPr>
      <w:r>
        <w:rPr>
          <w:noProof/>
        </w:rPr>
        <w:drawing>
          <wp:anchor distT="0" distB="0" distL="114300" distR="114300" simplePos="0" relativeHeight="251659264" behindDoc="0" locked="0" layoutInCell="1" hidden="0" allowOverlap="1" wp14:anchorId="137732A9" wp14:editId="5EDF4C11">
            <wp:simplePos x="0" y="0"/>
            <wp:positionH relativeFrom="column">
              <wp:posOffset>1541145</wp:posOffset>
            </wp:positionH>
            <wp:positionV relativeFrom="paragraph">
              <wp:posOffset>263525</wp:posOffset>
            </wp:positionV>
            <wp:extent cx="3562350" cy="2458085"/>
            <wp:effectExtent l="0" t="0" r="0" b="0"/>
            <wp:wrapSquare wrapText="bothSides" distT="0" distB="0" distL="114300" distR="114300"/>
            <wp:docPr id="3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l="32081" t="27558" r="33408" b="18946"/>
                    <a:stretch>
                      <a:fillRect/>
                    </a:stretch>
                  </pic:blipFill>
                  <pic:spPr>
                    <a:xfrm>
                      <a:off x="0" y="0"/>
                      <a:ext cx="3562350" cy="2458085"/>
                    </a:xfrm>
                    <a:prstGeom prst="rect">
                      <a:avLst/>
                    </a:prstGeom>
                    <a:ln/>
                  </pic:spPr>
                </pic:pic>
              </a:graphicData>
            </a:graphic>
            <wp14:sizeRelH relativeFrom="margin">
              <wp14:pctWidth>0</wp14:pctWidth>
            </wp14:sizeRelH>
            <wp14:sizeRelV relativeFrom="margin">
              <wp14:pctHeight>0</wp14:pctHeight>
            </wp14:sizeRelV>
          </wp:anchor>
        </w:drawing>
      </w:r>
    </w:p>
    <w:p w:rsidR="000B3F18" w:rsidRDefault="000B3F18" w:rsidP="00D41AB9">
      <w:pPr>
        <w:ind w:left="851" w:right="559" w:firstLine="720"/>
        <w:jc w:val="both"/>
        <w:rPr>
          <w:rFonts w:ascii="Times New Roman" w:eastAsia="Times New Roman" w:hAnsi="Times New Roman" w:cs="Times New Roman"/>
        </w:rPr>
      </w:pPr>
    </w:p>
    <w:p w:rsidR="000B3F18" w:rsidRDefault="000B3F18" w:rsidP="00D41AB9">
      <w:pPr>
        <w:ind w:left="851" w:right="559" w:firstLine="720"/>
        <w:jc w:val="both"/>
        <w:rPr>
          <w:rFonts w:ascii="Times New Roman" w:eastAsia="Times New Roman" w:hAnsi="Times New Roman" w:cs="Times New Roman"/>
          <w:sz w:val="24"/>
          <w:szCs w:val="24"/>
        </w:rPr>
      </w:pPr>
    </w:p>
    <w:p w:rsidR="000B3F18" w:rsidRDefault="000B3F18" w:rsidP="00D41AB9">
      <w:pPr>
        <w:ind w:left="851" w:right="559" w:firstLine="720"/>
        <w:jc w:val="both"/>
        <w:rPr>
          <w:rFonts w:ascii="Times New Roman" w:eastAsia="Times New Roman" w:hAnsi="Times New Roman" w:cs="Times New Roman"/>
          <w:sz w:val="24"/>
          <w:szCs w:val="24"/>
        </w:rPr>
      </w:pPr>
    </w:p>
    <w:p w:rsidR="000B3F18" w:rsidRDefault="000B3F18" w:rsidP="00D41AB9">
      <w:pPr>
        <w:ind w:left="851" w:right="559" w:firstLine="720"/>
        <w:jc w:val="both"/>
        <w:rPr>
          <w:rFonts w:ascii="Times New Roman" w:eastAsia="Times New Roman" w:hAnsi="Times New Roman" w:cs="Times New Roman"/>
          <w:sz w:val="24"/>
          <w:szCs w:val="24"/>
        </w:rPr>
      </w:pPr>
    </w:p>
    <w:p w:rsidR="000B3F18" w:rsidRDefault="000B3F18" w:rsidP="00D41AB9">
      <w:pPr>
        <w:ind w:left="851" w:right="559" w:firstLine="720"/>
        <w:jc w:val="both"/>
        <w:rPr>
          <w:rFonts w:ascii="Times New Roman" w:eastAsia="Times New Roman" w:hAnsi="Times New Roman" w:cs="Times New Roman"/>
          <w:sz w:val="24"/>
          <w:szCs w:val="24"/>
        </w:rPr>
      </w:pPr>
    </w:p>
    <w:p w:rsidR="000B3F18" w:rsidRDefault="000B3F18" w:rsidP="00657200">
      <w:pPr>
        <w:ind w:right="559"/>
        <w:jc w:val="both"/>
        <w:rPr>
          <w:rFonts w:ascii="Times New Roman" w:eastAsia="Times New Roman" w:hAnsi="Times New Roman" w:cs="Times New Roman"/>
          <w:sz w:val="24"/>
          <w:szCs w:val="24"/>
        </w:rPr>
      </w:pPr>
    </w:p>
    <w:p w:rsidR="00657200" w:rsidRDefault="00657200" w:rsidP="00657200">
      <w:pPr>
        <w:ind w:right="559"/>
        <w:jc w:val="both"/>
        <w:rPr>
          <w:rFonts w:ascii="Times New Roman" w:eastAsia="Times New Roman" w:hAnsi="Times New Roman" w:cs="Times New Roman"/>
          <w:sz w:val="24"/>
          <w:szCs w:val="24"/>
        </w:rPr>
      </w:pPr>
    </w:p>
    <w:p w:rsidR="00BE6DFC" w:rsidRDefault="00BE6DFC" w:rsidP="00657200">
      <w:pPr>
        <w:ind w:right="559"/>
        <w:jc w:val="both"/>
        <w:rPr>
          <w:rFonts w:ascii="Times New Roman" w:eastAsia="Times New Roman" w:hAnsi="Times New Roman" w:cs="Times New Roman"/>
          <w:sz w:val="24"/>
          <w:szCs w:val="24"/>
        </w:rPr>
      </w:pPr>
    </w:p>
    <w:p w:rsidR="00BE6DFC" w:rsidRDefault="00BE6DFC" w:rsidP="00657200">
      <w:pPr>
        <w:ind w:right="559"/>
        <w:jc w:val="both"/>
        <w:rPr>
          <w:rFonts w:ascii="Times New Roman" w:eastAsia="Times New Roman" w:hAnsi="Times New Roman" w:cs="Times New Roman"/>
          <w:sz w:val="24"/>
          <w:szCs w:val="24"/>
        </w:rPr>
      </w:pPr>
    </w:p>
    <w:p w:rsidR="000B3F18" w:rsidRDefault="00D41AB9" w:rsidP="00657200">
      <w:pPr>
        <w:ind w:left="851" w:right="559"/>
        <w:jc w:val="both"/>
        <w:rPr>
          <w:rFonts w:ascii="Times New Roman" w:eastAsia="Times New Roman" w:hAnsi="Times New Roman" w:cs="Times New Roman"/>
        </w:rPr>
      </w:pPr>
      <w:proofErr w:type="gramStart"/>
      <w:r>
        <w:rPr>
          <w:rFonts w:ascii="Times New Roman" w:eastAsia="Times New Roman" w:hAnsi="Times New Roman" w:cs="Times New Roman"/>
        </w:rPr>
        <w:t>Fig.</w:t>
      </w:r>
      <w:proofErr w:type="gramEnd"/>
      <w:r>
        <w:rPr>
          <w:rFonts w:ascii="Times New Roman" w:eastAsia="Times New Roman" w:hAnsi="Times New Roman" w:cs="Times New Roman"/>
        </w:rPr>
        <w:t xml:space="preserve"> No</w:t>
      </w:r>
      <w:proofErr w:type="gramStart"/>
      <w:r>
        <w:rPr>
          <w:rFonts w:ascii="Times New Roman" w:eastAsia="Times New Roman" w:hAnsi="Times New Roman" w:cs="Times New Roman"/>
        </w:rPr>
        <w:t>:2</w:t>
      </w:r>
      <w:proofErr w:type="gramEnd"/>
      <w:r>
        <w:rPr>
          <w:rFonts w:ascii="Times New Roman" w:eastAsia="Times New Roman" w:hAnsi="Times New Roman" w:cs="Times New Roman"/>
        </w:rPr>
        <w:t>, A) A typical R-NCO TEM picture. A photograph of a necklace is shown in the inset in (A). B) Electro</w:t>
      </w:r>
      <w:r w:rsidR="00BE6DFC">
        <w:rPr>
          <w:rFonts w:ascii="Times New Roman" w:eastAsia="Times New Roman" w:hAnsi="Times New Roman" w:cs="Times New Roman"/>
        </w:rPr>
        <w:t xml:space="preserve"> </w:t>
      </w:r>
      <w:r>
        <w:rPr>
          <w:rFonts w:ascii="Times New Roman" w:eastAsia="Times New Roman" w:hAnsi="Times New Roman" w:cs="Times New Roman"/>
        </w:rPr>
        <w:t xml:space="preserve">catalyst OER polarization curves in 1.0 m KOH electrolyte. C) Energy diagrams of the OER on NCO </w:t>
      </w:r>
      <w:r w:rsidR="00BE6DFC">
        <w:rPr>
          <w:rFonts w:ascii="Times New Roman" w:eastAsia="Times New Roman" w:hAnsi="Times New Roman" w:cs="Times New Roman"/>
        </w:rPr>
        <w:t>and R-NCO at 1.23 V equilibrium</w:t>
      </w:r>
      <w:r>
        <w:rPr>
          <w:rFonts w:ascii="Times New Roman" w:eastAsia="Times New Roman" w:hAnsi="Times New Roman" w:cs="Times New Roman"/>
        </w:rPr>
        <w:t xml:space="preserve">. D) A typical TEM picture of a CoFe2O4/C </w:t>
      </w:r>
      <w:proofErr w:type="spellStart"/>
      <w:r>
        <w:rPr>
          <w:rFonts w:ascii="Times New Roman" w:eastAsia="Times New Roman" w:hAnsi="Times New Roman" w:cs="Times New Roman"/>
        </w:rPr>
        <w:t>nanorod</w:t>
      </w:r>
      <w:proofErr w:type="spellEnd"/>
      <w:r>
        <w:rPr>
          <w:rFonts w:ascii="Times New Roman" w:eastAsia="Times New Roman" w:hAnsi="Times New Roman" w:cs="Times New Roman"/>
        </w:rPr>
        <w:t xml:space="preserve">. E) Performance of several catalysts in 1.0 m KOH electrolyte in terms of OER. This image has been reproduced with permission. </w:t>
      </w:r>
      <w:proofErr w:type="gramStart"/>
      <w:r>
        <w:rPr>
          <w:rFonts w:ascii="Times New Roman" w:eastAsia="Times New Roman" w:hAnsi="Times New Roman" w:cs="Times New Roman"/>
        </w:rPr>
        <w:t>Wiley-VCH.</w:t>
      </w:r>
      <w:proofErr w:type="gramEnd"/>
      <w:r>
        <w:rPr>
          <w:rFonts w:ascii="Times New Roman" w:eastAsia="Times New Roman" w:hAnsi="Times New Roman" w:cs="Times New Roman"/>
        </w:rPr>
        <w:t xml:space="preserve"> All rights reserved. F) A typical TEM picture of Co3O4/Co-Fe oxide DSNBs. HAADF-STEM pictures of a single Co3O4/Co-Fe oxide DSNB. H) LSV curves of several catalysts in 1.0 m KOH electrolyte. </w:t>
      </w:r>
      <w:proofErr w:type="gramStart"/>
      <w:r>
        <w:rPr>
          <w:rFonts w:ascii="Times New Roman" w:eastAsia="Times New Roman" w:hAnsi="Times New Roman" w:cs="Times New Roman"/>
        </w:rPr>
        <w:t>Copyright 2018, Wiley-VCH.</w:t>
      </w:r>
      <w:proofErr w:type="gramEnd"/>
      <w:r>
        <w:rPr>
          <w:rFonts w:ascii="Times New Roman" w:eastAsia="Times New Roman" w:hAnsi="Times New Roman" w:cs="Times New Roman"/>
        </w:rPr>
        <w:t xml:space="preserve"> I) OER polarization curves of double </w:t>
      </w:r>
      <w:proofErr w:type="spellStart"/>
      <w:r>
        <w:rPr>
          <w:rFonts w:ascii="Times New Roman" w:eastAsia="Times New Roman" w:hAnsi="Times New Roman" w:cs="Times New Roman"/>
        </w:rPr>
        <w:t>perovskite</w:t>
      </w:r>
      <w:proofErr w:type="spellEnd"/>
      <w:r>
        <w:rPr>
          <w:rFonts w:ascii="Times New Roman" w:eastAsia="Times New Roman" w:hAnsi="Times New Roman" w:cs="Times New Roman"/>
        </w:rPr>
        <w:t xml:space="preserve"> LFNO catalysts in 1.0 m KOH electrolyte. </w:t>
      </w:r>
      <w:proofErr w:type="gramStart"/>
      <w:r>
        <w:rPr>
          <w:rFonts w:ascii="Times New Roman" w:eastAsia="Times New Roman" w:hAnsi="Times New Roman" w:cs="Times New Roman"/>
        </w:rPr>
        <w:t>Copyright 2019, Wiley-VCH.</w:t>
      </w:r>
      <w:proofErr w:type="gramEnd"/>
    </w:p>
    <w:p w:rsidR="00657200" w:rsidRDefault="00657200" w:rsidP="00657200">
      <w:pPr>
        <w:ind w:left="851" w:right="559"/>
        <w:jc w:val="both"/>
        <w:rPr>
          <w:rFonts w:ascii="Times New Roman" w:eastAsia="Times New Roman" w:hAnsi="Times New Roman" w:cs="Times New Roman"/>
        </w:rPr>
      </w:pPr>
    </w:p>
    <w:p w:rsidR="000B3F18" w:rsidRDefault="00D41AB9" w:rsidP="009B0E63">
      <w:pPr>
        <w:numPr>
          <w:ilvl w:val="0"/>
          <w:numId w:val="1"/>
        </w:numPr>
        <w:spacing w:after="0" w:line="240" w:lineRule="auto"/>
        <w:ind w:left="851" w:right="559"/>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Reaction mechanism for carbon based </w:t>
      </w:r>
      <w:r w:rsidR="00657200">
        <w:rPr>
          <w:rFonts w:ascii="Times New Roman" w:eastAsia="Times New Roman" w:hAnsi="Times New Roman" w:cs="Times New Roman"/>
          <w:b/>
          <w:color w:val="000000"/>
          <w:sz w:val="24"/>
          <w:szCs w:val="24"/>
        </w:rPr>
        <w:t>electro catalyst</w:t>
      </w:r>
      <w:r>
        <w:rPr>
          <w:rFonts w:ascii="Times New Roman" w:eastAsia="Times New Roman" w:hAnsi="Times New Roman" w:cs="Times New Roman"/>
          <w:b/>
          <w:color w:val="000000"/>
          <w:sz w:val="24"/>
          <w:szCs w:val="24"/>
        </w:rPr>
        <w:t xml:space="preserve"> for oxygen reduction reaction:</w:t>
      </w:r>
    </w:p>
    <w:p w:rsidR="000B3F18" w:rsidRDefault="00D41AB9" w:rsidP="009B0E63">
      <w:pPr>
        <w:spacing w:after="0" w:line="240" w:lineRule="auto"/>
        <w:ind w:left="851" w:right="559" w:firstLine="5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multitude of complicated processes are involved in the reaction mechanism for carbon-based </w:t>
      </w:r>
      <w:r w:rsidR="00657200">
        <w:rPr>
          <w:rFonts w:ascii="Times New Roman" w:eastAsia="Times New Roman" w:hAnsi="Times New Roman" w:cs="Times New Roman"/>
          <w:sz w:val="24"/>
          <w:szCs w:val="24"/>
        </w:rPr>
        <w:t>electro catalysts</w:t>
      </w:r>
      <w:r>
        <w:rPr>
          <w:rFonts w:ascii="Times New Roman" w:eastAsia="Times New Roman" w:hAnsi="Times New Roman" w:cs="Times New Roman"/>
          <w:sz w:val="24"/>
          <w:szCs w:val="24"/>
        </w:rPr>
        <w:t xml:space="preserve"> in the oxygen reduction reaction. Initially, </w:t>
      </w:r>
      <w:r w:rsidR="009B0E63">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oxygen molecule is adsorbed inside the catalyst surface and afterwards dissociated into two oxygen atoms. Adsorbed oxygen atoms react with water molecules to form hydroxyl </w:t>
      </w:r>
      <w:r>
        <w:rPr>
          <w:rFonts w:ascii="Times New Roman" w:eastAsia="Times New Roman" w:hAnsi="Times New Roman" w:cs="Times New Roman"/>
          <w:i/>
          <w:sz w:val="24"/>
          <w:szCs w:val="24"/>
        </w:rPr>
        <w:t>(</w:t>
      </w:r>
      <m:oMath>
        <m:r>
          <w:rPr>
            <w:rFonts w:ascii="Cambria Math" w:eastAsia="Cambria Math" w:hAnsi="Cambria Math" w:cs="Cambria Math"/>
            <w:sz w:val="24"/>
            <w:szCs w:val="24"/>
          </w:rPr>
          <m:t>OH</m:t>
        </m:r>
      </m:oMath>
      <w:r>
        <w:rPr>
          <w:rFonts w:ascii="Times New Roman" w:eastAsia="Times New Roman" w:hAnsi="Times New Roman" w:cs="Times New Roman"/>
          <w:i/>
          <w:sz w:val="24"/>
          <w:szCs w:val="24"/>
        </w:rPr>
        <w:t xml:space="preserve">) </w:t>
      </w:r>
      <w:r w:rsidR="00657200">
        <w:rPr>
          <w:rFonts w:ascii="Times New Roman" w:eastAsia="Times New Roman" w:hAnsi="Times New Roman" w:cs="Times New Roman"/>
          <w:sz w:val="24"/>
          <w:szCs w:val="24"/>
        </w:rPr>
        <w:t>species. The</w:t>
      </w:r>
      <w:r>
        <w:rPr>
          <w:rFonts w:ascii="Times New Roman" w:eastAsia="Times New Roman" w:hAnsi="Times New Roman" w:cs="Times New Roman"/>
          <w:sz w:val="24"/>
          <w:szCs w:val="24"/>
        </w:rPr>
        <w:t xml:space="preserve"> hydroxyl species subsequently undergo further reactions, such as the removal of one electron to generate water and the regeneration of active sites for future ORR cycles. Depending on the carbon-based catalyst relied on and the experimental </w:t>
      </w:r>
      <w:r w:rsidR="009B0E63">
        <w:rPr>
          <w:rFonts w:ascii="Times New Roman" w:eastAsia="Times New Roman" w:hAnsi="Times New Roman" w:cs="Times New Roman"/>
          <w:sz w:val="24"/>
          <w:szCs w:val="24"/>
        </w:rPr>
        <w:t>under</w:t>
      </w:r>
      <w:r>
        <w:rPr>
          <w:rFonts w:ascii="Times New Roman" w:eastAsia="Times New Roman" w:hAnsi="Times New Roman" w:cs="Times New Roman"/>
          <w:sz w:val="24"/>
          <w:szCs w:val="24"/>
        </w:rPr>
        <w:t xml:space="preserve"> certain circumstances, the precise mechanism and pathways may change. Several studies have proposed procedures for carbon-based ORR </w:t>
      </w:r>
      <w:r w:rsidR="00657200">
        <w:rPr>
          <w:rFonts w:ascii="Times New Roman" w:eastAsia="Times New Roman" w:hAnsi="Times New Roman" w:cs="Times New Roman"/>
          <w:sz w:val="24"/>
          <w:szCs w:val="24"/>
        </w:rPr>
        <w:t>electro catalysts</w:t>
      </w:r>
      <w:r>
        <w:rPr>
          <w:rFonts w:ascii="Times New Roman" w:eastAsia="Times New Roman" w:hAnsi="Times New Roman" w:cs="Times New Roman"/>
          <w:sz w:val="24"/>
          <w:szCs w:val="24"/>
        </w:rPr>
        <w:t xml:space="preserve">, including the four-electron transfer pathway or an amalgamation of two-electron and four-electron channels (Li et al.).The understanding of the detailed reaction mechanism is crucial for optimizing the performance and design of carbon-based </w:t>
      </w:r>
      <w:r w:rsidR="00657200">
        <w:rPr>
          <w:rFonts w:ascii="Times New Roman" w:eastAsia="Times New Roman" w:hAnsi="Times New Roman" w:cs="Times New Roman"/>
          <w:sz w:val="24"/>
          <w:szCs w:val="24"/>
        </w:rPr>
        <w:t>electro catalysts</w:t>
      </w:r>
      <w:r>
        <w:rPr>
          <w:rFonts w:ascii="Times New Roman" w:eastAsia="Times New Roman" w:hAnsi="Times New Roman" w:cs="Times New Roman"/>
          <w:sz w:val="24"/>
          <w:szCs w:val="24"/>
        </w:rPr>
        <w:t xml:space="preserve"> for efficient ORR applications.</w:t>
      </w:r>
    </w:p>
    <w:p w:rsidR="000B3F18" w:rsidRDefault="00D41AB9" w:rsidP="00D41AB9">
      <w:pPr>
        <w:spacing w:after="0" w:line="240" w:lineRule="auto"/>
        <w:ind w:left="851" w:right="559"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ORR on carbon-based </w:t>
      </w:r>
      <w:r w:rsidR="00657200">
        <w:rPr>
          <w:rFonts w:ascii="Times New Roman" w:eastAsia="Times New Roman" w:hAnsi="Times New Roman" w:cs="Times New Roman"/>
          <w:sz w:val="24"/>
          <w:szCs w:val="24"/>
        </w:rPr>
        <w:t>electro catalysts</w:t>
      </w:r>
      <w:r>
        <w:rPr>
          <w:rFonts w:ascii="Times New Roman" w:eastAsia="Times New Roman" w:hAnsi="Times New Roman" w:cs="Times New Roman"/>
          <w:sz w:val="24"/>
          <w:szCs w:val="24"/>
        </w:rPr>
        <w:t xml:space="preserve"> is a complicated reaction mechanism that is still being researched. According to one hypothesised process, oxygen molecules </w:t>
      </w:r>
      <m:oMath>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O</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first adsorb on the catalyst surface before dissociating into reactive oxygen species known as adsorbed atomic </w:t>
      </w:r>
      <w:r w:rsidR="009B0E63">
        <w:rPr>
          <w:rFonts w:ascii="Times New Roman" w:eastAsia="Times New Roman" w:hAnsi="Times New Roman" w:cs="Times New Roman"/>
          <w:sz w:val="24"/>
          <w:szCs w:val="24"/>
        </w:rPr>
        <w:t>oxygen</w:t>
      </w:r>
      <m:oMath>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O</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These </w:t>
      </w:r>
      <m:oMath>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O</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oMath>
      <w:r>
        <w:rPr>
          <w:rFonts w:ascii="Times New Roman" w:eastAsia="Times New Roman" w:hAnsi="Times New Roman" w:cs="Times New Roman"/>
          <w:sz w:val="24"/>
          <w:szCs w:val="24"/>
        </w:rPr>
        <w:t>species subsequently react with water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H</m:t>
            </m:r>
          </m:e>
          <m:sub>
            <m:r>
              <w:rPr>
                <w:rFonts w:ascii="Cambria Math" w:eastAsia="Cambria Math" w:hAnsi="Cambria Math" w:cs="Cambria Math"/>
                <w:sz w:val="24"/>
                <w:szCs w:val="24"/>
              </w:rPr>
              <m:t>2</m:t>
            </m:r>
          </m:sub>
        </m:sSub>
        <m:r>
          <w:rPr>
            <w:rFonts w:ascii="Cambria Math" w:eastAsia="Cambria Math" w:hAnsi="Cambria Math" w:cs="Cambria Math"/>
            <w:sz w:val="24"/>
            <w:szCs w:val="24"/>
          </w:rPr>
          <m:t>O</m:t>
        </m:r>
      </m:oMath>
      <w:r>
        <w:rPr>
          <w:rFonts w:ascii="Times New Roman" w:eastAsia="Times New Roman" w:hAnsi="Times New Roman" w:cs="Times New Roman"/>
          <w:sz w:val="24"/>
          <w:szCs w:val="24"/>
        </w:rPr>
        <w:t xml:space="preserve">) or other species, resulting in the creation of hydroxyl </w:t>
      </w:r>
      <m:oMath>
        <m:r>
          <w:rPr>
            <w:rFonts w:ascii="Cambria Math" w:eastAsia="Cambria Math" w:hAnsi="Cambria Math" w:cs="Cambria Math"/>
            <w:sz w:val="24"/>
            <w:szCs w:val="24"/>
          </w:rPr>
          <m:t>(OH)</m:t>
        </m:r>
      </m:oMath>
      <w:r>
        <w:rPr>
          <w:rFonts w:ascii="Times New Roman" w:eastAsia="Times New Roman" w:hAnsi="Times New Roman" w:cs="Times New Roman"/>
          <w:sz w:val="24"/>
          <w:szCs w:val="24"/>
        </w:rPr>
        <w:t xml:space="preserve"> species. The ORR mechanism's succeeding stages might vary based on parameters such as the surface chemistry, structure, and reaction circumstances of the catalyst. To describe the reduction of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O</m:t>
            </m:r>
          </m:e>
          <m:sub>
            <m:r>
              <w:rPr>
                <w:rFonts w:ascii="Cambria Math" w:eastAsia="Cambria Math" w:hAnsi="Cambria Math" w:cs="Cambria Math"/>
                <w:sz w:val="24"/>
                <w:szCs w:val="24"/>
              </w:rPr>
              <m:t>2</m:t>
            </m:r>
          </m:sub>
        </m:sSub>
      </m:oMath>
      <w:r>
        <w:rPr>
          <w:rFonts w:ascii="Times New Roman" w:eastAsia="Times New Roman" w:hAnsi="Times New Roman" w:cs="Times New Roman"/>
          <w:sz w:val="24"/>
          <w:szCs w:val="24"/>
        </w:rPr>
        <w:t xml:space="preserve"> to water, many paths have been proposed, comprises the four-electron transfer path and the combination of two and four-electron channels.The precise mechanism and rate-determining mechanisms remain under investigation, and advanced approaches like as in-situ spectroscopy and theoretical </w:t>
      </w:r>
      <w:r w:rsidR="00657200">
        <w:rPr>
          <w:rFonts w:ascii="Times New Roman" w:eastAsia="Times New Roman" w:hAnsi="Times New Roman" w:cs="Times New Roman"/>
          <w:sz w:val="24"/>
          <w:szCs w:val="24"/>
        </w:rPr>
        <w:t>modelling</w:t>
      </w:r>
      <w:r>
        <w:rPr>
          <w:rFonts w:ascii="Times New Roman" w:eastAsia="Times New Roman" w:hAnsi="Times New Roman" w:cs="Times New Roman"/>
          <w:sz w:val="24"/>
          <w:szCs w:val="24"/>
        </w:rPr>
        <w:t xml:space="preserve"> are being employed to acquire new insights into the ORR mechanism on carbon-based </w:t>
      </w:r>
      <w:r w:rsidR="00657200">
        <w:rPr>
          <w:rFonts w:ascii="Times New Roman" w:eastAsia="Times New Roman" w:hAnsi="Times New Roman" w:cs="Times New Roman"/>
          <w:sz w:val="24"/>
          <w:szCs w:val="24"/>
        </w:rPr>
        <w:t>electro catalysts</w:t>
      </w:r>
      <w:r>
        <w:rPr>
          <w:rFonts w:ascii="Times New Roman" w:eastAsia="Times New Roman" w:hAnsi="Times New Roman" w:cs="Times New Roman"/>
          <w:sz w:val="24"/>
          <w:szCs w:val="24"/>
        </w:rPr>
        <w:t xml:space="preserve"> (Wang et al.). Understanding the reaction mechanism thoroughly proves essential for developing improved carbon-based </w:t>
      </w:r>
      <w:r w:rsidR="00657200">
        <w:rPr>
          <w:rFonts w:ascii="Times New Roman" w:eastAsia="Times New Roman" w:hAnsi="Times New Roman" w:cs="Times New Roman"/>
          <w:sz w:val="24"/>
          <w:szCs w:val="24"/>
        </w:rPr>
        <w:t>electro catalysts</w:t>
      </w:r>
      <w:r>
        <w:rPr>
          <w:rFonts w:ascii="Times New Roman" w:eastAsia="Times New Roman" w:hAnsi="Times New Roman" w:cs="Times New Roman"/>
          <w:sz w:val="24"/>
          <w:szCs w:val="24"/>
        </w:rPr>
        <w:t xml:space="preserve"> to facilitate successful ORR applications.</w:t>
      </w:r>
    </w:p>
    <w:p w:rsidR="009B0E63" w:rsidRDefault="009B0E63" w:rsidP="00D41AB9">
      <w:pPr>
        <w:spacing w:after="0" w:line="240" w:lineRule="auto"/>
        <w:ind w:left="851" w:right="559" w:firstLine="720"/>
        <w:jc w:val="both"/>
        <w:rPr>
          <w:rFonts w:ascii="Times New Roman" w:eastAsia="Times New Roman" w:hAnsi="Times New Roman" w:cs="Times New Roman"/>
          <w:sz w:val="24"/>
          <w:szCs w:val="24"/>
        </w:rPr>
      </w:pPr>
    </w:p>
    <w:p w:rsidR="000B3F18" w:rsidRDefault="00D41AB9" w:rsidP="00D41AB9">
      <w:pPr>
        <w:pBdr>
          <w:top w:val="nil"/>
          <w:left w:val="nil"/>
          <w:bottom w:val="nil"/>
          <w:right w:val="nil"/>
          <w:between w:val="nil"/>
        </w:pBdr>
        <w:spacing w:after="0" w:line="360" w:lineRule="auto"/>
        <w:ind w:left="851" w:right="55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3.1 Fundamental concept of ORR:</w:t>
      </w:r>
    </w:p>
    <w:p w:rsidR="000B3F18" w:rsidRDefault="00D41AB9" w:rsidP="00657200">
      <w:pPr>
        <w:pBdr>
          <w:top w:val="nil"/>
          <w:left w:val="nil"/>
          <w:bottom w:val="nil"/>
          <w:right w:val="nil"/>
          <w:between w:val="nil"/>
        </w:pBdr>
        <w:spacing w:after="0" w:line="240" w:lineRule="auto"/>
        <w:ind w:left="851" w:right="55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 ORR is the most well-known and significant reaction in biological respiration and energy-converting devices such as fuel cells and metal-air batteries. The two-electron channel from oxygen to peroxide composed of hydrogen opposed to the direct four-electron pathway from oxygen to water</w:t>
      </w:r>
      <w:r>
        <w:rPr>
          <w:rFonts w:ascii="Times New Roman" w:eastAsia="Times New Roman" w:hAnsi="Times New Roman" w:cs="Times New Roman"/>
          <w:color w:val="000000"/>
          <w:sz w:val="24"/>
          <w:szCs w:val="24"/>
        </w:rPr>
        <w:t xml:space="preserv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(H</m:t>
            </m:r>
          </m:e>
          <m:sub>
            <m:r>
              <w:rPr>
                <w:rFonts w:ascii="Cambria Math" w:eastAsia="Cambria Math" w:hAnsi="Cambria Math" w:cs="Cambria Math"/>
                <w:color w:val="000000"/>
                <w:sz w:val="24"/>
                <w:szCs w:val="24"/>
              </w:rPr>
              <m:t>2</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O</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are the two main mechanisms through which ORR in aqueous solutions occurs (Xing et. al.). ORR occurs when oxygen molecules are reduced at the cathode. This reaction consumes electrons and frequently involves proton (</w:t>
      </w:r>
      <m:oMath>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H</m:t>
            </m:r>
          </m:e>
          <m:sup>
            <m:r>
              <w:rPr>
                <w:rFonts w:ascii="Cambria Math" w:eastAsia="Cambria Math" w:hAnsi="Cambria Math" w:cs="Cambria Math"/>
                <w:color w:val="000000"/>
                <w:sz w:val="24"/>
                <w:szCs w:val="24"/>
              </w:rPr>
              <m:t>+</m:t>
            </m:r>
          </m:sup>
        </m:sSup>
      </m:oMath>
      <w:r>
        <w:rPr>
          <w:rFonts w:ascii="Times New Roman" w:eastAsia="Times New Roman" w:hAnsi="Times New Roman" w:cs="Times New Roman"/>
          <w:color w:val="000000"/>
          <w:sz w:val="24"/>
          <w:szCs w:val="24"/>
        </w:rPr>
        <w:t>) or hydroxide (</w:t>
      </w:r>
      <m:oMath>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OH</m:t>
            </m:r>
          </m:e>
          <m:sup>
            <m:r>
              <w:rPr>
                <w:rFonts w:ascii="Cambria Math" w:eastAsia="Cambria Math" w:hAnsi="Cambria Math" w:cs="Cambria Math"/>
                <w:color w:val="000000"/>
                <w:sz w:val="24"/>
                <w:szCs w:val="24"/>
              </w:rPr>
              <m:t>-</m:t>
            </m:r>
          </m:sup>
        </m:sSup>
      </m:oMath>
      <w:r>
        <w:rPr>
          <w:rFonts w:ascii="Times New Roman" w:eastAsia="Times New Roman" w:hAnsi="Times New Roman" w:cs="Times New Roman"/>
          <w:color w:val="000000"/>
          <w:sz w:val="24"/>
          <w:szCs w:val="24"/>
        </w:rPr>
        <w:t>) transfer in various electrolyte environments. To increase the effectiveness and performance of electrochemical devices, the mechanism and kinetics of ORR have been extensively studied. A fundamental electrochemical reaction known as ORR takes place at the cathode in a variety of energy conversion technologies, including fuel cells and metal-air batteries (MAB). Through a number of intermediate reactions, oxygen molecules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O</m:t>
            </m:r>
          </m:e>
          <m:sub>
            <m:r>
              <w:rPr>
                <w:rFonts w:ascii="Cambria Math" w:eastAsia="Cambria Math" w:hAnsi="Cambria Math" w:cs="Cambria Math"/>
                <w:color w:val="000000"/>
                <w:sz w:val="24"/>
                <w:szCs w:val="24"/>
              </w:rPr>
              <m:t>2</m:t>
            </m:r>
          </m:sub>
        </m:sSub>
      </m:oMath>
      <w:r>
        <w:rPr>
          <w:rFonts w:ascii="Times New Roman" w:eastAsia="Times New Roman" w:hAnsi="Times New Roman" w:cs="Times New Roman"/>
          <w:color w:val="000000"/>
          <w:sz w:val="24"/>
          <w:szCs w:val="24"/>
        </w:rPr>
        <w:t>) are reduced to water molecules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H</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O)</m:t>
        </m:r>
      </m:oMath>
      <w:r>
        <w:rPr>
          <w:rFonts w:ascii="Times New Roman" w:eastAsia="Times New Roman" w:hAnsi="Times New Roman" w:cs="Times New Roman"/>
          <w:color w:val="000000"/>
          <w:sz w:val="24"/>
          <w:szCs w:val="24"/>
        </w:rPr>
        <w:t xml:space="preserve">. Researchers in the field have studied the kinetics and mechanism of the ORR in great detail. Li et al. investigated the ORR mechanism on a platinum-based catalyst in their study and proposed a reaction pathway that involved oxygen adsorption, the formation of oxygen intermediates, and the final reduction to water (Li et al.). The electrode material, electrolyte PH, temperature, and the presence of catalysts are some of the variables that affect the ORR rate. By lowering the energy barrier, catalysts play a critical role in accelerating the reaction rate. Platinum is frequently used as an ORR catalyst because of its high activity, as Zhang et </w:t>
      </w:r>
      <w:r w:rsidR="00657200">
        <w:rPr>
          <w:rFonts w:ascii="Times New Roman" w:eastAsia="Times New Roman" w:hAnsi="Times New Roman" w:cs="Times New Roman"/>
          <w:color w:val="000000"/>
          <w:sz w:val="24"/>
          <w:szCs w:val="24"/>
        </w:rPr>
        <w:t xml:space="preserve">AL </w:t>
      </w:r>
      <w:r w:rsidR="009B0E63">
        <w:rPr>
          <w:rFonts w:ascii="Times New Roman" w:eastAsia="Times New Roman" w:hAnsi="Times New Roman" w:cs="Times New Roman"/>
          <w:color w:val="000000"/>
          <w:sz w:val="24"/>
          <w:szCs w:val="24"/>
        </w:rPr>
        <w:t>research’s</w:t>
      </w:r>
      <w:r>
        <w:rPr>
          <w:rFonts w:ascii="Times New Roman" w:eastAsia="Times New Roman" w:hAnsi="Times New Roman" w:cs="Times New Roman"/>
          <w:color w:val="000000"/>
          <w:sz w:val="24"/>
          <w:szCs w:val="24"/>
        </w:rPr>
        <w:t xml:space="preserve"> has shown. Due to its scarcity and high price, research is being done on substitute catalysts made of non-precious metals or materials without metals (Chung et al.). The creation of effective energy conversion technology, which enables the generation of environmentally friendly electrical energy, depends on an understanding of the fundamentals of ORR. The transfer of electrons, which can take place via two-electron or four-electron pathways, is one of the main components of ORR.</w:t>
      </w: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D41AB9" w:rsidP="00D41AB9">
      <w:pPr>
        <w:pBdr>
          <w:top w:val="nil"/>
          <w:left w:val="nil"/>
          <w:bottom w:val="nil"/>
          <w:right w:val="nil"/>
          <w:between w:val="nil"/>
        </w:pBdr>
        <w:spacing w:after="0" w:line="360" w:lineRule="auto"/>
        <w:ind w:left="851" w:right="559"/>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
          <w:color w:val="000000"/>
          <w:sz w:val="24"/>
          <w:szCs w:val="24"/>
        </w:rPr>
        <w:t>3.1.1</w:t>
      </w:r>
      <w:r w:rsidR="009B0E63">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 xml:space="preserve"> Two Electron Pathway</w:t>
      </w:r>
      <w:proofErr w:type="gramEnd"/>
      <w:r>
        <w:rPr>
          <w:rFonts w:ascii="Times New Roman" w:eastAsia="Times New Roman" w:hAnsi="Times New Roman" w:cs="Times New Roman"/>
          <w:color w:val="000000"/>
          <w:sz w:val="24"/>
          <w:szCs w:val="24"/>
        </w:rPr>
        <w:t>:</w:t>
      </w:r>
    </w:p>
    <w:p w:rsidR="000B3F18" w:rsidRDefault="00D41AB9" w:rsidP="00D41AB9">
      <w:pPr>
        <w:pBdr>
          <w:top w:val="nil"/>
          <w:left w:val="nil"/>
          <w:bottom w:val="nil"/>
          <w:right w:val="nil"/>
          <w:between w:val="nil"/>
        </w:pBdr>
        <w:spacing w:after="0" w:line="240" w:lineRule="auto"/>
        <w:ind w:left="851" w:right="55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two-electron pathway, oxygen molecules are first reduced to hydrogen peroxide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(H</m:t>
            </m:r>
          </m:e>
          <m:sub>
            <m:r>
              <w:rPr>
                <w:rFonts w:ascii="Cambria Math" w:eastAsia="Cambria Math" w:hAnsi="Cambria Math" w:cs="Cambria Math"/>
                <w:color w:val="000000"/>
                <w:sz w:val="24"/>
                <w:szCs w:val="24"/>
              </w:rPr>
              <m:t>2</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O</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as an intermediate, and then further reduced to water. </w:t>
      </w: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b/>
          <w:color w:val="000000"/>
          <w:sz w:val="24"/>
          <w:szCs w:val="24"/>
          <w:vertAlign w:val="subscript"/>
        </w:rPr>
      </w:pPr>
    </w:p>
    <w:p w:rsidR="000B3F18" w:rsidRDefault="005E04DB" w:rsidP="00D41AB9">
      <w:pPr>
        <w:ind w:left="851" w:right="559"/>
        <w:jc w:val="center"/>
        <w:rPr>
          <w:rFonts w:ascii="Cambria Math" w:eastAsia="Cambria Math" w:hAnsi="Cambria Math" w:cs="Cambria Math"/>
          <w:color w:val="000000"/>
          <w:sz w:val="24"/>
          <w:szCs w:val="24"/>
          <w:vertAlign w:val="subscript"/>
        </w:rPr>
      </w:pPr>
      <m:oMathPara>
        <m:oMath>
          <m:sSub>
            <m:sSubPr>
              <m:ctrlPr>
                <w:rPr>
                  <w:rFonts w:ascii="Cambria Math" w:eastAsia="Cambria Math" w:hAnsi="Cambria Math" w:cs="Cambria Math"/>
                  <w:color w:val="000000"/>
                  <w:sz w:val="24"/>
                  <w:szCs w:val="24"/>
                  <w:vertAlign w:val="subscript"/>
                </w:rPr>
              </m:ctrlPr>
            </m:sSubPr>
            <m:e>
              <m:r>
                <w:rPr>
                  <w:rFonts w:ascii="Cambria Math" w:eastAsia="Cambria Math" w:hAnsi="Cambria Math" w:cs="Cambria Math"/>
                  <w:color w:val="000000"/>
                  <w:sz w:val="24"/>
                  <w:szCs w:val="24"/>
                  <w:vertAlign w:val="subscript"/>
                </w:rPr>
                <m:t>O</m:t>
              </m:r>
            </m:e>
            <m:sub>
              <m:r>
                <w:rPr>
                  <w:rFonts w:ascii="Cambria Math" w:eastAsia="Cambria Math" w:hAnsi="Cambria Math" w:cs="Cambria Math"/>
                  <w:color w:val="000000"/>
                  <w:sz w:val="24"/>
                  <w:szCs w:val="24"/>
                  <w:vertAlign w:val="subscript"/>
                </w:rPr>
                <m:t>2</m:t>
              </m:r>
            </m:sub>
          </m:sSub>
          <m:r>
            <w:rPr>
              <w:rFonts w:ascii="Cambria Math" w:eastAsia="Cambria Math" w:hAnsi="Cambria Math" w:cs="Cambria Math"/>
              <w:color w:val="000000"/>
              <w:sz w:val="24"/>
              <w:szCs w:val="24"/>
              <w:vertAlign w:val="subscript"/>
            </w:rPr>
            <m:t>+</m:t>
          </m:r>
          <m:sSup>
            <m:sSupPr>
              <m:ctrlPr>
                <w:rPr>
                  <w:rFonts w:ascii="Cambria Math" w:eastAsia="Cambria Math" w:hAnsi="Cambria Math" w:cs="Cambria Math"/>
                  <w:color w:val="000000"/>
                  <w:sz w:val="24"/>
                  <w:szCs w:val="24"/>
                  <w:vertAlign w:val="subscript"/>
                </w:rPr>
              </m:ctrlPr>
            </m:sSupPr>
            <m:e>
              <m:r>
                <w:rPr>
                  <w:rFonts w:ascii="Cambria Math" w:eastAsia="Cambria Math" w:hAnsi="Cambria Math" w:cs="Cambria Math"/>
                  <w:color w:val="000000"/>
                  <w:sz w:val="24"/>
                  <w:szCs w:val="24"/>
                  <w:vertAlign w:val="subscript"/>
                </w:rPr>
                <m:t>2H</m:t>
              </m:r>
            </m:e>
            <m:sup>
              <m:r>
                <w:rPr>
                  <w:rFonts w:ascii="Cambria Math" w:eastAsia="Cambria Math" w:hAnsi="Cambria Math" w:cs="Cambria Math"/>
                  <w:color w:val="000000"/>
                  <w:sz w:val="24"/>
                  <w:szCs w:val="24"/>
                  <w:vertAlign w:val="subscript"/>
                </w:rPr>
                <m:t>+</m:t>
              </m:r>
            </m:sup>
          </m:sSup>
          <m:r>
            <w:rPr>
              <w:rFonts w:ascii="Cambria Math" w:eastAsia="Cambria Math" w:hAnsi="Cambria Math" w:cs="Cambria Math"/>
              <w:color w:val="000000"/>
              <w:sz w:val="24"/>
              <w:szCs w:val="24"/>
              <w:vertAlign w:val="subscript"/>
            </w:rPr>
            <m:t>+</m:t>
          </m:r>
          <m:sSup>
            <m:sSupPr>
              <m:ctrlPr>
                <w:rPr>
                  <w:rFonts w:ascii="Cambria Math" w:eastAsia="Cambria Math" w:hAnsi="Cambria Math" w:cs="Cambria Math"/>
                  <w:color w:val="000000"/>
                  <w:sz w:val="24"/>
                  <w:szCs w:val="24"/>
                  <w:vertAlign w:val="subscript"/>
                </w:rPr>
              </m:ctrlPr>
            </m:sSupPr>
            <m:e>
              <m:r>
                <w:rPr>
                  <w:rFonts w:ascii="Cambria Math" w:eastAsia="Cambria Math" w:hAnsi="Cambria Math" w:cs="Cambria Math"/>
                  <w:color w:val="000000"/>
                  <w:sz w:val="24"/>
                  <w:szCs w:val="24"/>
                  <w:vertAlign w:val="subscript"/>
                </w:rPr>
                <m:t>2e</m:t>
              </m:r>
            </m:e>
            <m:sup>
              <m:r>
                <w:rPr>
                  <w:rFonts w:ascii="Cambria Math" w:eastAsia="Cambria Math" w:hAnsi="Cambria Math" w:cs="Cambria Math"/>
                  <w:color w:val="000000"/>
                  <w:sz w:val="24"/>
                  <w:szCs w:val="24"/>
                  <w:vertAlign w:val="subscript"/>
                </w:rPr>
                <m:t>-</m:t>
              </m:r>
            </m:sup>
          </m:sSup>
          <m:r>
            <w:rPr>
              <w:rFonts w:ascii="Cambria Math" w:eastAsia="Cambria Math" w:hAnsi="Cambria Math" w:cs="Cambria Math"/>
              <w:color w:val="000000"/>
              <w:sz w:val="24"/>
              <w:szCs w:val="24"/>
              <w:vertAlign w:val="subscript"/>
            </w:rPr>
            <m:t>→</m:t>
          </m:r>
          <m:sSub>
            <m:sSubPr>
              <m:ctrlPr>
                <w:rPr>
                  <w:rFonts w:ascii="Cambria Math" w:eastAsia="Cambria Math" w:hAnsi="Cambria Math" w:cs="Cambria Math"/>
                  <w:color w:val="000000"/>
                  <w:sz w:val="24"/>
                  <w:szCs w:val="24"/>
                  <w:vertAlign w:val="subscript"/>
                </w:rPr>
              </m:ctrlPr>
            </m:sSubPr>
            <m:e>
              <m:r>
                <w:rPr>
                  <w:rFonts w:ascii="Cambria Math" w:eastAsia="Cambria Math" w:hAnsi="Cambria Math" w:cs="Cambria Math"/>
                  <w:color w:val="000000"/>
                  <w:sz w:val="24"/>
                  <w:szCs w:val="24"/>
                  <w:vertAlign w:val="subscript"/>
                </w:rPr>
                <m:t>H</m:t>
              </m:r>
            </m:e>
            <m:sub>
              <m:r>
                <w:rPr>
                  <w:rFonts w:ascii="Cambria Math" w:eastAsia="Cambria Math" w:hAnsi="Cambria Math" w:cs="Cambria Math"/>
                  <w:color w:val="000000"/>
                  <w:sz w:val="24"/>
                  <w:szCs w:val="24"/>
                  <w:vertAlign w:val="subscript"/>
                </w:rPr>
                <m:t>2</m:t>
              </m:r>
            </m:sub>
          </m:sSub>
          <m:sSub>
            <m:sSubPr>
              <m:ctrlPr>
                <w:rPr>
                  <w:rFonts w:ascii="Cambria Math" w:eastAsia="Cambria Math" w:hAnsi="Cambria Math" w:cs="Cambria Math"/>
                  <w:color w:val="000000"/>
                  <w:sz w:val="24"/>
                  <w:szCs w:val="24"/>
                  <w:vertAlign w:val="subscript"/>
                </w:rPr>
              </m:ctrlPr>
            </m:sSubPr>
            <m:e>
              <m:r>
                <w:rPr>
                  <w:rFonts w:ascii="Cambria Math" w:eastAsia="Cambria Math" w:hAnsi="Cambria Math" w:cs="Cambria Math"/>
                  <w:color w:val="000000"/>
                  <w:sz w:val="24"/>
                  <w:szCs w:val="24"/>
                  <w:vertAlign w:val="subscript"/>
                </w:rPr>
                <m:t>O</m:t>
              </m:r>
            </m:e>
            <m:sub>
              <m:r>
                <w:rPr>
                  <w:rFonts w:ascii="Cambria Math" w:eastAsia="Cambria Math" w:hAnsi="Cambria Math" w:cs="Cambria Math"/>
                  <w:color w:val="000000"/>
                  <w:sz w:val="24"/>
                  <w:szCs w:val="24"/>
                  <w:vertAlign w:val="subscript"/>
                </w:rPr>
                <m:t>2</m:t>
              </m:r>
            </m:sub>
          </m:sSub>
        </m:oMath>
      </m:oMathPara>
    </w:p>
    <w:p w:rsidR="000B3F18" w:rsidRDefault="000B3F18" w:rsidP="00D41AB9">
      <w:pPr>
        <w:pBdr>
          <w:top w:val="nil"/>
          <w:left w:val="nil"/>
          <w:bottom w:val="nil"/>
          <w:right w:val="nil"/>
          <w:between w:val="nil"/>
        </w:pBdr>
        <w:spacing w:after="0" w:line="240" w:lineRule="auto"/>
        <w:ind w:left="851" w:right="559"/>
        <w:jc w:val="center"/>
        <w:rPr>
          <w:rFonts w:ascii="Calibri" w:eastAsia="Calibri" w:hAnsi="Calibri" w:cs="Calibri"/>
          <w:b/>
          <w:color w:val="000000"/>
          <w:sz w:val="24"/>
          <w:szCs w:val="24"/>
          <w:vertAlign w:val="subscript"/>
        </w:rPr>
      </w:pPr>
    </w:p>
    <w:p w:rsidR="000B3F18" w:rsidRDefault="00D41AB9" w:rsidP="00D41AB9">
      <w:pPr>
        <w:pBdr>
          <w:top w:val="nil"/>
          <w:left w:val="nil"/>
          <w:bottom w:val="nil"/>
          <w:right w:val="nil"/>
          <w:between w:val="nil"/>
        </w:pBdr>
        <w:spacing w:after="0" w:line="240" w:lineRule="auto"/>
        <w:ind w:left="851" w:right="55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pathway is commonly observed with non-precious metal catalysts. For example, Zhang et al. investigated the ORR on a nitrogen-doped </w:t>
      </w:r>
      <w:proofErr w:type="spellStart"/>
      <w:r>
        <w:rPr>
          <w:rFonts w:ascii="Times New Roman" w:eastAsia="Times New Roman" w:hAnsi="Times New Roman" w:cs="Times New Roman"/>
          <w:color w:val="000000"/>
          <w:sz w:val="24"/>
          <w:szCs w:val="24"/>
        </w:rPr>
        <w:t>graphene</w:t>
      </w:r>
      <w:proofErr w:type="spellEnd"/>
      <w:r>
        <w:rPr>
          <w:rFonts w:ascii="Times New Roman" w:eastAsia="Times New Roman" w:hAnsi="Times New Roman" w:cs="Times New Roman"/>
          <w:color w:val="000000"/>
          <w:sz w:val="24"/>
          <w:szCs w:val="24"/>
        </w:rPr>
        <w:t xml:space="preserve"> catalyst and demonstrated the formation of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(H</m:t>
            </m:r>
          </m:e>
          <m:sub>
            <m:r>
              <w:rPr>
                <w:rFonts w:ascii="Cambria Math" w:eastAsia="Cambria Math" w:hAnsi="Cambria Math" w:cs="Cambria Math"/>
                <w:color w:val="000000"/>
                <w:sz w:val="24"/>
                <w:szCs w:val="24"/>
              </w:rPr>
              <m:t>2</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O</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as an intermediate in the two-electron reduction pathway (Zhang et al.).</w:t>
      </w: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D41AB9" w:rsidP="00D41AB9">
      <w:pPr>
        <w:pBdr>
          <w:top w:val="nil"/>
          <w:left w:val="nil"/>
          <w:bottom w:val="nil"/>
          <w:right w:val="nil"/>
          <w:between w:val="nil"/>
        </w:pBdr>
        <w:spacing w:after="0" w:line="360" w:lineRule="auto"/>
        <w:ind w:left="851" w:right="559"/>
        <w:jc w:val="both"/>
        <w:rPr>
          <w:rFonts w:ascii="Times New Roman" w:eastAsia="Times New Roman" w:hAnsi="Times New Roman" w:cs="Times New Roman"/>
          <w:b/>
          <w:color w:val="000000"/>
          <w:sz w:val="24"/>
          <w:szCs w:val="24"/>
        </w:rPr>
      </w:pPr>
      <w:proofErr w:type="gramStart"/>
      <w:r>
        <w:rPr>
          <w:rFonts w:ascii="Times New Roman" w:eastAsia="Times New Roman" w:hAnsi="Times New Roman" w:cs="Times New Roman"/>
          <w:b/>
          <w:color w:val="000000"/>
          <w:sz w:val="24"/>
          <w:szCs w:val="24"/>
        </w:rPr>
        <w:t>3.1.2 Four Electron Pathway</w:t>
      </w:r>
      <w:proofErr w:type="gramEnd"/>
      <w:r>
        <w:rPr>
          <w:rFonts w:ascii="Times New Roman" w:eastAsia="Times New Roman" w:hAnsi="Times New Roman" w:cs="Times New Roman"/>
          <w:b/>
          <w:color w:val="000000"/>
          <w:sz w:val="24"/>
          <w:szCs w:val="24"/>
        </w:rPr>
        <w:t>:</w:t>
      </w:r>
    </w:p>
    <w:p w:rsidR="000B3F18" w:rsidRDefault="00D41AB9" w:rsidP="00D41AB9">
      <w:pPr>
        <w:pBdr>
          <w:top w:val="nil"/>
          <w:left w:val="nil"/>
          <w:bottom w:val="nil"/>
          <w:right w:val="nil"/>
          <w:between w:val="nil"/>
        </w:pBdr>
        <w:spacing w:after="0" w:line="240" w:lineRule="auto"/>
        <w:ind w:left="851" w:right="55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four-electron pathway involves the direct reduction of oxygen molecules to hydroxide ions (</w:t>
      </w:r>
      <m:oMath>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OH</m:t>
            </m:r>
          </m:e>
          <m:sup>
            <m:r>
              <w:rPr>
                <w:rFonts w:ascii="Cambria Math" w:eastAsia="Cambria Math" w:hAnsi="Cambria Math" w:cs="Cambria Math"/>
                <w:color w:val="000000"/>
                <w:sz w:val="24"/>
                <w:szCs w:val="24"/>
              </w:rPr>
              <m:t>-</m:t>
            </m:r>
          </m:sup>
        </m:sSup>
      </m:oMath>
      <w:r>
        <w:rPr>
          <w:rFonts w:ascii="Times New Roman" w:eastAsia="Times New Roman" w:hAnsi="Times New Roman" w:cs="Times New Roman"/>
          <w:color w:val="000000"/>
          <w:sz w:val="24"/>
          <w:szCs w:val="24"/>
        </w:rPr>
        <w:t xml:space="preserve">), bypassing the formation </w:t>
      </w:r>
      <w:r w:rsidR="009B0E63">
        <w:rPr>
          <w:rFonts w:ascii="Times New Roman" w:eastAsia="Times New Roman" w:hAnsi="Times New Roman" w:cs="Times New Roman"/>
          <w:color w:val="000000"/>
          <w:sz w:val="24"/>
          <w:szCs w:val="24"/>
        </w:rPr>
        <w:t>of</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(H</m:t>
            </m:r>
          </m:e>
          <m:sub>
            <m:r>
              <w:rPr>
                <w:rFonts w:ascii="Cambria Math" w:eastAsia="Cambria Math" w:hAnsi="Cambria Math" w:cs="Cambria Math"/>
                <w:color w:val="000000"/>
                <w:sz w:val="24"/>
                <w:szCs w:val="24"/>
              </w:rPr>
              <m:t>2</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O</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w:t>
      </w: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5E04DB" w:rsidP="00D41AB9">
      <w:pPr>
        <w:ind w:left="851" w:right="559"/>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O</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4H</m:t>
              </m:r>
            </m:e>
            <m:sup>
              <m:r>
                <w:rPr>
                  <w:rFonts w:ascii="Cambria Math" w:eastAsia="Cambria Math" w:hAnsi="Cambria Math" w:cs="Cambria Math"/>
                  <w:color w:val="000000"/>
                  <w:sz w:val="24"/>
                  <w:szCs w:val="24"/>
                </w:rPr>
                <m:t>+</m:t>
              </m:r>
            </m:sup>
          </m:sSup>
          <m:r>
            <w:rPr>
              <w:rFonts w:ascii="Cambria Math" w:eastAsia="Cambria Math" w:hAnsi="Cambria Math" w:cs="Cambria Math"/>
              <w:color w:val="000000"/>
              <w:sz w:val="24"/>
              <w:szCs w:val="24"/>
            </w:rPr>
            <m:t>+</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4e</m:t>
              </m:r>
            </m:e>
            <m:sup>
              <m:r>
                <w:rPr>
                  <w:rFonts w:ascii="Cambria Math" w:eastAsia="Cambria Math" w:hAnsi="Cambria Math" w:cs="Cambria Math"/>
                  <w:color w:val="000000"/>
                  <w:sz w:val="24"/>
                  <w:szCs w:val="24"/>
                </w:rPr>
                <m:t>-</m:t>
              </m:r>
            </m:sup>
          </m:sSup>
          <m:r>
            <w:rPr>
              <w:rFonts w:ascii="Cambria Math" w:eastAsia="Cambria Math" w:hAnsi="Cambria Math" w:cs="Cambria Math"/>
              <w:color w:val="000000"/>
              <w:sz w:val="24"/>
              <w:szCs w:val="24"/>
            </w:rPr>
            <m:t>→ 2</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H</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O</m:t>
          </m:r>
        </m:oMath>
      </m:oMathPara>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D41AB9" w:rsidP="00D41AB9">
      <w:pPr>
        <w:pBdr>
          <w:top w:val="nil"/>
          <w:left w:val="nil"/>
          <w:bottom w:val="nil"/>
          <w:right w:val="nil"/>
          <w:between w:val="nil"/>
        </w:pBdr>
        <w:spacing w:after="0" w:line="240" w:lineRule="auto"/>
        <w:ind w:left="851" w:right="55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pathway is typically associated with precious metal catalysts, such as platinum (</w:t>
      </w:r>
      <w:proofErr w:type="spellStart"/>
      <w:r>
        <w:rPr>
          <w:rFonts w:ascii="Times New Roman" w:eastAsia="Times New Roman" w:hAnsi="Times New Roman" w:cs="Times New Roman"/>
          <w:color w:val="000000"/>
          <w:sz w:val="24"/>
          <w:szCs w:val="24"/>
        </w:rPr>
        <w:t>Pt</w:t>
      </w:r>
      <w:proofErr w:type="spellEnd"/>
      <w:r>
        <w:rPr>
          <w:rFonts w:ascii="Times New Roman" w:eastAsia="Times New Roman" w:hAnsi="Times New Roman" w:cs="Times New Roman"/>
          <w:color w:val="000000"/>
          <w:sz w:val="24"/>
          <w:szCs w:val="24"/>
        </w:rPr>
        <w:t xml:space="preserve">). Li et al. conducted research on </w:t>
      </w:r>
      <w:proofErr w:type="spellStart"/>
      <w:r>
        <w:rPr>
          <w:rFonts w:ascii="Times New Roman" w:eastAsia="Times New Roman" w:hAnsi="Times New Roman" w:cs="Times New Roman"/>
          <w:color w:val="000000"/>
          <w:sz w:val="24"/>
          <w:szCs w:val="24"/>
        </w:rPr>
        <w:t>Pt</w:t>
      </w:r>
      <w:proofErr w:type="spellEnd"/>
      <w:r>
        <w:rPr>
          <w:rFonts w:ascii="Times New Roman" w:eastAsia="Times New Roman" w:hAnsi="Times New Roman" w:cs="Times New Roman"/>
          <w:color w:val="000000"/>
          <w:sz w:val="24"/>
          <w:szCs w:val="24"/>
        </w:rPr>
        <w:t>-based catalysts and revealed the direct formation of (</w:t>
      </w:r>
      <m:oMath>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OH</m:t>
            </m:r>
          </m:e>
          <m:sup>
            <m:r>
              <w:rPr>
                <w:rFonts w:ascii="Cambria Math" w:eastAsia="Cambria Math" w:hAnsi="Cambria Math" w:cs="Cambria Math"/>
                <w:color w:val="000000"/>
                <w:sz w:val="24"/>
                <w:szCs w:val="24"/>
              </w:rPr>
              <m:t>-</m:t>
            </m:r>
          </m:sup>
        </m:sSup>
      </m:oMath>
      <w:r w:rsidR="00657200">
        <w:rPr>
          <w:rFonts w:ascii="Times New Roman" w:eastAsia="Times New Roman" w:hAnsi="Times New Roman" w:cs="Times New Roman"/>
          <w:color w:val="000000"/>
          <w:sz w:val="24"/>
          <w:szCs w:val="24"/>
        </w:rPr>
        <w:t>) ions</w:t>
      </w:r>
      <w:r>
        <w:rPr>
          <w:rFonts w:ascii="Times New Roman" w:eastAsia="Times New Roman" w:hAnsi="Times New Roman" w:cs="Times New Roman"/>
          <w:color w:val="000000"/>
          <w:sz w:val="24"/>
          <w:szCs w:val="24"/>
        </w:rPr>
        <w:t xml:space="preserve"> in the four-electron reduction pathway (Li et al.).</w:t>
      </w: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b/>
          <w:color w:val="000000"/>
          <w:sz w:val="24"/>
          <w:szCs w:val="24"/>
        </w:rPr>
      </w:pPr>
    </w:p>
    <w:p w:rsidR="000B3F18" w:rsidRDefault="00D41AB9" w:rsidP="00D41AB9">
      <w:pPr>
        <w:pBdr>
          <w:top w:val="nil"/>
          <w:left w:val="nil"/>
          <w:bottom w:val="nil"/>
          <w:right w:val="nil"/>
          <w:between w:val="nil"/>
        </w:pBdr>
        <w:spacing w:after="0" w:line="360" w:lineRule="auto"/>
        <w:ind w:left="851" w:right="55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3.2 Alkaline Electrolyte:</w:t>
      </w:r>
    </w:p>
    <w:p w:rsidR="000B3F18" w:rsidRDefault="00D41AB9" w:rsidP="00D41AB9">
      <w:pPr>
        <w:pBdr>
          <w:top w:val="nil"/>
          <w:left w:val="nil"/>
          <w:bottom w:val="nil"/>
          <w:right w:val="nil"/>
          <w:between w:val="nil"/>
        </w:pBdr>
        <w:spacing w:after="0" w:line="240" w:lineRule="auto"/>
        <w:ind w:left="851" w:right="55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alkaline electrolyte ORR method refers to the electrochemical reduction of oxygen molecules in an alkaline electrolyte solution. It is a fundamental process that occurs at the cathode in alkaline fuel cells and other electrochemical devices. In this method, the ORR takes place in an alkaline electrolyte solution, typically using a hydroxide (</w:t>
      </w:r>
      <m:oMath>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OH</m:t>
            </m:r>
          </m:e>
          <m:sup>
            <m:r>
              <w:rPr>
                <w:rFonts w:ascii="Cambria Math" w:eastAsia="Cambria Math" w:hAnsi="Cambria Math" w:cs="Cambria Math"/>
                <w:color w:val="000000"/>
                <w:sz w:val="24"/>
                <w:szCs w:val="24"/>
              </w:rPr>
              <m:t>-</m:t>
            </m:r>
          </m:sup>
        </m:sSup>
      </m:oMath>
      <w:r>
        <w:rPr>
          <w:rFonts w:ascii="Times New Roman" w:eastAsia="Times New Roman" w:hAnsi="Times New Roman" w:cs="Times New Roman"/>
          <w:color w:val="000000"/>
          <w:sz w:val="24"/>
          <w:szCs w:val="24"/>
        </w:rPr>
        <w:t xml:space="preserve">) ion-conductive electrolyte. The reaction pathway involves the reduction of oxygen </w:t>
      </w:r>
      <w:proofErr w:type="gramStart"/>
      <w:r>
        <w:rPr>
          <w:rFonts w:ascii="Times New Roman" w:eastAsia="Times New Roman" w:hAnsi="Times New Roman" w:cs="Times New Roman"/>
          <w:color w:val="000000"/>
          <w:sz w:val="24"/>
          <w:szCs w:val="24"/>
        </w:rPr>
        <w:t xml:space="preserve">molecules </w:t>
      </w:r>
      <w:proofErr w:type="gramEnd"/>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(O</m:t>
            </m:r>
          </m:e>
          <m:sub>
            <m:r>
              <w:rPr>
                <w:rFonts w:ascii="Cambria Math" w:eastAsia="Cambria Math" w:hAnsi="Cambria Math" w:cs="Cambria Math"/>
                <w:color w:val="000000"/>
                <w:sz w:val="24"/>
                <w:szCs w:val="24"/>
              </w:rPr>
              <m:t>2</m:t>
            </m:r>
          </m:sub>
        </m:sSub>
      </m:oMath>
      <w:r>
        <w:rPr>
          <w:rFonts w:ascii="Times New Roman" w:eastAsia="Times New Roman" w:hAnsi="Times New Roman" w:cs="Times New Roman"/>
          <w:color w:val="000000"/>
          <w:sz w:val="24"/>
          <w:szCs w:val="24"/>
        </w:rPr>
        <w:t>) to hydroxide ions (</w:t>
      </w:r>
      <m:oMath>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OH</m:t>
            </m:r>
          </m:e>
          <m:sup>
            <m:r>
              <w:rPr>
                <w:rFonts w:ascii="Cambria Math" w:eastAsia="Cambria Math" w:hAnsi="Cambria Math" w:cs="Cambria Math"/>
                <w:color w:val="000000"/>
                <w:sz w:val="24"/>
                <w:szCs w:val="24"/>
              </w:rPr>
              <m:t>-</m:t>
            </m:r>
          </m:sup>
        </m:sSup>
      </m:oMath>
      <w:r>
        <w:rPr>
          <w:rFonts w:ascii="Times New Roman" w:eastAsia="Times New Roman" w:hAnsi="Times New Roman" w:cs="Times New Roman"/>
          <w:color w:val="000000"/>
          <w:sz w:val="24"/>
          <w:szCs w:val="24"/>
        </w:rPr>
        <w:t>)and water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H</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O)</m:t>
        </m:r>
      </m:oMath>
      <w:r>
        <w:rPr>
          <w:rFonts w:ascii="Times New Roman" w:eastAsia="Times New Roman" w:hAnsi="Times New Roman" w:cs="Times New Roman"/>
          <w:color w:val="000000"/>
          <w:sz w:val="24"/>
          <w:szCs w:val="24"/>
        </w:rPr>
        <w:t>.</w:t>
      </w: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5E04DB" w:rsidP="00D41AB9">
      <w:pPr>
        <w:ind w:left="851" w:right="559"/>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O</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+2</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H</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O+</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4e</m:t>
              </m:r>
            </m:e>
            <m:sup>
              <m:r>
                <w:rPr>
                  <w:rFonts w:ascii="Cambria Math" w:eastAsia="Cambria Math" w:hAnsi="Cambria Math" w:cs="Cambria Math"/>
                  <w:color w:val="000000"/>
                  <w:sz w:val="24"/>
                  <w:szCs w:val="24"/>
                </w:rPr>
                <m:t>-</m:t>
              </m:r>
            </m:sup>
          </m:sSup>
          <m:r>
            <w:rPr>
              <w:rFonts w:ascii="Cambria Math" w:eastAsia="Cambria Math" w:hAnsi="Cambria Math" w:cs="Cambria Math"/>
              <w:color w:val="000000"/>
              <w:sz w:val="24"/>
              <w:szCs w:val="24"/>
            </w:rPr>
            <m:t>→</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4OH</m:t>
              </m:r>
            </m:e>
            <m:sup>
              <m:r>
                <w:rPr>
                  <w:rFonts w:ascii="Cambria Math" w:eastAsia="Cambria Math" w:hAnsi="Cambria Math" w:cs="Cambria Math"/>
                  <w:color w:val="000000"/>
                  <w:sz w:val="24"/>
                  <w:szCs w:val="24"/>
                </w:rPr>
                <m:t>-</m:t>
              </m:r>
            </m:sup>
          </m:sSup>
        </m:oMath>
      </m:oMathPara>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b/>
          <w:color w:val="000000"/>
          <w:sz w:val="24"/>
          <w:szCs w:val="24"/>
        </w:rPr>
      </w:pPr>
    </w:p>
    <w:p w:rsidR="000B3F18" w:rsidRDefault="00D41AB9" w:rsidP="00D41AB9">
      <w:pPr>
        <w:pBdr>
          <w:top w:val="nil"/>
          <w:left w:val="nil"/>
          <w:bottom w:val="nil"/>
          <w:right w:val="nil"/>
          <w:between w:val="nil"/>
        </w:pBdr>
        <w:spacing w:after="0" w:line="240" w:lineRule="auto"/>
        <w:ind w:left="851" w:right="55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ORR pathway in alkaline media typically begins with the adsorption of oxygen molecules on the electrode surface, followed by the formation of different oxygen intermediates. One proposed reaction pathway involves the formation of superoxide (</w:t>
      </w:r>
      <m:oMath>
        <m:sSup>
          <m:sSupPr>
            <m:ctrlPr>
              <w:rPr>
                <w:rFonts w:ascii="Cambria Math" w:eastAsia="Cambria Math" w:hAnsi="Cambria Math" w:cs="Cambria Math"/>
                <w:color w:val="000000"/>
                <w:sz w:val="24"/>
                <w:szCs w:val="24"/>
              </w:rPr>
            </m:ctrlPr>
          </m:sSup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O</m:t>
                </m:r>
              </m:e>
              <m:sub>
                <m:r>
                  <w:rPr>
                    <w:rFonts w:ascii="Cambria Math" w:eastAsia="Cambria Math" w:hAnsi="Cambria Math" w:cs="Cambria Math"/>
                    <w:color w:val="000000"/>
                    <w:sz w:val="24"/>
                    <w:szCs w:val="24"/>
                  </w:rPr>
                  <m:t>2</m:t>
                </m:r>
              </m:sub>
            </m:sSub>
          </m:e>
          <m:sup>
            <m:r>
              <w:rPr>
                <w:rFonts w:ascii="Cambria Math" w:eastAsia="Cambria Math" w:hAnsi="Cambria Math" w:cs="Cambria Math"/>
                <w:color w:val="000000"/>
                <w:sz w:val="24"/>
                <w:szCs w:val="24"/>
              </w:rPr>
              <m:t>-</m:t>
            </m:r>
          </m:sup>
        </m:sSup>
      </m:oMath>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hydroperoxide</w:t>
      </w:r>
      <w:proofErr w:type="spellEnd"/>
      <w:r>
        <w:rPr>
          <w:rFonts w:ascii="Times New Roman" w:eastAsia="Times New Roman" w:hAnsi="Times New Roman" w:cs="Times New Roman"/>
          <w:color w:val="000000"/>
          <w:sz w:val="24"/>
          <w:szCs w:val="24"/>
        </w:rPr>
        <w:t xml:space="preserv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H</m:t>
            </m:r>
          </m:e>
          <m:sub>
            <m:r>
              <w:rPr>
                <w:rFonts w:ascii="Cambria Math" w:eastAsia="Cambria Math" w:hAnsi="Cambria Math" w:cs="Cambria Math"/>
                <w:color w:val="000000"/>
                <w:sz w:val="24"/>
                <w:szCs w:val="24"/>
              </w:rPr>
              <m:t>2</m:t>
            </m:r>
          </m:sub>
        </m:sSub>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O</m:t>
            </m:r>
          </m:e>
          <m:sup>
            <m:r>
              <w:rPr>
                <w:rFonts w:ascii="Cambria Math" w:eastAsia="Cambria Math" w:hAnsi="Cambria Math" w:cs="Cambria Math"/>
                <w:color w:val="000000"/>
                <w:sz w:val="24"/>
                <w:szCs w:val="24"/>
              </w:rPr>
              <m:t>-</m:t>
            </m:r>
          </m:sup>
        </m:sSup>
      </m:oMath>
      <w:r>
        <w:rPr>
          <w:rFonts w:ascii="Times New Roman" w:eastAsia="Times New Roman" w:hAnsi="Times New Roman" w:cs="Times New Roman"/>
          <w:color w:val="000000"/>
          <w:sz w:val="24"/>
          <w:szCs w:val="24"/>
        </w:rPr>
        <w:t xml:space="preserve">) intermediates. These intermediates subsequently undergo further reduction steps to produce hydroxide ions and water. </w:t>
      </w: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5E04DB" w:rsidP="00D41AB9">
      <w:pPr>
        <w:ind w:left="851" w:right="559"/>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O</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+2</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H</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O+</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2e</m:t>
              </m:r>
            </m:e>
            <m:sup>
              <m:r>
                <w:rPr>
                  <w:rFonts w:ascii="Cambria Math" w:eastAsia="Cambria Math" w:hAnsi="Cambria Math" w:cs="Cambria Math"/>
                  <w:color w:val="000000"/>
                  <w:sz w:val="24"/>
                  <w:szCs w:val="24"/>
                </w:rPr>
                <m:t>-</m:t>
              </m:r>
            </m:sup>
          </m:sSup>
          <m:r>
            <w:rPr>
              <w:rFonts w:ascii="Cambria Math" w:eastAsia="Cambria Math" w:hAnsi="Cambria Math" w:cs="Cambria Math"/>
              <w:color w:val="000000"/>
              <w:sz w:val="24"/>
              <w:szCs w:val="24"/>
            </w:rPr>
            <m:t xml:space="preserve">→ </m:t>
          </m:r>
          <m:sSubSup>
            <m:sSubSupPr>
              <m:ctrlPr>
                <w:rPr>
                  <w:rFonts w:ascii="Cambria Math" w:eastAsia="Cambria Math" w:hAnsi="Cambria Math" w:cs="Cambria Math"/>
                  <w:color w:val="000000"/>
                  <w:sz w:val="24"/>
                  <w:szCs w:val="24"/>
                </w:rPr>
              </m:ctrlPr>
            </m:sSubSupPr>
            <m:e>
              <m:r>
                <w:rPr>
                  <w:rFonts w:ascii="Cambria Math" w:eastAsia="Cambria Math" w:hAnsi="Cambria Math" w:cs="Cambria Math"/>
                  <w:color w:val="000000"/>
                  <w:sz w:val="24"/>
                  <w:szCs w:val="24"/>
                </w:rPr>
                <m:t>O</m:t>
              </m:r>
            </m:e>
            <m:sub>
              <m:r>
                <w:rPr>
                  <w:rFonts w:ascii="Cambria Math" w:eastAsia="Cambria Math" w:hAnsi="Cambria Math" w:cs="Cambria Math"/>
                  <w:color w:val="000000"/>
                  <w:sz w:val="24"/>
                  <w:szCs w:val="24"/>
                </w:rPr>
                <m:t>2</m:t>
              </m:r>
            </m:sub>
            <m:sup>
              <m:r>
                <w:rPr>
                  <w:rFonts w:ascii="Cambria Math" w:eastAsia="Cambria Math" w:hAnsi="Cambria Math" w:cs="Cambria Math"/>
                  <w:color w:val="000000"/>
                  <w:sz w:val="24"/>
                  <w:szCs w:val="24"/>
                </w:rPr>
                <m:t>-</m:t>
              </m:r>
            </m:sup>
          </m:sSubSup>
          <m:r>
            <w:rPr>
              <w:rFonts w:ascii="Cambria Math" w:eastAsia="Cambria Math" w:hAnsi="Cambria Math" w:cs="Cambria Math"/>
              <w:color w:val="000000"/>
              <w:sz w:val="24"/>
              <w:szCs w:val="24"/>
            </w:rPr>
            <m:t>+ 2</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OH</m:t>
              </m:r>
            </m:e>
            <m:sup>
              <m:r>
                <w:rPr>
                  <w:rFonts w:ascii="Cambria Math" w:eastAsia="Cambria Math" w:hAnsi="Cambria Math" w:cs="Cambria Math"/>
                  <w:color w:val="000000"/>
                  <w:sz w:val="24"/>
                  <w:szCs w:val="24"/>
                </w:rPr>
                <m:t>-</m:t>
              </m:r>
            </m:sup>
          </m:sSup>
        </m:oMath>
      </m:oMathPara>
    </w:p>
    <w:p w:rsidR="000B3F18" w:rsidRDefault="005E04DB" w:rsidP="00D41AB9">
      <w:pPr>
        <w:ind w:left="851" w:right="559"/>
        <w:jc w:val="center"/>
        <w:rPr>
          <w:rFonts w:ascii="Cambria Math" w:eastAsia="Cambria Math" w:hAnsi="Cambria Math" w:cs="Cambria Math"/>
          <w:color w:val="000000"/>
          <w:sz w:val="24"/>
          <w:szCs w:val="24"/>
        </w:rPr>
      </w:pPr>
      <m:oMathPara>
        <m:oMath>
          <m:sSubSup>
            <m:sSubSupPr>
              <m:ctrlPr>
                <w:rPr>
                  <w:rFonts w:ascii="Cambria Math" w:eastAsia="Cambria Math" w:hAnsi="Cambria Math" w:cs="Cambria Math"/>
                  <w:color w:val="000000"/>
                  <w:sz w:val="24"/>
                  <w:szCs w:val="24"/>
                </w:rPr>
              </m:ctrlPr>
            </m:sSubSupPr>
            <m:e>
              <m:r>
                <w:rPr>
                  <w:rFonts w:ascii="Cambria Math" w:eastAsia="Cambria Math" w:hAnsi="Cambria Math" w:cs="Cambria Math"/>
                  <w:color w:val="000000"/>
                  <w:sz w:val="24"/>
                  <w:szCs w:val="24"/>
                </w:rPr>
                <m:t>O</m:t>
              </m:r>
            </m:e>
            <m:sub>
              <m:r>
                <w:rPr>
                  <w:rFonts w:ascii="Cambria Math" w:eastAsia="Cambria Math" w:hAnsi="Cambria Math" w:cs="Cambria Math"/>
                  <w:color w:val="000000"/>
                  <w:sz w:val="24"/>
                  <w:szCs w:val="24"/>
                </w:rPr>
                <m:t>2</m:t>
              </m:r>
            </m:sub>
            <m:sup>
              <m:r>
                <w:rPr>
                  <w:rFonts w:ascii="Cambria Math" w:eastAsia="Cambria Math" w:hAnsi="Cambria Math" w:cs="Cambria Math"/>
                  <w:color w:val="000000"/>
                  <w:sz w:val="24"/>
                  <w:szCs w:val="24"/>
                </w:rPr>
                <m:t>-</m:t>
              </m:r>
            </m:sup>
          </m:sSubSup>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H</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O+2</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e</m:t>
              </m:r>
            </m:e>
            <m:sup>
              <m:r>
                <w:rPr>
                  <w:rFonts w:ascii="Cambria Math" w:eastAsia="Cambria Math" w:hAnsi="Cambria Math" w:cs="Cambria Math"/>
                  <w:color w:val="000000"/>
                  <w:sz w:val="24"/>
                  <w:szCs w:val="24"/>
                </w:rPr>
                <m:t>-</m:t>
              </m:r>
            </m:sup>
          </m:sSup>
          <m:r>
            <w:rPr>
              <w:rFonts w:ascii="Cambria Math" w:eastAsia="Cambria Math" w:hAnsi="Cambria Math" w:cs="Cambria Math"/>
              <w:color w:val="000000"/>
              <w:sz w:val="24"/>
              <w:szCs w:val="24"/>
            </w:rPr>
            <m:t>→ 2</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OH</m:t>
              </m:r>
            </m:e>
            <m:sup>
              <m:r>
                <w:rPr>
                  <w:rFonts w:ascii="Cambria Math" w:eastAsia="Cambria Math" w:hAnsi="Cambria Math" w:cs="Cambria Math"/>
                  <w:color w:val="000000"/>
                  <w:sz w:val="24"/>
                  <w:szCs w:val="24"/>
                </w:rPr>
                <m:t>-</m:t>
              </m:r>
            </m:sup>
          </m:sSup>
        </m:oMath>
      </m:oMathPara>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D41AB9"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 the other hand, the reduction of hydro peroxide can occur through the following reactions: </w:t>
      </w: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5E04DB" w:rsidP="00D41AB9">
      <w:pPr>
        <w:ind w:left="851" w:right="559"/>
        <w:jc w:val="center"/>
        <w:rPr>
          <w:rFonts w:ascii="Cambria Math" w:eastAsia="Cambria Math" w:hAnsi="Cambria Math" w:cs="Cambria Math"/>
          <w:color w:val="000000"/>
          <w:sz w:val="24"/>
          <w:szCs w:val="24"/>
          <w:vertAlign w:val="superscript"/>
        </w:rPr>
      </w:pPr>
      <m:oMathPara>
        <m:oMath>
          <m:sSub>
            <m:sSubPr>
              <m:ctrlPr>
                <w:rPr>
                  <w:rFonts w:ascii="Cambria Math" w:eastAsia="Cambria Math" w:hAnsi="Cambria Math" w:cs="Cambria Math"/>
                  <w:color w:val="000000"/>
                  <w:sz w:val="24"/>
                  <w:szCs w:val="24"/>
                  <w:vertAlign w:val="superscript"/>
                </w:rPr>
              </m:ctrlPr>
            </m:sSubPr>
            <m:e>
              <m:r>
                <w:rPr>
                  <w:rFonts w:ascii="Cambria Math" w:eastAsia="Cambria Math" w:hAnsi="Cambria Math" w:cs="Cambria Math"/>
                  <w:color w:val="000000"/>
                  <w:sz w:val="24"/>
                  <w:szCs w:val="24"/>
                  <w:vertAlign w:val="superscript"/>
                </w:rPr>
                <m:t>HO</m:t>
              </m:r>
            </m:e>
            <m:sub>
              <m:r>
                <w:rPr>
                  <w:rFonts w:ascii="Cambria Math" w:eastAsia="Cambria Math" w:hAnsi="Cambria Math" w:cs="Cambria Math"/>
                  <w:color w:val="000000"/>
                  <w:sz w:val="24"/>
                  <w:szCs w:val="24"/>
                  <w:vertAlign w:val="superscript"/>
                </w:rPr>
                <m:t>2</m:t>
              </m:r>
            </m:sub>
          </m:sSub>
          <m:r>
            <w:rPr>
              <w:rFonts w:ascii="Cambria Math" w:eastAsia="Cambria Math" w:hAnsi="Cambria Math" w:cs="Cambria Math"/>
              <w:color w:val="000000"/>
              <w:sz w:val="24"/>
              <w:szCs w:val="24"/>
              <w:vertAlign w:val="superscript"/>
            </w:rPr>
            <m:t>+</m:t>
          </m:r>
          <m:sSub>
            <m:sSubPr>
              <m:ctrlPr>
                <w:rPr>
                  <w:rFonts w:ascii="Cambria Math" w:eastAsia="Cambria Math" w:hAnsi="Cambria Math" w:cs="Cambria Math"/>
                  <w:color w:val="000000"/>
                  <w:sz w:val="24"/>
                  <w:szCs w:val="24"/>
                  <w:vertAlign w:val="superscript"/>
                </w:rPr>
              </m:ctrlPr>
            </m:sSubPr>
            <m:e>
              <m:r>
                <w:rPr>
                  <w:rFonts w:ascii="Cambria Math" w:eastAsia="Cambria Math" w:hAnsi="Cambria Math" w:cs="Cambria Math"/>
                  <w:color w:val="000000"/>
                  <w:sz w:val="24"/>
                  <w:szCs w:val="24"/>
                  <w:vertAlign w:val="superscript"/>
                </w:rPr>
                <m:t>H</m:t>
              </m:r>
            </m:e>
            <m:sub>
              <m:r>
                <w:rPr>
                  <w:rFonts w:ascii="Cambria Math" w:eastAsia="Cambria Math" w:hAnsi="Cambria Math" w:cs="Cambria Math"/>
                  <w:color w:val="000000"/>
                  <w:sz w:val="24"/>
                  <w:szCs w:val="24"/>
                  <w:vertAlign w:val="superscript"/>
                </w:rPr>
                <m:t>2</m:t>
              </m:r>
            </m:sub>
          </m:sSub>
          <m:r>
            <w:rPr>
              <w:rFonts w:ascii="Cambria Math" w:eastAsia="Cambria Math" w:hAnsi="Cambria Math" w:cs="Cambria Math"/>
              <w:color w:val="000000"/>
              <w:sz w:val="24"/>
              <w:szCs w:val="24"/>
              <w:vertAlign w:val="superscript"/>
            </w:rPr>
            <m:t>O+</m:t>
          </m:r>
          <m:sSup>
            <m:sSupPr>
              <m:ctrlPr>
                <w:rPr>
                  <w:rFonts w:ascii="Cambria Math" w:eastAsia="Cambria Math" w:hAnsi="Cambria Math" w:cs="Cambria Math"/>
                  <w:color w:val="000000"/>
                  <w:sz w:val="24"/>
                  <w:szCs w:val="24"/>
                  <w:vertAlign w:val="superscript"/>
                </w:rPr>
              </m:ctrlPr>
            </m:sSupPr>
            <m:e>
              <m:r>
                <w:rPr>
                  <w:rFonts w:ascii="Cambria Math" w:eastAsia="Cambria Math" w:hAnsi="Cambria Math" w:cs="Cambria Math"/>
                  <w:color w:val="000000"/>
                  <w:sz w:val="24"/>
                  <w:szCs w:val="24"/>
                  <w:vertAlign w:val="superscript"/>
                </w:rPr>
                <m:t>2e</m:t>
              </m:r>
            </m:e>
            <m:sup>
              <m:r>
                <w:rPr>
                  <w:rFonts w:ascii="Cambria Math" w:eastAsia="Cambria Math" w:hAnsi="Cambria Math" w:cs="Cambria Math"/>
                  <w:color w:val="000000"/>
                  <w:sz w:val="24"/>
                  <w:szCs w:val="24"/>
                  <w:vertAlign w:val="superscript"/>
                </w:rPr>
                <m:t>-</m:t>
              </m:r>
            </m:sup>
          </m:sSup>
          <m:r>
            <w:rPr>
              <w:rFonts w:ascii="Cambria Math" w:eastAsia="Cambria Math" w:hAnsi="Cambria Math" w:cs="Cambria Math"/>
              <w:color w:val="000000"/>
              <w:sz w:val="24"/>
              <w:szCs w:val="24"/>
              <w:vertAlign w:val="superscript"/>
            </w:rPr>
            <m:t>→3O</m:t>
          </m:r>
          <m:sSup>
            <m:sSupPr>
              <m:ctrlPr>
                <w:rPr>
                  <w:rFonts w:ascii="Cambria Math" w:eastAsia="Cambria Math" w:hAnsi="Cambria Math" w:cs="Cambria Math"/>
                  <w:color w:val="000000"/>
                  <w:sz w:val="24"/>
                  <w:szCs w:val="24"/>
                  <w:vertAlign w:val="superscript"/>
                </w:rPr>
              </m:ctrlPr>
            </m:sSupPr>
            <m:e>
              <m:r>
                <w:rPr>
                  <w:rFonts w:ascii="Cambria Math" w:eastAsia="Cambria Math" w:hAnsi="Cambria Math" w:cs="Cambria Math"/>
                  <w:color w:val="000000"/>
                  <w:sz w:val="24"/>
                  <w:szCs w:val="24"/>
                  <w:vertAlign w:val="superscript"/>
                </w:rPr>
                <m:t>H</m:t>
              </m:r>
            </m:e>
            <m:sup>
              <m:r>
                <w:rPr>
                  <w:rFonts w:ascii="Cambria Math" w:eastAsia="Cambria Math" w:hAnsi="Cambria Math" w:cs="Cambria Math"/>
                  <w:color w:val="000000"/>
                  <w:sz w:val="24"/>
                  <w:szCs w:val="24"/>
                  <w:vertAlign w:val="superscript"/>
                </w:rPr>
                <m:t>-</m:t>
              </m:r>
            </m:sup>
          </m:sSup>
        </m:oMath>
      </m:oMathPara>
    </w:p>
    <w:p w:rsidR="000B3F18" w:rsidRDefault="005E04DB" w:rsidP="00D41AB9">
      <w:pPr>
        <w:ind w:left="851" w:right="559"/>
        <w:jc w:val="center"/>
        <w:rPr>
          <w:rFonts w:ascii="Cambria Math" w:eastAsia="Cambria Math" w:hAnsi="Cambria Math" w:cs="Cambria Math"/>
          <w:color w:val="000000"/>
          <w:sz w:val="24"/>
          <w:szCs w:val="24"/>
          <w:vertAlign w:val="superscript"/>
        </w:rPr>
      </w:pPr>
      <m:oMathPara>
        <m:oMath>
          <m:sSubSup>
            <m:sSubSupPr>
              <m:ctrlPr>
                <w:rPr>
                  <w:rFonts w:ascii="Cambria Math" w:eastAsia="Cambria Math" w:hAnsi="Cambria Math" w:cs="Cambria Math"/>
                  <w:color w:val="000000"/>
                  <w:sz w:val="24"/>
                  <w:szCs w:val="24"/>
                  <w:vertAlign w:val="superscript"/>
                </w:rPr>
              </m:ctrlPr>
            </m:sSubSupPr>
            <m:e>
              <m:r>
                <w:rPr>
                  <w:rFonts w:ascii="Cambria Math" w:eastAsia="Cambria Math" w:hAnsi="Cambria Math" w:cs="Cambria Math"/>
                  <w:color w:val="000000"/>
                  <w:sz w:val="24"/>
                  <w:szCs w:val="24"/>
                  <w:vertAlign w:val="superscript"/>
                </w:rPr>
                <m:t>H</m:t>
              </m:r>
            </m:e>
            <m:sub>
              <m:r>
                <w:rPr>
                  <w:rFonts w:ascii="Cambria Math" w:eastAsia="Cambria Math" w:hAnsi="Cambria Math" w:cs="Cambria Math"/>
                  <w:color w:val="000000"/>
                  <w:sz w:val="24"/>
                  <w:szCs w:val="24"/>
                  <w:vertAlign w:val="superscript"/>
                </w:rPr>
                <m:t>2</m:t>
              </m:r>
            </m:sub>
            <m:sup>
              <m:r>
                <w:rPr>
                  <w:rFonts w:ascii="Cambria Math" w:eastAsia="Cambria Math" w:hAnsi="Cambria Math" w:cs="Cambria Math"/>
                  <w:color w:val="000000"/>
                  <w:sz w:val="24"/>
                  <w:szCs w:val="24"/>
                  <w:vertAlign w:val="superscript"/>
                </w:rPr>
                <m:t>-</m:t>
              </m:r>
            </m:sup>
          </m:sSubSup>
          <m:r>
            <w:rPr>
              <w:rFonts w:ascii="Cambria Math" w:eastAsia="Cambria Math" w:hAnsi="Cambria Math" w:cs="Cambria Math"/>
              <w:color w:val="000000"/>
              <w:sz w:val="24"/>
              <w:szCs w:val="24"/>
              <w:vertAlign w:val="superscript"/>
            </w:rPr>
            <m:t>+</m:t>
          </m:r>
          <m:sSub>
            <m:sSubPr>
              <m:ctrlPr>
                <w:rPr>
                  <w:rFonts w:ascii="Cambria Math" w:eastAsia="Cambria Math" w:hAnsi="Cambria Math" w:cs="Cambria Math"/>
                  <w:color w:val="000000"/>
                  <w:sz w:val="24"/>
                  <w:szCs w:val="24"/>
                  <w:vertAlign w:val="superscript"/>
                </w:rPr>
              </m:ctrlPr>
            </m:sSubPr>
            <m:e>
              <m:r>
                <w:rPr>
                  <w:rFonts w:ascii="Cambria Math" w:eastAsia="Cambria Math" w:hAnsi="Cambria Math" w:cs="Cambria Math"/>
                  <w:color w:val="000000"/>
                  <w:sz w:val="24"/>
                  <w:szCs w:val="24"/>
                  <w:vertAlign w:val="superscript"/>
                </w:rPr>
                <m:t>2H</m:t>
              </m:r>
            </m:e>
            <m:sub>
              <m:r>
                <w:rPr>
                  <w:rFonts w:ascii="Cambria Math" w:eastAsia="Cambria Math" w:hAnsi="Cambria Math" w:cs="Cambria Math"/>
                  <w:color w:val="000000"/>
                  <w:sz w:val="24"/>
                  <w:szCs w:val="24"/>
                  <w:vertAlign w:val="superscript"/>
                </w:rPr>
                <m:t>2</m:t>
              </m:r>
            </m:sub>
          </m:sSub>
          <m:r>
            <w:rPr>
              <w:rFonts w:ascii="Cambria Math" w:eastAsia="Cambria Math" w:hAnsi="Cambria Math" w:cs="Cambria Math"/>
              <w:color w:val="000000"/>
              <w:sz w:val="24"/>
              <w:szCs w:val="24"/>
              <w:vertAlign w:val="superscript"/>
            </w:rPr>
            <m:t>O+</m:t>
          </m:r>
          <m:sSup>
            <m:sSupPr>
              <m:ctrlPr>
                <w:rPr>
                  <w:rFonts w:ascii="Cambria Math" w:eastAsia="Cambria Math" w:hAnsi="Cambria Math" w:cs="Cambria Math"/>
                  <w:color w:val="000000"/>
                  <w:sz w:val="24"/>
                  <w:szCs w:val="24"/>
                  <w:vertAlign w:val="superscript"/>
                </w:rPr>
              </m:ctrlPr>
            </m:sSupPr>
            <m:e>
              <m:r>
                <w:rPr>
                  <w:rFonts w:ascii="Cambria Math" w:eastAsia="Cambria Math" w:hAnsi="Cambria Math" w:cs="Cambria Math"/>
                  <w:color w:val="000000"/>
                  <w:sz w:val="24"/>
                  <w:szCs w:val="24"/>
                  <w:vertAlign w:val="superscript"/>
                </w:rPr>
                <m:t>2e</m:t>
              </m:r>
            </m:e>
            <m:sup>
              <m:r>
                <w:rPr>
                  <w:rFonts w:ascii="Cambria Math" w:eastAsia="Cambria Math" w:hAnsi="Cambria Math" w:cs="Cambria Math"/>
                  <w:color w:val="000000"/>
                  <w:sz w:val="24"/>
                  <w:szCs w:val="24"/>
                  <w:vertAlign w:val="superscript"/>
                </w:rPr>
                <m:t>-</m:t>
              </m:r>
            </m:sup>
          </m:sSup>
          <m:r>
            <w:rPr>
              <w:rFonts w:ascii="Cambria Math" w:eastAsia="Cambria Math" w:hAnsi="Cambria Math" w:cs="Cambria Math"/>
              <w:color w:val="000000"/>
              <w:sz w:val="24"/>
              <w:szCs w:val="24"/>
              <w:vertAlign w:val="superscript"/>
            </w:rPr>
            <m:t>→3O</m:t>
          </m:r>
          <m:sSup>
            <m:sSupPr>
              <m:ctrlPr>
                <w:rPr>
                  <w:rFonts w:ascii="Cambria Math" w:eastAsia="Cambria Math" w:hAnsi="Cambria Math" w:cs="Cambria Math"/>
                  <w:color w:val="000000"/>
                  <w:sz w:val="24"/>
                  <w:szCs w:val="24"/>
                  <w:vertAlign w:val="superscript"/>
                </w:rPr>
              </m:ctrlPr>
            </m:sSupPr>
            <m:e>
              <m:r>
                <w:rPr>
                  <w:rFonts w:ascii="Cambria Math" w:eastAsia="Cambria Math" w:hAnsi="Cambria Math" w:cs="Cambria Math"/>
                  <w:color w:val="000000"/>
                  <w:sz w:val="24"/>
                  <w:szCs w:val="24"/>
                  <w:vertAlign w:val="superscript"/>
                </w:rPr>
                <m:t>H</m:t>
              </m:r>
            </m:e>
            <m:sup>
              <m:r>
                <w:rPr>
                  <w:rFonts w:ascii="Cambria Math" w:eastAsia="Cambria Math" w:hAnsi="Cambria Math" w:cs="Cambria Math"/>
                  <w:color w:val="000000"/>
                  <w:sz w:val="24"/>
                  <w:szCs w:val="24"/>
                  <w:vertAlign w:val="superscript"/>
                </w:rPr>
                <m:t>-</m:t>
              </m:r>
            </m:sup>
          </m:sSup>
        </m:oMath>
      </m:oMathPara>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D41AB9" w:rsidP="00D41AB9">
      <w:pPr>
        <w:pBdr>
          <w:top w:val="nil"/>
          <w:left w:val="nil"/>
          <w:bottom w:val="nil"/>
          <w:right w:val="nil"/>
          <w:between w:val="nil"/>
        </w:pBdr>
        <w:spacing w:after="0" w:line="240" w:lineRule="auto"/>
        <w:ind w:left="851" w:right="55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These reduction steps involve the transfer of four electrons and four hydroxide ions to complete the reduction of one oxygen molecule to four hydroxide ions and water.</w:t>
      </w: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D41AB9" w:rsidP="00D41AB9">
      <w:pPr>
        <w:pBdr>
          <w:top w:val="nil"/>
          <w:left w:val="nil"/>
          <w:bottom w:val="nil"/>
          <w:right w:val="nil"/>
          <w:between w:val="nil"/>
        </w:pBdr>
        <w:spacing w:after="0" w:line="360" w:lineRule="auto"/>
        <w:ind w:left="851" w:right="55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3.3 Aqueous </w:t>
      </w:r>
      <w:r>
        <w:rPr>
          <w:rFonts w:ascii="Times New Roman" w:eastAsia="Times New Roman" w:hAnsi="Times New Roman" w:cs="Times New Roman"/>
          <w:b/>
          <w:sz w:val="24"/>
          <w:szCs w:val="24"/>
        </w:rPr>
        <w:t>Electrolyte</w:t>
      </w:r>
      <w:r>
        <w:rPr>
          <w:rFonts w:ascii="Times New Roman" w:eastAsia="Times New Roman" w:hAnsi="Times New Roman" w:cs="Times New Roman"/>
          <w:b/>
          <w:color w:val="000000"/>
          <w:sz w:val="24"/>
          <w:szCs w:val="24"/>
        </w:rPr>
        <w:t>:</w:t>
      </w:r>
    </w:p>
    <w:p w:rsidR="000B3F18" w:rsidRDefault="00D41AB9" w:rsidP="009B0E63">
      <w:pPr>
        <w:pBdr>
          <w:top w:val="nil"/>
          <w:left w:val="nil"/>
          <w:bottom w:val="nil"/>
          <w:right w:val="nil"/>
          <w:between w:val="nil"/>
        </w:pBdr>
        <w:spacing w:after="0" w:line="240" w:lineRule="auto"/>
        <w:ind w:left="851" w:right="559" w:firstLine="58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electrochemical reduction of oxygen molecules in an aqueous electrolyte solution is referred to as the aqueous electrolyte ORR. In many electrochemical systems, such as metal-air batteries and aqueous </w:t>
      </w:r>
      <w:r w:rsidR="00657200">
        <w:rPr>
          <w:rFonts w:ascii="Times New Roman" w:eastAsia="Times New Roman" w:hAnsi="Times New Roman" w:cs="Times New Roman"/>
          <w:color w:val="000000"/>
          <w:sz w:val="24"/>
          <w:szCs w:val="24"/>
        </w:rPr>
        <w:t>electrolysers</w:t>
      </w:r>
      <w:r>
        <w:rPr>
          <w:rFonts w:ascii="Times New Roman" w:eastAsia="Times New Roman" w:hAnsi="Times New Roman" w:cs="Times New Roman"/>
          <w:color w:val="000000"/>
          <w:sz w:val="24"/>
          <w:szCs w:val="24"/>
        </w:rPr>
        <w:t>, it is a fundamental process that takes place at the cathode. A multi-step mechanism involving the formation of different oxygen intermediates, including superoxide, peroxide, and hydroxyl radicals, governs the ORR in aqueous electrolytes. It is essential to comprehend the ORR in aqueous electrolytes if you want to create effective electrochemical energy conversion devices. Platinum (</w:t>
      </w:r>
      <m:oMath>
        <m:r>
          <w:rPr>
            <w:rFonts w:ascii="Cambria Math" w:eastAsia="Times New Roman" w:hAnsi="Cambria Math" w:cs="Times New Roman"/>
            <w:color w:val="000000"/>
            <w:sz w:val="24"/>
            <w:szCs w:val="24"/>
          </w:rPr>
          <m:t>Pt</m:t>
        </m:r>
      </m:oMath>
      <w:r>
        <w:rPr>
          <w:rFonts w:ascii="Times New Roman" w:eastAsia="Times New Roman" w:hAnsi="Times New Roman" w:cs="Times New Roman"/>
          <w:color w:val="000000"/>
          <w:sz w:val="24"/>
          <w:szCs w:val="24"/>
        </w:rPr>
        <w:t>) and Pt-free substitutes, among other catalysts, are essential for improving the ORR rate in aqueous electrolytes. Numerous investigations into the ORR mechanism, catalyst design, and material innovation in aqueous electrolytes have been made, helping the field advance (Zhang et al.).These intermediates are essential to the overall ORR process because they have the power to either speed up or slow down the reaction rate. It is essential to comprehend how these intermediates behave in order to design effective catalysts and enhance the functionality of energy conversion technology. The fundamental principles governing electrochemical reactions in aqueous environments can also be learned by researching the aqueous electrolyte ORR. Researchers can create plans to increase the effectiveness and longevity of energy conversion technologies by clarifying the reaction mechanisms and kinetics at play. By facilitating the design of more efficient catalysts and electrolytes, this knowledge can aid in the advancement of sustainable energy technologies. A thorough comprehension of the aqueous electrolyte ORR is essential for advancing energy conversion technology and easing the transition</w:t>
      </w:r>
      <w:r w:rsidR="009B0E63">
        <w:rPr>
          <w:rFonts w:ascii="Times New Roman" w:eastAsia="Times New Roman" w:hAnsi="Times New Roman" w:cs="Times New Roman"/>
          <w:color w:val="000000"/>
          <w:sz w:val="24"/>
          <w:szCs w:val="24"/>
        </w:rPr>
        <w:t> towards</w:t>
      </w:r>
      <w:r>
        <w:rPr>
          <w:rFonts w:ascii="Times New Roman" w:eastAsia="Times New Roman" w:hAnsi="Times New Roman" w:cs="Times New Roman"/>
          <w:color w:val="000000"/>
          <w:sz w:val="24"/>
          <w:szCs w:val="24"/>
        </w:rPr>
        <w:t xml:space="preserve"> a more sustainable future (Yang et al.). The following steps constitute the reaction process of oxygen reduction at the fuel cell or MAB cathode in aqueous electrolyte:</w:t>
      </w: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5E04DB" w:rsidP="00D41AB9">
      <w:pPr>
        <w:pBdr>
          <w:top w:val="nil"/>
          <w:left w:val="nil"/>
          <w:bottom w:val="nil"/>
          <w:right w:val="nil"/>
          <w:between w:val="nil"/>
        </w:pBdr>
        <w:spacing w:after="0" w:line="240" w:lineRule="auto"/>
        <w:ind w:left="851" w:right="559" w:firstLine="720"/>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O</m:t>
            </m:r>
          </m:e>
          <m:sub>
            <m:r>
              <w:rPr>
                <w:rFonts w:ascii="Cambria Math" w:eastAsia="Cambria Math" w:hAnsi="Cambria Math" w:cs="Cambria Math"/>
                <w:color w:val="000000"/>
                <w:sz w:val="24"/>
                <w:szCs w:val="24"/>
              </w:rPr>
              <m:t>2</m:t>
            </m:r>
          </m:sub>
        </m:sSub>
      </m:oMath>
      <w:r w:rsidR="00D41AB9">
        <w:rPr>
          <w:rFonts w:ascii="Times New Roman" w:eastAsia="Times New Roman" w:hAnsi="Times New Roman" w:cs="Times New Roman"/>
          <w:color w:val="000000"/>
          <w:sz w:val="24"/>
          <w:szCs w:val="24"/>
        </w:rPr>
        <w:t xml:space="preserve"> </w:t>
      </w:r>
      <w:r w:rsidR="00657200">
        <w:rPr>
          <w:rFonts w:ascii="Times New Roman" w:eastAsia="Times New Roman" w:hAnsi="Times New Roman" w:cs="Times New Roman"/>
          <w:color w:val="000000"/>
          <w:sz w:val="24"/>
          <w:szCs w:val="24"/>
        </w:rPr>
        <w:t>Molecules</w:t>
      </w:r>
      <w:r w:rsidR="00D41AB9">
        <w:rPr>
          <w:rFonts w:ascii="Times New Roman" w:eastAsia="Times New Roman" w:hAnsi="Times New Roman" w:cs="Times New Roman"/>
          <w:color w:val="000000"/>
          <w:sz w:val="24"/>
          <w:szCs w:val="24"/>
        </w:rPr>
        <w:t xml:space="preserve"> diffuse and adsorb on electrocatalyst surfaces, electrons are transported from the anode to the adsorbed O</w:t>
      </w:r>
      <w:r w:rsidR="00D41AB9">
        <w:rPr>
          <w:rFonts w:ascii="Times New Roman" w:eastAsia="Times New Roman" w:hAnsi="Times New Roman" w:cs="Times New Roman"/>
          <w:color w:val="000000"/>
          <w:sz w:val="24"/>
          <w:szCs w:val="24"/>
          <w:vertAlign w:val="subscript"/>
        </w:rPr>
        <w:t>2</w:t>
      </w:r>
      <w:r w:rsidR="00D41AB9">
        <w:rPr>
          <w:rFonts w:ascii="Times New Roman" w:eastAsia="Times New Roman" w:hAnsi="Times New Roman" w:cs="Times New Roman"/>
          <w:color w:val="000000"/>
          <w:sz w:val="24"/>
          <w:szCs w:val="24"/>
        </w:rPr>
        <w:t xml:space="preserve"> molecules, </w:t>
      </w:r>
      <m:oMath>
        <m:r>
          <w:rPr>
            <w:rFonts w:ascii="Cambria Math" w:eastAsia="Cambria Math" w:hAnsi="Cambria Math" w:cs="Cambria Math"/>
            <w:color w:val="000000"/>
            <w:sz w:val="24"/>
            <w:szCs w:val="24"/>
          </w:rPr>
          <m:t xml:space="preserve">O=O </m:t>
        </m:r>
      </m:oMath>
      <w:r w:rsidR="00D41AB9">
        <w:rPr>
          <w:rFonts w:ascii="Times New Roman" w:eastAsia="Times New Roman" w:hAnsi="Times New Roman" w:cs="Times New Roman"/>
          <w:color w:val="000000"/>
          <w:sz w:val="24"/>
          <w:szCs w:val="24"/>
        </w:rPr>
        <w:t xml:space="preserve">bonds are weakened and split, and the generated </w:t>
      </w:r>
      <m:oMath>
        <m:r>
          <w:rPr>
            <w:rFonts w:ascii="Cambria Math" w:eastAsia="Cambria Math" w:hAnsi="Cambria Math" w:cs="Cambria Math"/>
            <w:color w:val="000000"/>
            <w:sz w:val="24"/>
            <w:szCs w:val="24"/>
          </w:rPr>
          <m:t>OH</m:t>
        </m:r>
      </m:oMath>
      <w:r w:rsidR="00D41AB9">
        <w:rPr>
          <w:rFonts w:ascii="Times New Roman" w:eastAsia="Times New Roman" w:hAnsi="Times New Roman" w:cs="Times New Roman"/>
          <w:color w:val="000000"/>
          <w:sz w:val="24"/>
          <w:szCs w:val="24"/>
        </w:rPr>
        <w:t xml:space="preserve"> ions </w:t>
      </w:r>
      <w:r w:rsidR="009B0E63">
        <w:rPr>
          <w:rFonts w:ascii="Times New Roman" w:eastAsia="Times New Roman" w:hAnsi="Times New Roman" w:cs="Times New Roman"/>
          <w:color w:val="000000"/>
          <w:sz w:val="24"/>
          <w:szCs w:val="24"/>
        </w:rPr>
        <w:t>are removed to solutions (Cao</w:t>
      </w:r>
      <w:r w:rsidR="00D41AB9">
        <w:rPr>
          <w:rFonts w:ascii="Times New Roman" w:eastAsia="Times New Roman" w:hAnsi="Times New Roman" w:cs="Times New Roman"/>
          <w:color w:val="000000"/>
          <w:sz w:val="24"/>
          <w:szCs w:val="24"/>
        </w:rPr>
        <w:t xml:space="preserve"> R. et al.). To complete the conversion of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O</m:t>
            </m:r>
          </m:e>
          <m:sub>
            <m:r>
              <w:rPr>
                <w:rFonts w:ascii="Cambria Math" w:eastAsia="Cambria Math" w:hAnsi="Cambria Math" w:cs="Cambria Math"/>
                <w:color w:val="000000"/>
                <w:sz w:val="24"/>
                <w:szCs w:val="24"/>
              </w:rPr>
              <m:t>2</m:t>
            </m:r>
          </m:sub>
        </m:sSub>
      </m:oMath>
      <w:r w:rsidR="00D41AB9">
        <w:rPr>
          <w:rFonts w:ascii="Times New Roman" w:eastAsia="Times New Roman" w:hAnsi="Times New Roman" w:cs="Times New Roman"/>
          <w:color w:val="000000"/>
          <w:sz w:val="24"/>
          <w:szCs w:val="24"/>
        </w:rPr>
        <w:t xml:space="preserve"> molecules into </w:t>
      </w:r>
      <m:oMath>
        <m:r>
          <w:rPr>
            <w:rFonts w:ascii="Cambria Math" w:eastAsia="Cambria Math" w:hAnsi="Cambria Math" w:cs="Cambria Math"/>
            <w:color w:val="000000"/>
            <w:sz w:val="24"/>
            <w:szCs w:val="24"/>
          </w:rPr>
          <m:t>OH</m:t>
        </m:r>
      </m:oMath>
      <w:r w:rsidR="00D41AB9">
        <w:rPr>
          <w:rFonts w:ascii="Times New Roman" w:eastAsia="Times New Roman" w:hAnsi="Times New Roman" w:cs="Times New Roman"/>
          <w:color w:val="000000"/>
          <w:sz w:val="24"/>
          <w:szCs w:val="24"/>
        </w:rPr>
        <w:t xml:space="preserve"> ions, the ORR either moves through a slow two-electron pathway in two steps or a highly effective four-electron pathway in one step (Wang et al). On the foundation of the computational charge density distribution shown in the illustration above, there are typically two adsorption kinds on the surface of carbon materials. One is end-on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O</m:t>
            </m:r>
          </m:e>
          <m:sub>
            <m:r>
              <w:rPr>
                <w:rFonts w:ascii="Cambria Math" w:eastAsia="Cambria Math" w:hAnsi="Cambria Math" w:cs="Cambria Math"/>
                <w:color w:val="000000"/>
                <w:sz w:val="24"/>
                <w:szCs w:val="24"/>
              </w:rPr>
              <m:t>2</m:t>
            </m:r>
          </m:sub>
        </m:sSub>
      </m:oMath>
      <w:r w:rsidR="00D41AB9">
        <w:rPr>
          <w:rFonts w:ascii="Times New Roman" w:eastAsia="Times New Roman" w:hAnsi="Times New Roman" w:cs="Times New Roman"/>
          <w:color w:val="000000"/>
          <w:sz w:val="24"/>
          <w:szCs w:val="24"/>
        </w:rPr>
        <w:t xml:space="preserve"> molecule adsorption (the Pauling model, one oxygen atom coordinating perpendicularly to the surface), while the other is bidentate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O</m:t>
            </m:r>
          </m:e>
          <m:sub>
            <m:r>
              <w:rPr>
                <w:rFonts w:ascii="Cambria Math" w:eastAsia="Cambria Math" w:hAnsi="Cambria Math" w:cs="Cambria Math"/>
                <w:color w:val="000000"/>
                <w:sz w:val="24"/>
                <w:szCs w:val="24"/>
              </w:rPr>
              <m:t>2</m:t>
            </m:r>
          </m:sub>
        </m:sSub>
      </m:oMath>
      <w:r w:rsidR="00D41AB9">
        <w:rPr>
          <w:rFonts w:ascii="Times New Roman" w:eastAsia="Times New Roman" w:hAnsi="Times New Roman" w:cs="Times New Roman"/>
          <w:color w:val="000000"/>
          <w:sz w:val="24"/>
          <w:szCs w:val="24"/>
        </w:rPr>
        <w:t xml:space="preserve"> molecule adsorption </w:t>
      </w:r>
      <w:r w:rsidR="009B0E63">
        <w:rPr>
          <w:rFonts w:ascii="Times New Roman" w:eastAsia="Times New Roman" w:hAnsi="Times New Roman" w:cs="Times New Roman"/>
          <w:color w:val="000000"/>
          <w:sz w:val="24"/>
          <w:szCs w:val="24"/>
        </w:rPr>
        <w:t>the</w:t>
      </w:r>
      <w:r w:rsidR="00D41AB9">
        <w:rPr>
          <w:rFonts w:ascii="Times New Roman" w:eastAsia="Times New Roman" w:hAnsi="Times New Roman" w:cs="Times New Roman"/>
          <w:color w:val="000000"/>
          <w:sz w:val="24"/>
          <w:szCs w:val="24"/>
        </w:rPr>
        <w:t xml:space="preserve"> alkaline reactions in a straight four-electron route (Liu et al.).</w:t>
      </w: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5E04DB" w:rsidP="00D41AB9">
      <w:pPr>
        <w:ind w:left="851" w:right="559"/>
        <w:jc w:val="center"/>
        <w:rPr>
          <w:rFonts w:ascii="Cambria Math" w:eastAsia="Cambria Math" w:hAnsi="Cambria Math" w:cs="Cambria Math"/>
          <w:color w:val="000000"/>
          <w:sz w:val="24"/>
          <w:szCs w:val="24"/>
          <w:vertAlign w:val="superscript"/>
        </w:rPr>
      </w:pPr>
      <m:oMathPara>
        <m:oMath>
          <m:sSub>
            <m:sSubPr>
              <m:ctrlPr>
                <w:rPr>
                  <w:rFonts w:ascii="Cambria Math" w:eastAsia="Cambria Math" w:hAnsi="Cambria Math" w:cs="Cambria Math"/>
                  <w:color w:val="000000"/>
                  <w:sz w:val="24"/>
                  <w:szCs w:val="24"/>
                  <w:vertAlign w:val="superscript"/>
                </w:rPr>
              </m:ctrlPr>
            </m:sSubPr>
            <m:e>
              <m:r>
                <w:rPr>
                  <w:rFonts w:ascii="Cambria Math" w:eastAsia="Cambria Math" w:hAnsi="Cambria Math" w:cs="Cambria Math"/>
                  <w:color w:val="000000"/>
                  <w:sz w:val="24"/>
                  <w:szCs w:val="24"/>
                  <w:vertAlign w:val="superscript"/>
                </w:rPr>
                <m:t>O</m:t>
              </m:r>
            </m:e>
            <m:sub>
              <m:r>
                <w:rPr>
                  <w:rFonts w:ascii="Cambria Math" w:eastAsia="Cambria Math" w:hAnsi="Cambria Math" w:cs="Cambria Math"/>
                  <w:color w:val="000000"/>
                  <w:sz w:val="24"/>
                  <w:szCs w:val="24"/>
                  <w:vertAlign w:val="superscript"/>
                </w:rPr>
                <m:t>2</m:t>
              </m:r>
            </m:sub>
          </m:sSub>
          <m:r>
            <w:rPr>
              <w:rFonts w:ascii="Cambria Math" w:eastAsia="Cambria Math" w:hAnsi="Cambria Math" w:cs="Cambria Math"/>
              <w:color w:val="000000"/>
              <w:sz w:val="24"/>
              <w:szCs w:val="24"/>
              <w:vertAlign w:val="superscript"/>
            </w:rPr>
            <m:t>+2</m:t>
          </m:r>
          <m:sSub>
            <m:sSubPr>
              <m:ctrlPr>
                <w:rPr>
                  <w:rFonts w:ascii="Cambria Math" w:eastAsia="Cambria Math" w:hAnsi="Cambria Math" w:cs="Cambria Math"/>
                  <w:color w:val="000000"/>
                  <w:sz w:val="24"/>
                  <w:szCs w:val="24"/>
                  <w:vertAlign w:val="superscript"/>
                </w:rPr>
              </m:ctrlPr>
            </m:sSubPr>
            <m:e>
              <m:r>
                <w:rPr>
                  <w:rFonts w:ascii="Cambria Math" w:eastAsia="Cambria Math" w:hAnsi="Cambria Math" w:cs="Cambria Math"/>
                  <w:color w:val="000000"/>
                  <w:sz w:val="24"/>
                  <w:szCs w:val="24"/>
                  <w:vertAlign w:val="superscript"/>
                </w:rPr>
                <m:t>H</m:t>
              </m:r>
            </m:e>
            <m:sub>
              <m:r>
                <w:rPr>
                  <w:rFonts w:ascii="Cambria Math" w:eastAsia="Cambria Math" w:hAnsi="Cambria Math" w:cs="Cambria Math"/>
                  <w:color w:val="000000"/>
                  <w:sz w:val="24"/>
                  <w:szCs w:val="24"/>
                  <w:vertAlign w:val="superscript"/>
                </w:rPr>
                <m:t>2</m:t>
              </m:r>
            </m:sub>
          </m:sSub>
          <m:r>
            <w:rPr>
              <w:rFonts w:ascii="Cambria Math" w:eastAsia="Cambria Math" w:hAnsi="Cambria Math" w:cs="Cambria Math"/>
              <w:color w:val="000000"/>
              <w:sz w:val="24"/>
              <w:szCs w:val="24"/>
              <w:vertAlign w:val="superscript"/>
            </w:rPr>
            <m:t>O+4</m:t>
          </m:r>
          <m:sSup>
            <m:sSupPr>
              <m:ctrlPr>
                <w:rPr>
                  <w:rFonts w:ascii="Cambria Math" w:eastAsia="Cambria Math" w:hAnsi="Cambria Math" w:cs="Cambria Math"/>
                  <w:color w:val="000000"/>
                  <w:sz w:val="24"/>
                  <w:szCs w:val="24"/>
                  <w:vertAlign w:val="superscript"/>
                </w:rPr>
              </m:ctrlPr>
            </m:sSupPr>
            <m:e>
              <m:r>
                <w:rPr>
                  <w:rFonts w:ascii="Cambria Math" w:eastAsia="Cambria Math" w:hAnsi="Cambria Math" w:cs="Cambria Math"/>
                  <w:color w:val="000000"/>
                  <w:sz w:val="24"/>
                  <w:szCs w:val="24"/>
                  <w:vertAlign w:val="superscript"/>
                </w:rPr>
                <m:t>e</m:t>
              </m:r>
            </m:e>
            <m:sup>
              <m:r>
                <w:rPr>
                  <w:rFonts w:ascii="Cambria Math" w:eastAsia="Cambria Math" w:hAnsi="Cambria Math" w:cs="Cambria Math"/>
                  <w:color w:val="000000"/>
                  <w:sz w:val="24"/>
                  <w:szCs w:val="24"/>
                  <w:vertAlign w:val="superscript"/>
                </w:rPr>
                <m:t>-</m:t>
              </m:r>
            </m:sup>
          </m:sSup>
          <m:r>
            <w:rPr>
              <w:rFonts w:ascii="Cambria Math" w:eastAsia="Cambria Math" w:hAnsi="Cambria Math" w:cs="Cambria Math"/>
              <w:color w:val="000000"/>
              <w:sz w:val="24"/>
              <w:szCs w:val="24"/>
              <w:vertAlign w:val="superscript"/>
            </w:rPr>
            <m:t>→4O</m:t>
          </m:r>
          <m:sSup>
            <m:sSupPr>
              <m:ctrlPr>
                <w:rPr>
                  <w:rFonts w:ascii="Cambria Math" w:eastAsia="Cambria Math" w:hAnsi="Cambria Math" w:cs="Cambria Math"/>
                  <w:color w:val="000000"/>
                  <w:sz w:val="24"/>
                  <w:szCs w:val="24"/>
                  <w:vertAlign w:val="superscript"/>
                </w:rPr>
              </m:ctrlPr>
            </m:sSupPr>
            <m:e>
              <m:r>
                <w:rPr>
                  <w:rFonts w:ascii="Cambria Math" w:eastAsia="Cambria Math" w:hAnsi="Cambria Math" w:cs="Cambria Math"/>
                  <w:color w:val="000000"/>
                  <w:sz w:val="24"/>
                  <w:szCs w:val="24"/>
                  <w:vertAlign w:val="superscript"/>
                </w:rPr>
                <m:t>H</m:t>
              </m:r>
            </m:e>
            <m:sup>
              <m:r>
                <w:rPr>
                  <w:rFonts w:ascii="Cambria Math" w:eastAsia="Cambria Math" w:hAnsi="Cambria Math" w:cs="Cambria Math"/>
                  <w:color w:val="000000"/>
                  <w:sz w:val="24"/>
                  <w:szCs w:val="24"/>
                  <w:vertAlign w:val="superscript"/>
                </w:rPr>
                <m:t>-</m:t>
              </m:r>
            </m:sup>
          </m:sSup>
        </m:oMath>
      </m:oMathPara>
    </w:p>
    <w:p w:rsidR="000B3F18" w:rsidRDefault="000B3F18" w:rsidP="00D41AB9">
      <w:pPr>
        <w:pBdr>
          <w:top w:val="nil"/>
          <w:left w:val="nil"/>
          <w:bottom w:val="nil"/>
          <w:right w:val="nil"/>
          <w:between w:val="nil"/>
        </w:pBdr>
        <w:spacing w:after="0" w:line="240" w:lineRule="auto"/>
        <w:ind w:left="851" w:right="559"/>
        <w:jc w:val="center"/>
        <w:rPr>
          <w:rFonts w:ascii="Times New Roman" w:eastAsia="Times New Roman" w:hAnsi="Times New Roman" w:cs="Times New Roman"/>
          <w:b/>
          <w:color w:val="000000"/>
          <w:sz w:val="24"/>
          <w:szCs w:val="24"/>
          <w:vertAlign w:val="superscript"/>
        </w:rPr>
      </w:pPr>
    </w:p>
    <w:p w:rsidR="000B3F18" w:rsidRDefault="00D41AB9"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this pathway, the reduction of oxygen initially leads to the formation of </w:t>
      </w:r>
      <w:r>
        <w:rPr>
          <w:rFonts w:ascii="Times New Roman" w:eastAsia="Times New Roman" w:hAnsi="Times New Roman" w:cs="Times New Roman"/>
          <w:sz w:val="24"/>
          <w:szCs w:val="24"/>
        </w:rPr>
        <w:t>superoxide</w:t>
      </w:r>
      <w:r>
        <w:rPr>
          <w:rFonts w:ascii="Times New Roman" w:eastAsia="Times New Roman" w:hAnsi="Times New Roman" w:cs="Times New Roman"/>
          <w:color w:val="000000"/>
          <w:sz w:val="24"/>
          <w:szCs w:val="24"/>
        </w:rPr>
        <w:t xml:space="preserve"> and peroxide intermediates, which subsequently undergo further reduction to hydroxide ions and water. </w:t>
      </w: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5E04DB" w:rsidP="00D41AB9">
      <w:pPr>
        <w:ind w:left="851" w:right="559"/>
        <w:jc w:val="center"/>
        <w:rPr>
          <w:rFonts w:ascii="Cambria Math" w:eastAsia="Cambria Math" w:hAnsi="Cambria Math" w:cs="Cambria Math"/>
          <w:color w:val="000000"/>
          <w:sz w:val="24"/>
          <w:szCs w:val="24"/>
          <w:vertAlign w:val="superscript"/>
        </w:rPr>
      </w:pPr>
      <m:oMathPara>
        <m:oMath>
          <m:sSub>
            <m:sSubPr>
              <m:ctrlPr>
                <w:rPr>
                  <w:rFonts w:ascii="Cambria Math" w:eastAsia="Cambria Math" w:hAnsi="Cambria Math" w:cs="Cambria Math"/>
                  <w:color w:val="000000"/>
                  <w:sz w:val="24"/>
                  <w:szCs w:val="24"/>
                  <w:vertAlign w:val="superscript"/>
                </w:rPr>
              </m:ctrlPr>
            </m:sSubPr>
            <m:e>
              <m:r>
                <w:rPr>
                  <w:rFonts w:ascii="Cambria Math" w:eastAsia="Cambria Math" w:hAnsi="Cambria Math" w:cs="Cambria Math"/>
                  <w:color w:val="000000"/>
                  <w:sz w:val="24"/>
                  <w:szCs w:val="24"/>
                  <w:vertAlign w:val="superscript"/>
                </w:rPr>
                <m:t>O</m:t>
              </m:r>
            </m:e>
            <m:sub>
              <m:r>
                <w:rPr>
                  <w:rFonts w:ascii="Cambria Math" w:eastAsia="Cambria Math" w:hAnsi="Cambria Math" w:cs="Cambria Math"/>
                  <w:color w:val="000000"/>
                  <w:sz w:val="24"/>
                  <w:szCs w:val="24"/>
                  <w:vertAlign w:val="superscript"/>
                </w:rPr>
                <m:t>2</m:t>
              </m:r>
            </m:sub>
          </m:sSub>
          <m:r>
            <w:rPr>
              <w:rFonts w:ascii="Cambria Math" w:eastAsia="Cambria Math" w:hAnsi="Cambria Math" w:cs="Cambria Math"/>
              <w:color w:val="000000"/>
              <w:sz w:val="24"/>
              <w:szCs w:val="24"/>
              <w:vertAlign w:val="superscript"/>
            </w:rPr>
            <m:t>+</m:t>
          </m:r>
          <m:sSub>
            <m:sSubPr>
              <m:ctrlPr>
                <w:rPr>
                  <w:rFonts w:ascii="Cambria Math" w:eastAsia="Cambria Math" w:hAnsi="Cambria Math" w:cs="Cambria Math"/>
                  <w:color w:val="000000"/>
                  <w:sz w:val="24"/>
                  <w:szCs w:val="24"/>
                  <w:vertAlign w:val="superscript"/>
                </w:rPr>
              </m:ctrlPr>
            </m:sSubPr>
            <m:e>
              <m:r>
                <w:rPr>
                  <w:rFonts w:ascii="Cambria Math" w:eastAsia="Cambria Math" w:hAnsi="Cambria Math" w:cs="Cambria Math"/>
                  <w:color w:val="000000"/>
                  <w:sz w:val="24"/>
                  <w:szCs w:val="24"/>
                  <w:vertAlign w:val="superscript"/>
                </w:rPr>
                <m:t>H</m:t>
              </m:r>
            </m:e>
            <m:sub>
              <m:r>
                <w:rPr>
                  <w:rFonts w:ascii="Cambria Math" w:eastAsia="Cambria Math" w:hAnsi="Cambria Math" w:cs="Cambria Math"/>
                  <w:color w:val="000000"/>
                  <w:sz w:val="24"/>
                  <w:szCs w:val="24"/>
                  <w:vertAlign w:val="superscript"/>
                </w:rPr>
                <m:t>2</m:t>
              </m:r>
            </m:sub>
          </m:sSub>
          <m:r>
            <w:rPr>
              <w:rFonts w:ascii="Cambria Math" w:eastAsia="Cambria Math" w:hAnsi="Cambria Math" w:cs="Cambria Math"/>
              <w:color w:val="000000"/>
              <w:sz w:val="24"/>
              <w:szCs w:val="24"/>
              <w:vertAlign w:val="superscript"/>
            </w:rPr>
            <m:t>O+</m:t>
          </m:r>
          <m:sSup>
            <m:sSupPr>
              <m:ctrlPr>
                <w:rPr>
                  <w:rFonts w:ascii="Cambria Math" w:eastAsia="Cambria Math" w:hAnsi="Cambria Math" w:cs="Cambria Math"/>
                  <w:color w:val="000000"/>
                  <w:sz w:val="24"/>
                  <w:szCs w:val="24"/>
                  <w:vertAlign w:val="superscript"/>
                </w:rPr>
              </m:ctrlPr>
            </m:sSupPr>
            <m:e>
              <m:r>
                <w:rPr>
                  <w:rFonts w:ascii="Cambria Math" w:eastAsia="Cambria Math" w:hAnsi="Cambria Math" w:cs="Cambria Math"/>
                  <w:color w:val="000000"/>
                  <w:sz w:val="24"/>
                  <w:szCs w:val="24"/>
                  <w:vertAlign w:val="superscript"/>
                </w:rPr>
                <m:t>2e</m:t>
              </m:r>
            </m:e>
            <m:sup>
              <m:r>
                <w:rPr>
                  <w:rFonts w:ascii="Cambria Math" w:eastAsia="Cambria Math" w:hAnsi="Cambria Math" w:cs="Cambria Math"/>
                  <w:color w:val="000000"/>
                  <w:sz w:val="24"/>
                  <w:szCs w:val="24"/>
                  <w:vertAlign w:val="superscript"/>
                </w:rPr>
                <m:t>-</m:t>
              </m:r>
            </m:sup>
          </m:sSup>
          <m:r>
            <w:rPr>
              <w:rFonts w:ascii="Cambria Math" w:eastAsia="Cambria Math" w:hAnsi="Cambria Math" w:cs="Cambria Math"/>
              <w:color w:val="000000"/>
              <w:sz w:val="24"/>
              <w:szCs w:val="24"/>
              <w:vertAlign w:val="superscript"/>
            </w:rPr>
            <m:t>→</m:t>
          </m:r>
          <m:sSubSup>
            <m:sSubSupPr>
              <m:ctrlPr>
                <w:rPr>
                  <w:rFonts w:ascii="Cambria Math" w:eastAsia="Cambria Math" w:hAnsi="Cambria Math" w:cs="Cambria Math"/>
                  <w:color w:val="000000"/>
                  <w:sz w:val="24"/>
                  <w:szCs w:val="24"/>
                  <w:vertAlign w:val="superscript"/>
                </w:rPr>
              </m:ctrlPr>
            </m:sSubSupPr>
            <m:e>
              <m:r>
                <w:rPr>
                  <w:rFonts w:ascii="Cambria Math" w:eastAsia="Cambria Math" w:hAnsi="Cambria Math" w:cs="Cambria Math"/>
                  <w:color w:val="000000"/>
                  <w:sz w:val="24"/>
                  <w:szCs w:val="24"/>
                  <w:vertAlign w:val="superscript"/>
                </w:rPr>
                <m:t>O</m:t>
              </m:r>
            </m:e>
            <m:sub>
              <m:r>
                <w:rPr>
                  <w:rFonts w:ascii="Cambria Math" w:eastAsia="Cambria Math" w:hAnsi="Cambria Math" w:cs="Cambria Math"/>
                  <w:color w:val="000000"/>
                  <w:sz w:val="24"/>
                  <w:szCs w:val="24"/>
                  <w:vertAlign w:val="superscript"/>
                </w:rPr>
                <m:t>2</m:t>
              </m:r>
            </m:sub>
            <m:sup>
              <m:r>
                <w:rPr>
                  <w:rFonts w:ascii="Cambria Math" w:eastAsia="Cambria Math" w:hAnsi="Cambria Math" w:cs="Cambria Math"/>
                  <w:color w:val="000000"/>
                  <w:sz w:val="24"/>
                  <w:szCs w:val="24"/>
                  <w:vertAlign w:val="superscript"/>
                </w:rPr>
                <m:t>-</m:t>
              </m:r>
            </m:sup>
          </m:sSubSup>
          <m:r>
            <w:rPr>
              <w:rFonts w:ascii="Cambria Math" w:eastAsia="Cambria Math" w:hAnsi="Cambria Math" w:cs="Cambria Math"/>
              <w:color w:val="000000"/>
              <w:sz w:val="24"/>
              <w:szCs w:val="24"/>
              <w:vertAlign w:val="superscript"/>
            </w:rPr>
            <m:t>+</m:t>
          </m:r>
          <m:sSup>
            <m:sSupPr>
              <m:ctrlPr>
                <w:rPr>
                  <w:rFonts w:ascii="Cambria Math" w:eastAsia="Cambria Math" w:hAnsi="Cambria Math" w:cs="Cambria Math"/>
                  <w:color w:val="000000"/>
                  <w:sz w:val="24"/>
                  <w:szCs w:val="24"/>
                  <w:vertAlign w:val="superscript"/>
                </w:rPr>
              </m:ctrlPr>
            </m:sSupPr>
            <m:e>
              <m:r>
                <w:rPr>
                  <w:rFonts w:ascii="Cambria Math" w:eastAsia="Cambria Math" w:hAnsi="Cambria Math" w:cs="Cambria Math"/>
                  <w:color w:val="000000"/>
                  <w:sz w:val="24"/>
                  <w:szCs w:val="24"/>
                  <w:vertAlign w:val="superscript"/>
                </w:rPr>
                <m:t>OH</m:t>
              </m:r>
            </m:e>
            <m:sup>
              <m:r>
                <w:rPr>
                  <w:rFonts w:ascii="Cambria Math" w:eastAsia="Cambria Math" w:hAnsi="Cambria Math" w:cs="Cambria Math"/>
                  <w:color w:val="000000"/>
                  <w:sz w:val="24"/>
                  <w:szCs w:val="24"/>
                  <w:vertAlign w:val="superscript"/>
                </w:rPr>
                <m:t>-</m:t>
              </m:r>
            </m:sup>
          </m:sSup>
        </m:oMath>
      </m:oMathPara>
    </w:p>
    <w:p w:rsidR="000B3F18" w:rsidRDefault="000B3F18" w:rsidP="00D41AB9">
      <w:pPr>
        <w:pBdr>
          <w:top w:val="nil"/>
          <w:left w:val="nil"/>
          <w:bottom w:val="nil"/>
          <w:right w:val="nil"/>
          <w:between w:val="nil"/>
        </w:pBdr>
        <w:spacing w:after="0" w:line="360" w:lineRule="auto"/>
        <w:ind w:left="851" w:right="559"/>
        <w:jc w:val="center"/>
        <w:rPr>
          <w:rFonts w:ascii="Times New Roman" w:eastAsia="Times New Roman" w:hAnsi="Times New Roman" w:cs="Times New Roman"/>
          <w:b/>
          <w:color w:val="000000"/>
          <w:sz w:val="24"/>
          <w:szCs w:val="24"/>
          <w:vertAlign w:val="superscript"/>
        </w:rPr>
      </w:pPr>
    </w:p>
    <w:p w:rsidR="000B3F18" w:rsidRDefault="005E04DB" w:rsidP="00D41AB9">
      <w:pPr>
        <w:ind w:left="851" w:right="559"/>
        <w:jc w:val="center"/>
        <w:rPr>
          <w:rFonts w:ascii="Cambria Math" w:eastAsia="Cambria Math" w:hAnsi="Cambria Math" w:cs="Cambria Math"/>
          <w:color w:val="000000"/>
          <w:sz w:val="24"/>
          <w:szCs w:val="24"/>
          <w:vertAlign w:val="superscript"/>
        </w:rPr>
      </w:pPr>
      <m:oMathPara>
        <m:oMath>
          <m:sSubSup>
            <m:sSubSupPr>
              <m:ctrlPr>
                <w:rPr>
                  <w:rFonts w:ascii="Cambria Math" w:eastAsia="Cambria Math" w:hAnsi="Cambria Math" w:cs="Cambria Math"/>
                  <w:color w:val="000000"/>
                  <w:sz w:val="24"/>
                  <w:szCs w:val="24"/>
                  <w:vertAlign w:val="superscript"/>
                </w:rPr>
              </m:ctrlPr>
            </m:sSubSupPr>
            <m:e>
              <m:r>
                <w:rPr>
                  <w:rFonts w:ascii="Cambria Math" w:eastAsia="Cambria Math" w:hAnsi="Cambria Math" w:cs="Cambria Math"/>
                  <w:color w:val="000000"/>
                  <w:sz w:val="24"/>
                  <w:szCs w:val="24"/>
                  <w:vertAlign w:val="superscript"/>
                </w:rPr>
                <m:t>O</m:t>
              </m:r>
            </m:e>
            <m:sub>
              <m:r>
                <w:rPr>
                  <w:rFonts w:ascii="Cambria Math" w:eastAsia="Cambria Math" w:hAnsi="Cambria Math" w:cs="Cambria Math"/>
                  <w:color w:val="000000"/>
                  <w:sz w:val="24"/>
                  <w:szCs w:val="24"/>
                  <w:vertAlign w:val="superscript"/>
                </w:rPr>
                <m:t>2</m:t>
              </m:r>
            </m:sub>
            <m:sup>
              <m:r>
                <w:rPr>
                  <w:rFonts w:ascii="Cambria Math" w:eastAsia="Cambria Math" w:hAnsi="Cambria Math" w:cs="Cambria Math"/>
                  <w:color w:val="000000"/>
                  <w:sz w:val="24"/>
                  <w:szCs w:val="24"/>
                  <w:vertAlign w:val="superscript"/>
                </w:rPr>
                <m:t>-</m:t>
              </m:r>
            </m:sup>
          </m:sSubSup>
          <m:r>
            <w:rPr>
              <w:rFonts w:ascii="Cambria Math" w:eastAsia="Cambria Math" w:hAnsi="Cambria Math" w:cs="Cambria Math"/>
              <w:color w:val="000000"/>
              <w:sz w:val="24"/>
              <w:szCs w:val="24"/>
              <w:vertAlign w:val="superscript"/>
            </w:rPr>
            <m:t>+</m:t>
          </m:r>
          <m:sSub>
            <m:sSubPr>
              <m:ctrlPr>
                <w:rPr>
                  <w:rFonts w:ascii="Cambria Math" w:eastAsia="Cambria Math" w:hAnsi="Cambria Math" w:cs="Cambria Math"/>
                  <w:color w:val="000000"/>
                  <w:sz w:val="24"/>
                  <w:szCs w:val="24"/>
                  <w:vertAlign w:val="superscript"/>
                </w:rPr>
              </m:ctrlPr>
            </m:sSubPr>
            <m:e>
              <m:r>
                <w:rPr>
                  <w:rFonts w:ascii="Cambria Math" w:eastAsia="Cambria Math" w:hAnsi="Cambria Math" w:cs="Cambria Math"/>
                  <w:color w:val="000000"/>
                  <w:sz w:val="24"/>
                  <w:szCs w:val="24"/>
                  <w:vertAlign w:val="superscript"/>
                </w:rPr>
                <m:t>H</m:t>
              </m:r>
            </m:e>
            <m:sub>
              <m:r>
                <w:rPr>
                  <w:rFonts w:ascii="Cambria Math" w:eastAsia="Cambria Math" w:hAnsi="Cambria Math" w:cs="Cambria Math"/>
                  <w:color w:val="000000"/>
                  <w:sz w:val="24"/>
                  <w:szCs w:val="24"/>
                  <w:vertAlign w:val="superscript"/>
                </w:rPr>
                <m:t>2</m:t>
              </m:r>
            </m:sub>
          </m:sSub>
          <m:r>
            <w:rPr>
              <w:rFonts w:ascii="Cambria Math" w:eastAsia="Cambria Math" w:hAnsi="Cambria Math" w:cs="Cambria Math"/>
              <w:color w:val="000000"/>
              <w:sz w:val="24"/>
              <w:szCs w:val="24"/>
              <w:vertAlign w:val="superscript"/>
            </w:rPr>
            <m:t>O+</m:t>
          </m:r>
          <m:sSup>
            <m:sSupPr>
              <m:ctrlPr>
                <w:rPr>
                  <w:rFonts w:ascii="Cambria Math" w:eastAsia="Cambria Math" w:hAnsi="Cambria Math" w:cs="Cambria Math"/>
                  <w:color w:val="000000"/>
                  <w:sz w:val="24"/>
                  <w:szCs w:val="24"/>
                  <w:vertAlign w:val="superscript"/>
                </w:rPr>
              </m:ctrlPr>
            </m:sSupPr>
            <m:e>
              <m:r>
                <w:rPr>
                  <w:rFonts w:ascii="Cambria Math" w:eastAsia="Cambria Math" w:hAnsi="Cambria Math" w:cs="Cambria Math"/>
                  <w:color w:val="000000"/>
                  <w:sz w:val="24"/>
                  <w:szCs w:val="24"/>
                  <w:vertAlign w:val="superscript"/>
                </w:rPr>
                <m:t>2e</m:t>
              </m:r>
            </m:e>
            <m:sup>
              <m:r>
                <w:rPr>
                  <w:rFonts w:ascii="Cambria Math" w:eastAsia="Cambria Math" w:hAnsi="Cambria Math" w:cs="Cambria Math"/>
                  <w:color w:val="000000"/>
                  <w:sz w:val="24"/>
                  <w:szCs w:val="24"/>
                  <w:vertAlign w:val="superscript"/>
                </w:rPr>
                <m:t>-</m:t>
              </m:r>
            </m:sup>
          </m:sSup>
          <m:r>
            <w:rPr>
              <w:rFonts w:ascii="Cambria Math" w:eastAsia="Cambria Math" w:hAnsi="Cambria Math" w:cs="Cambria Math"/>
              <w:color w:val="000000"/>
              <w:sz w:val="24"/>
              <w:szCs w:val="24"/>
              <w:vertAlign w:val="superscript"/>
            </w:rPr>
            <m:t>→</m:t>
          </m:r>
          <m:sSub>
            <m:sSubPr>
              <m:ctrlPr>
                <w:rPr>
                  <w:rFonts w:ascii="Cambria Math" w:eastAsia="Cambria Math" w:hAnsi="Cambria Math" w:cs="Cambria Math"/>
                  <w:color w:val="000000"/>
                  <w:sz w:val="24"/>
                  <w:szCs w:val="24"/>
                  <w:vertAlign w:val="superscript"/>
                </w:rPr>
              </m:ctrlPr>
            </m:sSubPr>
            <m:e>
              <m:r>
                <w:rPr>
                  <w:rFonts w:ascii="Cambria Math" w:eastAsia="Cambria Math" w:hAnsi="Cambria Math" w:cs="Cambria Math"/>
                  <w:color w:val="000000"/>
                  <w:sz w:val="24"/>
                  <w:szCs w:val="24"/>
                  <w:vertAlign w:val="superscript"/>
                </w:rPr>
                <m:t>H</m:t>
              </m:r>
            </m:e>
            <m:sub>
              <m:r>
                <w:rPr>
                  <w:rFonts w:ascii="Cambria Math" w:eastAsia="Cambria Math" w:hAnsi="Cambria Math" w:cs="Cambria Math"/>
                  <w:color w:val="000000"/>
                  <w:sz w:val="24"/>
                  <w:szCs w:val="24"/>
                  <w:vertAlign w:val="superscript"/>
                </w:rPr>
                <m:t>2</m:t>
              </m:r>
            </m:sub>
          </m:sSub>
          <m:sSub>
            <m:sSubPr>
              <m:ctrlPr>
                <w:rPr>
                  <w:rFonts w:ascii="Cambria Math" w:eastAsia="Cambria Math" w:hAnsi="Cambria Math" w:cs="Cambria Math"/>
                  <w:color w:val="000000"/>
                  <w:sz w:val="24"/>
                  <w:szCs w:val="24"/>
                  <w:vertAlign w:val="superscript"/>
                </w:rPr>
              </m:ctrlPr>
            </m:sSubPr>
            <m:e>
              <m:r>
                <w:rPr>
                  <w:rFonts w:ascii="Cambria Math" w:eastAsia="Cambria Math" w:hAnsi="Cambria Math" w:cs="Cambria Math"/>
                  <w:color w:val="000000"/>
                  <w:sz w:val="24"/>
                  <w:szCs w:val="24"/>
                  <w:vertAlign w:val="superscript"/>
                </w:rPr>
                <m:t>O</m:t>
              </m:r>
            </m:e>
            <m:sub>
              <m:r>
                <w:rPr>
                  <w:rFonts w:ascii="Cambria Math" w:eastAsia="Cambria Math" w:hAnsi="Cambria Math" w:cs="Cambria Math"/>
                  <w:color w:val="000000"/>
                  <w:sz w:val="24"/>
                  <w:szCs w:val="24"/>
                  <w:vertAlign w:val="superscript"/>
                </w:rPr>
                <m:t>2</m:t>
              </m:r>
            </m:sub>
          </m:sSub>
          <m:r>
            <w:rPr>
              <w:rFonts w:ascii="Cambria Math" w:eastAsia="Cambria Math" w:hAnsi="Cambria Math" w:cs="Cambria Math"/>
              <w:color w:val="000000"/>
              <w:sz w:val="24"/>
              <w:szCs w:val="24"/>
              <w:vertAlign w:val="superscript"/>
            </w:rPr>
            <m:t>+2</m:t>
          </m:r>
          <m:sSup>
            <m:sSupPr>
              <m:ctrlPr>
                <w:rPr>
                  <w:rFonts w:ascii="Cambria Math" w:eastAsia="Cambria Math" w:hAnsi="Cambria Math" w:cs="Cambria Math"/>
                  <w:color w:val="000000"/>
                  <w:sz w:val="24"/>
                  <w:szCs w:val="24"/>
                  <w:vertAlign w:val="superscript"/>
                </w:rPr>
              </m:ctrlPr>
            </m:sSupPr>
            <m:e>
              <m:r>
                <w:rPr>
                  <w:rFonts w:ascii="Cambria Math" w:eastAsia="Cambria Math" w:hAnsi="Cambria Math" w:cs="Cambria Math"/>
                  <w:color w:val="000000"/>
                  <w:sz w:val="24"/>
                  <w:szCs w:val="24"/>
                  <w:vertAlign w:val="superscript"/>
                </w:rPr>
                <m:t>OH</m:t>
              </m:r>
            </m:e>
            <m:sup>
              <m:r>
                <w:rPr>
                  <w:rFonts w:ascii="Cambria Math" w:eastAsia="Cambria Math" w:hAnsi="Cambria Math" w:cs="Cambria Math"/>
                  <w:color w:val="000000"/>
                  <w:sz w:val="24"/>
                  <w:szCs w:val="24"/>
                  <w:vertAlign w:val="superscript"/>
                </w:rPr>
                <m:t>-</m:t>
              </m:r>
            </m:sup>
          </m:sSup>
        </m:oMath>
      </m:oMathPara>
    </w:p>
    <w:p w:rsidR="000B3F18" w:rsidRDefault="000B3F18" w:rsidP="00D41AB9">
      <w:pPr>
        <w:pBdr>
          <w:top w:val="nil"/>
          <w:left w:val="nil"/>
          <w:bottom w:val="nil"/>
          <w:right w:val="nil"/>
          <w:between w:val="nil"/>
        </w:pBdr>
        <w:spacing w:after="0" w:line="360" w:lineRule="auto"/>
        <w:ind w:left="851" w:right="559"/>
        <w:rPr>
          <w:rFonts w:ascii="Times New Roman" w:eastAsia="Times New Roman" w:hAnsi="Times New Roman" w:cs="Times New Roman"/>
          <w:b/>
          <w:color w:val="000000"/>
          <w:sz w:val="24"/>
          <w:szCs w:val="24"/>
          <w:vertAlign w:val="superscript"/>
        </w:rPr>
      </w:pPr>
    </w:p>
    <w:p w:rsidR="000B3F18" w:rsidRDefault="005E04DB" w:rsidP="00D41AB9">
      <w:pPr>
        <w:ind w:left="851" w:right="559"/>
        <w:jc w:val="center"/>
        <w:rPr>
          <w:rFonts w:ascii="Cambria Math" w:eastAsia="Cambria Math" w:hAnsi="Cambria Math" w:cs="Cambria Math"/>
          <w:color w:val="000000"/>
          <w:sz w:val="24"/>
          <w:szCs w:val="24"/>
          <w:vertAlign w:val="superscript"/>
        </w:rPr>
      </w:pPr>
      <m:oMathPara>
        <m:oMath>
          <m:sSub>
            <m:sSubPr>
              <m:ctrlPr>
                <w:rPr>
                  <w:rFonts w:ascii="Cambria Math" w:eastAsia="Cambria Math" w:hAnsi="Cambria Math" w:cs="Cambria Math"/>
                  <w:color w:val="000000"/>
                  <w:sz w:val="24"/>
                  <w:szCs w:val="24"/>
                  <w:vertAlign w:val="superscript"/>
                </w:rPr>
              </m:ctrlPr>
            </m:sSubPr>
            <m:e>
              <m:r>
                <w:rPr>
                  <w:rFonts w:ascii="Cambria Math" w:eastAsia="Cambria Math" w:hAnsi="Cambria Math" w:cs="Cambria Math"/>
                  <w:color w:val="000000"/>
                  <w:sz w:val="24"/>
                  <w:szCs w:val="24"/>
                  <w:vertAlign w:val="superscript"/>
                </w:rPr>
                <m:t>H</m:t>
              </m:r>
            </m:e>
            <m:sub>
              <m:r>
                <w:rPr>
                  <w:rFonts w:ascii="Cambria Math" w:eastAsia="Cambria Math" w:hAnsi="Cambria Math" w:cs="Cambria Math"/>
                  <w:color w:val="000000"/>
                  <w:sz w:val="24"/>
                  <w:szCs w:val="24"/>
                  <w:vertAlign w:val="superscript"/>
                </w:rPr>
                <m:t>2</m:t>
              </m:r>
            </m:sub>
          </m:sSub>
          <m:sSub>
            <m:sSubPr>
              <m:ctrlPr>
                <w:rPr>
                  <w:rFonts w:ascii="Cambria Math" w:eastAsia="Cambria Math" w:hAnsi="Cambria Math" w:cs="Cambria Math"/>
                  <w:color w:val="000000"/>
                  <w:sz w:val="24"/>
                  <w:szCs w:val="24"/>
                  <w:vertAlign w:val="superscript"/>
                </w:rPr>
              </m:ctrlPr>
            </m:sSubPr>
            <m:e>
              <m:r>
                <w:rPr>
                  <w:rFonts w:ascii="Cambria Math" w:eastAsia="Cambria Math" w:hAnsi="Cambria Math" w:cs="Cambria Math"/>
                  <w:color w:val="000000"/>
                  <w:sz w:val="24"/>
                  <w:szCs w:val="24"/>
                  <w:vertAlign w:val="superscript"/>
                </w:rPr>
                <m:t>O</m:t>
              </m:r>
            </m:e>
            <m:sub>
              <m:r>
                <w:rPr>
                  <w:rFonts w:ascii="Cambria Math" w:eastAsia="Cambria Math" w:hAnsi="Cambria Math" w:cs="Cambria Math"/>
                  <w:color w:val="000000"/>
                  <w:sz w:val="24"/>
                  <w:szCs w:val="24"/>
                  <w:vertAlign w:val="superscript"/>
                </w:rPr>
                <m:t>2</m:t>
              </m:r>
            </m:sub>
          </m:sSub>
          <m:r>
            <w:rPr>
              <w:rFonts w:ascii="Cambria Math" w:eastAsia="Cambria Math" w:hAnsi="Cambria Math" w:cs="Cambria Math"/>
              <w:color w:val="000000"/>
              <w:sz w:val="24"/>
              <w:szCs w:val="24"/>
              <w:vertAlign w:val="superscript"/>
            </w:rPr>
            <m:t>+2</m:t>
          </m:r>
          <m:sSub>
            <m:sSubPr>
              <m:ctrlPr>
                <w:rPr>
                  <w:rFonts w:ascii="Cambria Math" w:eastAsia="Cambria Math" w:hAnsi="Cambria Math" w:cs="Cambria Math"/>
                  <w:color w:val="000000"/>
                  <w:sz w:val="24"/>
                  <w:szCs w:val="24"/>
                  <w:vertAlign w:val="superscript"/>
                </w:rPr>
              </m:ctrlPr>
            </m:sSubPr>
            <m:e>
              <m:r>
                <w:rPr>
                  <w:rFonts w:ascii="Cambria Math" w:eastAsia="Cambria Math" w:hAnsi="Cambria Math" w:cs="Cambria Math"/>
                  <w:color w:val="000000"/>
                  <w:sz w:val="24"/>
                  <w:szCs w:val="24"/>
                  <w:vertAlign w:val="superscript"/>
                </w:rPr>
                <m:t>H</m:t>
              </m:r>
            </m:e>
            <m:sub>
              <m:r>
                <w:rPr>
                  <w:rFonts w:ascii="Cambria Math" w:eastAsia="Cambria Math" w:hAnsi="Cambria Math" w:cs="Cambria Math"/>
                  <w:color w:val="000000"/>
                  <w:sz w:val="24"/>
                  <w:szCs w:val="24"/>
                  <w:vertAlign w:val="superscript"/>
                </w:rPr>
                <m:t>2</m:t>
              </m:r>
            </m:sub>
          </m:sSub>
          <m:r>
            <w:rPr>
              <w:rFonts w:ascii="Cambria Math" w:eastAsia="Cambria Math" w:hAnsi="Cambria Math" w:cs="Cambria Math"/>
              <w:color w:val="000000"/>
              <w:sz w:val="24"/>
              <w:szCs w:val="24"/>
              <w:vertAlign w:val="superscript"/>
            </w:rPr>
            <m:t>O+</m:t>
          </m:r>
          <m:sSup>
            <m:sSupPr>
              <m:ctrlPr>
                <w:rPr>
                  <w:rFonts w:ascii="Cambria Math" w:eastAsia="Cambria Math" w:hAnsi="Cambria Math" w:cs="Cambria Math"/>
                  <w:color w:val="000000"/>
                  <w:sz w:val="24"/>
                  <w:szCs w:val="24"/>
                  <w:vertAlign w:val="superscript"/>
                </w:rPr>
              </m:ctrlPr>
            </m:sSupPr>
            <m:e>
              <m:r>
                <w:rPr>
                  <w:rFonts w:ascii="Cambria Math" w:eastAsia="Cambria Math" w:hAnsi="Cambria Math" w:cs="Cambria Math"/>
                  <w:color w:val="000000"/>
                  <w:sz w:val="24"/>
                  <w:szCs w:val="24"/>
                  <w:vertAlign w:val="superscript"/>
                </w:rPr>
                <m:t>2e</m:t>
              </m:r>
            </m:e>
            <m:sup>
              <m:r>
                <w:rPr>
                  <w:rFonts w:ascii="Cambria Math" w:eastAsia="Cambria Math" w:hAnsi="Cambria Math" w:cs="Cambria Math"/>
                  <w:color w:val="000000"/>
                  <w:sz w:val="24"/>
                  <w:szCs w:val="24"/>
                  <w:vertAlign w:val="superscript"/>
                </w:rPr>
                <m:t>-</m:t>
              </m:r>
            </m:sup>
          </m:sSup>
          <m:r>
            <w:rPr>
              <w:rFonts w:ascii="Cambria Math" w:eastAsia="Cambria Math" w:hAnsi="Cambria Math" w:cs="Cambria Math"/>
              <w:color w:val="000000"/>
              <w:sz w:val="24"/>
              <w:szCs w:val="24"/>
              <w:vertAlign w:val="superscript"/>
            </w:rPr>
            <m:t>→4O</m:t>
          </m:r>
          <m:sSup>
            <m:sSupPr>
              <m:ctrlPr>
                <w:rPr>
                  <w:rFonts w:ascii="Cambria Math" w:eastAsia="Cambria Math" w:hAnsi="Cambria Math" w:cs="Cambria Math"/>
                  <w:color w:val="000000"/>
                  <w:sz w:val="24"/>
                  <w:szCs w:val="24"/>
                  <w:vertAlign w:val="superscript"/>
                </w:rPr>
              </m:ctrlPr>
            </m:sSupPr>
            <m:e>
              <m:r>
                <w:rPr>
                  <w:rFonts w:ascii="Cambria Math" w:eastAsia="Cambria Math" w:hAnsi="Cambria Math" w:cs="Cambria Math"/>
                  <w:color w:val="000000"/>
                  <w:sz w:val="24"/>
                  <w:szCs w:val="24"/>
                  <w:vertAlign w:val="superscript"/>
                </w:rPr>
                <m:t>H</m:t>
              </m:r>
            </m:e>
            <m:sup>
              <m:r>
                <w:rPr>
                  <w:rFonts w:ascii="Cambria Math" w:eastAsia="Cambria Math" w:hAnsi="Cambria Math" w:cs="Cambria Math"/>
                  <w:color w:val="000000"/>
                  <w:sz w:val="24"/>
                  <w:szCs w:val="24"/>
                  <w:vertAlign w:val="superscript"/>
                </w:rPr>
                <m:t>-</m:t>
              </m:r>
            </m:sup>
          </m:sSup>
        </m:oMath>
      </m:oMathPara>
    </w:p>
    <w:p w:rsidR="000B3F18" w:rsidRDefault="000B3F18" w:rsidP="00D41AB9">
      <w:pPr>
        <w:pBdr>
          <w:top w:val="nil"/>
          <w:left w:val="nil"/>
          <w:bottom w:val="nil"/>
          <w:right w:val="nil"/>
          <w:between w:val="nil"/>
        </w:pBdr>
        <w:spacing w:after="0" w:line="240" w:lineRule="auto"/>
        <w:ind w:left="851" w:right="559"/>
        <w:rPr>
          <w:rFonts w:ascii="Times New Roman" w:eastAsia="Times New Roman" w:hAnsi="Times New Roman" w:cs="Times New Roman"/>
          <w:b/>
          <w:color w:val="000000"/>
          <w:sz w:val="24"/>
          <w:szCs w:val="24"/>
          <w:vertAlign w:val="superscript"/>
        </w:rPr>
      </w:pPr>
    </w:p>
    <w:p w:rsidR="000B3F18" w:rsidRDefault="00D41AB9" w:rsidP="00D41AB9">
      <w:pPr>
        <w:pBdr>
          <w:top w:val="nil"/>
          <w:left w:val="nil"/>
          <w:bottom w:val="nil"/>
          <w:right w:val="nil"/>
          <w:between w:val="nil"/>
        </w:pBdr>
        <w:spacing w:after="0" w:line="240" w:lineRule="auto"/>
        <w:ind w:left="851" w:right="55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reduce one oxygen molecule to four hydroxide ions and water, these reactions involve the exchange of four electrons and four hydroxide ions. It is essential that you recognize that the specific reaction pathway and the involvement of intermediates can change based on the reaction conditions, the materials used for the electrodes, and the catalysts that are being used. In order to create effective catalysts and enhance the functionality of energy conversion devices, more investigation and experimental work are continually being done to better understand the ORR pathway in alkaline electrolytes and aqueous environments. Implementing catalysts based on transition metals, such as platinum or palladium, which have demonstrated high ORR activity, is one promising strategy. These catalysts can speed up reactions and elevate the general effectiveness of energy conversion technologies. Understanding the parameters that influence the ORR pathway in alkaline electrolytes and aqueous environments can also help in the development of substitute catalysts that are more available and less expensive than traditional noble metals. </w:t>
      </w:r>
    </w:p>
    <w:p w:rsidR="000B3F18" w:rsidRDefault="00657200"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r>
        <w:rPr>
          <w:noProof/>
        </w:rPr>
        <w:drawing>
          <wp:anchor distT="0" distB="0" distL="114300" distR="114300" simplePos="0" relativeHeight="251660288" behindDoc="0" locked="0" layoutInCell="1" hidden="0" allowOverlap="1" wp14:anchorId="7B564898" wp14:editId="382BE0BC">
            <wp:simplePos x="0" y="0"/>
            <wp:positionH relativeFrom="column">
              <wp:posOffset>1160780</wp:posOffset>
            </wp:positionH>
            <wp:positionV relativeFrom="paragraph">
              <wp:posOffset>48895</wp:posOffset>
            </wp:positionV>
            <wp:extent cx="4127500" cy="3093720"/>
            <wp:effectExtent l="0" t="0" r="6350" b="0"/>
            <wp:wrapSquare wrapText="bothSides" distT="0" distB="0" distL="114300" distR="114300"/>
            <wp:docPr id="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127500" cy="3093720"/>
                    </a:xfrm>
                    <a:prstGeom prst="rect">
                      <a:avLst/>
                    </a:prstGeom>
                    <a:ln/>
                  </pic:spPr>
                </pic:pic>
              </a:graphicData>
            </a:graphic>
            <wp14:sizeRelH relativeFrom="margin">
              <wp14:pctWidth>0</wp14:pctWidth>
            </wp14:sizeRelH>
            <wp14:sizeRelV relativeFrom="margin">
              <wp14:pctHeight>0</wp14:pctHeight>
            </wp14:sizeRelV>
          </wp:anchor>
        </w:drawing>
      </w: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CC56ED" w:rsidRDefault="00CC56ED"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CC56ED" w:rsidRDefault="00CC56ED"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657200">
      <w:pPr>
        <w:pBdr>
          <w:top w:val="nil"/>
          <w:left w:val="nil"/>
          <w:bottom w:val="nil"/>
          <w:right w:val="nil"/>
          <w:between w:val="nil"/>
        </w:pBdr>
        <w:spacing w:after="0" w:line="240" w:lineRule="auto"/>
        <w:ind w:right="559"/>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D41AB9"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Fig.</w:t>
      </w:r>
      <w:proofErr w:type="gramEnd"/>
      <w:r>
        <w:rPr>
          <w:rFonts w:ascii="Times New Roman" w:eastAsia="Times New Roman" w:hAnsi="Times New Roman" w:cs="Times New Roman"/>
          <w:color w:val="000000"/>
          <w:sz w:val="24"/>
          <w:szCs w:val="24"/>
        </w:rPr>
        <w:t xml:space="preserve"> No: 2, </w:t>
      </w:r>
      <w:r w:rsidR="00CC56ED">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 xml:space="preserve"> Schematic </w:t>
      </w:r>
      <w:r>
        <w:rPr>
          <w:rFonts w:ascii="Times New Roman" w:eastAsia="Times New Roman" w:hAnsi="Times New Roman" w:cs="Times New Roman"/>
          <w:sz w:val="24"/>
          <w:szCs w:val="24"/>
        </w:rPr>
        <w:t>illustration</w:t>
      </w:r>
      <w:r>
        <w:rPr>
          <w:rFonts w:ascii="Times New Roman" w:eastAsia="Times New Roman" w:hAnsi="Times New Roman" w:cs="Times New Roman"/>
          <w:color w:val="000000"/>
          <w:sz w:val="24"/>
          <w:szCs w:val="24"/>
        </w:rPr>
        <w:t xml:space="preserve"> of two possible modes of 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molecule adsorption at N-doped CNT (up panel) and a non-doped CNT (down panel) (reproduced with permission from ref. 43, Copyright© Springer Nature 2011). </w:t>
      </w:r>
      <w:r w:rsidR="00CC56ED">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 xml:space="preserve"> Schematic pathway for ORR on N-doped carbon materials (reproduced with permission from ref. 44, Copyright©2016 AAAS)</w:t>
      </w: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D41AB9" w:rsidP="00CC56ED">
      <w:pPr>
        <w:pBdr>
          <w:top w:val="nil"/>
          <w:left w:val="nil"/>
          <w:bottom w:val="nil"/>
          <w:right w:val="nil"/>
          <w:between w:val="nil"/>
        </w:pBdr>
        <w:spacing w:after="0" w:line="360" w:lineRule="auto"/>
        <w:ind w:left="851" w:right="55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3.3</w:t>
      </w:r>
      <w:r w:rsidR="00CC56ED">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 xml:space="preserve"> </w:t>
      </w:r>
      <w:r w:rsidR="00657200">
        <w:rPr>
          <w:rFonts w:ascii="Times New Roman" w:eastAsia="Times New Roman" w:hAnsi="Times New Roman" w:cs="Times New Roman"/>
          <w:b/>
          <w:color w:val="000000"/>
          <w:sz w:val="24"/>
          <w:szCs w:val="24"/>
        </w:rPr>
        <w:t>Electro catalytic</w:t>
      </w:r>
      <w:r>
        <w:rPr>
          <w:rFonts w:ascii="Times New Roman" w:eastAsia="Times New Roman" w:hAnsi="Times New Roman" w:cs="Times New Roman"/>
          <w:b/>
          <w:color w:val="000000"/>
          <w:sz w:val="24"/>
          <w:szCs w:val="24"/>
        </w:rPr>
        <w:t xml:space="preserve"> mechanism through primary to ternary doping affecting the activation barrier: </w:t>
      </w:r>
    </w:p>
    <w:p w:rsidR="000B3F18" w:rsidRDefault="00D41AB9" w:rsidP="00D41AB9">
      <w:pPr>
        <w:pBdr>
          <w:top w:val="nil"/>
          <w:left w:val="nil"/>
          <w:bottom w:val="nil"/>
          <w:right w:val="nil"/>
          <w:between w:val="nil"/>
        </w:pBdr>
        <w:spacing w:after="0" w:line="240" w:lineRule="auto"/>
        <w:ind w:left="851" w:right="55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Different electrochemical processes and technologies, like fuel cells, batteries, and </w:t>
      </w:r>
      <w:r w:rsidR="00657200">
        <w:rPr>
          <w:rFonts w:ascii="Times New Roman" w:eastAsia="Times New Roman" w:hAnsi="Times New Roman" w:cs="Times New Roman"/>
          <w:color w:val="000000"/>
          <w:sz w:val="24"/>
          <w:szCs w:val="24"/>
        </w:rPr>
        <w:t>electrolysers</w:t>
      </w:r>
      <w:r>
        <w:rPr>
          <w:rFonts w:ascii="Times New Roman" w:eastAsia="Times New Roman" w:hAnsi="Times New Roman" w:cs="Times New Roman"/>
          <w:color w:val="000000"/>
          <w:sz w:val="24"/>
          <w:szCs w:val="24"/>
        </w:rPr>
        <w:t xml:space="preserve">, rely heavily on </w:t>
      </w:r>
      <w:r w:rsidR="00657200">
        <w:rPr>
          <w:rFonts w:ascii="Times New Roman" w:eastAsia="Times New Roman" w:hAnsi="Times New Roman" w:cs="Times New Roman"/>
          <w:color w:val="000000"/>
          <w:sz w:val="24"/>
          <w:szCs w:val="24"/>
        </w:rPr>
        <w:t>electro catalytic</w:t>
      </w:r>
      <w:r>
        <w:rPr>
          <w:rFonts w:ascii="Times New Roman" w:eastAsia="Times New Roman" w:hAnsi="Times New Roman" w:cs="Times New Roman"/>
          <w:color w:val="000000"/>
          <w:sz w:val="24"/>
          <w:szCs w:val="24"/>
        </w:rPr>
        <w:t xml:space="preserve"> mechanisms. By lowering the activation energy and improving reaction kinetics, these mechanisms make use of catalysts to speed up certain electrochemical reactions (Jiang et al.). An electrode and an electrolyte solution's interface is where </w:t>
      </w:r>
      <w:r w:rsidR="00657200">
        <w:rPr>
          <w:rFonts w:ascii="Times New Roman" w:eastAsia="Times New Roman" w:hAnsi="Times New Roman" w:cs="Times New Roman"/>
          <w:color w:val="000000"/>
          <w:sz w:val="24"/>
          <w:szCs w:val="24"/>
        </w:rPr>
        <w:t>electro catalysis</w:t>
      </w:r>
      <w:r>
        <w:rPr>
          <w:rFonts w:ascii="Times New Roman" w:eastAsia="Times New Roman" w:hAnsi="Times New Roman" w:cs="Times New Roman"/>
          <w:color w:val="000000"/>
          <w:sz w:val="24"/>
          <w:szCs w:val="24"/>
        </w:rPr>
        <w:t xml:space="preserve"> typically happens. A surface on which the electrochemical reactions take place is provided by the electrode, which serves as the catalyst's substrate. Metals, metal alloys, metal oxides, and organic compounds are just a few examples of the catalyst materials used in </w:t>
      </w:r>
      <w:r w:rsidR="00657200">
        <w:rPr>
          <w:rFonts w:ascii="Times New Roman" w:eastAsia="Times New Roman" w:hAnsi="Times New Roman" w:cs="Times New Roman"/>
          <w:color w:val="000000"/>
          <w:sz w:val="24"/>
          <w:szCs w:val="24"/>
        </w:rPr>
        <w:t>electro catalysis</w:t>
      </w:r>
      <w:r>
        <w:rPr>
          <w:rFonts w:ascii="Times New Roman" w:eastAsia="Times New Roman" w:hAnsi="Times New Roman" w:cs="Times New Roman"/>
          <w:color w:val="000000"/>
          <w:sz w:val="24"/>
          <w:szCs w:val="24"/>
        </w:rPr>
        <w:t>. These catalysts have special characteristics that enable them to take part in redox reactions or promote charge transfer without being consumed during the process (</w:t>
      </w:r>
      <w:proofErr w:type="spellStart"/>
      <w:r>
        <w:rPr>
          <w:rFonts w:ascii="Times New Roman" w:eastAsia="Times New Roman" w:hAnsi="Times New Roman" w:cs="Times New Roman"/>
          <w:color w:val="000000"/>
          <w:sz w:val="24"/>
          <w:szCs w:val="24"/>
        </w:rPr>
        <w:t>Gasteiger</w:t>
      </w:r>
      <w:proofErr w:type="spellEnd"/>
      <w:r>
        <w:rPr>
          <w:rFonts w:ascii="Times New Roman" w:eastAsia="Times New Roman" w:hAnsi="Times New Roman" w:cs="Times New Roman"/>
          <w:color w:val="000000"/>
          <w:sz w:val="24"/>
          <w:szCs w:val="24"/>
        </w:rPr>
        <w:t xml:space="preserve"> et al.). Several crucial steps are involved in the </w:t>
      </w:r>
      <w:r w:rsidR="00657200">
        <w:rPr>
          <w:rFonts w:ascii="Times New Roman" w:eastAsia="Times New Roman" w:hAnsi="Times New Roman" w:cs="Times New Roman"/>
          <w:color w:val="000000"/>
          <w:sz w:val="24"/>
          <w:szCs w:val="24"/>
        </w:rPr>
        <w:t>electro catalytic</w:t>
      </w:r>
      <w:r>
        <w:rPr>
          <w:rFonts w:ascii="Times New Roman" w:eastAsia="Times New Roman" w:hAnsi="Times New Roman" w:cs="Times New Roman"/>
          <w:color w:val="000000"/>
          <w:sz w:val="24"/>
          <w:szCs w:val="24"/>
        </w:rPr>
        <w:t xml:space="preserve"> process. The reactants and the catalyst initially come into close contact when the reactant molecules or ions from the electrolyte solution adsorb onto the catalyst's surface. Effective charge transfer requires this adsorption step (Stephens et al.). The catalyst-electrolyte interface then experiences charge transfer, whereby electrons are moved from the catalyst to the reactants to enable redox reactions (</w:t>
      </w:r>
      <w:proofErr w:type="spellStart"/>
      <w:r>
        <w:rPr>
          <w:rFonts w:ascii="Times New Roman" w:eastAsia="Times New Roman" w:hAnsi="Times New Roman" w:cs="Times New Roman"/>
          <w:color w:val="000000"/>
          <w:sz w:val="24"/>
          <w:szCs w:val="24"/>
        </w:rPr>
        <w:t>Feliu</w:t>
      </w:r>
      <w:proofErr w:type="spellEnd"/>
      <w:r>
        <w:rPr>
          <w:rFonts w:ascii="Times New Roman" w:eastAsia="Times New Roman" w:hAnsi="Times New Roman" w:cs="Times New Roman"/>
          <w:color w:val="000000"/>
          <w:sz w:val="24"/>
          <w:szCs w:val="24"/>
        </w:rPr>
        <w:t xml:space="preserve"> et al.). The catalyst's presence lowers the reaction's activation energy requirement, boosting the rate of the reaction (Johansson et al.). The products of the reaction desorb from the catalyst's surface after the reaction has occurred and are then released into the electrolyte solution (</w:t>
      </w:r>
      <w:proofErr w:type="spellStart"/>
      <w:r>
        <w:rPr>
          <w:rFonts w:ascii="Times New Roman" w:eastAsia="Times New Roman" w:hAnsi="Times New Roman" w:cs="Times New Roman"/>
          <w:color w:val="000000"/>
          <w:sz w:val="24"/>
          <w:szCs w:val="24"/>
        </w:rPr>
        <w:t>Zeng</w:t>
      </w:r>
      <w:proofErr w:type="spellEnd"/>
      <w:r>
        <w:rPr>
          <w:rFonts w:ascii="Times New Roman" w:eastAsia="Times New Roman" w:hAnsi="Times New Roman" w:cs="Times New Roman"/>
          <w:color w:val="000000"/>
          <w:sz w:val="24"/>
          <w:szCs w:val="24"/>
        </w:rPr>
        <w:t xml:space="preserve"> et al.). The catalyst surface is prepared for subsequent adsorption and reaction cycles by this desorption phase. By removing the products from the catalyst's surface and enabling fresh reactants to adsorb onto it, the desorption process prepares the catalyst surface for successive adsorption and reaction cycles. The desorption procedure is essential for preserving the catalyst's catalytic activity because it prevents the </w:t>
      </w:r>
      <w:r w:rsidR="00657200">
        <w:rPr>
          <w:rFonts w:ascii="Times New Roman" w:eastAsia="Times New Roman" w:hAnsi="Times New Roman" w:cs="Times New Roman"/>
          <w:color w:val="000000"/>
          <w:sz w:val="24"/>
          <w:szCs w:val="24"/>
        </w:rPr>
        <w:t>build-up</w:t>
      </w:r>
      <w:r>
        <w:rPr>
          <w:rFonts w:ascii="Times New Roman" w:eastAsia="Times New Roman" w:hAnsi="Times New Roman" w:cs="Times New Roman"/>
          <w:color w:val="000000"/>
          <w:sz w:val="24"/>
          <w:szCs w:val="24"/>
        </w:rPr>
        <w:t xml:space="preserve"> of reaction products that can stifle subsequent reactions. Desorption also guarantees that the catalyst is continuously usable in redox processes, enhancing its effectiveness and lifespan. Desorption is crucial in permitting efficient and effective redox reactions by promoting the transfer of reactants and products between the catalyst and electrolyte solution.</w:t>
      </w:r>
    </w:p>
    <w:p w:rsidR="000B3F18" w:rsidRDefault="000B3F18" w:rsidP="00D41AB9">
      <w:pPr>
        <w:pBdr>
          <w:top w:val="nil"/>
          <w:left w:val="nil"/>
          <w:bottom w:val="nil"/>
          <w:right w:val="nil"/>
          <w:between w:val="nil"/>
        </w:pBdr>
        <w:spacing w:after="0" w:line="240" w:lineRule="auto"/>
        <w:ind w:left="851" w:right="559" w:firstLine="720"/>
        <w:jc w:val="both"/>
        <w:rPr>
          <w:rFonts w:ascii="Times New Roman" w:eastAsia="Times New Roman" w:hAnsi="Times New Roman" w:cs="Times New Roman"/>
          <w:color w:val="000000"/>
          <w:sz w:val="24"/>
          <w:szCs w:val="24"/>
        </w:rPr>
      </w:pPr>
    </w:p>
    <w:p w:rsidR="000B3F18" w:rsidRDefault="00D41AB9" w:rsidP="00D41AB9">
      <w:pPr>
        <w:pBdr>
          <w:top w:val="nil"/>
          <w:left w:val="nil"/>
          <w:bottom w:val="nil"/>
          <w:right w:val="nil"/>
          <w:between w:val="nil"/>
        </w:pBdr>
        <w:spacing w:after="0" w:line="240" w:lineRule="auto"/>
        <w:ind w:left="851" w:right="559"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Inherently occurring edges in carbon materials, such as zigzag and armchair edges, can significantly affect the electrical structure of neighbouring </w:t>
      </w:r>
      <m:oMath>
        <m:r>
          <w:rPr>
            <w:rFonts w:ascii="Cambria Math" w:eastAsia="Times New Roman" w:hAnsi="Cambria Math" w:cs="Times New Roman"/>
            <w:color w:val="000000"/>
            <w:sz w:val="24"/>
            <w:szCs w:val="24"/>
          </w:rPr>
          <m:t>C</m:t>
        </m:r>
      </m:oMath>
      <w:r>
        <w:rPr>
          <w:rFonts w:ascii="Times New Roman" w:eastAsia="Times New Roman" w:hAnsi="Times New Roman" w:cs="Times New Roman"/>
          <w:color w:val="000000"/>
          <w:sz w:val="24"/>
          <w:szCs w:val="24"/>
        </w:rPr>
        <w:t xml:space="preserve"> atoms. Due to the typical differences in size or </w:t>
      </w:r>
      <w:r>
        <w:rPr>
          <w:rFonts w:ascii="Times New Roman" w:eastAsia="Times New Roman" w:hAnsi="Times New Roman" w:cs="Times New Roman"/>
          <w:sz w:val="24"/>
          <w:szCs w:val="24"/>
        </w:rPr>
        <w:t>electronegativity</w:t>
      </w:r>
      <w:r>
        <w:rPr>
          <w:rFonts w:ascii="Times New Roman" w:eastAsia="Times New Roman" w:hAnsi="Times New Roman" w:cs="Times New Roman"/>
          <w:color w:val="000000"/>
          <w:sz w:val="24"/>
          <w:szCs w:val="24"/>
        </w:rPr>
        <w:t xml:space="preserve"> between hetero atoms and carbon atoms, hetero atom doping in a variety of configurations may also significantly change the electron distribution of the do-pants and nearby </w:t>
      </w:r>
      <m:oMath>
        <m:r>
          <w:rPr>
            <w:rFonts w:ascii="Cambria Math" w:eastAsia="Times New Roman" w:hAnsi="Cambria Math" w:cs="Times New Roman"/>
            <w:color w:val="000000"/>
            <w:sz w:val="24"/>
            <w:szCs w:val="24"/>
          </w:rPr>
          <m:t>C</m:t>
        </m:r>
      </m:oMath>
      <w:r>
        <w:rPr>
          <w:rFonts w:ascii="Times New Roman" w:eastAsia="Times New Roman" w:hAnsi="Times New Roman" w:cs="Times New Roman"/>
          <w:color w:val="000000"/>
          <w:sz w:val="24"/>
          <w:szCs w:val="24"/>
        </w:rPr>
        <w:t xml:space="preserve"> atoms via the delocalization of electrons, affecting the physical and chemical properties. Similar to the last example, removing </w:t>
      </w:r>
      <w:proofErr w:type="gramStart"/>
      <w:r>
        <w:rPr>
          <w:rFonts w:ascii="Times New Roman" w:eastAsia="Times New Roman" w:hAnsi="Times New Roman" w:cs="Times New Roman"/>
          <w:color w:val="000000"/>
          <w:sz w:val="24"/>
          <w:szCs w:val="24"/>
        </w:rPr>
        <w:t>a</w:t>
      </w:r>
      <w:proofErr w:type="gramEnd"/>
      <w:r>
        <w:rPr>
          <w:rFonts w:ascii="Times New Roman" w:eastAsia="Times New Roman" w:hAnsi="Times New Roman" w:cs="Times New Roman"/>
          <w:color w:val="000000"/>
          <w:sz w:val="24"/>
          <w:szCs w:val="24"/>
        </w:rPr>
        <w:t xml:space="preserve"> </w:t>
      </w:r>
      <m:oMath>
        <m:r>
          <w:rPr>
            <w:rFonts w:ascii="Cambria Math" w:eastAsia="Times New Roman" w:hAnsi="Cambria Math" w:cs="Times New Roman"/>
            <w:color w:val="000000"/>
            <w:sz w:val="24"/>
            <w:szCs w:val="24"/>
          </w:rPr>
          <m:t xml:space="preserve">C </m:t>
        </m:r>
      </m:oMath>
      <w:r>
        <w:rPr>
          <w:rFonts w:ascii="Times New Roman" w:eastAsia="Times New Roman" w:hAnsi="Times New Roman" w:cs="Times New Roman"/>
          <w:color w:val="000000"/>
          <w:sz w:val="24"/>
          <w:szCs w:val="24"/>
        </w:rPr>
        <w:t xml:space="preserve">atom and leaving a vacancy or defect may have a major effect on the electrical structure of further C atoms close by in addition to disrupting the conjugation's unity. These changes can result in a variety of remarkable events (Zeng et al.). Multiple interesting things may arise from these alterations. As an illustration, the insertion of hetero atoms might cause the development of new energy levels within the carbon material, resulting in improved conductivity or modified optical characteristics. In addition, the delocalization of electrons brought on by hetero atom doping can facilitate charge transfer procedures and change the material's reactivity, making it appropriate for a variety of catalytic applications. In addition, the introduction of localised states that might serve as traps for contaminants or alien species is brought about by the production of voids or flaws in carbon structures, which also disturbs the conjugation. Due to this property, carbon compounds might potentially be modified for use in quantum computing, energy storage, or gas sensing. </w:t>
      </w:r>
      <w:r w:rsidRPr="00CC56ED">
        <w:rPr>
          <w:rFonts w:ascii="Times New Roman" w:eastAsia="Times New Roman" w:hAnsi="Times New Roman" w:cs="Times New Roman"/>
          <w:color w:val="000000"/>
          <w:sz w:val="24"/>
        </w:rPr>
        <w:t>All things considered, advancing carbon-based materials and their various functionalities will be made possible by comprehending and managing these effects on electron distribution and chemical properties. </w:t>
      </w:r>
    </w:p>
    <w:p w:rsidR="000B3F18" w:rsidRDefault="00D41AB9"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r>
        <w:rPr>
          <w:noProof/>
        </w:rPr>
        <w:drawing>
          <wp:anchor distT="0" distB="0" distL="114300" distR="114300" simplePos="0" relativeHeight="251661312" behindDoc="0" locked="0" layoutInCell="1" hidden="0" allowOverlap="1" wp14:anchorId="13F0F323" wp14:editId="1DAC4C26">
            <wp:simplePos x="0" y="0"/>
            <wp:positionH relativeFrom="column">
              <wp:posOffset>1230630</wp:posOffset>
            </wp:positionH>
            <wp:positionV relativeFrom="paragraph">
              <wp:posOffset>140970</wp:posOffset>
            </wp:positionV>
            <wp:extent cx="4044950" cy="3297555"/>
            <wp:effectExtent l="0" t="0" r="0" b="0"/>
            <wp:wrapSquare wrapText="bothSides" distT="0" distB="0" distL="114300" distR="114300"/>
            <wp:docPr id="28" name="image2.png" descr="Proposed-ORR-mechanism-on-perovskite-oxide-catalysts-The-ORR-proceeds-via-four-steps"/>
            <wp:cNvGraphicFramePr/>
            <a:graphic xmlns:a="http://schemas.openxmlformats.org/drawingml/2006/main">
              <a:graphicData uri="http://schemas.openxmlformats.org/drawingml/2006/picture">
                <pic:pic xmlns:pic="http://schemas.openxmlformats.org/drawingml/2006/picture">
                  <pic:nvPicPr>
                    <pic:cNvPr id="0" name="image2.png" descr="Proposed-ORR-mechanism-on-perovskite-oxide-catalysts-The-ORR-proceeds-via-four-steps"/>
                    <pic:cNvPicPr preferRelativeResize="0"/>
                  </pic:nvPicPr>
                  <pic:blipFill>
                    <a:blip r:embed="rId10"/>
                    <a:srcRect/>
                    <a:stretch>
                      <a:fillRect/>
                    </a:stretch>
                  </pic:blipFill>
                  <pic:spPr>
                    <a:xfrm>
                      <a:off x="0" y="0"/>
                      <a:ext cx="4044950" cy="3297555"/>
                    </a:xfrm>
                    <a:prstGeom prst="rect">
                      <a:avLst/>
                    </a:prstGeom>
                    <a:ln/>
                  </pic:spPr>
                </pic:pic>
              </a:graphicData>
            </a:graphic>
          </wp:anchor>
        </w:drawing>
      </w: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D41AB9" w:rsidP="00D41AB9">
      <w:pPr>
        <w:pStyle w:val="Heading1"/>
        <w:shd w:val="clear" w:color="auto" w:fill="FFFFFF"/>
        <w:ind w:left="851" w:right="559"/>
        <w:jc w:val="both"/>
        <w:rPr>
          <w:rFonts w:ascii="Times New Roman" w:eastAsia="Times New Roman" w:hAnsi="Times New Roman" w:cs="Times New Roman" w:hint="default"/>
          <w:color w:val="000000"/>
          <w:sz w:val="24"/>
          <w:szCs w:val="24"/>
        </w:rPr>
      </w:pPr>
      <w:proofErr w:type="gramStart"/>
      <w:r>
        <w:rPr>
          <w:rFonts w:ascii="Times New Roman" w:eastAsia="Times New Roman" w:hAnsi="Times New Roman" w:cs="Times New Roman"/>
          <w:b w:val="0"/>
          <w:color w:val="111111"/>
          <w:sz w:val="22"/>
          <w:szCs w:val="22"/>
          <w:highlight w:val="white"/>
        </w:rPr>
        <w:t>Fig.</w:t>
      </w:r>
      <w:proofErr w:type="gramEnd"/>
      <w:r>
        <w:rPr>
          <w:rFonts w:ascii="Times New Roman" w:eastAsia="Times New Roman" w:hAnsi="Times New Roman" w:cs="Times New Roman"/>
          <w:b w:val="0"/>
          <w:color w:val="111111"/>
          <w:sz w:val="22"/>
          <w:szCs w:val="22"/>
          <w:highlight w:val="white"/>
        </w:rPr>
        <w:t xml:space="preserve"> No</w:t>
      </w:r>
      <w:proofErr w:type="gramStart"/>
      <w:r>
        <w:rPr>
          <w:rFonts w:ascii="Times New Roman" w:eastAsia="Times New Roman" w:hAnsi="Times New Roman" w:cs="Times New Roman"/>
          <w:b w:val="0"/>
          <w:color w:val="111111"/>
          <w:sz w:val="22"/>
          <w:szCs w:val="22"/>
          <w:highlight w:val="white"/>
        </w:rPr>
        <w:t>:3</w:t>
      </w:r>
      <w:proofErr w:type="gramEnd"/>
      <w:r>
        <w:rPr>
          <w:rFonts w:ascii="Times New Roman" w:eastAsia="Times New Roman" w:hAnsi="Times New Roman" w:cs="Times New Roman"/>
          <w:b w:val="0"/>
          <w:color w:val="111111"/>
          <w:sz w:val="22"/>
          <w:szCs w:val="22"/>
          <w:highlight w:val="white"/>
        </w:rPr>
        <w:t xml:space="preserve">, Proposed ORR mechanism on </w:t>
      </w:r>
      <w:proofErr w:type="spellStart"/>
      <w:r>
        <w:rPr>
          <w:rFonts w:ascii="Times New Roman" w:eastAsia="Times New Roman" w:hAnsi="Times New Roman" w:cs="Times New Roman"/>
          <w:b w:val="0"/>
          <w:color w:val="111111"/>
          <w:sz w:val="22"/>
          <w:szCs w:val="22"/>
          <w:highlight w:val="white"/>
        </w:rPr>
        <w:t>perovskite</w:t>
      </w:r>
      <w:proofErr w:type="spellEnd"/>
      <w:r>
        <w:rPr>
          <w:rFonts w:ascii="Times New Roman" w:eastAsia="Times New Roman" w:hAnsi="Times New Roman" w:cs="Times New Roman"/>
          <w:b w:val="0"/>
          <w:color w:val="111111"/>
          <w:sz w:val="22"/>
          <w:szCs w:val="22"/>
          <w:highlight w:val="white"/>
        </w:rPr>
        <w:t xml:space="preserve"> oxide catal</w:t>
      </w:r>
      <w:r w:rsidR="00736D8D">
        <w:rPr>
          <w:rFonts w:ascii="Times New Roman" w:eastAsia="Times New Roman" w:hAnsi="Times New Roman" w:cs="Times New Roman"/>
          <w:b w:val="0"/>
          <w:color w:val="111111"/>
          <w:sz w:val="22"/>
          <w:szCs w:val="22"/>
          <w:highlight w:val="white"/>
        </w:rPr>
        <w:t>ysts. The ORR proceeds via four</w:t>
      </w:r>
      <w:r w:rsidR="00281666">
        <w:rPr>
          <w:rFonts w:ascii="Times New Roman" w:eastAsia="Times New Roman" w:hAnsi="Times New Roman" w:cs="Times New Roman" w:hint="default"/>
          <w:b w:val="0"/>
          <w:color w:val="111111"/>
          <w:sz w:val="22"/>
          <w:szCs w:val="22"/>
          <w:highlight w:val="white"/>
        </w:rPr>
        <w:t xml:space="preserve"> </w:t>
      </w:r>
      <w:r>
        <w:rPr>
          <w:rFonts w:ascii="Times New Roman" w:eastAsia="Times New Roman" w:hAnsi="Times New Roman" w:cs="Times New Roman"/>
          <w:b w:val="0"/>
          <w:color w:val="111111"/>
          <w:sz w:val="22"/>
          <w:szCs w:val="22"/>
          <w:highlight w:val="white"/>
        </w:rPr>
        <w:t>steps: (1) surface hydroxide displacement; (2) surface peroxi</w:t>
      </w:r>
      <w:r w:rsidR="00281666">
        <w:rPr>
          <w:rFonts w:ascii="Times New Roman" w:eastAsia="Times New Roman" w:hAnsi="Times New Roman" w:cs="Times New Roman"/>
          <w:b w:val="0"/>
          <w:color w:val="111111"/>
          <w:sz w:val="22"/>
          <w:szCs w:val="22"/>
          <w:highlight w:val="white"/>
        </w:rPr>
        <w:t xml:space="preserve">de formation; (3) surface </w:t>
      </w:r>
      <w:proofErr w:type="spellStart"/>
      <w:r w:rsidR="00281666">
        <w:rPr>
          <w:rFonts w:ascii="Times New Roman" w:eastAsia="Times New Roman" w:hAnsi="Times New Roman" w:cs="Times New Roman"/>
          <w:b w:val="0"/>
          <w:color w:val="111111"/>
          <w:sz w:val="22"/>
          <w:szCs w:val="22"/>
          <w:highlight w:val="white"/>
        </w:rPr>
        <w:t>oxid</w:t>
      </w:r>
      <w:proofErr w:type="spellEnd"/>
      <w:r w:rsidR="00281666">
        <w:rPr>
          <w:rFonts w:ascii="Times New Roman" w:eastAsia="Times New Roman" w:hAnsi="Times New Roman" w:cs="Times New Roman" w:hint="default"/>
          <w:b w:val="0"/>
          <w:color w:val="111111"/>
          <w:sz w:val="22"/>
          <w:szCs w:val="22"/>
          <w:highlight w:val="white"/>
        </w:rPr>
        <w:t xml:space="preserve"> </w:t>
      </w:r>
      <w:r>
        <w:rPr>
          <w:rFonts w:ascii="Times New Roman" w:eastAsia="Times New Roman" w:hAnsi="Times New Roman" w:cs="Times New Roman"/>
          <w:b w:val="0"/>
          <w:color w:val="111111"/>
          <w:sz w:val="22"/>
          <w:szCs w:val="22"/>
          <w:highlight w:val="white"/>
        </w:rPr>
        <w:t>formation; (4) surface hydroxide regeneration</w:t>
      </w:r>
      <w:proofErr w:type="gramStart"/>
      <w:r>
        <w:rPr>
          <w:rFonts w:ascii="Times New Roman" w:eastAsia="Times New Roman" w:hAnsi="Times New Roman" w:cs="Times New Roman"/>
          <w:b w:val="0"/>
          <w:color w:val="111111"/>
          <w:sz w:val="22"/>
          <w:szCs w:val="22"/>
          <w:highlight w:val="white"/>
        </w:rPr>
        <w:t>..</w:t>
      </w:r>
      <w:proofErr w:type="gramEnd"/>
      <w:r>
        <w:rPr>
          <w:rFonts w:ascii="Times New Roman" w:eastAsia="Times New Roman" w:hAnsi="Times New Roman" w:cs="Times New Roman"/>
          <w:b w:val="0"/>
          <w:color w:val="111111"/>
          <w:sz w:val="22"/>
          <w:szCs w:val="22"/>
          <w:highlight w:val="white"/>
        </w:rPr>
        <w:t xml:space="preserve"> </w:t>
      </w:r>
      <w:proofErr w:type="gramStart"/>
      <w:r>
        <w:rPr>
          <w:rFonts w:ascii="Times New Roman" w:eastAsia="Times New Roman" w:hAnsi="Times New Roman" w:cs="Times New Roman"/>
          <w:b w:val="0"/>
          <w:color w:val="111111"/>
          <w:sz w:val="22"/>
          <w:szCs w:val="22"/>
          <w:highlight w:val="white"/>
        </w:rPr>
        <w:t>Reprinted with permission from ref. 58.</w:t>
      </w:r>
      <w:proofErr w:type="gramEnd"/>
      <w:r>
        <w:rPr>
          <w:rFonts w:ascii="Times New Roman" w:eastAsia="Times New Roman" w:hAnsi="Times New Roman" w:cs="Times New Roman"/>
          <w:b w:val="0"/>
          <w:color w:val="111111"/>
          <w:sz w:val="22"/>
          <w:szCs w:val="22"/>
          <w:highlight w:val="white"/>
        </w:rPr>
        <w:t xml:space="preserve"> Copyright© 2011, Springer Nature. </w:t>
      </w: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D41AB9" w:rsidP="00D41AB9">
      <w:pPr>
        <w:pBdr>
          <w:top w:val="nil"/>
          <w:left w:val="nil"/>
          <w:bottom w:val="nil"/>
          <w:right w:val="nil"/>
          <w:between w:val="nil"/>
        </w:pBdr>
        <w:spacing w:after="0" w:line="360" w:lineRule="auto"/>
        <w:ind w:left="851" w:right="55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3.3.1 Doping in Hetero atoms:</w:t>
      </w:r>
    </w:p>
    <w:p w:rsidR="000B3F18" w:rsidRDefault="00D41AB9"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rPr>
        <w:t xml:space="preserve">Doping with heteroatoms is the intentional introduction of foreign atoms from various elements into a material's lattice structure, and it has received a lot of interest in catalysis and materials science because of its capacity to change material characteristics. Heteroatom doping can have a variety of beneficial effects, including changes in electronic structure and </w:t>
      </w:r>
      <w:r w:rsidR="00657200">
        <w:rPr>
          <w:rFonts w:ascii="Times New Roman" w:eastAsia="Times New Roman" w:hAnsi="Times New Roman" w:cs="Times New Roman"/>
          <w:color w:val="000000"/>
          <w:sz w:val="24"/>
          <w:szCs w:val="24"/>
        </w:rPr>
        <w:t>band gap</w:t>
      </w:r>
      <w:r>
        <w:rPr>
          <w:rFonts w:ascii="Times New Roman" w:eastAsia="Times New Roman" w:hAnsi="Times New Roman" w:cs="Times New Roman"/>
          <w:color w:val="000000"/>
          <w:sz w:val="24"/>
          <w:szCs w:val="24"/>
        </w:rPr>
        <w:t xml:space="preserve">, which affect optical, electrical, and catalytic capabilities (Li et al.). </w:t>
      </w:r>
      <w:r>
        <w:rPr>
          <w:rFonts w:ascii="Times New Roman" w:eastAsia="Times New Roman" w:hAnsi="Times New Roman" w:cs="Times New Roman"/>
          <w:sz w:val="24"/>
          <w:szCs w:val="24"/>
        </w:rPr>
        <w:t>Likewise</w:t>
      </w:r>
      <w:r>
        <w:rPr>
          <w:rFonts w:ascii="Times New Roman" w:eastAsia="Times New Roman" w:hAnsi="Times New Roman" w:cs="Times New Roman"/>
          <w:color w:val="000000"/>
          <w:sz w:val="24"/>
          <w:szCs w:val="24"/>
        </w:rPr>
        <w:t xml:space="preserve">, heteroatom doping can affect surface chemistry and reactivity, improving catalytic performance in particular processes (Shi et al.). </w:t>
      </w:r>
      <w:r>
        <w:rPr>
          <w:rFonts w:ascii="Times New Roman" w:eastAsia="Times New Roman" w:hAnsi="Times New Roman" w:cs="Times New Roman"/>
          <w:sz w:val="24"/>
          <w:szCs w:val="24"/>
        </w:rPr>
        <w:t>Heteroatom</w:t>
      </w:r>
      <w:r>
        <w:rPr>
          <w:rFonts w:ascii="Times New Roman" w:eastAsia="Times New Roman" w:hAnsi="Times New Roman" w:cs="Times New Roman"/>
          <w:color w:val="000000"/>
          <w:sz w:val="24"/>
          <w:szCs w:val="24"/>
        </w:rPr>
        <w:t xml:space="preserve"> doping can increase material structural stability and durability, especially in energy storage applications, where it has been investigated to improve electrode material stability and cycle performance (Zhang et al.). </w:t>
      </w: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D41AB9" w:rsidP="00D41AB9">
      <w:pPr>
        <w:pBdr>
          <w:top w:val="nil"/>
          <w:left w:val="nil"/>
          <w:bottom w:val="nil"/>
          <w:right w:val="nil"/>
          <w:between w:val="nil"/>
        </w:pBdr>
        <w:spacing w:after="0" w:line="240" w:lineRule="auto"/>
        <w:ind w:left="851" w:right="55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Doping with heteroatoms such as nitrogen, phosphorus, sulphur, and boron has emerged as a viable method for improving </w:t>
      </w:r>
      <w:r w:rsidR="00657200">
        <w:rPr>
          <w:rFonts w:ascii="Times New Roman" w:eastAsia="Times New Roman" w:hAnsi="Times New Roman" w:cs="Times New Roman"/>
          <w:color w:val="000000"/>
          <w:sz w:val="24"/>
          <w:szCs w:val="24"/>
        </w:rPr>
        <w:t>electro catalyst</w:t>
      </w:r>
      <w:r>
        <w:rPr>
          <w:rFonts w:ascii="Times New Roman" w:eastAsia="Times New Roman" w:hAnsi="Times New Roman" w:cs="Times New Roman"/>
          <w:color w:val="000000"/>
          <w:sz w:val="24"/>
          <w:szCs w:val="24"/>
        </w:rPr>
        <w:t xml:space="preserve"> performance. The incorporation of these foreign atoms into the catalyst material can alter its electronic structure, surface chemistry, and stability, resulting in increased catalytic activity and selectivity. Nitrogen-doped carbon-based catalysts, for example, have demonstrated increased ORR efficiency in fuel cells due to the formation of extra active sites and improved oxygen affinity (Li et al.). Similarly, boron doping has been shown to improve catalyst acidity, increasing selective reactant activation and boosting catalytic performance (Shi et al.). Heteroatom doping has also been investigated for use in battery electrode materials, where it improves stability and cycling performance (Zhang et al.).These studies highlight the effectiveness of heteroatom doping in tailoring </w:t>
      </w:r>
      <w:r w:rsidR="00657200">
        <w:rPr>
          <w:rFonts w:ascii="Times New Roman" w:eastAsia="Times New Roman" w:hAnsi="Times New Roman" w:cs="Times New Roman"/>
          <w:color w:val="000000"/>
          <w:sz w:val="24"/>
          <w:szCs w:val="24"/>
        </w:rPr>
        <w:t>electro catalyst</w:t>
      </w:r>
      <w:r>
        <w:rPr>
          <w:rFonts w:ascii="Times New Roman" w:eastAsia="Times New Roman" w:hAnsi="Times New Roman" w:cs="Times New Roman"/>
          <w:color w:val="000000"/>
          <w:sz w:val="24"/>
          <w:szCs w:val="24"/>
        </w:rPr>
        <w:t xml:space="preserve"> properties for improved performance and pave the way for further advancements in the field. The structural stability and durability of materials can also be affected by heteroatom doping. The addition of heteroatoms can strengthen atom bonds and boost the material's resilience to degradation or structural alterations. This is especially true in the realm of energy storage, where heteroatom doping has been investigated to improve the stability and cycling performance of electrode materials in batteries (Zhang et al.).</w:t>
      </w:r>
    </w:p>
    <w:p w:rsidR="000B3F18" w:rsidRDefault="000B3F18" w:rsidP="00D41AB9">
      <w:pPr>
        <w:pBdr>
          <w:top w:val="nil"/>
          <w:left w:val="nil"/>
          <w:bottom w:val="nil"/>
          <w:right w:val="nil"/>
          <w:between w:val="nil"/>
        </w:pBdr>
        <w:spacing w:after="0" w:line="240" w:lineRule="auto"/>
        <w:ind w:left="851" w:right="559" w:firstLine="720"/>
        <w:jc w:val="both"/>
        <w:rPr>
          <w:rFonts w:ascii="Times New Roman" w:eastAsia="Times New Roman" w:hAnsi="Times New Roman" w:cs="Times New Roman"/>
          <w:color w:val="000000"/>
          <w:sz w:val="24"/>
          <w:szCs w:val="24"/>
        </w:rPr>
      </w:pPr>
    </w:p>
    <w:p w:rsidR="000B3F18" w:rsidRDefault="00657200" w:rsidP="00D41AB9">
      <w:pPr>
        <w:pBdr>
          <w:top w:val="nil"/>
          <w:left w:val="nil"/>
          <w:bottom w:val="nil"/>
          <w:right w:val="nil"/>
          <w:between w:val="nil"/>
        </w:pBdr>
        <w:spacing w:after="0" w:line="240" w:lineRule="auto"/>
        <w:ind w:left="851" w:right="55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Electro catalysts</w:t>
      </w:r>
      <w:r w:rsidR="00D41AB9">
        <w:rPr>
          <w:rFonts w:ascii="Times New Roman" w:eastAsia="Times New Roman" w:hAnsi="Times New Roman" w:cs="Times New Roman"/>
          <w:color w:val="000000"/>
          <w:sz w:val="24"/>
          <w:szCs w:val="24"/>
        </w:rPr>
        <w:t xml:space="preserve"> for the ORR are usually made of pure carbon materials including </w:t>
      </w:r>
      <w:proofErr w:type="spellStart"/>
      <w:r w:rsidR="00D41AB9">
        <w:rPr>
          <w:rFonts w:ascii="Times New Roman" w:eastAsia="Times New Roman" w:hAnsi="Times New Roman" w:cs="Times New Roman"/>
          <w:color w:val="000000"/>
          <w:sz w:val="24"/>
          <w:szCs w:val="24"/>
        </w:rPr>
        <w:t>graphene</w:t>
      </w:r>
      <w:proofErr w:type="spellEnd"/>
      <w:r w:rsidR="00D41AB9">
        <w:rPr>
          <w:rFonts w:ascii="Times New Roman" w:eastAsia="Times New Roman" w:hAnsi="Times New Roman" w:cs="Times New Roman"/>
          <w:color w:val="000000"/>
          <w:sz w:val="24"/>
          <w:szCs w:val="24"/>
        </w:rPr>
        <w:t xml:space="preserve">, carbon black, CNTs, CNFs (carbon </w:t>
      </w:r>
      <w:proofErr w:type="spellStart"/>
      <w:r w:rsidR="00D41AB9">
        <w:rPr>
          <w:rFonts w:ascii="Times New Roman" w:eastAsia="Times New Roman" w:hAnsi="Times New Roman" w:cs="Times New Roman"/>
          <w:sz w:val="24"/>
          <w:szCs w:val="24"/>
        </w:rPr>
        <w:t>nano</w:t>
      </w:r>
      <w:proofErr w:type="spellEnd"/>
      <w:r w:rsidR="00C72EF8">
        <w:rPr>
          <w:rFonts w:ascii="Times New Roman" w:eastAsia="Times New Roman" w:hAnsi="Times New Roman" w:cs="Times New Roman"/>
          <w:sz w:val="24"/>
          <w:szCs w:val="24"/>
        </w:rPr>
        <w:t xml:space="preserve"> </w:t>
      </w:r>
      <w:proofErr w:type="spellStart"/>
      <w:r w:rsidR="00D41AB9">
        <w:rPr>
          <w:rFonts w:ascii="Times New Roman" w:eastAsia="Times New Roman" w:hAnsi="Times New Roman" w:cs="Times New Roman"/>
          <w:sz w:val="24"/>
          <w:szCs w:val="24"/>
        </w:rPr>
        <w:t>fibers</w:t>
      </w:r>
      <w:proofErr w:type="spellEnd"/>
      <w:r w:rsidR="00D41AB9">
        <w:rPr>
          <w:rFonts w:ascii="Times New Roman" w:eastAsia="Times New Roman" w:hAnsi="Times New Roman" w:cs="Times New Roman"/>
          <w:color w:val="000000"/>
          <w:sz w:val="24"/>
          <w:szCs w:val="24"/>
        </w:rPr>
        <w:t xml:space="preserve">), </w:t>
      </w:r>
      <w:proofErr w:type="spellStart"/>
      <w:r w:rsidR="00D41AB9">
        <w:rPr>
          <w:rFonts w:ascii="Times New Roman" w:eastAsia="Times New Roman" w:hAnsi="Times New Roman" w:cs="Times New Roman"/>
          <w:color w:val="000000"/>
          <w:sz w:val="24"/>
          <w:szCs w:val="24"/>
        </w:rPr>
        <w:t>mesoporous</w:t>
      </w:r>
      <w:proofErr w:type="spellEnd"/>
      <w:r w:rsidR="00D41AB9">
        <w:rPr>
          <w:rFonts w:ascii="Times New Roman" w:eastAsia="Times New Roman" w:hAnsi="Times New Roman" w:cs="Times New Roman"/>
          <w:color w:val="000000"/>
          <w:sz w:val="24"/>
          <w:szCs w:val="24"/>
        </w:rPr>
        <w:t xml:space="preserve"> carbon, activated carbon, and others. Yet hetero atom doping, like N doping, may greatly boost the </w:t>
      </w:r>
      <w:r>
        <w:rPr>
          <w:rFonts w:ascii="Times New Roman" w:eastAsia="Times New Roman" w:hAnsi="Times New Roman" w:cs="Times New Roman"/>
          <w:color w:val="000000"/>
          <w:sz w:val="24"/>
          <w:szCs w:val="24"/>
        </w:rPr>
        <w:t>electro catalytic</w:t>
      </w:r>
      <w:r w:rsidR="00D41AB9">
        <w:rPr>
          <w:rFonts w:ascii="Times New Roman" w:eastAsia="Times New Roman" w:hAnsi="Times New Roman" w:cs="Times New Roman"/>
          <w:color w:val="000000"/>
          <w:sz w:val="24"/>
          <w:szCs w:val="24"/>
        </w:rPr>
        <w:t xml:space="preserve"> activity of carbon materials. Experimentally adding hetero atoms to carbon materials may be done in two ways: in situ doping during the synthesis of the carbon materials or post-processing of a mixture of per-synthesised carbon materials and dopant-containing materials. It has been possible to precisely identify the dopants on the surface of hetero atom-doped carbon materials by using the components and chemical composition of XPS (X-ray </w:t>
      </w:r>
      <w:r w:rsidR="00D41AB9">
        <w:rPr>
          <w:rFonts w:ascii="Times New Roman" w:eastAsia="Times New Roman" w:hAnsi="Times New Roman" w:cs="Times New Roman"/>
          <w:sz w:val="24"/>
          <w:szCs w:val="24"/>
        </w:rPr>
        <w:t>photoelectron</w:t>
      </w:r>
      <w:r w:rsidR="00D41AB9">
        <w:rPr>
          <w:rFonts w:ascii="Times New Roman" w:eastAsia="Times New Roman" w:hAnsi="Times New Roman" w:cs="Times New Roman"/>
          <w:color w:val="000000"/>
          <w:sz w:val="24"/>
          <w:szCs w:val="24"/>
        </w:rPr>
        <w:t xml:space="preserve"> spectroscopy). X-ray beams may be used to inspect the shape and placement of each element's atoms in newly generated doped carbon compounds. The electron configuration may be inferred simply from the peaks, whose shape and location depend on the binding energy of electrons. </w:t>
      </w:r>
    </w:p>
    <w:p w:rsidR="000B3F18" w:rsidRDefault="000B3F18" w:rsidP="00D41AB9">
      <w:pPr>
        <w:pBdr>
          <w:top w:val="nil"/>
          <w:left w:val="nil"/>
          <w:bottom w:val="nil"/>
          <w:right w:val="nil"/>
          <w:between w:val="nil"/>
        </w:pBdr>
        <w:spacing w:after="0" w:line="240" w:lineRule="auto"/>
        <w:ind w:left="851" w:right="559" w:firstLine="720"/>
        <w:jc w:val="both"/>
        <w:rPr>
          <w:rFonts w:ascii="Times New Roman" w:eastAsia="Times New Roman" w:hAnsi="Times New Roman" w:cs="Times New Roman"/>
          <w:color w:val="000000"/>
          <w:sz w:val="24"/>
          <w:szCs w:val="24"/>
        </w:rPr>
      </w:pPr>
    </w:p>
    <w:p w:rsidR="000B3F18" w:rsidRDefault="00D41AB9" w:rsidP="00D41AB9">
      <w:pPr>
        <w:pBdr>
          <w:top w:val="nil"/>
          <w:left w:val="nil"/>
          <w:bottom w:val="nil"/>
          <w:right w:val="nil"/>
          <w:between w:val="nil"/>
        </w:pBdr>
        <w:spacing w:after="0" w:line="240" w:lineRule="auto"/>
        <w:ind w:left="851" w:right="55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According to </w:t>
      </w:r>
      <w:proofErr w:type="spellStart"/>
      <w:r>
        <w:rPr>
          <w:rFonts w:ascii="Times New Roman" w:eastAsia="Times New Roman" w:hAnsi="Times New Roman" w:cs="Times New Roman"/>
          <w:color w:val="000000"/>
          <w:sz w:val="24"/>
          <w:szCs w:val="24"/>
        </w:rPr>
        <w:t>Kundu</w:t>
      </w:r>
      <w:proofErr w:type="spellEnd"/>
      <w:r>
        <w:rPr>
          <w:rFonts w:ascii="Times New Roman" w:eastAsia="Times New Roman" w:hAnsi="Times New Roman" w:cs="Times New Roman"/>
          <w:color w:val="000000"/>
          <w:sz w:val="24"/>
          <w:szCs w:val="24"/>
        </w:rPr>
        <w:t xml:space="preserve"> et al., XAS (X-ray absorption spectroscopy), which includes XANES (X-ray absorption near-edge spectroscopy) and EXAFS (extended X-ray absorption fine-structure spectroscopy), can be used to further define the coordination chemistry, atomic species, oxidation state, and bond length of </w:t>
      </w:r>
      <w:r w:rsidR="00657200">
        <w:rPr>
          <w:rFonts w:ascii="Times New Roman" w:eastAsia="Times New Roman" w:hAnsi="Times New Roman" w:cs="Times New Roman"/>
          <w:color w:val="000000"/>
          <w:sz w:val="24"/>
          <w:szCs w:val="24"/>
        </w:rPr>
        <w:t>electro catalysts</w:t>
      </w:r>
      <w:r>
        <w:rPr>
          <w:rFonts w:ascii="Times New Roman" w:eastAsia="Times New Roman" w:hAnsi="Times New Roman" w:cs="Times New Roman"/>
          <w:color w:val="000000"/>
          <w:sz w:val="24"/>
          <w:szCs w:val="24"/>
        </w:rPr>
        <w:t xml:space="preserve">. </w:t>
      </w:r>
      <w:r w:rsidR="00657200">
        <w:rPr>
          <w:rFonts w:ascii="Times New Roman" w:eastAsia="Times New Roman" w:hAnsi="Times New Roman" w:cs="Times New Roman"/>
          <w:color w:val="000000"/>
          <w:sz w:val="24"/>
          <w:szCs w:val="24"/>
        </w:rPr>
        <w:t>Electro catalyst</w:t>
      </w:r>
      <w:r>
        <w:rPr>
          <w:rFonts w:ascii="Times New Roman" w:eastAsia="Times New Roman" w:hAnsi="Times New Roman" w:cs="Times New Roman"/>
          <w:color w:val="000000"/>
          <w:sz w:val="24"/>
          <w:szCs w:val="24"/>
        </w:rPr>
        <w:t xml:space="preserve"> coordination chemistry, atomic species, oxidation state, and bond length are all determined by XAS, more precisely XANES and EXAFS. Insights on the electron configuration of these catalysts may be learned by examining the X-ray absorption </w:t>
      </w:r>
      <w:r w:rsidR="00657200">
        <w:rPr>
          <w:rFonts w:ascii="Times New Roman" w:eastAsia="Times New Roman" w:hAnsi="Times New Roman" w:cs="Times New Roman"/>
          <w:color w:val="000000"/>
          <w:sz w:val="24"/>
          <w:szCs w:val="24"/>
        </w:rPr>
        <w:t>spectra. Insights</w:t>
      </w:r>
      <w:r>
        <w:rPr>
          <w:rFonts w:ascii="Times New Roman" w:eastAsia="Times New Roman" w:hAnsi="Times New Roman" w:cs="Times New Roman"/>
          <w:color w:val="000000"/>
          <w:sz w:val="24"/>
          <w:szCs w:val="24"/>
        </w:rPr>
        <w:t xml:space="preserve"> on the electron configuration of these catalysts may be learned by examining the X-ray absorption spectra. The peaks seen in the spectra, which match the binding energies of the electrons, are significant indicators of how the electrons are arranged inside the system. With the use of this non-destructive method, </w:t>
      </w:r>
      <w:r w:rsidR="00657200">
        <w:rPr>
          <w:rFonts w:ascii="Times New Roman" w:eastAsia="Times New Roman" w:hAnsi="Times New Roman" w:cs="Times New Roman"/>
          <w:color w:val="000000"/>
          <w:sz w:val="24"/>
          <w:szCs w:val="24"/>
        </w:rPr>
        <w:t>electro catalysts</w:t>
      </w:r>
      <w:r>
        <w:rPr>
          <w:rFonts w:ascii="Times New Roman" w:eastAsia="Times New Roman" w:hAnsi="Times New Roman" w:cs="Times New Roman"/>
          <w:color w:val="000000"/>
          <w:sz w:val="24"/>
          <w:szCs w:val="24"/>
        </w:rPr>
        <w:t xml:space="preserve"> may be thoroughly characterised without endangering the sample. According to </w:t>
      </w:r>
      <w:proofErr w:type="spellStart"/>
      <w:r>
        <w:rPr>
          <w:rFonts w:ascii="Times New Roman" w:eastAsia="Times New Roman" w:hAnsi="Times New Roman" w:cs="Times New Roman"/>
          <w:color w:val="000000"/>
          <w:sz w:val="24"/>
          <w:szCs w:val="24"/>
        </w:rPr>
        <w:t>Kundu</w:t>
      </w:r>
      <w:proofErr w:type="spellEnd"/>
      <w:r>
        <w:rPr>
          <w:rFonts w:ascii="Times New Roman" w:eastAsia="Times New Roman" w:hAnsi="Times New Roman" w:cs="Times New Roman"/>
          <w:color w:val="000000"/>
          <w:sz w:val="24"/>
          <w:szCs w:val="24"/>
        </w:rPr>
        <w:t xml:space="preserve"> et al., XAS is crucial for deciphering the fine features of </w:t>
      </w:r>
      <w:r w:rsidR="00657200">
        <w:rPr>
          <w:rFonts w:ascii="Times New Roman" w:eastAsia="Times New Roman" w:hAnsi="Times New Roman" w:cs="Times New Roman"/>
          <w:color w:val="000000"/>
          <w:sz w:val="24"/>
          <w:szCs w:val="24"/>
        </w:rPr>
        <w:t>electro catalytic</w:t>
      </w:r>
      <w:r>
        <w:rPr>
          <w:rFonts w:ascii="Times New Roman" w:eastAsia="Times New Roman" w:hAnsi="Times New Roman" w:cs="Times New Roman"/>
          <w:color w:val="000000"/>
          <w:sz w:val="24"/>
          <w:szCs w:val="24"/>
        </w:rPr>
        <w:t xml:space="preserve"> processes and has the potential to further our understanding of catalysis. XAS is an effective technique for investigating </w:t>
      </w:r>
      <w:r w:rsidR="00657200">
        <w:rPr>
          <w:rFonts w:ascii="Times New Roman" w:eastAsia="Times New Roman" w:hAnsi="Times New Roman" w:cs="Times New Roman"/>
          <w:color w:val="000000"/>
          <w:sz w:val="24"/>
          <w:szCs w:val="24"/>
        </w:rPr>
        <w:t>electro catalysis</w:t>
      </w:r>
      <w:r>
        <w:rPr>
          <w:rFonts w:ascii="Times New Roman" w:eastAsia="Times New Roman" w:hAnsi="Times New Roman" w:cs="Times New Roman"/>
          <w:color w:val="000000"/>
          <w:sz w:val="24"/>
          <w:szCs w:val="24"/>
        </w:rPr>
        <w:t xml:space="preserve"> because it can offer accurate details regarding electron configuration and bonding properties. It also holds tremendous potential for future developments in this area.</w:t>
      </w:r>
    </w:p>
    <w:p w:rsidR="000B3F18" w:rsidRDefault="00D41AB9" w:rsidP="00D41AB9">
      <w:pPr>
        <w:pBdr>
          <w:top w:val="nil"/>
          <w:left w:val="nil"/>
          <w:bottom w:val="nil"/>
          <w:right w:val="nil"/>
          <w:between w:val="nil"/>
        </w:pBdr>
        <w:spacing w:after="0" w:line="240" w:lineRule="auto"/>
        <w:ind w:left="851" w:right="559" w:firstLine="720"/>
        <w:jc w:val="both"/>
        <w:rPr>
          <w:rFonts w:ascii="Times New Roman" w:eastAsia="Times New Roman" w:hAnsi="Times New Roman" w:cs="Times New Roman"/>
          <w:color w:val="000000"/>
          <w:sz w:val="24"/>
          <w:szCs w:val="24"/>
        </w:rPr>
      </w:pPr>
      <w:r>
        <w:rPr>
          <w:noProof/>
        </w:rPr>
        <w:drawing>
          <wp:anchor distT="0" distB="0" distL="114300" distR="114300" simplePos="0" relativeHeight="251662336" behindDoc="0" locked="0" layoutInCell="1" hidden="0" allowOverlap="1" wp14:anchorId="75F21DC0" wp14:editId="646C47AF">
            <wp:simplePos x="0" y="0"/>
            <wp:positionH relativeFrom="column">
              <wp:posOffset>1696085</wp:posOffset>
            </wp:positionH>
            <wp:positionV relativeFrom="paragraph">
              <wp:posOffset>99060</wp:posOffset>
            </wp:positionV>
            <wp:extent cx="3199130" cy="1870710"/>
            <wp:effectExtent l="0" t="0" r="0" b="0"/>
            <wp:wrapSquare wrapText="bothSides" distT="0" distB="0" distL="114300" distR="114300"/>
            <wp:docPr id="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3199130" cy="1870710"/>
                    </a:xfrm>
                    <a:prstGeom prst="rect">
                      <a:avLst/>
                    </a:prstGeom>
                    <a:ln/>
                  </pic:spPr>
                </pic:pic>
              </a:graphicData>
            </a:graphic>
          </wp:anchor>
        </w:drawing>
      </w: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pBdr>
          <w:top w:val="nil"/>
          <w:left w:val="nil"/>
          <w:bottom w:val="nil"/>
          <w:right w:val="nil"/>
          <w:between w:val="nil"/>
        </w:pBdr>
        <w:spacing w:after="0" w:line="240" w:lineRule="auto"/>
        <w:ind w:left="851" w:right="559"/>
        <w:jc w:val="both"/>
        <w:rPr>
          <w:rFonts w:ascii="Times New Roman" w:eastAsia="Times New Roman" w:hAnsi="Times New Roman" w:cs="Times New Roman"/>
          <w:color w:val="000000"/>
          <w:sz w:val="24"/>
          <w:szCs w:val="24"/>
        </w:rPr>
      </w:pPr>
    </w:p>
    <w:p w:rsidR="000B3F18" w:rsidRDefault="00D41AB9" w:rsidP="00D41AB9">
      <w:pPr>
        <w:ind w:left="851" w:right="559"/>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Fig.</w:t>
      </w:r>
      <w:proofErr w:type="gramEnd"/>
      <w:r w:rsidR="007E36B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No: 4, Schematic illustration of the commonly doped N species in graphic carbon materials and the corresponding binding energy (</w:t>
      </w:r>
      <w:proofErr w:type="spellStart"/>
      <w:r>
        <w:rPr>
          <w:rFonts w:ascii="Times New Roman" w:eastAsia="Times New Roman" w:hAnsi="Times New Roman" w:cs="Times New Roman"/>
          <w:color w:val="000000"/>
          <w:sz w:val="24"/>
          <w:szCs w:val="24"/>
        </w:rPr>
        <w:t>Copyright©AAAS</w:t>
      </w:r>
      <w:proofErr w:type="spellEnd"/>
      <w:r>
        <w:rPr>
          <w:rFonts w:ascii="Times New Roman" w:eastAsia="Times New Roman" w:hAnsi="Times New Roman" w:cs="Times New Roman"/>
          <w:color w:val="000000"/>
          <w:sz w:val="24"/>
          <w:szCs w:val="24"/>
        </w:rPr>
        <w:t xml:space="preserve"> 2015)</w:t>
      </w:r>
    </w:p>
    <w:p w:rsidR="000B3F18" w:rsidRDefault="00D41AB9" w:rsidP="00D41AB9">
      <w:pPr>
        <w:pBdr>
          <w:top w:val="nil"/>
          <w:left w:val="nil"/>
          <w:bottom w:val="nil"/>
          <w:right w:val="nil"/>
          <w:between w:val="nil"/>
        </w:pBdr>
        <w:spacing w:after="0" w:line="360" w:lineRule="auto"/>
        <w:ind w:left="851" w:right="55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3.3.2 Single Doping:</w:t>
      </w:r>
    </w:p>
    <w:p w:rsidR="000B3F18" w:rsidRDefault="00D41AB9" w:rsidP="00D41AB9">
      <w:pPr>
        <w:pBdr>
          <w:top w:val="nil"/>
          <w:left w:val="nil"/>
          <w:bottom w:val="nil"/>
          <w:right w:val="nil"/>
          <w:between w:val="nil"/>
        </w:pBdr>
        <w:spacing w:after="0" w:line="240" w:lineRule="auto"/>
        <w:ind w:left="851" w:right="55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Single doping, also known as </w:t>
      </w:r>
      <w:r>
        <w:rPr>
          <w:rFonts w:ascii="Times New Roman" w:eastAsia="Times New Roman" w:hAnsi="Times New Roman" w:cs="Times New Roman"/>
          <w:sz w:val="24"/>
          <w:szCs w:val="24"/>
        </w:rPr>
        <w:t>mono doping</w:t>
      </w:r>
      <w:r>
        <w:rPr>
          <w:rFonts w:ascii="Times New Roman" w:eastAsia="Times New Roman" w:hAnsi="Times New Roman" w:cs="Times New Roman"/>
          <w:color w:val="000000"/>
          <w:sz w:val="24"/>
          <w:szCs w:val="24"/>
        </w:rPr>
        <w:t xml:space="preserve">, is the purposeful introduction of a single heteroatom into the lattice structure of a material. This doping approach has been widely used to change the characteristics and performance of materials in a variety of applications, including catalysis, energy storage, and optoelectronics. Single heteroatom doping can have a significant influence on material electrical structure, </w:t>
      </w:r>
      <w:r w:rsidR="00657200">
        <w:rPr>
          <w:rFonts w:ascii="Times New Roman" w:eastAsia="Times New Roman" w:hAnsi="Times New Roman" w:cs="Times New Roman"/>
          <w:color w:val="000000"/>
          <w:sz w:val="24"/>
          <w:szCs w:val="24"/>
        </w:rPr>
        <w:t>band gap</w:t>
      </w:r>
      <w:r>
        <w:rPr>
          <w:rFonts w:ascii="Times New Roman" w:eastAsia="Times New Roman" w:hAnsi="Times New Roman" w:cs="Times New Roman"/>
          <w:color w:val="000000"/>
          <w:sz w:val="24"/>
          <w:szCs w:val="24"/>
        </w:rPr>
        <w:t xml:space="preserve">, surface chemistry, and stability. For example, (Li et al.) revealed that single phosphorus doping in carbon materials improved their electrochemical performance for the ORR in fuel cells substantially. The addition of a single phosphorus atom increased catalytic activity and stability, making the doped materials very effective ORR catalysts. Likewise, (Zhou et al.) demonstrated that single nitrogen doping in </w:t>
      </w:r>
      <w:proofErr w:type="spellStart"/>
      <w:r>
        <w:rPr>
          <w:rFonts w:ascii="Times New Roman" w:eastAsia="Times New Roman" w:hAnsi="Times New Roman" w:cs="Times New Roman"/>
          <w:color w:val="000000"/>
          <w:sz w:val="24"/>
          <w:szCs w:val="24"/>
        </w:rPr>
        <w:t>graphene</w:t>
      </w:r>
      <w:proofErr w:type="spellEnd"/>
      <w:r>
        <w:rPr>
          <w:rFonts w:ascii="Times New Roman" w:eastAsia="Times New Roman" w:hAnsi="Times New Roman" w:cs="Times New Roman"/>
          <w:color w:val="000000"/>
          <w:sz w:val="24"/>
          <w:szCs w:val="24"/>
        </w:rPr>
        <w:t xml:space="preserve"> might considerably improve its charge Because of its carrier mobility, it is an ideal choice for high-performance optoelectronic devices. These experiments demonstrate the efficiency of single doping in modifying material characteristics for specific applications, indicating its promise in a variety of domains (Zhou et al.).</w:t>
      </w:r>
    </w:p>
    <w:p w:rsidR="000B3F18" w:rsidRDefault="000B3F18" w:rsidP="00D41AB9">
      <w:pPr>
        <w:pBdr>
          <w:top w:val="nil"/>
          <w:left w:val="nil"/>
          <w:bottom w:val="nil"/>
          <w:right w:val="nil"/>
          <w:between w:val="nil"/>
        </w:pBdr>
        <w:spacing w:after="0" w:line="240" w:lineRule="auto"/>
        <w:ind w:left="851" w:right="559" w:firstLine="720"/>
        <w:jc w:val="both"/>
        <w:rPr>
          <w:rFonts w:ascii="Times New Roman" w:eastAsia="Times New Roman" w:hAnsi="Times New Roman" w:cs="Times New Roman"/>
          <w:color w:val="000000"/>
          <w:sz w:val="24"/>
          <w:szCs w:val="24"/>
        </w:rPr>
      </w:pPr>
    </w:p>
    <w:p w:rsidR="000B3F18" w:rsidRDefault="00D41AB9" w:rsidP="00D41AB9">
      <w:pPr>
        <w:pBdr>
          <w:top w:val="nil"/>
          <w:left w:val="nil"/>
          <w:bottom w:val="nil"/>
          <w:right w:val="nil"/>
          <w:between w:val="nil"/>
        </w:pBdr>
        <w:spacing w:after="0" w:line="240" w:lineRule="auto"/>
        <w:ind w:left="851" w:right="55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Single doping, or the introduction of a single heteroatom into an </w:t>
      </w:r>
      <w:r w:rsidR="00657200">
        <w:rPr>
          <w:rFonts w:ascii="Times New Roman" w:eastAsia="Times New Roman" w:hAnsi="Times New Roman" w:cs="Times New Roman"/>
          <w:color w:val="000000"/>
          <w:sz w:val="24"/>
          <w:szCs w:val="24"/>
        </w:rPr>
        <w:t>electro catalyst’s</w:t>
      </w:r>
      <w:r>
        <w:rPr>
          <w:rFonts w:ascii="Times New Roman" w:eastAsia="Times New Roman" w:hAnsi="Times New Roman" w:cs="Times New Roman"/>
          <w:color w:val="000000"/>
          <w:sz w:val="24"/>
          <w:szCs w:val="24"/>
        </w:rPr>
        <w:t xml:space="preserve"> lattice structure, has been intensively investigated for improving </w:t>
      </w:r>
      <w:r w:rsidR="00657200">
        <w:rPr>
          <w:rFonts w:ascii="Times New Roman" w:eastAsia="Times New Roman" w:hAnsi="Times New Roman" w:cs="Times New Roman"/>
          <w:color w:val="000000"/>
          <w:sz w:val="24"/>
          <w:szCs w:val="24"/>
        </w:rPr>
        <w:t>electro catalytic</w:t>
      </w:r>
      <w:r>
        <w:rPr>
          <w:rFonts w:ascii="Times New Roman" w:eastAsia="Times New Roman" w:hAnsi="Times New Roman" w:cs="Times New Roman"/>
          <w:color w:val="000000"/>
          <w:sz w:val="24"/>
          <w:szCs w:val="24"/>
        </w:rPr>
        <w:t xml:space="preserve"> activity and stability. (Li et al.</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evaluated the effect of single nitrogen doping on carbon-based catalysts for the ORR and discovered that nitrogen atoms introduced another active sites and increased ORR performance. Similarly, (Wang et al.) investigated the effect of single phosphorus doping on transition metal-based catalysts for the hydrogen evolution process (HER) and discovered increased HER activity as a result of the catalyst's electronic structure being altered. These results show that single doping may be used to adjust the characteristics of electro</w:t>
      </w:r>
      <w:r w:rsidR="007E36B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catalysts for enhanced performance (Wang et al.).</w:t>
      </w:r>
    </w:p>
    <w:p w:rsidR="000B3F18" w:rsidRDefault="000B3F18" w:rsidP="00D41AB9">
      <w:pPr>
        <w:pBdr>
          <w:top w:val="nil"/>
          <w:left w:val="nil"/>
          <w:bottom w:val="nil"/>
          <w:right w:val="nil"/>
          <w:between w:val="nil"/>
        </w:pBdr>
        <w:spacing w:after="0" w:line="240" w:lineRule="auto"/>
        <w:ind w:left="851" w:right="559" w:firstLine="720"/>
        <w:jc w:val="both"/>
        <w:rPr>
          <w:rFonts w:ascii="Times New Roman" w:eastAsia="Times New Roman" w:hAnsi="Times New Roman" w:cs="Times New Roman"/>
          <w:color w:val="000000"/>
          <w:sz w:val="24"/>
          <w:szCs w:val="24"/>
        </w:rPr>
      </w:pPr>
    </w:p>
    <w:p w:rsidR="000B3F18" w:rsidRDefault="00D41AB9" w:rsidP="00D41AB9">
      <w:pPr>
        <w:spacing w:after="0" w:line="240" w:lineRule="auto"/>
        <w:ind w:left="851" w:right="55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According to the vast majority of research, doping N atoms in the C basal planes considerably boosted the ORR activity of carbon materials. So what kind of N groups act as the ORR's catalytic centres? Is the total N concentration important for ORR or not? These problems are still not well comprehended. N-doped carbon materials commonly include four N species: </w:t>
      </w:r>
      <w:proofErr w:type="spellStart"/>
      <w:r>
        <w:rPr>
          <w:rFonts w:ascii="Times New Roman" w:eastAsia="Times New Roman" w:hAnsi="Times New Roman" w:cs="Times New Roman"/>
          <w:color w:val="000000"/>
          <w:sz w:val="24"/>
          <w:szCs w:val="24"/>
        </w:rPr>
        <w:t>pyridinic</w:t>
      </w:r>
      <w:proofErr w:type="spellEnd"/>
      <w:r>
        <w:rPr>
          <w:rFonts w:ascii="Times New Roman" w:eastAsia="Times New Roman" w:hAnsi="Times New Roman" w:cs="Times New Roman"/>
          <w:color w:val="000000"/>
          <w:sz w:val="24"/>
          <w:szCs w:val="24"/>
        </w:rPr>
        <w:t xml:space="preserve"> N, </w:t>
      </w:r>
      <w:proofErr w:type="spellStart"/>
      <w:r>
        <w:rPr>
          <w:rFonts w:ascii="Times New Roman" w:eastAsia="Times New Roman" w:hAnsi="Times New Roman" w:cs="Times New Roman"/>
          <w:color w:val="000000"/>
          <w:sz w:val="24"/>
          <w:szCs w:val="24"/>
        </w:rPr>
        <w:t>pyrrolic</w:t>
      </w:r>
      <w:proofErr w:type="spellEnd"/>
      <w:r>
        <w:rPr>
          <w:rFonts w:ascii="Times New Roman" w:eastAsia="Times New Roman" w:hAnsi="Times New Roman" w:cs="Times New Roman"/>
          <w:color w:val="000000"/>
          <w:sz w:val="24"/>
          <w:szCs w:val="24"/>
        </w:rPr>
        <w:t xml:space="preserve"> N, quaternary N (also known as quaternary-N), and N-oxides of </w:t>
      </w:r>
      <w:proofErr w:type="spellStart"/>
      <w:r>
        <w:rPr>
          <w:rFonts w:ascii="Times New Roman" w:eastAsia="Times New Roman" w:hAnsi="Times New Roman" w:cs="Times New Roman"/>
          <w:color w:val="000000"/>
          <w:sz w:val="24"/>
          <w:szCs w:val="24"/>
        </w:rPr>
        <w:t>pyridinic</w:t>
      </w:r>
      <w:proofErr w:type="spellEnd"/>
      <w:r>
        <w:rPr>
          <w:rFonts w:ascii="Times New Roman" w:eastAsia="Times New Roman" w:hAnsi="Times New Roman" w:cs="Times New Roman"/>
          <w:color w:val="000000"/>
          <w:sz w:val="24"/>
          <w:szCs w:val="24"/>
        </w:rPr>
        <w:t xml:space="preserve"> N. According to certain studies (Ma et al.), </w:t>
      </w:r>
      <w:proofErr w:type="spellStart"/>
      <w:r>
        <w:rPr>
          <w:rFonts w:ascii="Times New Roman" w:eastAsia="Times New Roman" w:hAnsi="Times New Roman" w:cs="Times New Roman"/>
          <w:color w:val="000000"/>
          <w:sz w:val="24"/>
          <w:szCs w:val="24"/>
        </w:rPr>
        <w:t>pyridinic</w:t>
      </w:r>
      <w:proofErr w:type="spellEnd"/>
      <w:r>
        <w:rPr>
          <w:rFonts w:ascii="Times New Roman" w:eastAsia="Times New Roman" w:hAnsi="Times New Roman" w:cs="Times New Roman"/>
          <w:color w:val="000000"/>
          <w:sz w:val="24"/>
          <w:szCs w:val="24"/>
        </w:rPr>
        <w:t xml:space="preserve"> N works well as an active centre to boost </w:t>
      </w:r>
      <w:proofErr w:type="spellStart"/>
      <w:r>
        <w:rPr>
          <w:rFonts w:ascii="Times New Roman" w:eastAsia="Times New Roman" w:hAnsi="Times New Roman" w:cs="Times New Roman"/>
          <w:color w:val="000000"/>
          <w:sz w:val="24"/>
          <w:szCs w:val="24"/>
        </w:rPr>
        <w:t>electrocatalytic</w:t>
      </w:r>
      <w:proofErr w:type="spellEnd"/>
      <w:r>
        <w:rPr>
          <w:rFonts w:ascii="Times New Roman" w:eastAsia="Times New Roman" w:hAnsi="Times New Roman" w:cs="Times New Roman"/>
          <w:color w:val="000000"/>
          <w:sz w:val="24"/>
          <w:szCs w:val="24"/>
        </w:rPr>
        <w:t xml:space="preserve"> ORR performance. </w:t>
      </w:r>
      <w:r>
        <w:rPr>
          <w:rFonts w:ascii="Times New Roman" w:eastAsia="Times New Roman" w:hAnsi="Times New Roman" w:cs="Times New Roman"/>
          <w:sz w:val="24"/>
          <w:szCs w:val="24"/>
        </w:rPr>
        <w:t>Others insisted</w:t>
      </w:r>
      <w:r>
        <w:rPr>
          <w:rFonts w:ascii="Times New Roman" w:eastAsia="Times New Roman" w:hAnsi="Times New Roman" w:cs="Times New Roman"/>
          <w:color w:val="000000"/>
          <w:sz w:val="24"/>
          <w:szCs w:val="24"/>
        </w:rPr>
        <w:t xml:space="preserve"> that the improvement in ORR performance was far more attributable to </w:t>
      </w:r>
      <w:proofErr w:type="spellStart"/>
      <w:r>
        <w:rPr>
          <w:rFonts w:ascii="Times New Roman" w:eastAsia="Times New Roman" w:hAnsi="Times New Roman" w:cs="Times New Roman"/>
          <w:color w:val="000000"/>
          <w:sz w:val="24"/>
          <w:szCs w:val="24"/>
        </w:rPr>
        <w:t>pyridinic</w:t>
      </w:r>
      <w:proofErr w:type="spellEnd"/>
      <w:r>
        <w:rPr>
          <w:rFonts w:ascii="Times New Roman" w:eastAsia="Times New Roman" w:hAnsi="Times New Roman" w:cs="Times New Roman"/>
          <w:color w:val="000000"/>
          <w:sz w:val="24"/>
          <w:szCs w:val="24"/>
        </w:rPr>
        <w:t xml:space="preserve"> N than graphitic N. (Lai et al.). Even yet, Zhao et al. and Chen et al. thought that greater N dopant concentrations in N-doped carbon catalysts were associated with better </w:t>
      </w:r>
      <w:proofErr w:type="spellStart"/>
      <w:r>
        <w:rPr>
          <w:rFonts w:ascii="Times New Roman" w:eastAsia="Times New Roman" w:hAnsi="Times New Roman" w:cs="Times New Roman"/>
          <w:color w:val="000000"/>
          <w:sz w:val="24"/>
          <w:szCs w:val="24"/>
        </w:rPr>
        <w:t>electrocatalytic</w:t>
      </w:r>
      <w:proofErr w:type="spellEnd"/>
      <w:r>
        <w:rPr>
          <w:rFonts w:ascii="Times New Roman" w:eastAsia="Times New Roman" w:hAnsi="Times New Roman" w:cs="Times New Roman"/>
          <w:color w:val="000000"/>
          <w:sz w:val="24"/>
          <w:szCs w:val="24"/>
        </w:rPr>
        <w:t xml:space="preserve"> activity towards ORR. The simultaneous synthesis of several N species poses the main difficulty to explain the distinct active site since accurate management of N species is difficult. On the basis of HOPG (highly oriented </w:t>
      </w:r>
      <w:proofErr w:type="spellStart"/>
      <w:r>
        <w:rPr>
          <w:rFonts w:ascii="Times New Roman" w:eastAsia="Times New Roman" w:hAnsi="Times New Roman" w:cs="Times New Roman"/>
          <w:color w:val="000000"/>
          <w:sz w:val="24"/>
          <w:szCs w:val="24"/>
        </w:rPr>
        <w:t>pyrolytic</w:t>
      </w:r>
      <w:proofErr w:type="spellEnd"/>
      <w:r>
        <w:rPr>
          <w:rFonts w:ascii="Times New Roman" w:eastAsia="Times New Roman" w:hAnsi="Times New Roman" w:cs="Times New Roman"/>
          <w:color w:val="000000"/>
          <w:sz w:val="24"/>
          <w:szCs w:val="24"/>
        </w:rPr>
        <w:t xml:space="preserve"> graphite), </w:t>
      </w:r>
      <w:proofErr w:type="spellStart"/>
      <w:r>
        <w:rPr>
          <w:rFonts w:ascii="Times New Roman" w:eastAsia="Times New Roman" w:hAnsi="Times New Roman" w:cs="Times New Roman"/>
          <w:color w:val="000000"/>
          <w:sz w:val="24"/>
          <w:szCs w:val="24"/>
        </w:rPr>
        <w:t>Guo</w:t>
      </w:r>
      <w:proofErr w:type="spellEnd"/>
      <w:r>
        <w:rPr>
          <w:rFonts w:ascii="Times New Roman" w:eastAsia="Times New Roman" w:hAnsi="Times New Roman" w:cs="Times New Roman"/>
          <w:color w:val="000000"/>
          <w:sz w:val="24"/>
          <w:szCs w:val="24"/>
        </w:rPr>
        <w:t xml:space="preserve"> et al. purposefully developed four different types of carbon-based </w:t>
      </w:r>
      <w:proofErr w:type="spellStart"/>
      <w:r>
        <w:rPr>
          <w:rFonts w:ascii="Times New Roman" w:eastAsia="Times New Roman" w:hAnsi="Times New Roman" w:cs="Times New Roman"/>
          <w:color w:val="000000"/>
          <w:sz w:val="24"/>
          <w:szCs w:val="24"/>
        </w:rPr>
        <w:t>electrocatalysts</w:t>
      </w:r>
      <w:proofErr w:type="spellEnd"/>
      <w:r>
        <w:rPr>
          <w:rFonts w:ascii="Times New Roman" w:eastAsia="Times New Roman" w:hAnsi="Times New Roman" w:cs="Times New Roman"/>
          <w:color w:val="000000"/>
          <w:sz w:val="24"/>
          <w:szCs w:val="24"/>
        </w:rPr>
        <w:t xml:space="preserve"> with well-defined conjugation towards ORR: I </w:t>
      </w:r>
      <w:proofErr w:type="spellStart"/>
      <w:r>
        <w:rPr>
          <w:rFonts w:ascii="Times New Roman" w:eastAsia="Times New Roman" w:hAnsi="Times New Roman" w:cs="Times New Roman"/>
          <w:color w:val="000000"/>
          <w:sz w:val="24"/>
          <w:szCs w:val="24"/>
        </w:rPr>
        <w:t>pyri</w:t>
      </w:r>
      <w:proofErr w:type="spellEnd"/>
      <w:r>
        <w:rPr>
          <w:rFonts w:ascii="Times New Roman" w:eastAsia="Times New Roman" w:hAnsi="Times New Roman" w:cs="Times New Roman"/>
          <w:color w:val="000000"/>
          <w:sz w:val="24"/>
          <w:szCs w:val="24"/>
        </w:rPr>
        <w:t xml:space="preserve">-HOPG, (ii) </w:t>
      </w:r>
      <w:proofErr w:type="spellStart"/>
      <w:r>
        <w:rPr>
          <w:rFonts w:ascii="Times New Roman" w:eastAsia="Times New Roman" w:hAnsi="Times New Roman" w:cs="Times New Roman"/>
          <w:color w:val="000000"/>
          <w:sz w:val="24"/>
          <w:szCs w:val="24"/>
        </w:rPr>
        <w:t>grap</w:t>
      </w:r>
      <w:proofErr w:type="spellEnd"/>
      <w:r>
        <w:rPr>
          <w:rFonts w:ascii="Times New Roman" w:eastAsia="Times New Roman" w:hAnsi="Times New Roman" w:cs="Times New Roman"/>
          <w:color w:val="000000"/>
          <w:sz w:val="24"/>
          <w:szCs w:val="24"/>
        </w:rPr>
        <w:t xml:space="preserve">-HOPG, (iii) edge-HOPG, and (iv) clean-HOPG. This was done in an effort to clarify the active centres of N-containing carbon materials. According to the LSV curves, the current densities and concentrations of </w:t>
      </w:r>
      <w:proofErr w:type="spellStart"/>
      <w:r>
        <w:rPr>
          <w:rFonts w:ascii="Times New Roman" w:eastAsia="Times New Roman" w:hAnsi="Times New Roman" w:cs="Times New Roman"/>
          <w:color w:val="000000"/>
          <w:sz w:val="24"/>
          <w:szCs w:val="24"/>
        </w:rPr>
        <w:t>pyridinic</w:t>
      </w:r>
      <w:proofErr w:type="spellEnd"/>
      <w:r>
        <w:rPr>
          <w:rFonts w:ascii="Times New Roman" w:eastAsia="Times New Roman" w:hAnsi="Times New Roman" w:cs="Times New Roman"/>
          <w:color w:val="000000"/>
          <w:sz w:val="24"/>
          <w:szCs w:val="24"/>
        </w:rPr>
        <w:t xml:space="preserve"> N exhibit a linear relationship at each potential under investigation. A consequence of this </w:t>
      </w:r>
      <w:proofErr w:type="spellStart"/>
      <w:r>
        <w:rPr>
          <w:rFonts w:ascii="Times New Roman" w:eastAsia="Times New Roman" w:hAnsi="Times New Roman" w:cs="Times New Roman"/>
          <w:color w:val="000000"/>
          <w:sz w:val="24"/>
          <w:szCs w:val="24"/>
        </w:rPr>
        <w:t>behavior</w:t>
      </w:r>
      <w:proofErr w:type="spellEnd"/>
      <w:r>
        <w:rPr>
          <w:rFonts w:ascii="Times New Roman" w:eastAsia="Times New Roman" w:hAnsi="Times New Roman" w:cs="Times New Roman"/>
          <w:color w:val="000000"/>
          <w:sz w:val="24"/>
          <w:szCs w:val="24"/>
        </w:rPr>
        <w:t xml:space="preserve"> is that the </w:t>
      </w:r>
      <w:proofErr w:type="spellStart"/>
      <w:r>
        <w:rPr>
          <w:rFonts w:ascii="Times New Roman" w:eastAsia="Times New Roman" w:hAnsi="Times New Roman" w:cs="Times New Roman"/>
          <w:color w:val="000000"/>
          <w:sz w:val="24"/>
          <w:szCs w:val="24"/>
        </w:rPr>
        <w:t>pyridinic</w:t>
      </w:r>
      <w:proofErr w:type="spellEnd"/>
      <w:r>
        <w:rPr>
          <w:rFonts w:ascii="Times New Roman" w:eastAsia="Times New Roman" w:hAnsi="Times New Roman" w:cs="Times New Roman"/>
          <w:color w:val="000000"/>
          <w:sz w:val="24"/>
          <w:szCs w:val="24"/>
        </w:rPr>
        <w:t xml:space="preserve"> N concentration alone controls the </w:t>
      </w:r>
      <w:proofErr w:type="spellStart"/>
      <w:r>
        <w:rPr>
          <w:rFonts w:ascii="Times New Roman" w:eastAsia="Times New Roman" w:hAnsi="Times New Roman" w:cs="Times New Roman"/>
          <w:color w:val="000000"/>
          <w:sz w:val="24"/>
          <w:szCs w:val="24"/>
        </w:rPr>
        <w:t>electrocatalytic</w:t>
      </w:r>
      <w:proofErr w:type="spellEnd"/>
      <w:r>
        <w:rPr>
          <w:rFonts w:ascii="Times New Roman" w:eastAsia="Times New Roman" w:hAnsi="Times New Roman" w:cs="Times New Roman"/>
          <w:color w:val="000000"/>
          <w:sz w:val="24"/>
          <w:szCs w:val="24"/>
        </w:rPr>
        <w:t xml:space="preserve"> activity of N-doped carbon materials. The ex situ post-ORR XPS observation suggests that OH species may come into contact with the C atoms nearby the </w:t>
      </w:r>
      <w:proofErr w:type="spellStart"/>
      <w:r>
        <w:rPr>
          <w:rFonts w:ascii="Times New Roman" w:eastAsia="Times New Roman" w:hAnsi="Times New Roman" w:cs="Times New Roman"/>
          <w:color w:val="000000"/>
          <w:sz w:val="24"/>
          <w:szCs w:val="24"/>
        </w:rPr>
        <w:t>pyridinic</w:t>
      </w:r>
      <w:proofErr w:type="spellEnd"/>
      <w:r>
        <w:rPr>
          <w:rFonts w:ascii="Times New Roman" w:eastAsia="Times New Roman" w:hAnsi="Times New Roman" w:cs="Times New Roman"/>
          <w:color w:val="000000"/>
          <w:sz w:val="24"/>
          <w:szCs w:val="24"/>
        </w:rPr>
        <w:t xml:space="preserve"> N, converting it to </w:t>
      </w:r>
      <w:proofErr w:type="spellStart"/>
      <w:r>
        <w:rPr>
          <w:rFonts w:ascii="Times New Roman" w:eastAsia="Times New Roman" w:hAnsi="Times New Roman" w:cs="Times New Roman"/>
          <w:sz w:val="24"/>
          <w:szCs w:val="24"/>
        </w:rPr>
        <w:t>pyridinic</w:t>
      </w:r>
      <w:proofErr w:type="spellEnd"/>
      <w:r>
        <w:rPr>
          <w:rFonts w:ascii="Times New Roman" w:eastAsia="Times New Roman" w:hAnsi="Times New Roman" w:cs="Times New Roman"/>
          <w:color w:val="000000"/>
          <w:sz w:val="24"/>
          <w:szCs w:val="24"/>
        </w:rPr>
        <w:t xml:space="preserve"> N. (</w:t>
      </w:r>
      <w:proofErr w:type="spellStart"/>
      <w:r>
        <w:rPr>
          <w:rFonts w:ascii="Times New Roman" w:eastAsia="Times New Roman" w:hAnsi="Times New Roman" w:cs="Times New Roman"/>
          <w:color w:val="000000"/>
          <w:sz w:val="24"/>
          <w:szCs w:val="24"/>
        </w:rPr>
        <w:t>Borghei</w:t>
      </w:r>
      <w:proofErr w:type="spellEnd"/>
      <w:r>
        <w:rPr>
          <w:rFonts w:ascii="Times New Roman" w:eastAsia="Times New Roman" w:hAnsi="Times New Roman" w:cs="Times New Roman"/>
          <w:color w:val="000000"/>
          <w:sz w:val="24"/>
          <w:szCs w:val="24"/>
        </w:rPr>
        <w:t xml:space="preserve"> et al.). This shows that the C atoms around the </w:t>
      </w:r>
      <w:proofErr w:type="spellStart"/>
      <w:r>
        <w:rPr>
          <w:rFonts w:ascii="Times New Roman" w:eastAsia="Times New Roman" w:hAnsi="Times New Roman" w:cs="Times New Roman"/>
          <w:color w:val="000000"/>
          <w:sz w:val="24"/>
          <w:szCs w:val="24"/>
        </w:rPr>
        <w:t>pyridinic</w:t>
      </w:r>
      <w:proofErr w:type="spellEnd"/>
      <w:r>
        <w:rPr>
          <w:rFonts w:ascii="Times New Roman" w:eastAsia="Times New Roman" w:hAnsi="Times New Roman" w:cs="Times New Roman"/>
          <w:color w:val="000000"/>
          <w:sz w:val="24"/>
          <w:szCs w:val="24"/>
        </w:rPr>
        <w:t xml:space="preserve"> N groups, which are useful for ORR, are what make them active sites. A carbon dioxide gas desorption test revealed that the only material capable of adsorbing acidic</w:t>
      </w:r>
      <m:oMath>
        <m:r>
          <w:rPr>
            <w:rFonts w:ascii="Cambria Math" w:eastAsia="Times New Roman" w:hAnsi="Cambria Math" w:cs="Times New Roman"/>
            <w:color w:val="000000"/>
            <w:sz w:val="24"/>
            <w:szCs w:val="24"/>
          </w:rPr>
          <m:t xml:space="preserve"> </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CO</m:t>
            </m:r>
          </m:e>
          <m:sub>
            <m:r>
              <w:rPr>
                <w:rFonts w:ascii="Cambria Math" w:eastAsia="Times New Roman" w:hAnsi="Cambria Math" w:cs="Times New Roman"/>
                <w:color w:val="000000"/>
                <w:sz w:val="24"/>
                <w:szCs w:val="24"/>
              </w:rPr>
              <m:t>2</m:t>
            </m:r>
          </m:sub>
        </m:sSub>
      </m:oMath>
      <w:r>
        <w:rPr>
          <w:rFonts w:ascii="Times New Roman" w:eastAsia="Times New Roman" w:hAnsi="Times New Roman" w:cs="Times New Roman"/>
          <w:color w:val="000000"/>
          <w:sz w:val="24"/>
          <w:szCs w:val="24"/>
        </w:rPr>
        <w:t xml:space="preserve"> molecules was </w:t>
      </w:r>
      <w:proofErr w:type="spellStart"/>
      <w:r>
        <w:rPr>
          <w:rFonts w:ascii="Times New Roman" w:eastAsia="Times New Roman" w:hAnsi="Times New Roman" w:cs="Times New Roman"/>
          <w:color w:val="000000"/>
          <w:sz w:val="24"/>
          <w:szCs w:val="24"/>
        </w:rPr>
        <w:t>pyri</w:t>
      </w:r>
      <w:proofErr w:type="spellEnd"/>
      <w:r>
        <w:rPr>
          <w:rFonts w:ascii="Times New Roman" w:eastAsia="Times New Roman" w:hAnsi="Times New Roman" w:cs="Times New Roman"/>
          <w:color w:val="000000"/>
          <w:sz w:val="24"/>
          <w:szCs w:val="24"/>
        </w:rPr>
        <w:t xml:space="preserve">-HOPG with a very active ORR performance.  </w:t>
      </w:r>
      <w:r>
        <w:rPr>
          <w:rFonts w:ascii="Times New Roman" w:eastAsia="Times New Roman" w:hAnsi="Times New Roman" w:cs="Times New Roman"/>
          <w:sz w:val="24"/>
          <w:szCs w:val="24"/>
        </w:rPr>
        <w:t>This</w:t>
      </w:r>
      <w:r>
        <w:rPr>
          <w:rFonts w:ascii="Times New Roman" w:eastAsia="Times New Roman" w:hAnsi="Times New Roman" w:cs="Times New Roman"/>
          <w:color w:val="000000"/>
          <w:sz w:val="24"/>
          <w:szCs w:val="24"/>
        </w:rPr>
        <w:t xml:space="preserve"> discovery demonstrates that extremely active </w:t>
      </w:r>
      <w:proofErr w:type="spellStart"/>
      <w:r>
        <w:rPr>
          <w:rFonts w:ascii="Times New Roman" w:eastAsia="Times New Roman" w:hAnsi="Times New Roman" w:cs="Times New Roman"/>
          <w:color w:val="000000"/>
          <w:sz w:val="24"/>
          <w:szCs w:val="24"/>
        </w:rPr>
        <w:t>electrocatalytic</w:t>
      </w:r>
      <w:proofErr w:type="spellEnd"/>
      <w:r>
        <w:rPr>
          <w:rFonts w:ascii="Times New Roman" w:eastAsia="Times New Roman" w:hAnsi="Times New Roman" w:cs="Times New Roman"/>
          <w:color w:val="000000"/>
          <w:sz w:val="24"/>
          <w:szCs w:val="24"/>
        </w:rPr>
        <w:t xml:space="preserve"> Lewis basic sites may be produced by </w:t>
      </w:r>
      <w:proofErr w:type="spellStart"/>
      <w:r>
        <w:rPr>
          <w:rFonts w:ascii="Times New Roman" w:eastAsia="Times New Roman" w:hAnsi="Times New Roman" w:cs="Times New Roman"/>
          <w:color w:val="000000"/>
          <w:sz w:val="24"/>
          <w:szCs w:val="24"/>
        </w:rPr>
        <w:t>pyridinic</w:t>
      </w:r>
      <w:proofErr w:type="spellEnd"/>
      <w:r>
        <w:rPr>
          <w:rFonts w:ascii="Times New Roman" w:eastAsia="Times New Roman" w:hAnsi="Times New Roman" w:cs="Times New Roman"/>
          <w:color w:val="000000"/>
          <w:sz w:val="24"/>
          <w:szCs w:val="24"/>
        </w:rPr>
        <w:t xml:space="preserve"> </w:t>
      </w:r>
      <m:oMath>
        <m:r>
          <w:rPr>
            <w:rFonts w:ascii="Cambria Math" w:eastAsia="Times New Roman" w:hAnsi="Cambria Math" w:cs="Times New Roman"/>
            <w:color w:val="000000"/>
            <w:sz w:val="24"/>
            <w:szCs w:val="24"/>
          </w:rPr>
          <m:t xml:space="preserve">N </m:t>
        </m:r>
      </m:oMath>
      <w:r>
        <w:rPr>
          <w:rFonts w:ascii="Times New Roman" w:eastAsia="Times New Roman" w:hAnsi="Times New Roman" w:cs="Times New Roman"/>
          <w:color w:val="000000"/>
          <w:sz w:val="24"/>
          <w:szCs w:val="24"/>
        </w:rPr>
        <w:t>species in the carbon mat</w:t>
      </w:r>
      <w:proofErr w:type="spellStart"/>
      <w:r>
        <w:rPr>
          <w:rFonts w:ascii="Times New Roman" w:eastAsia="Times New Roman" w:hAnsi="Times New Roman" w:cs="Times New Roman"/>
          <w:color w:val="000000"/>
          <w:sz w:val="24"/>
          <w:szCs w:val="24"/>
        </w:rPr>
        <w:t>rix</w:t>
      </w:r>
      <w:proofErr w:type="spellEnd"/>
      <w:r>
        <w:rPr>
          <w:rFonts w:ascii="Times New Roman" w:eastAsia="Times New Roman" w:hAnsi="Times New Roman" w:cs="Times New Roman"/>
          <w:color w:val="000000"/>
          <w:sz w:val="24"/>
          <w:szCs w:val="24"/>
        </w:rPr>
        <w:t xml:space="preserve">. This finding also highlights the potential of highly active electrocatalytic sites emerging from Lewis basic sites formed by </w:t>
      </w:r>
      <w:proofErr w:type="spellStart"/>
      <w:r>
        <w:rPr>
          <w:rFonts w:ascii="Times New Roman" w:eastAsia="Times New Roman" w:hAnsi="Times New Roman" w:cs="Times New Roman"/>
          <w:color w:val="000000"/>
          <w:sz w:val="24"/>
          <w:szCs w:val="24"/>
        </w:rPr>
        <w:t>pyridinic</w:t>
      </w:r>
      <w:proofErr w:type="spellEnd"/>
      <w:r>
        <w:rPr>
          <w:rFonts w:ascii="Times New Roman" w:eastAsia="Times New Roman" w:hAnsi="Times New Roman" w:cs="Times New Roman"/>
          <w:color w:val="000000"/>
          <w:sz w:val="24"/>
          <w:szCs w:val="24"/>
        </w:rPr>
        <w:t xml:space="preserve"> </w:t>
      </w:r>
      <m:oMath>
        <m:r>
          <w:rPr>
            <w:rFonts w:ascii="Cambria Math" w:eastAsia="Times New Roman" w:hAnsi="Cambria Math" w:cs="Times New Roman"/>
            <w:color w:val="000000"/>
            <w:sz w:val="24"/>
            <w:szCs w:val="24"/>
          </w:rPr>
          <m:t>N</m:t>
        </m:r>
      </m:oMath>
      <w:r>
        <w:rPr>
          <w:rFonts w:ascii="Times New Roman" w:eastAsia="Times New Roman" w:hAnsi="Times New Roman" w:cs="Times New Roman"/>
          <w:color w:val="000000"/>
          <w:sz w:val="24"/>
          <w:szCs w:val="24"/>
        </w:rPr>
        <w:t xml:space="preserve"> species in the carbon matrix. As a consequence, they came to the conclusion that Lewis basic </w:t>
      </w:r>
      <m:oMath>
        <m:r>
          <w:rPr>
            <w:rFonts w:ascii="Cambria Math" w:eastAsia="Times New Roman" w:hAnsi="Cambria Math" w:cs="Times New Roman"/>
            <w:color w:val="000000"/>
            <w:sz w:val="24"/>
            <w:szCs w:val="24"/>
          </w:rPr>
          <m:t>C</m:t>
        </m:r>
      </m:oMath>
      <w:r>
        <w:rPr>
          <w:rFonts w:ascii="Times New Roman" w:eastAsia="Times New Roman" w:hAnsi="Times New Roman" w:cs="Times New Roman"/>
          <w:color w:val="000000"/>
          <w:sz w:val="24"/>
          <w:szCs w:val="24"/>
        </w:rPr>
        <w:t xml:space="preserve"> atoms close to </w:t>
      </w:r>
      <w:proofErr w:type="spellStart"/>
      <w:r w:rsidR="00AF3D00">
        <w:rPr>
          <w:rFonts w:ascii="Times New Roman" w:eastAsia="Times New Roman" w:hAnsi="Times New Roman" w:cs="Times New Roman"/>
          <w:color w:val="000000"/>
          <w:sz w:val="24"/>
          <w:szCs w:val="24"/>
        </w:rPr>
        <w:t>pyridinic</w:t>
      </w:r>
      <w:proofErr w:type="spellEnd"/>
      <m:oMath>
        <m:r>
          <w:rPr>
            <w:rFonts w:ascii="Cambria Math" w:eastAsia="Times New Roman" w:hAnsi="Cambria Math" w:cs="Times New Roman"/>
            <w:color w:val="000000"/>
            <w:sz w:val="24"/>
            <w:szCs w:val="24"/>
          </w:rPr>
          <m:t xml:space="preserve"> N</m:t>
        </m:r>
      </m:oMath>
      <w:r>
        <w:rPr>
          <w:rFonts w:ascii="Times New Roman" w:eastAsia="Times New Roman" w:hAnsi="Times New Roman" w:cs="Times New Roman"/>
          <w:color w:val="000000"/>
          <w:sz w:val="24"/>
          <w:szCs w:val="24"/>
        </w:rPr>
        <w:t xml:space="preserve">, rather than pyridinic </w:t>
      </w:r>
      <m:oMath>
        <m:r>
          <w:rPr>
            <w:rFonts w:ascii="Cambria Math" w:eastAsia="Times New Roman" w:hAnsi="Cambria Math" w:cs="Times New Roman"/>
            <w:color w:val="000000"/>
            <w:sz w:val="24"/>
            <w:szCs w:val="24"/>
          </w:rPr>
          <m:t>N</m:t>
        </m:r>
      </m:oMath>
      <w:r>
        <w:rPr>
          <w:rFonts w:ascii="Times New Roman" w:eastAsia="Times New Roman" w:hAnsi="Times New Roman" w:cs="Times New Roman"/>
          <w:color w:val="000000"/>
          <w:sz w:val="24"/>
          <w:szCs w:val="24"/>
        </w:rPr>
        <w:t xml:space="preserve"> itself, are the electrocatalytic ORR centres in </w:t>
      </w:r>
      <m:oMath>
        <m:r>
          <w:rPr>
            <w:rFonts w:ascii="Cambria Math" w:eastAsia="Times New Roman" w:hAnsi="Cambria Math" w:cs="Times New Roman"/>
            <w:color w:val="000000"/>
            <w:sz w:val="24"/>
            <w:szCs w:val="24"/>
          </w:rPr>
          <m:t>N</m:t>
        </m:r>
      </m:oMath>
      <w:r>
        <w:rPr>
          <w:rFonts w:ascii="Times New Roman" w:eastAsia="Times New Roman" w:hAnsi="Times New Roman" w:cs="Times New Roman"/>
          <w:color w:val="000000"/>
          <w:sz w:val="24"/>
          <w:szCs w:val="24"/>
        </w:rPr>
        <w:t>-doped carbon materials (Guo et al.).</w:t>
      </w: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657200" w:rsidP="00D41AB9">
      <w:pPr>
        <w:spacing w:after="0" w:line="240" w:lineRule="auto"/>
        <w:ind w:left="851" w:right="559"/>
        <w:jc w:val="both"/>
        <w:rPr>
          <w:rFonts w:ascii="Times New Roman" w:eastAsia="Times New Roman" w:hAnsi="Times New Roman" w:cs="Times New Roman"/>
          <w:color w:val="000000"/>
          <w:sz w:val="24"/>
          <w:szCs w:val="24"/>
        </w:rPr>
      </w:pPr>
      <w:r>
        <w:rPr>
          <w:noProof/>
        </w:rPr>
        <w:drawing>
          <wp:anchor distT="0" distB="0" distL="114300" distR="114300" simplePos="0" relativeHeight="251663360" behindDoc="0" locked="0" layoutInCell="1" hidden="0" allowOverlap="1" wp14:anchorId="631ACC95" wp14:editId="16275210">
            <wp:simplePos x="0" y="0"/>
            <wp:positionH relativeFrom="column">
              <wp:posOffset>533400</wp:posOffset>
            </wp:positionH>
            <wp:positionV relativeFrom="paragraph">
              <wp:posOffset>155575</wp:posOffset>
            </wp:positionV>
            <wp:extent cx="5390515" cy="3795395"/>
            <wp:effectExtent l="0" t="0" r="635" b="0"/>
            <wp:wrapSquare wrapText="bothSides" distT="0" distB="0" distL="114300" distR="114300"/>
            <wp:docPr id="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390515" cy="3795395"/>
                    </a:xfrm>
                    <a:prstGeom prst="rect">
                      <a:avLst/>
                    </a:prstGeom>
                    <a:ln/>
                  </pic:spPr>
                </pic:pic>
              </a:graphicData>
            </a:graphic>
            <wp14:sizeRelH relativeFrom="margin">
              <wp14:pctWidth>0</wp14:pctWidth>
            </wp14:sizeRelH>
            <wp14:sizeRelV relativeFrom="margin">
              <wp14:pctHeight>0</wp14:pctHeight>
            </wp14:sizeRelV>
          </wp:anchor>
        </w:drawing>
      </w: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ind w:left="851" w:right="559"/>
        <w:jc w:val="both"/>
        <w:rPr>
          <w:rFonts w:ascii="Times New Roman" w:eastAsia="Times New Roman" w:hAnsi="Times New Roman" w:cs="Times New Roman"/>
          <w:color w:val="000000"/>
        </w:rPr>
      </w:pPr>
    </w:p>
    <w:p w:rsidR="000B3F18" w:rsidRDefault="00D41AB9" w:rsidP="00D41AB9">
      <w:pPr>
        <w:ind w:left="851" w:right="559"/>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rPr>
        <w:t>Fig.</w:t>
      </w:r>
      <w:proofErr w:type="gramEnd"/>
      <w:r>
        <w:rPr>
          <w:rFonts w:ascii="Times New Roman" w:eastAsia="Times New Roman" w:hAnsi="Times New Roman" w:cs="Times New Roman"/>
          <w:color w:val="000000"/>
        </w:rPr>
        <w:t xml:space="preserve"> No: 5, a Scheme of the synthesis process of porous carbon materials with ternary dopants; b Polarization curves of the as-prepared 1100-CNS samples and commercial </w:t>
      </w:r>
      <w:proofErr w:type="spellStart"/>
      <w:r>
        <w:rPr>
          <w:rFonts w:ascii="Times New Roman" w:eastAsia="Times New Roman" w:hAnsi="Times New Roman" w:cs="Times New Roman"/>
          <w:color w:val="000000"/>
        </w:rPr>
        <w:t>Pt</w:t>
      </w:r>
      <w:proofErr w:type="spellEnd"/>
      <w:r>
        <w:rPr>
          <w:rFonts w:ascii="Times New Roman" w:eastAsia="Times New Roman" w:hAnsi="Times New Roman" w:cs="Times New Roman"/>
          <w:color w:val="000000"/>
        </w:rPr>
        <w:t xml:space="preserve">/C; c LSV curves of the as-prepared 1100-CNS, </w:t>
      </w:r>
      <w:proofErr w:type="spellStart"/>
      <w:r>
        <w:rPr>
          <w:rFonts w:ascii="Times New Roman" w:eastAsia="Times New Roman" w:hAnsi="Times New Roman" w:cs="Times New Roman"/>
          <w:color w:val="000000"/>
        </w:rPr>
        <w:t>Pt</w:t>
      </w:r>
      <w:proofErr w:type="spellEnd"/>
      <w:r>
        <w:rPr>
          <w:rFonts w:ascii="Times New Roman" w:eastAsia="Times New Roman" w:hAnsi="Times New Roman" w:cs="Times New Roman"/>
          <w:color w:val="000000"/>
        </w:rPr>
        <w:t xml:space="preserve">/C and IrO2 towards OER at 1600 rpm in KOH solution with different concentrations; d The comparison of bi functional activity of the 1100-CNS, </w:t>
      </w:r>
      <w:proofErr w:type="spellStart"/>
      <w:r>
        <w:rPr>
          <w:rFonts w:ascii="Times New Roman" w:eastAsia="Times New Roman" w:hAnsi="Times New Roman" w:cs="Times New Roman"/>
          <w:color w:val="000000"/>
        </w:rPr>
        <w:t>Pt</w:t>
      </w:r>
      <w:proofErr w:type="spellEnd"/>
      <w:r>
        <w:rPr>
          <w:rFonts w:ascii="Times New Roman" w:eastAsia="Times New Roman" w:hAnsi="Times New Roman" w:cs="Times New Roman"/>
          <w:color w:val="000000"/>
        </w:rPr>
        <w:t>/C, and IrO2 samples in 0.1M KOH electrolyte (</w:t>
      </w:r>
      <w:proofErr w:type="spellStart"/>
      <w:r>
        <w:rPr>
          <w:rFonts w:ascii="Times New Roman" w:eastAsia="Times New Roman" w:hAnsi="Times New Roman" w:cs="Times New Roman"/>
          <w:color w:val="000000"/>
        </w:rPr>
        <w:t>Copyright©The</w:t>
      </w:r>
      <w:proofErr w:type="spellEnd"/>
      <w:r>
        <w:rPr>
          <w:rFonts w:ascii="Times New Roman" w:eastAsia="Times New Roman" w:hAnsi="Times New Roman" w:cs="Times New Roman"/>
          <w:color w:val="000000"/>
        </w:rPr>
        <w:t xml:space="preserve"> Royal Society of Chemistry 2017)</w:t>
      </w:r>
    </w:p>
    <w:p w:rsidR="000B3F18" w:rsidRDefault="00D41AB9" w:rsidP="00D41AB9">
      <w:pPr>
        <w:shd w:val="clear" w:color="auto" w:fill="FFFFFF"/>
        <w:ind w:left="851" w:right="55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Carbon materials doped with extra hetero atoms (such S, B, or P) exhibit higher ORR activity than their </w:t>
      </w:r>
      <w:proofErr w:type="spellStart"/>
      <w:r>
        <w:rPr>
          <w:rFonts w:ascii="Times New Roman" w:eastAsia="Times New Roman" w:hAnsi="Times New Roman" w:cs="Times New Roman"/>
          <w:color w:val="000000"/>
          <w:sz w:val="24"/>
          <w:szCs w:val="24"/>
        </w:rPr>
        <w:t>undoped</w:t>
      </w:r>
      <w:proofErr w:type="spellEnd"/>
      <w:r>
        <w:rPr>
          <w:rFonts w:ascii="Times New Roman" w:eastAsia="Times New Roman" w:hAnsi="Times New Roman" w:cs="Times New Roman"/>
          <w:color w:val="000000"/>
          <w:sz w:val="24"/>
          <w:szCs w:val="24"/>
        </w:rPr>
        <w:t xml:space="preserve"> counterparts, in place of N doping. Examples include the production of different SG by </w:t>
      </w:r>
      <w:proofErr w:type="spellStart"/>
      <w:r>
        <w:rPr>
          <w:rFonts w:ascii="Times New Roman" w:eastAsia="Times New Roman" w:hAnsi="Times New Roman" w:cs="Times New Roman"/>
          <w:color w:val="000000"/>
          <w:sz w:val="24"/>
          <w:szCs w:val="24"/>
        </w:rPr>
        <w:t>Pumera's</w:t>
      </w:r>
      <w:proofErr w:type="spellEnd"/>
      <w:r>
        <w:rPr>
          <w:rFonts w:ascii="Times New Roman" w:eastAsia="Times New Roman" w:hAnsi="Times New Roman" w:cs="Times New Roman"/>
          <w:color w:val="000000"/>
          <w:sz w:val="24"/>
          <w:szCs w:val="24"/>
        </w:rPr>
        <w:t xml:space="preserve"> group using the thermal exfoliation of graphite oxide in a variety of S-containing gases (</w:t>
      </w:r>
      <w:proofErr w:type="spellStart"/>
      <w:r>
        <w:rPr>
          <w:rFonts w:ascii="Times New Roman" w:eastAsia="Times New Roman" w:hAnsi="Times New Roman" w:cs="Times New Roman"/>
          <w:color w:val="000000"/>
          <w:sz w:val="24"/>
          <w:szCs w:val="24"/>
        </w:rPr>
        <w:t>Poh</w:t>
      </w:r>
      <w:proofErr w:type="spellEnd"/>
      <w:r>
        <w:rPr>
          <w:rFonts w:ascii="Times New Roman" w:eastAsia="Times New Roman" w:hAnsi="Times New Roman" w:cs="Times New Roman"/>
          <w:color w:val="000000"/>
          <w:sz w:val="24"/>
          <w:szCs w:val="24"/>
        </w:rPr>
        <w:t xml:space="preserve"> et al). As compared to its non-doped equivalent, the reduction potential of SG shows a positive shift of 40 mV, proving that S doping provides </w:t>
      </w:r>
      <w:proofErr w:type="spellStart"/>
      <w:r>
        <w:rPr>
          <w:rFonts w:ascii="Times New Roman" w:eastAsia="Times New Roman" w:hAnsi="Times New Roman" w:cs="Times New Roman"/>
          <w:color w:val="000000"/>
          <w:sz w:val="24"/>
          <w:szCs w:val="24"/>
        </w:rPr>
        <w:t>electrocatalytic</w:t>
      </w:r>
      <w:proofErr w:type="spellEnd"/>
      <w:r>
        <w:rPr>
          <w:rFonts w:ascii="Times New Roman" w:eastAsia="Times New Roman" w:hAnsi="Times New Roman" w:cs="Times New Roman"/>
          <w:color w:val="000000"/>
          <w:sz w:val="24"/>
          <w:szCs w:val="24"/>
        </w:rPr>
        <w:t xml:space="preserve"> sites for ORR. Wang and </w:t>
      </w:r>
      <w:proofErr w:type="spellStart"/>
      <w:r>
        <w:rPr>
          <w:rFonts w:ascii="Times New Roman" w:eastAsia="Times New Roman" w:hAnsi="Times New Roman" w:cs="Times New Roman"/>
          <w:color w:val="000000"/>
          <w:sz w:val="24"/>
          <w:szCs w:val="24"/>
        </w:rPr>
        <w:t>coworkers</w:t>
      </w:r>
      <w:proofErr w:type="spellEnd"/>
      <w:r>
        <w:rPr>
          <w:rFonts w:ascii="Times New Roman" w:eastAsia="Times New Roman" w:hAnsi="Times New Roman" w:cs="Times New Roman"/>
          <w:color w:val="000000"/>
          <w:sz w:val="24"/>
          <w:szCs w:val="24"/>
        </w:rPr>
        <w:t xml:space="preserve"> also created </w:t>
      </w:r>
      <w:proofErr w:type="spellStart"/>
      <w:r>
        <w:rPr>
          <w:rFonts w:ascii="Times New Roman" w:eastAsia="Times New Roman" w:hAnsi="Times New Roman" w:cs="Times New Roman"/>
          <w:color w:val="000000"/>
          <w:sz w:val="24"/>
          <w:szCs w:val="24"/>
        </w:rPr>
        <w:t>sulfur</w:t>
      </w:r>
      <w:proofErr w:type="spellEnd"/>
      <w:r>
        <w:rPr>
          <w:rFonts w:ascii="Times New Roman" w:eastAsia="Times New Roman" w:hAnsi="Times New Roman" w:cs="Times New Roman"/>
          <w:color w:val="000000"/>
          <w:sz w:val="24"/>
          <w:szCs w:val="24"/>
        </w:rPr>
        <w:t xml:space="preserve">-doped </w:t>
      </w:r>
      <w:proofErr w:type="spellStart"/>
      <w:r>
        <w:rPr>
          <w:rFonts w:ascii="Times New Roman" w:eastAsia="Times New Roman" w:hAnsi="Times New Roman" w:cs="Times New Roman"/>
          <w:color w:val="000000"/>
          <w:sz w:val="24"/>
          <w:szCs w:val="24"/>
        </w:rPr>
        <w:t>graphene</w:t>
      </w:r>
      <w:proofErr w:type="spellEnd"/>
      <w:r>
        <w:rPr>
          <w:rFonts w:ascii="Times New Roman" w:eastAsia="Times New Roman" w:hAnsi="Times New Roman" w:cs="Times New Roman"/>
          <w:color w:val="000000"/>
          <w:sz w:val="24"/>
          <w:szCs w:val="24"/>
        </w:rPr>
        <w:t xml:space="preserve"> by cycling Li-S batteries, which has a positive shift of around 60 mV and a higher current density than </w:t>
      </w:r>
      <w:proofErr w:type="spellStart"/>
      <w:r>
        <w:rPr>
          <w:rFonts w:ascii="Times New Roman" w:eastAsia="Times New Roman" w:hAnsi="Times New Roman" w:cs="Times New Roman"/>
          <w:color w:val="000000"/>
          <w:sz w:val="24"/>
          <w:szCs w:val="24"/>
        </w:rPr>
        <w:t>undoped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graphene</w:t>
      </w:r>
      <w:proofErr w:type="spellEnd"/>
      <w:r>
        <w:rPr>
          <w:rFonts w:ascii="Times New Roman" w:eastAsia="Times New Roman" w:hAnsi="Times New Roman" w:cs="Times New Roman"/>
          <w:color w:val="000000"/>
          <w:sz w:val="24"/>
          <w:szCs w:val="24"/>
        </w:rPr>
        <w:t xml:space="preserve"> (Yao et al.).These halogen-doped carbon compounds demonstrated promising ORR </w:t>
      </w:r>
      <w:proofErr w:type="spellStart"/>
      <w:r>
        <w:rPr>
          <w:rFonts w:ascii="Times New Roman" w:eastAsia="Times New Roman" w:hAnsi="Times New Roman" w:cs="Times New Roman"/>
          <w:color w:val="000000"/>
          <w:sz w:val="24"/>
          <w:szCs w:val="24"/>
        </w:rPr>
        <w:t>electrocatalytic</w:t>
      </w:r>
      <w:proofErr w:type="spellEnd"/>
      <w:r>
        <w:rPr>
          <w:rFonts w:ascii="Times New Roman" w:eastAsia="Times New Roman" w:hAnsi="Times New Roman" w:cs="Times New Roman"/>
          <w:color w:val="000000"/>
          <w:sz w:val="24"/>
          <w:szCs w:val="24"/>
        </w:rPr>
        <w:t xml:space="preserve"> activity. Fluorine-doped carbon in particular demonstrated increased activity compared to unmodified </w:t>
      </w:r>
      <w:proofErr w:type="spellStart"/>
      <w:r>
        <w:rPr>
          <w:rFonts w:ascii="Times New Roman" w:eastAsia="Times New Roman" w:hAnsi="Times New Roman" w:cs="Times New Roman"/>
          <w:color w:val="000000"/>
          <w:sz w:val="24"/>
          <w:szCs w:val="24"/>
        </w:rPr>
        <w:t>graphene</w:t>
      </w:r>
      <w:proofErr w:type="spellEnd"/>
      <w:r>
        <w:rPr>
          <w:rFonts w:ascii="Times New Roman" w:eastAsia="Times New Roman" w:hAnsi="Times New Roman" w:cs="Times New Roman"/>
          <w:color w:val="000000"/>
          <w:sz w:val="24"/>
          <w:szCs w:val="24"/>
        </w:rPr>
        <w:t xml:space="preserve">, however it fell short of the results obtained by </w:t>
      </w:r>
      <w:proofErr w:type="spellStart"/>
      <w:r>
        <w:rPr>
          <w:rFonts w:ascii="Times New Roman" w:eastAsia="Times New Roman" w:hAnsi="Times New Roman" w:cs="Times New Roman"/>
          <w:color w:val="000000"/>
          <w:sz w:val="24"/>
          <w:szCs w:val="24"/>
        </w:rPr>
        <w:t>Pt</w:t>
      </w:r>
      <w:proofErr w:type="spellEnd"/>
      <w:r>
        <w:rPr>
          <w:rFonts w:ascii="Times New Roman" w:eastAsia="Times New Roman" w:hAnsi="Times New Roman" w:cs="Times New Roman"/>
          <w:color w:val="000000"/>
          <w:sz w:val="24"/>
          <w:szCs w:val="24"/>
        </w:rPr>
        <w:t xml:space="preserve">/C. (Zhao et al.). </w:t>
      </w:r>
      <w:proofErr w:type="spellStart"/>
      <w:r>
        <w:rPr>
          <w:rFonts w:ascii="Times New Roman" w:eastAsia="Times New Roman" w:hAnsi="Times New Roman" w:cs="Times New Roman"/>
          <w:color w:val="000000"/>
          <w:sz w:val="24"/>
          <w:szCs w:val="24"/>
        </w:rPr>
        <w:t>Triphenylphosphine</w:t>
      </w:r>
      <w:proofErr w:type="spellEnd"/>
      <w:r>
        <w:rPr>
          <w:rFonts w:ascii="Times New Roman" w:eastAsia="Times New Roman" w:hAnsi="Times New Roman" w:cs="Times New Roman"/>
          <w:color w:val="000000"/>
          <w:sz w:val="24"/>
          <w:szCs w:val="24"/>
        </w:rPr>
        <w:t xml:space="preserve"> (TPP) and the suitable carbon sources substantially enhanced the electro</w:t>
      </w:r>
      <w:r w:rsidR="00AF3D0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catalytic performance of these materials. Theories based on </w:t>
      </w:r>
      <w:r>
        <w:rPr>
          <w:rFonts w:ascii="Times New Roman" w:eastAsia="Times New Roman" w:hAnsi="Times New Roman" w:cs="Times New Roman"/>
          <w:sz w:val="24"/>
          <w:szCs w:val="24"/>
        </w:rPr>
        <w:t>electronegativity</w:t>
      </w:r>
      <w:r>
        <w:rPr>
          <w:rFonts w:ascii="Times New Roman" w:eastAsia="Times New Roman" w:hAnsi="Times New Roman" w:cs="Times New Roman"/>
          <w:color w:val="000000"/>
          <w:sz w:val="24"/>
          <w:szCs w:val="24"/>
        </w:rPr>
        <w:t xml:space="preserve"> and electronic spin density have been put forth, however the mechanisms driving this increased activity are not yet fully understood. Similar ideas have also been used to explain how </w:t>
      </w:r>
      <m:oMath>
        <m:r>
          <w:rPr>
            <w:rFonts w:ascii="Cambria Math" w:eastAsia="Times New Roman" w:hAnsi="Cambria Math" w:cs="Times New Roman"/>
            <w:color w:val="000000"/>
            <w:sz w:val="24"/>
            <w:szCs w:val="24"/>
          </w:rPr>
          <m:t>N</m:t>
        </m:r>
      </m:oMath>
      <w:r>
        <w:rPr>
          <w:rFonts w:ascii="Times New Roman" w:eastAsia="Times New Roman" w:hAnsi="Times New Roman" w:cs="Times New Roman"/>
          <w:color w:val="000000"/>
          <w:sz w:val="24"/>
          <w:szCs w:val="24"/>
        </w:rPr>
        <w:t>-doped carbon materials undergo electro</w:t>
      </w:r>
      <w:r w:rsidR="00AF3D0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catalysis. Despite these developments, further study is still required to determine the specific mechanisms underlying the observed increases in activity.</w:t>
      </w:r>
    </w:p>
    <w:p w:rsidR="00AF3D00" w:rsidRDefault="00AF3D00" w:rsidP="00D41AB9">
      <w:pPr>
        <w:shd w:val="clear" w:color="auto" w:fill="FFFFFF"/>
        <w:ind w:left="851" w:right="559" w:firstLine="720"/>
        <w:jc w:val="both"/>
        <w:rPr>
          <w:rFonts w:ascii="Times New Roman" w:eastAsia="Times New Roman" w:hAnsi="Times New Roman" w:cs="Times New Roman"/>
          <w:color w:val="000000"/>
          <w:sz w:val="24"/>
          <w:szCs w:val="24"/>
        </w:rPr>
      </w:pPr>
    </w:p>
    <w:p w:rsidR="00AF3D00" w:rsidRDefault="00AF3D00" w:rsidP="00D41AB9">
      <w:pPr>
        <w:shd w:val="clear" w:color="auto" w:fill="FFFFFF"/>
        <w:ind w:left="851" w:right="559" w:firstLine="720"/>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D41AB9" w:rsidP="00D41AB9">
      <w:pPr>
        <w:spacing w:after="0" w:line="360" w:lineRule="auto"/>
        <w:ind w:left="851" w:right="55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3.3.3 Binary or Ternary doping:</w:t>
      </w:r>
    </w:p>
    <w:p w:rsidR="000B3F18" w:rsidRDefault="00D41AB9" w:rsidP="00D41AB9">
      <w:pPr>
        <w:spacing w:after="0" w:line="240" w:lineRule="auto"/>
        <w:ind w:left="851" w:right="55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Binary and ternary doping are common approaches in material science and semiconductor research for modifying material characteristics for diverse purposes. Binary doping is the introduction of two separate elements into a host material, whereas ternary doping is the insertion of three different elements. These dopants can affect the material's electrical, optical, and structural characteristics, allowing it to be tailored to fit certain requirements. In one research, (Smith et al.) discovered that binary doping gallium nitride with silicon and magnesium improved its optical and electrical characteristics, making it ideal for optoelectronic devices. Similarly, (Johnson </w:t>
      </w:r>
      <w:proofErr w:type="gramStart"/>
      <w:r>
        <w:rPr>
          <w:rFonts w:ascii="Times New Roman" w:eastAsia="Times New Roman" w:hAnsi="Times New Roman" w:cs="Times New Roman"/>
          <w:color w:val="000000"/>
          <w:sz w:val="24"/>
          <w:szCs w:val="24"/>
        </w:rPr>
        <w:t>et</w:t>
      </w:r>
      <w:proofErr w:type="gramEnd"/>
      <w:r>
        <w:rPr>
          <w:rFonts w:ascii="Times New Roman" w:eastAsia="Times New Roman" w:hAnsi="Times New Roman" w:cs="Times New Roman"/>
          <w:color w:val="000000"/>
          <w:sz w:val="24"/>
          <w:szCs w:val="24"/>
        </w:rPr>
        <w:t xml:space="preserve"> al.2021) demonstrated ternary doping of </w:t>
      </w:r>
      <w:proofErr w:type="spellStart"/>
      <w:r>
        <w:rPr>
          <w:rFonts w:ascii="Times New Roman" w:eastAsia="Times New Roman" w:hAnsi="Times New Roman" w:cs="Times New Roman"/>
          <w:color w:val="000000"/>
          <w:sz w:val="24"/>
          <w:szCs w:val="24"/>
        </w:rPr>
        <w:t>perovskite</w:t>
      </w:r>
      <w:proofErr w:type="spellEnd"/>
      <w:r>
        <w:rPr>
          <w:rFonts w:ascii="Times New Roman" w:eastAsia="Times New Roman" w:hAnsi="Times New Roman" w:cs="Times New Roman"/>
          <w:color w:val="000000"/>
          <w:sz w:val="24"/>
          <w:szCs w:val="24"/>
        </w:rPr>
        <w:t xml:space="preserve"> solar cells using </w:t>
      </w:r>
      <w:proofErr w:type="spellStart"/>
      <w:r>
        <w:rPr>
          <w:rFonts w:ascii="Times New Roman" w:eastAsia="Times New Roman" w:hAnsi="Times New Roman" w:cs="Times New Roman"/>
          <w:color w:val="000000"/>
          <w:sz w:val="24"/>
          <w:szCs w:val="24"/>
        </w:rPr>
        <w:t>cesium</w:t>
      </w:r>
      <w:proofErr w:type="spellEnd"/>
      <w:r>
        <w:rPr>
          <w:rFonts w:ascii="Times New Roman" w:eastAsia="Times New Roman" w:hAnsi="Times New Roman" w:cs="Times New Roman"/>
          <w:color w:val="000000"/>
          <w:sz w:val="24"/>
          <w:szCs w:val="24"/>
        </w:rPr>
        <w:t xml:space="preserve">, lead, and </w:t>
      </w:r>
      <w:proofErr w:type="spellStart"/>
      <w:r>
        <w:rPr>
          <w:rFonts w:ascii="Times New Roman" w:eastAsia="Times New Roman" w:hAnsi="Times New Roman" w:cs="Times New Roman"/>
          <w:color w:val="000000"/>
          <w:sz w:val="24"/>
          <w:szCs w:val="24"/>
        </w:rPr>
        <w:t>methylammonium</w:t>
      </w:r>
      <w:proofErr w:type="spellEnd"/>
      <w:r>
        <w:rPr>
          <w:rFonts w:ascii="Times New Roman" w:eastAsia="Times New Roman" w:hAnsi="Times New Roman" w:cs="Times New Roman"/>
          <w:color w:val="000000"/>
          <w:sz w:val="24"/>
          <w:szCs w:val="24"/>
        </w:rPr>
        <w:t xml:space="preserve"> to improve the stability and efficiency of the cells.</w:t>
      </w:r>
    </w:p>
    <w:p w:rsidR="000B3F18" w:rsidRDefault="000B3F18" w:rsidP="00D41AB9">
      <w:pPr>
        <w:spacing w:after="0" w:line="240" w:lineRule="auto"/>
        <w:ind w:left="851" w:right="559" w:firstLine="720"/>
        <w:jc w:val="both"/>
        <w:rPr>
          <w:rFonts w:ascii="Times New Roman" w:eastAsia="Times New Roman" w:hAnsi="Times New Roman" w:cs="Times New Roman"/>
          <w:color w:val="000000"/>
          <w:sz w:val="24"/>
          <w:szCs w:val="24"/>
        </w:rPr>
      </w:pPr>
    </w:p>
    <w:p w:rsidR="000B3F18" w:rsidRDefault="00D41AB9" w:rsidP="00D41AB9">
      <w:pPr>
        <w:spacing w:after="0" w:line="240" w:lineRule="auto"/>
        <w:ind w:left="851" w:right="55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Binary and ternary doping </w:t>
      </w:r>
      <w:r w:rsidR="00AF3D00">
        <w:rPr>
          <w:rFonts w:ascii="Times New Roman" w:eastAsia="Times New Roman" w:hAnsi="Times New Roman" w:cs="Times New Roman"/>
          <w:color w:val="000000"/>
          <w:sz w:val="24"/>
          <w:szCs w:val="24"/>
        </w:rPr>
        <w:t>has</w:t>
      </w:r>
      <w:r>
        <w:rPr>
          <w:rFonts w:ascii="Times New Roman" w:eastAsia="Times New Roman" w:hAnsi="Times New Roman" w:cs="Times New Roman"/>
          <w:color w:val="000000"/>
          <w:sz w:val="24"/>
          <w:szCs w:val="24"/>
        </w:rPr>
        <w:t xml:space="preserve"> emerged as viable ways for improving electro</w:t>
      </w:r>
      <w:r w:rsidR="00AF3D0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catalyst performance. Binary doping introduces two components into the catalyst material, whereas ternary doping incorporates three elements. Researchers have produced considerable increases in electro</w:t>
      </w:r>
      <w:r w:rsidR="00AF3D0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catalytic activity, stability, and selectivity using these doping techniques. (Zhang et al.), for example, demonstrated that binary doping of carbon-based catalysts with nitrogen and phosphorus improved ORR efficiency in fuel cells by changing the electronic structure and boosting active sites. Similarly, Wang et al. (2019) showed that ternary doping of nickel-based catalysts with cobalt and molybdenum increased HER activity by changing the surface composition and electronic structure. These experiments demonstrate the efficacy of binary and ternary doping</w:t>
      </w:r>
      <w:r w:rsidR="00AF3D00">
        <w:rPr>
          <w:rFonts w:ascii="Times New Roman" w:eastAsia="Times New Roman" w:hAnsi="Times New Roman" w:cs="Times New Roman"/>
          <w:color w:val="000000"/>
          <w:sz w:val="24"/>
          <w:szCs w:val="24"/>
        </w:rPr>
        <w:t> in</w:t>
      </w:r>
      <w:r>
        <w:rPr>
          <w:rFonts w:ascii="Times New Roman" w:eastAsia="Times New Roman" w:hAnsi="Times New Roman" w:cs="Times New Roman"/>
          <w:color w:val="000000"/>
          <w:sz w:val="24"/>
          <w:szCs w:val="24"/>
        </w:rPr>
        <w:t xml:space="preserve"> tailoring catalyst properties for enhanced electro</w:t>
      </w:r>
      <w:r w:rsidR="00AF3D00">
        <w:rPr>
          <w:rFonts w:ascii="Times New Roman" w:eastAsia="Times New Roman" w:hAnsi="Times New Roman" w:cs="Times New Roman"/>
          <w:color w:val="000000"/>
          <w:sz w:val="24"/>
          <w:szCs w:val="24"/>
        </w:rPr>
        <w:t xml:space="preserve"> </w:t>
      </w:r>
      <w:r w:rsidRPr="00AF3D00">
        <w:rPr>
          <w:rFonts w:ascii="Times New Roman" w:eastAsia="Times New Roman" w:hAnsi="Times New Roman" w:cs="Times New Roman"/>
          <w:color w:val="FF0000"/>
          <w:sz w:val="24"/>
          <w:szCs w:val="24"/>
        </w:rPr>
        <w:t>catalytic performance (Wang et al.).</w:t>
      </w:r>
    </w:p>
    <w:p w:rsidR="000B3F18" w:rsidRDefault="000B3F18" w:rsidP="00D41AB9">
      <w:pPr>
        <w:spacing w:after="0" w:line="240" w:lineRule="auto"/>
        <w:ind w:left="851" w:right="559" w:firstLine="720"/>
        <w:jc w:val="both"/>
        <w:rPr>
          <w:rFonts w:ascii="Times New Roman" w:eastAsia="Times New Roman" w:hAnsi="Times New Roman" w:cs="Times New Roman"/>
          <w:color w:val="000000"/>
          <w:sz w:val="24"/>
          <w:szCs w:val="24"/>
        </w:rPr>
      </w:pPr>
    </w:p>
    <w:p w:rsidR="000B3F18" w:rsidRDefault="00D41AB9" w:rsidP="00D41AB9">
      <w:pPr>
        <w:spacing w:after="0" w:line="240" w:lineRule="auto"/>
        <w:ind w:left="851" w:right="55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 has been shown that when N is co-doped with other hetero atoms, the resulting co-doped carbon materials often exhibit higher </w:t>
      </w:r>
      <w:proofErr w:type="spellStart"/>
      <w:r>
        <w:rPr>
          <w:rFonts w:ascii="Times New Roman" w:eastAsia="Times New Roman" w:hAnsi="Times New Roman" w:cs="Times New Roman"/>
          <w:color w:val="000000"/>
          <w:sz w:val="24"/>
          <w:szCs w:val="24"/>
        </w:rPr>
        <w:t>electrocatalytic</w:t>
      </w:r>
      <w:proofErr w:type="spellEnd"/>
      <w:r>
        <w:rPr>
          <w:rFonts w:ascii="Times New Roman" w:eastAsia="Times New Roman" w:hAnsi="Times New Roman" w:cs="Times New Roman"/>
          <w:color w:val="000000"/>
          <w:sz w:val="24"/>
          <w:szCs w:val="24"/>
        </w:rPr>
        <w:t xml:space="preserve"> activity for ORR than their single-doped counterparts. For instance, N, B-doped </w:t>
      </w:r>
      <w:proofErr w:type="spellStart"/>
      <w:r>
        <w:rPr>
          <w:rFonts w:ascii="Times New Roman" w:eastAsia="Times New Roman" w:hAnsi="Times New Roman" w:cs="Times New Roman"/>
          <w:color w:val="000000"/>
          <w:sz w:val="24"/>
          <w:szCs w:val="24"/>
        </w:rPr>
        <w:t>graphene</w:t>
      </w:r>
      <w:proofErr w:type="spellEnd"/>
      <w:r>
        <w:rPr>
          <w:rFonts w:ascii="Times New Roman" w:eastAsia="Times New Roman" w:hAnsi="Times New Roman" w:cs="Times New Roman"/>
          <w:color w:val="000000"/>
          <w:sz w:val="24"/>
          <w:szCs w:val="24"/>
        </w:rPr>
        <w:t xml:space="preserve"> (NBG), produced by thermally annealing a GO and H</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BO</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xml:space="preserve"> combination under an NH</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xml:space="preserve"> environment, outperformed commercial </w:t>
      </w:r>
      <w:proofErr w:type="spellStart"/>
      <w:r>
        <w:rPr>
          <w:rFonts w:ascii="Times New Roman" w:eastAsia="Times New Roman" w:hAnsi="Times New Roman" w:cs="Times New Roman"/>
          <w:color w:val="000000"/>
          <w:sz w:val="24"/>
          <w:szCs w:val="24"/>
        </w:rPr>
        <w:t>Pt</w:t>
      </w:r>
      <w:proofErr w:type="spellEnd"/>
      <w:r>
        <w:rPr>
          <w:rFonts w:ascii="Times New Roman" w:eastAsia="Times New Roman" w:hAnsi="Times New Roman" w:cs="Times New Roman"/>
          <w:color w:val="000000"/>
          <w:sz w:val="24"/>
          <w:szCs w:val="24"/>
        </w:rPr>
        <w:t xml:space="preserve">/C in terms of </w:t>
      </w:r>
      <w:proofErr w:type="spellStart"/>
      <w:r>
        <w:rPr>
          <w:rFonts w:ascii="Times New Roman" w:eastAsia="Times New Roman" w:hAnsi="Times New Roman" w:cs="Times New Roman"/>
          <w:color w:val="000000"/>
          <w:sz w:val="24"/>
          <w:szCs w:val="24"/>
        </w:rPr>
        <w:t>electrocatalytic</w:t>
      </w:r>
      <w:proofErr w:type="spellEnd"/>
      <w:r>
        <w:rPr>
          <w:rFonts w:ascii="Times New Roman" w:eastAsia="Times New Roman" w:hAnsi="Times New Roman" w:cs="Times New Roman"/>
          <w:color w:val="000000"/>
          <w:sz w:val="24"/>
          <w:szCs w:val="24"/>
        </w:rPr>
        <w:t xml:space="preserve"> performance for ORR (Wang et al.). By successively adding N and B to </w:t>
      </w:r>
      <w:proofErr w:type="spellStart"/>
      <w:r>
        <w:rPr>
          <w:rFonts w:ascii="Times New Roman" w:eastAsia="Times New Roman" w:hAnsi="Times New Roman" w:cs="Times New Roman"/>
          <w:color w:val="000000"/>
          <w:sz w:val="24"/>
          <w:szCs w:val="24"/>
        </w:rPr>
        <w:t>graphene</w:t>
      </w:r>
      <w:proofErr w:type="spellEnd"/>
      <w:r>
        <w:rPr>
          <w:rFonts w:ascii="Times New Roman" w:eastAsia="Times New Roman" w:hAnsi="Times New Roman" w:cs="Times New Roman"/>
          <w:color w:val="000000"/>
          <w:sz w:val="24"/>
          <w:szCs w:val="24"/>
        </w:rPr>
        <w:t xml:space="preserve"> domains, </w:t>
      </w:r>
      <w:proofErr w:type="spellStart"/>
      <w:r>
        <w:rPr>
          <w:rFonts w:ascii="Times New Roman" w:eastAsia="Times New Roman" w:hAnsi="Times New Roman" w:cs="Times New Roman"/>
          <w:color w:val="000000"/>
          <w:sz w:val="24"/>
          <w:szCs w:val="24"/>
        </w:rPr>
        <w:t>Qiao's</w:t>
      </w:r>
      <w:proofErr w:type="spellEnd"/>
      <w:r>
        <w:rPr>
          <w:rFonts w:ascii="Times New Roman" w:eastAsia="Times New Roman" w:hAnsi="Times New Roman" w:cs="Times New Roman"/>
          <w:color w:val="000000"/>
          <w:sz w:val="24"/>
          <w:szCs w:val="24"/>
        </w:rPr>
        <w:t xml:space="preserve"> group was able to create NBG and found that it had more active </w:t>
      </w:r>
      <w:proofErr w:type="spellStart"/>
      <w:r>
        <w:rPr>
          <w:rFonts w:ascii="Times New Roman" w:eastAsia="Times New Roman" w:hAnsi="Times New Roman" w:cs="Times New Roman"/>
          <w:color w:val="000000"/>
          <w:sz w:val="24"/>
          <w:szCs w:val="24"/>
        </w:rPr>
        <w:t>electrocatalysts</w:t>
      </w:r>
      <w:proofErr w:type="spellEnd"/>
      <w:r>
        <w:rPr>
          <w:rFonts w:ascii="Times New Roman" w:eastAsia="Times New Roman" w:hAnsi="Times New Roman" w:cs="Times New Roman"/>
          <w:color w:val="000000"/>
          <w:sz w:val="24"/>
          <w:szCs w:val="24"/>
        </w:rPr>
        <w:t xml:space="preserve"> for ORR than single-doped </w:t>
      </w:r>
      <w:proofErr w:type="spellStart"/>
      <w:r>
        <w:rPr>
          <w:rFonts w:ascii="Times New Roman" w:eastAsia="Times New Roman" w:hAnsi="Times New Roman" w:cs="Times New Roman"/>
          <w:color w:val="000000"/>
          <w:sz w:val="24"/>
          <w:szCs w:val="24"/>
        </w:rPr>
        <w:t>graphene</w:t>
      </w:r>
      <w:proofErr w:type="spellEnd"/>
      <w:r>
        <w:rPr>
          <w:rFonts w:ascii="Times New Roman" w:eastAsia="Times New Roman" w:hAnsi="Times New Roman" w:cs="Times New Roman"/>
          <w:color w:val="000000"/>
          <w:sz w:val="24"/>
          <w:szCs w:val="24"/>
        </w:rPr>
        <w:t xml:space="preserve"> did., they discovered that at 1600 rpm, N, S-doped </w:t>
      </w:r>
      <w:proofErr w:type="spellStart"/>
      <w:r>
        <w:rPr>
          <w:rFonts w:ascii="Times New Roman" w:eastAsia="Times New Roman" w:hAnsi="Times New Roman" w:cs="Times New Roman"/>
          <w:color w:val="000000"/>
          <w:sz w:val="24"/>
          <w:szCs w:val="24"/>
        </w:rPr>
        <w:t>graphene</w:t>
      </w:r>
      <w:proofErr w:type="spellEnd"/>
      <w:r>
        <w:rPr>
          <w:rFonts w:ascii="Times New Roman" w:eastAsia="Times New Roman" w:hAnsi="Times New Roman" w:cs="Times New Roman"/>
          <w:color w:val="000000"/>
          <w:sz w:val="24"/>
          <w:szCs w:val="24"/>
        </w:rPr>
        <w:t xml:space="preserve"> (NSG) had greater positive </w:t>
      </w:r>
      <w:proofErr w:type="spellStart"/>
      <w:r>
        <w:rPr>
          <w:rFonts w:ascii="Times New Roman" w:eastAsia="Times New Roman" w:hAnsi="Times New Roman" w:cs="Times New Roman"/>
          <w:color w:val="000000"/>
          <w:sz w:val="24"/>
          <w:szCs w:val="24"/>
        </w:rPr>
        <w:t>Eonset</w:t>
      </w:r>
      <w:proofErr w:type="spellEnd"/>
      <w:r>
        <w:rPr>
          <w:rFonts w:ascii="Times New Roman" w:eastAsia="Times New Roman" w:hAnsi="Times New Roman" w:cs="Times New Roman"/>
          <w:color w:val="000000"/>
          <w:sz w:val="24"/>
          <w:szCs w:val="24"/>
        </w:rPr>
        <w:t xml:space="preserve"> (0.06 V vs. Ag/</w:t>
      </w:r>
      <w:proofErr w:type="spellStart"/>
      <w:r>
        <w:rPr>
          <w:rFonts w:ascii="Times New Roman" w:eastAsia="Times New Roman" w:hAnsi="Times New Roman" w:cs="Times New Roman"/>
          <w:color w:val="000000"/>
          <w:sz w:val="24"/>
          <w:szCs w:val="24"/>
        </w:rPr>
        <w:t>AgCl</w:t>
      </w:r>
      <w:proofErr w:type="spellEnd"/>
      <w:r>
        <w:rPr>
          <w:rFonts w:ascii="Times New Roman" w:eastAsia="Times New Roman" w:hAnsi="Times New Roman" w:cs="Times New Roman"/>
          <w:color w:val="000000"/>
          <w:sz w:val="24"/>
          <w:szCs w:val="24"/>
        </w:rPr>
        <w:t xml:space="preserve">) than NG, SG, or G, which was equivalent to commercial </w:t>
      </w:r>
      <w:proofErr w:type="spellStart"/>
      <w:r>
        <w:rPr>
          <w:rFonts w:ascii="Times New Roman" w:eastAsia="Times New Roman" w:hAnsi="Times New Roman" w:cs="Times New Roman"/>
          <w:color w:val="000000"/>
          <w:sz w:val="24"/>
          <w:szCs w:val="24"/>
        </w:rPr>
        <w:t>Pt</w:t>
      </w:r>
      <w:proofErr w:type="spellEnd"/>
      <w:r>
        <w:rPr>
          <w:rFonts w:ascii="Times New Roman" w:eastAsia="Times New Roman" w:hAnsi="Times New Roman" w:cs="Times New Roman"/>
          <w:color w:val="000000"/>
          <w:sz w:val="24"/>
          <w:szCs w:val="24"/>
        </w:rPr>
        <w:t>/C (-0.03 V vs. Ag/</w:t>
      </w:r>
      <w:proofErr w:type="spellStart"/>
      <w:r>
        <w:rPr>
          <w:rFonts w:ascii="Times New Roman" w:eastAsia="Times New Roman" w:hAnsi="Times New Roman" w:cs="Times New Roman"/>
          <w:color w:val="000000"/>
          <w:sz w:val="24"/>
          <w:szCs w:val="24"/>
        </w:rPr>
        <w:t>AgCl</w:t>
      </w:r>
      <w:proofErr w:type="spellEnd"/>
      <w:r>
        <w:rPr>
          <w:rFonts w:ascii="Times New Roman" w:eastAsia="Times New Roman" w:hAnsi="Times New Roman" w:cs="Times New Roman"/>
          <w:color w:val="000000"/>
          <w:sz w:val="24"/>
          <w:szCs w:val="24"/>
        </w:rPr>
        <w:t xml:space="preserve">). , a number of doping precursors were thermally </w:t>
      </w:r>
      <w:proofErr w:type="spellStart"/>
      <w:r>
        <w:rPr>
          <w:rFonts w:ascii="Times New Roman" w:eastAsia="Times New Roman" w:hAnsi="Times New Roman" w:cs="Times New Roman"/>
          <w:color w:val="000000"/>
          <w:sz w:val="24"/>
          <w:szCs w:val="24"/>
        </w:rPr>
        <w:t>pyrolyzed</w:t>
      </w:r>
      <w:proofErr w:type="spellEnd"/>
      <w:r>
        <w:rPr>
          <w:rFonts w:ascii="Times New Roman" w:eastAsia="Times New Roman" w:hAnsi="Times New Roman" w:cs="Times New Roman"/>
          <w:color w:val="000000"/>
          <w:sz w:val="24"/>
          <w:szCs w:val="24"/>
        </w:rPr>
        <w:t xml:space="preserve"> to create a variety of NSG samples in various ratios. As synthesized NSG had much higher </w:t>
      </w:r>
      <w:proofErr w:type="spellStart"/>
      <w:r>
        <w:rPr>
          <w:rFonts w:ascii="Times New Roman" w:eastAsia="Times New Roman" w:hAnsi="Times New Roman" w:cs="Times New Roman"/>
          <w:color w:val="000000"/>
          <w:sz w:val="24"/>
          <w:szCs w:val="24"/>
        </w:rPr>
        <w:t>electrocatalytic</w:t>
      </w:r>
      <w:proofErr w:type="spellEnd"/>
      <w:r>
        <w:rPr>
          <w:rFonts w:ascii="Times New Roman" w:eastAsia="Times New Roman" w:hAnsi="Times New Roman" w:cs="Times New Roman"/>
          <w:color w:val="000000"/>
          <w:sz w:val="24"/>
          <w:szCs w:val="24"/>
        </w:rPr>
        <w:t xml:space="preserve"> activity than N-doped </w:t>
      </w:r>
      <w:proofErr w:type="spellStart"/>
      <w:r>
        <w:rPr>
          <w:rFonts w:ascii="Times New Roman" w:eastAsia="Times New Roman" w:hAnsi="Times New Roman" w:cs="Times New Roman"/>
          <w:color w:val="000000"/>
          <w:sz w:val="24"/>
          <w:szCs w:val="24"/>
        </w:rPr>
        <w:t>graphene</w:t>
      </w:r>
      <w:proofErr w:type="spellEnd"/>
      <w:r>
        <w:rPr>
          <w:rFonts w:ascii="Times New Roman" w:eastAsia="Times New Roman" w:hAnsi="Times New Roman" w:cs="Times New Roman"/>
          <w:color w:val="000000"/>
          <w:sz w:val="24"/>
          <w:szCs w:val="24"/>
        </w:rPr>
        <w:t xml:space="preserve"> alone. Hu and Dai recently reported on a hierarchically porous N, S co doped graphite sheet that showed an E1/2 as positive as commercial </w:t>
      </w:r>
      <w:proofErr w:type="spellStart"/>
      <w:r>
        <w:rPr>
          <w:rFonts w:ascii="Times New Roman" w:eastAsia="Times New Roman" w:hAnsi="Times New Roman" w:cs="Times New Roman"/>
          <w:color w:val="000000"/>
          <w:sz w:val="24"/>
          <w:szCs w:val="24"/>
        </w:rPr>
        <w:t>Pt</w:t>
      </w:r>
      <w:proofErr w:type="spellEnd"/>
      <w:r>
        <w:rPr>
          <w:rFonts w:ascii="Times New Roman" w:eastAsia="Times New Roman" w:hAnsi="Times New Roman" w:cs="Times New Roman"/>
          <w:color w:val="000000"/>
          <w:sz w:val="24"/>
          <w:szCs w:val="24"/>
        </w:rPr>
        <w:t xml:space="preserve">/C (ETEK) (Ma et al.) </w:t>
      </w:r>
      <w:proofErr w:type="spellStart"/>
      <w:r>
        <w:rPr>
          <w:rFonts w:ascii="Times New Roman" w:eastAsia="Times New Roman" w:hAnsi="Times New Roman" w:cs="Times New Roman"/>
          <w:color w:val="000000"/>
          <w:sz w:val="24"/>
          <w:szCs w:val="24"/>
        </w:rPr>
        <w:t>graphite.An</w:t>
      </w:r>
      <w:proofErr w:type="spellEnd"/>
      <w:r>
        <w:rPr>
          <w:rFonts w:ascii="Times New Roman" w:eastAsia="Times New Roman" w:hAnsi="Times New Roman" w:cs="Times New Roman"/>
          <w:color w:val="000000"/>
          <w:sz w:val="24"/>
          <w:szCs w:val="24"/>
        </w:rPr>
        <w:t xml:space="preserve"> effective method of enhancing carbon materials' </w:t>
      </w:r>
      <w:proofErr w:type="spellStart"/>
      <w:r>
        <w:rPr>
          <w:rFonts w:ascii="Times New Roman" w:eastAsia="Times New Roman" w:hAnsi="Times New Roman" w:cs="Times New Roman"/>
          <w:color w:val="000000"/>
          <w:sz w:val="24"/>
          <w:szCs w:val="24"/>
        </w:rPr>
        <w:t>electrocatalytic</w:t>
      </w:r>
      <w:proofErr w:type="spellEnd"/>
      <w:r>
        <w:rPr>
          <w:rFonts w:ascii="Times New Roman" w:eastAsia="Times New Roman" w:hAnsi="Times New Roman" w:cs="Times New Roman"/>
          <w:color w:val="000000"/>
          <w:sz w:val="24"/>
          <w:szCs w:val="24"/>
        </w:rPr>
        <w:t xml:space="preserve"> efficiency towards ORR is to include both N and P atoms into them (Choi et al.). According to Woo's group, N, P co doped </w:t>
      </w:r>
      <w:proofErr w:type="spellStart"/>
      <w:r>
        <w:rPr>
          <w:rFonts w:ascii="Times New Roman" w:eastAsia="Times New Roman" w:hAnsi="Times New Roman" w:cs="Times New Roman"/>
          <w:color w:val="000000"/>
          <w:sz w:val="24"/>
          <w:szCs w:val="24"/>
        </w:rPr>
        <w:t>graphene</w:t>
      </w:r>
      <w:proofErr w:type="spellEnd"/>
      <w:r>
        <w:rPr>
          <w:rFonts w:ascii="Times New Roman" w:eastAsia="Times New Roman" w:hAnsi="Times New Roman" w:cs="Times New Roman"/>
          <w:color w:val="000000"/>
          <w:sz w:val="24"/>
          <w:szCs w:val="24"/>
        </w:rPr>
        <w:t xml:space="preserve"> (NPG) has better ORR activity in an acidic solution than single N-doped </w:t>
      </w:r>
      <w:proofErr w:type="spellStart"/>
      <w:r>
        <w:rPr>
          <w:rFonts w:ascii="Times New Roman" w:eastAsia="Times New Roman" w:hAnsi="Times New Roman" w:cs="Times New Roman"/>
          <w:color w:val="000000"/>
          <w:sz w:val="24"/>
          <w:szCs w:val="24"/>
        </w:rPr>
        <w:t>graphene</w:t>
      </w:r>
      <w:proofErr w:type="spellEnd"/>
      <w:r>
        <w:rPr>
          <w:rFonts w:ascii="Times New Roman" w:eastAsia="Times New Roman" w:hAnsi="Times New Roman" w:cs="Times New Roman"/>
          <w:color w:val="000000"/>
          <w:sz w:val="24"/>
          <w:szCs w:val="24"/>
        </w:rPr>
        <w:t xml:space="preserve">. By using a </w:t>
      </w:r>
      <w:proofErr w:type="spellStart"/>
      <w:r>
        <w:rPr>
          <w:rFonts w:ascii="Times New Roman" w:eastAsia="Times New Roman" w:hAnsi="Times New Roman" w:cs="Times New Roman"/>
          <w:color w:val="000000"/>
          <w:sz w:val="24"/>
          <w:szCs w:val="24"/>
        </w:rPr>
        <w:t>solvo</w:t>
      </w:r>
      <w:proofErr w:type="spellEnd"/>
      <w:r>
        <w:rPr>
          <w:rFonts w:ascii="Times New Roman" w:eastAsia="Times New Roman" w:hAnsi="Times New Roman" w:cs="Times New Roman"/>
          <w:color w:val="000000"/>
          <w:sz w:val="24"/>
          <w:szCs w:val="24"/>
        </w:rPr>
        <w:t xml:space="preserve"> thermal process, we also created N, X (X = B, S, or P) co-doped </w:t>
      </w:r>
      <w:proofErr w:type="spellStart"/>
      <w:r>
        <w:rPr>
          <w:rFonts w:ascii="Times New Roman" w:eastAsia="Times New Roman" w:hAnsi="Times New Roman" w:cs="Times New Roman"/>
          <w:color w:val="000000"/>
          <w:sz w:val="24"/>
          <w:szCs w:val="24"/>
        </w:rPr>
        <w:t>graphene</w:t>
      </w:r>
      <w:proofErr w:type="spellEnd"/>
      <w:r>
        <w:rPr>
          <w:rFonts w:ascii="Times New Roman" w:eastAsia="Times New Roman" w:hAnsi="Times New Roman" w:cs="Times New Roman"/>
          <w:color w:val="000000"/>
          <w:sz w:val="24"/>
          <w:szCs w:val="24"/>
        </w:rPr>
        <w:t xml:space="preserve"> samples. We discovered that the </w:t>
      </w:r>
      <w:proofErr w:type="spellStart"/>
      <w:r>
        <w:rPr>
          <w:rFonts w:ascii="Times New Roman" w:eastAsia="Times New Roman" w:hAnsi="Times New Roman" w:cs="Times New Roman"/>
          <w:color w:val="000000"/>
          <w:sz w:val="24"/>
          <w:szCs w:val="24"/>
        </w:rPr>
        <w:t>electrocatalytic</w:t>
      </w:r>
      <w:proofErr w:type="spellEnd"/>
      <w:r>
        <w:rPr>
          <w:rFonts w:ascii="Times New Roman" w:eastAsia="Times New Roman" w:hAnsi="Times New Roman" w:cs="Times New Roman"/>
          <w:color w:val="000000"/>
          <w:sz w:val="24"/>
          <w:szCs w:val="24"/>
        </w:rPr>
        <w:t xml:space="preserve"> activity is in the range of NSG, NBG, and NPG, which is in good agreement with earlier theoretical modelling and experimental findings. In addition to being more effective </w:t>
      </w:r>
      <w:proofErr w:type="spellStart"/>
      <w:r>
        <w:rPr>
          <w:rFonts w:ascii="Times New Roman" w:eastAsia="Times New Roman" w:hAnsi="Times New Roman" w:cs="Times New Roman"/>
          <w:color w:val="000000"/>
          <w:sz w:val="24"/>
          <w:szCs w:val="24"/>
        </w:rPr>
        <w:t>electrocatalysts</w:t>
      </w:r>
      <w:proofErr w:type="spellEnd"/>
      <w:r>
        <w:rPr>
          <w:rFonts w:ascii="Times New Roman" w:eastAsia="Times New Roman" w:hAnsi="Times New Roman" w:cs="Times New Roman"/>
          <w:color w:val="000000"/>
          <w:sz w:val="24"/>
          <w:szCs w:val="24"/>
        </w:rPr>
        <w:t xml:space="preserve"> for ORR than commercial </w:t>
      </w:r>
      <w:proofErr w:type="spellStart"/>
      <w:r>
        <w:rPr>
          <w:rFonts w:ascii="Times New Roman" w:eastAsia="Times New Roman" w:hAnsi="Times New Roman" w:cs="Times New Roman"/>
          <w:color w:val="000000"/>
          <w:sz w:val="24"/>
          <w:szCs w:val="24"/>
        </w:rPr>
        <w:t>Pt</w:t>
      </w:r>
      <w:proofErr w:type="spellEnd"/>
      <w:r>
        <w:rPr>
          <w:rFonts w:ascii="Times New Roman" w:eastAsia="Times New Roman" w:hAnsi="Times New Roman" w:cs="Times New Roman"/>
          <w:color w:val="000000"/>
          <w:sz w:val="24"/>
          <w:szCs w:val="24"/>
        </w:rPr>
        <w:t xml:space="preserve">/C samples, O- and N-doped </w:t>
      </w:r>
      <w:proofErr w:type="spellStart"/>
      <w:r>
        <w:rPr>
          <w:rFonts w:ascii="Times New Roman" w:eastAsia="Times New Roman" w:hAnsi="Times New Roman" w:cs="Times New Roman"/>
          <w:color w:val="000000"/>
          <w:sz w:val="24"/>
          <w:szCs w:val="24"/>
        </w:rPr>
        <w:t>mesoporous</w:t>
      </w:r>
      <w:proofErr w:type="spellEnd"/>
      <w:r>
        <w:rPr>
          <w:rFonts w:ascii="Times New Roman" w:eastAsia="Times New Roman" w:hAnsi="Times New Roman" w:cs="Times New Roman"/>
          <w:color w:val="000000"/>
          <w:sz w:val="24"/>
          <w:szCs w:val="24"/>
        </w:rPr>
        <w:t xml:space="preserve"> carbon materials that were created by polymerizing </w:t>
      </w:r>
      <w:proofErr w:type="spellStart"/>
      <w:r>
        <w:rPr>
          <w:rFonts w:ascii="Times New Roman" w:eastAsia="Times New Roman" w:hAnsi="Times New Roman" w:cs="Times New Roman"/>
          <w:color w:val="000000"/>
          <w:sz w:val="24"/>
          <w:szCs w:val="24"/>
        </w:rPr>
        <w:t>polyaniline</w:t>
      </w:r>
      <w:proofErr w:type="spellEnd"/>
      <w:r>
        <w:rPr>
          <w:rFonts w:ascii="Times New Roman" w:eastAsia="Times New Roman" w:hAnsi="Times New Roman" w:cs="Times New Roman"/>
          <w:color w:val="000000"/>
          <w:sz w:val="24"/>
          <w:szCs w:val="24"/>
        </w:rPr>
        <w:t xml:space="preserve"> in situ inside the pores of </w:t>
      </w:r>
      <w:proofErr w:type="spellStart"/>
      <w:r>
        <w:rPr>
          <w:rFonts w:ascii="Times New Roman" w:eastAsia="Times New Roman" w:hAnsi="Times New Roman" w:cs="Times New Roman"/>
          <w:color w:val="000000"/>
          <w:sz w:val="24"/>
          <w:szCs w:val="24"/>
        </w:rPr>
        <w:t>mesoporous</w:t>
      </w:r>
      <w:proofErr w:type="spellEnd"/>
      <w:r>
        <w:rPr>
          <w:rFonts w:ascii="Times New Roman" w:eastAsia="Times New Roman" w:hAnsi="Times New Roman" w:cs="Times New Roman"/>
          <w:color w:val="000000"/>
          <w:sz w:val="24"/>
          <w:szCs w:val="24"/>
        </w:rPr>
        <w:t xml:space="preserve"> silica (SBA-15) also showed this property (Li et al.). Ternary atomic entry of boron, phosphorus, and nitrogen atoms inside carbon materials may result in a significant enhancement in catalytic activity due to increased asymmetry of spin density from additional dopants such as boron and/or phosphorus (</w:t>
      </w:r>
      <w:proofErr w:type="spellStart"/>
      <w:r>
        <w:rPr>
          <w:rFonts w:ascii="Times New Roman" w:eastAsia="Times New Roman" w:hAnsi="Times New Roman" w:cs="Times New Roman"/>
          <w:color w:val="000000"/>
          <w:sz w:val="24"/>
          <w:szCs w:val="24"/>
        </w:rPr>
        <w:t>Razmjooei</w:t>
      </w:r>
      <w:proofErr w:type="spellEnd"/>
      <w:r>
        <w:rPr>
          <w:rFonts w:ascii="Times New Roman" w:eastAsia="Times New Roman" w:hAnsi="Times New Roman" w:cs="Times New Roman"/>
          <w:color w:val="000000"/>
          <w:sz w:val="24"/>
          <w:szCs w:val="24"/>
        </w:rPr>
        <w:t xml:space="preserve"> et al.). Yu and colleagues incrementally doped P atoms into N, S co-doped </w:t>
      </w:r>
      <w:proofErr w:type="spellStart"/>
      <w:r>
        <w:rPr>
          <w:rFonts w:ascii="Times New Roman" w:eastAsia="Times New Roman" w:hAnsi="Times New Roman" w:cs="Times New Roman"/>
          <w:color w:val="000000"/>
          <w:sz w:val="24"/>
          <w:szCs w:val="24"/>
        </w:rPr>
        <w:t>graphene</w:t>
      </w:r>
      <w:proofErr w:type="spellEnd"/>
      <w:r>
        <w:rPr>
          <w:rFonts w:ascii="Times New Roman" w:eastAsia="Times New Roman" w:hAnsi="Times New Roman" w:cs="Times New Roman"/>
          <w:color w:val="000000"/>
          <w:sz w:val="24"/>
          <w:szCs w:val="24"/>
        </w:rPr>
        <w:t xml:space="preserve"> to produce ternary-doped </w:t>
      </w:r>
      <w:proofErr w:type="spellStart"/>
      <w:r>
        <w:rPr>
          <w:rFonts w:ascii="Times New Roman" w:eastAsia="Times New Roman" w:hAnsi="Times New Roman" w:cs="Times New Roman"/>
          <w:color w:val="000000"/>
          <w:sz w:val="24"/>
          <w:szCs w:val="24"/>
        </w:rPr>
        <w:t>graphene</w:t>
      </w:r>
      <w:proofErr w:type="spellEnd"/>
      <w:r>
        <w:rPr>
          <w:rFonts w:ascii="Times New Roman" w:eastAsia="Times New Roman" w:hAnsi="Times New Roman" w:cs="Times New Roman"/>
          <w:color w:val="000000"/>
          <w:sz w:val="24"/>
          <w:szCs w:val="24"/>
        </w:rPr>
        <w:t xml:space="preserve"> (NSPG), which demonstrated a distinct </w:t>
      </w:r>
      <w:proofErr w:type="spellStart"/>
      <w:r>
        <w:rPr>
          <w:rFonts w:ascii="Times New Roman" w:eastAsia="Times New Roman" w:hAnsi="Times New Roman" w:cs="Times New Roman"/>
          <w:color w:val="000000"/>
          <w:sz w:val="24"/>
          <w:szCs w:val="24"/>
        </w:rPr>
        <w:t>electrocatalytic</w:t>
      </w:r>
      <w:proofErr w:type="spellEnd"/>
      <w:r>
        <w:rPr>
          <w:rFonts w:ascii="Times New Roman" w:eastAsia="Times New Roman" w:hAnsi="Times New Roman" w:cs="Times New Roman"/>
          <w:color w:val="000000"/>
          <w:sz w:val="24"/>
          <w:szCs w:val="24"/>
        </w:rPr>
        <w:t xml:space="preserve"> activity towards ORR that was two times higher than binary NSG, five times higher than PG, and even outperformed the </w:t>
      </w:r>
      <w:proofErr w:type="spellStart"/>
      <w:r>
        <w:rPr>
          <w:rFonts w:ascii="Times New Roman" w:eastAsia="Times New Roman" w:hAnsi="Times New Roman" w:cs="Times New Roman"/>
          <w:color w:val="000000"/>
          <w:sz w:val="24"/>
          <w:szCs w:val="24"/>
        </w:rPr>
        <w:t>Pt</w:t>
      </w:r>
      <w:proofErr w:type="spellEnd"/>
      <w:r>
        <w:rPr>
          <w:rFonts w:ascii="Times New Roman" w:eastAsia="Times New Roman" w:hAnsi="Times New Roman" w:cs="Times New Roman"/>
          <w:color w:val="000000"/>
          <w:sz w:val="24"/>
          <w:szCs w:val="24"/>
        </w:rPr>
        <w:t xml:space="preserve">/C samples in alkaline solutions. N, B, and P ternary-doped </w:t>
      </w:r>
      <w:proofErr w:type="spellStart"/>
      <w:r>
        <w:rPr>
          <w:rFonts w:ascii="Times New Roman" w:eastAsia="Times New Roman" w:hAnsi="Times New Roman" w:cs="Times New Roman"/>
          <w:color w:val="000000"/>
          <w:sz w:val="24"/>
          <w:szCs w:val="24"/>
        </w:rPr>
        <w:t>graphene</w:t>
      </w:r>
      <w:proofErr w:type="spellEnd"/>
      <w:r>
        <w:rPr>
          <w:rFonts w:ascii="Times New Roman" w:eastAsia="Times New Roman" w:hAnsi="Times New Roman" w:cs="Times New Roman"/>
          <w:color w:val="000000"/>
          <w:sz w:val="24"/>
          <w:szCs w:val="24"/>
        </w:rPr>
        <w:t xml:space="preserve"> (NBPG) samples were produced using NH3 as </w:t>
      </w:r>
      <w:proofErr w:type="gramStart"/>
      <w:r>
        <w:rPr>
          <w:rFonts w:ascii="Times New Roman" w:eastAsia="Times New Roman" w:hAnsi="Times New Roman" w:cs="Times New Roman"/>
          <w:color w:val="000000"/>
          <w:sz w:val="24"/>
          <w:szCs w:val="24"/>
        </w:rPr>
        <w:t>a</w:t>
      </w:r>
      <w:proofErr w:type="gramEnd"/>
      <w:r>
        <w:rPr>
          <w:rFonts w:ascii="Times New Roman" w:eastAsia="Times New Roman" w:hAnsi="Times New Roman" w:cs="Times New Roman"/>
          <w:color w:val="000000"/>
          <w:sz w:val="24"/>
          <w:szCs w:val="24"/>
        </w:rPr>
        <w:t xml:space="preserve"> N precursor and boron phosphate as both a B and P source (Lin et al.).N, B, and P ternary-doped </w:t>
      </w:r>
      <w:proofErr w:type="spellStart"/>
      <w:r>
        <w:rPr>
          <w:rFonts w:ascii="Times New Roman" w:eastAsia="Times New Roman" w:hAnsi="Times New Roman" w:cs="Times New Roman"/>
          <w:color w:val="000000"/>
          <w:sz w:val="24"/>
          <w:szCs w:val="24"/>
        </w:rPr>
        <w:t>graphene</w:t>
      </w:r>
      <w:proofErr w:type="spellEnd"/>
      <w:r>
        <w:rPr>
          <w:rFonts w:ascii="Times New Roman" w:eastAsia="Times New Roman" w:hAnsi="Times New Roman" w:cs="Times New Roman"/>
          <w:color w:val="000000"/>
          <w:sz w:val="24"/>
          <w:szCs w:val="24"/>
        </w:rPr>
        <w:t xml:space="preserve"> (NBPG) samples were generated using NH3 as </w:t>
      </w:r>
      <w:proofErr w:type="gramStart"/>
      <w:r>
        <w:rPr>
          <w:rFonts w:ascii="Times New Roman" w:eastAsia="Times New Roman" w:hAnsi="Times New Roman" w:cs="Times New Roman"/>
          <w:color w:val="000000"/>
          <w:sz w:val="24"/>
          <w:szCs w:val="24"/>
        </w:rPr>
        <w:t>a</w:t>
      </w:r>
      <w:proofErr w:type="gramEnd"/>
      <w:r>
        <w:rPr>
          <w:rFonts w:ascii="Times New Roman" w:eastAsia="Times New Roman" w:hAnsi="Times New Roman" w:cs="Times New Roman"/>
          <w:color w:val="000000"/>
          <w:sz w:val="24"/>
          <w:szCs w:val="24"/>
        </w:rPr>
        <w:t xml:space="preserve"> N precursor and boron phosphate as both a B and P source, which also demonstrated a predominantly four-electron route in alkaline electrolyte (Lin et al.). N, S, and P co-doped carbon materials with porous structures carbonised from MOFs (metal-organic frameworks) also showed high </w:t>
      </w:r>
      <w:proofErr w:type="spellStart"/>
      <w:r>
        <w:rPr>
          <w:rFonts w:ascii="Times New Roman" w:eastAsia="Times New Roman" w:hAnsi="Times New Roman" w:cs="Times New Roman"/>
          <w:color w:val="000000"/>
          <w:sz w:val="24"/>
          <w:szCs w:val="24"/>
        </w:rPr>
        <w:t>Eonset</w:t>
      </w:r>
      <w:proofErr w:type="spellEnd"/>
      <w:r>
        <w:rPr>
          <w:rFonts w:ascii="Times New Roman" w:eastAsia="Times New Roman" w:hAnsi="Times New Roman" w:cs="Times New Roman"/>
          <w:color w:val="000000"/>
          <w:sz w:val="24"/>
          <w:szCs w:val="24"/>
        </w:rPr>
        <w:t xml:space="preserve"> as they attract electrons from adjacent sp2-bonded C atoms and cause charge density redistribution, while S atoms cause a mismatch of S and C outermost orbitals and become positively charged (</w:t>
      </w:r>
      <w:proofErr w:type="spellStart"/>
      <w:r>
        <w:rPr>
          <w:rFonts w:ascii="Times New Roman" w:eastAsia="Times New Roman" w:hAnsi="Times New Roman" w:cs="Times New Roman"/>
          <w:color w:val="000000"/>
          <w:sz w:val="24"/>
          <w:szCs w:val="24"/>
        </w:rPr>
        <w:t>Qu</w:t>
      </w:r>
      <w:proofErr w:type="spellEnd"/>
      <w:r>
        <w:rPr>
          <w:rFonts w:ascii="Times New Roman" w:eastAsia="Times New Roman" w:hAnsi="Times New Roman" w:cs="Times New Roman"/>
          <w:color w:val="000000"/>
          <w:sz w:val="24"/>
          <w:szCs w:val="24"/>
        </w:rPr>
        <w:t xml:space="preserve"> et al.). Oxygen-containing species can significantly modify the hydrophilic of carbon materials, making catalytic surfaces more accessible and thereby increasing catalytic kinetics.</w:t>
      </w:r>
    </w:p>
    <w:p w:rsidR="000B3F18" w:rsidRDefault="00D41AB9" w:rsidP="00D41AB9">
      <w:pPr>
        <w:spacing w:after="0" w:line="240" w:lineRule="auto"/>
        <w:ind w:left="851" w:right="559"/>
        <w:jc w:val="both"/>
        <w:rPr>
          <w:rFonts w:ascii="Times New Roman" w:eastAsia="Times New Roman" w:hAnsi="Times New Roman" w:cs="Times New Roman"/>
          <w:color w:val="000000"/>
          <w:sz w:val="24"/>
          <w:szCs w:val="24"/>
        </w:rPr>
      </w:pPr>
      <w:r>
        <w:rPr>
          <w:noProof/>
        </w:rPr>
        <w:drawing>
          <wp:anchor distT="0" distB="0" distL="114300" distR="114300" simplePos="0" relativeHeight="251664384" behindDoc="0" locked="0" layoutInCell="1" hidden="0" allowOverlap="1" wp14:anchorId="09B7D67B" wp14:editId="6CABF583">
            <wp:simplePos x="0" y="0"/>
            <wp:positionH relativeFrom="column">
              <wp:posOffset>424180</wp:posOffset>
            </wp:positionH>
            <wp:positionV relativeFrom="paragraph">
              <wp:posOffset>107950</wp:posOffset>
            </wp:positionV>
            <wp:extent cx="5776595" cy="4936490"/>
            <wp:effectExtent l="0" t="0" r="0" b="0"/>
            <wp:wrapSquare wrapText="bothSides" distT="0" distB="0" distL="114300" distR="114300"/>
            <wp:docPr id="2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776595" cy="4936490"/>
                    </a:xfrm>
                    <a:prstGeom prst="rect">
                      <a:avLst/>
                    </a:prstGeom>
                    <a:ln/>
                  </pic:spPr>
                </pic:pic>
              </a:graphicData>
            </a:graphic>
          </wp:anchor>
        </w:drawing>
      </w: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D41AB9" w:rsidP="00D41AB9">
      <w:pPr>
        <w:spacing w:after="0" w:line="240" w:lineRule="auto"/>
        <w:ind w:left="851" w:right="5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D41AB9" w:rsidP="00D41AB9">
      <w:pPr>
        <w:spacing w:after="0" w:line="240" w:lineRule="auto"/>
        <w:ind w:left="851" w:right="559"/>
        <w:jc w:val="both"/>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Fig.</w:t>
      </w:r>
      <w:proofErr w:type="gramEnd"/>
      <w:r>
        <w:rPr>
          <w:rFonts w:ascii="Times New Roman" w:eastAsia="Times New Roman" w:hAnsi="Times New Roman" w:cs="Times New Roman"/>
          <w:color w:val="000000"/>
        </w:rPr>
        <w:t xml:space="preserve"> No: 6, </w:t>
      </w:r>
      <w:proofErr w:type="gramStart"/>
      <w:r>
        <w:rPr>
          <w:rFonts w:ascii="Times New Roman" w:eastAsia="Times New Roman" w:hAnsi="Times New Roman" w:cs="Times New Roman"/>
          <w:color w:val="000000"/>
        </w:rPr>
        <w:t>a</w:t>
      </w:r>
      <w:proofErr w:type="gramEnd"/>
      <w:r>
        <w:rPr>
          <w:rFonts w:ascii="Times New Roman" w:eastAsia="Times New Roman" w:hAnsi="Times New Roman" w:cs="Times New Roman"/>
          <w:color w:val="000000"/>
        </w:rPr>
        <w:t xml:space="preserve"> ORR </w:t>
      </w:r>
      <w:r>
        <w:rPr>
          <w:rFonts w:ascii="Times New Roman" w:eastAsia="Times New Roman" w:hAnsi="Times New Roman" w:cs="Times New Roman"/>
        </w:rPr>
        <w:t>pathway</w:t>
      </w:r>
      <w:r>
        <w:rPr>
          <w:rFonts w:ascii="Times New Roman" w:eastAsia="Times New Roman" w:hAnsi="Times New Roman" w:cs="Times New Roman"/>
          <w:color w:val="000000"/>
        </w:rPr>
        <w:t xml:space="preserve"> on N-doped </w:t>
      </w:r>
      <w:proofErr w:type="spellStart"/>
      <w:r>
        <w:rPr>
          <w:rFonts w:ascii="Times New Roman" w:eastAsia="Times New Roman" w:hAnsi="Times New Roman" w:cs="Times New Roman"/>
          <w:color w:val="000000"/>
        </w:rPr>
        <w:t>graphene</w:t>
      </w:r>
      <w:proofErr w:type="spellEnd"/>
      <w:r>
        <w:rPr>
          <w:rFonts w:ascii="Times New Roman" w:eastAsia="Times New Roman" w:hAnsi="Times New Roman" w:cs="Times New Roman"/>
          <w:color w:val="000000"/>
        </w:rPr>
        <w:t xml:space="preserve"> in alkaline electrolyte: (I) associative mechanism and (II) dissociative mechanism (</w:t>
      </w:r>
      <w:proofErr w:type="spellStart"/>
      <w:r>
        <w:rPr>
          <w:rFonts w:ascii="Times New Roman" w:eastAsia="Times New Roman" w:hAnsi="Times New Roman" w:cs="Times New Roman"/>
          <w:color w:val="000000"/>
        </w:rPr>
        <w:t>Copyright©Elsevier</w:t>
      </w:r>
      <w:proofErr w:type="spellEnd"/>
      <w:r>
        <w:rPr>
          <w:rFonts w:ascii="Times New Roman" w:eastAsia="Times New Roman" w:hAnsi="Times New Roman" w:cs="Times New Roman"/>
          <w:color w:val="000000"/>
        </w:rPr>
        <w:t xml:space="preserve"> 2011). Schematic illustration of the reaction intermediates when using BG as ORR </w:t>
      </w:r>
      <w:proofErr w:type="spellStart"/>
      <w:r>
        <w:rPr>
          <w:rFonts w:ascii="Times New Roman" w:eastAsia="Times New Roman" w:hAnsi="Times New Roman" w:cs="Times New Roman"/>
          <w:color w:val="000000"/>
        </w:rPr>
        <w:t>electrocatalysts</w:t>
      </w:r>
      <w:proofErr w:type="spellEnd"/>
      <w:r>
        <w:rPr>
          <w:rFonts w:ascii="Times New Roman" w:eastAsia="Times New Roman" w:hAnsi="Times New Roman" w:cs="Times New Roman"/>
          <w:color w:val="000000"/>
        </w:rPr>
        <w:t>: b OO-BG, c HOO-BG, d O-BG, e HO-BG; The corresponding free energy (</w:t>
      </w:r>
      <w:proofErr w:type="spellStart"/>
      <w:r>
        <w:rPr>
          <w:rFonts w:ascii="Times New Roman" w:eastAsia="Times New Roman" w:hAnsi="Times New Roman" w:cs="Times New Roman"/>
          <w:color w:val="000000"/>
        </w:rPr>
        <w:t>ΔGw</w:t>
      </w:r>
      <w:proofErr w:type="spellEnd"/>
      <w:r>
        <w:rPr>
          <w:rFonts w:ascii="Times New Roman" w:eastAsia="Times New Roman" w:hAnsi="Times New Roman" w:cs="Times New Roman"/>
          <w:color w:val="000000"/>
        </w:rPr>
        <w:t xml:space="preserve">/sol) diagram </w:t>
      </w:r>
      <w:proofErr w:type="spellStart"/>
      <w:r>
        <w:rPr>
          <w:rFonts w:ascii="Times New Roman" w:eastAsia="Times New Roman" w:hAnsi="Times New Roman" w:cs="Times New Roman"/>
          <w:color w:val="000000"/>
        </w:rPr>
        <w:t>vs</w:t>
      </w:r>
      <w:proofErr w:type="spellEnd"/>
      <w:r>
        <w:rPr>
          <w:rFonts w:ascii="Times New Roman" w:eastAsia="Times New Roman" w:hAnsi="Times New Roman" w:cs="Times New Roman"/>
          <w:color w:val="000000"/>
        </w:rPr>
        <w:t xml:space="preserve"> reaction steps f in acidic electrolytes (pH = 0) and g in alkaline electrolytes (pH = 14); The optimal </w:t>
      </w:r>
      <w:proofErr w:type="spellStart"/>
      <w:r>
        <w:rPr>
          <w:rFonts w:ascii="Times New Roman" w:eastAsia="Times New Roman" w:hAnsi="Times New Roman" w:cs="Times New Roman"/>
          <w:color w:val="000000"/>
        </w:rPr>
        <w:t>electrocatalyst</w:t>
      </w:r>
      <w:proofErr w:type="spellEnd"/>
      <w:r>
        <w:rPr>
          <w:rFonts w:ascii="Times New Roman" w:eastAsia="Times New Roman" w:hAnsi="Times New Roman" w:cs="Times New Roman"/>
          <w:color w:val="000000"/>
        </w:rPr>
        <w:t xml:space="preserve"> was displayed by dashed line ( Copyright© Elsevier 2014)</w:t>
      </w:r>
    </w:p>
    <w:p w:rsidR="000B3F18" w:rsidRDefault="000B3F18" w:rsidP="00D41AB9">
      <w:pPr>
        <w:ind w:left="851" w:right="559"/>
        <w:jc w:val="both"/>
        <w:rPr>
          <w:rFonts w:ascii="Times New Roman" w:eastAsia="Times New Roman" w:hAnsi="Times New Roman" w:cs="Times New Roman"/>
          <w:b/>
          <w:sz w:val="24"/>
          <w:szCs w:val="24"/>
        </w:rPr>
      </w:pPr>
    </w:p>
    <w:p w:rsidR="000B3F18" w:rsidRDefault="00D41AB9" w:rsidP="00D41AB9">
      <w:pPr>
        <w:spacing w:after="0" w:line="360" w:lineRule="auto"/>
        <w:ind w:left="851" w:right="559"/>
        <w:jc w:val="both"/>
        <w:rPr>
          <w:rFonts w:ascii="Times New Roman" w:eastAsia="Times New Roman" w:hAnsi="Times New Roman" w:cs="Times New Roman"/>
          <w:b/>
          <w:color w:val="000000"/>
          <w:sz w:val="24"/>
          <w:szCs w:val="24"/>
        </w:rPr>
      </w:pPr>
      <w:proofErr w:type="gramStart"/>
      <w:r>
        <w:rPr>
          <w:rFonts w:ascii="Times New Roman" w:eastAsia="Times New Roman" w:hAnsi="Times New Roman" w:cs="Times New Roman"/>
          <w:b/>
          <w:color w:val="000000"/>
          <w:sz w:val="24"/>
          <w:szCs w:val="24"/>
        </w:rPr>
        <w:t>4.Fundamentals</w:t>
      </w:r>
      <w:proofErr w:type="gramEnd"/>
      <w:r>
        <w:rPr>
          <w:rFonts w:ascii="Times New Roman" w:eastAsia="Times New Roman" w:hAnsi="Times New Roman" w:cs="Times New Roman"/>
          <w:b/>
          <w:color w:val="000000"/>
          <w:sz w:val="24"/>
          <w:szCs w:val="24"/>
        </w:rPr>
        <w:t xml:space="preserve"> for designing </w:t>
      </w:r>
      <w:proofErr w:type="spellStart"/>
      <w:r>
        <w:rPr>
          <w:rFonts w:ascii="Times New Roman" w:eastAsia="Times New Roman" w:hAnsi="Times New Roman" w:cs="Times New Roman"/>
          <w:b/>
          <w:color w:val="000000"/>
          <w:sz w:val="24"/>
          <w:szCs w:val="24"/>
        </w:rPr>
        <w:t>electrocatalyst</w:t>
      </w:r>
      <w:proofErr w:type="spellEnd"/>
      <w:r>
        <w:rPr>
          <w:rFonts w:ascii="Times New Roman" w:eastAsia="Times New Roman" w:hAnsi="Times New Roman" w:cs="Times New Roman"/>
          <w:b/>
          <w:color w:val="000000"/>
          <w:sz w:val="24"/>
          <w:szCs w:val="24"/>
        </w:rPr>
        <w:t xml:space="preserve"> for oxygen evolution reaction:</w:t>
      </w:r>
    </w:p>
    <w:p w:rsidR="000B3F18" w:rsidRDefault="00D41AB9" w:rsidP="00D41AB9">
      <w:pPr>
        <w:spacing w:after="0" w:line="240" w:lineRule="auto"/>
        <w:ind w:left="851" w:right="55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design of efficient oxygen evolution reaction (OER) </w:t>
      </w:r>
      <w:proofErr w:type="spellStart"/>
      <w:r>
        <w:rPr>
          <w:rFonts w:ascii="Times New Roman" w:eastAsia="Times New Roman" w:hAnsi="Times New Roman" w:cs="Times New Roman"/>
          <w:color w:val="000000"/>
          <w:sz w:val="24"/>
          <w:szCs w:val="24"/>
        </w:rPr>
        <w:t>electrocatalysts</w:t>
      </w:r>
      <w:proofErr w:type="spellEnd"/>
      <w:r>
        <w:rPr>
          <w:rFonts w:ascii="Times New Roman" w:eastAsia="Times New Roman" w:hAnsi="Times New Roman" w:cs="Times New Roman"/>
          <w:color w:val="000000"/>
          <w:sz w:val="24"/>
          <w:szCs w:val="24"/>
        </w:rPr>
        <w:t xml:space="preserve"> is based on fundamental concepts such as identifying active sites, understanding the reaction process, considering the electronic structure, and assuring stability. Surface engineering or heteroatom doping can be used to tune active spots, enhancing OER kinetics (Zhang et al.). Adsorption, charge transfer, and oxygen release are all part of the reaction process (</w:t>
      </w:r>
      <w:proofErr w:type="spellStart"/>
      <w:r>
        <w:rPr>
          <w:rFonts w:ascii="Times New Roman" w:eastAsia="Times New Roman" w:hAnsi="Times New Roman" w:cs="Times New Roman"/>
          <w:color w:val="000000"/>
          <w:sz w:val="24"/>
          <w:szCs w:val="24"/>
        </w:rPr>
        <w:t>Seh</w:t>
      </w:r>
      <w:proofErr w:type="spellEnd"/>
      <w:r>
        <w:rPr>
          <w:rFonts w:ascii="Times New Roman" w:eastAsia="Times New Roman" w:hAnsi="Times New Roman" w:cs="Times New Roman"/>
          <w:color w:val="000000"/>
          <w:sz w:val="24"/>
          <w:szCs w:val="24"/>
        </w:rPr>
        <w:t xml:space="preserve"> et al.). The rate of charge transfer is influenced by the electronic structure, which is defined by proper energy levels and band alignments (</w:t>
      </w:r>
      <w:proofErr w:type="spellStart"/>
      <w:r>
        <w:rPr>
          <w:rFonts w:ascii="Times New Roman" w:eastAsia="Times New Roman" w:hAnsi="Times New Roman" w:cs="Times New Roman"/>
          <w:color w:val="000000"/>
          <w:sz w:val="24"/>
          <w:szCs w:val="24"/>
        </w:rPr>
        <w:t>Fabbri</w:t>
      </w:r>
      <w:proofErr w:type="spellEnd"/>
      <w:r>
        <w:rPr>
          <w:rFonts w:ascii="Times New Roman" w:eastAsia="Times New Roman" w:hAnsi="Times New Roman" w:cs="Times New Roman"/>
          <w:color w:val="000000"/>
          <w:sz w:val="24"/>
          <w:szCs w:val="24"/>
        </w:rPr>
        <w:t xml:space="preserve"> et al.). </w:t>
      </w:r>
      <w:proofErr w:type="gramStart"/>
      <w:r>
        <w:rPr>
          <w:rFonts w:ascii="Times New Roman" w:eastAsia="Times New Roman" w:hAnsi="Times New Roman" w:cs="Times New Roman"/>
          <w:sz w:val="24"/>
          <w:szCs w:val="24"/>
        </w:rPr>
        <w:t>protective</w:t>
      </w:r>
      <w:proofErr w:type="gramEnd"/>
      <w:r>
        <w:rPr>
          <w:rFonts w:ascii="Times New Roman" w:eastAsia="Times New Roman" w:hAnsi="Times New Roman" w:cs="Times New Roman"/>
          <w:color w:val="000000"/>
          <w:sz w:val="24"/>
          <w:szCs w:val="24"/>
        </w:rPr>
        <w:t xml:space="preserve"> coatings or alloying methods can improve catalyst stability (Lu et al.). These essential concepts, together with thorough insights into the OER's kinetics and thermodynamics, serve as the foundation for the rationale design of </w:t>
      </w:r>
      <w:proofErr w:type="spellStart"/>
      <w:r>
        <w:rPr>
          <w:rFonts w:ascii="Times New Roman" w:eastAsia="Times New Roman" w:hAnsi="Times New Roman" w:cs="Times New Roman"/>
          <w:color w:val="000000"/>
          <w:sz w:val="24"/>
          <w:szCs w:val="24"/>
        </w:rPr>
        <w:t>electrocatalysts</w:t>
      </w:r>
      <w:proofErr w:type="spellEnd"/>
      <w:r>
        <w:rPr>
          <w:rFonts w:ascii="Times New Roman" w:eastAsia="Times New Roman" w:hAnsi="Times New Roman" w:cs="Times New Roman"/>
          <w:color w:val="000000"/>
          <w:sz w:val="24"/>
          <w:szCs w:val="24"/>
        </w:rPr>
        <w:t xml:space="preserve"> that can efficiently drive this essential reaction for energy conversion and storage.</w:t>
      </w:r>
    </w:p>
    <w:p w:rsidR="000B3F18" w:rsidRDefault="000B3F18" w:rsidP="00D41AB9">
      <w:pPr>
        <w:spacing w:after="0" w:line="240" w:lineRule="auto"/>
        <w:ind w:left="851" w:right="559" w:firstLine="720"/>
        <w:jc w:val="both"/>
        <w:rPr>
          <w:rFonts w:ascii="Times New Roman" w:eastAsia="Times New Roman" w:hAnsi="Times New Roman" w:cs="Times New Roman"/>
          <w:color w:val="000000"/>
          <w:sz w:val="24"/>
          <w:szCs w:val="24"/>
        </w:rPr>
      </w:pPr>
    </w:p>
    <w:p w:rsidR="000B3F18" w:rsidRDefault="00D41AB9" w:rsidP="00D41AB9">
      <w:pPr>
        <w:spacing w:after="0" w:line="240" w:lineRule="auto"/>
        <w:ind w:left="851" w:right="55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Designing effective </w:t>
      </w:r>
      <w:proofErr w:type="spellStart"/>
      <w:r>
        <w:rPr>
          <w:rFonts w:ascii="Times New Roman" w:eastAsia="Times New Roman" w:hAnsi="Times New Roman" w:cs="Times New Roman"/>
          <w:color w:val="000000"/>
          <w:sz w:val="24"/>
          <w:szCs w:val="24"/>
        </w:rPr>
        <w:t>electrocatalysts</w:t>
      </w:r>
      <w:proofErr w:type="spellEnd"/>
      <w:r>
        <w:rPr>
          <w:rFonts w:ascii="Times New Roman" w:eastAsia="Times New Roman" w:hAnsi="Times New Roman" w:cs="Times New Roman"/>
          <w:color w:val="000000"/>
          <w:sz w:val="24"/>
          <w:szCs w:val="24"/>
        </w:rPr>
        <w:t xml:space="preserve"> for the OER necessitates many essential factors. These include identifying and optimising active sites on the catalyst surface via surface engineering or heteroatom doping (Zhang et al.), comprehending the detailed reaction mechanism involving adsorption, charge transfer, and oxygen release (</w:t>
      </w:r>
      <w:proofErr w:type="spellStart"/>
      <w:r>
        <w:rPr>
          <w:rFonts w:ascii="Times New Roman" w:eastAsia="Times New Roman" w:hAnsi="Times New Roman" w:cs="Times New Roman"/>
          <w:color w:val="000000"/>
          <w:sz w:val="24"/>
          <w:szCs w:val="24"/>
        </w:rPr>
        <w:t>Seh</w:t>
      </w:r>
      <w:proofErr w:type="spellEnd"/>
      <w:r>
        <w:rPr>
          <w:rFonts w:ascii="Times New Roman" w:eastAsia="Times New Roman" w:hAnsi="Times New Roman" w:cs="Times New Roman"/>
          <w:color w:val="000000"/>
          <w:sz w:val="24"/>
          <w:szCs w:val="24"/>
        </w:rPr>
        <w:t xml:space="preserve"> et al.), taking into account the electronic structure with appropriate energy levels, band structures, and electronic conductivity (</w:t>
      </w:r>
      <w:proofErr w:type="spellStart"/>
      <w:r>
        <w:rPr>
          <w:rFonts w:ascii="Times New Roman" w:eastAsia="Times New Roman" w:hAnsi="Times New Roman" w:cs="Times New Roman"/>
          <w:color w:val="000000"/>
          <w:sz w:val="24"/>
          <w:szCs w:val="24"/>
        </w:rPr>
        <w:t>Fabbri</w:t>
      </w:r>
      <w:proofErr w:type="spellEnd"/>
      <w:r>
        <w:rPr>
          <w:rFonts w:ascii="Times New Roman" w:eastAsia="Times New Roman" w:hAnsi="Times New Roman" w:cs="Times New Roman"/>
          <w:color w:val="000000"/>
          <w:sz w:val="24"/>
          <w:szCs w:val="24"/>
        </w:rPr>
        <w:t xml:space="preserve"> et al.), and ensuring catalyst stability via protective coatings or alloying (</w:t>
      </w:r>
      <w:proofErr w:type="spellStart"/>
      <w:r>
        <w:rPr>
          <w:rFonts w:ascii="Times New Roman" w:eastAsia="Times New Roman" w:hAnsi="Times New Roman" w:cs="Times New Roman"/>
          <w:color w:val="000000"/>
          <w:sz w:val="24"/>
          <w:szCs w:val="24"/>
        </w:rPr>
        <w:t>Fabbri</w:t>
      </w:r>
      <w:proofErr w:type="spellEnd"/>
      <w:r>
        <w:rPr>
          <w:rFonts w:ascii="Times New Roman" w:eastAsia="Times New Roman" w:hAnsi="Times New Roman" w:cs="Times New Roman"/>
          <w:color w:val="000000"/>
          <w:sz w:val="24"/>
          <w:szCs w:val="24"/>
        </w:rPr>
        <w:t xml:space="preserve"> et al.). Researchers may rationally design </w:t>
      </w:r>
      <w:proofErr w:type="spellStart"/>
      <w:r>
        <w:rPr>
          <w:rFonts w:ascii="Times New Roman" w:eastAsia="Times New Roman" w:hAnsi="Times New Roman" w:cs="Times New Roman"/>
          <w:color w:val="000000"/>
          <w:sz w:val="24"/>
          <w:szCs w:val="24"/>
        </w:rPr>
        <w:t>electrocatalysts</w:t>
      </w:r>
      <w:proofErr w:type="spellEnd"/>
      <w:r>
        <w:rPr>
          <w:rFonts w:ascii="Times New Roman" w:eastAsia="Times New Roman" w:hAnsi="Times New Roman" w:cs="Times New Roman"/>
          <w:color w:val="000000"/>
          <w:sz w:val="24"/>
          <w:szCs w:val="24"/>
        </w:rPr>
        <w:t xml:space="preserve"> with greater OER activity, better efficiency, and long-term stability by incorporating these fundamental concepts, promoting the development of sustainable energy conversion and storage technologies.</w:t>
      </w:r>
    </w:p>
    <w:p w:rsidR="000B3F18" w:rsidRDefault="000B3F18" w:rsidP="00D41AB9">
      <w:pPr>
        <w:spacing w:after="0" w:line="240" w:lineRule="auto"/>
        <w:ind w:left="851" w:right="559" w:firstLine="720"/>
        <w:jc w:val="both"/>
        <w:rPr>
          <w:rFonts w:ascii="Times New Roman" w:eastAsia="Times New Roman" w:hAnsi="Times New Roman" w:cs="Times New Roman"/>
          <w:color w:val="000000"/>
          <w:sz w:val="24"/>
          <w:szCs w:val="24"/>
        </w:rPr>
      </w:pPr>
    </w:p>
    <w:p w:rsidR="000B3F18" w:rsidRDefault="00D41AB9" w:rsidP="00D41AB9">
      <w:pPr>
        <w:spacing w:after="0" w:line="360" w:lineRule="auto"/>
        <w:ind w:left="851" w:right="55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4.1. Designing OER catalyst using adsorbent evolution mechanism:</w:t>
      </w:r>
    </w:p>
    <w:p w:rsidR="000B3F18" w:rsidRDefault="00D41AB9" w:rsidP="00D41AB9">
      <w:pPr>
        <w:spacing w:after="0" w:line="240" w:lineRule="auto"/>
        <w:ind w:left="851" w:right="55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 is well-known that OER may occur via two distinct mechanisms: AEM and LOM. With increasing </w:t>
      </w:r>
      <w:proofErr w:type="spellStart"/>
      <w:r>
        <w:rPr>
          <w:rFonts w:ascii="Times New Roman" w:eastAsia="Times New Roman" w:hAnsi="Times New Roman" w:cs="Times New Roman"/>
          <w:color w:val="000000"/>
          <w:sz w:val="24"/>
          <w:szCs w:val="24"/>
        </w:rPr>
        <w:t>covalency</w:t>
      </w:r>
      <w:proofErr w:type="spellEnd"/>
      <w:r>
        <w:rPr>
          <w:rFonts w:ascii="Times New Roman" w:eastAsia="Times New Roman" w:hAnsi="Times New Roman" w:cs="Times New Roman"/>
          <w:color w:val="000000"/>
          <w:sz w:val="24"/>
          <w:szCs w:val="24"/>
        </w:rPr>
        <w:t xml:space="preserve">, metal </w:t>
      </w:r>
      <w:proofErr w:type="spellStart"/>
      <w:r>
        <w:rPr>
          <w:rFonts w:ascii="Times New Roman" w:eastAsia="Times New Roman" w:hAnsi="Times New Roman" w:cs="Times New Roman"/>
          <w:color w:val="000000"/>
          <w:sz w:val="24"/>
          <w:szCs w:val="24"/>
        </w:rPr>
        <w:t>cations'</w:t>
      </w:r>
      <w:proofErr w:type="spellEnd"/>
      <w:r>
        <w:rPr>
          <w:rFonts w:ascii="Times New Roman" w:eastAsia="Times New Roman" w:hAnsi="Times New Roman" w:cs="Times New Roman"/>
          <w:color w:val="000000"/>
          <w:sz w:val="24"/>
          <w:szCs w:val="24"/>
        </w:rPr>
        <w:t xml:space="preserve"> capacity to bind with oxygen weakens, and direct </w:t>
      </w:r>
      <m:oMath>
        <m:r>
          <w:rPr>
            <w:rFonts w:ascii="Cambria Math" w:eastAsia="Cambria Math" w:hAnsi="Cambria Math" w:cs="Cambria Math"/>
            <w:color w:val="000000"/>
            <w:sz w:val="24"/>
            <w:szCs w:val="24"/>
          </w:rPr>
          <m:t xml:space="preserve">O-O </m:t>
        </m:r>
      </m:oMath>
      <w:r>
        <w:rPr>
          <w:rFonts w:ascii="Times New Roman" w:eastAsia="Times New Roman" w:hAnsi="Times New Roman" w:cs="Times New Roman"/>
          <w:color w:val="000000"/>
          <w:sz w:val="24"/>
          <w:szCs w:val="24"/>
        </w:rPr>
        <w:t xml:space="preserve">bonding with the reversible production of oxygen vacancy (LOM) may become advantageous. This LOM mechanism will be covered in further detail in the LOM section. This section focuses mostly on the former by examining the adsorption-energy scaling connection, activity volcano graphic, and </w:t>
      </w:r>
      <w:proofErr w:type="spellStart"/>
      <w:r>
        <w:rPr>
          <w:rFonts w:ascii="Times New Roman" w:eastAsia="Times New Roman" w:hAnsi="Times New Roman" w:cs="Times New Roman"/>
          <w:color w:val="000000"/>
          <w:sz w:val="24"/>
          <w:szCs w:val="24"/>
        </w:rPr>
        <w:t>descriptor.The</w:t>
      </w:r>
      <w:proofErr w:type="spellEnd"/>
      <w:r>
        <w:rPr>
          <w:rFonts w:ascii="Times New Roman" w:eastAsia="Times New Roman" w:hAnsi="Times New Roman" w:cs="Times New Roman"/>
          <w:color w:val="000000"/>
          <w:sz w:val="24"/>
          <w:szCs w:val="24"/>
        </w:rPr>
        <w:t xml:space="preserve"> AEM is often thought to comprise four coordinated proton-electron transfer (CPET) events focused on the metal ion (Man et al.). A proton is injected into the electrolyte at each stage, finally merging with a transferred electron at the cathode. OH, in instance, adsorbs first on the surface O vacancy </w:t>
      </w:r>
      <w:proofErr w:type="spellStart"/>
      <w:r>
        <w:rPr>
          <w:rFonts w:ascii="Times New Roman" w:eastAsia="Times New Roman" w:hAnsi="Times New Roman" w:cs="Times New Roman"/>
          <w:color w:val="000000"/>
          <w:sz w:val="24"/>
          <w:szCs w:val="24"/>
        </w:rPr>
        <w:t>site.The</w:t>
      </w:r>
      <w:proofErr w:type="spellEnd"/>
      <w:r>
        <w:rPr>
          <w:rFonts w:ascii="Times New Roman" w:eastAsia="Times New Roman" w:hAnsi="Times New Roman" w:cs="Times New Roman"/>
          <w:color w:val="000000"/>
          <w:sz w:val="24"/>
          <w:szCs w:val="24"/>
        </w:rPr>
        <w:t xml:space="preserve"> adsorbed </w:t>
      </w:r>
      <m:oMath>
        <m:r>
          <w:rPr>
            <w:rFonts w:ascii="Cambria Math" w:eastAsia="Cambria Math" w:hAnsi="Cambria Math" w:cs="Cambria Math"/>
            <w:color w:val="000000"/>
            <w:sz w:val="24"/>
            <w:szCs w:val="24"/>
          </w:rPr>
          <m:t>OH (</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H</m:t>
            </m:r>
            <m:r>
              <w:rPr>
                <w:rFonts w:ascii="Cambria Math" w:eastAsia="Cambria Math" w:hAnsi="Cambria Math" w:cs="Cambria Math"/>
                <w:color w:val="000000"/>
                <w:sz w:val="24"/>
                <w:szCs w:val="24"/>
              </w:rPr>
              <m:t>O</m:t>
            </m:r>
          </m:e>
          <m:sup>
            <m:r>
              <w:rPr>
                <w:rFonts w:ascii="Cambria Math" w:eastAsia="Cambria Math" w:hAnsi="Cambria Math" w:cs="Cambria Math"/>
                <w:color w:val="000000"/>
                <w:sz w:val="24"/>
                <w:szCs w:val="24"/>
              </w:rPr>
              <m:t>*</m:t>
            </m:r>
          </m:sup>
        </m:sSup>
        <m:r>
          <w:rPr>
            <w:rFonts w:ascii="Cambria Math" w:eastAsia="Cambria Math" w:hAnsi="Cambria Math" w:cs="Cambria Math"/>
            <w:color w:val="000000"/>
            <w:sz w:val="24"/>
            <w:szCs w:val="24"/>
          </w:rPr>
          <m:t xml:space="preserve"> species)</m:t>
        </m:r>
      </m:oMath>
      <w:r>
        <w:rPr>
          <w:rFonts w:ascii="Times New Roman" w:eastAsia="Times New Roman" w:hAnsi="Times New Roman" w:cs="Times New Roman"/>
          <w:color w:val="000000"/>
          <w:sz w:val="24"/>
          <w:szCs w:val="24"/>
        </w:rPr>
        <w:t xml:space="preserve"> is subsequently deprotonated to </w:t>
      </w:r>
      <w:proofErr w:type="gramStart"/>
      <w:r>
        <w:rPr>
          <w:rFonts w:ascii="Times New Roman" w:eastAsia="Times New Roman" w:hAnsi="Times New Roman" w:cs="Times New Roman"/>
          <w:color w:val="000000"/>
          <w:sz w:val="24"/>
          <w:szCs w:val="24"/>
        </w:rPr>
        <w:t xml:space="preserve">create </w:t>
      </w:r>
      <w:proofErr w:type="gramEnd"/>
      <m:oMath>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O</m:t>
            </m:r>
          </m:e>
          <m:sup>
            <m:r>
              <w:rPr>
                <w:rFonts w:ascii="Cambria Math" w:eastAsia="Cambria Math" w:hAnsi="Cambria Math" w:cs="Cambria Math"/>
                <w:color w:val="000000"/>
                <w:sz w:val="24"/>
                <w:szCs w:val="24"/>
              </w:rPr>
              <m:t>*</m:t>
            </m:r>
          </m:sup>
        </m:sSup>
        <m:r>
          <w:rPr>
            <w:rFonts w:ascii="Cambria Math" w:eastAsia="Cambria Math" w:hAnsi="Cambria Math" w:cs="Cambria Math"/>
            <w:color w:val="000000"/>
            <w:sz w:val="24"/>
            <w:szCs w:val="24"/>
          </w:rPr>
          <m:t xml:space="preserve"> </m:t>
        </m:r>
      </m:oMath>
      <w:r>
        <w:rPr>
          <w:rFonts w:ascii="Times New Roman" w:eastAsia="Times New Roman" w:hAnsi="Times New Roman" w:cs="Times New Roman"/>
          <w:color w:val="000000"/>
          <w:sz w:val="24"/>
          <w:szCs w:val="24"/>
        </w:rPr>
        <w:t>.</w:t>
      </w:r>
    </w:p>
    <w:p w:rsidR="000B3F18" w:rsidRDefault="000B3F18" w:rsidP="00D41AB9">
      <w:pPr>
        <w:spacing w:after="0" w:line="240" w:lineRule="auto"/>
        <w:ind w:left="851" w:right="559" w:firstLine="720"/>
        <w:jc w:val="both"/>
        <w:rPr>
          <w:rFonts w:ascii="Times New Roman" w:eastAsia="Times New Roman" w:hAnsi="Times New Roman" w:cs="Times New Roman"/>
          <w:color w:val="000000"/>
          <w:sz w:val="24"/>
          <w:szCs w:val="24"/>
        </w:rPr>
      </w:pPr>
    </w:p>
    <w:p w:rsidR="000B3F18" w:rsidRDefault="00D41AB9" w:rsidP="00D41AB9">
      <w:pPr>
        <w:spacing w:after="0" w:line="240" w:lineRule="auto"/>
        <w:ind w:left="851" w:right="55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Following the creation of </w:t>
      </w:r>
      <w:proofErr w:type="gramStart"/>
      <w:r>
        <w:rPr>
          <w:rFonts w:ascii="Times New Roman" w:eastAsia="Times New Roman" w:hAnsi="Times New Roman" w:cs="Times New Roman"/>
          <w:color w:val="000000"/>
          <w:sz w:val="24"/>
          <w:szCs w:val="24"/>
        </w:rPr>
        <w:t>an</w:t>
      </w:r>
      <w:proofErr w:type="gramEnd"/>
      <w:r>
        <w:rPr>
          <w:rFonts w:ascii="Times New Roman" w:eastAsia="Times New Roman" w:hAnsi="Times New Roman" w:cs="Times New Roman"/>
          <w:color w:val="000000"/>
          <w:sz w:val="24"/>
          <w:szCs w:val="24"/>
        </w:rPr>
        <w:t xml:space="preserve"> </w:t>
      </w:r>
      <m:oMath>
        <m:r>
          <w:rPr>
            <w:rFonts w:ascii="Cambria Math" w:eastAsia="Cambria Math" w:hAnsi="Cambria Math" w:cs="Cambria Math"/>
            <w:color w:val="000000"/>
            <w:sz w:val="24"/>
            <w:szCs w:val="24"/>
          </w:rPr>
          <m:t>O-O</m:t>
        </m:r>
      </m:oMath>
      <w:r>
        <w:rPr>
          <w:rFonts w:ascii="Times New Roman" w:eastAsia="Times New Roman" w:hAnsi="Times New Roman" w:cs="Times New Roman"/>
          <w:color w:val="000000"/>
          <w:sz w:val="24"/>
          <w:szCs w:val="24"/>
        </w:rPr>
        <w:t xml:space="preserve"> bond, </w:t>
      </w:r>
      <m:oMath>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O</m:t>
            </m:r>
          </m:e>
          <m:sup>
            <m:r>
              <w:rPr>
                <w:rFonts w:ascii="Cambria Math" w:eastAsia="Cambria Math" w:hAnsi="Cambria Math" w:cs="Cambria Math"/>
                <w:color w:val="000000"/>
                <w:sz w:val="24"/>
                <w:szCs w:val="24"/>
              </w:rPr>
              <m:t>*</m:t>
            </m:r>
          </m:sup>
        </m:sSup>
      </m:oMath>
      <w:r>
        <w:rPr>
          <w:rFonts w:ascii="Times New Roman" w:eastAsia="Times New Roman" w:hAnsi="Times New Roman" w:cs="Times New Roman"/>
          <w:color w:val="000000"/>
          <w:sz w:val="24"/>
          <w:szCs w:val="24"/>
        </w:rPr>
        <w:t xml:space="preserve"> can react with another </w:t>
      </w:r>
      <m:oMath>
        <m:r>
          <w:rPr>
            <w:rFonts w:ascii="Cambria Math" w:eastAsia="Cambria Math" w:hAnsi="Cambria Math" w:cs="Cambria Math"/>
            <w:color w:val="000000"/>
            <w:sz w:val="24"/>
            <w:szCs w:val="24"/>
          </w:rPr>
          <m:t>OH</m:t>
        </m:r>
      </m:oMath>
      <w:r>
        <w:rPr>
          <w:rFonts w:ascii="Times New Roman" w:eastAsia="Times New Roman" w:hAnsi="Times New Roman" w:cs="Times New Roman"/>
          <w:color w:val="000000"/>
          <w:sz w:val="24"/>
          <w:szCs w:val="24"/>
        </w:rPr>
        <w:t xml:space="preserve"> to generate the </w:t>
      </w:r>
      <m:oMath>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HOO</m:t>
            </m:r>
          </m:e>
          <m:sup>
            <m:r>
              <w:rPr>
                <w:rFonts w:ascii="Cambria Math" w:eastAsia="Cambria Math" w:hAnsi="Cambria Math" w:cs="Cambria Math"/>
                <w:color w:val="000000"/>
                <w:sz w:val="24"/>
                <w:szCs w:val="24"/>
              </w:rPr>
              <m:t>*</m:t>
            </m:r>
          </m:sup>
        </m:sSup>
      </m:oMath>
      <w:r>
        <w:rPr>
          <w:rFonts w:ascii="Times New Roman" w:eastAsia="Times New Roman" w:hAnsi="Times New Roman" w:cs="Times New Roman"/>
          <w:color w:val="000000"/>
          <w:sz w:val="24"/>
          <w:szCs w:val="24"/>
        </w:rPr>
        <w:t xml:space="preserve"> intermediate. In the last step,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O</m:t>
            </m:r>
          </m:e>
          <m:sub>
            <m:r>
              <w:rPr>
                <w:rFonts w:ascii="Cambria Math" w:eastAsia="Cambria Math" w:hAnsi="Cambria Math" w:cs="Cambria Math"/>
                <w:color w:val="000000"/>
                <w:sz w:val="24"/>
                <w:szCs w:val="24"/>
              </w:rPr>
              <m:t>2</m:t>
            </m:r>
          </m:sub>
        </m:sSub>
      </m:oMath>
      <w:r>
        <w:rPr>
          <w:rFonts w:ascii="Times New Roman" w:eastAsia="Times New Roman" w:hAnsi="Times New Roman" w:cs="Times New Roman"/>
          <w:color w:val="000000"/>
          <w:sz w:val="24"/>
          <w:szCs w:val="24"/>
        </w:rPr>
        <w:t xml:space="preserve"> is created by deprotonating </w:t>
      </w:r>
      <m:oMath>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HOO</m:t>
            </m:r>
          </m:e>
          <m:sup>
            <m:r>
              <w:rPr>
                <w:rFonts w:ascii="Cambria Math" w:eastAsia="Cambria Math" w:hAnsi="Cambria Math" w:cs="Cambria Math"/>
                <w:color w:val="000000"/>
                <w:sz w:val="24"/>
                <w:szCs w:val="24"/>
              </w:rPr>
              <m:t>*</m:t>
            </m:r>
          </m:sup>
        </m:sSup>
      </m:oMath>
      <w:r>
        <w:rPr>
          <w:rFonts w:ascii="Times New Roman" w:eastAsia="Times New Roman" w:hAnsi="Times New Roman" w:cs="Times New Roman"/>
          <w:color w:val="000000"/>
          <w:sz w:val="24"/>
          <w:szCs w:val="24"/>
        </w:rPr>
        <w:t xml:space="preserve"> and regenerating the active site. The chemical potential of </w:t>
      </w:r>
      <m:oMath>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H</m:t>
            </m:r>
          </m:e>
          <m:sup>
            <m:r>
              <w:rPr>
                <w:rFonts w:ascii="Cambria Math" w:eastAsia="Cambria Math" w:hAnsi="Cambria Math" w:cs="Cambria Math"/>
                <w:color w:val="000000"/>
                <w:sz w:val="24"/>
                <w:szCs w:val="24"/>
              </w:rPr>
              <m:t>++</m:t>
            </m:r>
          </m:sup>
        </m:sSup>
      </m:oMath>
      <w:r>
        <w:rPr>
          <w:rFonts w:ascii="Times New Roman" w:eastAsia="Times New Roman" w:hAnsi="Times New Roman" w:cs="Times New Roman"/>
          <w:color w:val="000000"/>
          <w:sz w:val="24"/>
          <w:szCs w:val="24"/>
        </w:rPr>
        <w:t xml:space="preserve">e in the gas phase is determined using a standard hydrogen electrode (SHE) as the reference potential. The eU component must be added to the reaction free energies of the PCET processes in order to apply an external bias (U). Because free energies fluctuate with pH and U in the same way, the theoretical over potential relating to the reversible hydrogen electrode (RHE) does not rely on </w:t>
      </w:r>
      <w:proofErr w:type="spellStart"/>
      <w:r>
        <w:rPr>
          <w:rFonts w:ascii="Times New Roman" w:eastAsia="Times New Roman" w:hAnsi="Times New Roman" w:cs="Times New Roman"/>
          <w:color w:val="000000"/>
          <w:sz w:val="24"/>
          <w:szCs w:val="24"/>
        </w:rPr>
        <w:t>pH.</w:t>
      </w:r>
      <w:proofErr w:type="spellEnd"/>
    </w:p>
    <w:p w:rsidR="000B3F18" w:rsidRDefault="000B3F18" w:rsidP="00D41AB9">
      <w:pPr>
        <w:spacing w:after="0" w:line="240" w:lineRule="auto"/>
        <w:ind w:left="851" w:right="559" w:firstLine="720"/>
        <w:jc w:val="both"/>
        <w:rPr>
          <w:rFonts w:ascii="Times New Roman" w:eastAsia="Times New Roman" w:hAnsi="Times New Roman" w:cs="Times New Roman"/>
          <w:color w:val="000000"/>
          <w:sz w:val="24"/>
          <w:szCs w:val="24"/>
        </w:rPr>
      </w:pPr>
    </w:p>
    <w:p w:rsidR="000B3F18" w:rsidRDefault="00D41AB9" w:rsidP="00D41AB9">
      <w:pPr>
        <w:spacing w:after="0" w:line="360" w:lineRule="auto"/>
        <w:ind w:left="851" w:right="559"/>
        <w:jc w:val="both"/>
        <w:rPr>
          <w:rFonts w:ascii="Times New Roman" w:eastAsia="Times New Roman" w:hAnsi="Times New Roman" w:cs="Times New Roman"/>
          <w:b/>
          <w:color w:val="000000"/>
          <w:sz w:val="24"/>
          <w:szCs w:val="24"/>
        </w:rPr>
      </w:pPr>
      <w:proofErr w:type="gramStart"/>
      <w:r>
        <w:rPr>
          <w:rFonts w:ascii="Times New Roman" w:eastAsia="Times New Roman" w:hAnsi="Times New Roman" w:cs="Times New Roman"/>
          <w:b/>
          <w:color w:val="000000"/>
          <w:sz w:val="24"/>
          <w:szCs w:val="24"/>
        </w:rPr>
        <w:t>4.Oxygen</w:t>
      </w:r>
      <w:proofErr w:type="gramEnd"/>
      <w:r>
        <w:rPr>
          <w:rFonts w:ascii="Times New Roman" w:eastAsia="Times New Roman" w:hAnsi="Times New Roman" w:cs="Times New Roman"/>
          <w:b/>
          <w:color w:val="000000"/>
          <w:sz w:val="24"/>
          <w:szCs w:val="24"/>
        </w:rPr>
        <w:t xml:space="preserve"> redox reaction in hydrogen fuel cell:</w:t>
      </w:r>
    </w:p>
    <w:p w:rsidR="000B3F18" w:rsidRDefault="00D41AB9" w:rsidP="00D41AB9">
      <w:pPr>
        <w:spacing w:after="0" w:line="240" w:lineRule="auto"/>
        <w:ind w:left="851" w:right="55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Redox reactions, also known as oxidation-reduction reactions, are fundamental chemical processes that involve the transfer of electrons between species (Smith et al.). These reactions are essential in various fields, including chemistry, biology, and electrochemistry. In a redox reaction, one species undergoes oxidation, where it loses electrons, while another species undergoes reduction, where it gains those electrons. The electron transfer is accompanied by changes in the oxidation states of the species involved (Jones &amp; Johnson). The overall redox reaction can be represented by a balanced equation, where the oxidant accepts electrons and becomes reduced, while the reluctant donates electrons and becomes oxidized (Brown et al.). </w:t>
      </w:r>
      <w:proofErr w:type="gramStart"/>
      <w:r>
        <w:rPr>
          <w:rFonts w:ascii="Times New Roman" w:eastAsia="Times New Roman" w:hAnsi="Times New Roman" w:cs="Times New Roman"/>
          <w:color w:val="000000"/>
          <w:sz w:val="24"/>
          <w:szCs w:val="24"/>
        </w:rPr>
        <w:t>In this chemical processes that involve the transfer of electrons between species.</w:t>
      </w:r>
      <w:proofErr w:type="gramEnd"/>
      <w:r>
        <w:rPr>
          <w:rFonts w:ascii="Times New Roman" w:eastAsia="Times New Roman" w:hAnsi="Times New Roman" w:cs="Times New Roman"/>
          <w:color w:val="000000"/>
          <w:sz w:val="24"/>
          <w:szCs w:val="24"/>
        </w:rPr>
        <w:t xml:space="preserve"> These reactions are essential in various fields, including chemistry, biology, and electrochemistry. </w:t>
      </w:r>
    </w:p>
    <w:p w:rsidR="000B3F18" w:rsidRDefault="000B3F18" w:rsidP="00D41AB9">
      <w:pPr>
        <w:spacing w:after="0" w:line="240" w:lineRule="auto"/>
        <w:ind w:left="851" w:right="559" w:firstLine="720"/>
        <w:jc w:val="both"/>
        <w:rPr>
          <w:rFonts w:ascii="Times New Roman" w:eastAsia="Times New Roman" w:hAnsi="Times New Roman" w:cs="Times New Roman"/>
          <w:color w:val="000000"/>
          <w:sz w:val="24"/>
          <w:szCs w:val="24"/>
        </w:rPr>
      </w:pPr>
    </w:p>
    <w:p w:rsidR="000B3F18" w:rsidRDefault="00D41AB9" w:rsidP="00D41AB9">
      <w:pPr>
        <w:spacing w:after="0" w:line="240" w:lineRule="auto"/>
        <w:ind w:left="851" w:right="55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a redox reaction, one species undergoes oxidation, where it loses electrons, while another species undergoes reduction, where it gains those electrons. The electron transfer is accompanied by changes in the oxidation states of the species involved. The overall redox reaction can be represented by a balanced equation, where the oxidant accepts electrons and becomes reduced, while the </w:t>
      </w:r>
      <w:proofErr w:type="spellStart"/>
      <w:r>
        <w:rPr>
          <w:rFonts w:ascii="Times New Roman" w:eastAsia="Times New Roman" w:hAnsi="Times New Roman" w:cs="Times New Roman"/>
          <w:color w:val="000000"/>
          <w:sz w:val="24"/>
          <w:szCs w:val="24"/>
        </w:rPr>
        <w:t>reductant</w:t>
      </w:r>
      <w:proofErr w:type="spellEnd"/>
      <w:r>
        <w:rPr>
          <w:rFonts w:ascii="Times New Roman" w:eastAsia="Times New Roman" w:hAnsi="Times New Roman" w:cs="Times New Roman"/>
          <w:color w:val="000000"/>
          <w:sz w:val="24"/>
          <w:szCs w:val="24"/>
        </w:rPr>
        <w:t xml:space="preserve"> donates electrons and becomes oxidized. The reaction follows the principle of charge conservation and the concept of oxidation states. The oxidation and reduction processes can be represented by individual half-reactions, which are balanced in terms of mass and charge. Redox reactions play a crucial role in energy production and storage processes, such as combustion, photosynthesis, and electrochemical cells. Understanding the mechanisms and principles of redox reactions is essential for various applications (</w:t>
      </w:r>
      <w:proofErr w:type="gramStart"/>
      <w:r>
        <w:rPr>
          <w:rFonts w:ascii="Times New Roman" w:eastAsia="Times New Roman" w:hAnsi="Times New Roman" w:cs="Times New Roman"/>
          <w:color w:val="000000"/>
          <w:sz w:val="24"/>
          <w:szCs w:val="24"/>
        </w:rPr>
        <w:t>Brown  et</w:t>
      </w:r>
      <w:proofErr w:type="gramEnd"/>
      <w:r>
        <w:rPr>
          <w:rFonts w:ascii="Times New Roman" w:eastAsia="Times New Roman" w:hAnsi="Times New Roman" w:cs="Times New Roman"/>
          <w:color w:val="000000"/>
          <w:sz w:val="24"/>
          <w:szCs w:val="24"/>
        </w:rPr>
        <w:t xml:space="preserve"> al.), including corrosion prevention, chemical synthesis, and environmental remediation. For more specific information, equations, and detailed examples of redox reactions, it is recommended to consult textbooks, scientific journals, and reputable sources in the field of chemistry.</w:t>
      </w:r>
    </w:p>
    <w:p w:rsidR="000B3F18" w:rsidRDefault="000B3F18" w:rsidP="00D41AB9">
      <w:pPr>
        <w:spacing w:after="0" w:line="240" w:lineRule="auto"/>
        <w:ind w:left="851" w:right="559" w:firstLine="720"/>
        <w:jc w:val="both"/>
        <w:rPr>
          <w:rFonts w:ascii="Times New Roman" w:eastAsia="Times New Roman" w:hAnsi="Times New Roman" w:cs="Times New Roman"/>
          <w:color w:val="000000"/>
          <w:sz w:val="24"/>
          <w:szCs w:val="24"/>
        </w:rPr>
      </w:pPr>
    </w:p>
    <w:p w:rsidR="000B3F18" w:rsidRDefault="00D41AB9" w:rsidP="00D41AB9">
      <w:pPr>
        <w:spacing w:after="0" w:line="240" w:lineRule="auto"/>
        <w:ind w:left="851" w:right="55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Fuel cells are open thermodynamic systems at their fundamental level. They work on the basis of electrochemical reactions and use an external supply of </w:t>
      </w:r>
      <w:r>
        <w:rPr>
          <w:rFonts w:ascii="Times New Roman" w:eastAsia="Times New Roman" w:hAnsi="Times New Roman" w:cs="Times New Roman"/>
          <w:sz w:val="24"/>
          <w:szCs w:val="24"/>
        </w:rPr>
        <w:t>reactants</w:t>
      </w:r>
      <w:r>
        <w:rPr>
          <w:rFonts w:ascii="Times New Roman" w:eastAsia="Times New Roman" w:hAnsi="Times New Roman" w:cs="Times New Roman"/>
          <w:color w:val="000000"/>
          <w:sz w:val="24"/>
          <w:szCs w:val="24"/>
        </w:rPr>
        <w:t xml:space="preserve"> (Mark et al.). For small-scale applications, they are viable alternatives to traditional energy generation technologies. Because hydrogen and hydrocarbon fuels contain considerable chemical energy as compared to traditional battery materials, they are currently widely developed for a variety of energy applications. Fuel cells produce energy and heat by an electrochemical process, which is essentially reversed electrolysis. It occurs when oxygen and hydrogen combine to make water. Fuel cells come in a variety of designs, but they all function on the same fundamental principles. The chemical properties of the electrolyte are the primary distinction between various fuel cell designs (</w:t>
      </w:r>
      <w:proofErr w:type="spellStart"/>
      <w:r>
        <w:rPr>
          <w:rFonts w:ascii="Times New Roman" w:eastAsia="Times New Roman" w:hAnsi="Times New Roman" w:cs="Times New Roman"/>
          <w:color w:val="000000"/>
          <w:sz w:val="24"/>
          <w:szCs w:val="24"/>
        </w:rPr>
        <w:t>Nahar</w:t>
      </w:r>
      <w:proofErr w:type="spellEnd"/>
      <w:r>
        <w:rPr>
          <w:rFonts w:ascii="Times New Roman" w:eastAsia="Times New Roman" w:hAnsi="Times New Roman" w:cs="Times New Roman"/>
          <w:color w:val="000000"/>
          <w:sz w:val="24"/>
          <w:szCs w:val="24"/>
        </w:rPr>
        <w:t xml:space="preserve"> et al.).</w:t>
      </w: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5E04DB" w:rsidP="00D41AB9">
      <w:pPr>
        <w:ind w:left="851" w:right="559"/>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2H</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 xml:space="preserve">(g) +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O</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 xml:space="preserve">(g)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2H</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O+ energy</m:t>
          </m:r>
        </m:oMath>
      </m:oMathPara>
    </w:p>
    <w:p w:rsidR="000B3F18" w:rsidRDefault="00D41AB9" w:rsidP="00D41AB9">
      <w:pPr>
        <w:ind w:left="851" w:right="559"/>
        <w:rPr>
          <w:rFonts w:ascii="Cambria Math" w:eastAsia="Cambria Math" w:hAnsi="Cambria Math" w:cs="Cambria Math"/>
          <w:color w:val="000000"/>
          <w:sz w:val="24"/>
          <w:szCs w:val="24"/>
        </w:rPr>
      </w:pPr>
      <m:oMathPara>
        <m:oMath>
          <m:r>
            <w:rPr>
              <w:rFonts w:ascii="Cambria Math" w:eastAsia="Cambria Math" w:hAnsi="Cambria Math" w:cs="Cambria Math"/>
              <w:color w:val="000000"/>
              <w:sz w:val="24"/>
              <w:szCs w:val="24"/>
            </w:rPr>
            <m:t>hydrogen + oxygen water + (electricity + heat)</m:t>
          </m:r>
        </m:oMath>
      </m:oMathPara>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D41AB9" w:rsidP="00D41AB9">
      <w:pPr>
        <w:spacing w:after="0" w:line="240" w:lineRule="auto"/>
        <w:ind w:left="851" w:right="55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anode, cathode, electrolyte, and external circuit are the four essential components of a fuel cell. Hydrogen is oxidised into protons and electrons at the anode, while oxygen is reduced at the cathode to oxide species, where it interacts to produce water. Protons or oxide ions are carried via an ion-conductor electron-insulating electrolyte, depending on the electrolyte, while electrons flow through an external circuit to supply electric power </w:t>
      </w:r>
      <w:proofErr w:type="gramStart"/>
      <w:r>
        <w:rPr>
          <w:rFonts w:ascii="Times New Roman" w:eastAsia="Times New Roman" w:hAnsi="Times New Roman" w:cs="Times New Roman"/>
          <w:color w:val="000000"/>
          <w:sz w:val="24"/>
          <w:szCs w:val="24"/>
        </w:rPr>
        <w:t>( Perry</w:t>
      </w:r>
      <w:proofErr w:type="gramEnd"/>
      <w:r>
        <w:rPr>
          <w:rFonts w:ascii="Times New Roman" w:eastAsia="Times New Roman" w:hAnsi="Times New Roman" w:cs="Times New Roman"/>
          <w:color w:val="000000"/>
          <w:sz w:val="24"/>
          <w:szCs w:val="24"/>
        </w:rPr>
        <w:t xml:space="preserve"> et al.). Nonetheless, due to the tiny contact surface between the electrodes, electrolyte, and gas, fuel cells frequently produce only a very small amount of current. An additional factor to consider is the distance between the electrodes. A thin layer of electrolyte with flat porous electrodes is recommended for electrolyte and gas penetration to increase fuel cell performance and increase contact area. The reaction between oxygen and hydrogen to create electricity varies depending on the kind of fuel cell. Electrons and protons (</w:t>
      </w:r>
      <m:oMath>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H</m:t>
            </m:r>
          </m:e>
          <m:sup>
            <m:r>
              <w:rPr>
                <w:rFonts w:ascii="Cambria Math" w:eastAsia="Cambria Math" w:hAnsi="Cambria Math" w:cs="Cambria Math"/>
                <w:color w:val="000000"/>
                <w:sz w:val="24"/>
                <w:szCs w:val="24"/>
              </w:rPr>
              <m:t>+</m:t>
            </m:r>
          </m:sup>
        </m:sSup>
      </m:oMath>
      <w:r>
        <w:rPr>
          <w:rFonts w:ascii="Times New Roman" w:eastAsia="Times New Roman" w:hAnsi="Times New Roman" w:cs="Times New Roman"/>
          <w:color w:val="000000"/>
          <w:sz w:val="24"/>
          <w:szCs w:val="24"/>
        </w:rPr>
        <w:t xml:space="preserve">) are released from hydrogen gas ionizing at the anode electrode in an acid electrolyte fuel cell. Electrons are created and go to the cathode via an electrical circuit, while protons are provided via electrolyte. This process generates electrical energy. Water is produced on the cathode simultaneously as a result of the reaction between electrons from the electrode and protons from the electrolyte. </w:t>
      </w:r>
    </w:p>
    <w:p w:rsidR="000B3F18" w:rsidRDefault="000B3F18" w:rsidP="00D41AB9">
      <w:pPr>
        <w:spacing w:after="0" w:line="240" w:lineRule="auto"/>
        <w:ind w:left="851" w:right="559" w:firstLine="720"/>
        <w:jc w:val="both"/>
        <w:rPr>
          <w:rFonts w:ascii="Times New Roman" w:eastAsia="Times New Roman" w:hAnsi="Times New Roman" w:cs="Times New Roman"/>
          <w:color w:val="000000"/>
          <w:sz w:val="24"/>
          <w:szCs w:val="24"/>
        </w:rPr>
      </w:pPr>
    </w:p>
    <w:p w:rsidR="000B3F18" w:rsidRDefault="00D41AB9" w:rsidP="00D41AB9">
      <w:pPr>
        <w:spacing w:after="0" w:line="360" w:lineRule="auto"/>
        <w:ind w:left="851" w:right="5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Anode:</w:t>
      </w:r>
      <w:r>
        <w:rPr>
          <w:rFonts w:ascii="Times New Roman" w:eastAsia="Times New Roman" w:hAnsi="Times New Roman" w:cs="Times New Roman"/>
          <w:color w:val="000000"/>
          <w:sz w:val="24"/>
          <w:szCs w:val="24"/>
          <w:vertAlign w:val="superscript"/>
        </w:rPr>
        <w:t xml:space="preserve"> </w:t>
      </w:r>
      <m:oMath>
        <m:sSub>
          <m:sSubPr>
            <m:ctrlPr>
              <w:rPr>
                <w:rFonts w:ascii="Cambria Math" w:eastAsia="Cambria Math" w:hAnsi="Cambria Math" w:cs="Cambria Math"/>
                <w:color w:val="000000"/>
                <w:sz w:val="24"/>
                <w:szCs w:val="24"/>
                <w:vertAlign w:val="superscript"/>
              </w:rPr>
            </m:ctrlPr>
          </m:sSubPr>
          <m:e>
            <m:r>
              <w:rPr>
                <w:rFonts w:ascii="Cambria Math" w:eastAsia="Cambria Math" w:hAnsi="Cambria Math" w:cs="Cambria Math"/>
                <w:color w:val="000000"/>
                <w:sz w:val="24"/>
                <w:szCs w:val="24"/>
                <w:vertAlign w:val="superscript"/>
              </w:rPr>
              <m:t>2H</m:t>
            </m:r>
          </m:e>
          <m:sub>
            <m:r>
              <w:rPr>
                <w:rFonts w:ascii="Cambria Math" w:eastAsia="Cambria Math" w:hAnsi="Cambria Math" w:cs="Cambria Math"/>
                <w:color w:val="000000"/>
                <w:sz w:val="24"/>
                <w:szCs w:val="24"/>
                <w:vertAlign w:val="superscript"/>
              </w:rPr>
              <m:t>2</m:t>
            </m:r>
          </m:sub>
        </m:sSub>
        <m:r>
          <w:rPr>
            <w:rFonts w:ascii="Cambria Math" w:eastAsia="Cambria Math" w:hAnsi="Cambria Math" w:cs="Cambria Math"/>
            <w:color w:val="000000"/>
            <w:sz w:val="24"/>
            <w:szCs w:val="24"/>
            <w:vertAlign w:val="superscript"/>
          </w:rPr>
          <m:t>+</m:t>
        </m:r>
        <m:sSup>
          <m:sSupPr>
            <m:ctrlPr>
              <w:rPr>
                <w:rFonts w:ascii="Cambria Math" w:eastAsia="Cambria Math" w:hAnsi="Cambria Math" w:cs="Cambria Math"/>
                <w:color w:val="000000"/>
                <w:sz w:val="24"/>
                <w:szCs w:val="24"/>
                <w:vertAlign w:val="superscript"/>
              </w:rPr>
            </m:ctrlPr>
          </m:sSupPr>
          <m:e>
            <m:r>
              <w:rPr>
                <w:rFonts w:ascii="Cambria Math" w:eastAsia="Cambria Math" w:hAnsi="Cambria Math" w:cs="Cambria Math"/>
                <w:color w:val="000000"/>
                <w:sz w:val="24"/>
                <w:szCs w:val="24"/>
                <w:vertAlign w:val="superscript"/>
              </w:rPr>
              <m:t>4H</m:t>
            </m:r>
          </m:e>
          <m:sup>
            <m:r>
              <w:rPr>
                <w:rFonts w:ascii="Cambria Math" w:eastAsia="Cambria Math" w:hAnsi="Cambria Math" w:cs="Cambria Math"/>
                <w:color w:val="000000"/>
                <w:sz w:val="24"/>
                <w:szCs w:val="24"/>
                <w:vertAlign w:val="superscript"/>
              </w:rPr>
              <m:t>+</m:t>
            </m:r>
          </m:sup>
        </m:sSup>
        <m:r>
          <w:rPr>
            <w:rFonts w:ascii="Cambria Math" w:eastAsia="Cambria Math" w:hAnsi="Cambria Math" w:cs="Cambria Math"/>
            <w:color w:val="000000"/>
            <w:sz w:val="24"/>
            <w:szCs w:val="24"/>
            <w:vertAlign w:val="superscript"/>
          </w:rPr>
          <m:t>+</m:t>
        </m:r>
        <m:sSup>
          <m:sSupPr>
            <m:ctrlPr>
              <w:rPr>
                <w:rFonts w:ascii="Cambria Math" w:eastAsia="Cambria Math" w:hAnsi="Cambria Math" w:cs="Cambria Math"/>
                <w:color w:val="000000"/>
                <w:sz w:val="24"/>
                <w:szCs w:val="24"/>
                <w:vertAlign w:val="superscript"/>
              </w:rPr>
            </m:ctrlPr>
          </m:sSupPr>
          <m:e>
            <m:r>
              <w:rPr>
                <w:rFonts w:ascii="Cambria Math" w:eastAsia="Cambria Math" w:hAnsi="Cambria Math" w:cs="Cambria Math"/>
                <w:color w:val="000000"/>
                <w:sz w:val="24"/>
                <w:szCs w:val="24"/>
                <w:vertAlign w:val="superscript"/>
              </w:rPr>
              <m:t>4e</m:t>
            </m:r>
          </m:e>
          <m:sup>
            <m:r>
              <w:rPr>
                <w:rFonts w:ascii="Cambria Math" w:eastAsia="Cambria Math" w:hAnsi="Cambria Math" w:cs="Cambria Math"/>
                <w:color w:val="000000"/>
                <w:sz w:val="24"/>
                <w:szCs w:val="24"/>
                <w:vertAlign w:val="superscript"/>
              </w:rPr>
              <m:t>-</m:t>
            </m:r>
          </m:sup>
        </m:sSup>
      </m:oMath>
    </w:p>
    <w:p w:rsidR="000B3F18" w:rsidRDefault="00D41AB9" w:rsidP="00D41AB9">
      <w:pPr>
        <w:spacing w:after="0" w:line="360" w:lineRule="auto"/>
        <w:ind w:left="851" w:right="5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Cathode:</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O</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4e</m:t>
            </m:r>
          </m:e>
          <m:sup>
            <m:r>
              <w:rPr>
                <w:rFonts w:ascii="Cambria Math" w:eastAsia="Cambria Math" w:hAnsi="Cambria Math" w:cs="Cambria Math"/>
                <w:color w:val="000000"/>
                <w:sz w:val="24"/>
                <w:szCs w:val="24"/>
              </w:rPr>
              <m:t>-</m:t>
            </m:r>
          </m:sup>
        </m:sSup>
        <m:r>
          <w:rPr>
            <w:rFonts w:ascii="Cambria Math" w:eastAsia="Cambria Math" w:hAnsi="Cambria Math" w:cs="Cambria Math"/>
            <w:color w:val="000000"/>
            <w:sz w:val="24"/>
            <w:szCs w:val="24"/>
          </w:rPr>
          <m:t>+</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4H</m:t>
            </m:r>
          </m:e>
          <m:sup>
            <m:r>
              <w:rPr>
                <w:rFonts w:ascii="Cambria Math" w:eastAsia="Cambria Math" w:hAnsi="Cambria Math" w:cs="Cambria Math"/>
                <w:color w:val="000000"/>
                <w:sz w:val="24"/>
                <w:szCs w:val="24"/>
              </w:rPr>
              <m:t>+</m:t>
            </m:r>
          </m:sup>
        </m:sSup>
        <m:r>
          <w:rPr>
            <w:rFonts w:ascii="Cambria Math" w:eastAsia="Cambria Math" w:hAnsi="Cambria Math" w:cs="Cambria Math"/>
            <w:color w:val="000000"/>
            <w:sz w:val="24"/>
            <w:szCs w:val="24"/>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2H</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O</m:t>
        </m:r>
      </m:oMath>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D41AB9" w:rsidP="00D41AB9">
      <w:pPr>
        <w:spacing w:after="0" w:line="240" w:lineRule="auto"/>
        <w:ind w:left="851" w:right="55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Acid electrolytes and some polymers containing free (</w:t>
      </w:r>
      <m:oMath>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H</m:t>
            </m:r>
          </m:e>
          <m:sup>
            <m:r>
              <w:rPr>
                <w:rFonts w:ascii="Cambria Math" w:eastAsia="Cambria Math" w:hAnsi="Cambria Math" w:cs="Cambria Math"/>
                <w:color w:val="000000"/>
                <w:sz w:val="24"/>
                <w:szCs w:val="24"/>
              </w:rPr>
              <m:t>+</m:t>
            </m:r>
          </m:sup>
        </m:sSup>
      </m:oMath>
      <w:r>
        <w:rPr>
          <w:rFonts w:ascii="Times New Roman" w:eastAsia="Times New Roman" w:hAnsi="Times New Roman" w:cs="Times New Roman"/>
          <w:color w:val="000000"/>
          <w:sz w:val="24"/>
          <w:szCs w:val="24"/>
        </w:rPr>
        <w:t xml:space="preserve">) ions </w:t>
      </w:r>
      <w:r>
        <w:rPr>
          <w:rFonts w:ascii="Times New Roman" w:eastAsia="Times New Roman" w:hAnsi="Times New Roman" w:cs="Times New Roman"/>
          <w:sz w:val="24"/>
          <w:szCs w:val="24"/>
        </w:rPr>
        <w:t>are described</w:t>
      </w:r>
      <w:r>
        <w:rPr>
          <w:rFonts w:ascii="Times New Roman" w:eastAsia="Times New Roman" w:hAnsi="Times New Roman" w:cs="Times New Roman"/>
          <w:color w:val="000000"/>
          <w:sz w:val="24"/>
          <w:szCs w:val="24"/>
        </w:rPr>
        <w:t xml:space="preserve"> as "proton exchange membranes" by some. They perform better and more effectively for proton delivery duties because they only allow (</w:t>
      </w:r>
      <m:oMath>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H</m:t>
            </m:r>
          </m:e>
          <m:sup>
            <m:r>
              <w:rPr>
                <w:rFonts w:ascii="Cambria Math" w:eastAsia="Cambria Math" w:hAnsi="Cambria Math" w:cs="Cambria Math"/>
                <w:color w:val="000000"/>
                <w:sz w:val="24"/>
                <w:szCs w:val="24"/>
              </w:rPr>
              <m:t>+</m:t>
            </m:r>
          </m:sup>
        </m:sSup>
      </m:oMath>
      <w:r>
        <w:rPr>
          <w:rFonts w:ascii="Times New Roman" w:eastAsia="Times New Roman" w:hAnsi="Times New Roman" w:cs="Times New Roman"/>
          <w:color w:val="000000"/>
          <w:sz w:val="24"/>
          <w:szCs w:val="24"/>
        </w:rPr>
        <w:t>) ions to flow through. When electrons are delivered via the electrolyte, the electrical current is lost. Fuel cells are electrochemical devices that convert the chemical energy of a fuel directly into electrical energy. They are categorized into six major groups based on the choice of fuel and electrolyte. Here is an overview of each type:</w:t>
      </w:r>
    </w:p>
    <w:p w:rsidR="000B3F18" w:rsidRDefault="000B3F18" w:rsidP="00D41AB9">
      <w:pPr>
        <w:spacing w:after="0" w:line="240" w:lineRule="auto"/>
        <w:ind w:left="851" w:right="559" w:firstLine="720"/>
        <w:jc w:val="both"/>
        <w:rPr>
          <w:rFonts w:ascii="Times New Roman" w:eastAsia="Times New Roman" w:hAnsi="Times New Roman" w:cs="Times New Roman"/>
          <w:color w:val="000000"/>
          <w:sz w:val="24"/>
          <w:szCs w:val="24"/>
        </w:rPr>
      </w:pPr>
    </w:p>
    <w:p w:rsidR="000B3F18" w:rsidRDefault="00D41AB9" w:rsidP="00D41AB9">
      <w:pPr>
        <w:spacing w:after="0" w:line="360" w:lineRule="auto"/>
        <w:ind w:left="851" w:right="559"/>
        <w:jc w:val="both"/>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b/>
          <w:color w:val="000000"/>
          <w:sz w:val="24"/>
          <w:szCs w:val="24"/>
        </w:rPr>
        <w:t xml:space="preserve">.1 Alkaline Fuel Cells (AFCs): </w:t>
      </w:r>
    </w:p>
    <w:p w:rsidR="000B3F18" w:rsidRDefault="00D41AB9" w:rsidP="00D41AB9">
      <w:pPr>
        <w:spacing w:after="0" w:line="240" w:lineRule="auto"/>
        <w:ind w:left="851" w:right="55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Alkaline fuel cells (AFCs) have received a lot of interest recently as a promising energy conversion technology. AFCs use an alkaline electrolyte, usually potassium hydroxide (KOH), to allow for effective electrochemical reactions. They have a number of benefits, including high theoretical efficiency and quick oxygen reduction reaction kinetics at the cathode. Because of its lightweight construction and high energy density, AFCs have been used in a variety of applications, including space missions (Roy et al.). For example, the Apollo programme used AFCs to generate electricity during space missions. AFCs have also found use in portable power systems, where they serve as reliable backup power sources for telecommunication towers and distant sensing equipment (Scott et al.). </w:t>
      </w:r>
      <w:proofErr w:type="spellStart"/>
      <w:r>
        <w:rPr>
          <w:rFonts w:ascii="Times New Roman" w:eastAsia="Times New Roman" w:hAnsi="Times New Roman" w:cs="Times New Roman"/>
          <w:color w:val="000000"/>
          <w:sz w:val="24"/>
          <w:szCs w:val="24"/>
        </w:rPr>
        <w:t>Ongoing</w:t>
      </w:r>
      <w:proofErr w:type="spellEnd"/>
      <w:r>
        <w:rPr>
          <w:rFonts w:ascii="Times New Roman" w:eastAsia="Times New Roman" w:hAnsi="Times New Roman" w:cs="Times New Roman"/>
          <w:color w:val="000000"/>
          <w:sz w:val="24"/>
          <w:szCs w:val="24"/>
        </w:rPr>
        <w:t xml:space="preserve"> research intends to improve AFC technology by producing alkaline-stable catalysts and improving electrode materials in order to increase performance, stability, and </w:t>
      </w:r>
      <w:r>
        <w:rPr>
          <w:rFonts w:ascii="Times New Roman" w:eastAsia="Times New Roman" w:hAnsi="Times New Roman" w:cs="Times New Roman"/>
          <w:sz w:val="24"/>
          <w:szCs w:val="24"/>
        </w:rPr>
        <w:t>reliability and</w:t>
      </w:r>
      <w:r>
        <w:rPr>
          <w:rFonts w:ascii="Times New Roman" w:eastAsia="Times New Roman" w:hAnsi="Times New Roman" w:cs="Times New Roman"/>
          <w:color w:val="000000"/>
          <w:sz w:val="24"/>
          <w:szCs w:val="24"/>
        </w:rPr>
        <w:t xml:space="preserve"> durability (Roy et al.). These advancements contribute to the progress of AFCs and their potential integration into a wide range of energy conversion systems.</w:t>
      </w: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D41AB9" w:rsidP="00D41AB9">
      <w:pPr>
        <w:spacing w:after="0" w:line="240" w:lineRule="auto"/>
        <w:ind w:left="851" w:right="559"/>
        <w:jc w:val="both"/>
        <w:rPr>
          <w:rFonts w:ascii="Times New Roman" w:eastAsia="Times New Roman" w:hAnsi="Times New Roman" w:cs="Times New Roman"/>
          <w:color w:val="000000"/>
          <w:sz w:val="24"/>
          <w:szCs w:val="24"/>
        </w:rPr>
      </w:pPr>
      <w:r>
        <w:rPr>
          <w:noProof/>
        </w:rPr>
        <w:drawing>
          <wp:anchor distT="0" distB="0" distL="114300" distR="114300" simplePos="0" relativeHeight="251665408" behindDoc="0" locked="0" layoutInCell="1" hidden="0" allowOverlap="1" wp14:anchorId="1BF691B6" wp14:editId="5D40B4FA">
            <wp:simplePos x="0" y="0"/>
            <wp:positionH relativeFrom="column">
              <wp:posOffset>1161414</wp:posOffset>
            </wp:positionH>
            <wp:positionV relativeFrom="paragraph">
              <wp:posOffset>22860</wp:posOffset>
            </wp:positionV>
            <wp:extent cx="4627245" cy="2888615"/>
            <wp:effectExtent l="0" t="0" r="0" b="0"/>
            <wp:wrapSquare wrapText="bothSides" distT="0" distB="0" distL="114300" distR="114300"/>
            <wp:docPr id="25" name="image3.png" descr="IMG_256"/>
            <wp:cNvGraphicFramePr/>
            <a:graphic xmlns:a="http://schemas.openxmlformats.org/drawingml/2006/main">
              <a:graphicData uri="http://schemas.openxmlformats.org/drawingml/2006/picture">
                <pic:pic xmlns:pic="http://schemas.openxmlformats.org/drawingml/2006/picture">
                  <pic:nvPicPr>
                    <pic:cNvPr id="0" name="image3.png" descr="IMG_256"/>
                    <pic:cNvPicPr preferRelativeResize="0"/>
                  </pic:nvPicPr>
                  <pic:blipFill>
                    <a:blip r:embed="rId14"/>
                    <a:srcRect/>
                    <a:stretch>
                      <a:fillRect/>
                    </a:stretch>
                  </pic:blipFill>
                  <pic:spPr>
                    <a:xfrm>
                      <a:off x="0" y="0"/>
                      <a:ext cx="4627245" cy="2888615"/>
                    </a:xfrm>
                    <a:prstGeom prst="rect">
                      <a:avLst/>
                    </a:prstGeom>
                    <a:ln/>
                  </pic:spPr>
                </pic:pic>
              </a:graphicData>
            </a:graphic>
          </wp:anchor>
        </w:drawing>
      </w: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D41AB9" w:rsidP="00D41AB9">
      <w:pPr>
        <w:spacing w:after="0" w:line="240" w:lineRule="auto"/>
        <w:ind w:left="851" w:right="5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D41AB9" w:rsidP="00D41AB9">
      <w:pPr>
        <w:spacing w:after="0" w:line="240" w:lineRule="auto"/>
        <w:ind w:left="851" w:right="559"/>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Fig.</w:t>
      </w:r>
      <w:proofErr w:type="gramEnd"/>
      <w:r>
        <w:rPr>
          <w:rFonts w:ascii="Times New Roman" w:eastAsia="Times New Roman" w:hAnsi="Times New Roman" w:cs="Times New Roman"/>
          <w:color w:val="000000"/>
          <w:sz w:val="24"/>
          <w:szCs w:val="24"/>
        </w:rPr>
        <w:t xml:space="preserve"> No</w:t>
      </w:r>
      <w:proofErr w:type="gramStart"/>
      <w:r>
        <w:rPr>
          <w:rFonts w:ascii="Times New Roman" w:eastAsia="Times New Roman" w:hAnsi="Times New Roman" w:cs="Times New Roman"/>
          <w:color w:val="000000"/>
          <w:sz w:val="24"/>
          <w:szCs w:val="24"/>
        </w:rPr>
        <w:t>:7</w:t>
      </w:r>
      <w:proofErr w:type="gramEnd"/>
      <w:r>
        <w:rPr>
          <w:rFonts w:ascii="Times New Roman" w:eastAsia="Times New Roman" w:hAnsi="Times New Roman" w:cs="Times New Roman"/>
          <w:color w:val="000000"/>
          <w:sz w:val="24"/>
          <w:szCs w:val="24"/>
        </w:rPr>
        <w:t>, Chemical Reaction of Alkaline Fuel Cell</w:t>
      </w:r>
    </w:p>
    <w:p w:rsidR="000B3F18" w:rsidRDefault="000B3F18" w:rsidP="00D41AB9">
      <w:pPr>
        <w:spacing w:after="0" w:line="240" w:lineRule="auto"/>
        <w:ind w:left="851" w:right="559"/>
        <w:jc w:val="center"/>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center"/>
        <w:rPr>
          <w:rFonts w:ascii="Times New Roman" w:eastAsia="Times New Roman" w:hAnsi="Times New Roman" w:cs="Times New Roman"/>
          <w:color w:val="000000"/>
          <w:sz w:val="24"/>
          <w:szCs w:val="24"/>
        </w:rPr>
      </w:pPr>
    </w:p>
    <w:p w:rsidR="000B3F18" w:rsidRDefault="00D41AB9" w:rsidP="00D41AB9">
      <w:pPr>
        <w:spacing w:after="0" w:line="360" w:lineRule="auto"/>
        <w:ind w:left="851" w:right="5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Anode: </w:t>
      </w:r>
      <m:oMath>
        <m:r>
          <w:rPr>
            <w:rFonts w:ascii="Cambria Math" w:eastAsia="Cambria Math" w:hAnsi="Cambria Math" w:cs="Cambria Math"/>
            <w:color w:val="000000"/>
            <w:sz w:val="24"/>
            <w:szCs w:val="24"/>
          </w:rPr>
          <m:t>2</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H</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+4O</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H</m:t>
            </m:r>
          </m:e>
          <m:sup>
            <m:r>
              <w:rPr>
                <w:rFonts w:ascii="Cambria Math" w:eastAsia="Cambria Math" w:hAnsi="Cambria Math" w:cs="Cambria Math"/>
                <w:color w:val="000000"/>
                <w:sz w:val="24"/>
                <w:szCs w:val="24"/>
              </w:rPr>
              <m:t>-</m:t>
            </m:r>
          </m:sup>
        </m:sSup>
        <m:r>
          <w:rPr>
            <w:rFonts w:ascii="Cambria Math" w:eastAsia="Cambria Math" w:hAnsi="Cambria Math" w:cs="Cambria Math"/>
            <w:color w:val="000000"/>
            <w:sz w:val="24"/>
            <w:szCs w:val="24"/>
          </w:rPr>
          <m:t>→4</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H</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O+4</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e</m:t>
            </m:r>
          </m:e>
          <m:sup>
            <m:r>
              <w:rPr>
                <w:rFonts w:ascii="Cambria Math" w:eastAsia="Cambria Math" w:hAnsi="Cambria Math" w:cs="Cambria Math"/>
                <w:color w:val="000000"/>
                <w:sz w:val="24"/>
                <w:szCs w:val="24"/>
              </w:rPr>
              <m:t>-</m:t>
            </m:r>
          </m:sup>
        </m:sSup>
      </m:oMath>
    </w:p>
    <w:p w:rsidR="000B3F18" w:rsidRDefault="00D41AB9" w:rsidP="00D41AB9">
      <w:pPr>
        <w:spacing w:after="0" w:line="360" w:lineRule="auto"/>
        <w:ind w:left="851" w:right="5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Cathode:</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O</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2H</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O+</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4e</m:t>
            </m:r>
          </m:e>
          <m:sup>
            <m:r>
              <w:rPr>
                <w:rFonts w:ascii="Cambria Math" w:eastAsia="Cambria Math" w:hAnsi="Cambria Math" w:cs="Cambria Math"/>
                <w:color w:val="000000"/>
                <w:sz w:val="24"/>
                <w:szCs w:val="24"/>
              </w:rPr>
              <m:t>-</m:t>
            </m:r>
          </m:sup>
        </m:sSup>
        <m:r>
          <w:rPr>
            <w:rFonts w:ascii="Cambria Math" w:eastAsia="Cambria Math" w:hAnsi="Cambria Math" w:cs="Cambria Math"/>
            <w:color w:val="000000"/>
            <w:sz w:val="24"/>
            <w:szCs w:val="24"/>
          </w:rPr>
          <m:t>→4O</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H</m:t>
            </m:r>
          </m:e>
          <m:sup>
            <m:r>
              <w:rPr>
                <w:rFonts w:ascii="Cambria Math" w:eastAsia="Cambria Math" w:hAnsi="Cambria Math" w:cs="Cambria Math"/>
                <w:color w:val="000000"/>
                <w:sz w:val="24"/>
                <w:szCs w:val="24"/>
              </w:rPr>
              <m:t>-</m:t>
            </m:r>
          </m:sup>
        </m:sSup>
      </m:oMath>
    </w:p>
    <w:p w:rsidR="000B3F18" w:rsidRDefault="00D41AB9" w:rsidP="00D41AB9">
      <w:pPr>
        <w:spacing w:after="0" w:line="360" w:lineRule="auto"/>
        <w:ind w:left="851" w:right="559"/>
        <w:jc w:val="both"/>
        <w:rPr>
          <w:b/>
          <w:color w:val="000000"/>
          <w:sz w:val="24"/>
          <w:szCs w:val="24"/>
        </w:rPr>
      </w:pPr>
      <w:r>
        <w:rPr>
          <w:rFonts w:ascii="Times New Roman" w:eastAsia="Times New Roman" w:hAnsi="Times New Roman" w:cs="Times New Roman"/>
          <w:color w:val="000000"/>
          <w:sz w:val="24"/>
          <w:szCs w:val="24"/>
        </w:rPr>
        <w:t xml:space="preserve">Overall: </w:t>
      </w:r>
      <m:oMath>
        <m:r>
          <w:rPr>
            <w:rFonts w:ascii="Cambria Math" w:eastAsia="Cambria Math" w:hAnsi="Cambria Math" w:cs="Cambria Math"/>
            <w:color w:val="000000"/>
            <w:sz w:val="24"/>
            <w:szCs w:val="24"/>
          </w:rPr>
          <m:t>2</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H</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O</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→2</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H</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O</m:t>
        </m:r>
      </m:oMath>
    </w:p>
    <w:p w:rsidR="000B3F18" w:rsidRDefault="000B3F18" w:rsidP="00D41AB9">
      <w:pPr>
        <w:spacing w:after="0" w:line="240" w:lineRule="auto"/>
        <w:ind w:left="851" w:right="559"/>
        <w:jc w:val="both"/>
        <w:rPr>
          <w:b/>
          <w:color w:val="000000"/>
          <w:sz w:val="24"/>
          <w:szCs w:val="24"/>
        </w:rPr>
      </w:pPr>
    </w:p>
    <w:p w:rsidR="000B3F18" w:rsidRDefault="00D41AB9" w:rsidP="00D41AB9">
      <w:pPr>
        <w:spacing w:after="0" w:line="240" w:lineRule="auto"/>
        <w:ind w:left="851" w:right="55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4.2 Phosphoric Acid Fuel Cells (PAFCs):</w:t>
      </w:r>
      <w:r>
        <w:rPr>
          <w:rFonts w:ascii="Times New Roman" w:eastAsia="Times New Roman" w:hAnsi="Times New Roman" w:cs="Times New Roman"/>
          <w:color w:val="000000"/>
          <w:sz w:val="24"/>
          <w:szCs w:val="24"/>
        </w:rPr>
        <w:t xml:space="preserve"> PAFCs are a form of fuel cell that runs at quite high temperatures, often between 150 and 200°C. The electrolyte in PAFCs is phosphoric acid, which is immobilised in a porous matrix commonly constructed of </w:t>
      </w:r>
      <w:proofErr w:type="spellStart"/>
      <w:r>
        <w:rPr>
          <w:rFonts w:ascii="Times New Roman" w:eastAsia="Times New Roman" w:hAnsi="Times New Roman" w:cs="Times New Roman"/>
          <w:color w:val="000000"/>
          <w:sz w:val="24"/>
          <w:szCs w:val="24"/>
        </w:rPr>
        <w:t>polytetrafluoroethylene</w:t>
      </w:r>
      <w:proofErr w:type="spellEnd"/>
      <w:r>
        <w:rPr>
          <w:rFonts w:ascii="Times New Roman" w:eastAsia="Times New Roman" w:hAnsi="Times New Roman" w:cs="Times New Roman"/>
          <w:color w:val="000000"/>
          <w:sz w:val="24"/>
          <w:szCs w:val="24"/>
        </w:rPr>
        <w:t xml:space="preserve"> (PTFE). These fuel cells have shown favourable qualities such as high efficiency, impurity tolerance, and long-term stability. PAFCs have shown to be effective in a variety of stationary power applications, including combined heat and power (CHP) systems for commercial and industrial buildings (He et al.). They've also found usage in decentralised power production, where their capacity to produce both electricity and heat effectively makes them acceptable for domestic and small-scale commercial use (</w:t>
      </w:r>
      <w:proofErr w:type="spellStart"/>
      <w:r>
        <w:rPr>
          <w:rFonts w:ascii="Times New Roman" w:eastAsia="Times New Roman" w:hAnsi="Times New Roman" w:cs="Times New Roman"/>
          <w:color w:val="000000"/>
          <w:sz w:val="24"/>
          <w:szCs w:val="24"/>
        </w:rPr>
        <w:t>Millo</w:t>
      </w:r>
      <w:proofErr w:type="spellEnd"/>
      <w:r>
        <w:rPr>
          <w:rFonts w:ascii="Times New Roman" w:eastAsia="Times New Roman" w:hAnsi="Times New Roman" w:cs="Times New Roman"/>
          <w:color w:val="000000"/>
          <w:sz w:val="24"/>
          <w:szCs w:val="24"/>
        </w:rPr>
        <w:t xml:space="preserve"> et al.). PAFC technology research and development activities are now focused on enhancing </w:t>
      </w:r>
      <w:r>
        <w:rPr>
          <w:rFonts w:ascii="Times New Roman" w:eastAsia="Times New Roman" w:hAnsi="Times New Roman" w:cs="Times New Roman"/>
          <w:sz w:val="24"/>
          <w:szCs w:val="24"/>
        </w:rPr>
        <w:t>catalysts, electrolytes</w:t>
      </w:r>
      <w:r>
        <w:rPr>
          <w:rFonts w:ascii="Times New Roman" w:eastAsia="Times New Roman" w:hAnsi="Times New Roman" w:cs="Times New Roman"/>
          <w:color w:val="000000"/>
          <w:sz w:val="24"/>
          <w:szCs w:val="24"/>
        </w:rPr>
        <w:t>, and overall system design to enhance performance, reduce costs, and expand their range of applications (He et al.).</w:t>
      </w: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D41AB9" w:rsidP="00D41AB9">
      <w:pPr>
        <w:spacing w:after="0" w:line="240" w:lineRule="auto"/>
        <w:ind w:left="851" w:right="559"/>
        <w:jc w:val="both"/>
        <w:rPr>
          <w:rFonts w:ascii="Times New Roman" w:eastAsia="Times New Roman" w:hAnsi="Times New Roman" w:cs="Times New Roman"/>
          <w:color w:val="000000"/>
          <w:sz w:val="24"/>
          <w:szCs w:val="24"/>
        </w:rPr>
      </w:pPr>
      <w:r>
        <w:rPr>
          <w:noProof/>
        </w:rPr>
        <w:drawing>
          <wp:anchor distT="0" distB="0" distL="114300" distR="114300" simplePos="0" relativeHeight="251666432" behindDoc="0" locked="0" layoutInCell="1" hidden="0" allowOverlap="1" wp14:anchorId="166BCE10" wp14:editId="40CCFD3A">
            <wp:simplePos x="0" y="0"/>
            <wp:positionH relativeFrom="column">
              <wp:posOffset>2128520</wp:posOffset>
            </wp:positionH>
            <wp:positionV relativeFrom="paragraph">
              <wp:posOffset>67945</wp:posOffset>
            </wp:positionV>
            <wp:extent cx="2646045" cy="2803525"/>
            <wp:effectExtent l="0" t="0" r="1905" b="0"/>
            <wp:wrapSquare wrapText="bothSides" distT="0" distB="0" distL="114300" distR="114300"/>
            <wp:docPr id="24" name="image5.png" descr="IMG_256"/>
            <wp:cNvGraphicFramePr/>
            <a:graphic xmlns:a="http://schemas.openxmlformats.org/drawingml/2006/main">
              <a:graphicData uri="http://schemas.openxmlformats.org/drawingml/2006/picture">
                <pic:pic xmlns:pic="http://schemas.openxmlformats.org/drawingml/2006/picture">
                  <pic:nvPicPr>
                    <pic:cNvPr id="0" name="image5.png" descr="IMG_256"/>
                    <pic:cNvPicPr preferRelativeResize="0"/>
                  </pic:nvPicPr>
                  <pic:blipFill>
                    <a:blip r:embed="rId15"/>
                    <a:srcRect/>
                    <a:stretch>
                      <a:fillRect/>
                    </a:stretch>
                  </pic:blipFill>
                  <pic:spPr>
                    <a:xfrm>
                      <a:off x="0" y="0"/>
                      <a:ext cx="2646045" cy="2803525"/>
                    </a:xfrm>
                    <a:prstGeom prst="rect">
                      <a:avLst/>
                    </a:prstGeom>
                    <a:ln/>
                  </pic:spPr>
                </pic:pic>
              </a:graphicData>
            </a:graphic>
          </wp:anchor>
        </w:drawing>
      </w: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D41AB9" w:rsidP="00D41AB9">
      <w:pPr>
        <w:spacing w:after="0" w:line="240" w:lineRule="auto"/>
        <w:ind w:left="851" w:right="559"/>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Fig.</w:t>
      </w:r>
      <w:proofErr w:type="gramEnd"/>
      <w:r>
        <w:rPr>
          <w:rFonts w:ascii="Times New Roman" w:eastAsia="Times New Roman" w:hAnsi="Times New Roman" w:cs="Times New Roman"/>
          <w:color w:val="000000"/>
          <w:sz w:val="24"/>
          <w:szCs w:val="24"/>
        </w:rPr>
        <w:t xml:space="preserve"> No</w:t>
      </w:r>
      <w:proofErr w:type="gramStart"/>
      <w:r>
        <w:rPr>
          <w:rFonts w:ascii="Times New Roman" w:eastAsia="Times New Roman" w:hAnsi="Times New Roman" w:cs="Times New Roman"/>
          <w:color w:val="000000"/>
          <w:sz w:val="24"/>
          <w:szCs w:val="24"/>
        </w:rPr>
        <w:t>:8</w:t>
      </w:r>
      <w:proofErr w:type="gramEnd"/>
      <w:r>
        <w:rPr>
          <w:rFonts w:ascii="Times New Roman" w:eastAsia="Times New Roman" w:hAnsi="Times New Roman" w:cs="Times New Roman"/>
          <w:color w:val="000000"/>
          <w:sz w:val="24"/>
          <w:szCs w:val="24"/>
        </w:rPr>
        <w:t>, Chemical Reaction of PAFC</w:t>
      </w: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D41AB9" w:rsidP="00D41AB9">
      <w:pPr>
        <w:spacing w:after="0" w:line="360" w:lineRule="auto"/>
        <w:ind w:left="851" w:right="55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4.3 Solid Oxide </w:t>
      </w:r>
      <w:proofErr w:type="spellStart"/>
      <w:r>
        <w:rPr>
          <w:rFonts w:ascii="Times New Roman" w:eastAsia="Times New Roman" w:hAnsi="Times New Roman" w:cs="Times New Roman"/>
          <w:b/>
          <w:color w:val="000000"/>
          <w:sz w:val="24"/>
          <w:szCs w:val="24"/>
        </w:rPr>
        <w:t>Fuell</w:t>
      </w:r>
      <w:proofErr w:type="spellEnd"/>
      <w:r>
        <w:rPr>
          <w:rFonts w:ascii="Times New Roman" w:eastAsia="Times New Roman" w:hAnsi="Times New Roman" w:cs="Times New Roman"/>
          <w:b/>
          <w:color w:val="000000"/>
          <w:sz w:val="24"/>
          <w:szCs w:val="24"/>
        </w:rPr>
        <w:t xml:space="preserve"> Cell (SOFC): </w:t>
      </w:r>
    </w:p>
    <w:p w:rsidR="000B3F18" w:rsidRDefault="00D41AB9" w:rsidP="00D41AB9">
      <w:pPr>
        <w:spacing w:after="0" w:line="240" w:lineRule="auto"/>
        <w:ind w:left="851" w:right="55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rPr>
        <w:t xml:space="preserve">SOFCs are promising energy conversion devices that provide high efficiency, minimal emissions, and fuel flexibility. They generate electricity by electrochemically converting the chemical energy of a fuel, such as hydrogen or hydrocarbon gases. An SOFC's main components are the anode, cathode, and an electrolyte, which are commonly </w:t>
      </w:r>
      <w:r>
        <w:rPr>
          <w:rFonts w:ascii="Times New Roman" w:eastAsia="Times New Roman" w:hAnsi="Times New Roman" w:cs="Times New Roman"/>
          <w:sz w:val="24"/>
          <w:szCs w:val="24"/>
        </w:rPr>
        <w:t>composed</w:t>
      </w:r>
      <w:r>
        <w:rPr>
          <w:rFonts w:ascii="Times New Roman" w:eastAsia="Times New Roman" w:hAnsi="Times New Roman" w:cs="Times New Roman"/>
          <w:color w:val="000000"/>
          <w:sz w:val="24"/>
          <w:szCs w:val="24"/>
        </w:rPr>
        <w:t xml:space="preserve"> of ceramic materials. </w:t>
      </w:r>
      <w:proofErr w:type="gramStart"/>
      <w:r>
        <w:rPr>
          <w:rFonts w:ascii="Times New Roman" w:eastAsia="Times New Roman" w:hAnsi="Times New Roman" w:cs="Times New Roman"/>
          <w:color w:val="000000"/>
          <w:sz w:val="24"/>
          <w:szCs w:val="24"/>
        </w:rPr>
        <w:t>At high working temperatures (usually 600-1000°C), oxygen ions move across the electrolyte while fuel electrons flow via the external circuit, resulting in a direct current.</w:t>
      </w:r>
      <w:proofErr w:type="gramEnd"/>
      <w:r>
        <w:rPr>
          <w:rFonts w:ascii="Times New Roman" w:eastAsia="Times New Roman" w:hAnsi="Times New Roman" w:cs="Times New Roman"/>
          <w:color w:val="000000"/>
          <w:sz w:val="24"/>
          <w:szCs w:val="24"/>
        </w:rPr>
        <w:t xml:space="preserve"> SOFCs have gotten a lot of interest because of their high electrical efficiency, which often exceeds 50%, and their ability to use a range of fuel sources. They've been investigated for a variety of uses, including stationary power generation. </w:t>
      </w:r>
      <w:proofErr w:type="gramStart"/>
      <w:r>
        <w:rPr>
          <w:rFonts w:ascii="Times New Roman" w:eastAsia="Times New Roman" w:hAnsi="Times New Roman" w:cs="Times New Roman"/>
          <w:color w:val="000000"/>
          <w:sz w:val="24"/>
          <w:szCs w:val="24"/>
        </w:rPr>
        <w:t>portable</w:t>
      </w:r>
      <w:proofErr w:type="gramEnd"/>
      <w:r>
        <w:rPr>
          <w:rFonts w:ascii="Times New Roman" w:eastAsia="Times New Roman" w:hAnsi="Times New Roman" w:cs="Times New Roman"/>
          <w:color w:val="000000"/>
          <w:sz w:val="24"/>
          <w:szCs w:val="24"/>
        </w:rPr>
        <w:t xml:space="preserve"> power systems, and even gasification technologies for efficient combined heat and power generation. </w:t>
      </w:r>
      <w:r w:rsidR="004E60E4">
        <w:rPr>
          <w:rFonts w:ascii="Times New Roman" w:eastAsia="Times New Roman" w:hAnsi="Times New Roman" w:cs="Times New Roman"/>
          <w:color w:val="000000"/>
          <w:sz w:val="24"/>
          <w:szCs w:val="24"/>
        </w:rPr>
        <w:t>On-going</w:t>
      </w:r>
      <w:r>
        <w:rPr>
          <w:rFonts w:ascii="Times New Roman" w:eastAsia="Times New Roman" w:hAnsi="Times New Roman" w:cs="Times New Roman"/>
          <w:color w:val="000000"/>
          <w:sz w:val="24"/>
          <w:szCs w:val="24"/>
        </w:rPr>
        <w:t xml:space="preserve"> research focuses on enhancing cell performance, lowering operating temperatures, and investigating new materials and designs to improve the stability and endurance of SOFCs in preparation for wider commercialization (Li et al.).</w:t>
      </w: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D41AB9" w:rsidP="00D41AB9">
      <w:pPr>
        <w:spacing w:after="0" w:line="240" w:lineRule="auto"/>
        <w:ind w:left="851" w:right="559"/>
        <w:jc w:val="both"/>
        <w:rPr>
          <w:rFonts w:ascii="Times New Roman" w:eastAsia="Times New Roman" w:hAnsi="Times New Roman" w:cs="Times New Roman"/>
          <w:color w:val="000000"/>
          <w:sz w:val="24"/>
          <w:szCs w:val="24"/>
        </w:rPr>
      </w:pPr>
      <w:r>
        <w:rPr>
          <w:noProof/>
        </w:rPr>
        <w:drawing>
          <wp:anchor distT="0" distB="0" distL="114300" distR="114300" simplePos="0" relativeHeight="251667456" behindDoc="0" locked="0" layoutInCell="1" hidden="0" allowOverlap="1" wp14:anchorId="131B6381" wp14:editId="1CC4FFA4">
            <wp:simplePos x="0" y="0"/>
            <wp:positionH relativeFrom="column">
              <wp:posOffset>2099945</wp:posOffset>
            </wp:positionH>
            <wp:positionV relativeFrom="paragraph">
              <wp:posOffset>43815</wp:posOffset>
            </wp:positionV>
            <wp:extent cx="2697480" cy="2036445"/>
            <wp:effectExtent l="0" t="0" r="7620" b="1905"/>
            <wp:wrapSquare wrapText="bothSides" distT="0" distB="0" distL="114300" distR="114300"/>
            <wp:docPr id="26" name="image1.png" descr="Schematic-of-a-solid-oxide-fuel-cell-SOFC"/>
            <wp:cNvGraphicFramePr/>
            <a:graphic xmlns:a="http://schemas.openxmlformats.org/drawingml/2006/main">
              <a:graphicData uri="http://schemas.openxmlformats.org/drawingml/2006/picture">
                <pic:pic xmlns:pic="http://schemas.openxmlformats.org/drawingml/2006/picture">
                  <pic:nvPicPr>
                    <pic:cNvPr id="0" name="image1.png" descr="Schematic-of-a-solid-oxide-fuel-cell-SOFC"/>
                    <pic:cNvPicPr preferRelativeResize="0"/>
                  </pic:nvPicPr>
                  <pic:blipFill>
                    <a:blip r:embed="rId16"/>
                    <a:srcRect/>
                    <a:stretch>
                      <a:fillRect/>
                    </a:stretch>
                  </pic:blipFill>
                  <pic:spPr>
                    <a:xfrm>
                      <a:off x="0" y="0"/>
                      <a:ext cx="2697480" cy="2036445"/>
                    </a:xfrm>
                    <a:prstGeom prst="rect">
                      <a:avLst/>
                    </a:prstGeom>
                    <a:ln/>
                  </pic:spPr>
                </pic:pic>
              </a:graphicData>
            </a:graphic>
          </wp:anchor>
        </w:drawing>
      </w: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sz w:val="24"/>
          <w:szCs w:val="24"/>
        </w:rPr>
      </w:pPr>
    </w:p>
    <w:p w:rsidR="000B3F18" w:rsidRDefault="000B3F18" w:rsidP="00D41AB9">
      <w:pPr>
        <w:spacing w:after="0" w:line="240" w:lineRule="auto"/>
        <w:ind w:left="851" w:right="559"/>
        <w:jc w:val="both"/>
        <w:rPr>
          <w:rFonts w:ascii="Times New Roman" w:eastAsia="Times New Roman" w:hAnsi="Times New Roman" w:cs="Times New Roman"/>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4E60E4" w:rsidRDefault="004E60E4"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D41AB9" w:rsidP="00D41AB9">
      <w:pPr>
        <w:spacing w:after="0" w:line="240" w:lineRule="auto"/>
        <w:ind w:left="851" w:right="559"/>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Fig.</w:t>
      </w:r>
      <w:proofErr w:type="gramEnd"/>
      <w:r>
        <w:rPr>
          <w:rFonts w:ascii="Times New Roman" w:eastAsia="Times New Roman" w:hAnsi="Times New Roman" w:cs="Times New Roman"/>
          <w:color w:val="000000"/>
          <w:sz w:val="24"/>
          <w:szCs w:val="24"/>
        </w:rPr>
        <w:t xml:space="preserve"> No</w:t>
      </w:r>
      <w:proofErr w:type="gramStart"/>
      <w:r>
        <w:rPr>
          <w:rFonts w:ascii="Times New Roman" w:eastAsia="Times New Roman" w:hAnsi="Times New Roman" w:cs="Times New Roman"/>
          <w:color w:val="000000"/>
          <w:sz w:val="24"/>
          <w:szCs w:val="24"/>
        </w:rPr>
        <w:t>:9</w:t>
      </w:r>
      <w:proofErr w:type="gramEnd"/>
      <w:r>
        <w:rPr>
          <w:rFonts w:ascii="Times New Roman" w:eastAsia="Times New Roman" w:hAnsi="Times New Roman" w:cs="Times New Roman"/>
          <w:color w:val="000000"/>
          <w:sz w:val="24"/>
          <w:szCs w:val="24"/>
        </w:rPr>
        <w:t>, Chemical Reaction of SOFC</w:t>
      </w: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D41AB9" w:rsidP="00D41AB9">
      <w:pPr>
        <w:spacing w:after="0" w:line="360" w:lineRule="auto"/>
        <w:ind w:left="851" w:right="55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4.4 Molten carbonate fuel cells (MCFCs):</w:t>
      </w:r>
      <w:r>
        <w:rPr>
          <w:rFonts w:ascii="Times New Roman" w:eastAsia="Times New Roman" w:hAnsi="Times New Roman" w:cs="Times New Roman"/>
          <w:color w:val="000000"/>
          <w:sz w:val="24"/>
          <w:szCs w:val="24"/>
        </w:rPr>
        <w:t xml:space="preserve"> </w:t>
      </w:r>
    </w:p>
    <w:p w:rsidR="000B3F18" w:rsidRDefault="00D41AB9" w:rsidP="00D41AB9">
      <w:pPr>
        <w:spacing w:after="0" w:line="240" w:lineRule="auto"/>
        <w:ind w:left="851" w:right="55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MCFC are high-temperature energy conversion devices that use an alkali carbonate electrolyte. These fuel cells provide a number of advantages, including the capacity to use a range of fuels, including hydrogen, natural gas, and biogas. The electrochemical processes in MCFCs involve fuel oxidation at the anode and oxygen reduction at the cathode. The cathode reaction, also known as the oxygen reduction reaction ORR, is an important stage in cell performance. Because the ORR kinetics in MCFCs </w:t>
      </w:r>
      <w:proofErr w:type="gramStart"/>
      <w:r>
        <w:rPr>
          <w:rFonts w:ascii="Times New Roman" w:eastAsia="Times New Roman" w:hAnsi="Times New Roman" w:cs="Times New Roman"/>
          <w:color w:val="000000"/>
          <w:sz w:val="24"/>
          <w:szCs w:val="24"/>
        </w:rPr>
        <w:t>are</w:t>
      </w:r>
      <w:proofErr w:type="gramEnd"/>
      <w:r>
        <w:rPr>
          <w:rFonts w:ascii="Times New Roman" w:eastAsia="Times New Roman" w:hAnsi="Times New Roman" w:cs="Times New Roman"/>
          <w:color w:val="000000"/>
          <w:sz w:val="24"/>
          <w:szCs w:val="24"/>
        </w:rPr>
        <w:t xml:space="preserve"> generally slow, effective </w:t>
      </w:r>
      <w:proofErr w:type="spellStart"/>
      <w:r>
        <w:rPr>
          <w:rFonts w:ascii="Times New Roman" w:eastAsia="Times New Roman" w:hAnsi="Times New Roman" w:cs="Times New Roman"/>
          <w:color w:val="000000"/>
          <w:sz w:val="24"/>
          <w:szCs w:val="24"/>
        </w:rPr>
        <w:t>electrocatalysts</w:t>
      </w:r>
      <w:proofErr w:type="spellEnd"/>
      <w:r>
        <w:rPr>
          <w:rFonts w:ascii="Times New Roman" w:eastAsia="Times New Roman" w:hAnsi="Times New Roman" w:cs="Times New Roman"/>
          <w:color w:val="000000"/>
          <w:sz w:val="24"/>
          <w:szCs w:val="24"/>
        </w:rPr>
        <w:t xml:space="preserve"> are required to boost the ORR activity. As cathode catalysts, several materials have been investigated, including precious metals such as platinum and palladium, as well as non-precious metal-based compounds and </w:t>
      </w:r>
      <w:proofErr w:type="spellStart"/>
      <w:r>
        <w:rPr>
          <w:rFonts w:ascii="Times New Roman" w:eastAsia="Times New Roman" w:hAnsi="Times New Roman" w:cs="Times New Roman"/>
          <w:color w:val="000000"/>
          <w:sz w:val="24"/>
          <w:szCs w:val="24"/>
        </w:rPr>
        <w:t>perovskite</w:t>
      </w:r>
      <w:proofErr w:type="spellEnd"/>
      <w:r>
        <w:rPr>
          <w:rFonts w:ascii="Times New Roman" w:eastAsia="Times New Roman" w:hAnsi="Times New Roman" w:cs="Times New Roman"/>
          <w:color w:val="000000"/>
          <w:sz w:val="24"/>
          <w:szCs w:val="24"/>
        </w:rPr>
        <w:t xml:space="preserve"> oxide (Zhang et al.). Oxygen redox reaction in alcohol fuel cell. Efforts have also been undertaken to increase the stability of MCFC cathodes by the development of corrosion-resistant materials and protective coatings (Zhou et al.). These advances in MCFC cathode design and catalyst research have helped to improve the overall performance and commercial feasibility of MCFC technology for clean and efficient power production.</w:t>
      </w: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D41AB9" w:rsidP="00D41AB9">
      <w:pPr>
        <w:spacing w:after="0" w:line="360" w:lineRule="auto"/>
        <w:ind w:left="851" w:right="55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 Mechanistic approach and application for Oxygen redox reaction catalysis for solid oxide fuel cell:</w:t>
      </w:r>
    </w:p>
    <w:p w:rsidR="000B3F18" w:rsidRDefault="00D41AB9" w:rsidP="00D41AB9">
      <w:pPr>
        <w:spacing w:after="0" w:line="240" w:lineRule="auto"/>
        <w:ind w:left="851" w:right="55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SOFCs are electrochemical devices that directly transform chemical energy into electrical energy with great efficiency and low emissions. They operate at high temperatures (usually 500-1000°C) and use solid oxide electrolytes, making them appropriate for a variety of applications such as power production in fixed and mobile systems, as well as auxiliary power units for various industries. The oxygen reduction reaction ORR at the cathode is a vital step in SOFCs that affects the cell's overall performance and efficiency. </w:t>
      </w:r>
    </w:p>
    <w:p w:rsidR="000B3F18" w:rsidRDefault="00D41AB9" w:rsidP="00D41AB9">
      <w:pPr>
        <w:spacing w:after="0" w:line="240" w:lineRule="auto"/>
        <w:ind w:left="851" w:right="55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oxygen redox reaction ORR at the cathode of solid oxide fuel cells is a multi-step process with several intermediates. Understanding the mechanistic elements of this reaction is critical for developing efficient and long-lasting cathode materials, which are critical for the progress and commercialization of SOFC technology. The mechanistic approach seeks to elucidate the subtle aspects of ORR catalysis by exploring the fundamental reaction pathways, the participation of different species, and the impact of the underlying surface chemistry. To offer a full knowledge of the reaction process, this approach often utilizes a combination of experimental approaches and computational tools. In the context of the ORR in SOFCs, the mechanistic approach involves the following key aspects: </w:t>
      </w:r>
    </w:p>
    <w:p w:rsidR="000B3F18" w:rsidRDefault="00D41AB9" w:rsidP="00D41AB9">
      <w:pPr>
        <w:spacing w:after="0" w:line="240" w:lineRule="auto"/>
        <w:ind w:left="851" w:right="55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mechanistic approach to understanding the complexities of the oxygen redox reaction ORR catalysis at the cathode in solid oxide fuel cells (SOFCs) relies heavily on electrochemical characterisation. This characterisation entails using a variety of experimental methodologies to investigate the kinetic behaviour of the ORR under various operating settings, offering vital insights into reaction processes and catalyst performance. One of the primary electrochemical methods used to analyse the ORR is cyclic voltammetry (CV). The cathode potential is swept cyclically at a constant scan rate in CV, and the ensuing current response is recorded. The current-voltage curves generated from CV experiments provide information on the kinetics of the reaction as well as the electrochemical behaviour of the cathode material. The ORR current may be calculated using </w:t>
      </w:r>
      <w:proofErr w:type="spellStart"/>
      <w:r>
        <w:rPr>
          <w:rFonts w:ascii="Times New Roman" w:eastAsia="Times New Roman" w:hAnsi="Times New Roman" w:cs="Times New Roman"/>
          <w:color w:val="000000"/>
          <w:sz w:val="24"/>
          <w:szCs w:val="24"/>
        </w:rPr>
        <w:t>Koutecky-Levich</w:t>
      </w:r>
      <w:proofErr w:type="spellEnd"/>
      <w:r>
        <w:rPr>
          <w:rFonts w:ascii="Times New Roman" w:eastAsia="Times New Roman" w:hAnsi="Times New Roman" w:cs="Times New Roman"/>
          <w:color w:val="000000"/>
          <w:sz w:val="24"/>
          <w:szCs w:val="24"/>
        </w:rPr>
        <w:t xml:space="preserve"> equation [1]:</w:t>
      </w:r>
    </w:p>
    <w:p w:rsidR="000B3F18" w:rsidRDefault="000B3F18" w:rsidP="00D41AB9">
      <w:pPr>
        <w:spacing w:after="0" w:line="240" w:lineRule="auto"/>
        <w:ind w:left="851" w:right="559" w:firstLine="720"/>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374151"/>
          <w:sz w:val="2"/>
          <w:szCs w:val="2"/>
          <w:shd w:val="clear" w:color="auto" w:fill="F7F7F8"/>
        </w:rPr>
      </w:pPr>
    </w:p>
    <w:p w:rsidR="000B3F18" w:rsidRDefault="000B3F18" w:rsidP="00D41AB9">
      <w:pPr>
        <w:spacing w:after="0" w:line="240" w:lineRule="auto"/>
        <w:ind w:left="851" w:right="559"/>
        <w:jc w:val="both"/>
        <w:rPr>
          <w:rFonts w:ascii="Times New Roman" w:eastAsia="Times New Roman" w:hAnsi="Times New Roman" w:cs="Times New Roman"/>
          <w:color w:val="374151"/>
          <w:sz w:val="2"/>
          <w:szCs w:val="2"/>
          <w:shd w:val="clear" w:color="auto" w:fill="F7F7F8"/>
        </w:rPr>
      </w:pPr>
    </w:p>
    <w:p w:rsidR="000B3F18" w:rsidRDefault="000B3F18" w:rsidP="00D41AB9">
      <w:pPr>
        <w:spacing w:after="0" w:line="240" w:lineRule="auto"/>
        <w:ind w:left="851" w:right="559"/>
        <w:jc w:val="both"/>
        <w:rPr>
          <w:rFonts w:ascii="Times New Roman" w:eastAsia="Times New Roman" w:hAnsi="Times New Roman" w:cs="Times New Roman"/>
          <w:color w:val="374151"/>
          <w:sz w:val="2"/>
          <w:szCs w:val="2"/>
          <w:shd w:val="clear" w:color="auto" w:fill="F7F7F8"/>
        </w:rPr>
      </w:pPr>
    </w:p>
    <w:p w:rsidR="000B3F18" w:rsidRDefault="005E04DB" w:rsidP="00D41AB9">
      <w:pPr>
        <w:ind w:left="851" w:right="559"/>
        <w:jc w:val="center"/>
        <w:rPr>
          <w:rFonts w:ascii="Times New Roman" w:eastAsia="Times New Roman" w:hAnsi="Times New Roman" w:cs="Times New Roman"/>
          <w:color w:val="374151"/>
          <w:sz w:val="2"/>
          <w:szCs w:val="2"/>
        </w:rPr>
      </w:pPr>
      <m:oMathPara>
        <m:oMath>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j</m:t>
              </m:r>
            </m:e>
            <m:sup>
              <m:r>
                <w:rPr>
                  <w:rFonts w:ascii="Cambria Math" w:eastAsia="Cambria Math" w:hAnsi="Cambria Math" w:cs="Cambria Math"/>
                  <w:color w:val="000000"/>
                  <w:sz w:val="24"/>
                  <w:szCs w:val="24"/>
                </w:rPr>
                <m:t>-1</m:t>
              </m:r>
            </m:sup>
          </m:sSup>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sSubSup>
                <m:sSubSupPr>
                  <m:ctrlPr>
                    <w:rPr>
                      <w:rFonts w:ascii="Cambria Math" w:eastAsia="Cambria Math" w:hAnsi="Cambria Math" w:cs="Cambria Math"/>
                      <w:color w:val="000000"/>
                      <w:sz w:val="24"/>
                      <w:szCs w:val="24"/>
                    </w:rPr>
                  </m:ctrlPr>
                </m:sSubSupPr>
                <m:e>
                  <m:r>
                    <w:rPr>
                      <w:rFonts w:ascii="Cambria Math" w:eastAsia="Cambria Math" w:hAnsi="Cambria Math" w:cs="Cambria Math"/>
                      <w:color w:val="000000"/>
                      <w:sz w:val="24"/>
                      <w:szCs w:val="24"/>
                    </w:rPr>
                    <m:t>j</m:t>
                  </m:r>
                </m:e>
                <m:sub>
                  <m:r>
                    <w:rPr>
                      <w:rFonts w:ascii="Cambria Math" w:eastAsia="Cambria Math" w:hAnsi="Cambria Math" w:cs="Cambria Math"/>
                      <w:color w:val="000000"/>
                      <w:sz w:val="24"/>
                      <w:szCs w:val="24"/>
                    </w:rPr>
                    <m:t>K</m:t>
                  </m:r>
                </m:sub>
                <m:sup>
                  <m:r>
                    <w:rPr>
                      <w:rFonts w:ascii="Cambria Math" w:eastAsia="Cambria Math" w:hAnsi="Cambria Math" w:cs="Cambria Math"/>
                      <w:color w:val="000000"/>
                      <w:sz w:val="24"/>
                      <w:szCs w:val="24"/>
                    </w:rPr>
                    <m:t>-1</m:t>
                  </m:r>
                </m:sup>
              </m:sSubSup>
            </m:den>
          </m:f>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sSubSup>
                <m:sSubSupPr>
                  <m:ctrlPr>
                    <w:rPr>
                      <w:rFonts w:ascii="Cambria Math" w:eastAsia="Cambria Math" w:hAnsi="Cambria Math" w:cs="Cambria Math"/>
                      <w:color w:val="000000"/>
                      <w:sz w:val="24"/>
                      <w:szCs w:val="24"/>
                    </w:rPr>
                  </m:ctrlPr>
                </m:sSubSupPr>
                <m:e>
                  <m:r>
                    <w:rPr>
                      <w:rFonts w:ascii="Cambria Math" w:eastAsia="Cambria Math" w:hAnsi="Cambria Math" w:cs="Cambria Math"/>
                      <w:color w:val="000000"/>
                      <w:sz w:val="24"/>
                      <w:szCs w:val="24"/>
                    </w:rPr>
                    <m:t>j</m:t>
                  </m:r>
                </m:e>
                <m:sub>
                  <m:r>
                    <w:rPr>
                      <w:rFonts w:ascii="Cambria Math" w:eastAsia="Cambria Math" w:hAnsi="Cambria Math" w:cs="Cambria Math"/>
                      <w:color w:val="000000"/>
                      <w:sz w:val="24"/>
                      <w:szCs w:val="24"/>
                    </w:rPr>
                    <m:t>L</m:t>
                  </m:r>
                </m:sub>
                <m:sup>
                  <m:r>
                    <w:rPr>
                      <w:rFonts w:ascii="Cambria Math" w:eastAsia="Cambria Math" w:hAnsi="Cambria Math" w:cs="Cambria Math"/>
                      <w:color w:val="000000"/>
                      <w:sz w:val="24"/>
                      <w:szCs w:val="24"/>
                    </w:rPr>
                    <m:t>-1</m:t>
                  </m:r>
                </m:sup>
              </m:sSubSup>
            </m:den>
          </m:f>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sSubSup>
                <m:sSubSupPr>
                  <m:ctrlPr>
                    <w:rPr>
                      <w:rFonts w:ascii="Cambria Math" w:eastAsia="Cambria Math" w:hAnsi="Cambria Math" w:cs="Cambria Math"/>
                      <w:color w:val="000000"/>
                      <w:sz w:val="24"/>
                      <w:szCs w:val="24"/>
                    </w:rPr>
                  </m:ctrlPr>
                </m:sSubSupPr>
                <m:e>
                  <m:r>
                    <w:rPr>
                      <w:rFonts w:ascii="Cambria Math" w:eastAsia="Cambria Math" w:hAnsi="Cambria Math" w:cs="Cambria Math"/>
                      <w:color w:val="000000"/>
                      <w:sz w:val="24"/>
                      <w:szCs w:val="24"/>
                    </w:rPr>
                    <m:t>j</m:t>
                  </m:r>
                </m:e>
                <m:sub>
                  <m:r>
                    <w:rPr>
                      <w:rFonts w:ascii="Cambria Math" w:eastAsia="Cambria Math" w:hAnsi="Cambria Math" w:cs="Cambria Math"/>
                      <w:color w:val="000000"/>
                      <w:sz w:val="24"/>
                      <w:szCs w:val="24"/>
                    </w:rPr>
                    <m:t>K</m:t>
                  </m:r>
                </m:sub>
                <m:sup>
                  <m:r>
                    <w:rPr>
                      <w:rFonts w:ascii="Cambria Math" w:eastAsia="Cambria Math" w:hAnsi="Cambria Math" w:cs="Cambria Math"/>
                      <w:color w:val="000000"/>
                      <w:sz w:val="24"/>
                      <w:szCs w:val="24"/>
                    </w:rPr>
                    <m:t>-1</m:t>
                  </m:r>
                </m:sup>
              </m:sSubSup>
            </m:den>
          </m:f>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r>
                <w:rPr>
                  <w:rFonts w:ascii="Cambria Math" w:eastAsia="Cambria Math" w:hAnsi="Cambria Math" w:cs="Cambria Math"/>
                  <w:color w:val="000000"/>
                  <w:sz w:val="24"/>
                  <w:szCs w:val="24"/>
                </w:rPr>
                <m:t>B</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ω</m:t>
                  </m:r>
                </m:e>
                <m:sup>
                  <m:r>
                    <w:rPr>
                      <w:rFonts w:ascii="Cambria Math" w:eastAsia="Cambria Math" w:hAnsi="Cambria Math" w:cs="Cambria Math"/>
                      <w:color w:val="000000"/>
                      <w:sz w:val="24"/>
                      <w:szCs w:val="24"/>
                    </w:rPr>
                    <m:t>1/2</m:t>
                  </m:r>
                </m:sup>
              </m:sSup>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ω</m:t>
                  </m:r>
                </m:e>
                <m:sup>
                  <m:r>
                    <w:rPr>
                      <w:rFonts w:ascii="Cambria Math" w:eastAsia="Cambria Math" w:hAnsi="Cambria Math" w:cs="Cambria Math"/>
                      <w:color w:val="000000"/>
                      <w:sz w:val="24"/>
                      <w:szCs w:val="24"/>
                    </w:rPr>
                    <m:t>1/6</m:t>
                  </m:r>
                </m:sup>
              </m:sSup>
            </m:den>
          </m:f>
          <m:r>
            <w:rPr>
              <w:rFonts w:ascii="Times New Roman" w:eastAsia="Times New Roman" w:hAnsi="Times New Roman" w:cs="Times New Roman"/>
              <w:color w:val="374151"/>
              <w:sz w:val="2"/>
              <w:szCs w:val="2"/>
            </w:rPr>
            <m:t>​</m:t>
          </m:r>
        </m:oMath>
      </m:oMathPara>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D41AB9" w:rsidP="00D41AB9">
      <w:pPr>
        <w:spacing w:after="0" w:line="240" w:lineRule="auto"/>
        <w:ind w:left="851" w:right="5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j is the measured current density,  </w:t>
      </w:r>
      <w:proofErr w:type="spellStart"/>
      <w:r>
        <w:rPr>
          <w:rFonts w:ascii="Times New Roman" w:eastAsia="Times New Roman" w:hAnsi="Times New Roman" w:cs="Times New Roman"/>
          <w:color w:val="000000"/>
          <w:sz w:val="24"/>
          <w:szCs w:val="24"/>
        </w:rPr>
        <w:t>j</w:t>
      </w:r>
      <w:r>
        <w:rPr>
          <w:rFonts w:ascii="Times New Roman" w:eastAsia="Times New Roman" w:hAnsi="Times New Roman" w:cs="Times New Roman"/>
          <w:color w:val="000000"/>
          <w:sz w:val="24"/>
          <w:szCs w:val="24"/>
          <w:vertAlign w:val="subscript"/>
        </w:rPr>
        <w:t>K</w:t>
      </w:r>
      <w:proofErr w:type="spellEnd"/>
      <w:r>
        <w:rPr>
          <w:rFonts w:ascii="Times New Roman" w:eastAsia="Times New Roman" w:hAnsi="Times New Roman" w:cs="Times New Roman"/>
          <w:color w:val="000000"/>
          <w:sz w:val="24"/>
          <w:szCs w:val="24"/>
        </w:rPr>
        <w:t xml:space="preserve"> ​ is the kinetic limiting current density, </w:t>
      </w:r>
      <w:proofErr w:type="spellStart"/>
      <w:r>
        <w:rPr>
          <w:rFonts w:ascii="Times New Roman" w:eastAsia="Times New Roman" w:hAnsi="Times New Roman" w:cs="Times New Roman"/>
          <w:color w:val="000000"/>
          <w:sz w:val="24"/>
          <w:szCs w:val="24"/>
        </w:rPr>
        <w:t>j</w:t>
      </w:r>
      <w:r>
        <w:rPr>
          <w:rFonts w:ascii="Times New Roman" w:eastAsia="Times New Roman" w:hAnsi="Times New Roman" w:cs="Times New Roman"/>
          <w:color w:val="000000"/>
          <w:sz w:val="24"/>
          <w:szCs w:val="24"/>
          <w:vertAlign w:val="subscript"/>
        </w:rPr>
        <w:t>L</w:t>
      </w:r>
      <w:proofErr w:type="spellEnd"/>
      <w:r>
        <w:rPr>
          <w:rFonts w:ascii="Times New Roman" w:eastAsia="Times New Roman" w:hAnsi="Times New Roman" w:cs="Times New Roman"/>
          <w:color w:val="000000"/>
          <w:sz w:val="24"/>
          <w:szCs w:val="24"/>
        </w:rPr>
        <w:t xml:space="preserve"> is the mass transport limiting current density, B is the </w:t>
      </w:r>
      <w:proofErr w:type="spellStart"/>
      <w:r>
        <w:rPr>
          <w:rFonts w:ascii="Times New Roman" w:eastAsia="Times New Roman" w:hAnsi="Times New Roman" w:cs="Times New Roman"/>
          <w:color w:val="000000"/>
          <w:sz w:val="24"/>
          <w:szCs w:val="24"/>
        </w:rPr>
        <w:t>Koutecky-Levich</w:t>
      </w:r>
      <w:proofErr w:type="spellEnd"/>
      <w:r>
        <w:rPr>
          <w:rFonts w:ascii="Times New Roman" w:eastAsia="Times New Roman" w:hAnsi="Times New Roman" w:cs="Times New Roman"/>
          <w:color w:val="000000"/>
          <w:sz w:val="24"/>
          <w:szCs w:val="24"/>
        </w:rPr>
        <w:t xml:space="preserve"> constant, ω is the angular velocity, and v is the kinematic viscosity of the electrolyte (</w:t>
      </w:r>
      <w:proofErr w:type="spellStart"/>
      <w:r>
        <w:rPr>
          <w:rFonts w:ascii="Times New Roman" w:eastAsia="Times New Roman" w:hAnsi="Times New Roman" w:cs="Times New Roman"/>
          <w:color w:val="000000"/>
          <w:sz w:val="24"/>
          <w:szCs w:val="24"/>
        </w:rPr>
        <w:t>Koutecky</w:t>
      </w:r>
      <w:proofErr w:type="spellEnd"/>
      <w:r>
        <w:rPr>
          <w:rFonts w:ascii="Times New Roman" w:eastAsia="Times New Roman" w:hAnsi="Times New Roman" w:cs="Times New Roman"/>
          <w:color w:val="000000"/>
          <w:sz w:val="24"/>
          <w:szCs w:val="24"/>
        </w:rPr>
        <w:t xml:space="preserve"> et. al). </w:t>
      </w:r>
    </w:p>
    <w:p w:rsidR="000B3F18" w:rsidRDefault="00D41AB9" w:rsidP="00D41AB9">
      <w:pPr>
        <w:spacing w:after="0" w:line="240" w:lineRule="auto"/>
        <w:ind w:left="851" w:right="55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further significant approach for ORR characterization is electrochemical impedance spectroscopy (EIS). EIS offers data on the charge-transfer resistance, surface capacitance, and ionic resistance of the cathode, all of which are directly connected to ORR kinetics. To extract the required parameters from the EIS data, an analogous circuit model may be used (Board et al.) [2]:</w:t>
      </w: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Pr="004E60E4" w:rsidRDefault="005E04DB" w:rsidP="004E60E4">
      <w:pPr>
        <w:ind w:left="851" w:right="559"/>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Z</m:t>
              </m:r>
            </m:e>
            <m:sub>
              <m:r>
                <w:rPr>
                  <w:rFonts w:ascii="Cambria Math" w:eastAsia="Cambria Math" w:hAnsi="Cambria Math" w:cs="Cambria Math"/>
                  <w:sz w:val="24"/>
                  <w:szCs w:val="24"/>
                </w:rPr>
                <m:t>eq</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R</m:t>
              </m:r>
            </m:e>
            <m:sub>
              <m:r>
                <w:rPr>
                  <w:rFonts w:ascii="Cambria Math" w:eastAsia="Cambria Math" w:hAnsi="Cambria Math" w:cs="Cambria Math"/>
                  <w:sz w:val="24"/>
                  <w:szCs w:val="24"/>
                </w:rPr>
                <m:t>ct</m:t>
              </m:r>
            </m:sub>
          </m:sSub>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1</m:t>
              </m:r>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σ</m:t>
                  </m:r>
                </m:e>
                <m:sub>
                  <m:r>
                    <w:rPr>
                      <w:rFonts w:ascii="Cambria Math" w:eastAsia="Cambria Math" w:hAnsi="Cambria Math" w:cs="Cambria Math"/>
                      <w:sz w:val="24"/>
                      <w:szCs w:val="24"/>
                    </w:rPr>
                    <m:t>C</m:t>
                  </m:r>
                </m:sub>
              </m:sSub>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ω</m:t>
                  </m:r>
                </m:e>
                <m:sup>
                  <m:r>
                    <w:rPr>
                      <w:rFonts w:ascii="Cambria Math" w:eastAsia="Cambria Math" w:hAnsi="Cambria Math" w:cs="Cambria Math"/>
                      <w:sz w:val="24"/>
                      <w:szCs w:val="24"/>
                    </w:rPr>
                    <m:t>N</m:t>
                  </m:r>
                </m:sup>
              </m:sSup>
              <m:r>
                <w:rPr>
                  <w:rFonts w:ascii="Cambria Math" w:eastAsia="Cambria Math" w:hAnsi="Cambria Math" w:cs="Cambria Math"/>
                  <w:sz w:val="24"/>
                  <w:szCs w:val="24"/>
                </w:rPr>
                <m:t>C</m:t>
              </m:r>
            </m:den>
          </m:f>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1</m:t>
              </m:r>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σ</m:t>
                  </m:r>
                </m:e>
                <m:sub>
                  <m:r>
                    <w:rPr>
                      <w:rFonts w:ascii="Cambria Math" w:eastAsia="Cambria Math" w:hAnsi="Cambria Math" w:cs="Cambria Math"/>
                      <w:sz w:val="24"/>
                      <w:szCs w:val="24"/>
                    </w:rPr>
                    <m:t>L</m:t>
                  </m:r>
                </m:sub>
              </m:sSub>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ω</m:t>
                  </m:r>
                </m:e>
                <m:sup>
                  <m:r>
                    <w:rPr>
                      <w:rFonts w:ascii="Cambria Math" w:eastAsia="Cambria Math" w:hAnsi="Cambria Math" w:cs="Cambria Math"/>
                      <w:sz w:val="24"/>
                      <w:szCs w:val="24"/>
                    </w:rPr>
                    <m:t>N</m:t>
                  </m:r>
                </m:sup>
              </m:sSup>
              <m:r>
                <w:rPr>
                  <w:rFonts w:ascii="Cambria Math" w:eastAsia="Cambria Math" w:hAnsi="Cambria Math" w:cs="Cambria Math"/>
                  <w:sz w:val="24"/>
                  <w:szCs w:val="24"/>
                </w:rPr>
                <m:t>C</m:t>
              </m:r>
            </m:den>
          </m:f>
        </m:oMath>
      </m:oMathPara>
    </w:p>
    <w:p w:rsidR="000B3F18" w:rsidRDefault="00D41AB9" w:rsidP="00D41AB9">
      <w:pPr>
        <w:spacing w:after="0" w:line="240" w:lineRule="auto"/>
        <w:ind w:left="851" w:right="55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rsidR="000B3F18" w:rsidRDefault="00D41AB9" w:rsidP="00D41AB9">
      <w:pPr>
        <w:spacing w:after="0" w:line="360" w:lineRule="auto"/>
        <w:ind w:left="851" w:right="55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Z</m:t>
            </m:r>
          </m:e>
          <m:sub>
            <m:r>
              <w:rPr>
                <w:rFonts w:ascii="Cambria Math" w:eastAsia="Cambria Math" w:hAnsi="Cambria Math" w:cs="Cambria Math"/>
                <w:sz w:val="24"/>
                <w:szCs w:val="24"/>
              </w:rPr>
              <m:t>eq</m:t>
            </m:r>
          </m:sub>
        </m:sSub>
      </m:oMath>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the inpedance </w:t>
      </w:r>
    </w:p>
    <w:p w:rsidR="000B3F18" w:rsidRDefault="00D41AB9" w:rsidP="00D41AB9">
      <w:pPr>
        <w:spacing w:after="0" w:line="360" w:lineRule="auto"/>
        <w:ind w:left="851" w:right="55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R</m:t>
            </m:r>
          </m:e>
          <m:sub>
            <m:r>
              <w:rPr>
                <w:rFonts w:ascii="Cambria Math" w:eastAsia="Cambria Math" w:hAnsi="Cambria Math" w:cs="Cambria Math"/>
                <w:sz w:val="24"/>
                <w:szCs w:val="24"/>
              </w:rPr>
              <m:t>ct</m:t>
            </m:r>
          </m:sub>
        </m:sSub>
      </m:oMath>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the charge transfer resistance</w:t>
      </w:r>
    </w:p>
    <w:p w:rsidR="000B3F18" w:rsidRDefault="005E04DB" w:rsidP="00D41AB9">
      <w:pPr>
        <w:spacing w:after="0" w:line="360" w:lineRule="auto"/>
        <w:ind w:left="851" w:right="559"/>
        <w:jc w:val="both"/>
        <w:rPr>
          <w:rFonts w:ascii="Times New Roman" w:eastAsia="Times New Roman" w:hAnsi="Times New Roman" w:cs="Times New Roman"/>
          <w:sz w:val="24"/>
          <w:szCs w:val="24"/>
        </w:rPr>
      </w:pPr>
      <m:oMath>
        <m:sSub>
          <m:sSubPr>
            <m:ctrlPr>
              <w:rPr>
                <w:rFonts w:ascii="Cambria Math" w:eastAsia="Cambria Math" w:hAnsi="Cambria Math" w:cs="Cambria Math"/>
                <w:sz w:val="24"/>
                <w:szCs w:val="24"/>
              </w:rPr>
            </m:ctrlPr>
          </m:sSubPr>
          <m:e>
            <m:r>
              <w:rPr>
                <w:rFonts w:ascii="Cambria Math" w:hAnsi="Cambria Math"/>
              </w:rPr>
              <m:t>σ</m:t>
            </m:r>
          </m:e>
          <m:sub>
            <m:r>
              <w:rPr>
                <w:rFonts w:ascii="Cambria Math" w:eastAsia="Cambria Math" w:hAnsi="Cambria Math" w:cs="Cambria Math"/>
                <w:sz w:val="24"/>
                <w:szCs w:val="24"/>
              </w:rPr>
              <m:t>C</m:t>
            </m:r>
          </m:sub>
        </m:sSub>
      </m:oMath>
      <w:r w:rsidR="00D41AB9">
        <w:rPr>
          <w:rFonts w:ascii="Times New Roman" w:eastAsia="Times New Roman" w:hAnsi="Times New Roman" w:cs="Times New Roman"/>
          <w:sz w:val="24"/>
          <w:szCs w:val="24"/>
        </w:rPr>
        <w:t xml:space="preserve"> </w:t>
      </w:r>
      <w:proofErr w:type="gramStart"/>
      <w:r w:rsidR="00D41AB9">
        <w:rPr>
          <w:rFonts w:ascii="Times New Roman" w:eastAsia="Times New Roman" w:hAnsi="Times New Roman" w:cs="Times New Roman"/>
          <w:sz w:val="24"/>
          <w:szCs w:val="24"/>
        </w:rPr>
        <w:t>and</w:t>
      </w:r>
      <w:proofErr w:type="gramEnd"/>
      <w:r w:rsidR="00D41AB9">
        <w:rPr>
          <w:rFonts w:ascii="Times New Roman" w:eastAsia="Times New Roman" w:hAnsi="Times New Roman" w:cs="Times New Roman"/>
          <w:sz w:val="24"/>
          <w:szCs w:val="24"/>
        </w:rPr>
        <w:t xml:space="preserve"> </w:t>
      </w:r>
      <m:oMath>
        <m:sSub>
          <m:sSubPr>
            <m:ctrlPr>
              <w:rPr>
                <w:rFonts w:ascii="Cambria Math" w:eastAsia="Cambria Math" w:hAnsi="Cambria Math" w:cs="Cambria Math"/>
                <w:sz w:val="24"/>
                <w:szCs w:val="24"/>
              </w:rPr>
            </m:ctrlPr>
          </m:sSubPr>
          <m:e>
            <m:r>
              <w:rPr>
                <w:rFonts w:ascii="Cambria Math" w:hAnsi="Cambria Math"/>
              </w:rPr>
              <m:t>σ</m:t>
            </m:r>
          </m:e>
          <m:sub>
            <m:r>
              <w:rPr>
                <w:rFonts w:ascii="Cambria Math" w:eastAsia="Cambria Math" w:hAnsi="Cambria Math" w:cs="Cambria Math"/>
                <w:sz w:val="24"/>
                <w:szCs w:val="24"/>
              </w:rPr>
              <m:t>L</m:t>
            </m:r>
          </m:sub>
        </m:sSub>
      </m:oMath>
      <w:r w:rsidR="00D41AB9">
        <w:rPr>
          <w:rFonts w:ascii="Times New Roman" w:eastAsia="Times New Roman" w:hAnsi="Times New Roman" w:cs="Times New Roman"/>
          <w:sz w:val="24"/>
          <w:szCs w:val="24"/>
        </w:rPr>
        <w:t xml:space="preserve"> are the surface capacitance and ionic resistance, respectively, are the corresponding exponent values.</w:t>
      </w:r>
    </w:p>
    <w:p w:rsidR="000B3F18" w:rsidRDefault="00D41AB9" w:rsidP="00D41AB9">
      <w:pPr>
        <w:spacing w:after="0" w:line="240" w:lineRule="auto"/>
        <w:ind w:left="851" w:right="55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operando approaches are critical for acquiring insights into the ORR process under real-world operating conditions. In situ Raman spectroscopy, for example, identifies reaction intermediates and offers vital information on changes in the surface chemistry of the cathode material during ORR. In situ Raman spectroscopy may be used to track the development of surface species such as oxygen vacancies [3]. These species' existence and evolution are directly tied to ORR activity and may be associated with electrochemical measures.</w:t>
      </w: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D41AB9" w:rsidP="00D41AB9">
      <w:pPr>
        <w:spacing w:after="0" w:line="240" w:lineRule="auto"/>
        <w:ind w:left="851" w:right="55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Electrochemical characterization, in conjunction with modern analytical approaches, is a strong tool for understanding the reaction processes and kinetic parameters that regulate ORR catalysis in SOFC cathodes. The quantitative understanding gained from these experiments guides the development of efficient cathode materials and facilitates the design of improved SOFC systems with enhanced performance and durability (Chen et. al).</w:t>
      </w:r>
    </w:p>
    <w:p w:rsidR="000B3F18" w:rsidRDefault="000B3F18" w:rsidP="00D41AB9">
      <w:pPr>
        <w:spacing w:after="0" w:line="240" w:lineRule="auto"/>
        <w:ind w:left="851" w:right="559" w:firstLine="720"/>
        <w:jc w:val="both"/>
        <w:rPr>
          <w:rFonts w:ascii="Times New Roman" w:eastAsia="Times New Roman" w:hAnsi="Times New Roman" w:cs="Times New Roman"/>
          <w:color w:val="000000"/>
          <w:sz w:val="24"/>
          <w:szCs w:val="24"/>
        </w:rPr>
      </w:pPr>
    </w:p>
    <w:p w:rsidR="000B3F18" w:rsidRDefault="00D41AB9" w:rsidP="00D41AB9">
      <w:pPr>
        <w:spacing w:after="0" w:line="240" w:lineRule="auto"/>
        <w:ind w:left="851" w:right="55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Spectroscopy in situ and in operating for a mechanistic approach to oxygen redox reaction catalysis in solid oxide fuel cells</w:t>
      </w:r>
    </w:p>
    <w:p w:rsidR="000B3F18" w:rsidRDefault="000B3F18" w:rsidP="00D41AB9">
      <w:pPr>
        <w:spacing w:after="0" w:line="240" w:lineRule="auto"/>
        <w:ind w:left="851" w:right="559" w:firstLine="720"/>
        <w:jc w:val="both"/>
        <w:rPr>
          <w:rFonts w:ascii="Times New Roman" w:eastAsia="Times New Roman" w:hAnsi="Times New Roman" w:cs="Times New Roman"/>
          <w:color w:val="000000"/>
          <w:sz w:val="24"/>
          <w:szCs w:val="24"/>
        </w:rPr>
      </w:pPr>
    </w:p>
    <w:p w:rsidR="000B3F18" w:rsidRDefault="00D41AB9" w:rsidP="00D41AB9">
      <w:pPr>
        <w:spacing w:after="0" w:line="240" w:lineRule="auto"/>
        <w:ind w:left="851" w:right="55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situ and operando spectroscopic methods have developed as strong tools in the mechanistic approach to researching the catalysis of the oxygen redox reaction ORR in solid oxide fuel cells (SOFCs) in recent years. These cutting-edge spectroscopic approaches provide real-time and in-situ characterisation of the active species and intermediates engaged in the ORR process, revealing vital insights into the underlying processes. Researchers may get a full knowledge of the complicated chemical pathways by integrating experimental data with theoretical models, which is necessary for the rational design of efficient and durable cathode materials in SOFCs.</w:t>
      </w:r>
    </w:p>
    <w:p w:rsidR="004E60E4" w:rsidRDefault="004E60E4" w:rsidP="00D41AB9">
      <w:pPr>
        <w:spacing w:after="0" w:line="240" w:lineRule="auto"/>
        <w:ind w:left="851" w:right="559" w:firstLine="720"/>
        <w:jc w:val="both"/>
        <w:rPr>
          <w:rFonts w:ascii="Times New Roman" w:eastAsia="Times New Roman" w:hAnsi="Times New Roman" w:cs="Times New Roman"/>
          <w:color w:val="000000"/>
          <w:sz w:val="24"/>
          <w:szCs w:val="24"/>
        </w:rPr>
      </w:pPr>
      <w:r w:rsidRPr="004E60E4">
        <w:rPr>
          <w:rFonts w:ascii="Times New Roman" w:eastAsia="Times New Roman" w:hAnsi="Times New Roman" w:cs="Times New Roman"/>
          <w:color w:val="000000"/>
          <w:sz w:val="24"/>
          <w:szCs w:val="24"/>
        </w:rPr>
        <w:t>EIS (Electrical Impedance Spectroscopy) is a prominent in-situ approach for studying ORR catalysis. EIS may be used to determine the electrochemical impedance of the cathode under various operating conditions. The impedance spectra may be fitted using appropriate equivalent circuit models to derive kinetic features such as charge transfer resistance and diffusion rates of reactants and products at the electrode-electrolyte interface (Smith et al., 2018). The examination of impedance data can provide important information about the rate-limiting phases and reaction kinetics during the ORR. X-ray Absorption Spectroscopy (XAS) is another effective in situ spectroscopic method for studying the electrical and structural properties of the catalytic sites during the ORR. By tracking changes in X-ray absorption near-edge structure (XANES) and extended X-ray absorption fine structure (EXAFS) during the electrochemical cycling, researchers can identify reaction intermediates and gain insights into the redox processes at the atomic level (Molina et al.).</w:t>
      </w:r>
    </w:p>
    <w:p w:rsidR="000B3F18" w:rsidRDefault="00D41AB9" w:rsidP="00D41AB9">
      <w:pPr>
        <w:spacing w:after="0" w:line="240" w:lineRule="auto"/>
        <w:ind w:left="851" w:right="55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situ Raman Spectroscopy has grown in popularity for studying the vibrational characteristics of the electrode surface during ORR. This methodology provides a non-destructive and chemically selective method for monitoring reaction intermediate production and identifying surface species participating in the catalytic process (Hansen et al., 2019). Researchers can derive changes in molecular structures and comprehend the complexity of the ORR process by analysing Raman shifts and intensities of certain bands.</w:t>
      </w:r>
    </w:p>
    <w:p w:rsidR="000B3F18" w:rsidRDefault="000B3F18" w:rsidP="00D41AB9">
      <w:pPr>
        <w:spacing w:after="0" w:line="240" w:lineRule="auto"/>
        <w:ind w:left="851" w:right="559" w:firstLine="720"/>
        <w:jc w:val="both"/>
        <w:rPr>
          <w:rFonts w:ascii="Times New Roman" w:eastAsia="Times New Roman" w:hAnsi="Times New Roman" w:cs="Times New Roman"/>
          <w:color w:val="000000"/>
          <w:sz w:val="24"/>
          <w:szCs w:val="24"/>
        </w:rPr>
      </w:pPr>
    </w:p>
    <w:p w:rsidR="000B3F18" w:rsidRDefault="00D41AB9" w:rsidP="004E60E4">
      <w:pPr>
        <w:spacing w:after="0" w:line="240" w:lineRule="auto"/>
        <w:ind w:left="851" w:right="55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Calculations based on Density Functional Theory (DFT) are critical in supplementing actual results gained by in situ and operando spectroscopy. DFT simulations give a theoretical foundation for interpreting experimental data, revealing information about reaction intermediates, reaction energetics, and surface reactivity. By employing DFT, researchers can calculate reaction barriers and explore different reaction pathways, thus aiding in the understanding of the ORR mechanisms on a molecular scale (Zhang et al., 2017).</w:t>
      </w:r>
    </w:p>
    <w:p w:rsidR="000B3F18" w:rsidRDefault="00D41AB9" w:rsidP="00D41AB9">
      <w:pPr>
        <w:spacing w:after="0" w:line="240" w:lineRule="auto"/>
        <w:ind w:left="851" w:right="55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addition to experimental and theoretical research, numerical simulations and kinetic modelling are used to integrate the vast amounts of data provided by in situ and operando spectroscopy. These simulations aid in the refinement of mechanistic models, the validation of suggested reaction pathways, and the prediction of the behaviour of novel cathode materials under varying operating circumstances.</w:t>
      </w:r>
    </w:p>
    <w:p w:rsidR="000B3F18" w:rsidRDefault="00D41AB9" w:rsidP="00D41AB9">
      <w:pPr>
        <w:spacing w:after="0" w:line="240" w:lineRule="auto"/>
        <w:ind w:left="851" w:right="55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Surface Science Investigations are critical in the Mechanistic Approach for Oxygen Redox Reaction Catalysis in Solid Oxide Fuel Cells (SOFCs). These investigations focus on the atomic and molecular interactions between cathode materials and reactive species, offering critical insights into the surface reactivity and stability of the catalytic sites.</w:t>
      </w:r>
    </w:p>
    <w:p w:rsidR="000B3F18" w:rsidRDefault="000B3F18" w:rsidP="00D41AB9">
      <w:pPr>
        <w:spacing w:after="0" w:line="240" w:lineRule="auto"/>
        <w:ind w:left="851" w:right="559" w:firstLine="720"/>
        <w:jc w:val="both"/>
        <w:rPr>
          <w:rFonts w:ascii="Times New Roman" w:eastAsia="Times New Roman" w:hAnsi="Times New Roman" w:cs="Times New Roman"/>
          <w:color w:val="000000"/>
          <w:sz w:val="24"/>
          <w:szCs w:val="24"/>
        </w:rPr>
      </w:pPr>
    </w:p>
    <w:p w:rsidR="004E60E4" w:rsidRPr="004E60E4" w:rsidRDefault="004E60E4" w:rsidP="004E60E4">
      <w:pPr>
        <w:spacing w:after="0" w:line="240" w:lineRule="auto"/>
        <w:ind w:left="851" w:right="559" w:firstLine="720"/>
        <w:jc w:val="both"/>
        <w:rPr>
          <w:rFonts w:ascii="Times New Roman" w:eastAsia="Times New Roman" w:hAnsi="Times New Roman" w:cs="Times New Roman"/>
          <w:color w:val="000000"/>
          <w:sz w:val="24"/>
          <w:szCs w:val="24"/>
        </w:rPr>
      </w:pPr>
      <w:r w:rsidRPr="004E60E4">
        <w:rPr>
          <w:rFonts w:ascii="Times New Roman" w:eastAsia="Times New Roman" w:hAnsi="Times New Roman" w:cs="Times New Roman"/>
          <w:color w:val="000000"/>
          <w:sz w:val="24"/>
          <w:szCs w:val="24"/>
        </w:rPr>
        <w:t>Scanning Tunnelling Microscopy (STM) is a crucial technology utilized in Surface Science Studies for ORR catalysis. STM allows researchers to observe the atomic-scale structure of the cathode surface and provides valuable information on atom and adsorbent arrangement. Rasmussen et al. (et al. citation) found the formation of surface oxygen vacancies during the ORR utilizing STM imaging, which is recognized to be an important technique.</w:t>
      </w:r>
    </w:p>
    <w:p w:rsidR="004E60E4" w:rsidRPr="004E60E4" w:rsidRDefault="004E60E4" w:rsidP="004E60E4">
      <w:pPr>
        <w:spacing w:after="0" w:line="240" w:lineRule="auto"/>
        <w:ind w:left="851" w:right="559" w:firstLine="720"/>
        <w:jc w:val="both"/>
        <w:rPr>
          <w:rFonts w:ascii="Times New Roman" w:eastAsia="Times New Roman" w:hAnsi="Times New Roman" w:cs="Times New Roman"/>
          <w:color w:val="000000"/>
          <w:sz w:val="24"/>
          <w:szCs w:val="24"/>
        </w:rPr>
      </w:pPr>
    </w:p>
    <w:p w:rsidR="004E60E4" w:rsidRPr="004E60E4" w:rsidRDefault="004E60E4" w:rsidP="004E60E4">
      <w:pPr>
        <w:spacing w:after="0" w:line="240" w:lineRule="auto"/>
        <w:ind w:left="851" w:right="559" w:firstLine="720"/>
        <w:jc w:val="both"/>
        <w:rPr>
          <w:rFonts w:ascii="Times New Roman" w:eastAsia="Times New Roman" w:hAnsi="Times New Roman" w:cs="Times New Roman"/>
          <w:color w:val="000000"/>
          <w:sz w:val="24"/>
          <w:szCs w:val="24"/>
        </w:rPr>
      </w:pPr>
      <w:r w:rsidRPr="004E60E4">
        <w:rPr>
          <w:rFonts w:ascii="Times New Roman" w:eastAsia="Times New Roman" w:hAnsi="Times New Roman" w:cs="Times New Roman"/>
          <w:color w:val="000000"/>
          <w:sz w:val="24"/>
          <w:szCs w:val="24"/>
        </w:rPr>
        <w:t>X-ray Photoelectron Spectroscopy (XPS) is another powerful technique employed in this study. XPS may be used to identify and quantify the chemical species present on the cathode surface. For example, Li et al. (et al. reference) employed XPS to detect the presence of oxygen species in different oxidation states during the ORR, giving information on the redox processes involved.</w:t>
      </w:r>
    </w:p>
    <w:p w:rsidR="000B3F18" w:rsidRDefault="00D41AB9" w:rsidP="00D41AB9">
      <w:pPr>
        <w:spacing w:after="0" w:line="240" w:lineRule="auto"/>
        <w:ind w:left="851" w:right="55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Surface Science Studies for ORR in SOFCs also make extensive use of in situ and operando X-ray Absorption Spectroscopy (XAS). During the reaction, XAS gives information regarding the electronic structure and coordination environment of the catalytic sites. The research of Zhang et al. (et al. reference) revealed that variations in the cathode material's XAS spectra during the ORR are indicative of oxygen vacancy creation and oxygen activation processes.</w:t>
      </w:r>
    </w:p>
    <w:p w:rsidR="000B3F18" w:rsidRDefault="004E60E4" w:rsidP="00D41AB9">
      <w:pPr>
        <w:spacing w:after="0" w:line="240" w:lineRule="auto"/>
        <w:ind w:left="851" w:right="559" w:firstLine="720"/>
        <w:jc w:val="both"/>
        <w:rPr>
          <w:rFonts w:ascii="Times New Roman" w:eastAsia="Times New Roman" w:hAnsi="Times New Roman" w:cs="Times New Roman"/>
          <w:color w:val="000000"/>
          <w:sz w:val="24"/>
          <w:szCs w:val="24"/>
        </w:rPr>
      </w:pPr>
      <w:r w:rsidRPr="004E60E4">
        <w:rPr>
          <w:rFonts w:ascii="Times New Roman" w:eastAsia="Times New Roman" w:hAnsi="Times New Roman" w:cs="Times New Roman"/>
          <w:color w:val="000000"/>
          <w:sz w:val="24"/>
          <w:szCs w:val="24"/>
        </w:rPr>
        <w:t>Surface Science Studies can be enhanced by Density Functional Theory (DFT) simulations to acquire mechanistic insights. DFT simulations give a theoretical perspective by showing surface reaction energies and identifying reaction intermediates. Smith et al. (et al. reference) utilized DFT to investigate the adsorption energies of oxygen species on different cathode surfaces and proposed a reaction mechanism based on their computational findings. Researchers employed in situ Raman spectroscopy to explore the vibrational modes of adsorbed species during the ORR in Surface Science Studies. Chen et al. (et al. reference) identified superoxide species as important intermediates during the ORR using in situ Raman spectroscopy, demonstrating their importance</w:t>
      </w:r>
      <w:r>
        <w:rPr>
          <w:rFonts w:ascii="Times New Roman" w:eastAsia="Times New Roman" w:hAnsi="Times New Roman" w:cs="Times New Roman"/>
          <w:color w:val="000000"/>
          <w:sz w:val="24"/>
          <w:szCs w:val="24"/>
        </w:rPr>
        <w:t xml:space="preserve"> in the entire reaction process</w:t>
      </w:r>
      <w:r w:rsidR="00D41AB9">
        <w:rPr>
          <w:rFonts w:ascii="Times New Roman" w:eastAsia="Times New Roman" w:hAnsi="Times New Roman" w:cs="Times New Roman"/>
          <w:color w:val="000000"/>
          <w:sz w:val="24"/>
          <w:szCs w:val="24"/>
        </w:rPr>
        <w:t>. Surface Science Studies give crucial information regarding the surface structure, reactivity, and intermediate species involved in the catalysis of the oxygen redox process at the cathode of SOFCs. The combination of experimental techniques such as STM, XPS, and XAS, as well as theoretical approaches such as DFT calculations, provides a full knowledge of surface processes, allowing for the rational design and optimisation of cathode materials for increased ORR activity and stability in a variety of applications.</w:t>
      </w:r>
    </w:p>
    <w:p w:rsidR="000B3F18" w:rsidRDefault="004E60E4" w:rsidP="00D41AB9">
      <w:pPr>
        <w:spacing w:after="0" w:line="240" w:lineRule="auto"/>
        <w:ind w:left="851" w:right="559" w:firstLine="720"/>
        <w:jc w:val="both"/>
        <w:rPr>
          <w:rFonts w:ascii="Times New Roman" w:eastAsia="Times New Roman" w:hAnsi="Times New Roman" w:cs="Times New Roman"/>
          <w:color w:val="000000"/>
          <w:sz w:val="24"/>
          <w:szCs w:val="24"/>
        </w:rPr>
      </w:pPr>
      <w:r w:rsidRPr="004E60E4">
        <w:rPr>
          <w:rFonts w:ascii="Times New Roman" w:eastAsia="Times New Roman" w:hAnsi="Times New Roman" w:cs="Times New Roman"/>
          <w:color w:val="000000"/>
          <w:sz w:val="24"/>
          <w:szCs w:val="24"/>
        </w:rPr>
        <w:t xml:space="preserve">The material design and optimization process in the mechanistic technique for oxygen redox reaction catalysis in solid oxide fuel cells (SOFCs) includes altering the properties of cathode materials to increase their ORR activity and stability. This procedure is guided by the fundamental insights gained through a combination of experimental and computational techniques described in the preceding section. Electrochemistry for Characterization: Characterizing the electrochemical performance of potential cathode materials is a critical component of material design. Cyclic voltammetry is used to </w:t>
      </w:r>
      <w:proofErr w:type="spellStart"/>
      <w:r w:rsidRPr="004E60E4">
        <w:rPr>
          <w:rFonts w:ascii="Times New Roman" w:eastAsia="Times New Roman" w:hAnsi="Times New Roman" w:cs="Times New Roman"/>
          <w:color w:val="000000"/>
          <w:sz w:val="24"/>
          <w:szCs w:val="24"/>
        </w:rPr>
        <w:t>analyze</w:t>
      </w:r>
      <w:proofErr w:type="spellEnd"/>
      <w:r w:rsidRPr="004E60E4">
        <w:rPr>
          <w:rFonts w:ascii="Times New Roman" w:eastAsia="Times New Roman" w:hAnsi="Times New Roman" w:cs="Times New Roman"/>
          <w:color w:val="000000"/>
          <w:sz w:val="24"/>
          <w:szCs w:val="24"/>
        </w:rPr>
        <w:t xml:space="preserve"> the ORR's current-voltage </w:t>
      </w:r>
      <w:proofErr w:type="spellStart"/>
      <w:r w:rsidRPr="004E60E4">
        <w:rPr>
          <w:rFonts w:ascii="Times New Roman" w:eastAsia="Times New Roman" w:hAnsi="Times New Roman" w:cs="Times New Roman"/>
          <w:color w:val="000000"/>
          <w:sz w:val="24"/>
          <w:szCs w:val="24"/>
        </w:rPr>
        <w:t>behavior</w:t>
      </w:r>
      <w:proofErr w:type="spellEnd"/>
      <w:r w:rsidRPr="004E60E4">
        <w:rPr>
          <w:rFonts w:ascii="Times New Roman" w:eastAsia="Times New Roman" w:hAnsi="Times New Roman" w:cs="Times New Roman"/>
          <w:color w:val="000000"/>
          <w:sz w:val="24"/>
          <w:szCs w:val="24"/>
        </w:rPr>
        <w:t>, while impedance spectroscopy is used to investigate the resistance of the cathode-electrolyte interface. Butler-</w:t>
      </w:r>
      <w:proofErr w:type="spellStart"/>
      <w:r w:rsidRPr="004E60E4">
        <w:rPr>
          <w:rFonts w:ascii="Times New Roman" w:eastAsia="Times New Roman" w:hAnsi="Times New Roman" w:cs="Times New Roman"/>
          <w:color w:val="000000"/>
          <w:sz w:val="24"/>
          <w:szCs w:val="24"/>
        </w:rPr>
        <w:t>Volmer's</w:t>
      </w:r>
      <w:proofErr w:type="spellEnd"/>
      <w:r w:rsidRPr="004E60E4">
        <w:rPr>
          <w:rFonts w:ascii="Times New Roman" w:eastAsia="Times New Roman" w:hAnsi="Times New Roman" w:cs="Times New Roman"/>
          <w:color w:val="000000"/>
          <w:sz w:val="24"/>
          <w:szCs w:val="24"/>
        </w:rPr>
        <w:t xml:space="preserve"> equation can be found in:</w:t>
      </w:r>
    </w:p>
    <w:p w:rsidR="004E60E4" w:rsidRDefault="004E60E4" w:rsidP="00D41AB9">
      <w:pPr>
        <w:spacing w:after="0" w:line="240" w:lineRule="auto"/>
        <w:ind w:left="851" w:right="559" w:firstLine="720"/>
        <w:jc w:val="both"/>
        <w:rPr>
          <w:rFonts w:ascii="Times New Roman" w:eastAsia="Times New Roman" w:hAnsi="Times New Roman" w:cs="Times New Roman"/>
          <w:color w:val="000000"/>
          <w:sz w:val="24"/>
          <w:szCs w:val="24"/>
        </w:rPr>
      </w:pPr>
    </w:p>
    <w:p w:rsidR="000B3F18" w:rsidRDefault="00D41AB9" w:rsidP="00D41AB9">
      <w:pPr>
        <w:spacing w:after="0" w:line="240" w:lineRule="auto"/>
        <w:ind w:left="851" w:right="559" w:firstLine="720"/>
        <w:jc w:val="center"/>
        <w:rPr>
          <w:sz w:val="24"/>
          <w:szCs w:val="24"/>
        </w:rPr>
      </w:pPr>
      <m:oMath>
        <m:r>
          <w:rPr>
            <w:rFonts w:ascii="Cambria Math" w:eastAsia="Cambria Math" w:hAnsi="Cambria Math" w:cs="Cambria Math"/>
            <w:sz w:val="24"/>
            <w:szCs w:val="24"/>
          </w:rPr>
          <m:t>i-</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m:t>
            </m:r>
          </m:e>
          <m:sub>
            <m:r>
              <w:rPr>
                <w:rFonts w:ascii="Cambria Math" w:eastAsia="Cambria Math" w:hAnsi="Cambria Math" w:cs="Cambria Math"/>
                <w:sz w:val="24"/>
                <w:szCs w:val="24"/>
              </w:rPr>
              <m:t>0</m:t>
            </m:r>
          </m:sub>
        </m:sSub>
        <m:r>
          <w:rPr>
            <w:rFonts w:ascii="Cambria Math" w:eastAsia="Cambria Math" w:hAnsi="Cambria Math" w:cs="Cambria Math"/>
            <w:sz w:val="24"/>
            <w:szCs w:val="24"/>
          </w:rPr>
          <m:t>(exp(</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α</m:t>
            </m:r>
            <m:r>
              <w:rPr>
                <w:rFonts w:ascii="Cambria Math" w:eastAsia="Cambria Math" w:hAnsi="Cambria Math" w:cs="Cambria Math"/>
                <w:sz w:val="24"/>
                <w:szCs w:val="24"/>
                <w:shd w:val="clear" w:color="auto" w:fill="F7F7F8"/>
              </w:rPr>
              <m:t>.F.η</m:t>
            </m:r>
            <m:r>
              <w:rPr>
                <w:rFonts w:ascii="Quattrocento Sans" w:eastAsia="Quattrocento Sans" w:hAnsi="Quattrocento Sans" w:cs="Quattrocento Sans"/>
                <w:sz w:val="24"/>
                <w:szCs w:val="24"/>
                <w:shd w:val="clear" w:color="auto" w:fill="F7F7F8"/>
              </w:rPr>
              <m:t xml:space="preserve"> </m:t>
            </m:r>
          </m:num>
          <m:den>
            <m:r>
              <w:rPr>
                <w:rFonts w:ascii="Cambria Math" w:eastAsia="Cambria Math" w:hAnsi="Cambria Math" w:cs="Cambria Math"/>
                <w:sz w:val="24"/>
                <w:szCs w:val="24"/>
              </w:rPr>
              <m:t>RT</m:t>
            </m:r>
          </m:den>
        </m:f>
        <m:r>
          <w:rPr>
            <w:rFonts w:ascii="Cambria Math" w:eastAsia="Cambria Math" w:hAnsi="Cambria Math" w:cs="Cambria Math"/>
            <w:sz w:val="24"/>
            <w:szCs w:val="24"/>
          </w:rPr>
          <m:t>)-exp(</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-(1-α</m:t>
            </m:r>
            <m:r>
              <w:rPr>
                <w:rFonts w:ascii="Cambria Math" w:eastAsia="Cambria Math" w:hAnsi="Cambria Math" w:cs="Cambria Math"/>
                <w:sz w:val="24"/>
                <w:szCs w:val="24"/>
                <w:shd w:val="clear" w:color="auto" w:fill="F7F7F8"/>
              </w:rPr>
              <m:t>)F.η</m:t>
            </m:r>
            <m:r>
              <w:rPr>
                <w:rFonts w:ascii="Quattrocento Sans" w:eastAsia="Quattrocento Sans" w:hAnsi="Quattrocento Sans" w:cs="Quattrocento Sans"/>
                <w:sz w:val="24"/>
                <w:szCs w:val="24"/>
                <w:shd w:val="clear" w:color="auto" w:fill="F7F7F8"/>
              </w:rPr>
              <m:t xml:space="preserve"> </m:t>
            </m:r>
          </m:num>
          <m:den>
            <m:r>
              <w:rPr>
                <w:rFonts w:ascii="Cambria Math" w:eastAsia="Cambria Math" w:hAnsi="Cambria Math" w:cs="Cambria Math"/>
                <w:sz w:val="24"/>
                <w:szCs w:val="24"/>
              </w:rPr>
              <m:t>RT</m:t>
            </m:r>
          </m:den>
        </m:f>
      </m:oMath>
      <w:r>
        <w:rPr>
          <w:sz w:val="24"/>
          <w:szCs w:val="24"/>
        </w:rPr>
        <w:t>))</w:t>
      </w:r>
    </w:p>
    <w:p w:rsidR="000B3F18" w:rsidRDefault="000B3F18" w:rsidP="00D41AB9">
      <w:pPr>
        <w:spacing w:after="0" w:line="240" w:lineRule="auto"/>
        <w:ind w:left="851" w:right="559" w:firstLine="720"/>
        <w:jc w:val="center"/>
        <w:rPr>
          <w:sz w:val="24"/>
          <w:szCs w:val="24"/>
        </w:rPr>
      </w:pPr>
    </w:p>
    <w:p w:rsidR="004E60E4" w:rsidRDefault="004E60E4" w:rsidP="004E60E4">
      <w:pPr>
        <w:spacing w:after="0" w:line="240" w:lineRule="auto"/>
        <w:ind w:left="851" w:right="559" w:firstLine="589"/>
        <w:jc w:val="both"/>
        <w:rPr>
          <w:rFonts w:ascii="Times New Roman" w:eastAsia="Times New Roman" w:hAnsi="Times New Roman" w:cs="Times New Roman"/>
          <w:sz w:val="24"/>
          <w:szCs w:val="24"/>
        </w:rPr>
      </w:pPr>
      <w:r w:rsidRPr="004E60E4">
        <w:rPr>
          <w:rFonts w:ascii="Times New Roman" w:eastAsia="Times New Roman" w:hAnsi="Times New Roman" w:cs="Times New Roman"/>
          <w:sz w:val="24"/>
          <w:szCs w:val="24"/>
        </w:rPr>
        <w:t xml:space="preserve">In Situ and Operando Spectroscopy: Advanced spectroscopy approaches are utilized during the ORR to give insights into the electronic structure and chemical environment of the catalytic sites. The oxidation state and coordination environment of active sites may be assessed using X-ray absorption spectroscopy (Yang et al.). For example, in situ XAS was used to </w:t>
      </w:r>
      <w:proofErr w:type="spellStart"/>
      <w:r w:rsidRPr="004E60E4">
        <w:rPr>
          <w:rFonts w:ascii="Times New Roman" w:eastAsia="Times New Roman" w:hAnsi="Times New Roman" w:cs="Times New Roman"/>
          <w:sz w:val="24"/>
          <w:szCs w:val="24"/>
        </w:rPr>
        <w:t>analyze</w:t>
      </w:r>
      <w:proofErr w:type="spellEnd"/>
      <w:r w:rsidRPr="004E60E4">
        <w:rPr>
          <w:rFonts w:ascii="Times New Roman" w:eastAsia="Times New Roman" w:hAnsi="Times New Roman" w:cs="Times New Roman"/>
          <w:sz w:val="24"/>
          <w:szCs w:val="24"/>
        </w:rPr>
        <w:t xml:space="preserve"> changes in the oxygen coordination environment of a </w:t>
      </w:r>
      <w:proofErr w:type="spellStart"/>
      <w:r w:rsidRPr="004E60E4">
        <w:rPr>
          <w:rFonts w:ascii="Times New Roman" w:eastAsia="Times New Roman" w:hAnsi="Times New Roman" w:cs="Times New Roman"/>
          <w:sz w:val="24"/>
          <w:szCs w:val="24"/>
        </w:rPr>
        <w:t>perovskite</w:t>
      </w:r>
      <w:proofErr w:type="spellEnd"/>
      <w:r w:rsidRPr="004E60E4">
        <w:rPr>
          <w:rFonts w:ascii="Times New Roman" w:eastAsia="Times New Roman" w:hAnsi="Times New Roman" w:cs="Times New Roman"/>
          <w:sz w:val="24"/>
          <w:szCs w:val="24"/>
        </w:rPr>
        <w:t xml:space="preserve"> cathode during the ORR. The information acquired aids in understanding the evolution of active locations and may be utilized to impact material design processes.</w:t>
      </w:r>
    </w:p>
    <w:p w:rsidR="000B3F18" w:rsidRDefault="004E60E4" w:rsidP="004E60E4">
      <w:pPr>
        <w:spacing w:after="0" w:line="240" w:lineRule="auto"/>
        <w:ind w:left="851" w:right="559" w:firstLine="589"/>
        <w:jc w:val="both"/>
        <w:rPr>
          <w:rFonts w:ascii="Times New Roman" w:eastAsia="Times New Roman" w:hAnsi="Times New Roman" w:cs="Times New Roman"/>
          <w:color w:val="000000"/>
          <w:sz w:val="24"/>
          <w:szCs w:val="24"/>
        </w:rPr>
      </w:pPr>
      <w:r w:rsidRPr="004E60E4">
        <w:rPr>
          <w:rFonts w:ascii="Times New Roman" w:eastAsia="Times New Roman" w:hAnsi="Times New Roman" w:cs="Times New Roman"/>
          <w:color w:val="000000"/>
          <w:sz w:val="24"/>
          <w:szCs w:val="24"/>
        </w:rPr>
        <w:t>Calculations using Density Functional Theory (DFT) are necessary to investigate the ORR's atomic-scale processes. Researchers utilize DFT to explore the adsorption energies of chemical intermediates like</w:t>
      </w:r>
      <m:oMath>
        <m:r>
          <w:rPr>
            <w:rFonts w:ascii="Cambria Math" w:eastAsia="Times New Roman" w:hAnsi="Cambria Math" w:cs="Times New Roman"/>
            <w:color w:val="000000"/>
            <w:sz w:val="24"/>
            <w:szCs w:val="24"/>
          </w:rPr>
          <m:t xml:space="preserve"> </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O</m:t>
            </m:r>
          </m:e>
          <m:sub>
            <m:r>
              <w:rPr>
                <w:rFonts w:ascii="Cambria Math" w:eastAsia="Times New Roman" w:hAnsi="Cambria Math" w:cs="Times New Roman"/>
                <w:color w:val="000000"/>
                <w:sz w:val="24"/>
                <w:szCs w:val="24"/>
              </w:rPr>
              <m:t>2</m:t>
            </m:r>
          </m:sub>
        </m:sSub>
      </m:oMath>
      <w:r w:rsidRPr="004E60E4">
        <w:rPr>
          <w:rFonts w:ascii="Times New Roman" w:eastAsia="Times New Roman" w:hAnsi="Times New Roman" w:cs="Times New Roman"/>
          <w:color w:val="000000"/>
          <w:sz w:val="24"/>
          <w:szCs w:val="24"/>
        </w:rPr>
        <w:t xml:space="preserve"> on various cathode surfaces. The ORR reaction barriers and activation energies are then calculated using these adsorption energies. DFT simulations can provide mechanistic insights into the ORR on doped </w:t>
      </w:r>
      <w:proofErr w:type="spellStart"/>
      <w:r w:rsidRPr="004E60E4">
        <w:rPr>
          <w:rFonts w:ascii="Times New Roman" w:eastAsia="Times New Roman" w:hAnsi="Times New Roman" w:cs="Times New Roman"/>
          <w:color w:val="000000"/>
          <w:sz w:val="24"/>
          <w:szCs w:val="24"/>
        </w:rPr>
        <w:t>perovskite</w:t>
      </w:r>
      <w:proofErr w:type="spellEnd"/>
      <w:r w:rsidRPr="004E60E4">
        <w:rPr>
          <w:rFonts w:ascii="Times New Roman" w:eastAsia="Times New Roman" w:hAnsi="Times New Roman" w:cs="Times New Roman"/>
          <w:color w:val="000000"/>
          <w:sz w:val="24"/>
          <w:szCs w:val="24"/>
        </w:rPr>
        <w:t xml:space="preserve"> cathodes, as demonstrated by Li et al. DFT knowledge assists in the identification of crucial components influencing ORR performance as well as the rational design of innovative cathode materials.</w:t>
      </w:r>
    </w:p>
    <w:p w:rsidR="004E60E4" w:rsidRDefault="004E60E4" w:rsidP="00D41AB9">
      <w:pPr>
        <w:spacing w:after="0" w:line="240" w:lineRule="auto"/>
        <w:ind w:left="851" w:right="559"/>
        <w:jc w:val="both"/>
        <w:rPr>
          <w:rFonts w:ascii="Times New Roman" w:eastAsia="Times New Roman" w:hAnsi="Times New Roman" w:cs="Times New Roman"/>
          <w:b/>
          <w:color w:val="000000"/>
          <w:sz w:val="24"/>
          <w:szCs w:val="24"/>
        </w:rPr>
      </w:pPr>
    </w:p>
    <w:p w:rsidR="000B3F18" w:rsidRDefault="00D41AB9" w:rsidP="00D41AB9">
      <w:pPr>
        <w:spacing w:after="0" w:line="240" w:lineRule="auto"/>
        <w:ind w:left="851" w:right="55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5.1 Surface Science Investigations:</w:t>
      </w:r>
      <w:r>
        <w:rPr>
          <w:rFonts w:ascii="Times New Roman" w:eastAsia="Times New Roman" w:hAnsi="Times New Roman" w:cs="Times New Roman"/>
          <w:color w:val="000000"/>
          <w:sz w:val="24"/>
          <w:szCs w:val="24"/>
        </w:rPr>
        <w:t xml:space="preserve"> </w:t>
      </w:r>
    </w:p>
    <w:p w:rsidR="000B3F18" w:rsidRDefault="004E60E4" w:rsidP="004E60E4">
      <w:pPr>
        <w:spacing w:after="0" w:line="240" w:lineRule="auto"/>
        <w:ind w:left="851" w:right="559" w:firstLine="589"/>
        <w:jc w:val="both"/>
        <w:rPr>
          <w:rFonts w:ascii="Times New Roman" w:eastAsia="Times New Roman" w:hAnsi="Times New Roman" w:cs="Times New Roman"/>
          <w:color w:val="000000"/>
          <w:sz w:val="24"/>
          <w:szCs w:val="24"/>
        </w:rPr>
      </w:pPr>
      <w:r w:rsidRPr="004E60E4">
        <w:rPr>
          <w:rFonts w:ascii="Times New Roman" w:eastAsia="Times New Roman" w:hAnsi="Times New Roman" w:cs="Times New Roman"/>
          <w:color w:val="000000"/>
          <w:sz w:val="24"/>
          <w:szCs w:val="24"/>
        </w:rPr>
        <w:t xml:space="preserve">STM and X-ray photoelectron spectroscopy (XPS) are surface science methods that give crucial information on the surface structure and chemical condition of cathode materials (Liu et al.). The role of surface oxygen vacancies in boosting ORR activity on </w:t>
      </w:r>
      <w:proofErr w:type="spellStart"/>
      <w:r w:rsidRPr="004E60E4">
        <w:rPr>
          <w:rFonts w:ascii="Times New Roman" w:eastAsia="Times New Roman" w:hAnsi="Times New Roman" w:cs="Times New Roman"/>
          <w:color w:val="000000"/>
          <w:sz w:val="24"/>
          <w:szCs w:val="24"/>
        </w:rPr>
        <w:t>perovskite</w:t>
      </w:r>
      <w:proofErr w:type="spellEnd"/>
      <w:r w:rsidRPr="004E60E4">
        <w:rPr>
          <w:rFonts w:ascii="Times New Roman" w:eastAsia="Times New Roman" w:hAnsi="Times New Roman" w:cs="Times New Roman"/>
          <w:color w:val="000000"/>
          <w:sz w:val="24"/>
          <w:szCs w:val="24"/>
        </w:rPr>
        <w:t xml:space="preserve"> cathodes was shown by XPS analysis. These findings encourage the development of strategies for increasing catalytic activity by designing surface defects. The integration of these experimental and computational discoveries allows for a methodical material design and optimization procedure. Based on mechanistic information, researchers want to improve the oxygen redox reaction catalysis in solid oxide fuel cells by altering the cathode material's composition, structure, and surface properties. This would result in improved device performance and commercial viability.</w:t>
      </w:r>
    </w:p>
    <w:p w:rsidR="004E60E4" w:rsidRDefault="004E60E4" w:rsidP="004E60E4">
      <w:pPr>
        <w:spacing w:after="0" w:line="240" w:lineRule="auto"/>
        <w:ind w:left="851" w:right="559" w:firstLine="589"/>
        <w:jc w:val="both"/>
        <w:rPr>
          <w:rFonts w:ascii="Times New Roman" w:eastAsia="Times New Roman" w:hAnsi="Times New Roman" w:cs="Times New Roman"/>
          <w:color w:val="000000"/>
          <w:sz w:val="24"/>
          <w:szCs w:val="24"/>
        </w:rPr>
      </w:pPr>
    </w:p>
    <w:p w:rsidR="000B3F18" w:rsidRDefault="004E60E4" w:rsidP="00D41AB9">
      <w:pPr>
        <w:spacing w:after="0" w:line="240" w:lineRule="auto"/>
        <w:ind w:left="851" w:right="55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5.2 Density</w:t>
      </w:r>
      <w:r w:rsidR="00D41AB9">
        <w:rPr>
          <w:rFonts w:ascii="Times New Roman" w:eastAsia="Times New Roman" w:hAnsi="Times New Roman" w:cs="Times New Roman"/>
          <w:b/>
          <w:color w:val="000000"/>
          <w:sz w:val="24"/>
          <w:szCs w:val="24"/>
        </w:rPr>
        <w:t xml:space="preserve"> Functional Theory:</w:t>
      </w:r>
    </w:p>
    <w:p w:rsidR="000B3F18" w:rsidRDefault="00D41AB9" w:rsidP="00D41AB9">
      <w:pPr>
        <w:spacing w:after="0" w:line="240" w:lineRule="auto"/>
        <w:ind w:left="851" w:right="55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Density Functional Theory (DFT) computations are widely used in the mechanistic approach to understanding the oxygen redox reaction ORR catalysis in solid oxide fuel cells (SOFCs) (Smith et al.). DFT is a strong quantum mechanical tool that allows for the atomic-level examination of electronic structures, energetics, and reaction pathways, offering vital insights into the ORR process.</w:t>
      </w:r>
    </w:p>
    <w:p w:rsidR="000B3F18" w:rsidRDefault="00D41AB9" w:rsidP="00D41AB9">
      <w:pPr>
        <w:spacing w:after="0" w:line="240" w:lineRule="auto"/>
        <w:ind w:left="851" w:right="5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DFT calculations are critical in understanding the underlying reaction processes in the context of SOFC cathode materials. The dissociative adsorption of oxygen molecules (O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onto the surface of the cathode material is the first stage in the ORR at the cathode. The following equation (Jones et al.) may be used to calculate the adsorption energy of 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w:t>
      </w: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5E04DB" w:rsidP="00D41AB9">
      <w:pPr>
        <w:ind w:left="851" w:right="559"/>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ads</m:t>
              </m:r>
            </m:sub>
          </m:sSub>
          <m:r>
            <w:rPr>
              <w:rFonts w:ascii="Cambria Math" w:eastAsia="Cambria Math" w:hAnsi="Cambria Math" w:cs="Cambria Math"/>
              <w:color w:val="000000"/>
              <w:sz w:val="24"/>
              <w:szCs w:val="24"/>
            </w:rPr>
            <m:t>-E</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O</m:t>
              </m:r>
            </m:e>
            <m:sub>
              <m:r>
                <w:rPr>
                  <w:rFonts w:ascii="Cambria Math" w:eastAsia="Cambria Math" w:hAnsi="Cambria Math" w:cs="Cambria Math"/>
                  <w:color w:val="000000"/>
                  <w:sz w:val="24"/>
                  <w:szCs w:val="24"/>
                </w:rPr>
                <m:t>2+Surface</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O</m:t>
                  </m:r>
                </m:e>
                <m:sub>
                  <m:r>
                    <w:rPr>
                      <w:rFonts w:ascii="Cambria Math" w:eastAsia="Cambria Math" w:hAnsi="Cambria Math" w:cs="Cambria Math"/>
                      <w:color w:val="000000"/>
                      <w:sz w:val="24"/>
                      <w:szCs w:val="24"/>
                    </w:rPr>
                    <m:t>2</m:t>
                  </m:r>
                </m:sub>
              </m:sSub>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Surface</m:t>
              </m:r>
            </m:sub>
          </m:sSub>
        </m:oMath>
      </m:oMathPara>
    </w:p>
    <w:p w:rsidR="000B3F18" w:rsidRDefault="000B3F18" w:rsidP="00D41AB9">
      <w:pPr>
        <w:spacing w:after="0" w:line="240" w:lineRule="auto"/>
        <w:ind w:left="851" w:right="559"/>
        <w:jc w:val="both"/>
        <w:rPr>
          <w:color w:val="000000"/>
          <w:sz w:val="24"/>
          <w:szCs w:val="24"/>
        </w:rPr>
      </w:pPr>
    </w:p>
    <w:p w:rsidR="000B3F18" w:rsidRDefault="00D41AB9" w:rsidP="00D41AB9">
      <w:pPr>
        <w:spacing w:after="0" w:line="240" w:lineRule="auto"/>
        <w:ind w:left="851" w:right="55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DFT calculations can reveal the involvement of different catalytic sites in boosting ORR. Transition metal elements, such as nickel (Ni), cobalt (Co), and iron (Fe), for example, are frequently employed as active sites in cathode materials. The adsorption energy of chemical intermediates such as O*, OOH*, and OOHO, which are important in the ORR process, may be calculated using DFT. The ORR progresses through a succession of intermediary stages, and identifying important intermediates and their energies aids in understanding the reaction's overall dynamics. DFT can shed light on the ORR's reaction pathways. Different paths may be investigated, and activation barriers for each stage can be determined. This information is critical in establishing the rate-limiting factor.</w:t>
      </w:r>
    </w:p>
    <w:p w:rsidR="000B3F18" w:rsidRDefault="00D41AB9" w:rsidP="00D41AB9">
      <w:pPr>
        <w:spacing w:after="0" w:line="240" w:lineRule="auto"/>
        <w:ind w:left="851" w:right="55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DFT simulations can help researchers investigate the impact of dopants and imperfections on cathode material catalytic activity. </w:t>
      </w:r>
      <w:r w:rsidR="004E60E4">
        <w:rPr>
          <w:rFonts w:ascii="Times New Roman" w:eastAsia="Times New Roman" w:hAnsi="Times New Roman" w:cs="Times New Roman"/>
          <w:color w:val="000000"/>
          <w:sz w:val="24"/>
          <w:szCs w:val="24"/>
        </w:rPr>
        <w:t>Substitution</w:t>
      </w:r>
      <w:r>
        <w:rPr>
          <w:rFonts w:ascii="Times New Roman" w:eastAsia="Times New Roman" w:hAnsi="Times New Roman" w:cs="Times New Roman"/>
          <w:color w:val="000000"/>
          <w:sz w:val="24"/>
          <w:szCs w:val="24"/>
        </w:rPr>
        <w:t xml:space="preserve"> dopants can affect the ORR kinetics by changing the electronic structure and surface reactivity. Researchers can create materials with increased catalytic performance by estimating defect formation energies and examining their influence on the ORR. Combining DFT results with actual data from techniques like in situ spectroscopy and electrochemical measurements provides a thorough knowledge of the ORR process and its influence on SOFC performance. DFT mechanistic insights drive the rational design of new cathode materials, resulting in increased SOFC stability, activity, and overall performance (Chen et al.).</w:t>
      </w:r>
    </w:p>
    <w:p w:rsidR="000B3F18" w:rsidRDefault="000B3F18" w:rsidP="00657200">
      <w:pPr>
        <w:spacing w:after="0" w:line="240" w:lineRule="auto"/>
        <w:ind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firstLine="720"/>
        <w:jc w:val="both"/>
        <w:rPr>
          <w:rFonts w:ascii="Times New Roman" w:eastAsia="Times New Roman" w:hAnsi="Times New Roman" w:cs="Times New Roman"/>
          <w:color w:val="000000"/>
          <w:sz w:val="24"/>
          <w:szCs w:val="24"/>
        </w:rPr>
      </w:pPr>
    </w:p>
    <w:p w:rsidR="000B3F18" w:rsidRDefault="00D41AB9" w:rsidP="00D41AB9">
      <w:pPr>
        <w:numPr>
          <w:ilvl w:val="0"/>
          <w:numId w:val="2"/>
        </w:numPr>
        <w:spacing w:after="0" w:line="240" w:lineRule="auto"/>
        <w:ind w:left="851" w:right="55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Conclusion &amp; challenges with possible research direction:</w:t>
      </w: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4E60E4" w:rsidRDefault="00657200" w:rsidP="00D41AB9">
      <w:pPr>
        <w:spacing w:after="0" w:line="240" w:lineRule="auto"/>
        <w:ind w:left="851" w:right="559" w:firstLine="720"/>
        <w:jc w:val="both"/>
        <w:rPr>
          <w:rFonts w:ascii="Times New Roman" w:eastAsia="Times New Roman" w:hAnsi="Times New Roman" w:cs="Times New Roman"/>
          <w:color w:val="000000"/>
          <w:sz w:val="24"/>
          <w:szCs w:val="24"/>
        </w:rPr>
      </w:pPr>
      <w:r w:rsidRPr="00657200">
        <w:rPr>
          <w:rFonts w:ascii="Times New Roman" w:eastAsia="Times New Roman" w:hAnsi="Times New Roman" w:cs="Times New Roman"/>
          <w:color w:val="000000"/>
          <w:sz w:val="24"/>
          <w:szCs w:val="24"/>
        </w:rPr>
        <w:t xml:space="preserve">This review focused on </w:t>
      </w:r>
      <w:r w:rsidR="004E60E4" w:rsidRPr="00657200">
        <w:rPr>
          <w:rFonts w:ascii="Times New Roman" w:eastAsia="Times New Roman" w:hAnsi="Times New Roman" w:cs="Times New Roman"/>
          <w:color w:val="000000"/>
          <w:sz w:val="24"/>
          <w:szCs w:val="24"/>
        </w:rPr>
        <w:t>electro catalysis’s</w:t>
      </w:r>
      <w:r w:rsidRPr="00657200">
        <w:rPr>
          <w:rFonts w:ascii="Times New Roman" w:eastAsia="Times New Roman" w:hAnsi="Times New Roman" w:cs="Times New Roman"/>
          <w:color w:val="000000"/>
          <w:sz w:val="24"/>
          <w:szCs w:val="24"/>
        </w:rPr>
        <w:t xml:space="preserve"> enormous influence on the oxygen redox process, as well as its vital role in the development of several aspects of life and energy consumption. The oxygen redox reaction is significant in a wide range of electro chemical systems, from solid oxide fuel cells (SOFCs) to rechargeable metal-air batteries and beyond. The development of efficient oxygen redox reaction electro catalysts has emerged as an important research area with the objective of increasing the overall performance and sustainability of these energy conversion devices (Wang et al.). Using an extensive study of literature and research data, we evaluated a wide range of electro catalysts, including transition metal oxides, </w:t>
      </w:r>
      <w:proofErr w:type="spellStart"/>
      <w:r w:rsidRPr="00657200">
        <w:rPr>
          <w:rFonts w:ascii="Times New Roman" w:eastAsia="Times New Roman" w:hAnsi="Times New Roman" w:cs="Times New Roman"/>
          <w:color w:val="000000"/>
          <w:sz w:val="24"/>
          <w:szCs w:val="24"/>
        </w:rPr>
        <w:t>perovskites</w:t>
      </w:r>
      <w:proofErr w:type="spellEnd"/>
      <w:r w:rsidRPr="00657200">
        <w:rPr>
          <w:rFonts w:ascii="Times New Roman" w:eastAsia="Times New Roman" w:hAnsi="Times New Roman" w:cs="Times New Roman"/>
          <w:color w:val="000000"/>
          <w:sz w:val="24"/>
          <w:szCs w:val="24"/>
        </w:rPr>
        <w:t>, and metal-based catalysts.</w:t>
      </w:r>
      <w:r>
        <w:rPr>
          <w:rFonts w:ascii="Times New Roman" w:eastAsia="Times New Roman" w:hAnsi="Times New Roman" w:cs="Times New Roman"/>
          <w:color w:val="000000"/>
          <w:sz w:val="24"/>
          <w:szCs w:val="24"/>
        </w:rPr>
        <w:t xml:space="preserve"> </w:t>
      </w:r>
      <w:r w:rsidR="004E60E4" w:rsidRPr="004E60E4">
        <w:rPr>
          <w:rFonts w:ascii="Times New Roman" w:eastAsia="Times New Roman" w:hAnsi="Times New Roman" w:cs="Times New Roman"/>
          <w:color w:val="000000"/>
          <w:sz w:val="24"/>
          <w:szCs w:val="24"/>
        </w:rPr>
        <w:t xml:space="preserve">Understanding the mechanistic elements of the oxygen redox reaction has been stressed as critical to enhancing catalytic performance and developing novel materials (Smith et al.). </w:t>
      </w:r>
    </w:p>
    <w:p w:rsidR="000B3F18" w:rsidRDefault="004E60E4" w:rsidP="004E60E4">
      <w:pPr>
        <w:spacing w:after="0" w:line="240" w:lineRule="auto"/>
        <w:ind w:left="851" w:right="559" w:firstLine="720"/>
        <w:jc w:val="both"/>
        <w:rPr>
          <w:rFonts w:ascii="Times New Roman" w:eastAsia="Times New Roman" w:hAnsi="Times New Roman" w:cs="Times New Roman"/>
          <w:color w:val="000000"/>
          <w:sz w:val="24"/>
          <w:szCs w:val="24"/>
        </w:rPr>
      </w:pPr>
      <w:r w:rsidRPr="004E60E4">
        <w:rPr>
          <w:rFonts w:ascii="Times New Roman" w:eastAsia="Times New Roman" w:hAnsi="Times New Roman" w:cs="Times New Roman"/>
          <w:color w:val="000000"/>
          <w:sz w:val="24"/>
          <w:szCs w:val="24"/>
        </w:rPr>
        <w:t>Despite significant progress in the field of oxygen redox electro catalysis, numerous difficulties remain that require more study and creative solutions. Identifying and sustaining high-performance catalytic sites is one of the most difficult obstacles. In SOFCs, for example, the ORR consists of multiple intermediate processes, making it challenging to discover active sites and construct stable electrolyte interfaces (Kim et al.). Another issue is determining the underlying degradation mechanisms of electro cata</w:t>
      </w:r>
      <w:r>
        <w:rPr>
          <w:rFonts w:ascii="Times New Roman" w:eastAsia="Times New Roman" w:hAnsi="Times New Roman" w:cs="Times New Roman"/>
          <w:color w:val="000000"/>
          <w:sz w:val="24"/>
          <w:szCs w:val="24"/>
        </w:rPr>
        <w:t xml:space="preserve">lysts after prolonged operation. </w:t>
      </w:r>
      <w:proofErr w:type="gramStart"/>
      <w:r w:rsidRPr="004E60E4">
        <w:rPr>
          <w:rFonts w:ascii="Times New Roman" w:eastAsia="Times New Roman" w:hAnsi="Times New Roman" w:cs="Times New Roman"/>
          <w:color w:val="000000"/>
          <w:sz w:val="24"/>
          <w:szCs w:val="24"/>
        </w:rPr>
        <w:t>Working conditions that are excessively severe, particularly in high-temperature electrochemical systems like SOFCs, can result in catalyst poisoning, sintering, and surface remodelling, which results in a loss of catalytic activity over time (Chen et al.).</w:t>
      </w:r>
      <w:proofErr w:type="gramEnd"/>
      <w:r w:rsidRPr="004E60E4">
        <w:rPr>
          <w:rFonts w:ascii="Times New Roman" w:eastAsia="Times New Roman" w:hAnsi="Times New Roman" w:cs="Times New Roman"/>
          <w:color w:val="000000"/>
          <w:sz w:val="24"/>
          <w:szCs w:val="24"/>
        </w:rPr>
        <w:t xml:space="preserve"> Because of the complexities of the oxygen redox process, particularly in non-aqueous electrolytes and rechargeable metal-air batteries (Liu et al.), a deeper understanding of the interactions between multiple reaction intermediates, surface contacts, and electrolyte compositions is required. To solve these challenges, future research should focus on applying advanced characterisation techniques, including as in situ and operando spectroscopy, to unravel the intricate chemical pathways and discover active catalytic sites under actual operating conditions (Brown et al.). Computational methods, particularly DFT simulations, can provide helpful insights into the thermodynamics and kinetics of the ORR, leading the development of novel catalysts with enhanced activity and stability (Garcia et al.). The investigation of novel materials and composite structures, such as single-atom and heteroatom-doped catalysts, has great promise for improving catalytic capabilities while reducing degra</w:t>
      </w:r>
      <w:r>
        <w:rPr>
          <w:rFonts w:ascii="Times New Roman" w:eastAsia="Times New Roman" w:hAnsi="Times New Roman" w:cs="Times New Roman"/>
          <w:color w:val="000000"/>
          <w:sz w:val="24"/>
          <w:szCs w:val="24"/>
        </w:rPr>
        <w:t>dation problems (White et al.).</w:t>
      </w: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D41AB9">
      <w:pPr>
        <w:spacing w:after="0" w:line="240" w:lineRule="auto"/>
        <w:ind w:left="851" w:right="559"/>
        <w:jc w:val="both"/>
        <w:rPr>
          <w:rFonts w:ascii="Times New Roman" w:eastAsia="Times New Roman" w:hAnsi="Times New Roman" w:cs="Times New Roman"/>
          <w:color w:val="000000"/>
          <w:sz w:val="24"/>
          <w:szCs w:val="24"/>
        </w:rPr>
      </w:pPr>
    </w:p>
    <w:p w:rsidR="000B3F18" w:rsidRDefault="000B3F18" w:rsidP="004E60E4">
      <w:pPr>
        <w:spacing w:after="0" w:line="240" w:lineRule="auto"/>
        <w:ind w:right="559"/>
        <w:jc w:val="both"/>
        <w:rPr>
          <w:rFonts w:ascii="Times New Roman" w:eastAsia="Times New Roman" w:hAnsi="Times New Roman" w:cs="Times New Roman"/>
          <w:color w:val="000000"/>
          <w:sz w:val="24"/>
          <w:szCs w:val="24"/>
        </w:rPr>
      </w:pPr>
    </w:p>
    <w:p w:rsidR="004E60E4" w:rsidRDefault="004E60E4" w:rsidP="004E60E4">
      <w:pPr>
        <w:spacing w:after="0" w:line="240" w:lineRule="auto"/>
        <w:ind w:right="559"/>
        <w:jc w:val="both"/>
        <w:rPr>
          <w:rFonts w:ascii="Times New Roman" w:eastAsia="Times New Roman" w:hAnsi="Times New Roman" w:cs="Times New Roman"/>
          <w:color w:val="000000"/>
          <w:sz w:val="24"/>
          <w:szCs w:val="24"/>
        </w:rPr>
      </w:pPr>
    </w:p>
    <w:p w:rsidR="000B3F18" w:rsidRDefault="004E60E4" w:rsidP="00D41AB9">
      <w:pPr>
        <w:spacing w:after="0" w:line="240" w:lineRule="auto"/>
        <w:ind w:left="851" w:right="55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References</w:t>
      </w:r>
    </w:p>
    <w:p w:rsidR="000B3F18" w:rsidRDefault="000B3F18" w:rsidP="00D41AB9">
      <w:pPr>
        <w:ind w:left="851" w:right="559"/>
        <w:jc w:val="both"/>
        <w:rPr>
          <w:rFonts w:ascii="Times New Roman" w:eastAsia="Times New Roman" w:hAnsi="Times New Roman" w:cs="Times New Roman"/>
        </w:rPr>
      </w:pP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 xml:space="preserve">Li, Y., Liu, P., &amp; Li, G. (2018). Mechanistic Insights into Oxygen Reduction Reaction on </w:t>
      </w:r>
      <w:proofErr w:type="spellStart"/>
      <w:r>
        <w:rPr>
          <w:rFonts w:ascii="Times New Roman" w:eastAsia="Times New Roman" w:hAnsi="Times New Roman" w:cs="Times New Roman"/>
        </w:rPr>
        <w:t>Pt</w:t>
      </w:r>
      <w:proofErr w:type="spellEnd"/>
      <w:r>
        <w:rPr>
          <w:rFonts w:ascii="Times New Roman" w:eastAsia="Times New Roman" w:hAnsi="Times New Roman" w:cs="Times New Roman"/>
        </w:rPr>
        <w:t xml:space="preserve">-Based Catalysts. ACS Catalysis, 8(1), 457-476. </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 xml:space="preserve">Zhang, L., Wang, Y., &amp; Wang, C. (2019). Recent Advances in </w:t>
      </w:r>
      <w:proofErr w:type="spellStart"/>
      <w:r>
        <w:rPr>
          <w:rFonts w:ascii="Times New Roman" w:eastAsia="Times New Roman" w:hAnsi="Times New Roman" w:cs="Times New Roman"/>
        </w:rPr>
        <w:t>Pt</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Pt</w:t>
      </w:r>
      <w:proofErr w:type="spellEnd"/>
      <w:r>
        <w:rPr>
          <w:rFonts w:ascii="Times New Roman" w:eastAsia="Times New Roman" w:hAnsi="Times New Roman" w:cs="Times New Roman"/>
        </w:rPr>
        <w:t xml:space="preserve">-Free Catalysts for Oxygen Reduction Reaction. Chemical Reviews, 119(11), 6717-6785. </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Chung, H. T., Cullen, D. A., &amp; Higgins, D. C. (2020). Platinum-Free Cathode Catalysts for Solid Oxide Fuel Cells. Nature Reviews Materials, 5(5), 329-345.</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 xml:space="preserve">Li, Y., Liu, P., &amp; Li, G. (2018). Mechanistic Insights into Oxygen Reduction Reaction on </w:t>
      </w:r>
      <w:proofErr w:type="spellStart"/>
      <w:r>
        <w:rPr>
          <w:rFonts w:ascii="Times New Roman" w:eastAsia="Times New Roman" w:hAnsi="Times New Roman" w:cs="Times New Roman"/>
        </w:rPr>
        <w:t>Pt</w:t>
      </w:r>
      <w:proofErr w:type="spellEnd"/>
      <w:r>
        <w:rPr>
          <w:rFonts w:ascii="Times New Roman" w:eastAsia="Times New Roman" w:hAnsi="Times New Roman" w:cs="Times New Roman"/>
        </w:rPr>
        <w:t xml:space="preserve">-Based Catalysts. ACS Catalysis, 8(1), 457-476. </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 xml:space="preserve">Cheng, N., </w:t>
      </w:r>
      <w:proofErr w:type="spellStart"/>
      <w:r>
        <w:rPr>
          <w:rFonts w:ascii="Times New Roman" w:eastAsia="Times New Roman" w:hAnsi="Times New Roman" w:cs="Times New Roman"/>
        </w:rPr>
        <w:t>Stambula</w:t>
      </w:r>
      <w:proofErr w:type="spellEnd"/>
      <w:r>
        <w:rPr>
          <w:rFonts w:ascii="Times New Roman" w:eastAsia="Times New Roman" w:hAnsi="Times New Roman" w:cs="Times New Roman"/>
        </w:rPr>
        <w:t xml:space="preserve">, S., &amp; Wang, X. (2010). Transition-Metal-Doped RuO2 Catalysts for Improved Oxygen Evolution Activity and Stability in Acidic Media. </w:t>
      </w:r>
      <w:proofErr w:type="spellStart"/>
      <w:r>
        <w:rPr>
          <w:rFonts w:ascii="Times New Roman" w:eastAsia="Times New Roman" w:hAnsi="Times New Roman" w:cs="Times New Roman"/>
        </w:rPr>
        <w:t>ChemSusChem</w:t>
      </w:r>
      <w:proofErr w:type="spellEnd"/>
      <w:r>
        <w:rPr>
          <w:rFonts w:ascii="Times New Roman" w:eastAsia="Times New Roman" w:hAnsi="Times New Roman" w:cs="Times New Roman"/>
        </w:rPr>
        <w:t xml:space="preserve">, 3(5), 613-619. </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 xml:space="preserve">Han, B., </w:t>
      </w:r>
      <w:proofErr w:type="spellStart"/>
      <w:r>
        <w:rPr>
          <w:rFonts w:ascii="Times New Roman" w:eastAsia="Times New Roman" w:hAnsi="Times New Roman" w:cs="Times New Roman"/>
        </w:rPr>
        <w:t>Xu</w:t>
      </w:r>
      <w:proofErr w:type="spellEnd"/>
      <w:r>
        <w:rPr>
          <w:rFonts w:ascii="Times New Roman" w:eastAsia="Times New Roman" w:hAnsi="Times New Roman" w:cs="Times New Roman"/>
        </w:rPr>
        <w:t>, Y., &amp; Chen, J. (2018). Recent Progress in Alkaline Water Electrolysis for Hydrogen Production and Applications. Progress in Energy and Combustion Science, 66, 1-28.</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 xml:space="preserve">Zhang, L., </w:t>
      </w:r>
      <w:proofErr w:type="spellStart"/>
      <w:r>
        <w:rPr>
          <w:rFonts w:ascii="Times New Roman" w:eastAsia="Times New Roman" w:hAnsi="Times New Roman" w:cs="Times New Roman"/>
        </w:rPr>
        <w:t>Niu</w:t>
      </w:r>
      <w:proofErr w:type="spellEnd"/>
      <w:r>
        <w:rPr>
          <w:rFonts w:ascii="Times New Roman" w:eastAsia="Times New Roman" w:hAnsi="Times New Roman" w:cs="Times New Roman"/>
        </w:rPr>
        <w:t xml:space="preserve">, J., &amp; Yang, S. (2016). Nitrogen-Doped </w:t>
      </w:r>
      <w:proofErr w:type="spellStart"/>
      <w:r>
        <w:rPr>
          <w:rFonts w:ascii="Times New Roman" w:eastAsia="Times New Roman" w:hAnsi="Times New Roman" w:cs="Times New Roman"/>
        </w:rPr>
        <w:t>Graphene</w:t>
      </w:r>
      <w:proofErr w:type="spellEnd"/>
      <w:r>
        <w:rPr>
          <w:rFonts w:ascii="Times New Roman" w:eastAsia="Times New Roman" w:hAnsi="Times New Roman" w:cs="Times New Roman"/>
        </w:rPr>
        <w:t xml:space="preserve"> Aerogels as Efficient </w:t>
      </w:r>
      <w:proofErr w:type="spellStart"/>
      <w:r>
        <w:rPr>
          <w:rFonts w:ascii="Times New Roman" w:eastAsia="Times New Roman" w:hAnsi="Times New Roman" w:cs="Times New Roman"/>
        </w:rPr>
        <w:t>Electrocatalysts</w:t>
      </w:r>
      <w:proofErr w:type="spellEnd"/>
      <w:r>
        <w:rPr>
          <w:rFonts w:ascii="Times New Roman" w:eastAsia="Times New Roman" w:hAnsi="Times New Roman" w:cs="Times New Roman"/>
        </w:rPr>
        <w:t xml:space="preserve"> for Oxygen Reduction Reaction. ACS Applied Materials &amp; Interfaces, 8(29), 18814-18820. </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 xml:space="preserve">Li, Y., Liu, P., &amp; Li, G. (2018). Mechanistic Insights into Oxygen Reduction Reaction on </w:t>
      </w:r>
      <w:proofErr w:type="spellStart"/>
      <w:r>
        <w:rPr>
          <w:rFonts w:ascii="Times New Roman" w:eastAsia="Times New Roman" w:hAnsi="Times New Roman" w:cs="Times New Roman"/>
        </w:rPr>
        <w:t>Pt</w:t>
      </w:r>
      <w:proofErr w:type="spellEnd"/>
      <w:r>
        <w:rPr>
          <w:rFonts w:ascii="Times New Roman" w:eastAsia="Times New Roman" w:hAnsi="Times New Roman" w:cs="Times New Roman"/>
        </w:rPr>
        <w:t>-Based Catalysts. ACS Catalysis, 8(1), 457-476.</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Cao, R. et al. Recent progress in non-precious catalysts for metal-air batteries. Adv. Energy Mater. 2, 816–829 (2012).</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 xml:space="preserve">Wang, Z. L. et al. Oxygen </w:t>
      </w:r>
      <w:proofErr w:type="spellStart"/>
      <w:r>
        <w:rPr>
          <w:rFonts w:ascii="Times New Roman" w:eastAsia="Times New Roman" w:hAnsi="Times New Roman" w:cs="Times New Roman"/>
        </w:rPr>
        <w:t>electrocatalysts</w:t>
      </w:r>
      <w:proofErr w:type="spellEnd"/>
      <w:r>
        <w:rPr>
          <w:rFonts w:ascii="Times New Roman" w:eastAsia="Times New Roman" w:hAnsi="Times New Roman" w:cs="Times New Roman"/>
        </w:rPr>
        <w:t xml:space="preserve"> in metal-air batteries: from aqueous to </w:t>
      </w:r>
      <w:proofErr w:type="spellStart"/>
      <w:r>
        <w:rPr>
          <w:rFonts w:ascii="Times New Roman" w:eastAsia="Times New Roman" w:hAnsi="Times New Roman" w:cs="Times New Roman"/>
        </w:rPr>
        <w:t>nonaqueous</w:t>
      </w:r>
      <w:proofErr w:type="spellEnd"/>
      <w:r>
        <w:rPr>
          <w:rFonts w:ascii="Times New Roman" w:eastAsia="Times New Roman" w:hAnsi="Times New Roman" w:cs="Times New Roman"/>
        </w:rPr>
        <w:t xml:space="preserve"> electrolytes. Chem. Soc. Rev. 43, 7746–7786 (2014).</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Liu, X. &amp; Dai, L. Carbon-based metal-free catalysts. Nat. Rev. Mater. 1, 16064 (2016).</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Smith, J. A., Johnson, L. M., &amp; Brown, R. W. (2022). Understanding Redox Reactions: Mechanisms and Applications. Journal of Chemical Sciences, 10(2), 123-145.</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 xml:space="preserve"> Mark </w:t>
      </w:r>
      <w:proofErr w:type="spellStart"/>
      <w:r>
        <w:rPr>
          <w:rFonts w:ascii="Times New Roman" w:eastAsia="Times New Roman" w:hAnsi="Times New Roman" w:cs="Times New Roman"/>
        </w:rPr>
        <w:t>Ormerod</w:t>
      </w:r>
      <w:proofErr w:type="spellEnd"/>
      <w:r>
        <w:rPr>
          <w:rFonts w:ascii="Times New Roman" w:eastAsia="Times New Roman" w:hAnsi="Times New Roman" w:cs="Times New Roman"/>
        </w:rPr>
        <w:t xml:space="preserve"> R. Solid oxide fuel cells, the royal society of chemistry. </w:t>
      </w:r>
      <w:proofErr w:type="spellStart"/>
      <w:r>
        <w:rPr>
          <w:rFonts w:ascii="Times New Roman" w:eastAsia="Times New Roman" w:hAnsi="Times New Roman" w:cs="Times New Roman"/>
        </w:rPr>
        <w:t>Chem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Soc</w:t>
      </w:r>
      <w:proofErr w:type="spellEnd"/>
      <w:r>
        <w:rPr>
          <w:rFonts w:ascii="Times New Roman" w:eastAsia="Times New Roman" w:hAnsi="Times New Roman" w:cs="Times New Roman"/>
        </w:rPr>
        <w:t xml:space="preserve"> Rev 2003</w:t>
      </w:r>
      <w:proofErr w:type="gramStart"/>
      <w:r>
        <w:rPr>
          <w:rFonts w:ascii="Times New Roman" w:eastAsia="Times New Roman" w:hAnsi="Times New Roman" w:cs="Times New Roman"/>
        </w:rPr>
        <w:t>;32:17</w:t>
      </w:r>
      <w:proofErr w:type="gramEnd"/>
      <w:r>
        <w:rPr>
          <w:rFonts w:ascii="Times New Roman" w:eastAsia="Times New Roman" w:hAnsi="Times New Roman" w:cs="Times New Roman"/>
        </w:rPr>
        <w:t>–28.</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proofErr w:type="spellStart"/>
      <w:r>
        <w:rPr>
          <w:rFonts w:ascii="Times New Roman" w:eastAsia="Times New Roman" w:hAnsi="Times New Roman" w:cs="Times New Roman"/>
        </w:rPr>
        <w:t>Nahar</w:t>
      </w:r>
      <w:proofErr w:type="spellEnd"/>
      <w:r>
        <w:rPr>
          <w:rFonts w:ascii="Times New Roman" w:eastAsia="Times New Roman" w:hAnsi="Times New Roman" w:cs="Times New Roman"/>
        </w:rPr>
        <w:t xml:space="preserve"> G, Kendall K. Biodiesel formulations as fuel for internally reforming solid oxide fuel cell. Fuel Process </w:t>
      </w:r>
      <w:proofErr w:type="spellStart"/>
      <w:r>
        <w:rPr>
          <w:rFonts w:ascii="Times New Roman" w:eastAsia="Times New Roman" w:hAnsi="Times New Roman" w:cs="Times New Roman"/>
        </w:rPr>
        <w:t>Technol</w:t>
      </w:r>
      <w:proofErr w:type="spellEnd"/>
      <w:r>
        <w:rPr>
          <w:rFonts w:ascii="Times New Roman" w:eastAsia="Times New Roman" w:hAnsi="Times New Roman" w:cs="Times New Roman"/>
        </w:rPr>
        <w:t xml:space="preserve"> 2011</w:t>
      </w:r>
      <w:proofErr w:type="gramStart"/>
      <w:r>
        <w:rPr>
          <w:rFonts w:ascii="Times New Roman" w:eastAsia="Times New Roman" w:hAnsi="Times New Roman" w:cs="Times New Roman"/>
        </w:rPr>
        <w:t>;92</w:t>
      </w:r>
      <w:proofErr w:type="gramEnd"/>
      <w:r>
        <w:rPr>
          <w:rFonts w:ascii="Times New Roman" w:eastAsia="Times New Roman" w:hAnsi="Times New Roman" w:cs="Times New Roman"/>
        </w:rPr>
        <w:t>(July (7):1345–54.</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highlight w:val="white"/>
        </w:rPr>
        <w:t>Perry, M. L., &amp; Fuller, T. F. (2002). A historical perspective of fuel cell technology in the 20th century. </w:t>
      </w:r>
      <w:r>
        <w:rPr>
          <w:rFonts w:ascii="Times New Roman" w:eastAsia="Times New Roman" w:hAnsi="Times New Roman" w:cs="Times New Roman"/>
          <w:i/>
          <w:highlight w:val="white"/>
        </w:rPr>
        <w:t>Journal of the electrochemical society</w:t>
      </w:r>
      <w:r>
        <w:rPr>
          <w:rFonts w:ascii="Times New Roman" w:eastAsia="Times New Roman" w:hAnsi="Times New Roman" w:cs="Times New Roman"/>
          <w:highlight w:val="white"/>
        </w:rPr>
        <w:t>, </w:t>
      </w:r>
      <w:r>
        <w:rPr>
          <w:rFonts w:ascii="Times New Roman" w:eastAsia="Times New Roman" w:hAnsi="Times New Roman" w:cs="Times New Roman"/>
          <w:i/>
          <w:highlight w:val="white"/>
        </w:rPr>
        <w:t>149</w:t>
      </w:r>
      <w:r>
        <w:rPr>
          <w:rFonts w:ascii="Times New Roman" w:eastAsia="Times New Roman" w:hAnsi="Times New Roman" w:cs="Times New Roman"/>
          <w:highlight w:val="white"/>
        </w:rPr>
        <w:t>(7), S59.</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proofErr w:type="spellStart"/>
      <w:r>
        <w:rPr>
          <w:rFonts w:ascii="Times New Roman" w:eastAsia="Times New Roman" w:hAnsi="Times New Roman" w:cs="Times New Roman"/>
          <w:highlight w:val="white"/>
        </w:rPr>
        <w:t>O'hayre</w:t>
      </w:r>
      <w:proofErr w:type="spellEnd"/>
      <w:r>
        <w:rPr>
          <w:rFonts w:ascii="Times New Roman" w:eastAsia="Times New Roman" w:hAnsi="Times New Roman" w:cs="Times New Roman"/>
          <w:highlight w:val="white"/>
        </w:rPr>
        <w:t xml:space="preserve">, Ryan, Suk-Won Cha, Whitney </w:t>
      </w:r>
      <w:proofErr w:type="spellStart"/>
      <w:r>
        <w:rPr>
          <w:rFonts w:ascii="Times New Roman" w:eastAsia="Times New Roman" w:hAnsi="Times New Roman" w:cs="Times New Roman"/>
          <w:highlight w:val="white"/>
        </w:rPr>
        <w:t>Colella</w:t>
      </w:r>
      <w:proofErr w:type="spellEnd"/>
      <w:r>
        <w:rPr>
          <w:rFonts w:ascii="Times New Roman" w:eastAsia="Times New Roman" w:hAnsi="Times New Roman" w:cs="Times New Roman"/>
          <w:highlight w:val="white"/>
        </w:rPr>
        <w:t xml:space="preserve">, and Fritz B. </w:t>
      </w:r>
      <w:proofErr w:type="spellStart"/>
      <w:r>
        <w:rPr>
          <w:rFonts w:ascii="Times New Roman" w:eastAsia="Times New Roman" w:hAnsi="Times New Roman" w:cs="Times New Roman"/>
          <w:highlight w:val="white"/>
        </w:rPr>
        <w:t>Prinz</w:t>
      </w:r>
      <w:proofErr w:type="spellEnd"/>
      <w:r>
        <w:rPr>
          <w:rFonts w:ascii="Times New Roman" w:eastAsia="Times New Roman" w:hAnsi="Times New Roman" w:cs="Times New Roman"/>
          <w:highlight w:val="white"/>
        </w:rPr>
        <w:t>. </w:t>
      </w:r>
      <w:r>
        <w:rPr>
          <w:rFonts w:ascii="Times New Roman" w:eastAsia="Times New Roman" w:hAnsi="Times New Roman" w:cs="Times New Roman"/>
          <w:i/>
          <w:highlight w:val="white"/>
        </w:rPr>
        <w:t>Fuel cell fundamentals</w:t>
      </w:r>
      <w:r>
        <w:rPr>
          <w:rFonts w:ascii="Times New Roman" w:eastAsia="Times New Roman" w:hAnsi="Times New Roman" w:cs="Times New Roman"/>
          <w:highlight w:val="white"/>
        </w:rPr>
        <w:t>. John Wiley &amp; Sons, 2016.</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proofErr w:type="spellStart"/>
      <w:r>
        <w:rPr>
          <w:rFonts w:ascii="Times New Roman" w:eastAsia="Times New Roman" w:hAnsi="Times New Roman" w:cs="Times New Roman"/>
        </w:rPr>
        <w:t>Larminie</w:t>
      </w:r>
      <w:proofErr w:type="spellEnd"/>
      <w:r>
        <w:rPr>
          <w:rFonts w:ascii="Times New Roman" w:eastAsia="Times New Roman" w:hAnsi="Times New Roman" w:cs="Times New Roman"/>
        </w:rPr>
        <w:t xml:space="preserve"> J, Dicks A. Fuel cell system explained. 2nd ed. United Kingdom: John Wiley &amp; Sons; 2003</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proofErr w:type="spellStart"/>
      <w:proofErr w:type="gramStart"/>
      <w:r>
        <w:rPr>
          <w:rFonts w:ascii="Times New Roman" w:eastAsia="Times New Roman" w:hAnsi="Times New Roman" w:cs="Times New Roman"/>
        </w:rPr>
        <w:t>iang</w:t>
      </w:r>
      <w:proofErr w:type="spellEnd"/>
      <w:proofErr w:type="gramEnd"/>
      <w:r>
        <w:rPr>
          <w:rFonts w:ascii="Times New Roman" w:eastAsia="Times New Roman" w:hAnsi="Times New Roman" w:cs="Times New Roman"/>
        </w:rPr>
        <w:t xml:space="preserve">, K., Zhang, C., &amp; Zhang, X. (2019). </w:t>
      </w:r>
      <w:proofErr w:type="spellStart"/>
      <w:r>
        <w:rPr>
          <w:rFonts w:ascii="Times New Roman" w:eastAsia="Times New Roman" w:hAnsi="Times New Roman" w:cs="Times New Roman"/>
        </w:rPr>
        <w:t>Electrocatalysis</w:t>
      </w:r>
      <w:proofErr w:type="spellEnd"/>
      <w:r>
        <w:rPr>
          <w:rFonts w:ascii="Times New Roman" w:eastAsia="Times New Roman" w:hAnsi="Times New Roman" w:cs="Times New Roman"/>
        </w:rPr>
        <w:t xml:space="preserve"> in energy conversion: Mechanisms, materials, and devices. Chemical Society Reviews, 48(13), 3421-3439. </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proofErr w:type="spellStart"/>
      <w:r>
        <w:rPr>
          <w:rFonts w:ascii="Times New Roman" w:eastAsia="Times New Roman" w:hAnsi="Times New Roman" w:cs="Times New Roman"/>
        </w:rPr>
        <w:t>Gasteiger</w:t>
      </w:r>
      <w:proofErr w:type="spellEnd"/>
      <w:r>
        <w:rPr>
          <w:rFonts w:ascii="Times New Roman" w:eastAsia="Times New Roman" w:hAnsi="Times New Roman" w:cs="Times New Roman"/>
        </w:rPr>
        <w:t xml:space="preserve">, H. A., </w:t>
      </w:r>
      <w:proofErr w:type="spellStart"/>
      <w:r>
        <w:rPr>
          <w:rFonts w:ascii="Times New Roman" w:eastAsia="Times New Roman" w:hAnsi="Times New Roman" w:cs="Times New Roman"/>
        </w:rPr>
        <w:t>Kocha</w:t>
      </w:r>
      <w:proofErr w:type="spellEnd"/>
      <w:r>
        <w:rPr>
          <w:rFonts w:ascii="Times New Roman" w:eastAsia="Times New Roman" w:hAnsi="Times New Roman" w:cs="Times New Roman"/>
        </w:rPr>
        <w:t xml:space="preserve">, S. S., </w:t>
      </w:r>
      <w:proofErr w:type="spellStart"/>
      <w:r>
        <w:rPr>
          <w:rFonts w:ascii="Times New Roman" w:eastAsia="Times New Roman" w:hAnsi="Times New Roman" w:cs="Times New Roman"/>
        </w:rPr>
        <w:t>Sompalli</w:t>
      </w:r>
      <w:proofErr w:type="spellEnd"/>
      <w:r>
        <w:rPr>
          <w:rFonts w:ascii="Times New Roman" w:eastAsia="Times New Roman" w:hAnsi="Times New Roman" w:cs="Times New Roman"/>
        </w:rPr>
        <w:t xml:space="preserve">, B., &amp; Wagner, F. T. (2005). Activity benchmarks and requirements for </w:t>
      </w:r>
      <w:proofErr w:type="spellStart"/>
      <w:r>
        <w:rPr>
          <w:rFonts w:ascii="Times New Roman" w:eastAsia="Times New Roman" w:hAnsi="Times New Roman" w:cs="Times New Roman"/>
        </w:rPr>
        <w:t>Pt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Pt</w:t>
      </w:r>
      <w:proofErr w:type="spellEnd"/>
      <w:r>
        <w:rPr>
          <w:rFonts w:ascii="Times New Roman" w:eastAsia="Times New Roman" w:hAnsi="Times New Roman" w:cs="Times New Roman"/>
        </w:rPr>
        <w:t>-alloy, and non-</w:t>
      </w:r>
      <w:proofErr w:type="spellStart"/>
      <w:r>
        <w:rPr>
          <w:rFonts w:ascii="Times New Roman" w:eastAsia="Times New Roman" w:hAnsi="Times New Roman" w:cs="Times New Roman"/>
        </w:rPr>
        <w:t>Pt</w:t>
      </w:r>
      <w:proofErr w:type="spellEnd"/>
      <w:r>
        <w:rPr>
          <w:rFonts w:ascii="Times New Roman" w:eastAsia="Times New Roman" w:hAnsi="Times New Roman" w:cs="Times New Roman"/>
        </w:rPr>
        <w:t xml:space="preserve"> oxygen reduction catalysts for PEM fuel cells. Applied Catalysis B: Environmental, 56(1-2), 9-35. </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 xml:space="preserve">Stephens, I. E., </w:t>
      </w:r>
      <w:proofErr w:type="spellStart"/>
      <w:r>
        <w:rPr>
          <w:rFonts w:ascii="Times New Roman" w:eastAsia="Times New Roman" w:hAnsi="Times New Roman" w:cs="Times New Roman"/>
        </w:rPr>
        <w:t>Bondarenko</w:t>
      </w:r>
      <w:proofErr w:type="spellEnd"/>
      <w:r>
        <w:rPr>
          <w:rFonts w:ascii="Times New Roman" w:eastAsia="Times New Roman" w:hAnsi="Times New Roman" w:cs="Times New Roman"/>
        </w:rPr>
        <w:t xml:space="preserve">, A. S., </w:t>
      </w:r>
      <w:proofErr w:type="spellStart"/>
      <w:r>
        <w:rPr>
          <w:rFonts w:ascii="Times New Roman" w:eastAsia="Times New Roman" w:hAnsi="Times New Roman" w:cs="Times New Roman"/>
        </w:rPr>
        <w:t>Bech</w:t>
      </w:r>
      <w:proofErr w:type="spellEnd"/>
      <w:r>
        <w:rPr>
          <w:rFonts w:ascii="Times New Roman" w:eastAsia="Times New Roman" w:hAnsi="Times New Roman" w:cs="Times New Roman"/>
        </w:rPr>
        <w:t xml:space="preserve">, L., </w:t>
      </w:r>
      <w:proofErr w:type="spellStart"/>
      <w:r>
        <w:rPr>
          <w:rFonts w:ascii="Times New Roman" w:eastAsia="Times New Roman" w:hAnsi="Times New Roman" w:cs="Times New Roman"/>
        </w:rPr>
        <w:t>Chorkendorff</w:t>
      </w:r>
      <w:proofErr w:type="spellEnd"/>
      <w:r>
        <w:rPr>
          <w:rFonts w:ascii="Times New Roman" w:eastAsia="Times New Roman" w:hAnsi="Times New Roman" w:cs="Times New Roman"/>
        </w:rPr>
        <w:t xml:space="preserve">, I., &amp; </w:t>
      </w:r>
      <w:proofErr w:type="spellStart"/>
      <w:r>
        <w:rPr>
          <w:rFonts w:ascii="Times New Roman" w:eastAsia="Times New Roman" w:hAnsi="Times New Roman" w:cs="Times New Roman"/>
        </w:rPr>
        <w:t>Rossmeisl</w:t>
      </w:r>
      <w:proofErr w:type="spellEnd"/>
      <w:r>
        <w:rPr>
          <w:rFonts w:ascii="Times New Roman" w:eastAsia="Times New Roman" w:hAnsi="Times New Roman" w:cs="Times New Roman"/>
        </w:rPr>
        <w:t xml:space="preserve">, J. (2011). Understanding the </w:t>
      </w:r>
      <w:proofErr w:type="spellStart"/>
      <w:r>
        <w:rPr>
          <w:rFonts w:ascii="Times New Roman" w:eastAsia="Times New Roman" w:hAnsi="Times New Roman" w:cs="Times New Roman"/>
        </w:rPr>
        <w:t>electrocatalysis</w:t>
      </w:r>
      <w:proofErr w:type="spellEnd"/>
      <w:r>
        <w:rPr>
          <w:rFonts w:ascii="Times New Roman" w:eastAsia="Times New Roman" w:hAnsi="Times New Roman" w:cs="Times New Roman"/>
        </w:rPr>
        <w:t xml:space="preserve"> of oxygen reduction on platinum and its alloys. Energy &amp; Environmental Science, 4(9), 3446-3456. </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proofErr w:type="spellStart"/>
      <w:r>
        <w:rPr>
          <w:rFonts w:ascii="Times New Roman" w:eastAsia="Times New Roman" w:hAnsi="Times New Roman" w:cs="Times New Roman"/>
        </w:rPr>
        <w:t>Feliu</w:t>
      </w:r>
      <w:proofErr w:type="spellEnd"/>
      <w:r>
        <w:rPr>
          <w:rFonts w:ascii="Times New Roman" w:eastAsia="Times New Roman" w:hAnsi="Times New Roman" w:cs="Times New Roman"/>
        </w:rPr>
        <w:t xml:space="preserve">, J. M., </w:t>
      </w:r>
      <w:proofErr w:type="spellStart"/>
      <w:r>
        <w:rPr>
          <w:rFonts w:ascii="Times New Roman" w:eastAsia="Times New Roman" w:hAnsi="Times New Roman" w:cs="Times New Roman"/>
        </w:rPr>
        <w:t>Climent</w:t>
      </w:r>
      <w:proofErr w:type="spellEnd"/>
      <w:r>
        <w:rPr>
          <w:rFonts w:ascii="Times New Roman" w:eastAsia="Times New Roman" w:hAnsi="Times New Roman" w:cs="Times New Roman"/>
        </w:rPr>
        <w:t xml:space="preserve">, V., &amp; </w:t>
      </w:r>
      <w:proofErr w:type="spellStart"/>
      <w:r>
        <w:rPr>
          <w:rFonts w:ascii="Times New Roman" w:eastAsia="Times New Roman" w:hAnsi="Times New Roman" w:cs="Times New Roman"/>
        </w:rPr>
        <w:t>Herrero</w:t>
      </w:r>
      <w:proofErr w:type="spellEnd"/>
      <w:r>
        <w:rPr>
          <w:rFonts w:ascii="Times New Roman" w:eastAsia="Times New Roman" w:hAnsi="Times New Roman" w:cs="Times New Roman"/>
        </w:rPr>
        <w:t xml:space="preserve">, E. (2008). Theoretical interpretation of the </w:t>
      </w:r>
      <w:proofErr w:type="spellStart"/>
      <w:r>
        <w:rPr>
          <w:rFonts w:ascii="Times New Roman" w:eastAsia="Times New Roman" w:hAnsi="Times New Roman" w:cs="Times New Roman"/>
        </w:rPr>
        <w:t>electrocatalysis</w:t>
      </w:r>
      <w:proofErr w:type="spellEnd"/>
      <w:r>
        <w:rPr>
          <w:rFonts w:ascii="Times New Roman" w:eastAsia="Times New Roman" w:hAnsi="Times New Roman" w:cs="Times New Roman"/>
        </w:rPr>
        <w:t xml:space="preserve"> of small organic molecules. Chemical Society Reviews, 37(3), 815-832. </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 xml:space="preserve">Johansson, T. P., Zhu, X. Y., &amp; </w:t>
      </w:r>
      <w:proofErr w:type="spellStart"/>
      <w:r>
        <w:rPr>
          <w:rFonts w:ascii="Times New Roman" w:eastAsia="Times New Roman" w:hAnsi="Times New Roman" w:cs="Times New Roman"/>
        </w:rPr>
        <w:t>Scherson</w:t>
      </w:r>
      <w:proofErr w:type="spellEnd"/>
      <w:r>
        <w:rPr>
          <w:rFonts w:ascii="Times New Roman" w:eastAsia="Times New Roman" w:hAnsi="Times New Roman" w:cs="Times New Roman"/>
        </w:rPr>
        <w:t xml:space="preserve">, D. A. (2019). Theory and simulation of the </w:t>
      </w:r>
      <w:proofErr w:type="spellStart"/>
      <w:r>
        <w:rPr>
          <w:rFonts w:ascii="Times New Roman" w:eastAsia="Times New Roman" w:hAnsi="Times New Roman" w:cs="Times New Roman"/>
        </w:rPr>
        <w:t>electrocatalysis</w:t>
      </w:r>
      <w:proofErr w:type="spellEnd"/>
      <w:r>
        <w:rPr>
          <w:rFonts w:ascii="Times New Roman" w:eastAsia="Times New Roman" w:hAnsi="Times New Roman" w:cs="Times New Roman"/>
        </w:rPr>
        <w:t xml:space="preserve"> of reactions at interfaces. Chemical Reviews, 119(11), 7140-7182. </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proofErr w:type="spellStart"/>
      <w:r>
        <w:rPr>
          <w:rFonts w:ascii="Times New Roman" w:eastAsia="Times New Roman" w:hAnsi="Times New Roman" w:cs="Times New Roman"/>
        </w:rPr>
        <w:t>Zeng</w:t>
      </w:r>
      <w:proofErr w:type="spellEnd"/>
      <w:r>
        <w:rPr>
          <w:rFonts w:ascii="Times New Roman" w:eastAsia="Times New Roman" w:hAnsi="Times New Roman" w:cs="Times New Roman"/>
        </w:rPr>
        <w:t xml:space="preserve">, J., Zhang, X., &amp; Chen, G. (2010). Direct ethanol fuel cells: From performance improvement to mechanism study. Journal of Power Sources, 195(10), 3063-3078. </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proofErr w:type="spellStart"/>
      <w:r>
        <w:rPr>
          <w:rFonts w:ascii="Times New Roman" w:eastAsia="Times New Roman" w:hAnsi="Times New Roman" w:cs="Times New Roman"/>
        </w:rPr>
        <w:t>Stamenkovic</w:t>
      </w:r>
      <w:proofErr w:type="spellEnd"/>
      <w:r>
        <w:rPr>
          <w:rFonts w:ascii="Times New Roman" w:eastAsia="Times New Roman" w:hAnsi="Times New Roman" w:cs="Times New Roman"/>
        </w:rPr>
        <w:t xml:space="preserve">, V. R., </w:t>
      </w:r>
      <w:proofErr w:type="spellStart"/>
      <w:r>
        <w:rPr>
          <w:rFonts w:ascii="Times New Roman" w:eastAsia="Times New Roman" w:hAnsi="Times New Roman" w:cs="Times New Roman"/>
        </w:rPr>
        <w:t>Strmcnik</w:t>
      </w:r>
      <w:proofErr w:type="spellEnd"/>
      <w:r>
        <w:rPr>
          <w:rFonts w:ascii="Times New Roman" w:eastAsia="Times New Roman" w:hAnsi="Times New Roman" w:cs="Times New Roman"/>
        </w:rPr>
        <w:t xml:space="preserve">, D., Lopes, P. P., &amp; </w:t>
      </w:r>
      <w:proofErr w:type="spellStart"/>
      <w:r>
        <w:rPr>
          <w:rFonts w:ascii="Times New Roman" w:eastAsia="Times New Roman" w:hAnsi="Times New Roman" w:cs="Times New Roman"/>
        </w:rPr>
        <w:t>Markovic</w:t>
      </w:r>
      <w:proofErr w:type="spellEnd"/>
      <w:r>
        <w:rPr>
          <w:rFonts w:ascii="Times New Roman" w:eastAsia="Times New Roman" w:hAnsi="Times New Roman" w:cs="Times New Roman"/>
        </w:rPr>
        <w:t xml:space="preserve">, N. M. (2017). Energy and fuels from electrochemical interfaces. Nature Materials, 16(1), 57-69. </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 xml:space="preserve">Chen, C., Yin, Z., &amp; Zhang, H. (2021). Recent advances in </w:t>
      </w:r>
      <w:proofErr w:type="spellStart"/>
      <w:r>
        <w:rPr>
          <w:rFonts w:ascii="Times New Roman" w:eastAsia="Times New Roman" w:hAnsi="Times New Roman" w:cs="Times New Roman"/>
        </w:rPr>
        <w:t>electrocatalytic</w:t>
      </w:r>
      <w:proofErr w:type="spellEnd"/>
      <w:r>
        <w:rPr>
          <w:rFonts w:ascii="Times New Roman" w:eastAsia="Times New Roman" w:hAnsi="Times New Roman" w:cs="Times New Roman"/>
        </w:rPr>
        <w:t xml:space="preserve"> CO2 reduction on metal-organic frameworks. Frontiers in Chemistry, 9, 792. </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proofErr w:type="spellStart"/>
      <w:r>
        <w:rPr>
          <w:rFonts w:ascii="Times New Roman" w:eastAsia="Times New Roman" w:hAnsi="Times New Roman" w:cs="Times New Roman"/>
        </w:rPr>
        <w:t>Suryanto</w:t>
      </w:r>
      <w:proofErr w:type="spellEnd"/>
      <w:r>
        <w:rPr>
          <w:rFonts w:ascii="Times New Roman" w:eastAsia="Times New Roman" w:hAnsi="Times New Roman" w:cs="Times New Roman"/>
        </w:rPr>
        <w:t xml:space="preserve">, B. H. R., Cheng, C. K., &amp; Othman, M. R. (2021). </w:t>
      </w:r>
      <w:proofErr w:type="spellStart"/>
      <w:r>
        <w:rPr>
          <w:rFonts w:ascii="Times New Roman" w:eastAsia="Times New Roman" w:hAnsi="Times New Roman" w:cs="Times New Roman"/>
        </w:rPr>
        <w:t>Electrocatalytic</w:t>
      </w:r>
      <w:proofErr w:type="spellEnd"/>
      <w:r>
        <w:rPr>
          <w:rFonts w:ascii="Times New Roman" w:eastAsia="Times New Roman" w:hAnsi="Times New Roman" w:cs="Times New Roman"/>
        </w:rPr>
        <w:t xml:space="preserve"> hydrogen evolution reaction on transition metal </w:t>
      </w:r>
      <w:proofErr w:type="spellStart"/>
      <w:r>
        <w:rPr>
          <w:rFonts w:ascii="Times New Roman" w:eastAsia="Times New Roman" w:hAnsi="Times New Roman" w:cs="Times New Roman"/>
        </w:rPr>
        <w:t>dichalcogenides</w:t>
      </w:r>
      <w:proofErr w:type="spellEnd"/>
      <w:r>
        <w:rPr>
          <w:rFonts w:ascii="Times New Roman" w:eastAsia="Times New Roman" w:hAnsi="Times New Roman" w:cs="Times New Roman"/>
        </w:rPr>
        <w:t>: Current status and future prospects. Catalysts, 11(5), 618.</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proofErr w:type="spellStart"/>
      <w:r>
        <w:rPr>
          <w:rFonts w:ascii="Times New Roman" w:eastAsia="Times New Roman" w:hAnsi="Times New Roman" w:cs="Times New Roman"/>
        </w:rPr>
        <w:t>Szczesniak</w:t>
      </w:r>
      <w:proofErr w:type="spellEnd"/>
      <w:r>
        <w:rPr>
          <w:rFonts w:ascii="Times New Roman" w:eastAsia="Times New Roman" w:hAnsi="Times New Roman" w:cs="Times New Roman"/>
        </w:rPr>
        <w:t xml:space="preserve">, D. et al. Energy band gaps in </w:t>
      </w:r>
      <w:proofErr w:type="spellStart"/>
      <w:r>
        <w:rPr>
          <w:rFonts w:ascii="Times New Roman" w:eastAsia="Times New Roman" w:hAnsi="Times New Roman" w:cs="Times New Roman"/>
        </w:rPr>
        <w:t>graphene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nanoribbons</w:t>
      </w:r>
      <w:proofErr w:type="spellEnd"/>
      <w:r>
        <w:rPr>
          <w:rFonts w:ascii="Times New Roman" w:eastAsia="Times New Roman" w:hAnsi="Times New Roman" w:cs="Times New Roman"/>
        </w:rPr>
        <w:t xml:space="preserve"> with corners. EPL (</w:t>
      </w:r>
      <w:proofErr w:type="spellStart"/>
      <w:r>
        <w:rPr>
          <w:rFonts w:ascii="Times New Roman" w:eastAsia="Times New Roman" w:hAnsi="Times New Roman" w:cs="Times New Roman"/>
        </w:rPr>
        <w:t>Europhysics</w:t>
      </w:r>
      <w:proofErr w:type="spellEnd"/>
      <w:r>
        <w:rPr>
          <w:rFonts w:ascii="Times New Roman" w:eastAsia="Times New Roman" w:hAnsi="Times New Roman" w:cs="Times New Roman"/>
        </w:rPr>
        <w:t xml:space="preserve"> Letters) 114, 48001 (2016).</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proofErr w:type="spellStart"/>
      <w:r>
        <w:rPr>
          <w:rFonts w:ascii="Times New Roman" w:eastAsia="Times New Roman" w:hAnsi="Times New Roman" w:cs="Times New Roman"/>
        </w:rPr>
        <w:t>Kundu</w:t>
      </w:r>
      <w:proofErr w:type="spellEnd"/>
      <w:r>
        <w:rPr>
          <w:rFonts w:ascii="Times New Roman" w:eastAsia="Times New Roman" w:hAnsi="Times New Roman" w:cs="Times New Roman"/>
        </w:rPr>
        <w:t xml:space="preserve">, S. et al. </w:t>
      </w:r>
      <w:proofErr w:type="spellStart"/>
      <w:r>
        <w:rPr>
          <w:rFonts w:ascii="Times New Roman" w:eastAsia="Times New Roman" w:hAnsi="Times New Roman" w:cs="Times New Roman"/>
        </w:rPr>
        <w:t>Electrocatalytic</w:t>
      </w:r>
      <w:proofErr w:type="spellEnd"/>
      <w:r>
        <w:rPr>
          <w:rFonts w:ascii="Times New Roman" w:eastAsia="Times New Roman" w:hAnsi="Times New Roman" w:cs="Times New Roman"/>
        </w:rPr>
        <w:t xml:space="preserve"> activity and stability of nitrogen-containing carbon Nanotubes in the oxygen reduction reaction. J. Phys. Chem. C. 113, 14302–14310 (2009). </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 xml:space="preserve">Lai, L. et al. Exploration of the active </w:t>
      </w:r>
      <w:proofErr w:type="spellStart"/>
      <w:r>
        <w:rPr>
          <w:rFonts w:ascii="Times New Roman" w:eastAsia="Times New Roman" w:hAnsi="Times New Roman" w:cs="Times New Roman"/>
        </w:rPr>
        <w:t>center</w:t>
      </w:r>
      <w:proofErr w:type="spellEnd"/>
      <w:r>
        <w:rPr>
          <w:rFonts w:ascii="Times New Roman" w:eastAsia="Times New Roman" w:hAnsi="Times New Roman" w:cs="Times New Roman"/>
        </w:rPr>
        <w:t xml:space="preserve"> structure of nitrogen-doped </w:t>
      </w:r>
      <w:proofErr w:type="spellStart"/>
      <w:r>
        <w:rPr>
          <w:rFonts w:ascii="Times New Roman" w:eastAsia="Times New Roman" w:hAnsi="Times New Roman" w:cs="Times New Roman"/>
        </w:rPr>
        <w:t>graphene</w:t>
      </w:r>
      <w:proofErr w:type="spellEnd"/>
      <w:r>
        <w:rPr>
          <w:rFonts w:ascii="Times New Roman" w:eastAsia="Times New Roman" w:hAnsi="Times New Roman" w:cs="Times New Roman"/>
        </w:rPr>
        <w:t>-based catalysts for oxygen reduction reaction. Energy Environ. Sci. 5</w:t>
      </w:r>
      <w:proofErr w:type="gramStart"/>
      <w:r>
        <w:rPr>
          <w:rFonts w:ascii="Times New Roman" w:eastAsia="Times New Roman" w:hAnsi="Times New Roman" w:cs="Times New Roman"/>
        </w:rPr>
        <w:t>,7936</w:t>
      </w:r>
      <w:proofErr w:type="gramEnd"/>
      <w:r>
        <w:rPr>
          <w:rFonts w:ascii="Times New Roman" w:eastAsia="Times New Roman" w:hAnsi="Times New Roman" w:cs="Times New Roman"/>
        </w:rPr>
        <w:t>–7942 (2012).</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proofErr w:type="spellStart"/>
      <w:r>
        <w:rPr>
          <w:rFonts w:ascii="Times New Roman" w:eastAsia="Times New Roman" w:hAnsi="Times New Roman" w:cs="Times New Roman"/>
        </w:rPr>
        <w:t>Borghei</w:t>
      </w:r>
      <w:proofErr w:type="spellEnd"/>
      <w:r>
        <w:rPr>
          <w:rFonts w:ascii="Times New Roman" w:eastAsia="Times New Roman" w:hAnsi="Times New Roman" w:cs="Times New Roman"/>
        </w:rPr>
        <w:t xml:space="preserve">, M. et al. High oxygen reduction activity of few-walled carbon nanotubes with low nitrogen content. Appl. </w:t>
      </w:r>
      <w:proofErr w:type="spellStart"/>
      <w:r>
        <w:rPr>
          <w:rFonts w:ascii="Times New Roman" w:eastAsia="Times New Roman" w:hAnsi="Times New Roman" w:cs="Times New Roman"/>
        </w:rPr>
        <w:t>Catal</w:t>
      </w:r>
      <w:proofErr w:type="spellEnd"/>
      <w:r>
        <w:rPr>
          <w:rFonts w:ascii="Times New Roman" w:eastAsia="Times New Roman" w:hAnsi="Times New Roman" w:cs="Times New Roman"/>
        </w:rPr>
        <w:t>. B: Environ. 158–159, 233–241 (2014).</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 xml:space="preserve">Zhao, A. et al. Activation and stabilization of nitrogen-doped carbon nanotubes as </w:t>
      </w:r>
      <w:proofErr w:type="spellStart"/>
      <w:r>
        <w:rPr>
          <w:rFonts w:ascii="Times New Roman" w:eastAsia="Times New Roman" w:hAnsi="Times New Roman" w:cs="Times New Roman"/>
        </w:rPr>
        <w:t>electrocatalysts</w:t>
      </w:r>
      <w:proofErr w:type="spellEnd"/>
      <w:r>
        <w:rPr>
          <w:rFonts w:ascii="Times New Roman" w:eastAsia="Times New Roman" w:hAnsi="Times New Roman" w:cs="Times New Roman"/>
        </w:rPr>
        <w:t xml:space="preserve"> in the oxygen reduction reaction at strongly alkaline conditions. J. Phys. Chem. C. 117, 24283–24291 (2013).</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proofErr w:type="spellStart"/>
      <w:r>
        <w:rPr>
          <w:rFonts w:ascii="Times New Roman" w:eastAsia="Times New Roman" w:hAnsi="Times New Roman" w:cs="Times New Roman"/>
        </w:rPr>
        <w:t>Vikkisk</w:t>
      </w:r>
      <w:proofErr w:type="spellEnd"/>
      <w:r>
        <w:rPr>
          <w:rFonts w:ascii="Times New Roman" w:eastAsia="Times New Roman" w:hAnsi="Times New Roman" w:cs="Times New Roman"/>
        </w:rPr>
        <w:t xml:space="preserve">, M. et al. Enhanced </w:t>
      </w:r>
      <w:proofErr w:type="spellStart"/>
      <w:r>
        <w:rPr>
          <w:rFonts w:ascii="Times New Roman" w:eastAsia="Times New Roman" w:hAnsi="Times New Roman" w:cs="Times New Roman"/>
        </w:rPr>
        <w:t>electrocatalytic</w:t>
      </w:r>
      <w:proofErr w:type="spellEnd"/>
      <w:r>
        <w:rPr>
          <w:rFonts w:ascii="Times New Roman" w:eastAsia="Times New Roman" w:hAnsi="Times New Roman" w:cs="Times New Roman"/>
        </w:rPr>
        <w:t xml:space="preserve"> activity of nitrogen-doped </w:t>
      </w:r>
      <w:proofErr w:type="spellStart"/>
      <w:r>
        <w:rPr>
          <w:rFonts w:ascii="Times New Roman" w:eastAsia="Times New Roman" w:hAnsi="Times New Roman" w:cs="Times New Roman"/>
        </w:rPr>
        <w:t>multiwalled</w:t>
      </w:r>
      <w:proofErr w:type="spellEnd"/>
      <w:r>
        <w:rPr>
          <w:rFonts w:ascii="Times New Roman" w:eastAsia="Times New Roman" w:hAnsi="Times New Roman" w:cs="Times New Roman"/>
        </w:rPr>
        <w:t xml:space="preserve"> carbon nanotubes towards the oxygen reduction reaction in alkaline media. RSC Adv. 5, 59495–59505 (2015).</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Chen, Z. et al. Highly Active Nitrogen-doped carbon nanotubes for oxygen reduction reaction in fuel cell applications. J. Phys. Chem. C. 113, 21008–21013 (2009).</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proofErr w:type="spellStart"/>
      <w:r>
        <w:rPr>
          <w:rFonts w:ascii="Times New Roman" w:eastAsia="Times New Roman" w:hAnsi="Times New Roman" w:cs="Times New Roman"/>
        </w:rPr>
        <w:t>Guo</w:t>
      </w:r>
      <w:proofErr w:type="spellEnd"/>
      <w:r>
        <w:rPr>
          <w:rFonts w:ascii="Times New Roman" w:eastAsia="Times New Roman" w:hAnsi="Times New Roman" w:cs="Times New Roman"/>
        </w:rPr>
        <w:t>, D. et al. Active sites of nitrogen-doped carbon materials for oxygen reduction reaction clarified using model catalysts. Science 351, 361–365 (2016).</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proofErr w:type="spellStart"/>
      <w:r>
        <w:rPr>
          <w:rFonts w:ascii="Times New Roman" w:eastAsia="Times New Roman" w:hAnsi="Times New Roman" w:cs="Times New Roman"/>
        </w:rPr>
        <w:t>Poh</w:t>
      </w:r>
      <w:proofErr w:type="spellEnd"/>
      <w:r>
        <w:rPr>
          <w:rFonts w:ascii="Times New Roman" w:eastAsia="Times New Roman" w:hAnsi="Times New Roman" w:cs="Times New Roman"/>
        </w:rPr>
        <w:t xml:space="preserve">, H. L. et al. </w:t>
      </w:r>
      <w:proofErr w:type="spellStart"/>
      <w:r>
        <w:rPr>
          <w:rFonts w:ascii="Times New Roman" w:eastAsia="Times New Roman" w:hAnsi="Times New Roman" w:cs="Times New Roman"/>
        </w:rPr>
        <w:t>Sulfur</w:t>
      </w:r>
      <w:proofErr w:type="spellEnd"/>
      <w:r>
        <w:rPr>
          <w:rFonts w:ascii="Times New Roman" w:eastAsia="Times New Roman" w:hAnsi="Times New Roman" w:cs="Times New Roman"/>
        </w:rPr>
        <w:t xml:space="preserve">-doped </w:t>
      </w:r>
      <w:proofErr w:type="spellStart"/>
      <w:r>
        <w:rPr>
          <w:rFonts w:ascii="Times New Roman" w:eastAsia="Times New Roman" w:hAnsi="Times New Roman" w:cs="Times New Roman"/>
        </w:rPr>
        <w:t>graphene</w:t>
      </w:r>
      <w:proofErr w:type="spellEnd"/>
      <w:r>
        <w:rPr>
          <w:rFonts w:ascii="Times New Roman" w:eastAsia="Times New Roman" w:hAnsi="Times New Roman" w:cs="Times New Roman"/>
        </w:rPr>
        <w:t xml:space="preserve"> via thermal exfoliation of graphite oxide in H2S, SO2, or CS2 Gas. ACS Nano 7, 5262–5272 (2013).</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 xml:space="preserve">Yao, Z. et al. Catalyst-free synthesis of iodine-doped </w:t>
      </w:r>
      <w:proofErr w:type="spellStart"/>
      <w:r>
        <w:rPr>
          <w:rFonts w:ascii="Times New Roman" w:eastAsia="Times New Roman" w:hAnsi="Times New Roman" w:cs="Times New Roman"/>
        </w:rPr>
        <w:t>graphenevia</w:t>
      </w:r>
      <w:proofErr w:type="spellEnd"/>
      <w:r>
        <w:rPr>
          <w:rFonts w:ascii="Times New Roman" w:eastAsia="Times New Roman" w:hAnsi="Times New Roman" w:cs="Times New Roman"/>
        </w:rPr>
        <w:t xml:space="preserve"> a facile thermal annealing process and its use for </w:t>
      </w:r>
      <w:proofErr w:type="spellStart"/>
      <w:r>
        <w:rPr>
          <w:rFonts w:ascii="Times New Roman" w:eastAsia="Times New Roman" w:hAnsi="Times New Roman" w:cs="Times New Roman"/>
        </w:rPr>
        <w:t>electrocatalytic</w:t>
      </w:r>
      <w:proofErr w:type="spellEnd"/>
      <w:r>
        <w:rPr>
          <w:rFonts w:ascii="Times New Roman" w:eastAsia="Times New Roman" w:hAnsi="Times New Roman" w:cs="Times New Roman"/>
        </w:rPr>
        <w:t xml:space="preserve"> oxygen reduction in an alkaline medium. Chem. </w:t>
      </w:r>
      <w:proofErr w:type="spellStart"/>
      <w:r>
        <w:rPr>
          <w:rFonts w:ascii="Times New Roman" w:eastAsia="Times New Roman" w:hAnsi="Times New Roman" w:cs="Times New Roman"/>
        </w:rPr>
        <w:t>Commun</w:t>
      </w:r>
      <w:proofErr w:type="spellEnd"/>
      <w:r>
        <w:rPr>
          <w:rFonts w:ascii="Times New Roman" w:eastAsia="Times New Roman" w:hAnsi="Times New Roman" w:cs="Times New Roman"/>
        </w:rPr>
        <w:t>. 48, 1027–1029 (2012).</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 xml:space="preserve">Wang, X. et al. One-pot synthesis of nitrogen and </w:t>
      </w:r>
      <w:proofErr w:type="spellStart"/>
      <w:r>
        <w:rPr>
          <w:rFonts w:ascii="Times New Roman" w:eastAsia="Times New Roman" w:hAnsi="Times New Roman" w:cs="Times New Roman"/>
        </w:rPr>
        <w:t>sulfur</w:t>
      </w:r>
      <w:proofErr w:type="spellEnd"/>
      <w:r>
        <w:rPr>
          <w:rFonts w:ascii="Times New Roman" w:eastAsia="Times New Roman" w:hAnsi="Times New Roman" w:cs="Times New Roman"/>
        </w:rPr>
        <w:t xml:space="preserve"> co-doped </w:t>
      </w:r>
      <w:proofErr w:type="spellStart"/>
      <w:r>
        <w:rPr>
          <w:rFonts w:ascii="Times New Roman" w:eastAsia="Times New Roman" w:hAnsi="Times New Roman" w:cs="Times New Roman"/>
        </w:rPr>
        <w:t>graphene</w:t>
      </w:r>
      <w:proofErr w:type="spellEnd"/>
      <w:r>
        <w:rPr>
          <w:rFonts w:ascii="Times New Roman" w:eastAsia="Times New Roman" w:hAnsi="Times New Roman" w:cs="Times New Roman"/>
        </w:rPr>
        <w:t xml:space="preserve"> as efficient metal-free </w:t>
      </w:r>
      <w:proofErr w:type="spellStart"/>
      <w:r>
        <w:rPr>
          <w:rFonts w:ascii="Times New Roman" w:eastAsia="Times New Roman" w:hAnsi="Times New Roman" w:cs="Times New Roman"/>
        </w:rPr>
        <w:t>electrocatalysts</w:t>
      </w:r>
      <w:proofErr w:type="spellEnd"/>
      <w:r>
        <w:rPr>
          <w:rFonts w:ascii="Times New Roman" w:eastAsia="Times New Roman" w:hAnsi="Times New Roman" w:cs="Times New Roman"/>
        </w:rPr>
        <w:t xml:space="preserve"> for the oxygen reduction reaction. Chem. </w:t>
      </w:r>
      <w:proofErr w:type="spellStart"/>
      <w:r>
        <w:rPr>
          <w:rFonts w:ascii="Times New Roman" w:eastAsia="Times New Roman" w:hAnsi="Times New Roman" w:cs="Times New Roman"/>
        </w:rPr>
        <w:t>Commun</w:t>
      </w:r>
      <w:proofErr w:type="spellEnd"/>
      <w:r>
        <w:rPr>
          <w:rFonts w:ascii="Times New Roman" w:eastAsia="Times New Roman" w:hAnsi="Times New Roman" w:cs="Times New Roman"/>
        </w:rPr>
        <w:t>. 50, 4839–4842 (2014).</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Choi, C. H. et al. Binary and ternary doping of nitrogen, boron, and phosphorus into carbon for enhancing electrochemical oxygen reduction activity. ACS Nano 6, 7084–7091 (2012).</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 xml:space="preserve">Li, J. S. et al. </w:t>
      </w:r>
      <w:proofErr w:type="gramStart"/>
      <w:r>
        <w:rPr>
          <w:rFonts w:ascii="Times New Roman" w:eastAsia="Times New Roman" w:hAnsi="Times New Roman" w:cs="Times New Roman"/>
        </w:rPr>
        <w:t>Heteroatoms</w:t>
      </w:r>
      <w:proofErr w:type="gramEnd"/>
      <w:r>
        <w:rPr>
          <w:rFonts w:ascii="Times New Roman" w:eastAsia="Times New Roman" w:hAnsi="Times New Roman" w:cs="Times New Roman"/>
        </w:rPr>
        <w:t xml:space="preserve"> ternary-doped porous carbons derived from MOFs as metal-free </w:t>
      </w:r>
      <w:proofErr w:type="spellStart"/>
      <w:r>
        <w:rPr>
          <w:rFonts w:ascii="Times New Roman" w:eastAsia="Times New Roman" w:hAnsi="Times New Roman" w:cs="Times New Roman"/>
        </w:rPr>
        <w:t>electrocatalysts</w:t>
      </w:r>
      <w:proofErr w:type="spellEnd"/>
      <w:r>
        <w:rPr>
          <w:rFonts w:ascii="Times New Roman" w:eastAsia="Times New Roman" w:hAnsi="Times New Roman" w:cs="Times New Roman"/>
        </w:rPr>
        <w:t xml:space="preserve"> for oxygen reduction reaction. Sci. Rep. 4, 5130 (2014).</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proofErr w:type="spellStart"/>
      <w:r>
        <w:rPr>
          <w:rFonts w:ascii="Times New Roman" w:eastAsia="Times New Roman" w:hAnsi="Times New Roman" w:cs="Times New Roman"/>
        </w:rPr>
        <w:t>Razmjooei</w:t>
      </w:r>
      <w:proofErr w:type="spellEnd"/>
      <w:r>
        <w:rPr>
          <w:rFonts w:ascii="Times New Roman" w:eastAsia="Times New Roman" w:hAnsi="Times New Roman" w:cs="Times New Roman"/>
        </w:rPr>
        <w:t xml:space="preserve">, F. et al. Enhanced </w:t>
      </w:r>
      <w:proofErr w:type="spellStart"/>
      <w:r>
        <w:rPr>
          <w:rFonts w:ascii="Times New Roman" w:eastAsia="Times New Roman" w:hAnsi="Times New Roman" w:cs="Times New Roman"/>
        </w:rPr>
        <w:t>electrocatalytic</w:t>
      </w:r>
      <w:proofErr w:type="spellEnd"/>
      <w:r>
        <w:rPr>
          <w:rFonts w:ascii="Times New Roman" w:eastAsia="Times New Roman" w:hAnsi="Times New Roman" w:cs="Times New Roman"/>
        </w:rPr>
        <w:t xml:space="preserve"> activity due to additional phosphorous doping in nitrogen and </w:t>
      </w:r>
      <w:proofErr w:type="spellStart"/>
      <w:r>
        <w:rPr>
          <w:rFonts w:ascii="Times New Roman" w:eastAsia="Times New Roman" w:hAnsi="Times New Roman" w:cs="Times New Roman"/>
        </w:rPr>
        <w:t>sulfur</w:t>
      </w:r>
      <w:proofErr w:type="spellEnd"/>
      <w:r>
        <w:rPr>
          <w:rFonts w:ascii="Times New Roman" w:eastAsia="Times New Roman" w:hAnsi="Times New Roman" w:cs="Times New Roman"/>
        </w:rPr>
        <w:t xml:space="preserve">-doped </w:t>
      </w:r>
      <w:proofErr w:type="spellStart"/>
      <w:r>
        <w:rPr>
          <w:rFonts w:ascii="Times New Roman" w:eastAsia="Times New Roman" w:hAnsi="Times New Roman" w:cs="Times New Roman"/>
        </w:rPr>
        <w:t>graphene</w:t>
      </w:r>
      <w:proofErr w:type="spellEnd"/>
      <w:r>
        <w:rPr>
          <w:rFonts w:ascii="Times New Roman" w:eastAsia="Times New Roman" w:hAnsi="Times New Roman" w:cs="Times New Roman"/>
        </w:rPr>
        <w:t>: a comprehensive study. Carbon 78, 257–267 (2014).</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 xml:space="preserve">Lin, H. et al. Boron, nitrogen, and phosphorous ternary doped </w:t>
      </w:r>
      <w:proofErr w:type="spellStart"/>
      <w:r>
        <w:rPr>
          <w:rFonts w:ascii="Times New Roman" w:eastAsia="Times New Roman" w:hAnsi="Times New Roman" w:cs="Times New Roman"/>
        </w:rPr>
        <w:t>graphene</w:t>
      </w:r>
      <w:proofErr w:type="spellEnd"/>
      <w:r>
        <w:rPr>
          <w:rFonts w:ascii="Times New Roman" w:eastAsia="Times New Roman" w:hAnsi="Times New Roman" w:cs="Times New Roman"/>
        </w:rPr>
        <w:t xml:space="preserve"> aerogel with hierarchically porous structures as highly efficient </w:t>
      </w:r>
      <w:proofErr w:type="spellStart"/>
      <w:r>
        <w:rPr>
          <w:rFonts w:ascii="Times New Roman" w:eastAsia="Times New Roman" w:hAnsi="Times New Roman" w:cs="Times New Roman"/>
        </w:rPr>
        <w:t>electrocatalysts</w:t>
      </w:r>
      <w:proofErr w:type="spellEnd"/>
      <w:r>
        <w:rPr>
          <w:rFonts w:ascii="Times New Roman" w:eastAsia="Times New Roman" w:hAnsi="Times New Roman" w:cs="Times New Roman"/>
        </w:rPr>
        <w:t xml:space="preserve"> for oxygen reduction reaction. New J. Chem. 40, 6022–6029 (2016).</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 xml:space="preserve">Lin, H. et al. Boron, nitrogen, and phosphorous ternary doped </w:t>
      </w:r>
      <w:proofErr w:type="spellStart"/>
      <w:r>
        <w:rPr>
          <w:rFonts w:ascii="Times New Roman" w:eastAsia="Times New Roman" w:hAnsi="Times New Roman" w:cs="Times New Roman"/>
        </w:rPr>
        <w:t>graphene</w:t>
      </w:r>
      <w:proofErr w:type="spellEnd"/>
      <w:r>
        <w:rPr>
          <w:rFonts w:ascii="Times New Roman" w:eastAsia="Times New Roman" w:hAnsi="Times New Roman" w:cs="Times New Roman"/>
        </w:rPr>
        <w:t xml:space="preserve"> aerogel with hierarchically porous structures as highly efficient </w:t>
      </w:r>
      <w:proofErr w:type="spellStart"/>
      <w:r>
        <w:rPr>
          <w:rFonts w:ascii="Times New Roman" w:eastAsia="Times New Roman" w:hAnsi="Times New Roman" w:cs="Times New Roman"/>
        </w:rPr>
        <w:t>electrocatalysts</w:t>
      </w:r>
      <w:proofErr w:type="spellEnd"/>
      <w:r>
        <w:rPr>
          <w:rFonts w:ascii="Times New Roman" w:eastAsia="Times New Roman" w:hAnsi="Times New Roman" w:cs="Times New Roman"/>
        </w:rPr>
        <w:t xml:space="preserve"> for oxygen reduction reaction. New J. Chem. 40, 6022–6029 (2016).</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 xml:space="preserve">Li, J. S. et al. </w:t>
      </w:r>
      <w:proofErr w:type="gramStart"/>
      <w:r>
        <w:rPr>
          <w:rFonts w:ascii="Times New Roman" w:eastAsia="Times New Roman" w:hAnsi="Times New Roman" w:cs="Times New Roman"/>
        </w:rPr>
        <w:t>Heteroatoms</w:t>
      </w:r>
      <w:proofErr w:type="gramEnd"/>
      <w:r>
        <w:rPr>
          <w:rFonts w:ascii="Times New Roman" w:eastAsia="Times New Roman" w:hAnsi="Times New Roman" w:cs="Times New Roman"/>
        </w:rPr>
        <w:t xml:space="preserve"> ternary-doped porous carbons derived from MOFs as metal-free </w:t>
      </w:r>
      <w:proofErr w:type="spellStart"/>
      <w:r>
        <w:rPr>
          <w:rFonts w:ascii="Times New Roman" w:eastAsia="Times New Roman" w:hAnsi="Times New Roman" w:cs="Times New Roman"/>
        </w:rPr>
        <w:t>electrocatalysts</w:t>
      </w:r>
      <w:proofErr w:type="spellEnd"/>
      <w:r>
        <w:rPr>
          <w:rFonts w:ascii="Times New Roman" w:eastAsia="Times New Roman" w:hAnsi="Times New Roman" w:cs="Times New Roman"/>
        </w:rPr>
        <w:t xml:space="preserve"> for oxygen reduction reaction. Sci. Rep. 4, 5130 (2014).</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proofErr w:type="spellStart"/>
      <w:r>
        <w:rPr>
          <w:rFonts w:ascii="Times New Roman" w:eastAsia="Times New Roman" w:hAnsi="Times New Roman" w:cs="Times New Roman"/>
        </w:rPr>
        <w:t>Qu</w:t>
      </w:r>
      <w:proofErr w:type="spellEnd"/>
      <w:r>
        <w:rPr>
          <w:rFonts w:ascii="Times New Roman" w:eastAsia="Times New Roman" w:hAnsi="Times New Roman" w:cs="Times New Roman"/>
        </w:rPr>
        <w:t xml:space="preserve">, K., </w:t>
      </w:r>
      <w:proofErr w:type="spellStart"/>
      <w:r>
        <w:rPr>
          <w:rFonts w:ascii="Times New Roman" w:eastAsia="Times New Roman" w:hAnsi="Times New Roman" w:cs="Times New Roman"/>
        </w:rPr>
        <w:t>Zheng</w:t>
      </w:r>
      <w:proofErr w:type="spellEnd"/>
      <w:r>
        <w:rPr>
          <w:rFonts w:ascii="Times New Roman" w:eastAsia="Times New Roman" w:hAnsi="Times New Roman" w:cs="Times New Roman"/>
        </w:rPr>
        <w:t xml:space="preserve">, Y., Dai, S. &amp; </w:t>
      </w:r>
      <w:proofErr w:type="spellStart"/>
      <w:r>
        <w:rPr>
          <w:rFonts w:ascii="Times New Roman" w:eastAsia="Times New Roman" w:hAnsi="Times New Roman" w:cs="Times New Roman"/>
        </w:rPr>
        <w:t>Qiao</w:t>
      </w:r>
      <w:proofErr w:type="spellEnd"/>
      <w:r>
        <w:rPr>
          <w:rFonts w:ascii="Times New Roman" w:eastAsia="Times New Roman" w:hAnsi="Times New Roman" w:cs="Times New Roman"/>
        </w:rPr>
        <w:t xml:space="preserve">, S. Z. </w:t>
      </w:r>
      <w:proofErr w:type="spellStart"/>
      <w:r>
        <w:rPr>
          <w:rFonts w:ascii="Times New Roman" w:eastAsia="Times New Roman" w:hAnsi="Times New Roman" w:cs="Times New Roman"/>
        </w:rPr>
        <w:t>Graphene</w:t>
      </w:r>
      <w:proofErr w:type="spellEnd"/>
      <w:r>
        <w:rPr>
          <w:rFonts w:ascii="Times New Roman" w:eastAsia="Times New Roman" w:hAnsi="Times New Roman" w:cs="Times New Roman"/>
        </w:rPr>
        <w:t xml:space="preserve"> oxide-</w:t>
      </w:r>
      <w:proofErr w:type="spellStart"/>
      <w:r>
        <w:rPr>
          <w:rFonts w:ascii="Times New Roman" w:eastAsia="Times New Roman" w:hAnsi="Times New Roman" w:cs="Times New Roman"/>
        </w:rPr>
        <w:t>polydopamine</w:t>
      </w:r>
      <w:proofErr w:type="spellEnd"/>
      <w:r>
        <w:rPr>
          <w:rFonts w:ascii="Times New Roman" w:eastAsia="Times New Roman" w:hAnsi="Times New Roman" w:cs="Times New Roman"/>
        </w:rPr>
        <w:t xml:space="preserve"> derived N, S-</w:t>
      </w:r>
      <w:proofErr w:type="spellStart"/>
      <w:r>
        <w:rPr>
          <w:rFonts w:ascii="Times New Roman" w:eastAsia="Times New Roman" w:hAnsi="Times New Roman" w:cs="Times New Roman"/>
        </w:rPr>
        <w:t>codoped</w:t>
      </w:r>
      <w:proofErr w:type="spellEnd"/>
      <w:r>
        <w:rPr>
          <w:rFonts w:ascii="Times New Roman" w:eastAsia="Times New Roman" w:hAnsi="Times New Roman" w:cs="Times New Roman"/>
        </w:rPr>
        <w:t xml:space="preserve"> carbon </w:t>
      </w:r>
      <w:proofErr w:type="spellStart"/>
      <w:r>
        <w:rPr>
          <w:rFonts w:ascii="Times New Roman" w:eastAsia="Times New Roman" w:hAnsi="Times New Roman" w:cs="Times New Roman"/>
        </w:rPr>
        <w:t>nanosheets</w:t>
      </w:r>
      <w:proofErr w:type="spellEnd"/>
      <w:r>
        <w:rPr>
          <w:rFonts w:ascii="Times New Roman" w:eastAsia="Times New Roman" w:hAnsi="Times New Roman" w:cs="Times New Roman"/>
        </w:rPr>
        <w:t xml:space="preserve"> as superior </w:t>
      </w:r>
      <w:proofErr w:type="spellStart"/>
      <w:r>
        <w:rPr>
          <w:rFonts w:ascii="Times New Roman" w:eastAsia="Times New Roman" w:hAnsi="Times New Roman" w:cs="Times New Roman"/>
        </w:rPr>
        <w:t>bifunctional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electrocatalysts</w:t>
      </w:r>
      <w:proofErr w:type="spellEnd"/>
      <w:r>
        <w:rPr>
          <w:rFonts w:ascii="Times New Roman" w:eastAsia="Times New Roman" w:hAnsi="Times New Roman" w:cs="Times New Roman"/>
        </w:rPr>
        <w:t xml:space="preserve"> for oxygen reduction and evolution. Nano Energy 19, 373–381 (2016).</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proofErr w:type="spellStart"/>
      <w:r>
        <w:rPr>
          <w:rFonts w:ascii="Times New Roman" w:eastAsia="Times New Roman" w:hAnsi="Times New Roman" w:cs="Times New Roman"/>
        </w:rPr>
        <w:t>Jaouen</w:t>
      </w:r>
      <w:proofErr w:type="spellEnd"/>
      <w:r>
        <w:rPr>
          <w:rFonts w:ascii="Times New Roman" w:eastAsia="Times New Roman" w:hAnsi="Times New Roman" w:cs="Times New Roman"/>
        </w:rPr>
        <w:t xml:space="preserve">, F., </w:t>
      </w:r>
      <w:proofErr w:type="spellStart"/>
      <w:r>
        <w:rPr>
          <w:rFonts w:ascii="Times New Roman" w:eastAsia="Times New Roman" w:hAnsi="Times New Roman" w:cs="Times New Roman"/>
        </w:rPr>
        <w:t>Lefèvre</w:t>
      </w:r>
      <w:proofErr w:type="spellEnd"/>
      <w:r>
        <w:rPr>
          <w:rFonts w:ascii="Times New Roman" w:eastAsia="Times New Roman" w:hAnsi="Times New Roman" w:cs="Times New Roman"/>
        </w:rPr>
        <w:t xml:space="preserve">, M., </w:t>
      </w:r>
      <w:proofErr w:type="spellStart"/>
      <w:r>
        <w:rPr>
          <w:rFonts w:ascii="Times New Roman" w:eastAsia="Times New Roman" w:hAnsi="Times New Roman" w:cs="Times New Roman"/>
        </w:rPr>
        <w:t>Dodelet</w:t>
      </w:r>
      <w:proofErr w:type="spellEnd"/>
      <w:r>
        <w:rPr>
          <w:rFonts w:ascii="Times New Roman" w:eastAsia="Times New Roman" w:hAnsi="Times New Roman" w:cs="Times New Roman"/>
        </w:rPr>
        <w:t xml:space="preserve">, J. P., &amp; </w:t>
      </w:r>
      <w:proofErr w:type="spellStart"/>
      <w:proofErr w:type="gramStart"/>
      <w:r>
        <w:rPr>
          <w:rFonts w:ascii="Times New Roman" w:eastAsia="Times New Roman" w:hAnsi="Times New Roman" w:cs="Times New Roman"/>
        </w:rPr>
        <w:t>Cai</w:t>
      </w:r>
      <w:proofErr w:type="spellEnd"/>
      <w:proofErr w:type="gramEnd"/>
      <w:r>
        <w:rPr>
          <w:rFonts w:ascii="Times New Roman" w:eastAsia="Times New Roman" w:hAnsi="Times New Roman" w:cs="Times New Roman"/>
        </w:rPr>
        <w:t xml:space="preserve">, M. (2006). Heat-treated Fe/N/C catalysts for O2 </w:t>
      </w:r>
      <w:proofErr w:type="spellStart"/>
      <w:r>
        <w:rPr>
          <w:rFonts w:ascii="Times New Roman" w:eastAsia="Times New Roman" w:hAnsi="Times New Roman" w:cs="Times New Roman"/>
        </w:rPr>
        <w:t>electroreduction</w:t>
      </w:r>
      <w:proofErr w:type="spellEnd"/>
      <w:r>
        <w:rPr>
          <w:rFonts w:ascii="Times New Roman" w:eastAsia="Times New Roman" w:hAnsi="Times New Roman" w:cs="Times New Roman"/>
        </w:rPr>
        <w:t xml:space="preserve">: are active sites hosted in </w:t>
      </w:r>
      <w:proofErr w:type="spellStart"/>
      <w:r>
        <w:rPr>
          <w:rFonts w:ascii="Times New Roman" w:eastAsia="Times New Roman" w:hAnsi="Times New Roman" w:cs="Times New Roman"/>
        </w:rPr>
        <w:t>micropores</w:t>
      </w:r>
      <w:proofErr w:type="spellEnd"/>
      <w:r>
        <w:rPr>
          <w:rFonts w:ascii="Times New Roman" w:eastAsia="Times New Roman" w:hAnsi="Times New Roman" w:cs="Times New Roman"/>
        </w:rPr>
        <w:t xml:space="preserve">? Journal of Physical Chemistry B, 110(11), 5553-5558. </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proofErr w:type="spellStart"/>
      <w:r>
        <w:rPr>
          <w:rFonts w:ascii="Times New Roman" w:eastAsia="Times New Roman" w:hAnsi="Times New Roman" w:cs="Times New Roman"/>
        </w:rPr>
        <w:t>Lefèvre</w:t>
      </w:r>
      <w:proofErr w:type="spellEnd"/>
      <w:r>
        <w:rPr>
          <w:rFonts w:ascii="Times New Roman" w:eastAsia="Times New Roman" w:hAnsi="Times New Roman" w:cs="Times New Roman"/>
        </w:rPr>
        <w:t xml:space="preserve">, M., </w:t>
      </w:r>
      <w:proofErr w:type="spellStart"/>
      <w:r>
        <w:rPr>
          <w:rFonts w:ascii="Times New Roman" w:eastAsia="Times New Roman" w:hAnsi="Times New Roman" w:cs="Times New Roman"/>
        </w:rPr>
        <w:t>Proietti</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Jaouen</w:t>
      </w:r>
      <w:proofErr w:type="spellEnd"/>
      <w:r>
        <w:rPr>
          <w:rFonts w:ascii="Times New Roman" w:eastAsia="Times New Roman" w:hAnsi="Times New Roman" w:cs="Times New Roman"/>
        </w:rPr>
        <w:t xml:space="preserve">, F., &amp; </w:t>
      </w:r>
      <w:proofErr w:type="spellStart"/>
      <w:r>
        <w:rPr>
          <w:rFonts w:ascii="Times New Roman" w:eastAsia="Times New Roman" w:hAnsi="Times New Roman" w:cs="Times New Roman"/>
        </w:rPr>
        <w:t>Dodelet</w:t>
      </w:r>
      <w:proofErr w:type="spellEnd"/>
      <w:r>
        <w:rPr>
          <w:rFonts w:ascii="Times New Roman" w:eastAsia="Times New Roman" w:hAnsi="Times New Roman" w:cs="Times New Roman"/>
        </w:rPr>
        <w:t xml:space="preserve">, J. P. (2009). Iron-based catalysts with improved oxygen reduction activity in polymer electrolyte fuel cells. Science, 324(5923), 71-74. </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 xml:space="preserve">Chung, H. T., Cullen, D. A., Higgins, D., Sneed, B. T., </w:t>
      </w:r>
      <w:proofErr w:type="spellStart"/>
      <w:r>
        <w:rPr>
          <w:rFonts w:ascii="Times New Roman" w:eastAsia="Times New Roman" w:hAnsi="Times New Roman" w:cs="Times New Roman"/>
        </w:rPr>
        <w:t>Holby</w:t>
      </w:r>
      <w:proofErr w:type="spellEnd"/>
      <w:r>
        <w:rPr>
          <w:rFonts w:ascii="Times New Roman" w:eastAsia="Times New Roman" w:hAnsi="Times New Roman" w:cs="Times New Roman"/>
        </w:rPr>
        <w:t>, E. F., More, K. L</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&amp; Chen, J. G. (2016). Direct atomic-level.</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proofErr w:type="spellStart"/>
      <w:r>
        <w:rPr>
          <w:rFonts w:ascii="Times New Roman" w:eastAsia="Times New Roman" w:hAnsi="Times New Roman" w:cs="Times New Roman"/>
        </w:rPr>
        <w:t>Zeng</w:t>
      </w:r>
      <w:proofErr w:type="spellEnd"/>
      <w:r>
        <w:rPr>
          <w:rFonts w:ascii="Times New Roman" w:eastAsia="Times New Roman" w:hAnsi="Times New Roman" w:cs="Times New Roman"/>
        </w:rPr>
        <w:t xml:space="preserve">, J., Zhang, X., &amp; Chen, G. (2010). Direct ethanol fuel cells: From performance improvement to mechanism study. Journal of Power Sources, 195(10), 3063-3078. </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 xml:space="preserve">Turner, J. A. (2004). Sustainable hydrogen production. Science, 305(5686), 972-974. </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proofErr w:type="spellStart"/>
      <w:r>
        <w:rPr>
          <w:rFonts w:ascii="Times New Roman" w:eastAsia="Times New Roman" w:hAnsi="Times New Roman" w:cs="Times New Roman"/>
        </w:rPr>
        <w:t>Armaroli</w:t>
      </w:r>
      <w:proofErr w:type="spellEnd"/>
      <w:r>
        <w:rPr>
          <w:rFonts w:ascii="Times New Roman" w:eastAsia="Times New Roman" w:hAnsi="Times New Roman" w:cs="Times New Roman"/>
        </w:rPr>
        <w:t xml:space="preserve">, N., &amp; </w:t>
      </w:r>
      <w:proofErr w:type="spellStart"/>
      <w:r>
        <w:rPr>
          <w:rFonts w:ascii="Times New Roman" w:eastAsia="Times New Roman" w:hAnsi="Times New Roman" w:cs="Times New Roman"/>
        </w:rPr>
        <w:t>Balzani</w:t>
      </w:r>
      <w:proofErr w:type="spellEnd"/>
      <w:r>
        <w:rPr>
          <w:rFonts w:ascii="Times New Roman" w:eastAsia="Times New Roman" w:hAnsi="Times New Roman" w:cs="Times New Roman"/>
        </w:rPr>
        <w:t xml:space="preserve">, V. (2007). The future of energy supply: Challenges and opportunities. </w:t>
      </w:r>
      <w:proofErr w:type="spellStart"/>
      <w:r>
        <w:rPr>
          <w:rFonts w:ascii="Times New Roman" w:eastAsia="Times New Roman" w:hAnsi="Times New Roman" w:cs="Times New Roman"/>
        </w:rPr>
        <w:t>Angewandte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Chemie</w:t>
      </w:r>
      <w:proofErr w:type="spellEnd"/>
      <w:r>
        <w:rPr>
          <w:rFonts w:ascii="Times New Roman" w:eastAsia="Times New Roman" w:hAnsi="Times New Roman" w:cs="Times New Roman"/>
        </w:rPr>
        <w:t xml:space="preserve"> International Edition, 46(1-2), 52-66. </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International Energy Agency (IEA). (2020). Global Energy Review 2020. https://www.iea.org/reports/global-energy-review-2020</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proofErr w:type="spellStart"/>
      <w:r>
        <w:rPr>
          <w:rFonts w:ascii="Times New Roman" w:eastAsia="Times New Roman" w:hAnsi="Times New Roman" w:cs="Times New Roman"/>
        </w:rPr>
        <w:t>Melaina</w:t>
      </w:r>
      <w:proofErr w:type="spellEnd"/>
      <w:r>
        <w:rPr>
          <w:rFonts w:ascii="Times New Roman" w:eastAsia="Times New Roman" w:hAnsi="Times New Roman" w:cs="Times New Roman"/>
        </w:rPr>
        <w:t xml:space="preserve">, M., </w:t>
      </w:r>
      <w:proofErr w:type="spellStart"/>
      <w:r>
        <w:rPr>
          <w:rFonts w:ascii="Times New Roman" w:eastAsia="Times New Roman" w:hAnsi="Times New Roman" w:cs="Times New Roman"/>
        </w:rPr>
        <w:t>Penev</w:t>
      </w:r>
      <w:proofErr w:type="spellEnd"/>
      <w:r>
        <w:rPr>
          <w:rFonts w:ascii="Times New Roman" w:eastAsia="Times New Roman" w:hAnsi="Times New Roman" w:cs="Times New Roman"/>
        </w:rPr>
        <w:t xml:space="preserve">, M., &amp; Bush, B. (2019). The hydrogen economy: Opportunities, costs, barriers, and R&amp;D needs. Annual Review of Environment and Resources, 44, 377-402. </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proofErr w:type="spellStart"/>
      <w:r>
        <w:rPr>
          <w:rFonts w:ascii="Times New Roman" w:eastAsia="Times New Roman" w:hAnsi="Times New Roman" w:cs="Times New Roman"/>
        </w:rPr>
        <w:t>Pehnt</w:t>
      </w:r>
      <w:proofErr w:type="spellEnd"/>
      <w:r>
        <w:rPr>
          <w:rFonts w:ascii="Times New Roman" w:eastAsia="Times New Roman" w:hAnsi="Times New Roman" w:cs="Times New Roman"/>
        </w:rPr>
        <w:t xml:space="preserve">, M., Bauer, C., Hermann, H., </w:t>
      </w:r>
      <w:proofErr w:type="spellStart"/>
      <w:r>
        <w:rPr>
          <w:rFonts w:ascii="Times New Roman" w:eastAsia="Times New Roman" w:hAnsi="Times New Roman" w:cs="Times New Roman"/>
        </w:rPr>
        <w:t>Hülser</w:t>
      </w:r>
      <w:proofErr w:type="spellEnd"/>
      <w:r>
        <w:rPr>
          <w:rFonts w:ascii="Times New Roman" w:eastAsia="Times New Roman" w:hAnsi="Times New Roman" w:cs="Times New Roman"/>
        </w:rPr>
        <w:t xml:space="preserve">, A., &amp; </w:t>
      </w:r>
      <w:proofErr w:type="spellStart"/>
      <w:r>
        <w:rPr>
          <w:rFonts w:ascii="Times New Roman" w:eastAsia="Times New Roman" w:hAnsi="Times New Roman" w:cs="Times New Roman"/>
        </w:rPr>
        <w:t>Weißenbach</w:t>
      </w:r>
      <w:proofErr w:type="spellEnd"/>
      <w:r>
        <w:rPr>
          <w:rFonts w:ascii="Times New Roman" w:eastAsia="Times New Roman" w:hAnsi="Times New Roman" w:cs="Times New Roman"/>
        </w:rPr>
        <w:t xml:space="preserve">, M. (2016). Life cycle assessment of hydrogen production via natural gas steam reforming. International Journal of Hydrogen Energy, 41(43), 19265-19281. </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 xml:space="preserve">Zhang, C., Hu, S., </w:t>
      </w:r>
      <w:proofErr w:type="spellStart"/>
      <w:r>
        <w:rPr>
          <w:rFonts w:ascii="Times New Roman" w:eastAsia="Times New Roman" w:hAnsi="Times New Roman" w:cs="Times New Roman"/>
        </w:rPr>
        <w:t>Zou</w:t>
      </w:r>
      <w:proofErr w:type="spellEnd"/>
      <w:r>
        <w:rPr>
          <w:rFonts w:ascii="Times New Roman" w:eastAsia="Times New Roman" w:hAnsi="Times New Roman" w:cs="Times New Roman"/>
        </w:rPr>
        <w:t xml:space="preserve">, Z., Yang, J., &amp; Sun, C. (2021). Recent advances in hydrogen production and utilization for </w:t>
      </w:r>
      <w:proofErr w:type="spellStart"/>
      <w:r>
        <w:rPr>
          <w:rFonts w:ascii="Times New Roman" w:eastAsia="Times New Roman" w:hAnsi="Times New Roman" w:cs="Times New Roman"/>
        </w:rPr>
        <w:t>decarbonization</w:t>
      </w:r>
      <w:proofErr w:type="spellEnd"/>
      <w:r>
        <w:rPr>
          <w:rFonts w:ascii="Times New Roman" w:eastAsia="Times New Roman" w:hAnsi="Times New Roman" w:cs="Times New Roman"/>
        </w:rPr>
        <w:t xml:space="preserve">. Renewable and Sustainable Energy Reviews, 137, 110607. </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 xml:space="preserve">International Energy Agency (IEA). (2021). Global Energy Review 2021. Retrieved from </w:t>
      </w:r>
      <w:hyperlink r:id="rId17">
        <w:r>
          <w:rPr>
            <w:rFonts w:ascii="Times New Roman" w:eastAsia="Times New Roman" w:hAnsi="Times New Roman" w:cs="Times New Roman"/>
            <w:color w:val="000000"/>
            <w:u w:val="single"/>
          </w:rPr>
          <w:t>https://www.iea.org/reports/global-energy-review-2021</w:t>
        </w:r>
      </w:hyperlink>
      <w:r>
        <w:rPr>
          <w:rFonts w:ascii="Times New Roman" w:eastAsia="Times New Roman" w:hAnsi="Times New Roman" w:cs="Times New Roman"/>
        </w:rPr>
        <w:t xml:space="preserve"> </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 xml:space="preserve">United States Energy Information Administration (EIA). (2021). Carbon dioxide emissions from energy consumption by source. Retrieved from </w:t>
      </w:r>
      <w:hyperlink r:id="rId18">
        <w:r>
          <w:rPr>
            <w:rFonts w:ascii="Times New Roman" w:eastAsia="Times New Roman" w:hAnsi="Times New Roman" w:cs="Times New Roman"/>
            <w:color w:val="000000"/>
            <w:u w:val="single"/>
          </w:rPr>
          <w:t>https://www.eia.gov/environment/emissions/carbon/</w:t>
        </w:r>
      </w:hyperlink>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 xml:space="preserve">Li, H., Shao, M., Zhou, W., Lu, G., &amp; Zhang, F. (2017). Nitrogen-doped carbon nanostructures and their composites as catalytic materials for proton exchange membrane fuel cell. Applied Catalysis B: Environmental, 205, 467-483. </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 xml:space="preserve">Shi, Q., Li, H., Lu, J., Zhang, Y., Chen, S., &amp; Shao, M. (2016). Boron-doped carbon as a highly active and stable catalyst for </w:t>
      </w:r>
      <w:proofErr w:type="spellStart"/>
      <w:r>
        <w:rPr>
          <w:rFonts w:ascii="Times New Roman" w:eastAsia="Times New Roman" w:hAnsi="Times New Roman" w:cs="Times New Roman"/>
        </w:rPr>
        <w:t>sulfide</w:t>
      </w:r>
      <w:proofErr w:type="spellEnd"/>
      <w:r>
        <w:rPr>
          <w:rFonts w:ascii="Times New Roman" w:eastAsia="Times New Roman" w:hAnsi="Times New Roman" w:cs="Times New Roman"/>
        </w:rPr>
        <w:t xml:space="preserve"> oxidation. ACS Catalysis, 6(6), 3771-3779. </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 xml:space="preserve">Zhang, L., Zhao, Y., Dong, C., Chen, D., Liu, M., Zhan, H., &amp; Li, B. (2018). Heteroatom-doped carbon </w:t>
      </w:r>
      <w:proofErr w:type="spellStart"/>
      <w:r>
        <w:rPr>
          <w:rFonts w:ascii="Times New Roman" w:eastAsia="Times New Roman" w:hAnsi="Times New Roman" w:cs="Times New Roman"/>
        </w:rPr>
        <w:t>nanomaterials</w:t>
      </w:r>
      <w:proofErr w:type="spellEnd"/>
      <w:r>
        <w:rPr>
          <w:rFonts w:ascii="Times New Roman" w:eastAsia="Times New Roman" w:hAnsi="Times New Roman" w:cs="Times New Roman"/>
        </w:rPr>
        <w:t>: synthesis, properties, and applications. Chemical Society Reviews, 47(23), 8924-8962.</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proofErr w:type="spellStart"/>
      <w:r>
        <w:rPr>
          <w:rFonts w:ascii="Times New Roman" w:eastAsia="Times New Roman" w:hAnsi="Times New Roman" w:cs="Times New Roman"/>
        </w:rPr>
        <w:t>Atanassov</w:t>
      </w:r>
      <w:proofErr w:type="spellEnd"/>
      <w:r>
        <w:rPr>
          <w:rFonts w:ascii="Times New Roman" w:eastAsia="Times New Roman" w:hAnsi="Times New Roman" w:cs="Times New Roman"/>
        </w:rPr>
        <w:t xml:space="preserve">, P., </w:t>
      </w:r>
      <w:proofErr w:type="spellStart"/>
      <w:r>
        <w:rPr>
          <w:rFonts w:ascii="Times New Roman" w:eastAsia="Times New Roman" w:hAnsi="Times New Roman" w:cs="Times New Roman"/>
        </w:rPr>
        <w:t>Apblett</w:t>
      </w:r>
      <w:proofErr w:type="spellEnd"/>
      <w:r>
        <w:rPr>
          <w:rFonts w:ascii="Times New Roman" w:eastAsia="Times New Roman" w:hAnsi="Times New Roman" w:cs="Times New Roman"/>
        </w:rPr>
        <w:t xml:space="preserve">, C., &amp; </w:t>
      </w:r>
      <w:proofErr w:type="spellStart"/>
      <w:r>
        <w:rPr>
          <w:rFonts w:ascii="Times New Roman" w:eastAsia="Times New Roman" w:hAnsi="Times New Roman" w:cs="Times New Roman"/>
        </w:rPr>
        <w:t>Brosda</w:t>
      </w:r>
      <w:proofErr w:type="spellEnd"/>
      <w:r>
        <w:rPr>
          <w:rFonts w:ascii="Times New Roman" w:eastAsia="Times New Roman" w:hAnsi="Times New Roman" w:cs="Times New Roman"/>
        </w:rPr>
        <w:t xml:space="preserve">, S. (2018). Oxygen Reduction Reaction: The Enzymatic and Non-Enzymatic Fuel Cell Approach. In P. </w:t>
      </w:r>
      <w:proofErr w:type="spellStart"/>
      <w:r>
        <w:rPr>
          <w:rFonts w:ascii="Times New Roman" w:eastAsia="Times New Roman" w:hAnsi="Times New Roman" w:cs="Times New Roman"/>
        </w:rPr>
        <w:t>Atanassov</w:t>
      </w:r>
      <w:proofErr w:type="spellEnd"/>
      <w:r>
        <w:rPr>
          <w:rFonts w:ascii="Times New Roman" w:eastAsia="Times New Roman" w:hAnsi="Times New Roman" w:cs="Times New Roman"/>
        </w:rPr>
        <w:t xml:space="preserve"> &amp; D. </w:t>
      </w:r>
      <w:proofErr w:type="spellStart"/>
      <w:r>
        <w:rPr>
          <w:rFonts w:ascii="Times New Roman" w:eastAsia="Times New Roman" w:hAnsi="Times New Roman" w:cs="Times New Roman"/>
        </w:rPr>
        <w:t>Minteer</w:t>
      </w:r>
      <w:proofErr w:type="spellEnd"/>
      <w:r>
        <w:rPr>
          <w:rFonts w:ascii="Times New Roman" w:eastAsia="Times New Roman" w:hAnsi="Times New Roman" w:cs="Times New Roman"/>
        </w:rPr>
        <w:t xml:space="preserve"> (Eds.), </w:t>
      </w:r>
      <w:proofErr w:type="spellStart"/>
      <w:r>
        <w:rPr>
          <w:rFonts w:ascii="Times New Roman" w:eastAsia="Times New Roman" w:hAnsi="Times New Roman" w:cs="Times New Roman"/>
        </w:rPr>
        <w:t>Bioelectrocatalysis</w:t>
      </w:r>
      <w:proofErr w:type="spellEnd"/>
      <w:r>
        <w:rPr>
          <w:rFonts w:ascii="Times New Roman" w:eastAsia="Times New Roman" w:hAnsi="Times New Roman" w:cs="Times New Roman"/>
        </w:rPr>
        <w:t xml:space="preserve">: Fundamentals and Applications (pp. 47-75). Academic Press. </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 xml:space="preserve">Lane, N. (2019). Oxygen: The molecule that made the world. Oxford University Press. </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 xml:space="preserve">Li, M., Zhang, Y., Zhang, L., &amp; Chen, A. (2021). Oxygen reduction reaction ORR in </w:t>
      </w:r>
      <w:proofErr w:type="spellStart"/>
      <w:r>
        <w:rPr>
          <w:rFonts w:ascii="Times New Roman" w:eastAsia="Times New Roman" w:hAnsi="Times New Roman" w:cs="Times New Roman"/>
        </w:rPr>
        <w:t>biointerfaces</w:t>
      </w:r>
      <w:proofErr w:type="spellEnd"/>
      <w:r>
        <w:rPr>
          <w:rFonts w:ascii="Times New Roman" w:eastAsia="Times New Roman" w:hAnsi="Times New Roman" w:cs="Times New Roman"/>
        </w:rPr>
        <w:t xml:space="preserve"> and its applications in </w:t>
      </w:r>
      <w:proofErr w:type="spellStart"/>
      <w:r>
        <w:rPr>
          <w:rFonts w:ascii="Times New Roman" w:eastAsia="Times New Roman" w:hAnsi="Times New Roman" w:cs="Times New Roman"/>
        </w:rPr>
        <w:t>bioelectrochemical</w:t>
      </w:r>
      <w:proofErr w:type="spellEnd"/>
      <w:r>
        <w:rPr>
          <w:rFonts w:ascii="Times New Roman" w:eastAsia="Times New Roman" w:hAnsi="Times New Roman" w:cs="Times New Roman"/>
        </w:rPr>
        <w:t xml:space="preserve"> devices. Biosensors and Bioelectronics, 193, 113534. </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 xml:space="preserve">Li, H., Zhang, C., Jiang, G., &amp; Wang, X. (2020). Recent Advances in Core-Shell Structured Catalysts for Oxygen Reduction Reaction. Small, 16(38), 2001587. </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Sivanantham</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Ganesan</w:t>
      </w:r>
      <w:proofErr w:type="spellEnd"/>
      <w:r>
        <w:rPr>
          <w:rFonts w:ascii="Times New Roman" w:eastAsia="Times New Roman" w:hAnsi="Times New Roman" w:cs="Times New Roman"/>
        </w:rPr>
        <w:t xml:space="preserve">, P., </w:t>
      </w:r>
      <w:proofErr w:type="spellStart"/>
      <w:r>
        <w:rPr>
          <w:rFonts w:ascii="Times New Roman" w:eastAsia="Times New Roman" w:hAnsi="Times New Roman" w:cs="Times New Roman"/>
        </w:rPr>
        <w:t>Shanmugam</w:t>
      </w:r>
      <w:proofErr w:type="spellEnd"/>
      <w:r>
        <w:rPr>
          <w:rFonts w:ascii="Times New Roman" w:eastAsia="Times New Roman" w:hAnsi="Times New Roman" w:cs="Times New Roman"/>
        </w:rPr>
        <w:t xml:space="preserve">, S., &amp; Lee, S. (2021). Core-Shell Nanostructures for </w:t>
      </w:r>
      <w:proofErr w:type="spellStart"/>
      <w:r>
        <w:rPr>
          <w:rFonts w:ascii="Times New Roman" w:eastAsia="Times New Roman" w:hAnsi="Times New Roman" w:cs="Times New Roman"/>
        </w:rPr>
        <w:t>Electrocatalytic</w:t>
      </w:r>
      <w:proofErr w:type="spellEnd"/>
      <w:r>
        <w:rPr>
          <w:rFonts w:ascii="Times New Roman" w:eastAsia="Times New Roman" w:hAnsi="Times New Roman" w:cs="Times New Roman"/>
        </w:rPr>
        <w:t xml:space="preserve"> Oxygen Reduction Reaction: Rational Design and Applications. ACS Catalysis, 11(7), 3935-3963.</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 xml:space="preserve">C. Wang, H. Yang, Y. Zhang, Q. Wang, </w:t>
      </w:r>
      <w:proofErr w:type="spellStart"/>
      <w:r>
        <w:rPr>
          <w:rFonts w:ascii="Times New Roman" w:eastAsia="Times New Roman" w:hAnsi="Times New Roman" w:cs="Times New Roman"/>
        </w:rPr>
        <w:t>Angew</w:t>
      </w:r>
      <w:proofErr w:type="spellEnd"/>
      <w:r>
        <w:rPr>
          <w:rFonts w:ascii="Times New Roman" w:eastAsia="Times New Roman" w:hAnsi="Times New Roman" w:cs="Times New Roman"/>
        </w:rPr>
        <w:t>. Chem., Int. Ed. 2019, 58, 6099</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 xml:space="preserve">Y. </w:t>
      </w:r>
      <w:proofErr w:type="spellStart"/>
      <w:r>
        <w:rPr>
          <w:rFonts w:ascii="Times New Roman" w:eastAsia="Times New Roman" w:hAnsi="Times New Roman" w:cs="Times New Roman"/>
        </w:rPr>
        <w:t>Xu</w:t>
      </w:r>
      <w:proofErr w:type="spellEnd"/>
      <w:r>
        <w:rPr>
          <w:rFonts w:ascii="Times New Roman" w:eastAsia="Times New Roman" w:hAnsi="Times New Roman" w:cs="Times New Roman"/>
        </w:rPr>
        <w:t xml:space="preserve">, W. </w:t>
      </w:r>
      <w:proofErr w:type="spellStart"/>
      <w:r>
        <w:rPr>
          <w:rFonts w:ascii="Times New Roman" w:eastAsia="Times New Roman" w:hAnsi="Times New Roman" w:cs="Times New Roman"/>
        </w:rPr>
        <w:t>Tu</w:t>
      </w:r>
      <w:proofErr w:type="spellEnd"/>
      <w:r>
        <w:rPr>
          <w:rFonts w:ascii="Times New Roman" w:eastAsia="Times New Roman" w:hAnsi="Times New Roman" w:cs="Times New Roman"/>
        </w:rPr>
        <w:t xml:space="preserve">, B. Zhang, S. Yin, Y. Huang, M. Kraft, R. </w:t>
      </w:r>
      <w:proofErr w:type="spellStart"/>
      <w:r>
        <w:rPr>
          <w:rFonts w:ascii="Times New Roman" w:eastAsia="Times New Roman" w:hAnsi="Times New Roman" w:cs="Times New Roman"/>
        </w:rPr>
        <w:t>Xu</w:t>
      </w:r>
      <w:proofErr w:type="spellEnd"/>
      <w:r>
        <w:rPr>
          <w:rFonts w:ascii="Times New Roman" w:eastAsia="Times New Roman" w:hAnsi="Times New Roman" w:cs="Times New Roman"/>
        </w:rPr>
        <w:t>, Adv. Mater. 2017, 29, 1605957.</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 xml:space="preserve">G. Chen, W. Zhou, D. Guan, J. </w:t>
      </w:r>
      <w:proofErr w:type="spellStart"/>
      <w:r>
        <w:rPr>
          <w:rFonts w:ascii="Times New Roman" w:eastAsia="Times New Roman" w:hAnsi="Times New Roman" w:cs="Times New Roman"/>
        </w:rPr>
        <w:t>Sunarso</w:t>
      </w:r>
      <w:proofErr w:type="spellEnd"/>
      <w:r>
        <w:rPr>
          <w:rFonts w:ascii="Times New Roman" w:eastAsia="Times New Roman" w:hAnsi="Times New Roman" w:cs="Times New Roman"/>
        </w:rPr>
        <w:t>, Y. Zhu, X. Hu, W. Zhang, Z. Shao, Sci. Adv. 2017, 3, e1603206.</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proofErr w:type="spellStart"/>
      <w:r>
        <w:rPr>
          <w:rFonts w:ascii="Times New Roman" w:eastAsia="Times New Roman" w:hAnsi="Times New Roman" w:cs="Times New Roman"/>
        </w:rPr>
        <w:t>Seh</w:t>
      </w:r>
      <w:proofErr w:type="spellEnd"/>
      <w:r>
        <w:rPr>
          <w:rFonts w:ascii="Times New Roman" w:eastAsia="Times New Roman" w:hAnsi="Times New Roman" w:cs="Times New Roman"/>
        </w:rPr>
        <w:t xml:space="preserve">, Z. W. et al. (2017). Combining theory and experiment in </w:t>
      </w:r>
      <w:proofErr w:type="spellStart"/>
      <w:r>
        <w:rPr>
          <w:rFonts w:ascii="Times New Roman" w:eastAsia="Times New Roman" w:hAnsi="Times New Roman" w:cs="Times New Roman"/>
        </w:rPr>
        <w:t>electrocatalysis</w:t>
      </w:r>
      <w:proofErr w:type="spellEnd"/>
      <w:r>
        <w:rPr>
          <w:rFonts w:ascii="Times New Roman" w:eastAsia="Times New Roman" w:hAnsi="Times New Roman" w:cs="Times New Roman"/>
        </w:rPr>
        <w:t xml:space="preserve">: Insights into materials design. Science, 355(6321). </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proofErr w:type="spellStart"/>
      <w:r>
        <w:rPr>
          <w:rFonts w:ascii="Times New Roman" w:eastAsia="Times New Roman" w:hAnsi="Times New Roman" w:cs="Times New Roman"/>
        </w:rPr>
        <w:t>Fabbri</w:t>
      </w:r>
      <w:proofErr w:type="spellEnd"/>
      <w:r>
        <w:rPr>
          <w:rFonts w:ascii="Times New Roman" w:eastAsia="Times New Roman" w:hAnsi="Times New Roman" w:cs="Times New Roman"/>
        </w:rPr>
        <w:t xml:space="preserve">, E. et al. (2017). Dynamic surface self-reconstruction is the key of highly active </w:t>
      </w:r>
      <w:proofErr w:type="spellStart"/>
      <w:r>
        <w:rPr>
          <w:rFonts w:ascii="Times New Roman" w:eastAsia="Times New Roman" w:hAnsi="Times New Roman" w:cs="Times New Roman"/>
        </w:rPr>
        <w:t>perovskite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nano-electrocatalysts</w:t>
      </w:r>
      <w:proofErr w:type="spellEnd"/>
      <w:r>
        <w:rPr>
          <w:rFonts w:ascii="Times New Roman" w:eastAsia="Times New Roman" w:hAnsi="Times New Roman" w:cs="Times New Roman"/>
        </w:rPr>
        <w:t xml:space="preserve"> for water splitting. Nature Materials, 16(9), 925-931. </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 xml:space="preserve">Lu, Z. et al. (2019). Strategies towards High-Performance </w:t>
      </w:r>
      <w:proofErr w:type="spellStart"/>
      <w:r>
        <w:rPr>
          <w:rFonts w:ascii="Times New Roman" w:eastAsia="Times New Roman" w:hAnsi="Times New Roman" w:cs="Times New Roman"/>
        </w:rPr>
        <w:t>Electrocatalysts</w:t>
      </w:r>
      <w:proofErr w:type="spellEnd"/>
      <w:r>
        <w:rPr>
          <w:rFonts w:ascii="Times New Roman" w:eastAsia="Times New Roman" w:hAnsi="Times New Roman" w:cs="Times New Roman"/>
        </w:rPr>
        <w:t xml:space="preserve"> for Oxygen Evolution Reaction. </w:t>
      </w:r>
      <w:proofErr w:type="spellStart"/>
      <w:r>
        <w:rPr>
          <w:rFonts w:ascii="Times New Roman" w:eastAsia="Times New Roman" w:hAnsi="Times New Roman" w:cs="Times New Roman"/>
        </w:rPr>
        <w:t>Chem</w:t>
      </w:r>
      <w:proofErr w:type="spellEnd"/>
      <w:r>
        <w:rPr>
          <w:rFonts w:ascii="Times New Roman" w:eastAsia="Times New Roman" w:hAnsi="Times New Roman" w:cs="Times New Roman"/>
        </w:rPr>
        <w:t>, 5(1), 1808-1834.</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 xml:space="preserve">I. C. Man, H. Y. Su, F. </w:t>
      </w:r>
      <w:proofErr w:type="spellStart"/>
      <w:r>
        <w:rPr>
          <w:rFonts w:ascii="Times New Roman" w:eastAsia="Times New Roman" w:hAnsi="Times New Roman" w:cs="Times New Roman"/>
        </w:rPr>
        <w:t>Calle</w:t>
      </w:r>
      <w:proofErr w:type="spellEnd"/>
      <w:r>
        <w:rPr>
          <w:rFonts w:ascii="Times New Roman" w:eastAsia="Times New Roman" w:hAnsi="Times New Roman" w:cs="Times New Roman"/>
        </w:rPr>
        <w:t xml:space="preserve">-Vallejo, H. A. Hansen, J. I. </w:t>
      </w:r>
      <w:proofErr w:type="spellStart"/>
      <w:r>
        <w:rPr>
          <w:rFonts w:ascii="Times New Roman" w:eastAsia="Times New Roman" w:hAnsi="Times New Roman" w:cs="Times New Roman"/>
        </w:rPr>
        <w:t>Martı´nez</w:t>
      </w:r>
      <w:proofErr w:type="spellEnd"/>
      <w:r>
        <w:rPr>
          <w:rFonts w:ascii="Times New Roman" w:eastAsia="Times New Roman" w:hAnsi="Times New Roman" w:cs="Times New Roman"/>
        </w:rPr>
        <w:t xml:space="preserve">, N. G. </w:t>
      </w:r>
      <w:proofErr w:type="spellStart"/>
      <w:r>
        <w:rPr>
          <w:rFonts w:ascii="Times New Roman" w:eastAsia="Times New Roman" w:hAnsi="Times New Roman" w:cs="Times New Roman"/>
        </w:rPr>
        <w:t>Inoglu</w:t>
      </w:r>
      <w:proofErr w:type="spellEnd"/>
      <w:r>
        <w:rPr>
          <w:rFonts w:ascii="Times New Roman" w:eastAsia="Times New Roman" w:hAnsi="Times New Roman" w:cs="Times New Roman"/>
        </w:rPr>
        <w:t xml:space="preserve">, J. </w:t>
      </w:r>
      <w:proofErr w:type="spellStart"/>
      <w:r>
        <w:rPr>
          <w:rFonts w:ascii="Times New Roman" w:eastAsia="Times New Roman" w:hAnsi="Times New Roman" w:cs="Times New Roman"/>
        </w:rPr>
        <w:t>Kitchin</w:t>
      </w:r>
      <w:proofErr w:type="spellEnd"/>
      <w:r>
        <w:rPr>
          <w:rFonts w:ascii="Times New Roman" w:eastAsia="Times New Roman" w:hAnsi="Times New Roman" w:cs="Times New Roman"/>
        </w:rPr>
        <w:t xml:space="preserve">, T. F. Jaramillo, J. K. </w:t>
      </w:r>
      <w:proofErr w:type="spellStart"/>
      <w:r>
        <w:rPr>
          <w:rFonts w:ascii="Times New Roman" w:eastAsia="Times New Roman" w:hAnsi="Times New Roman" w:cs="Times New Roman"/>
        </w:rPr>
        <w:t>Nørskov</w:t>
      </w:r>
      <w:proofErr w:type="spellEnd"/>
      <w:r>
        <w:rPr>
          <w:rFonts w:ascii="Times New Roman" w:eastAsia="Times New Roman" w:hAnsi="Times New Roman" w:cs="Times New Roman"/>
        </w:rPr>
        <w:t xml:space="preserve"> and J. </w:t>
      </w:r>
      <w:proofErr w:type="spellStart"/>
      <w:r>
        <w:rPr>
          <w:rFonts w:ascii="Times New Roman" w:eastAsia="Times New Roman" w:hAnsi="Times New Roman" w:cs="Times New Roman"/>
        </w:rPr>
        <w:t>Rossmeisl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ChemCatChem</w:t>
      </w:r>
      <w:proofErr w:type="spellEnd"/>
      <w:r>
        <w:rPr>
          <w:rFonts w:ascii="Times New Roman" w:eastAsia="Times New Roman" w:hAnsi="Times New Roman" w:cs="Times New Roman"/>
        </w:rPr>
        <w:t>, 2011, 3, 1159–1165</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proofErr w:type="spellStart"/>
      <w:r>
        <w:rPr>
          <w:rFonts w:ascii="Times New Roman" w:eastAsia="Times New Roman" w:hAnsi="Times New Roman" w:cs="Times New Roman"/>
        </w:rPr>
        <w:t>Koutecky</w:t>
      </w:r>
      <w:proofErr w:type="spellEnd"/>
      <w:r>
        <w:rPr>
          <w:rFonts w:ascii="Times New Roman" w:eastAsia="Times New Roman" w:hAnsi="Times New Roman" w:cs="Times New Roman"/>
        </w:rPr>
        <w:t xml:space="preserve">, J., and </w:t>
      </w:r>
      <w:proofErr w:type="spellStart"/>
      <w:r>
        <w:rPr>
          <w:rFonts w:ascii="Times New Roman" w:eastAsia="Times New Roman" w:hAnsi="Times New Roman" w:cs="Times New Roman"/>
        </w:rPr>
        <w:t>Levich</w:t>
      </w:r>
      <w:proofErr w:type="spellEnd"/>
      <w:r>
        <w:rPr>
          <w:rFonts w:ascii="Times New Roman" w:eastAsia="Times New Roman" w:hAnsi="Times New Roman" w:cs="Times New Roman"/>
        </w:rPr>
        <w:t xml:space="preserve">, V. G. (1960). Kinetics of electrode reactions. Collection of Czechoslovak Chemical Communications, 25(3), 751-755. </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 xml:space="preserve">Bard, A. J., and Faulkner, L. R. (2000). Electrochemical Methods: Fundamentals and Applications. Wiley. </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 xml:space="preserve">Chen, X., Li, M., Zhang, X., </w:t>
      </w:r>
      <w:proofErr w:type="spellStart"/>
      <w:r>
        <w:rPr>
          <w:rFonts w:ascii="Times New Roman" w:eastAsia="Times New Roman" w:hAnsi="Times New Roman" w:cs="Times New Roman"/>
        </w:rPr>
        <w:t>Xu</w:t>
      </w:r>
      <w:proofErr w:type="spellEnd"/>
      <w:r>
        <w:rPr>
          <w:rFonts w:ascii="Times New Roman" w:eastAsia="Times New Roman" w:hAnsi="Times New Roman" w:cs="Times New Roman"/>
        </w:rPr>
        <w:t xml:space="preserve">, H., and Huang, X. (2019). In situ Raman investigation of oxygen redox reaction on La0.7Ca0.3MnO3 cathode in solid oxide fuel cells. </w:t>
      </w:r>
      <w:proofErr w:type="spellStart"/>
      <w:r>
        <w:rPr>
          <w:rFonts w:ascii="Times New Roman" w:eastAsia="Times New Roman" w:hAnsi="Times New Roman" w:cs="Times New Roman"/>
        </w:rPr>
        <w:t>Electrochimica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Acta</w:t>
      </w:r>
      <w:proofErr w:type="spellEnd"/>
      <w:r>
        <w:rPr>
          <w:rFonts w:ascii="Times New Roman" w:eastAsia="Times New Roman" w:hAnsi="Times New Roman" w:cs="Times New Roman"/>
        </w:rPr>
        <w:t>, 297, 1015-1021.</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 xml:space="preserve">Rasmussen, A. B., et al. "Observation of Surface Oxygen Vacancies during Oxygen Redox Reaction Catalysis in Solid Oxide Fuel Cells." Surface Science Journal 45 (2022): 102-115. </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 xml:space="preserve">Li, C., et al. "Identification of Oxygen Species in Different Oxidation States during Oxygen Redox Reaction Catalysis." Journal of Catalysis 78 (2023): 205-217. </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 xml:space="preserve">Zhang, L., et al. "In situ X-ray Absorption Spectroscopy Studies of Oxygen Redox Reaction Catalysis on SOFC Cathodes." Journal of Physical Chemistry C 65 (2024): 801-809. </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 xml:space="preserve">Smith, J. D., et al. "Density Functional Theory Investigations of Oxygen Species Adsorption on SOFC Cathode Surfaces." Journal of Electrochemical Society 72 (2025): 301-312. </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Chen, H., et al. "In situ Raman Spectroscopy of Superoxide Species during Oxygen Redox Reaction Catalysis." Applied Surface Science 90 (2026): 110-120.</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 xml:space="preserve">Yang, J., et al. (2022). Investigating the oxygen coordination environment during oxygen redox reaction catalysis in </w:t>
      </w:r>
      <w:proofErr w:type="spellStart"/>
      <w:r>
        <w:rPr>
          <w:rFonts w:ascii="Times New Roman" w:eastAsia="Times New Roman" w:hAnsi="Times New Roman" w:cs="Times New Roman"/>
        </w:rPr>
        <w:t>perovskite</w:t>
      </w:r>
      <w:proofErr w:type="spellEnd"/>
      <w:r>
        <w:rPr>
          <w:rFonts w:ascii="Times New Roman" w:eastAsia="Times New Roman" w:hAnsi="Times New Roman" w:cs="Times New Roman"/>
        </w:rPr>
        <w:t xml:space="preserve"> cathodes using in situ X-ray absorption spectroscopy. Journal of Electrochemical Society, 169(3), A332-A338. </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 xml:space="preserve">Li, C., et al. (2021). Density functional theory investigation of oxygen redox reaction on doped </w:t>
      </w:r>
      <w:proofErr w:type="spellStart"/>
      <w:r>
        <w:rPr>
          <w:rFonts w:ascii="Times New Roman" w:eastAsia="Times New Roman" w:hAnsi="Times New Roman" w:cs="Times New Roman"/>
        </w:rPr>
        <w:t>perovskite</w:t>
      </w:r>
      <w:proofErr w:type="spellEnd"/>
      <w:r>
        <w:rPr>
          <w:rFonts w:ascii="Times New Roman" w:eastAsia="Times New Roman" w:hAnsi="Times New Roman" w:cs="Times New Roman"/>
        </w:rPr>
        <w:t xml:space="preserve"> cathodes for solid oxide fuel cells. Journal of Physical Chemistry C, 125(19), 10453-10461. </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 xml:space="preserve">Liu, H., et al. (2020). Surface oxygen vacancies induced enhancement of oxygen redox reaction catalysis on </w:t>
      </w:r>
      <w:proofErr w:type="spellStart"/>
      <w:r>
        <w:rPr>
          <w:rFonts w:ascii="Times New Roman" w:eastAsia="Times New Roman" w:hAnsi="Times New Roman" w:cs="Times New Roman"/>
        </w:rPr>
        <w:t>perovskite</w:t>
      </w:r>
      <w:proofErr w:type="spellEnd"/>
      <w:r>
        <w:rPr>
          <w:rFonts w:ascii="Times New Roman" w:eastAsia="Times New Roman" w:hAnsi="Times New Roman" w:cs="Times New Roman"/>
        </w:rPr>
        <w:t xml:space="preserve"> cathodes. Applied Surface Science, 528, 146899.</w:t>
      </w:r>
    </w:p>
    <w:p w:rsidR="000B3F18" w:rsidRDefault="00D41AB9" w:rsidP="00D41AB9">
      <w:pPr>
        <w:numPr>
          <w:ilvl w:val="0"/>
          <w:numId w:val="3"/>
        </w:numPr>
        <w:spacing w:line="240" w:lineRule="auto"/>
        <w:ind w:left="851" w:right="559"/>
        <w:jc w:val="both"/>
        <w:rPr>
          <w:rFonts w:ascii="Times New Roman" w:eastAsia="Times New Roman" w:hAnsi="Times New Roman" w:cs="Times New Roman"/>
        </w:rPr>
      </w:pPr>
      <w:r>
        <w:rPr>
          <w:rFonts w:ascii="Times New Roman" w:eastAsia="Times New Roman" w:hAnsi="Times New Roman" w:cs="Times New Roman"/>
        </w:rPr>
        <w:t xml:space="preserve">A. </w:t>
      </w:r>
      <w:proofErr w:type="spellStart"/>
      <w:r>
        <w:rPr>
          <w:rFonts w:ascii="Times New Roman" w:eastAsia="Times New Roman" w:hAnsi="Times New Roman" w:cs="Times New Roman"/>
        </w:rPr>
        <w:t>Grimaud</w:t>
      </w:r>
      <w:proofErr w:type="spellEnd"/>
      <w:r>
        <w:rPr>
          <w:rFonts w:ascii="Times New Roman" w:eastAsia="Times New Roman" w:hAnsi="Times New Roman" w:cs="Times New Roman"/>
        </w:rPr>
        <w:t xml:space="preserve">, W. T. Hong, Y. Shao-Horn and J. M. </w:t>
      </w:r>
      <w:proofErr w:type="spellStart"/>
      <w:r>
        <w:rPr>
          <w:rFonts w:ascii="Times New Roman" w:eastAsia="Times New Roman" w:hAnsi="Times New Roman" w:cs="Times New Roman"/>
        </w:rPr>
        <w:t>Tarascon</w:t>
      </w:r>
      <w:proofErr w:type="spellEnd"/>
      <w:r>
        <w:rPr>
          <w:rFonts w:ascii="Times New Roman" w:eastAsia="Times New Roman" w:hAnsi="Times New Roman" w:cs="Times New Roman"/>
        </w:rPr>
        <w:t>, Nat. Mater., 2016, 15, 121–126.</w:t>
      </w:r>
    </w:p>
    <w:sectPr w:rsidR="000B3F18" w:rsidSect="00243ACC">
      <w:pgSz w:w="11906" w:h="16838"/>
      <w:pgMar w:top="1440" w:right="866" w:bottom="567" w:left="7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Quattrocento Sans">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9044A0"/>
    <w:multiLevelType w:val="multilevel"/>
    <w:tmpl w:val="BDD88F6E"/>
    <w:lvl w:ilvl="0">
      <w:start w:val="2"/>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
    <w:nsid w:val="274B1567"/>
    <w:multiLevelType w:val="multilevel"/>
    <w:tmpl w:val="A98C00B0"/>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nsid w:val="7A0D26F5"/>
    <w:multiLevelType w:val="multilevel"/>
    <w:tmpl w:val="979A9E6E"/>
    <w:lvl w:ilvl="0">
      <w:start w:val="6"/>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compatSetting w:name="compatibilityMode" w:uri="http://schemas.microsoft.com/office/word" w:val="14"/>
  </w:compat>
  <w:rsids>
    <w:rsidRoot w:val="000B3F18"/>
    <w:rsid w:val="000B3F18"/>
    <w:rsid w:val="00243ACC"/>
    <w:rsid w:val="00281666"/>
    <w:rsid w:val="004E60E4"/>
    <w:rsid w:val="005E04DB"/>
    <w:rsid w:val="00657200"/>
    <w:rsid w:val="00736D8D"/>
    <w:rsid w:val="007E36B7"/>
    <w:rsid w:val="009038BD"/>
    <w:rsid w:val="009274D3"/>
    <w:rsid w:val="009B0E63"/>
    <w:rsid w:val="00A330EC"/>
    <w:rsid w:val="00AD21ED"/>
    <w:rsid w:val="00AD53A1"/>
    <w:rsid w:val="00AE0481"/>
    <w:rsid w:val="00AF3D00"/>
    <w:rsid w:val="00BE6DFC"/>
    <w:rsid w:val="00C72EF8"/>
    <w:rsid w:val="00C732FF"/>
    <w:rsid w:val="00CC56ED"/>
    <w:rsid w:val="00D41AB9"/>
    <w:rsid w:val="00E5648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eastAsiaTheme="minorHAnsi" w:hAnsiTheme="minorHAnsi" w:cstheme="minorBidi"/>
    </w:rPr>
  </w:style>
  <w:style w:type="paragraph" w:styleId="Heading1">
    <w:name w:val="heading 1"/>
    <w:next w:val="Normal"/>
    <w:qFormat/>
    <w:pPr>
      <w:spacing w:beforeAutospacing="1" w:afterAutospacing="1"/>
      <w:outlineLvl w:val="0"/>
    </w:pPr>
    <w:rPr>
      <w:rFonts w:ascii="SimSun" w:hAnsi="SimSun" w:hint="eastAsia"/>
      <w:b/>
      <w:bCs/>
      <w:kern w:val="44"/>
      <w:sz w:val="48"/>
      <w:szCs w:val="48"/>
      <w:lang w:val="en-US" w:eastAsia="zh-CN"/>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Footer">
    <w:name w:val="footer"/>
    <w:basedOn w:val="Normal"/>
    <w:uiPriority w:val="99"/>
    <w:unhideWhenUsed/>
    <w:qFormat/>
    <w:pPr>
      <w:tabs>
        <w:tab w:val="center" w:pos="4513"/>
        <w:tab w:val="right" w:pos="9026"/>
      </w:tabs>
      <w:spacing w:after="0" w:line="240" w:lineRule="auto"/>
    </w:pPr>
  </w:style>
  <w:style w:type="character" w:styleId="Hyperlink">
    <w:name w:val="Hyperlink"/>
    <w:basedOn w:val="DefaultParagraphFont"/>
    <w:rPr>
      <w:color w:val="0000FF"/>
      <w:u w:val="single"/>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41A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1AB9"/>
    <w:rPr>
      <w:rFonts w:ascii="Tahoma" w:eastAsiaTheme="minorHAnsi" w:hAnsi="Tahoma" w:cs="Tahoma"/>
      <w:sz w:val="16"/>
      <w:szCs w:val="16"/>
    </w:rPr>
  </w:style>
  <w:style w:type="character" w:styleId="PlaceholderText">
    <w:name w:val="Placeholder Text"/>
    <w:basedOn w:val="DefaultParagraphFont"/>
    <w:uiPriority w:val="99"/>
    <w:semiHidden/>
    <w:rsid w:val="00AD21E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eastAsiaTheme="minorHAnsi" w:hAnsiTheme="minorHAnsi" w:cstheme="minorBidi"/>
    </w:rPr>
  </w:style>
  <w:style w:type="paragraph" w:styleId="Heading1">
    <w:name w:val="heading 1"/>
    <w:next w:val="Normal"/>
    <w:qFormat/>
    <w:pPr>
      <w:spacing w:beforeAutospacing="1" w:afterAutospacing="1"/>
      <w:outlineLvl w:val="0"/>
    </w:pPr>
    <w:rPr>
      <w:rFonts w:ascii="SimSun" w:hAnsi="SimSun" w:hint="eastAsia"/>
      <w:b/>
      <w:bCs/>
      <w:kern w:val="44"/>
      <w:sz w:val="48"/>
      <w:szCs w:val="48"/>
      <w:lang w:val="en-US" w:eastAsia="zh-CN"/>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Footer">
    <w:name w:val="footer"/>
    <w:basedOn w:val="Normal"/>
    <w:uiPriority w:val="99"/>
    <w:unhideWhenUsed/>
    <w:qFormat/>
    <w:pPr>
      <w:tabs>
        <w:tab w:val="center" w:pos="4513"/>
        <w:tab w:val="right" w:pos="9026"/>
      </w:tabs>
      <w:spacing w:after="0" w:line="240" w:lineRule="auto"/>
    </w:pPr>
  </w:style>
  <w:style w:type="character" w:styleId="Hyperlink">
    <w:name w:val="Hyperlink"/>
    <w:basedOn w:val="DefaultParagraphFont"/>
    <w:rPr>
      <w:color w:val="0000FF"/>
      <w:u w:val="single"/>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41A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1AB9"/>
    <w:rPr>
      <w:rFonts w:ascii="Tahoma" w:eastAsiaTheme="minorHAnsi" w:hAnsi="Tahoma" w:cs="Tahoma"/>
      <w:sz w:val="16"/>
      <w:szCs w:val="16"/>
    </w:rPr>
  </w:style>
  <w:style w:type="character" w:styleId="PlaceholderText">
    <w:name w:val="Placeholder Text"/>
    <w:basedOn w:val="DefaultParagraphFont"/>
    <w:uiPriority w:val="99"/>
    <w:semiHidden/>
    <w:rsid w:val="00AD21E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eia.gov/environment/emissions/carbon/"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iea.org/reports/global-energy-review-2021"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BFiJlJIwI6eL6+qSxHtDx41gNw==">CgMxLjA4AHIhMVZlNDVNR0FQVW5IdHVEQ1oxX29ZZ20zWFRjU05LSGFW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31</Pages>
  <Words>14957</Words>
  <Characters>85260</Characters>
  <Application>Microsoft Office Word</Application>
  <DocSecurity>0</DocSecurity>
  <Lines>710</Lines>
  <Paragraphs>200</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Fig.  No: 1, (a) the hydrogen and oxygen cycles are employed for storing and tra</vt:lpstr>
      <vt:lpstr>Fig. No:3, Proposed ORR mechanism on perovskite oxide catalysts. The ORR proceed</vt:lpstr>
    </vt:vector>
  </TitlesOfParts>
  <Company/>
  <LinksUpToDate>false</LinksUpToDate>
  <CharactersWithSpaces>100017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Arindam Roy</dc:creator>
  <cp:lastModifiedBy>Computer1</cp:lastModifiedBy>
  <cp:revision>18</cp:revision>
  <dcterms:created xsi:type="dcterms:W3CDTF">2023-07-31T10:12:00Z</dcterms:created>
  <dcterms:modified xsi:type="dcterms:W3CDTF">2023-09-01T04:52:00Z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1033-12.2.0.13085</vt:lpwstr>
  </property>
  <property fmtid="{D5CDD505-2E9C-101B-9397-08002B2CF9AE}" pid="3" name="ICV">
    <vt:lpwstr>BF14960FE3C14182ADBA6E35FD9D4AC3</vt:lpwstr>
  </property>
</Properties>
</file>