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678DC" w14:textId="77777777" w:rsidR="008D16FE" w:rsidRPr="009F44A4" w:rsidRDefault="00C02138" w:rsidP="00DC7281">
      <w:pPr>
        <w:pStyle w:val="NoSpacing"/>
        <w:shd w:val="clear" w:color="auto" w:fill="FFFFFF" w:themeFill="background1"/>
        <w:spacing w:line="360" w:lineRule="auto"/>
        <w:jc w:val="center"/>
        <w:rPr>
          <w:rFonts w:ascii="Times New Roman" w:hAnsi="Times New Roman" w:cs="Times New Roman"/>
          <w:b/>
          <w:color w:val="000000" w:themeColor="text1"/>
          <w:sz w:val="28"/>
          <w:szCs w:val="28"/>
        </w:rPr>
      </w:pPr>
      <w:r w:rsidRPr="009F44A4">
        <w:rPr>
          <w:rFonts w:ascii="Times New Roman" w:hAnsi="Times New Roman" w:cs="Times New Roman"/>
          <w:b/>
          <w:color w:val="000000" w:themeColor="text1"/>
          <w:sz w:val="28"/>
          <w:szCs w:val="28"/>
        </w:rPr>
        <w:t>Recent Efforts and Advances for Management of COVID-19</w:t>
      </w:r>
    </w:p>
    <w:p w14:paraId="3BC312CE" w14:textId="1FEB2D85" w:rsidR="008D16FE" w:rsidRDefault="000413A8" w:rsidP="009C02BE">
      <w:pPr>
        <w:shd w:val="clear" w:color="auto" w:fill="FFFFFF" w:themeFill="background1"/>
        <w:spacing w:line="360" w:lineRule="auto"/>
        <w:jc w:val="center"/>
        <w:rPr>
          <w:rFonts w:ascii="Times New Roman" w:hAnsi="Times New Roman" w:cs="Times New Roman"/>
          <w:color w:val="000000"/>
          <w:sz w:val="20"/>
        </w:rPr>
      </w:pPr>
      <w:proofErr w:type="spellStart"/>
      <w:r w:rsidRPr="002602DC">
        <w:rPr>
          <w:rFonts w:ascii="Times New Roman" w:hAnsi="Times New Roman" w:cs="Times New Roman"/>
          <w:color w:val="000000"/>
          <w:sz w:val="20"/>
        </w:rPr>
        <w:t>Richa</w:t>
      </w:r>
      <w:proofErr w:type="spellEnd"/>
      <w:r w:rsidRPr="002602DC">
        <w:rPr>
          <w:rFonts w:ascii="Times New Roman" w:hAnsi="Times New Roman" w:cs="Times New Roman"/>
          <w:color w:val="000000"/>
          <w:sz w:val="20"/>
        </w:rPr>
        <w:t xml:space="preserve"> </w:t>
      </w:r>
      <w:proofErr w:type="spellStart"/>
      <w:r w:rsidRPr="002602DC">
        <w:rPr>
          <w:rFonts w:ascii="Times New Roman" w:hAnsi="Times New Roman" w:cs="Times New Roman"/>
          <w:color w:val="000000"/>
          <w:sz w:val="20"/>
        </w:rPr>
        <w:t>Singh</w:t>
      </w:r>
      <w:r w:rsidR="000F3199" w:rsidRPr="000F3199">
        <w:rPr>
          <w:rFonts w:ascii="Times New Roman" w:hAnsi="Times New Roman" w:cs="Times New Roman"/>
          <w:color w:val="000000"/>
          <w:sz w:val="20"/>
          <w:vertAlign w:val="superscript"/>
        </w:rPr>
        <w:t>1</w:t>
      </w:r>
      <w:proofErr w:type="spellEnd"/>
      <w:r w:rsidRPr="002602DC">
        <w:rPr>
          <w:rFonts w:ascii="Times New Roman" w:hAnsi="Times New Roman" w:cs="Times New Roman"/>
          <w:color w:val="000000"/>
          <w:sz w:val="20"/>
        </w:rPr>
        <w:t xml:space="preserve">, </w:t>
      </w:r>
      <w:r w:rsidRPr="002602DC">
        <w:rPr>
          <w:rFonts w:ascii="Times New Roman" w:hAnsi="Times New Roman" w:cs="Times New Roman"/>
          <w:color w:val="000000"/>
          <w:sz w:val="20"/>
        </w:rPr>
        <w:t xml:space="preserve">Shristi </w:t>
      </w:r>
      <w:proofErr w:type="spellStart"/>
      <w:r w:rsidRPr="002602DC">
        <w:rPr>
          <w:rFonts w:ascii="Times New Roman" w:hAnsi="Times New Roman" w:cs="Times New Roman"/>
          <w:color w:val="000000"/>
          <w:sz w:val="20"/>
        </w:rPr>
        <w:t>Modanwal</w:t>
      </w:r>
      <w:r w:rsidR="000F3199" w:rsidRPr="000F3199">
        <w:rPr>
          <w:rFonts w:ascii="Times New Roman" w:hAnsi="Times New Roman" w:cs="Times New Roman"/>
          <w:color w:val="000000"/>
          <w:sz w:val="20"/>
          <w:vertAlign w:val="superscript"/>
        </w:rPr>
        <w:t>2</w:t>
      </w:r>
      <w:proofErr w:type="spellEnd"/>
      <w:r w:rsidRPr="002602DC">
        <w:rPr>
          <w:rFonts w:ascii="Times New Roman" w:hAnsi="Times New Roman" w:cs="Times New Roman"/>
          <w:color w:val="000000"/>
          <w:sz w:val="20"/>
        </w:rPr>
        <w:t xml:space="preserve">, </w:t>
      </w:r>
      <w:proofErr w:type="spellStart"/>
      <w:r w:rsidRPr="002602DC">
        <w:rPr>
          <w:rFonts w:ascii="Times New Roman" w:hAnsi="Times New Roman" w:cs="Times New Roman"/>
          <w:color w:val="000000"/>
          <w:sz w:val="20"/>
        </w:rPr>
        <w:t>Neelima</w:t>
      </w:r>
      <w:proofErr w:type="spellEnd"/>
      <w:r w:rsidRPr="002602DC">
        <w:rPr>
          <w:rFonts w:ascii="Times New Roman" w:hAnsi="Times New Roman" w:cs="Times New Roman"/>
          <w:color w:val="000000"/>
          <w:sz w:val="20"/>
        </w:rPr>
        <w:t xml:space="preserve"> </w:t>
      </w:r>
      <w:proofErr w:type="spellStart"/>
      <w:r w:rsidRPr="002602DC">
        <w:rPr>
          <w:rFonts w:ascii="Times New Roman" w:hAnsi="Times New Roman" w:cs="Times New Roman"/>
          <w:color w:val="000000"/>
          <w:sz w:val="20"/>
        </w:rPr>
        <w:t>Varshney</w:t>
      </w:r>
      <w:r w:rsidR="000F3199" w:rsidRPr="000F3199">
        <w:rPr>
          <w:rFonts w:ascii="Times New Roman" w:hAnsi="Times New Roman" w:cs="Times New Roman"/>
          <w:color w:val="000000"/>
          <w:sz w:val="20"/>
          <w:vertAlign w:val="superscript"/>
        </w:rPr>
        <w:t>3</w:t>
      </w:r>
      <w:proofErr w:type="spellEnd"/>
      <w:r w:rsidRPr="002602DC">
        <w:rPr>
          <w:rFonts w:ascii="Times New Roman" w:hAnsi="Times New Roman" w:cs="Times New Roman"/>
          <w:color w:val="000000"/>
          <w:sz w:val="20"/>
        </w:rPr>
        <w:t xml:space="preserve"> and </w:t>
      </w:r>
      <w:proofErr w:type="spellStart"/>
      <w:r w:rsidRPr="002602DC">
        <w:rPr>
          <w:rFonts w:ascii="Times New Roman" w:hAnsi="Times New Roman" w:cs="Times New Roman"/>
          <w:color w:val="000000"/>
          <w:sz w:val="20"/>
        </w:rPr>
        <w:t>Sanjeev</w:t>
      </w:r>
      <w:proofErr w:type="spellEnd"/>
      <w:r w:rsidRPr="002602DC">
        <w:rPr>
          <w:rFonts w:ascii="Times New Roman" w:hAnsi="Times New Roman" w:cs="Times New Roman"/>
          <w:color w:val="000000"/>
          <w:sz w:val="20"/>
        </w:rPr>
        <w:t xml:space="preserve"> Kumar </w:t>
      </w:r>
      <w:proofErr w:type="spellStart"/>
      <w:r w:rsidRPr="002602DC">
        <w:rPr>
          <w:rFonts w:ascii="Times New Roman" w:hAnsi="Times New Roman" w:cs="Times New Roman"/>
          <w:color w:val="000000"/>
          <w:sz w:val="20"/>
        </w:rPr>
        <w:t>Mahto</w:t>
      </w:r>
      <w:r w:rsidR="000F3199" w:rsidRPr="000F3199">
        <w:rPr>
          <w:rFonts w:ascii="Times New Roman" w:hAnsi="Times New Roman" w:cs="Times New Roman"/>
          <w:color w:val="000000"/>
          <w:sz w:val="20"/>
          <w:vertAlign w:val="superscript"/>
        </w:rPr>
        <w:t>1</w:t>
      </w:r>
      <w:proofErr w:type="spellEnd"/>
      <w:r w:rsidRPr="002602DC">
        <w:rPr>
          <w:rFonts w:ascii="Times New Roman" w:hAnsi="Times New Roman" w:cs="Times New Roman"/>
          <w:color w:val="000000"/>
          <w:sz w:val="20"/>
        </w:rPr>
        <w:t>*</w:t>
      </w:r>
      <w:bookmarkStart w:id="0" w:name="_gjdgxs" w:colFirst="0" w:colLast="0"/>
      <w:bookmarkEnd w:id="0"/>
    </w:p>
    <w:p w14:paraId="53B7E0C1" w14:textId="77777777" w:rsidR="000F3199" w:rsidRDefault="000F3199" w:rsidP="009C02BE">
      <w:pPr>
        <w:shd w:val="clear" w:color="auto" w:fill="FFFFFF" w:themeFill="background1"/>
        <w:spacing w:line="360" w:lineRule="auto"/>
        <w:jc w:val="center"/>
        <w:rPr>
          <w:rFonts w:ascii="Times New Roman" w:hAnsi="Times New Roman" w:cs="Times New Roman"/>
          <w:color w:val="000000"/>
          <w:sz w:val="20"/>
        </w:rPr>
      </w:pPr>
    </w:p>
    <w:p w14:paraId="7385BAFF" w14:textId="716020B8" w:rsidR="000F3199" w:rsidRDefault="000F3199" w:rsidP="000F3199">
      <w:pPr>
        <w:pStyle w:val="NormalWeb"/>
        <w:spacing w:before="0" w:beforeAutospacing="0" w:after="0" w:afterAutospacing="0"/>
        <w:jc w:val="both"/>
        <w:rPr>
          <w:color w:val="000000"/>
          <w:sz w:val="20"/>
        </w:rPr>
      </w:pPr>
      <w:proofErr w:type="spellStart"/>
      <w:r w:rsidRPr="000F3199">
        <w:rPr>
          <w:color w:val="000000"/>
          <w:sz w:val="20"/>
          <w:vertAlign w:val="superscript"/>
        </w:rPr>
        <w:t>1</w:t>
      </w:r>
      <w:r w:rsidRPr="000F3199">
        <w:rPr>
          <w:color w:val="000000"/>
          <w:sz w:val="20"/>
        </w:rPr>
        <w:t>Tissue</w:t>
      </w:r>
      <w:proofErr w:type="spellEnd"/>
      <w:r w:rsidRPr="000F3199">
        <w:rPr>
          <w:color w:val="000000"/>
          <w:sz w:val="20"/>
        </w:rPr>
        <w:t xml:space="preserve"> Engineering and </w:t>
      </w:r>
      <w:proofErr w:type="spellStart"/>
      <w:r w:rsidRPr="000F3199">
        <w:rPr>
          <w:color w:val="000000"/>
          <w:sz w:val="20"/>
        </w:rPr>
        <w:t>Biomicrofluidics</w:t>
      </w:r>
      <w:proofErr w:type="spellEnd"/>
      <w:r w:rsidRPr="000F3199">
        <w:rPr>
          <w:color w:val="000000"/>
          <w:sz w:val="20"/>
        </w:rPr>
        <w:t xml:space="preserve"> Laboratory, School of Biomedical Engineering, Indian Institute of Technology (Banaras Hindu University), Varanasi– 221005, Uttar Pradesh, India</w:t>
      </w:r>
    </w:p>
    <w:p w14:paraId="52F0B941" w14:textId="77777777" w:rsidR="000F3199" w:rsidRDefault="000F3199" w:rsidP="000F3199">
      <w:pPr>
        <w:pStyle w:val="NormalWeb"/>
        <w:spacing w:before="0" w:beforeAutospacing="0" w:after="0" w:afterAutospacing="0"/>
        <w:jc w:val="both"/>
        <w:rPr>
          <w:color w:val="000000"/>
          <w:sz w:val="20"/>
        </w:rPr>
      </w:pPr>
    </w:p>
    <w:p w14:paraId="77FFE4E0" w14:textId="4C591453" w:rsidR="000F3199" w:rsidRPr="000F3199" w:rsidRDefault="000F3199" w:rsidP="000F3199">
      <w:pPr>
        <w:pStyle w:val="NormalWeb"/>
        <w:spacing w:before="0" w:beforeAutospacing="0" w:after="0" w:afterAutospacing="0"/>
        <w:jc w:val="both"/>
        <w:rPr>
          <w:sz w:val="20"/>
        </w:rPr>
      </w:pPr>
      <w:r>
        <w:rPr>
          <w:color w:val="000000"/>
          <w:sz w:val="20"/>
        </w:rPr>
        <w:t xml:space="preserve">Department of Applied Sciences, Indian Institute of Information Technology, Allahabad, </w:t>
      </w:r>
      <w:r w:rsidRPr="000F3199">
        <w:rPr>
          <w:color w:val="000000"/>
          <w:sz w:val="20"/>
        </w:rPr>
        <w:t>Uttar Pradesh, India</w:t>
      </w:r>
      <w:bookmarkStart w:id="1" w:name="_GoBack"/>
      <w:bookmarkEnd w:id="1"/>
    </w:p>
    <w:p w14:paraId="6C63AED6" w14:textId="77777777" w:rsidR="000F3199" w:rsidRPr="000F3199" w:rsidRDefault="000F3199" w:rsidP="000F3199">
      <w:pPr>
        <w:rPr>
          <w:sz w:val="18"/>
        </w:rPr>
      </w:pPr>
    </w:p>
    <w:p w14:paraId="47373EA7" w14:textId="2F61B886" w:rsidR="000F3199" w:rsidRPr="000F3199" w:rsidRDefault="000F3199" w:rsidP="000F3199">
      <w:pPr>
        <w:pStyle w:val="NormalWeb"/>
        <w:spacing w:before="0" w:beforeAutospacing="0" w:after="0" w:afterAutospacing="0"/>
        <w:jc w:val="both"/>
        <w:rPr>
          <w:sz w:val="20"/>
        </w:rPr>
      </w:pPr>
      <w:proofErr w:type="spellStart"/>
      <w:r w:rsidRPr="000F3199">
        <w:rPr>
          <w:color w:val="000000"/>
          <w:sz w:val="20"/>
          <w:vertAlign w:val="superscript"/>
        </w:rPr>
        <w:t>3</w:t>
      </w:r>
      <w:r>
        <w:rPr>
          <w:color w:val="000000"/>
          <w:sz w:val="20"/>
        </w:rPr>
        <w:t>C</w:t>
      </w:r>
      <w:r w:rsidRPr="000F3199">
        <w:rPr>
          <w:color w:val="000000"/>
          <w:sz w:val="20"/>
        </w:rPr>
        <w:t>entre</w:t>
      </w:r>
      <w:proofErr w:type="spellEnd"/>
      <w:r w:rsidRPr="000F3199">
        <w:rPr>
          <w:color w:val="000000"/>
          <w:sz w:val="20"/>
        </w:rPr>
        <w:t xml:space="preserve"> for Advanced Biomaterials and Tissue Engineering, Indian Institute of Technology (Banaras Hindu University), Varanasi– 221005, Uttar Pradesh, India</w:t>
      </w:r>
    </w:p>
    <w:p w14:paraId="2D6B70B3" w14:textId="77777777" w:rsidR="000F3199" w:rsidRPr="000F3199" w:rsidRDefault="000F3199" w:rsidP="000F3199">
      <w:pPr>
        <w:rPr>
          <w:sz w:val="18"/>
        </w:rPr>
      </w:pPr>
    </w:p>
    <w:p w14:paraId="0DCF4950" w14:textId="77777777" w:rsidR="000F3199" w:rsidRPr="000F3199" w:rsidRDefault="000F3199" w:rsidP="000F3199">
      <w:pPr>
        <w:pStyle w:val="NormalWeb"/>
        <w:spacing w:before="0" w:beforeAutospacing="0" w:after="0" w:afterAutospacing="0"/>
        <w:jc w:val="both"/>
        <w:rPr>
          <w:sz w:val="20"/>
        </w:rPr>
      </w:pPr>
      <w:r w:rsidRPr="000F3199">
        <w:rPr>
          <w:b/>
          <w:bCs/>
          <w:color w:val="000000"/>
          <w:sz w:val="20"/>
        </w:rPr>
        <w:t>*</w:t>
      </w:r>
      <w:r w:rsidRPr="000F3199">
        <w:rPr>
          <w:color w:val="000000"/>
          <w:sz w:val="20"/>
        </w:rPr>
        <w:t xml:space="preserve">Corresponding author’s email: </w:t>
      </w:r>
      <w:hyperlink r:id="rId8" w:history="1">
        <w:r w:rsidRPr="000F3199">
          <w:rPr>
            <w:rStyle w:val="Hyperlink"/>
            <w:color w:val="000000"/>
            <w:sz w:val="20"/>
            <w:shd w:val="clear" w:color="auto" w:fill="FFFFFF"/>
          </w:rPr>
          <w:t>skmahto.bme@iitbhu.ac.in</w:t>
        </w:r>
      </w:hyperlink>
    </w:p>
    <w:p w14:paraId="1C3DF793" w14:textId="77777777" w:rsidR="000F3199" w:rsidRPr="009F44A4" w:rsidRDefault="000F3199" w:rsidP="009C02BE">
      <w:pPr>
        <w:shd w:val="clear" w:color="auto" w:fill="FFFFFF" w:themeFill="background1"/>
        <w:spacing w:line="360" w:lineRule="auto"/>
        <w:jc w:val="center"/>
        <w:rPr>
          <w:rFonts w:ascii="Times New Roman" w:eastAsia="Times New Roman" w:hAnsi="Times New Roman" w:cs="Times New Roman"/>
          <w:b/>
          <w:color w:val="000000" w:themeColor="text1"/>
          <w:sz w:val="24"/>
        </w:rPr>
      </w:pPr>
    </w:p>
    <w:p w14:paraId="1602419F" w14:textId="5B96961B" w:rsidR="008D16FE" w:rsidRPr="009F44A4" w:rsidRDefault="00C02138"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rPr>
      </w:pPr>
      <w:bookmarkStart w:id="2" w:name="_30j0zll" w:colFirst="0" w:colLast="0"/>
      <w:bookmarkEnd w:id="2"/>
      <w:r w:rsidRPr="009F44A4">
        <w:rPr>
          <w:rFonts w:ascii="Times New Roman" w:eastAsia="Calibri" w:hAnsi="Times New Roman" w:cs="Times New Roman"/>
          <w:b/>
          <w:color w:val="000000" w:themeColor="text1"/>
          <w:sz w:val="20"/>
          <w:szCs w:val="20"/>
        </w:rPr>
        <w:t xml:space="preserve">Abstract </w:t>
      </w:r>
    </w:p>
    <w:p w14:paraId="5848DA3D" w14:textId="1FA6C65A" w:rsidR="008D16FE" w:rsidRPr="009F44A4" w:rsidRDefault="002D6ECB"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A novel type beta strain of coronavirus, referred to as the severe acute respiratory syndrome coronavirus-2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-2), caused the latest pandemic COVID-19 disease that emerged in Wuhan City, Hubei Province China in early December 2019. It is an enveloped positive-stranded RNA virus, recognized for exhibiting interactions predominantly with lung epithelial cells. The </w:t>
      </w:r>
      <w:r w:rsidR="00F1335C" w:rsidRPr="009F44A4">
        <w:rPr>
          <w:rFonts w:ascii="Times New Roman" w:hAnsi="Times New Roman" w:cs="Times New Roman"/>
          <w:color w:val="000000" w:themeColor="text1"/>
          <w:sz w:val="20"/>
          <w:szCs w:val="20"/>
          <w:shd w:val="clear" w:color="auto" w:fill="FFFFFF"/>
        </w:rPr>
        <w:t>WHO</w:t>
      </w:r>
      <w:r w:rsidRPr="009F44A4">
        <w:rPr>
          <w:rFonts w:ascii="Times New Roman" w:hAnsi="Times New Roman" w:cs="Times New Roman"/>
          <w:color w:val="000000" w:themeColor="text1"/>
          <w:sz w:val="20"/>
          <w:szCs w:val="20"/>
          <w:shd w:val="clear" w:color="auto" w:fill="FFFFFF"/>
        </w:rPr>
        <w:t xml:space="preserve"> recommended avoiding gathering at public places and maintaining physical distance, using alcohol-based sanitizer and washing hands thoroughly with soap as precautionary steps. No standard treatment and medicine are currently available to fight against COVID-19; challenging research communities and pharmaceutical industries to revolutionize drug discovery and vaccine development. Meanwhile, efforts to boost immunity power appear need of the hour to combat COVID-19 illness. This review has been structured to provide detailed information on the causative agents of COVID-19, possible diagnostic and therapeutic approaches, potential drugs and their impact on health. In addition, we briefly highlight stem cell-based therapy as another approach to disease management and control. Immune responses elicited in the human body against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are also discussed. The recent emergence of the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strain called OMICRON has sparked worldwide concern. This review also covers the identification and global spread of OMICRON, which has now expanded to 77 countries, resulting in numerous speculations concerning its origin and degree of infectivity. The identification of mutations in the RBD (receptor binding domain) region of spike protein is a cause for concern because it goes beyond vaccination immunity. The following will discuss its transmission potential, infectivity and impact of COVID-19 vaccinations.</w:t>
      </w:r>
    </w:p>
    <w:p w14:paraId="7DE941AE" w14:textId="77777777" w:rsidR="008D16FE" w:rsidRPr="009F44A4" w:rsidRDefault="00212A80" w:rsidP="00DC7281">
      <w:pPr>
        <w:pStyle w:val="Heading3"/>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Keywords</w:t>
      </w:r>
    </w:p>
    <w:p w14:paraId="72A2C8FD" w14:textId="53D8BB73" w:rsidR="00246EE2" w:rsidRPr="009F44A4" w:rsidRDefault="002D6ECB" w:rsidP="00DC7281">
      <w:pPr>
        <w:pStyle w:val="NormalWeb"/>
        <w:shd w:val="clear" w:color="auto" w:fill="FFFFFF" w:themeFill="background1"/>
        <w:spacing w:before="0" w:beforeAutospacing="0" w:after="0" w:afterAutospacing="0" w:line="360" w:lineRule="auto"/>
        <w:jc w:val="both"/>
        <w:rPr>
          <w:color w:val="000000" w:themeColor="text1"/>
          <w:sz w:val="20"/>
          <w:szCs w:val="20"/>
          <w:shd w:val="clear" w:color="auto" w:fill="FFFFFF"/>
        </w:rPr>
      </w:pPr>
      <w:bookmarkStart w:id="3" w:name="_1fob9te" w:colFirst="0" w:colLast="0"/>
      <w:bookmarkEnd w:id="3"/>
      <w:r w:rsidRPr="009F44A4">
        <w:rPr>
          <w:color w:val="000000" w:themeColor="text1"/>
          <w:sz w:val="20"/>
          <w:szCs w:val="20"/>
          <w:shd w:val="clear" w:color="auto" w:fill="FFFFFF"/>
        </w:rPr>
        <w:t>COVID-19,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MERS, Drug Repurposing, Stem Cells, Immune Response.</w:t>
      </w:r>
    </w:p>
    <w:p w14:paraId="3D373606" w14:textId="77777777" w:rsidR="00246EE2" w:rsidRPr="009F44A4" w:rsidRDefault="00246EE2" w:rsidP="00DC7281">
      <w:pPr>
        <w:pStyle w:val="NormalWeb"/>
        <w:shd w:val="clear" w:color="auto" w:fill="FFFFFF" w:themeFill="background1"/>
        <w:spacing w:before="0" w:beforeAutospacing="0" w:after="0" w:afterAutospacing="0" w:line="360" w:lineRule="auto"/>
        <w:jc w:val="both"/>
        <w:rPr>
          <w:color w:val="000000" w:themeColor="text1"/>
          <w:sz w:val="20"/>
          <w:szCs w:val="20"/>
        </w:rPr>
      </w:pPr>
    </w:p>
    <w:p w14:paraId="6647DBA3" w14:textId="77777777" w:rsidR="008D16FE" w:rsidRPr="009F44A4" w:rsidRDefault="00284B1D" w:rsidP="00DC7281">
      <w:pPr>
        <w:pStyle w:val="ListParagraph"/>
        <w:numPr>
          <w:ilvl w:val="0"/>
          <w:numId w:val="6"/>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Introduction</w:t>
      </w:r>
    </w:p>
    <w:p w14:paraId="6DC1E470" w14:textId="039BFD84" w:rsidR="008D16FE" w:rsidRPr="009F44A4" w:rsidRDefault="004A0354"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Severe acute respiratory syndrome coronavirus 2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-2) is a new evolving infectious disease and currently an epidemic has been reported worldwide which is caused by this novel coronavirus. Coronaviruses belong to the family of enveloped RNA viruses that can cause disease in humans and animals. Numerous viruses in this family are Middle East respiratory syndrome (MERS) and severe acute respiratory syndrome (SARS), which lead to respiratory infections in humans with symptoms such as common colds and more fatal infections </w:t>
      </w:r>
      <w:r w:rsidR="00D335CB"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{"citationID":"P4nkQnUc","properties":{"formattedCitation":"\\super 1\\nosupersub{}","plainCitation":"1","noteIndex":0},"citationItems":[{"id":522,"uris":["http://zotero.org/users/local/ZR048J0w/items/ZMBK34ZW"],"uri":["http://zotero.org/users/local/ZR048J0w/items/ZMBK34ZW"],"itemData":{"id":522,"type":"webpage","abstract":"The daily Situation Report provides the current COVID-19 epidemiological situation and presents official case and death counts and transmission classifications worldwide. This includes a map, epidemic curve, and table allowing users to explore the latest numbers and trends at global, regional and country levels. The report also highlights important recent events and actions taken by WHO and partners.","language":"en","title":"Coronavirus Disease (COVID-19) Situation Reports","URL":"https://www.who.int/emergencies/diseases/novel-coronavirus-2019/situation-reports","accessed":{"date-parts":[["2020",12,8]]}}}],"schema":"https://github.com/citation-style-language/schema/raw/master/csl-citation.json"} </w:instrText>
      </w:r>
      <w:r w:rsidR="00D335CB"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w:t>
      </w:r>
      <w:r w:rsidR="00D335CB" w:rsidRPr="009F44A4">
        <w:rPr>
          <w:rFonts w:ascii="Times New Roman" w:eastAsia="Calibri" w:hAnsi="Times New Roman" w:cs="Times New Roman"/>
          <w:color w:val="000000" w:themeColor="text1"/>
          <w:sz w:val="20"/>
          <w:szCs w:val="20"/>
        </w:rPr>
        <w:fldChar w:fldCharType="end"/>
      </w:r>
      <w:r w:rsidR="00426F4E"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Patients were found to have </w:t>
      </w:r>
      <w:r w:rsidRPr="009F44A4">
        <w:rPr>
          <w:rFonts w:ascii="Times New Roman" w:hAnsi="Times New Roman" w:cs="Times New Roman"/>
          <w:color w:val="000000" w:themeColor="text1"/>
          <w:sz w:val="20"/>
          <w:szCs w:val="20"/>
          <w:shd w:val="clear" w:color="auto" w:fill="FFFFFF"/>
        </w:rPr>
        <w:lastRenderedPageBreak/>
        <w:t>pneumonia-like symptoms of unknown cause in December 2019, and most of them were found to have some kind of connection to the wholesale seafood market in Wuhan. Subsequently,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-2, belonging to the Ortho </w:t>
      </w:r>
      <w:proofErr w:type="spellStart"/>
      <w:r w:rsidRPr="009F44A4">
        <w:rPr>
          <w:rFonts w:ascii="Times New Roman" w:hAnsi="Times New Roman" w:cs="Times New Roman"/>
          <w:color w:val="000000" w:themeColor="text1"/>
          <w:sz w:val="20"/>
          <w:szCs w:val="20"/>
          <w:shd w:val="clear" w:color="auto" w:fill="FFFFFF"/>
        </w:rPr>
        <w:t>Coronaviridae</w:t>
      </w:r>
      <w:proofErr w:type="spellEnd"/>
      <w:r w:rsidRPr="009F44A4">
        <w:rPr>
          <w:rFonts w:ascii="Times New Roman" w:hAnsi="Times New Roman" w:cs="Times New Roman"/>
          <w:color w:val="000000" w:themeColor="text1"/>
          <w:sz w:val="20"/>
          <w:szCs w:val="20"/>
          <w:shd w:val="clear" w:color="auto" w:fill="FFFFFF"/>
        </w:rPr>
        <w:t xml:space="preserve"> subfamily of the </w:t>
      </w:r>
      <w:proofErr w:type="spellStart"/>
      <w:r w:rsidRPr="009F44A4">
        <w:rPr>
          <w:rFonts w:ascii="Times New Roman" w:hAnsi="Times New Roman" w:cs="Times New Roman"/>
          <w:color w:val="000000" w:themeColor="text1"/>
          <w:sz w:val="20"/>
          <w:szCs w:val="20"/>
          <w:shd w:val="clear" w:color="auto" w:fill="FFFFFF"/>
        </w:rPr>
        <w:t>Coronaviridae</w:t>
      </w:r>
      <w:proofErr w:type="spellEnd"/>
      <w:r w:rsidRPr="009F44A4">
        <w:rPr>
          <w:rFonts w:ascii="Times New Roman" w:hAnsi="Times New Roman" w:cs="Times New Roman"/>
          <w:color w:val="000000" w:themeColor="text1"/>
          <w:sz w:val="20"/>
          <w:szCs w:val="20"/>
          <w:shd w:val="clear" w:color="auto" w:fill="FFFFFF"/>
        </w:rPr>
        <w:t xml:space="preserve"> family, was discovered as the main causative agent for this new form of disease</w:t>
      </w:r>
      <w:r w:rsidR="00F26496" w:rsidRPr="009F44A4">
        <w:rPr>
          <w:rFonts w:ascii="Times New Roman" w:eastAsia="Calibri" w:hAnsi="Times New Roman" w:cs="Times New Roman"/>
          <w:color w:val="000000" w:themeColor="text1"/>
          <w:sz w:val="20"/>
          <w:szCs w:val="20"/>
        </w:rPr>
        <w:t xml:space="preserve"> </w:t>
      </w:r>
      <w:r w:rsidR="00F2649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{"citationID":"OnNw2UGG","properties":{"formattedCitation":"\\super 2\\nosupersub{}","plainCitation":"2","noteIndex":0},"citationItems":[{"id":526,"uris":["http://zotero.org/users/local/ZR048J0w/items/UL3FDPSJ"],"uri":["http://zotero.org/users/local/ZR048J0w/items/UL3FDPSJ"],"itemData":{"id":526,"type":"article-journal","abstract":"In December 2019, a cluster of patients with pneumonia of unknown cause was linked to a seafood wholesale market in Wuhan, China. A previously unknown betacoronavirus was discovered through the use of unbiased sequencing in samples from patients with pneumonia. Human airway epithelial cells were used to isolate a novel coronavirus, named 2019-nCoV, which formed a clade within the subgenus sarbecovirus, Orthocoronavirinae subfamily. Different from both MERS-CoV and SARS-CoV, 2019-nCoV is the seventh member of the family of coronaviruses that infect humans. Enhanced surveillance and further investigation are ongoing. (Funded by the National Key Research and Development Program of China and the National Major Project for Control and Prevention of Infectious Disease in China.).","container-title":"The New England Journal of Medicine","DOI":"10.1056/NEJMoa2001017","ISSN":"1533-4406","issue":"8","journalAbbreviation":"N Engl J Med","language":"eng","note":"PMID: 31978945\nPMCID: PMC7092803","page":"727-733","source":"PubMed","title":"A Novel Coronavirus from Patients with Pneumonia in China, 2019","volume":"382","author":[{"family":"Zhu","given":"Na"},{"family":"Zhang","given":"Dingyu"},{"family":"Wang","given":"Wenling"},{"family":"Li","given":"Xingwang"},{"family":"Yang","given":"Bo"},{"family":"Song","given":"Jingdong"},{"family":"Zhao","given":"Xiang"},{"family":"Huang","given":"Baoying"},{"family":"Shi","given":"Weifeng"},{"family":"Lu","given":"Roujian"},{"family":"Niu","given":"Peihua"},{"family":"Zhan","given":"Faxian"},{"family":"Ma","given":"Xuejun"},{"family":"Wang","given":"Dayan"},{"family":"Xu","given":"Wenbo"},{"family":"Wu","given":"Guizhen"},{"family":"Gao","given":"George F."},{"family":"Tan","given":"Wenjie"},{"literal":"China Novel Coronavirus Investigating and Research Team"}],"issued":{"date-parts":[["2020"]],"season":"20"}}}],"schema":"https://github.com/citation-style-language/schema/raw/master/csl-citation.json"} </w:instrText>
      </w:r>
      <w:r w:rsidR="00F2649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2</w:t>
      </w:r>
      <w:r w:rsidR="00F26496" w:rsidRPr="009F44A4">
        <w:rPr>
          <w:rFonts w:ascii="Times New Roman" w:eastAsia="Calibri" w:hAnsi="Times New Roman" w:cs="Times New Roman"/>
          <w:color w:val="000000" w:themeColor="text1"/>
          <w:sz w:val="20"/>
          <w:szCs w:val="20"/>
        </w:rPr>
        <w:fldChar w:fldCharType="end"/>
      </w:r>
      <w:r w:rsidR="00F26496"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008F4709" w:rsidRPr="009F44A4">
        <w:rPr>
          <w:rFonts w:ascii="Times New Roman" w:hAnsi="Times New Roman" w:cs="Times New Roman"/>
          <w:color w:val="000000" w:themeColor="text1"/>
          <w:sz w:val="20"/>
          <w:szCs w:val="20"/>
          <w:shd w:val="clear" w:color="auto" w:fill="FFFFFF"/>
        </w:rPr>
        <w:t>SARS-</w:t>
      </w:r>
      <w:proofErr w:type="spellStart"/>
      <w:r w:rsidR="008F4709" w:rsidRPr="009F44A4">
        <w:rPr>
          <w:rFonts w:ascii="Times New Roman" w:hAnsi="Times New Roman" w:cs="Times New Roman"/>
          <w:color w:val="000000" w:themeColor="text1"/>
          <w:sz w:val="20"/>
          <w:szCs w:val="20"/>
          <w:shd w:val="clear" w:color="auto" w:fill="FFFFFF"/>
        </w:rPr>
        <w:t>CoV</w:t>
      </w:r>
      <w:proofErr w:type="spellEnd"/>
      <w:r w:rsidR="008F4709" w:rsidRPr="009F44A4">
        <w:rPr>
          <w:rFonts w:ascii="Times New Roman" w:hAnsi="Times New Roman" w:cs="Times New Roman"/>
          <w:color w:val="000000" w:themeColor="text1"/>
          <w:sz w:val="20"/>
          <w:szCs w:val="20"/>
          <w:shd w:val="clear" w:color="auto" w:fill="FFFFFF"/>
        </w:rPr>
        <w:t xml:space="preserve">-2 is now declared as a pandemic impacting several countries around the world </w:t>
      </w:r>
      <w:r w:rsidR="00426F4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{"citationID":"OSSbNN1w","properties":{"formattedCitation":"\\super 1\\nosupersub{}","plainCitation":"1","noteIndex":0},"citationItems":[{"id":522,"uris":["http://zotero.org/users/local/ZR048J0w/items/ZMBK34ZW"],"uri":["http://zotero.org/users/local/ZR048J0w/items/ZMBK34ZW"],"itemData":{"id":522,"type":"webpage","abstract":"The daily Situation Report provides the current COVID-19 epidemiological situation and presents official case and death counts and transmission classifications worldwide. This includes a map, epidemic curve, and table allowing users to explore the latest numbers and trends at global, regional and country levels. The report also highlights important recent events and actions taken by WHO and partners.","language":"en","title":"Coronavirus Disease (COVID-19) Situation Reports","URL":"https://www.who.int/emergencies/diseases/novel-coronavirus-2019/situation-reports","accessed":{"date-parts":[["2020",12,8]]}}}],"schema":"https://github.com/citation-style-language/schema/raw/master/csl-citation.json"} </w:instrText>
      </w:r>
      <w:r w:rsidR="00426F4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w:t>
      </w:r>
      <w:r w:rsidR="00426F4E" w:rsidRPr="009F44A4">
        <w:rPr>
          <w:rFonts w:ascii="Times New Roman" w:eastAsia="Calibri" w:hAnsi="Times New Roman" w:cs="Times New Roman"/>
          <w:color w:val="000000" w:themeColor="text1"/>
          <w:sz w:val="20"/>
          <w:szCs w:val="20"/>
        </w:rPr>
        <w:fldChar w:fldCharType="end"/>
      </w:r>
      <w:r w:rsidR="00F26496" w:rsidRPr="009F44A4">
        <w:rPr>
          <w:rFonts w:ascii="Times New Roman" w:eastAsia="Calibri" w:hAnsi="Times New Roman" w:cs="Times New Roman"/>
          <w:color w:val="000000" w:themeColor="text1"/>
          <w:sz w:val="20"/>
          <w:szCs w:val="20"/>
        </w:rPr>
        <w:t xml:space="preserve">. </w:t>
      </w:r>
      <w:r w:rsidR="008F4709" w:rsidRPr="009F44A4">
        <w:rPr>
          <w:rFonts w:ascii="Times New Roman" w:hAnsi="Times New Roman" w:cs="Times New Roman"/>
          <w:color w:val="000000" w:themeColor="text1"/>
          <w:sz w:val="20"/>
          <w:szCs w:val="20"/>
          <w:shd w:val="clear" w:color="auto" w:fill="FFFFFF"/>
        </w:rPr>
        <w:t>As the virus poses a significant risk to human health and the economy, there is a serious need worldwide for the immediate production of effective therapies and prophylactics for its control and prevention. As of December 14, 2020, a total of 72,893,236+ confirmed COVID-19 cases, including 1,623,425+ deaths, 51,121,100+ recovered, and 20,148,711+ active cases were reported worldwide with the infection fatality rate of 3 percent</w:t>
      </w:r>
      <w:r w:rsidR="00EE4C74" w:rsidRPr="009F44A4">
        <w:rPr>
          <w:rFonts w:ascii="Times New Roman" w:eastAsia="Calibri" w:hAnsi="Times New Roman" w:cs="Times New Roman"/>
          <w:color w:val="000000" w:themeColor="text1"/>
          <w:sz w:val="20"/>
          <w:szCs w:val="20"/>
        </w:rPr>
        <w:t xml:space="preserve"> </w:t>
      </w:r>
      <w:r w:rsidR="00EE4C74"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{"citationID":"AAswoza7","properties":{"formattedCitation":"\\super 3\\nosupersub{}","plainCitation":"3","noteIndex":0},"citationItems":[{"id":538,"uris":["http://zotero.org/users/local/ZR048J0w/items/3QNRX2XE"],"uri":["http://zotero.org/users/local/ZR048J0w/items/3QNRX2XE"],"itemData":{"id":538,"type":"webpage","abstract":"Live statistics and coronavirus news tracking the number of confirmed cases, recovered patients, tests, and death toll due to the COVID-19 coronavirus from Wuhan, China. Coronavirus counter with new cases, deaths, and number of tests per 1 Million population. Historical data and info. Daily charts, graphs, news and updates","language":"en","title":"Coronavirus Update (Live): 72,893,236 Cases and 1,623,425 Deaths from COVID-19 Virus Pandemic - Worldometer","title-short":"Coronavirus Update (Live)","URL":"https://www.worldometers.info/coronavirus/","accessed":{"date-parts":[["2020",12,14]]}}}],"schema":"https://github.com/citation-style-language/schema/raw/master/csl-citation.json"} </w:instrText>
      </w:r>
      <w:r w:rsidR="00EE4C74"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3</w:t>
      </w:r>
      <w:r w:rsidR="00EE4C74" w:rsidRPr="009F44A4">
        <w:rPr>
          <w:rFonts w:ascii="Times New Roman" w:eastAsia="Calibri" w:hAnsi="Times New Roman" w:cs="Times New Roman"/>
          <w:color w:val="000000" w:themeColor="text1"/>
          <w:sz w:val="20"/>
          <w:szCs w:val="20"/>
        </w:rPr>
        <w:fldChar w:fldCharType="end"/>
      </w:r>
      <w:r w:rsidR="00123B3A"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006937C5" w:rsidRPr="009F44A4">
        <w:rPr>
          <w:rFonts w:ascii="Times New Roman" w:hAnsi="Times New Roman" w:cs="Times New Roman"/>
          <w:color w:val="000000" w:themeColor="text1"/>
          <w:sz w:val="20"/>
          <w:szCs w:val="20"/>
          <w:shd w:val="clear" w:color="auto" w:fill="FFFFFF"/>
        </w:rPr>
        <w:t>The case-fatality rate (CFR) of SARS-</w:t>
      </w:r>
      <w:proofErr w:type="spellStart"/>
      <w:r w:rsidR="006937C5" w:rsidRPr="009F44A4">
        <w:rPr>
          <w:rFonts w:ascii="Times New Roman" w:hAnsi="Times New Roman" w:cs="Times New Roman"/>
          <w:color w:val="000000" w:themeColor="text1"/>
          <w:sz w:val="20"/>
          <w:szCs w:val="20"/>
          <w:shd w:val="clear" w:color="auto" w:fill="FFFFFF"/>
        </w:rPr>
        <w:t>CoV</w:t>
      </w:r>
      <w:proofErr w:type="spellEnd"/>
      <w:r w:rsidR="006937C5" w:rsidRPr="009F44A4">
        <w:rPr>
          <w:rFonts w:ascii="Times New Roman" w:hAnsi="Times New Roman" w:cs="Times New Roman"/>
          <w:color w:val="000000" w:themeColor="text1"/>
          <w:sz w:val="20"/>
          <w:szCs w:val="20"/>
          <w:shd w:val="clear" w:color="auto" w:fill="FFFFFF"/>
        </w:rPr>
        <w:t>-2 has been estimated by the World Health Organization (WHO) to be between 0.3 and 1 percent, comparatively influenza A with CFR 0.1 percent lower than that of COVID-19</w:t>
      </w:r>
      <w:r w:rsidR="00204A08" w:rsidRPr="009F44A4">
        <w:rPr>
          <w:rFonts w:ascii="Times New Roman" w:eastAsia="Calibri" w:hAnsi="Times New Roman" w:cs="Times New Roman"/>
          <w:color w:val="000000" w:themeColor="text1"/>
          <w:sz w:val="20"/>
          <w:szCs w:val="20"/>
        </w:rPr>
        <w:t xml:space="preserve"> </w:t>
      </w:r>
      <w:r w:rsidR="00204A08"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{"citationID":"IDYWsxeQ","properties":{"formattedCitation":"\\super 4\\nosupersub{}","plainCitation":"4","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COVID-19","author":[{"family":"Golchin","given":"Ali"},{"family":"Seyedjafari","given":"Ehsan"},{"family":"Ardeshirylajimi","given":"Abdolreza"}],"issued":{"date-parts":[["2020",4,13]]}}}],"schema":"https://github.com/citation-style-language/schema/raw/master/csl-citation.json"} </w:instrText>
      </w:r>
      <w:r w:rsidR="00204A08"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w:t>
      </w:r>
      <w:r w:rsidR="00204A08" w:rsidRPr="009F44A4">
        <w:rPr>
          <w:rFonts w:ascii="Times New Roman" w:eastAsia="Calibri" w:hAnsi="Times New Roman" w:cs="Times New Roman"/>
          <w:color w:val="000000" w:themeColor="text1"/>
          <w:sz w:val="20"/>
          <w:szCs w:val="20"/>
        </w:rPr>
        <w:fldChar w:fldCharType="end"/>
      </w:r>
      <w:r w:rsidR="009A1227"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006937C5" w:rsidRPr="009F44A4">
        <w:rPr>
          <w:rFonts w:ascii="Times New Roman" w:hAnsi="Times New Roman" w:cs="Times New Roman"/>
          <w:color w:val="000000" w:themeColor="text1"/>
          <w:sz w:val="20"/>
          <w:szCs w:val="20"/>
          <w:shd w:val="clear" w:color="auto" w:fill="FFFFFF"/>
        </w:rPr>
        <w:t>Some observational studies conducted in countries adopting COVID-19 preventive strategies have suggested 80% of COVID-19 patients have had symptomless or moderate disease</w:t>
      </w:r>
      <w:r w:rsidR="00D56AD6" w:rsidRPr="009F44A4">
        <w:rPr>
          <w:rFonts w:ascii="Times New Roman" w:eastAsia="Calibri" w:hAnsi="Times New Roman" w:cs="Times New Roman"/>
          <w:color w:val="000000" w:themeColor="text1"/>
          <w:sz w:val="20"/>
          <w:szCs w:val="20"/>
        </w:rPr>
        <w:t xml:space="preserve"> </w:t>
      </w:r>
      <w:r w:rsidR="00D56AD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{"citationID":"9y3JG1dO","properties":{"formattedCitation":"\\super 4\\uc0\\u8211{}6\\nosupersub{}","plainCitation":"4–6","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id":543,"uris":["http://zotero.org/users/local/ZR048J0w/items/GA9R8RN5"],"uri":["http://zotero.org/users/local/ZR048J0w/items/GA9R8RN5"],"itemData":{"id":543,"type":"article-journal","abstract":"The new coronavirus outbreak is an ongoing pandemic that is caused by severe acute respiratory syndrome coronavirus 2 (SARS-CoV-2). The new coronavirus SARS-Cov-2 belongs to the subfamily of β–coronaviruses and shares 79.5% of the genetic sequence of SARS-CoV, the causative agent of the epidemic that started in 2002 and ended in 2004., Considering the clinical impact of the new outbreak, it is highly important to study the potential responses of the human immune system during the SARS-CoV-2 infection as well as the role of virus-specific T cells and by B-lymphocytes. Moreover, specific data on the production of IgG and IgM is crucial to allow the rapid identification of the infection. In this paper we also described the importance of sensitive and specific rapid test for SARS-CoV-2. Indeed, this test represents an important immunological tool aimed at identifying the precise phase of the infection in order to undertake a more appropriate pharmacological treatment. Lastly, we provided an overview of pharmacological treatments aimed to reduce inflammatory processes underlying the infection and the need for the discovery of a new vaccine against SARS-CoV-2.","container-title":"International Immunopharmacology","DOI":"10.1016/j.intimp.2020.106519","ISSN":"1567-5769","journalAbbreviation":"Int Immunopharmacol","note":"PMID: 32311668\nPMCID: PMC7161502","page":"106519","source":"PubMed Central","title":"SARS-Cov-2 infection: Response of human immune system and possible implications for the rapid test and treatment","title-short":"SARS-Cov-2 infection","volume":"84","author":[{"family":"Mauro","given":"Gabriella","non-dropping-particle":"di"},{"family":"Scavone","given":"Cristina"},{"family":"Rafaniello","given":"Concetta"},{"family":"Rossi","given":"Francesco"},{"family":"Capuano","given":"Annalisa"}],"issued":{"date-parts":[["2020",7]]}}},{"id":546,"uris":["http://zotero.org/users/local/ZR048J0w/items/CVY4DBYP"],"uri":["http://zotero.org/users/local/ZR048J0w/items/CVY4DBYP"],"itemData":{"id":546,"type":"article-journal","abstract":"Governments will not be able to minimise both deaths from coronavirus disease 2019\n(COVID-19) and the economic impact of viral spread. Keeping mortality as low as possible\nwill be the highest priority for individuals; hence governments must put in place\nmeasures to ameliorate the inevitable economic downturn. In our view, COVID-19 has\ndeveloped into a pandemic, with small chains of transmission in many countries and\nlarge chains resulting in extensive spread in a few countries, such as Italy, Iran,\nSouth Korea, and Japan.","container-title":"The Lancet","DOI":"10.1016/S0140-6736(20)30567-5","ISSN":"0140-6736, 1474-547X","issue":"10228","journalAbbreviation":"The Lancet","language":"English","note":"publisher: Elsevier\nPMID: 32164834","page":"931-934","source":"www.thelancet.com","title":"How will country-based mitigation measures influence the course of the COVID-19 epidemic?","volume":"395","author":[{"family":"Anderson","given":"Roy M."},{"family":"Heesterbeek","given":"Hans"},{"family":"Klinkenberg","given":"Don"},{"family":"Hollingsworth","given":"T. Déirdre"}],"issued":{"date-parts":[["2020",3,21]]}}}],"schema":"https://github.com/citation-style-language/schema/raw/master/csl-citation.json"} </w:instrText>
      </w:r>
      <w:r w:rsidR="00D56AD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4–6</w:t>
      </w:r>
      <w:r w:rsidR="00D56AD6"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006937C5" w:rsidRPr="009F44A4">
        <w:rPr>
          <w:rFonts w:ascii="Times New Roman" w:hAnsi="Times New Roman" w:cs="Times New Roman"/>
          <w:color w:val="000000" w:themeColor="text1"/>
          <w:sz w:val="20"/>
          <w:szCs w:val="20"/>
          <w:shd w:val="clear" w:color="auto" w:fill="FFFFFF"/>
        </w:rPr>
        <w:t>14% of patients had serious illnesses and 6% were in severe situations</w:t>
      </w:r>
      <w:r w:rsidR="00D56AD6" w:rsidRPr="009F44A4">
        <w:rPr>
          <w:rFonts w:ascii="Times New Roman" w:eastAsia="Calibri" w:hAnsi="Times New Roman" w:cs="Times New Roman"/>
          <w:color w:val="000000" w:themeColor="text1"/>
          <w:sz w:val="20"/>
          <w:szCs w:val="20"/>
        </w:rPr>
        <w:t xml:space="preserve"> </w:t>
      </w:r>
      <w:r w:rsidR="00D56AD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{"citationID":"YrDwPgE5","properties":{"formattedCitation":"\\super 4,6\\nosupersub{}","plainCitation":"4,6","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id":546,"uris":["http://zotero.org/users/local/ZR048J0w/items/CVY4DBYP"],"uri":["http://zotero.org/users/local/ZR048J0w/items/CVY4DBYP"],"itemData":{"id":546,"type":"article-journal","abstract":"Governments will not be able to minimise both deaths from coronavirus disease 2019\n(COVID-19) and the economic impact of viral spread. Keeping mortality as low as possible\nwill be the highest priority for individuals; hence governments must put in place\nmeasures to ameliorate the inevitable economic downturn. In our view, COVID-19 has\ndeveloped into a pandemic, with small chains of transmission in many countries and\nlarge chains resulting in extensive spread in a few countries, such as Italy, Iran,\nSouth Korea, and Japan.","container-title":"The Lancet","DOI":"10.1016/S0140-6736(20)30567-5","ISSN":"0140-6736, 1474-547X","issue":"10228","journalAbbreviation":"The Lancet","language":"English","note":"publisher: Elsevier\nPMID: 32164834","page":"931-934","source":"www.thelancet.com","title":"How will country-based mitigation measures influence the course of the COVID-19 epidemic?","volume":"395","author":[{"family":"Anderson","given":"Roy M."},{"family":"Heesterbeek","given":"Hans"},{"family":"Klinkenberg","given":"Don"},{"family":"Hollingsworth","given":"T. Déirdre"}],"issued":{"date-parts":[["2020",3,21]]}}}],"schema":"https://github.com/citation-style-language/schema/raw/master/csl-citation.json"} </w:instrText>
      </w:r>
      <w:r w:rsidR="00D56AD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4,6</w:t>
      </w:r>
      <w:r w:rsidR="00D56AD6" w:rsidRPr="009F44A4">
        <w:rPr>
          <w:rFonts w:ascii="Times New Roman" w:eastAsia="Calibri" w:hAnsi="Times New Roman" w:cs="Times New Roman"/>
          <w:color w:val="000000" w:themeColor="text1"/>
          <w:sz w:val="20"/>
          <w:szCs w:val="20"/>
        </w:rPr>
        <w:fldChar w:fldCharType="end"/>
      </w:r>
      <w:r w:rsidR="00D56AD6"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p>
    <w:p w14:paraId="1D700AD6" w14:textId="08755A69" w:rsidR="008D16FE" w:rsidRPr="009F44A4" w:rsidRDefault="006937C5" w:rsidP="00DC7281">
      <w:pPr>
        <w:shd w:val="clear" w:color="auto" w:fill="FFFFFF" w:themeFill="background1"/>
        <w:spacing w:before="240"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 xml:space="preserve">The outer surface of the “corona’’ appears to have crown-like spikes, thus referred to as coronavirus. Coronavirus has a small size which is ranging from 65-125 nm in diameter and the nucleic material is single-stranded positive sense RNA with a length of 26 to 32 kb. Coronavirus family is classified into four subgroups, </w:t>
      </w:r>
      <w:proofErr w:type="spellStart"/>
      <w:r w:rsidRPr="009F44A4">
        <w:rPr>
          <w:rFonts w:ascii="Times New Roman" w:hAnsi="Times New Roman" w:cs="Times New Roman"/>
          <w:color w:val="000000" w:themeColor="text1"/>
          <w:sz w:val="20"/>
          <w:szCs w:val="20"/>
          <w:shd w:val="clear" w:color="auto" w:fill="FFFFFF"/>
        </w:rPr>
        <w:t>i</w:t>
      </w:r>
      <w:proofErr w:type="spellEnd"/>
      <w:r w:rsidRPr="009F44A4">
        <w:rPr>
          <w:rFonts w:ascii="Times New Roman" w:hAnsi="Times New Roman" w:cs="Times New Roman"/>
          <w:color w:val="000000" w:themeColor="text1"/>
          <w:sz w:val="20"/>
          <w:szCs w:val="20"/>
          <w:shd w:val="clear" w:color="auto" w:fill="FFFFFF"/>
        </w:rPr>
        <w:t xml:space="preserve">) Alpha Coronavirus: Human coronavirus </w:t>
      </w:r>
      <w:proofErr w:type="spellStart"/>
      <w:r w:rsidRPr="009F44A4">
        <w:rPr>
          <w:rFonts w:ascii="Times New Roman" w:hAnsi="Times New Roman" w:cs="Times New Roman"/>
          <w:color w:val="000000" w:themeColor="text1"/>
          <w:sz w:val="20"/>
          <w:szCs w:val="20"/>
          <w:shd w:val="clear" w:color="auto" w:fill="FFFFFF"/>
        </w:rPr>
        <w:t>HCoV-229E</w:t>
      </w:r>
      <w:proofErr w:type="spellEnd"/>
      <w:r w:rsidRPr="009F44A4">
        <w:rPr>
          <w:rFonts w:ascii="Times New Roman" w:hAnsi="Times New Roman" w:cs="Times New Roman"/>
          <w:color w:val="000000" w:themeColor="text1"/>
          <w:sz w:val="20"/>
          <w:szCs w:val="20"/>
          <w:shd w:val="clear" w:color="auto" w:fill="FFFFFF"/>
        </w:rPr>
        <w:t xml:space="preserve"> and </w:t>
      </w:r>
      <w:proofErr w:type="spellStart"/>
      <w:r w:rsidRPr="009F44A4">
        <w:rPr>
          <w:rFonts w:ascii="Times New Roman" w:hAnsi="Times New Roman" w:cs="Times New Roman"/>
          <w:color w:val="000000" w:themeColor="text1"/>
          <w:sz w:val="20"/>
          <w:szCs w:val="20"/>
          <w:shd w:val="clear" w:color="auto" w:fill="FFFFFF"/>
        </w:rPr>
        <w:t>HCoV</w:t>
      </w:r>
      <w:proofErr w:type="spellEnd"/>
      <w:r w:rsidRPr="009F44A4">
        <w:rPr>
          <w:rFonts w:ascii="Times New Roman" w:hAnsi="Times New Roman" w:cs="Times New Roman"/>
          <w:color w:val="000000" w:themeColor="text1"/>
          <w:sz w:val="20"/>
          <w:szCs w:val="20"/>
          <w:shd w:val="clear" w:color="auto" w:fill="FFFFFF"/>
        </w:rPr>
        <w:t xml:space="preserve">-NL63, ii) Beta Coronavirus: this includes </w:t>
      </w:r>
      <w:proofErr w:type="spellStart"/>
      <w:r w:rsidRPr="009F44A4">
        <w:rPr>
          <w:rFonts w:ascii="Times New Roman" w:hAnsi="Times New Roman" w:cs="Times New Roman"/>
          <w:color w:val="000000" w:themeColor="text1"/>
          <w:sz w:val="20"/>
          <w:szCs w:val="20"/>
          <w:shd w:val="clear" w:color="auto" w:fill="FFFFFF"/>
        </w:rPr>
        <w:t>HCoV</w:t>
      </w:r>
      <w:proofErr w:type="spellEnd"/>
      <w:r w:rsidRPr="009F44A4">
        <w:rPr>
          <w:rFonts w:ascii="Times New Roman" w:hAnsi="Times New Roman" w:cs="Times New Roman"/>
          <w:color w:val="000000" w:themeColor="text1"/>
          <w:sz w:val="20"/>
          <w:szCs w:val="20"/>
          <w:shd w:val="clear" w:color="auto" w:fill="FFFFFF"/>
        </w:rPr>
        <w:t>-OC43 and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 </w:t>
      </w:r>
      <w:proofErr w:type="spellStart"/>
      <w:r w:rsidRPr="009F44A4">
        <w:rPr>
          <w:rFonts w:ascii="Times New Roman" w:hAnsi="Times New Roman" w:cs="Times New Roman"/>
          <w:color w:val="000000" w:themeColor="text1"/>
          <w:sz w:val="20"/>
          <w:szCs w:val="20"/>
          <w:shd w:val="clear" w:color="auto" w:fill="FFFFFF"/>
        </w:rPr>
        <w:t>HCoV</w:t>
      </w:r>
      <w:proofErr w:type="spellEnd"/>
      <w:r w:rsidRPr="009F44A4">
        <w:rPr>
          <w:rFonts w:ascii="Times New Roman" w:hAnsi="Times New Roman" w:cs="Times New Roman"/>
          <w:color w:val="000000" w:themeColor="text1"/>
          <w:sz w:val="20"/>
          <w:szCs w:val="20"/>
          <w:shd w:val="clear" w:color="auto" w:fill="FFFFFF"/>
        </w:rPr>
        <w:t>-HKU1 and MERS-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 iii) Gamma Coronavirus: representing viruses of birds and whales and iv) Delta Coronavirus: a category of viruses isolated from birds and pigs</w:t>
      </w:r>
      <w:r w:rsidR="00FB5F06" w:rsidRPr="009F44A4">
        <w:rPr>
          <w:rFonts w:ascii="Times New Roman" w:eastAsia="Calibri" w:hAnsi="Times New Roman" w:cs="Times New Roman"/>
          <w:color w:val="000000" w:themeColor="text1"/>
          <w:sz w:val="20"/>
          <w:szCs w:val="20"/>
        </w:rPr>
        <w:t xml:space="preserve"> </w:t>
      </w:r>
      <w:r w:rsidR="00FB5F0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{"citationID":"W162Ln2M","properties":{"formattedCitation":"\\super 7\\uc0\\u8211{}9\\nosupersub{}","plainCitation":"7–9","noteIndex":0},"citationItems":[{"id":550,"uris":["http://zotero.org/users/local/ZR048J0w/items/XP8U53UC"],"uri":["http://zotero.org/users/local/ZR048J0w/items/XP8U53UC"],"itemData":{"id":550,"type":"article-journal","abstract":"Th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analyze the emergence and pathogenicity of COVID-19 infection and previous human coronaviruses severe acute respiratory syndrome coronavirus (SARS-CoV) and middle east respiratory syndrome coronavirus (MERS-CoV). We also discuss the approaches for developing effective vaccines and therapeutic combinations to cope with this viral outbreak.","container-title":"Journal of Advanced Research","DOI":"10.1016/j.jare.2020.03.005","ISSN":"2090-1232","journalAbbreviation":"J Adv Res","note":"PMID: 32257431\nPMCID: PMC7113610","page":"91-98","source":"PubMed Central","title":"COVID-19 infection: Origin, transmission, and characteristics of human coronaviruses","title-short":"COVID-19 infection","volume":"24","author":[{"family":"Shereen","given":"Muhammad Adnan"},{"family":"Khan","given":"Suliman"},{"family":"Kazmi","given":"Abeer"},{"family":"Bashir","given":"Nadia"},{"family":"Siddique","given":"Rabeea"}],"issued":{"date-parts":[["2020",7]]}}},{"id":553,"uris":["http://zotero.org/users/local/ZR048J0w/items/KKMAJERX"],"uri":["http://zotero.org/users/local/ZR048J0w/items/KKMAJERX"],"itemData":{"id":553,"type":"article-journal","abstract":"In early December 2019, an outbreak of coronavirus disease 2019 (COVID-19), caused by a novel severe acute respiratory syndrome coronavirus 2 (SARS-CoV-2), occurred in Wuhan City, Hubei Province, China. On January 30, 2020 the World Health Organization declared the outbreak as a Public Health Emergency of International Concern. As of February 14, 2020, 49,053 laboratory-confirmed and 1,381 deaths have been reported globally. Perceived risk of acquiring disease has led many governments to institute a variety of control measures. We conducted a literature review of publicly available information to summarize knowledge about the pathogen and the current epidemic. In this literature review, the causative agent, pathogenesis and immune responses, epidemiology, diagnosis, treatment and management of the disease, control and preventions strategies are all reviewed.","container-title":"Journal of Infection and Public Health","DOI":"10.1016/j.jiph.2020.03.019","ISSN":"1876-035X","issue":"5","journalAbbreviation":"J Infect Public Health","language":"eng","note":"PMID: 32340833\nPMCID: PMC7142680","page":"667-673","source":"PubMed","title":"Coronavirus disease 2019 (COVID-19): A literature review","title-short":"Coronavirus disease 2019 (COVID-19)","volume":"13","author":[{"family":"Harapan","given":"Harapan"},{"family":"Itoh","given":"Naoya"},{"family":"Yufika","given":"Amanda"},{"family":"Winardi","given":"Wira"},{"family":"Keam","given":"Synat"},{"family":"Te","given":"Haypheng"},{"family":"Megawati","given":"Dewi"},{"family":"Hayati","given":"Zinatul"},{"family":"Wagner","given":"Abram L."},{"family":"Mudatsir","given":"Mudatsir"}],"issued":{"date-parts":[["2020",5]]}}},{"id":558,"uris":["http://zotero.org/users/local/ZR048J0w/items/KFEE7UA2"],"uri":["http://zotero.org/users/local/ZR048J0w/items/KFEE7UA2"],"itemData":{"id":558,"type":"webpage","title":"Fenner and White's Medical Virology - 5th Edition","URL":"https://www.elsevier.com/books/fenner-and-whites-medical-virology/burrell/978-0-12-375156-0","accessed":{"date-parts":[["2020",12,14]]}}}],"schema":"https://github.com/citation-style-language/schema/raw/master/csl-citation.json"} </w:instrText>
      </w:r>
      <w:r w:rsidR="00FB5F0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7–9</w:t>
      </w:r>
      <w:r w:rsidR="00FB5F06" w:rsidRPr="009F44A4">
        <w:rPr>
          <w:rFonts w:ascii="Times New Roman" w:eastAsia="Calibri" w:hAnsi="Times New Roman" w:cs="Times New Roman"/>
          <w:color w:val="000000" w:themeColor="text1"/>
          <w:sz w:val="20"/>
          <w:szCs w:val="20"/>
        </w:rPr>
        <w:fldChar w:fldCharType="end"/>
      </w:r>
      <w:r w:rsidR="00FB5F06"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Viruses such as SARS coronavirus, avian influenza, swine flu 2009 and MERS coronavirus have similar symptoms like infection in lungs and breathing difficulties that ultimately lead to lung damage and deaths. The genetic material of all coronaviruses is generally organized in a manner wherein 5′ end encodes the enzyme locus </w:t>
      </w:r>
      <w:proofErr w:type="spellStart"/>
      <w:r w:rsidRPr="009F44A4">
        <w:rPr>
          <w:rFonts w:ascii="Times New Roman" w:hAnsi="Times New Roman" w:cs="Times New Roman"/>
          <w:color w:val="000000" w:themeColor="text1"/>
          <w:sz w:val="20"/>
          <w:szCs w:val="20"/>
          <w:shd w:val="clear" w:color="auto" w:fill="FFFFFF"/>
        </w:rPr>
        <w:t>replicase</w:t>
      </w:r>
      <w:proofErr w:type="spellEnd"/>
      <w:r w:rsidRPr="009F44A4">
        <w:rPr>
          <w:rFonts w:ascii="Times New Roman" w:hAnsi="Times New Roman" w:cs="Times New Roman"/>
          <w:color w:val="000000" w:themeColor="text1"/>
          <w:sz w:val="20"/>
          <w:szCs w:val="20"/>
          <w:shd w:val="clear" w:color="auto" w:fill="FFFFFF"/>
        </w:rPr>
        <w:t xml:space="preserve"> and the structural proteins are encoded by ORFs 10, 11 on 1/3rd of the genome within the 3' terminus. Coronavirus genes have four structural proteins structured in the 5'-3' sequence as spike (S), envelope (E), membrane (M) &amp; </w:t>
      </w:r>
      <w:proofErr w:type="spellStart"/>
      <w:r w:rsidRPr="009F44A4">
        <w:rPr>
          <w:rFonts w:ascii="Times New Roman" w:hAnsi="Times New Roman" w:cs="Times New Roman"/>
          <w:color w:val="000000" w:themeColor="text1"/>
          <w:sz w:val="20"/>
          <w:szCs w:val="20"/>
          <w:shd w:val="clear" w:color="auto" w:fill="FFFFFF"/>
        </w:rPr>
        <w:t>nucleocapsid</w:t>
      </w:r>
      <w:proofErr w:type="spellEnd"/>
      <w:r w:rsidRPr="009F44A4">
        <w:rPr>
          <w:rFonts w:ascii="Times New Roman" w:hAnsi="Times New Roman" w:cs="Times New Roman"/>
          <w:color w:val="000000" w:themeColor="text1"/>
          <w:sz w:val="20"/>
          <w:szCs w:val="20"/>
          <w:shd w:val="clear" w:color="auto" w:fill="FFFFFF"/>
        </w:rPr>
        <w:t xml:space="preserve"> (N)</w:t>
      </w:r>
      <w:r w:rsidR="00CA1C29" w:rsidRPr="009F44A4">
        <w:rPr>
          <w:rFonts w:ascii="Times New Roman" w:eastAsia="Calibri" w:hAnsi="Times New Roman" w:cs="Times New Roman"/>
          <w:color w:val="000000" w:themeColor="text1"/>
          <w:sz w:val="20"/>
          <w:szCs w:val="20"/>
        </w:rPr>
        <w:t xml:space="preserve"> (Figure 1)</w:t>
      </w:r>
      <w:r w:rsidR="00AC093E" w:rsidRPr="009F44A4">
        <w:rPr>
          <w:rFonts w:ascii="Times New Roman" w:eastAsia="Calibri" w:hAnsi="Times New Roman" w:cs="Times New Roman"/>
          <w:color w:val="000000" w:themeColor="text1"/>
          <w:sz w:val="20"/>
          <w:szCs w:val="20"/>
        </w:rPr>
        <w:t xml:space="preserve"> </w:t>
      </w:r>
      <w:r w:rsidR="00AC093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{"citationID":"ftsQRYFx","properties":{"formattedCitation":"\\super 10\\nosupersub{}","plainCitation":"10","noteIndex":0},"citationItems":[{"id":560,"uris":["http://zotero.org/users/local/ZR048J0w/items/ASWS9EB5"],"uri":["http://zotero.org/users/local/ZR048J0w/items/ASWS9EB5"],"itemData":{"id":560,"type":"article-journal","abstract":"COVID-19 is a novel coronavirus with an outbreak of unusual viral pneumonia in Wuhan, China, and then pandemic. Based on its phylogenetic relationships and genomic structures the COVID-19 belongs to genera Betacoronavirus. Human Betacoronaviruses (SARS-CoV-2, SARS-CoV, and MERS-CoV) have many similarities, but also have differences in their genomic and phenotypic structure that can influence their pathogenesis. COVID-19 is containing single-stranded (positive-sense) RNA associated with a nucleoprotein within a capsid comprised of matrix protein. A typical CoV contains at least six ORFs in its genome. All the structural and accessory proteins are translated from the sgRNAs of CoVs. Four main structural proteins are encoded by ORFs 10, 11 on the one-third of the genome near the 3'-terminus. The genetic and phenotypic structure of COVID-19 in pathogenesis is important. This article highlights the most important of these features compared to other Betacoronaviruses.","container-title":"Journal of Microbiology, Immunology, and Infection = Wei Mian Yu Gan Ran Za Zhi","DOI":"10.1016/j.jmii.2020.03.022","ISSN":"1995-9133","journalAbbreviation":"J Microbiol Immunol Infect","language":"eng","note":"PMID: 32265180\nPMCID: PMC7138183","source":"PubMed","title":"Genotype and phenotype of COVID-19: Their roles in pathogenesis","title-short":"Genotype and phenotype of COVID-19","author":[{"family":"Mousavizadeh","given":"Leila"},{"family":"Ghasemi","given":"Sorayya"}],"issued":{"date-parts":[["2020",3,31]]}}}],"schema":"https://github.com/citation-style-language/schema/raw/master/csl-citation.json"} </w:instrText>
      </w:r>
      <w:r w:rsidR="00AC093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w:t>
      </w:r>
      <w:r w:rsidR="00AC093E"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Other coronaviruses, such as some beta coronaviruses, have specific structural and additional proteins, such as </w:t>
      </w:r>
      <w:proofErr w:type="spellStart"/>
      <w:r w:rsidRPr="009F44A4">
        <w:rPr>
          <w:rFonts w:ascii="Times New Roman" w:hAnsi="Times New Roman" w:cs="Times New Roman"/>
          <w:color w:val="000000" w:themeColor="text1"/>
          <w:sz w:val="20"/>
          <w:szCs w:val="20"/>
          <w:shd w:val="clear" w:color="auto" w:fill="FFFFFF"/>
        </w:rPr>
        <w:t>hemagglutinin</w:t>
      </w:r>
      <w:proofErr w:type="spellEnd"/>
      <w:r w:rsidRPr="009F44A4">
        <w:rPr>
          <w:rFonts w:ascii="Times New Roman" w:hAnsi="Times New Roman" w:cs="Times New Roman"/>
          <w:color w:val="000000" w:themeColor="text1"/>
          <w:sz w:val="20"/>
          <w:szCs w:val="20"/>
          <w:shd w:val="clear" w:color="auto" w:fill="FFFFFF"/>
        </w:rPr>
        <w:t xml:space="preserve"> esterase (HE)</w:t>
      </w:r>
      <w:r w:rsidR="00AC093E" w:rsidRPr="009F44A4">
        <w:rPr>
          <w:rFonts w:ascii="Times New Roman" w:eastAsia="Calibri" w:hAnsi="Times New Roman" w:cs="Times New Roman"/>
          <w:color w:val="000000" w:themeColor="text1"/>
          <w:sz w:val="20"/>
          <w:szCs w:val="20"/>
        </w:rPr>
        <w:t xml:space="preserve"> </w:t>
      </w:r>
      <w:r w:rsidR="00AC093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{"citationID":"oiKcL3GQ","properties":{"formattedCitation":"\\super 10\\nosupersub{}","plainCitation":"10","noteIndex":0},"citationItems":[{"id":560,"uris":["http://zotero.org/users/local/ZR048J0w/items/ASWS9EB5"],"uri":["http://zotero.org/users/local/ZR048J0w/items/ASWS9EB5"],"itemData":{"id":560,"type":"article-journal","abstract":"COVID-19 is a novel coronavirus with an outbreak of unusual viral pneumonia in Wuhan, China, and then pandemic. Based on its phylogenetic relationships and genomic structures the COVID-19 belongs to genera Betacoronavirus. Human Betacoronaviruses (SARS-CoV-2, SARS-CoV, and MERS-CoV) have many similarities, but also have differences in their genomic and phenotypic structure that can influence their pathogenesis. COVID-19 is containing single-stranded (positive-sense) RNA associated with a nucleoprotein within a capsid comprised of matrix protein. A typical CoV contains at least six ORFs in its genome. All the structural and accessory proteins are translated from the sgRNAs of CoVs. Four main structural proteins are encoded by ORFs 10, 11 on the one-third of the genome near the 3'-terminus. The genetic and phenotypic structure of COVID-19 in pathogenesis is important. This article highlights the most important of these features compared to other Betacoronaviruses.","container-title":"Journal of Microbiology, Immunology, and Infection = Wei Mian Yu Gan Ran Za Zhi","DOI":"10.1016/j.jmii.2020.03.022","ISSN":"1995-9133","journalAbbreviation":"J Microbiol Immunol Infect","language":"eng","note":"PMID: 32265180\nPMCID: PMC7138183","source":"PubMed","title":"Genotype and phenotype of COVID-19: Their roles in pathogenesis","title-short":"Genotype and phenotype of COVID-19","author":[{"family":"Mousavizadeh","given":"Leila"},{"family":"Ghasemi","given":"Sorayya"}],"issued":{"date-parts":[["2020",3,31]]}}}],"schema":"https://github.com/citation-style-language/schema/raw/master/csl-citation.json"} </w:instrText>
      </w:r>
      <w:r w:rsidR="00AC093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w:t>
      </w:r>
      <w:r w:rsidR="00AC093E" w:rsidRPr="009F44A4">
        <w:rPr>
          <w:rFonts w:ascii="Times New Roman" w:eastAsia="Calibri" w:hAnsi="Times New Roman" w:cs="Times New Roman"/>
          <w:color w:val="000000" w:themeColor="text1"/>
          <w:sz w:val="20"/>
          <w:szCs w:val="20"/>
        </w:rPr>
        <w:fldChar w:fldCharType="end"/>
      </w:r>
      <w:r w:rsidR="00AC093E"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Enclosed nucleic acid capsid protein connected with the RNA genetic material forming an icosahedral shape within the outer membrane. In the envelope spike protein forms the </w:t>
      </w:r>
      <w:proofErr w:type="spellStart"/>
      <w:r w:rsidRPr="009F44A4">
        <w:rPr>
          <w:rFonts w:ascii="Times New Roman" w:hAnsi="Times New Roman" w:cs="Times New Roman"/>
          <w:color w:val="000000" w:themeColor="text1"/>
          <w:sz w:val="20"/>
          <w:szCs w:val="20"/>
          <w:shd w:val="clear" w:color="auto" w:fill="FFFFFF"/>
        </w:rPr>
        <w:t>peplomers</w:t>
      </w:r>
      <w:proofErr w:type="spellEnd"/>
      <w:r w:rsidRPr="009F44A4">
        <w:rPr>
          <w:rFonts w:ascii="Times New Roman" w:hAnsi="Times New Roman" w:cs="Times New Roman"/>
          <w:color w:val="000000" w:themeColor="text1"/>
          <w:sz w:val="20"/>
          <w:szCs w:val="20"/>
          <w:shd w:val="clear" w:color="auto" w:fill="FFFFFF"/>
        </w:rPr>
        <w:t xml:space="preserve"> and it provides the crown-like structure to coronaviruses</w:t>
      </w:r>
      <w:r w:rsidR="00DB0DF0" w:rsidRPr="009F44A4">
        <w:rPr>
          <w:rFonts w:ascii="Times New Roman" w:eastAsia="Calibri" w:hAnsi="Times New Roman" w:cs="Times New Roman"/>
          <w:color w:val="000000" w:themeColor="text1"/>
          <w:sz w:val="20"/>
          <w:szCs w:val="20"/>
        </w:rPr>
        <w:t xml:space="preserve"> </w:t>
      </w:r>
      <w:r w:rsidR="00DB0DF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{"citationID":"yk93okYR","properties":{"formattedCitation":"\\super 11\\nosupersub{}","plainCitation":"11","noteIndex":0},"citationItems":[{"id":563,"uris":["http://zotero.org/users/local/ZR048J0w/items/WACM8VB5"],"uri":["http://zotero.org/users/local/ZR048J0w/items/WACM8VB5"],"itemData":{"id":563,"type":"article-journal","abstract":"Coronaviruses infect many species of animals including humans, causing acute and chronic diseases. This review focuses primarily on the pathogenesis of murine coronavirus mouse hepatitis virus (MHV) and severe acute respiratory coronavirus (SARS-CoV). MHV is a collection of strains, which provide models systems for the study of viral tropism and pathogenesis in several organs systems, including the central nervous system, the liver, and the lung, and has been cited as providing one of the few animal models for the study of chronic demyelinating diseases such as multiple sclerosis. SARS-CoV emerged in the human population in China in 2002, causing a worldwide epidemic with severe morbidity and high mortality rates, particularly in older individuals. We review the pathogenesis of both viruses and the several reverse genetics systems that made much of these studies possible. We also review the functions of coronavirus proteins, structural, enzymatic, and accessory, with an emphasis on roles in pathogenesis. Structural proteins in addition to their roles in virion structure and morphogenesis also contribute significantly to viral spread in vivo and in antagonizing host cell responses. Nonstructural proteins include the small accessory proteins that are not at all conserved between MHV and SARS-CoV and the 16 conserved proteins encoded in the replicase locus, many of which have enzymatic activities in RNA metabolism or protein processing in addition to functions in antagonizing host response.","container-title":"Advances in Virus Research","DOI":"10.1016/B978-0-12-385885-6.00009-2","ISSN":"0065-3527","journalAbbreviation":"Adv Virus Res","note":"PMID: 22094080\nPMCID: PMC7149603","page":"85-164","source":"PubMed Central","title":"Coronavirus Pathogenesis","volume":"81","author":[{"family":"Weiss","given":"Susan R."},{"family":"Leibowitz","given":"Julian L."}],"issued":{"date-parts":[["2011"]]}}}],"schema":"https://github.com/citation-style-language/schema/raw/master/csl-citation.json"} </w:instrText>
      </w:r>
      <w:r w:rsidR="00DB0DF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11</w:t>
      </w:r>
      <w:r w:rsidR="00DB0DF0" w:rsidRPr="009F44A4">
        <w:rPr>
          <w:rFonts w:ascii="Times New Roman" w:eastAsia="Calibri" w:hAnsi="Times New Roman" w:cs="Times New Roman"/>
          <w:color w:val="000000" w:themeColor="text1"/>
          <w:sz w:val="20"/>
          <w:szCs w:val="20"/>
        </w:rPr>
        <w:fldChar w:fldCharType="end"/>
      </w:r>
      <w:r w:rsidR="00DB0DF0"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5' end of the coronavirus genome encodes the </w:t>
      </w:r>
      <w:proofErr w:type="spellStart"/>
      <w:r w:rsidRPr="009F44A4">
        <w:rPr>
          <w:rFonts w:ascii="Times New Roman" w:hAnsi="Times New Roman" w:cs="Times New Roman"/>
          <w:color w:val="000000" w:themeColor="text1"/>
          <w:sz w:val="20"/>
          <w:szCs w:val="20"/>
          <w:shd w:val="clear" w:color="auto" w:fill="FFFFFF"/>
        </w:rPr>
        <w:t>replicase</w:t>
      </w:r>
      <w:proofErr w:type="spellEnd"/>
      <w:r w:rsidRPr="009F44A4">
        <w:rPr>
          <w:rFonts w:ascii="Times New Roman" w:hAnsi="Times New Roman" w:cs="Times New Roman"/>
          <w:color w:val="000000" w:themeColor="text1"/>
          <w:sz w:val="20"/>
          <w:szCs w:val="20"/>
          <w:shd w:val="clear" w:color="auto" w:fill="FFFFFF"/>
        </w:rPr>
        <w:t xml:space="preserve"> enzyme, which comprises two open reading frames. Two large </w:t>
      </w:r>
      <w:proofErr w:type="spellStart"/>
      <w:r w:rsidRPr="009F44A4">
        <w:rPr>
          <w:rFonts w:ascii="Times New Roman" w:hAnsi="Times New Roman" w:cs="Times New Roman"/>
          <w:color w:val="000000" w:themeColor="text1"/>
          <w:sz w:val="20"/>
          <w:szCs w:val="20"/>
          <w:shd w:val="clear" w:color="auto" w:fill="FFFFFF"/>
        </w:rPr>
        <w:t>replicase</w:t>
      </w:r>
      <w:proofErr w:type="spellEnd"/>
      <w:r w:rsidRPr="009F44A4">
        <w:rPr>
          <w:rFonts w:ascii="Times New Roman" w:hAnsi="Times New Roman" w:cs="Times New Roman"/>
          <w:color w:val="000000" w:themeColor="text1"/>
          <w:sz w:val="20"/>
          <w:szCs w:val="20"/>
          <w:shd w:val="clear" w:color="auto" w:fill="FFFFFF"/>
        </w:rPr>
        <w:t xml:space="preserve"> </w:t>
      </w:r>
      <w:proofErr w:type="spellStart"/>
      <w:r w:rsidRPr="009F44A4">
        <w:rPr>
          <w:rFonts w:ascii="Times New Roman" w:hAnsi="Times New Roman" w:cs="Times New Roman"/>
          <w:color w:val="000000" w:themeColor="text1"/>
          <w:sz w:val="20"/>
          <w:szCs w:val="20"/>
          <w:shd w:val="clear" w:color="auto" w:fill="FFFFFF"/>
        </w:rPr>
        <w:t>polyproteins</w:t>
      </w:r>
      <w:proofErr w:type="spellEnd"/>
      <w:r w:rsidRPr="009F44A4">
        <w:rPr>
          <w:rFonts w:ascii="Times New Roman" w:hAnsi="Times New Roman" w:cs="Times New Roman"/>
          <w:color w:val="000000" w:themeColor="text1"/>
          <w:sz w:val="20"/>
          <w:szCs w:val="20"/>
          <w:shd w:val="clear" w:color="auto" w:fill="FFFFFF"/>
        </w:rPr>
        <w:t xml:space="preserve"> are translated by the </w:t>
      </w:r>
      <w:proofErr w:type="spellStart"/>
      <w:r w:rsidRPr="009F44A4">
        <w:rPr>
          <w:rFonts w:ascii="Times New Roman" w:hAnsi="Times New Roman" w:cs="Times New Roman"/>
          <w:color w:val="000000" w:themeColor="text1"/>
          <w:sz w:val="20"/>
          <w:szCs w:val="20"/>
          <w:shd w:val="clear" w:color="auto" w:fill="FFFFFF"/>
        </w:rPr>
        <w:t>replicase</w:t>
      </w:r>
      <w:proofErr w:type="spellEnd"/>
      <w:r w:rsidRPr="009F44A4">
        <w:rPr>
          <w:rFonts w:ascii="Times New Roman" w:hAnsi="Times New Roman" w:cs="Times New Roman"/>
          <w:color w:val="000000" w:themeColor="text1"/>
          <w:sz w:val="20"/>
          <w:szCs w:val="20"/>
          <w:shd w:val="clear" w:color="auto" w:fill="FFFFFF"/>
        </w:rPr>
        <w:t xml:space="preserve"> enzymes that are cleaved co-</w:t>
      </w:r>
      <w:proofErr w:type="spellStart"/>
      <w:r w:rsidRPr="009F44A4">
        <w:rPr>
          <w:rFonts w:ascii="Times New Roman" w:hAnsi="Times New Roman" w:cs="Times New Roman"/>
          <w:color w:val="000000" w:themeColor="text1"/>
          <w:sz w:val="20"/>
          <w:szCs w:val="20"/>
          <w:shd w:val="clear" w:color="auto" w:fill="FFFFFF"/>
        </w:rPr>
        <w:t>translationally</w:t>
      </w:r>
      <w:proofErr w:type="spellEnd"/>
      <w:r w:rsidRPr="009F44A4">
        <w:rPr>
          <w:rFonts w:ascii="Times New Roman" w:hAnsi="Times New Roman" w:cs="Times New Roman"/>
          <w:color w:val="000000" w:themeColor="text1"/>
          <w:sz w:val="20"/>
          <w:szCs w:val="20"/>
          <w:shd w:val="clear" w:color="auto" w:fill="FFFFFF"/>
        </w:rPr>
        <w:t xml:space="preserve"> into 16 proteins, which include 2 to 3 proteases, several modification enzymes, polymerases and helicases</w:t>
      </w:r>
      <w:r w:rsidR="00DB0DF0" w:rsidRPr="009F44A4">
        <w:rPr>
          <w:rFonts w:ascii="Times New Roman" w:eastAsia="Calibri" w:hAnsi="Times New Roman" w:cs="Times New Roman"/>
          <w:color w:val="000000" w:themeColor="text1"/>
          <w:sz w:val="20"/>
          <w:szCs w:val="20"/>
        </w:rPr>
        <w:t xml:space="preserve"> </w:t>
      </w:r>
      <w:r w:rsidR="00DB0DF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{"citationID":"D1USP2Na","properties":{"formattedCitation":"\\super 11\\nosupersub{}","plainCitation":"11","noteIndex":0},"citationItems":[{"id":563,"uris":["http://zotero.org/users/local/ZR048J0w/items/WACM8VB5"],"uri":["http://zotero.org/users/local/ZR048J0w/items/WACM8VB5"],"itemData":{"id":563,"type":"article-journal","abstract":"Coronaviruses infect many species of animals including humans, causing acute and chronic diseases. This review focuses primarily on the pathogenesis of murine coronavirus mouse hepatitis virus (MHV) and severe acute respiratory coronavirus (SARS-CoV). MHV is a collection of strains, which provide models systems for the study of viral tropism and pathogenesis in several organs systems, including the central nervous system, the liver, and the lung, and has been cited as providing one of the few animal models for the study of chronic demyelinating diseases such as multiple sclerosis. SARS-CoV emerged in the human population in China in 2002, causing a worldwide epidemic with severe morbidity and high mortality rates, particularly in older individuals. We review the pathogenesis of both viruses and the several reverse genetics systems that made much of these studies possible. We also review the functions of coronavirus proteins, structural, enzymatic, and accessory, with an emphasis on roles in pathogenesis. Structural proteins in addition to their roles in virion structure and morphogenesis also contribute significantly to viral spread in vivo and in antagonizing host cell responses. Nonstructural proteins include the small accessory proteins that are not at all conserved between MHV and SARS-CoV and the 16 conserved proteins encoded in the replicase locus, many of which have enzymatic activities in RNA metabolism or protein processing in addition to functions in antagonizing host response.","container-title":"Advances in Virus Research","DOI":"10.1016/B978-0-12-385885-6.00009-2","ISSN":"0065-3527","journalAbbreviation":"Adv Virus Res","note":"PMID: 22094080\nPMCID: PMC7149603","page":"85-164","source":"PubMed Central","title":"Coronavirus Pathogenesis","volume":"81","author":[{"family":"Weiss","given":"Susan R."},{"family":"Leibowitz","given":"Julian L."}],"issued":{"date-parts":[["2011"]]}}}],"schema":"https://github.com/citation-style-language/schema/raw/master/csl-citation.json"} </w:instrText>
      </w:r>
      <w:r w:rsidR="00DB0DF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11</w:t>
      </w:r>
      <w:r w:rsidR="00DB0DF0" w:rsidRPr="009F44A4">
        <w:rPr>
          <w:rFonts w:ascii="Times New Roman" w:eastAsia="Calibri" w:hAnsi="Times New Roman" w:cs="Times New Roman"/>
          <w:color w:val="000000" w:themeColor="text1"/>
          <w:sz w:val="20"/>
          <w:szCs w:val="20"/>
        </w:rPr>
        <w:fldChar w:fldCharType="end"/>
      </w:r>
      <w:r w:rsidR="00DB0DF0" w:rsidRPr="009F44A4">
        <w:rPr>
          <w:rFonts w:ascii="Times New Roman" w:eastAsia="Calibri" w:hAnsi="Times New Roman" w:cs="Times New Roman"/>
          <w:color w:val="000000" w:themeColor="text1"/>
          <w:sz w:val="20"/>
          <w:szCs w:val="20"/>
        </w:rPr>
        <w:t>.</w:t>
      </w:r>
    </w:p>
    <w:p w14:paraId="6915898C" w14:textId="3B958360" w:rsidR="00027085" w:rsidRPr="009F44A4" w:rsidRDefault="0020073F"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r w:rsidRPr="009F44A4">
        <w:rPr>
          <w:rFonts w:ascii="Times New Roman" w:eastAsia="Times New Roman" w:hAnsi="Times New Roman" w:cs="Times New Roman"/>
          <w:b/>
          <w:noProof/>
          <w:color w:val="000000" w:themeColor="text1"/>
          <w:sz w:val="20"/>
          <w:szCs w:val="20"/>
          <w:lang w:val="en-IN"/>
        </w:rPr>
        <w:lastRenderedPageBreak/>
        <w:drawing>
          <wp:inline distT="0" distB="0" distL="0" distR="0" wp14:anchorId="71DDBE48" wp14:editId="4BF526AF">
            <wp:extent cx="5647374" cy="38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t="15084" r="15177"/>
                    <a:stretch/>
                  </pic:blipFill>
                  <pic:spPr>
                    <a:xfrm>
                      <a:off x="0" y="0"/>
                      <a:ext cx="5647374" cy="3888000"/>
                    </a:xfrm>
                    <a:prstGeom prst="rect">
                      <a:avLst/>
                    </a:prstGeom>
                  </pic:spPr>
                </pic:pic>
              </a:graphicData>
            </a:graphic>
          </wp:inline>
        </w:drawing>
      </w:r>
    </w:p>
    <w:p w14:paraId="7A4AB50B" w14:textId="77777777" w:rsidR="00027085" w:rsidRPr="009F44A4" w:rsidRDefault="00027085" w:rsidP="00DC7281">
      <w:pPr>
        <w:shd w:val="clear" w:color="auto" w:fill="FFFFFF" w:themeFill="background1"/>
        <w:spacing w:before="240" w:after="240" w:line="360" w:lineRule="auto"/>
        <w:jc w:val="both"/>
        <w:rPr>
          <w:rFonts w:ascii="Times New Roman" w:eastAsia="Times New Roman" w:hAnsi="Times New Roman" w:cs="Times New Roman"/>
          <w:color w:val="000000" w:themeColor="text1"/>
          <w:sz w:val="20"/>
          <w:szCs w:val="20"/>
        </w:rPr>
      </w:pPr>
      <w:r w:rsidRPr="009F44A4">
        <w:rPr>
          <w:rFonts w:ascii="Times New Roman" w:eastAsia="Times New Roman" w:hAnsi="Times New Roman" w:cs="Times New Roman"/>
          <w:b/>
          <w:color w:val="000000" w:themeColor="text1"/>
          <w:sz w:val="20"/>
          <w:szCs w:val="20"/>
        </w:rPr>
        <w:t>Figure 1.</w:t>
      </w:r>
      <w:r w:rsidRPr="009F44A4">
        <w:rPr>
          <w:rFonts w:ascii="Times New Roman" w:eastAsia="Times New Roman" w:hAnsi="Times New Roman" w:cs="Times New Roman"/>
          <w:color w:val="000000" w:themeColor="text1"/>
          <w:sz w:val="20"/>
          <w:szCs w:val="20"/>
        </w:rPr>
        <w:t xml:space="preserve"> Schematic representation of coronavirus structure and viral receptor i.e., angiotensin-converting enzyme 2 (ACE2) on the host cell surface.</w:t>
      </w:r>
    </w:p>
    <w:p w14:paraId="1C8381BE" w14:textId="77777777" w:rsidR="00027085" w:rsidRPr="009F44A4" w:rsidRDefault="00027085" w:rsidP="00DC7281">
      <w:pPr>
        <w:shd w:val="clear" w:color="auto" w:fill="FFFFFF" w:themeFill="background1"/>
        <w:spacing w:before="240" w:line="360" w:lineRule="auto"/>
        <w:jc w:val="both"/>
        <w:rPr>
          <w:rFonts w:ascii="Times New Roman" w:eastAsia="Calibri" w:hAnsi="Times New Roman" w:cs="Times New Roman"/>
          <w:color w:val="000000" w:themeColor="text1"/>
          <w:sz w:val="20"/>
          <w:szCs w:val="20"/>
        </w:rPr>
      </w:pPr>
    </w:p>
    <w:p w14:paraId="0B571E15" w14:textId="2B216A0F" w:rsidR="006937C5" w:rsidRPr="009F44A4" w:rsidRDefault="006937C5" w:rsidP="00DC7281">
      <w:pPr>
        <w:shd w:val="clear" w:color="auto" w:fill="FFFFFF" w:themeFill="background1"/>
        <w:spacing w:before="240"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-2 with the help of its class I fusion spike (S) glycoprotein recognizes the angiotensin I converting enzyme 2 (ACE2) as a binding site on the host cell particularly epithelial cells and consecutively fuses with the host cell. The entry of virus into target cells and further its transmission is allowed by the serine protease transmembrane protease, serine 2 (TMPRSS2) </w:t>
      </w:r>
      <w:r w:rsidR="000A21C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{"citationID":"BwLthu1L","properties":{"formattedCitation":"\\super 4\\nosupersub{}","plainCitation":"4","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COVID-19","author":[{"family":"Golchin","given":"Ali"},{"family":"Seyedjafari","given":"Ehsan"},{"family":"Ardeshirylajimi","given":"Abdolreza"}],"issued":{"date-parts":[["2020",4,13]]}}}],"schema":"https://github.com/citation-style-language/schema/raw/master/csl-citation.json"} </w:instrText>
      </w:r>
      <w:r w:rsidR="000A21C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w:t>
      </w:r>
      <w:r w:rsidR="000A21C3"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which helps in priming of the virus spike protein and involves the cleavage of the viral spike protein at the </w:t>
      </w:r>
      <w:proofErr w:type="spellStart"/>
      <w:r w:rsidRPr="009F44A4">
        <w:rPr>
          <w:rFonts w:ascii="Times New Roman" w:hAnsi="Times New Roman" w:cs="Times New Roman"/>
          <w:color w:val="000000" w:themeColor="text1"/>
          <w:sz w:val="20"/>
          <w:szCs w:val="20"/>
          <w:shd w:val="clear" w:color="auto" w:fill="FFFFFF"/>
        </w:rPr>
        <w:t>S1</w:t>
      </w:r>
      <w:proofErr w:type="spellEnd"/>
      <w:r w:rsidRPr="009F44A4">
        <w:rPr>
          <w:rFonts w:ascii="Times New Roman" w:hAnsi="Times New Roman" w:cs="Times New Roman"/>
          <w:color w:val="000000" w:themeColor="text1"/>
          <w:sz w:val="20"/>
          <w:szCs w:val="20"/>
          <w:shd w:val="clear" w:color="auto" w:fill="FFFFFF"/>
        </w:rPr>
        <w:t>/</w:t>
      </w:r>
      <w:proofErr w:type="spellStart"/>
      <w:r w:rsidRPr="009F44A4">
        <w:rPr>
          <w:rFonts w:ascii="Times New Roman" w:hAnsi="Times New Roman" w:cs="Times New Roman"/>
          <w:color w:val="000000" w:themeColor="text1"/>
          <w:sz w:val="20"/>
          <w:szCs w:val="20"/>
          <w:shd w:val="clear" w:color="auto" w:fill="FFFFFF"/>
        </w:rPr>
        <w:t>S2</w:t>
      </w:r>
      <w:proofErr w:type="spellEnd"/>
      <w:r w:rsidRPr="009F44A4">
        <w:rPr>
          <w:rFonts w:ascii="Times New Roman" w:hAnsi="Times New Roman" w:cs="Times New Roman"/>
          <w:color w:val="000000" w:themeColor="text1"/>
          <w:sz w:val="20"/>
          <w:szCs w:val="20"/>
          <w:shd w:val="clear" w:color="auto" w:fill="FFFFFF"/>
        </w:rPr>
        <w:t xml:space="preserve"> site. The </w:t>
      </w:r>
      <w:proofErr w:type="spellStart"/>
      <w:r w:rsidRPr="009F44A4">
        <w:rPr>
          <w:rFonts w:ascii="Times New Roman" w:hAnsi="Times New Roman" w:cs="Times New Roman"/>
          <w:color w:val="000000" w:themeColor="text1"/>
          <w:sz w:val="20"/>
          <w:szCs w:val="20"/>
          <w:shd w:val="clear" w:color="auto" w:fill="FFFFFF"/>
        </w:rPr>
        <w:t>S1</w:t>
      </w:r>
      <w:proofErr w:type="spellEnd"/>
      <w:r w:rsidRPr="009F44A4">
        <w:rPr>
          <w:rFonts w:ascii="Times New Roman" w:hAnsi="Times New Roman" w:cs="Times New Roman"/>
          <w:color w:val="000000" w:themeColor="text1"/>
          <w:sz w:val="20"/>
          <w:szCs w:val="20"/>
          <w:shd w:val="clear" w:color="auto" w:fill="FFFFFF"/>
        </w:rPr>
        <w:t xml:space="preserve"> subunit facilitates the binding of the spike protein via its receptor-binding domain. Upon attaching to the receptor, conformational changes in the spike protein occur</w:t>
      </w:r>
      <w:r w:rsidR="000A21C3" w:rsidRPr="009F44A4">
        <w:rPr>
          <w:rFonts w:ascii="Times New Roman" w:eastAsia="Calibri" w:hAnsi="Times New Roman" w:cs="Times New Roman"/>
          <w:color w:val="000000" w:themeColor="text1"/>
          <w:sz w:val="20"/>
          <w:szCs w:val="20"/>
        </w:rPr>
        <w:t xml:space="preserve"> </w:t>
      </w:r>
      <w:r w:rsidR="000A21C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{"citationID":"wdcjWupq","properties":{"formattedCitation":"\\super 4,12\\nosupersub{}","plainCitation":"4,12","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id":566,"uris":["http://zotero.org/users/local/ZR048J0w/items/F2BGMND6"],"uri":["http://zotero.org/users/local/ZR048J0w/items/F2BGMND6"],"itemData":{"id":566,"type":"article-journal","abstract":"The recent emergence of the novel, pathogenic SARS-coronavirus 2 (SARS-CoV-2) in China and its rapid national and international spread pose a global health emergency. Cell entry of coronaviruses depends on binding of the viral spike (S) proteins to cellular receptors and on S protein priming by host cell proteases. Unravelling which cellular factors are used by SARS-CoV-2 for entry might provide insights into viral transmission and reveal therapeutic targets. Here, we demonstrate that SARS-CoV-2 uses the SARS-CoV receptor ACE2 for entry and the serine protease TMPRSS2 for S protein priming. A TMPRSS2 inhibitor approved for clinical use blocked entry and might constitute a treatment option. Finally, we show that the sera from convalescent SARS patients cross-neutralized SARS-2-S-driven entry. Our results reveal important commonalities between SARS-CoV-2 and SARS-CoV infection and identify a potential target for antiviral intervention.","container-title":"Cell","DOI":"10.1016/j.cell.2020.02.052","ISSN":"1097-4172","issue":"2","journalAbbreviation":"Cell","language":"eng","note":"PMID: 32142651\nPMCID: PMC7102627","page":"271-280.e8","source":"PubMed","title":"SARS-CoV-2 Cell Entry Depends on ACE2 and TMPRSS2 and Is Blocked by a Clinically Proven Protease Inhibitor","volume":"181","author":[{"family":"Hoffmann","given":"Markus"},{"family":"Kleine-Weber","given":"Hannah"},{"family":"Schroeder","given":"Simon"},{"family":"Krüger","given":"Nadine"},{"family":"Herrler","given":"Tanja"},{"family":"Erichsen","given":"Sandra"},{"family":"Schiergens","given":"Tobias S."},{"family":"Herrler","given":"Georg"},{"family":"Wu","given":"Nai-Huei"},{"family":"Nitsche","given":"Andreas"},{"family":"Müller","given":"Marcel A."},{"family":"Drosten","given":"Christian"},{"family":"Pöhlmann","given":"Stefan"}],"issued":{"date-parts":[["2020",4,16]]}}}],"schema":"https://github.com/citation-style-language/schema/raw/master/csl-citation.json"} </w:instrText>
      </w:r>
      <w:r w:rsidR="000A21C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4,12</w:t>
      </w:r>
      <w:r w:rsidR="000A21C3" w:rsidRPr="009F44A4">
        <w:rPr>
          <w:rFonts w:ascii="Times New Roman" w:eastAsia="Calibri" w:hAnsi="Times New Roman" w:cs="Times New Roman"/>
          <w:color w:val="000000" w:themeColor="text1"/>
          <w:sz w:val="20"/>
          <w:szCs w:val="20"/>
        </w:rPr>
        <w:fldChar w:fldCharType="end"/>
      </w:r>
      <w:r w:rsidR="000A21C3"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The </w:t>
      </w:r>
      <w:proofErr w:type="spellStart"/>
      <w:r w:rsidRPr="009F44A4">
        <w:rPr>
          <w:rFonts w:ascii="Times New Roman" w:hAnsi="Times New Roman" w:cs="Times New Roman"/>
          <w:color w:val="000000" w:themeColor="text1"/>
          <w:sz w:val="20"/>
          <w:szCs w:val="20"/>
          <w:shd w:val="clear" w:color="auto" w:fill="FFFFFF"/>
        </w:rPr>
        <w:t>S2</w:t>
      </w:r>
      <w:proofErr w:type="spellEnd"/>
      <w:r w:rsidRPr="009F44A4">
        <w:rPr>
          <w:rFonts w:ascii="Times New Roman" w:hAnsi="Times New Roman" w:cs="Times New Roman"/>
          <w:color w:val="000000" w:themeColor="text1"/>
          <w:sz w:val="20"/>
          <w:szCs w:val="20"/>
          <w:shd w:val="clear" w:color="auto" w:fill="FFFFFF"/>
        </w:rPr>
        <w:t xml:space="preserve"> subunit helps the membrane to integrate and internalize the virus. ACE2 and TMPRSS2 receptors are usually found in alveolar type II cells and capillary endothelial cells in the lungs</w:t>
      </w:r>
      <w:r w:rsidR="000A21C3" w:rsidRPr="009F44A4">
        <w:rPr>
          <w:rFonts w:ascii="Times New Roman" w:eastAsia="Calibri" w:hAnsi="Times New Roman" w:cs="Times New Roman"/>
          <w:color w:val="000000" w:themeColor="text1"/>
          <w:sz w:val="20"/>
          <w:szCs w:val="20"/>
        </w:rPr>
        <w:t xml:space="preserve"> </w:t>
      </w:r>
      <w:r w:rsidR="000A21C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{"citationID":"8REWpMRX","properties":{"formattedCitation":"\\super 4,13\\nosupersub{}","plainCitation":"4,13","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id":569,"uris":["http://zotero.org/users/local/ZR048J0w/items/TDN6KPYQ"],"uri":["http://zotero.org/users/local/ZR048J0w/items/TDN6KPYQ"],"itemData":{"id":569,"type":"article-journal","abstract":"A coronavirus (HCoV-19) has caused the novel coronavirus disease (COVID-19) outbreak in Wuhan, China. Preventing and reversing the cytokine storm may be the key to save the patients with severe COVID-19 pneumonia. Mesenchymal stem cells (MSCs) have been shown to possess a comprehensive powerful immunomodulatory function. This study aims to investigate whether MSC transplantation improves the outcome of 7 enrolled patients with COVID-19 pneumonia in Beijing YouAn Hospital, China, from Jan 23, 2020 to Feb 16, 2020. The clinical outcomes, as well as changes of inflammatory and immune function levels and adverse effects of 7 enrolled patients were assessed for 14 days after MSC injection. MSCs could cure or significantly improve the functional outcomes of seven patients without observed adverse effects. The pulmonary function and symptoms of these seven patients were significantly improved in 2 days after MSC transplantation. Among them, two common and one severe patient were recovered and discharged in 10 days after treatment. After treatment, the peripheral lymphocytes were increased, the C-reactive protein decreased, and the overactivated cytokine-secreting immune cells CXCR3+CD4+ T cells, CXCR3+CD8+ T cells, and CXCR3+ NK cells disappeared in 3-6 days. In addition, a group of CD14+CD11c+CD11bmid regulatory DC cell population dramatically increased. Meanwhile, the level of TNF-α was significantly decreased, while IL-10 increased in MSC treatment group compared to the placebo control group. Furthermore, the gene expression profile showed MSCs were ACE2- and TMPRSS2- which indicated MSCs are free from COVID-19 infection. Thus, the intravenous transplantation of MSCs was safe and effective for treatment in patients with COVID-19 pneumonia, especially for the patients in critically severe condition.","container-title":"Aging and Disease","DOI":"10.14336/AD.2020.0228","ISSN":"2152-5250","issue":"2","journalAbbreviation":"Aging Dis","note":"PMID: 32257537\nPMCID: PMC7069465","page":"216-228","source":"PubMed Central","title":"Transplantation of ACE2- Mesenchymal Stem Cells Improves the Outcome of Patients with COVID-19 Pneumonia","volume":"11","author":[{"family":"Leng","given":"Zikuan"},{"family":"Zhu","given":"Rongjia"},{"family":"Hou","given":"Wei"},{"family":"Feng","given":"Yingmei"},{"family":"Yang","given":"Yanlei"},{"family":"Han","given":"Qin"},{"family":"Shan","given":"Guangliang"},{"family":"Meng","given":"Fanyan"},{"family":"Du","given":"Dongshu"},{"family":"Wang","given":"Shihua"},{"family":"Fan","given":"Junfen"},{"family":"Wang","given":"Wenjing"},{"family":"Deng","given":"Luchan"},{"family":"Shi","given":"Hongbo"},{"family":"Li","given":"Hongjun"},{"family":"Hu","given":"Zhongjie"},{"family":"Zhang","given":"Fengchun"},{"family":"Gao","given":"Jinming"},{"family":"Liu","given":"Hongjian"},{"family":"Li","given":"Xiaoxia"},{"family":"Zhao","given":"Yangyang"},{"family":"Yin","given":"Kan"},{"family":"He","given":"Xijing"},{"family":"Gao","given":"Zhengchao"},{"family":"Wang","given":"Yibin"},{"family":"Yang","given":"Bo"},{"family":"Jin","given":"Ronghua"},{"family":"Stambler","given":"Ilia"},{"family":"Lim","given":"Lee Wei"},{"family":"Su","given":"Huanxing"},{"family":"Moskalev","given":"Alexey"},{"family":"Cano","given":"Antonio"},{"family":"Chakrabarti","given":"Sasanka"},{"family":"Min","given":"Kyung-Jin"},{"family":"Ellison-Hughes","given":"Georgina"},{"family":"Caruso","given":"Calogero"},{"family":"Jin","given":"Kunlin"},{"family":"Zhao","given":"Robert Chunhua"}],"issued":{"date-parts":[["2020",3,9]]}}}],"schema":"https://github.com/citation-style-language/schema/raw/master/csl-citation.json"} </w:instrText>
      </w:r>
      <w:r w:rsidR="000A21C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4,13</w:t>
      </w:r>
      <w:r w:rsidR="000A21C3" w:rsidRPr="009F44A4">
        <w:rPr>
          <w:rFonts w:ascii="Times New Roman" w:eastAsia="Calibri" w:hAnsi="Times New Roman" w:cs="Times New Roman"/>
          <w:color w:val="000000" w:themeColor="text1"/>
          <w:sz w:val="20"/>
          <w:szCs w:val="20"/>
        </w:rPr>
        <w:fldChar w:fldCharType="end"/>
      </w:r>
      <w:r w:rsidR="00FE5FC2"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As a result,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infection demonstrates extreme respiratory disease as among the main symptoms. Importantly, infection with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-2 triggers overproduction of cytokines and increases the pro-inflammatory response in the lungs. Excess levels of cytokines cause </w:t>
      </w:r>
      <w:proofErr w:type="spellStart"/>
      <w:r w:rsidRPr="009F44A4">
        <w:rPr>
          <w:rFonts w:ascii="Times New Roman" w:hAnsi="Times New Roman" w:cs="Times New Roman"/>
          <w:color w:val="000000" w:themeColor="text1"/>
          <w:sz w:val="20"/>
          <w:szCs w:val="20"/>
          <w:shd w:val="clear" w:color="auto" w:fill="FFFFFF"/>
        </w:rPr>
        <w:t>oedema</w:t>
      </w:r>
      <w:proofErr w:type="spellEnd"/>
      <w:r w:rsidRPr="009F44A4">
        <w:rPr>
          <w:rFonts w:ascii="Times New Roman" w:hAnsi="Times New Roman" w:cs="Times New Roman"/>
          <w:color w:val="000000" w:themeColor="text1"/>
          <w:sz w:val="20"/>
          <w:szCs w:val="20"/>
          <w:shd w:val="clear" w:color="auto" w:fill="FFFFFF"/>
        </w:rPr>
        <w:t>, difficulty in breathing, acute respiratory failure and several other infections that can even lead to death of patients</w:t>
      </w:r>
      <w:r w:rsidR="000A21C3" w:rsidRPr="009F44A4">
        <w:rPr>
          <w:rFonts w:ascii="Times New Roman" w:eastAsia="Calibri" w:hAnsi="Times New Roman" w:cs="Times New Roman"/>
          <w:color w:val="000000" w:themeColor="text1"/>
          <w:sz w:val="20"/>
          <w:szCs w:val="20"/>
        </w:rPr>
        <w:t xml:space="preserve"> </w:t>
      </w:r>
      <w:r w:rsidR="000A21C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{"citationID":"06iCM82o","properties":{"formattedCitation":"\\super 4\\nosupersub{}","plainCitation":"4","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COVID-19","author":[{"family":"Golchin","given":"Ali"},{"family":"Seyedjafari","given":"Ehsan"},{"family":"Ardeshirylajimi","given":"Abdolreza"}],"issued":{"date-parts":[["2020",4,13]]}}}],"schema":"https://github.com/citation-style-language/schema/raw/master/csl-citation.json"} </w:instrText>
      </w:r>
      <w:r w:rsidR="000A21C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w:t>
      </w:r>
      <w:r w:rsidR="000A21C3" w:rsidRPr="009F44A4">
        <w:rPr>
          <w:rFonts w:ascii="Times New Roman" w:eastAsia="Calibri" w:hAnsi="Times New Roman" w:cs="Times New Roman"/>
          <w:color w:val="000000" w:themeColor="text1"/>
          <w:sz w:val="20"/>
          <w:szCs w:val="20"/>
        </w:rPr>
        <w:fldChar w:fldCharType="end"/>
      </w:r>
      <w:r w:rsidR="000A21C3" w:rsidRPr="009F44A4">
        <w:rPr>
          <w:rFonts w:ascii="Times New Roman" w:eastAsia="Calibri" w:hAnsi="Times New Roman" w:cs="Times New Roman"/>
          <w:color w:val="000000" w:themeColor="text1"/>
          <w:sz w:val="20"/>
          <w:szCs w:val="20"/>
        </w:rPr>
        <w:t>.</w:t>
      </w:r>
    </w:p>
    <w:p w14:paraId="59E52E17" w14:textId="5945E37C" w:rsidR="006937C5" w:rsidRPr="009F44A4" w:rsidRDefault="006937C5" w:rsidP="00DC7281">
      <w:pPr>
        <w:shd w:val="clear" w:color="auto" w:fill="FFFFFF" w:themeFill="background1"/>
        <w:spacing w:line="360" w:lineRule="auto"/>
        <w:jc w:val="both"/>
        <w:rPr>
          <w:rFonts w:ascii="Times New Roman" w:eastAsia="Times New Roman" w:hAnsi="Times New Roman" w:cs="Times New Roman"/>
          <w:color w:val="000000" w:themeColor="text1"/>
          <w:sz w:val="20"/>
          <w:szCs w:val="20"/>
          <w:lang w:eastAsia="en-US"/>
        </w:rPr>
      </w:pPr>
      <w:r w:rsidRPr="009F44A4">
        <w:rPr>
          <w:rFonts w:ascii="Times New Roman" w:eastAsia="Times New Roman" w:hAnsi="Times New Roman" w:cs="Times New Roman"/>
          <w:color w:val="000000" w:themeColor="text1"/>
          <w:sz w:val="20"/>
          <w:szCs w:val="20"/>
          <w:shd w:val="clear" w:color="auto" w:fill="FFFFFF"/>
          <w:lang w:eastAsia="en-US"/>
        </w:rPr>
        <w:t xml:space="preserve">Delta and Omicron are two recent variations of concern. </w:t>
      </w:r>
      <w:r w:rsidRPr="009F44A4">
        <w:rPr>
          <w:rFonts w:ascii="Times New Roman" w:eastAsia="Times New Roman" w:hAnsi="Times New Roman" w:cs="Times New Roman"/>
          <w:color w:val="000000" w:themeColor="text1"/>
          <w:sz w:val="20"/>
          <w:szCs w:val="20"/>
          <w:lang w:eastAsia="en-US"/>
        </w:rPr>
        <w:t>India was the first nation to identify the Delta variant in late 2020.</w:t>
      </w:r>
      <w:r w:rsidRPr="009F44A4">
        <w:rPr>
          <w:rFonts w:ascii="Times New Roman" w:eastAsia="Times New Roman" w:hAnsi="Times New Roman" w:cs="Times New Roman"/>
          <w:color w:val="000000" w:themeColor="text1"/>
          <w:sz w:val="20"/>
          <w:szCs w:val="20"/>
          <w:shd w:val="clear" w:color="auto" w:fill="FFFFFF"/>
          <w:lang w:eastAsia="en-US"/>
        </w:rPr>
        <w:t xml:space="preserve"> The Delta variety was discovered on May 31, 2021, and by November 22, 2021, it had spread to 179 nations. </w:t>
      </w:r>
      <w:r w:rsidRPr="009F44A4">
        <w:rPr>
          <w:rFonts w:ascii="Times New Roman" w:eastAsia="Times New Roman" w:hAnsi="Times New Roman" w:cs="Times New Roman"/>
          <w:color w:val="000000" w:themeColor="text1"/>
          <w:sz w:val="20"/>
          <w:szCs w:val="20"/>
          <w:lang w:eastAsia="en-US"/>
        </w:rPr>
        <w:t xml:space="preserve">The World Health Organization (WHO) predicted in June 2021 that the Delta form would be among the most stressful </w:t>
      </w:r>
      <w:r w:rsidRPr="009F44A4">
        <w:rPr>
          <w:rFonts w:ascii="Times New Roman" w:eastAsia="Times New Roman" w:hAnsi="Times New Roman" w:cs="Times New Roman"/>
          <w:color w:val="000000" w:themeColor="text1"/>
          <w:sz w:val="20"/>
          <w:szCs w:val="20"/>
          <w:lang w:eastAsia="en-US"/>
        </w:rPr>
        <w:lastRenderedPageBreak/>
        <w:t xml:space="preserve">worldwide. </w:t>
      </w:r>
      <w:r w:rsidRPr="009F44A4">
        <w:rPr>
          <w:rFonts w:ascii="Times New Roman" w:eastAsia="Times New Roman" w:hAnsi="Times New Roman" w:cs="Times New Roman"/>
          <w:color w:val="000000" w:themeColor="text1"/>
          <w:sz w:val="20"/>
          <w:szCs w:val="20"/>
          <w:shd w:val="clear" w:color="auto" w:fill="FFFFFF"/>
          <w:lang w:eastAsia="en-US"/>
        </w:rPr>
        <w:t>It appears to have feature mutations T478K, P681R and L452R in the gene encoding the SARS-</w:t>
      </w:r>
      <w:proofErr w:type="spellStart"/>
      <w:r w:rsidRPr="009F44A4">
        <w:rPr>
          <w:rFonts w:ascii="Times New Roman" w:eastAsia="Times New Roman" w:hAnsi="Times New Roman" w:cs="Times New Roman"/>
          <w:color w:val="000000" w:themeColor="text1"/>
          <w:sz w:val="20"/>
          <w:szCs w:val="20"/>
          <w:shd w:val="clear" w:color="auto" w:fill="FFFFFF"/>
          <w:lang w:eastAsia="en-US"/>
        </w:rPr>
        <w:t>CoV</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-2 spike protein, which have been linked to changes in the virus's infectiousness and how it can be neutralized with antigens against recently circulating COVID-19 virus subtypes. It is thought to be one of the most contagious severe illnesses ever found </w:t>
      </w:r>
      <w:r w:rsidR="00760D10"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{"citationID":"ygEAKACx","properties":{"formattedCitation":"\\super 14\\uc0\\u8211{}18\\nosupersub{}","plainCitation":"14–18","noteIndex":0},"citationItems":[{"id":1289,"uris":["http://zotero.org/users/local/ZR048J0w/items/HMXHCD8I"],"uri":["http://zotero.org/users/local/ZR048J0w/items/HMXHCD8I"],"itemData":{"id":1289,"type":"article-journal","container-title":"Nature","DOI":"10.1038/d41586-021-01696-3","ISSN":"1476-4687","issue":"7865","journalAbbreviation":"Nature","language":"eng","note":"PMID: 34158664","page":"17-18","source":"PubMed","title":"Delta coronavirus variant: scientists brace for impact","title-short":"Delta coronavirus variant","volume":"595","author":[{"family":"Callaway","given":"Ewen"}],"issued":{"date-parts":[["2021",7]]}}},{"id":1286,"uris":["http://zotero.org/users/local/ZR048J0w/items/7S9LWXQH"],"uri":["http://zotero.org/users/local/ZR048J0w/items/7S9LWXQH"],"itemData":{"id":1286,"type":"article-journal","container-title":"Journal of Travel Medicine","DOI":"10.1093/jtm/taab124","ISSN":"1708-8305","issue":"7","journalAbbreviation":"J Travel Med","language":"eng","note":"PMID: 34369565\nPMCID: PMC8436367","page":"taab124","source":"PubMed","title":"The reproductive number of the Delta variant of SARS-CoV-2 is far higher compared to the ancestral SARS-CoV-2 virus","volume":"28","author":[{"family":"Liu","given":"Ying"},{"family":"Rocklöv","given":"Joacim"}],"issued":{"date-parts":[["2021",10,11]]}}},{"id":1294,"uris":["http://zotero.org/users/local/ZR048J0w/items/WP5HV2TJ"],"uri":["http://zotero.org/users/local/ZR048J0w/items/WP5HV2TJ"],"itemData":{"id":1294,"type":"article-journal","abstract":"The ongoing pandemic spread of a new human coronavirus, SARS-CoV-2, which is associated with severe pneumonia/disease (COVID-19), has resulted in the generation of tens of thousands of virus genome sequences. The rate of genome generation is unprecedented, yet there is currently no coherent nor accepted scheme for naming the expanding phylogenetic diversity of SARS-CoV-2. Here, we present a rational and dynamic virus nomenclature that uses a phylogenetic framework to identify those lineages that contribute most to active spread. Our system is made tractable by constraining the number and depth of hierarchical lineage labels and by flagging and delabelling virus lineages that become unobserved and hence are probably inactive. By focusing on active virus lineages and those spreading to new locations, this nomenclature will assist in tracking and understanding the patterns and determinants of the global spread of SARS-CoV-2.","container-title":"Nature Microbiology","DOI":"10.1038/s41564-020-0770-5","ISSN":"2058-5276","issue":"11","journalAbbreviation":"Nat Microbiol","language":"en","note":"number: 11\npublisher: Nature Publishing Group","page":"1403-1407","source":"www.nature.com","title":"A dynamic nomenclature proposal for SARS-CoV-2 lineages to assist genomic epidemiology","volume":"5","author":[{"family":"Rambaut","given":"Andrew"},{"family":"Holmes","given":"Edward C."},{"family":"O’Toole","given":"Áine"},{"family":"Hill","given":"Verity"},{"family":"McCrone","given":"John T."},{"family":"Ruis","given":"Christopher"},{"family":"Plessis","given":"Louis","non-dropping-particle":"du"},{"family":"Pybus","given":"Oliver G."}],"issued":{"date-parts":[["2020",11]]}}},{"id":1297,"uris":["http://zotero.org/users/local/ZR048J0w/items/RP8PF3L3"],"uri":["http://zotero.org/users/local/ZR048J0w/items/RP8PF3L3"],"itemData":{"id":1297,"type":"article-journal","abstract":"A novel severe acute respiratory syndrome (SARS)-like coronavirus (SARS-CoV-2) is causing the global coronavirus disease 2019 (COVID-19) pandemic. Understanding how SARS-CoV-2 enters human cells is a high priority for deciphering its mystery and curbing its spread. A virus surface spike protein mediates SARS-CoV-2 entry into cells. To fulfill its function, SARS-CoV-2 spike binds to its receptor human ACE2 (hACE2) through its receptor-binding domain (RBD) and is proteolytically activated by human proteases. Here we investigated receptor binding and protease activation of SARS-CoV-2 spike using biochemical and pseudovirus entry assays. Our findings have identified key cell entry mechanisms of SARS-CoV-2. First, SARS-CoV-2 RBD has higher hACE2 binding affinity than SARS-CoV RBD, supporting efficient cell entry. Second, paradoxically, the hACE2 binding affinity of the entire SARS-CoV-2 spike is comparable to or lower than that of SARS-CoV spike, suggesting that SARS-CoV-2 RBD, albeit more potent, is less exposed than SARS-CoV RBD. Third, unlike SARS-CoV, cell entry of SARS-CoV-2 is preactivated by proprotein convertase furin, reducing its dependence on target cell proteases for entry. The high hACE2 binding affinity of the RBD, furin preactivation of the spike, and hidden RBD in the spike potentially allow SARS-CoV-2 to maintain efficient cell entry while evading immune surveillance. These features may contribute to the wide spread of the virus. Successful intervention strategies must target both the potency of SARS-CoV-2 and its evasiveness.","container-title":"Proceedings of the National Academy of Sciences","DOI":"10.1073/pnas.2003138117","issue":"21","note":"publisher: Proceedings of the National Academy of Sciences","page":"11727-11734","source":"pnas.org (Atypon)","title":"Cell entry mechanisms of SARS-CoV-2","volume":"117","author":[{"family":"Shang","given":"Jian"},{"family":"Wan","given":"Yushun"},{"family":"Luo","given":"Chuming"},{"family":"Ye","given":"Gang"},{"family":"Geng","given":"Qibin"},{"family":"Auerbach","given":"Ashley"},{"family":"Li","given":"Fang"}],"issued":{"date-parts":[["2020",5,26]]}}},{"id":1299,"uris":["http://zotero.org/users/local/ZR048J0w/items/7ED53PRG"],"uri":["http://zotero.org/users/local/ZR048J0w/items/7ED53PRG"],"itemData":{"id":1299,"type":"article-journal","abstract":"Monoclonal antibodies and antibody cocktails are a promising therapeutic and prophylaxis for COVID-19. However, ongoing evolution of SARS-CoV-2 can render monoclonal antibodies ineffective. Here we completely map all mutations to the SARS-CoV-2 spike receptor binding domain (RBD) that escape binding by a leading monoclonal antibody, LY-CoV555, and its cocktail combination with LY-CoV016. Individual mutations that escape binding by each antibody are combined in the circulating B.1.351 and P.1 SARS-CoV-2 lineages (E484K escapes LY-CoV555, K417N/T escape LY-CoV016). Additionally, the L452R mutation in the B.1.429 lineage escapes LY-CoV555. Furthermore, we identify single amino acid changes that escape the combined LY-CoV555+LY-CoV016 cocktail. We suggest that future efforts should diversify the epitopes targeted by antibodies and antibody cocktails to make them more resilient to antigenic evolution of SARS-CoV-2.","container-title":"bioRxiv: The Preprint Server for Biology","DOI":"10.1101/2021.02.17.431683","journalAbbreviation":"bioRxiv","language":"eng","note":"PMID: 33655250\nPMCID: PMC7924270","page":"2021.02.17.431683","source":"PubMed","title":"Complete map of SARS-CoV-2 RBD mutations that escape the monoclonal antibody LY-CoV555 and its cocktail with LY-CoV016","author":[{"family":"Starr","given":"Tyler N."},{"family":"Greaney","given":"Allison J."},{"family":"Dingens","given":"Adam S."},{"family":"Bloom","given":"Jesse D."}],"issued":{"date-parts":[["2021",2,22]]}}}],"schema":"https://github.com/citation-style-language/schema/raw/master/csl-citation.json"} </w:instrText>
      </w:r>
      <w:r w:rsidR="00760D10"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14–18</w:t>
      </w:r>
      <w:r w:rsidR="00760D10"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 xml:space="preserve">. The variation is suspected of being involved in the devastating second wave of the epidemic, which began in India in February 2021. As a result, the third wave hit Fiji, the United Kingdom, and South Africa. By late July, it had also contributed to an increase in daily attacks in Asia, the United States, Australia, and New Zealand </w:t>
      </w:r>
      <w:r w:rsidR="002C3339"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{"citationID":"juINWsYH","properties":{"formattedCitation":"\\super 19\\uc0\\u8211{}25\\nosupersub{}","plainCitation":"19–25","noteIndex":0},"citationItems":[{"id":1322,"uris":["http://zotero.org/users/local/ZR048J0w/items/QJJIGI7D"],"uri":["http://zotero.org/users/local/ZR048J0w/items/QJJIGI7D"],"itemData":{"id":1322,"type":"article-journal","abstract":"The strategy in New Zealand (Aotearoa) to eliminate coronavirus disease requires that international arrivals undergo managed isolation and quarantine and mandatory testing for severe acute respiratory syndrome coronavirus 2. Combining genomic and epidemiologic data, we investigated the origin of an acute case of coronavirus disease identified in the community after the patient had spent 14 days in managed isolation and quarantine and had 2 negative test results. By combining genomic sequence analysis and epidemiologic investigations, we identified a multibranched chain of transmission of this virus, including on international and domestic flights, as well as a probable case of aerosol transmission without direct person-to-person contact. These findings show the power of integrating genomic and epidemiologic data to inform outbreak investigations.","container-title":"Emerging Infectious Diseases","DOI":"10.3201/eid2705.210514","ISSN":"1080-6040","issue":"5","journalAbbreviation":"Emerg Infect Dis","note":"PMID: 33734063\nPMCID: PMC8084504","page":"1274-1278","source":"PubMed Central","title":"Transmission of Severe Acute Respiratory Syndrome Coronavirus 2 during Border Quarantine and Air Travel, New Zealand (Aotearoa)","volume":"27","author":[{"family":"Eichler","given":"Nick"},{"family":"Thornley","given":"Craig"},{"family":"Swadi","given":"Tara"},{"family":"Devine","given":"Tom"},{"family":"McElnay","given":"Caroline"},{"family":"Sherwood","given":"Jillian"},{"family":"Brunton","given":"Cheryl"},{"family":"Williamson","given":"Felicity"},{"family":"Freeman","given":"Josh"},{"family":"Berger","given":"Sarah"},{"family":"Ren","given":"Xiaoyun"},{"family":"Storey","given":"Matt"},{"family":"Ligt","given":"Joep","non-dropping-particle":"de"},{"family":"Geoghegan","given":"Jemma L."}],"issued":{"date-parts":[["2021",5]]}}},{"id":1383,"uris":["http://zotero.org/users/local/ZR048J0w/items/EH44CQL6"],"uri":["http://zotero.org/users/local/ZR048J0w/items/EH44CQL6"],"itemData":{"id":1383,"type":"article-journal","abstract":"Several SARS-CoV-2 variants have emerged since the pandemic, bringing about a renewed threat to the public. Delta variant (B.1.617.2) was first detected in October 2020 in India and was characterized as variants of concern (VOC) by WHO on May 11, 2021. Delta variant rapidly outcompeted other variants to become the dominant circulating lineages due to its clear competitive advantage. There is emerging evidence of enhanced transmissibility and reduced vaccine effectiveness (VE) against Delta variant. Therefore, it is crucial to understand the features and phenotypic effects of this variant. Herein, we comprehensively described the evaluation and features of Delta variant, summarized the effects of mutations in spike on the infectivity, transmission ability, immune evasion, and provided a perspective on efficient approaches for preventing and overcoming COVID-19.","container-title":"MedComm","DOI":"10.1002/mco2.95","ISSN":"2688-2663","issue":"4","journalAbbreviation":"MedComm (2020)","language":"eng","note":"PMID: 34909755\nPMCID: PMC8661803","page":"846-854","source":"PubMed","title":"The challenges of COVID-19 Delta variant: Prevention and vaccine development","title-short":"The challenges of COVID-19 Delta variant","volume":"2","author":[{"family":"He","given":"Xuemei"},{"family":"He","given":"Cai"},{"family":"Hong","given":"Weiqi"},{"family":"Zhang","given":"Kang"},{"family":"Wei","given":"Xiawei"}],"issued":{"date-parts":[["2021",12]]}}},{"id":1319,"uris":["http://zotero.org/users/local/ZR048J0w/items/AH4KG4W2"],"uri":["http://zotero.org/users/local/ZR048J0w/items/AH4KG4W2"],"itemData":{"id":1319,"type":"article-journal","container-title":"The Lancet. Infectious Diseases","DOI":"10.1016/S1473-3099(21)00579-X","ISSN":"1474-4457","issue":"10","journalAbbreviation":"Lancet Infect Dis","language":"eng","note":"PMID: 34562399\nPMCID: PMC8457755","page":"1358","source":"PubMed","title":"Australia's struggle with the delta variant","volume":"21","author":[{"family":"Kenyon","given":"Georgina"}],"issued":{"date-parts":[["2021",10]]}}},{"id":1317,"uris":["http://zotero.org/users/local/ZR048J0w/items/PYCXFW6C"],"uri":["http://zotero.org/users/local/ZR048J0w/items/PYCXFW6C"],"itemData":{"id":1317,"type":"article-journal","container-title":"New England Journal of Medicine","DOI":"10.1056/NEJMoa2108891","ISSN":"0028-4793","issue":"7","note":"publisher: Massachusetts Medical Society\n_eprint: https://doi.org/10.1056/NEJMoa2108891\nPMID: 34289274","page":"585-594","source":"Taylor and Francis+NEJM","title":"Effectiveness of Covid-19 Vaccines against the B.1.617.2 (Delta) Variant","volume":"385","author":[{"family":"Lopez Bernal","given":"Jamie"},{"family":"Andrews","given":"Nick"},{"family":"Gower","given":"Charlotte"},{"family":"Gallagher","given":"Eileen"},{"family":"Simmons","given":"Ruth"},{"family":"Thelwall","given":"Simon"},{"family":"Stowe","given":"Julia"},{"family":"Tessier","given":"Elise"},{"family":"Groves","given":"Natalie"},{"family":"Dabrera","given":"Gavin"},{"family":"Myers","given":"Richard"},{"family":"Campbell","given":"Colin N.J."},{"family":"Amirthalingam","given":"Gayatri"},{"family":"Edmunds","given":"Matt"},{"family":"Zambon","given":"Maria"},{"family":"Brown","given":"Kevin E."},{"family":"Hopkins","given":"Susan"},{"family":"Chand","given":"Meera"},{"family":"Ramsay","given":"Mary"}],"issued":{"date-parts":[["2021",8,12]]}}},{"id":1206,"uris":["http://zotero.org/users/local/ZR048J0w/items/PXPBQ52C"],"uri":["http://zotero.org/users/local/ZR048J0w/items/PXPBQ52C"],"itemData":{"id":1206,"type":"article-journal","abstract":"Analysis of the in vivo regeneration capability of any tissue-engineered biomaterial is necessary once it shows potential characteristics during in vitro studies. Thus, we applied polyvinyl alcohol-tetraethylorthosilicate-alginate-calcium oxide (PTAC) biocomposite cryogel on critical-sized cranial bone defects in wistar rats for examining the comparative bone regeneration of cryogel-treated and nontreated defects over a period of 4 weeks. An in-depth analysis was performed from macroscopic level till the gene level. Bone regeneration in cryogel-treated defects was clearly evident from the results, whereas the nontreated group did not show any defect healing except at few peripheral areas. At the macroscopic level, micro-computed tomography analysis revealed new bone formation. This was further confirmed at the cellular level, wherein, new bone formation was demonstrated by hematoxylin and eosin staining. Osteoblastic differentiation was further validated by immunohistological staining of runt-related transcription factor-2 (Runx-2) protein and via calcium-phosphate crystal formation after 2 weeks through scanning electron microscopy and energy dispersive X-ray spectroscopy. Finally, at the gene level, real-time PCR analysis confirmed the mRNA expression of osteoblastic markers, that is, runx-2, collagen type I (Col I), alkaline phosphatase (ALP), and osteocalcin (OCN). Therefore, the results of in vivo cranial defect model studies suggest that PTAC biocomposite cryogels can show suitable potential for human bone regeneration.","container-title":"Tissue Engineering. Part A","DOI":"10.1089/ten.TEA.2013.0072","ISSN":"1937-335X","issue":"3-4","journalAbbreviation":"Tissue Eng Part A","language":"eng","note":"PMID: 24147880","page":"751-762","source":"PubMed","title":"Biocomposite cryogels as tissue-engineered biomaterials for regeneration of critical-sized cranial bone defects","volume":"20","author":[{"family":"Mishra","given":"Ruchi"},{"family":"Goel","given":"Sudhir Kumar"},{"family":"Gupta","given":"Kailash Chand"},{"family":"Kumar","given":"Ashok"}],"issued":{"date-parts":[["2014",2]]}}},{"id":1308,"uris":["http://zotero.org/users/local/ZR048J0w/items/5YQUY4YM"],"uri":["http://zotero.org/users/local/ZR048J0w/items/5YQUY4YM"],"itemData":{"id":1308,"type":"article-journal","abstract":"The B.1.617.2 (Delta) variant of severe acute respiratory syndrome coronavirus 2 (SARS-CoV-2) was first identified in the state of Maharashtra in late 2020 and spread throughout India, outcompeting pre-existing lineages including B.1.617.1 (Kappa) and B.1.1.7 (Alpha)1. In vitro, B.1.617.2 is sixfold less sensitive to serum neutralizing antibodies from recovered individuals, and eightfold less sensitive to vaccine-elicited antibodies, compared with wild-type Wuhan-1 bearing D614G. Serum neutralizing titres against B.1.617.2 were lower in ChAdOx1 vaccinees than in BNT162b2 vaccinees. B.1.617.2 spike pseudotyped viruses exhibited compromised sensitivity to monoclonal antibodies to the receptor-binding domain and the amino-terminal domain. B.1.617.2 demonstrated higher replication efficiency than B.1.1.7 in both airway organoid and human airway epithelial systems, associated with B.1.617.2 spike being in a predominantly cleaved state compared with B.1.1.7 spike. The B.1.617.2 spike protein was able to mediate highly efficient syncytium formation that was less sensitive to inhibition by neutralizing antibody, compared with that of wild-type spike. We also observed that B.1.617.2 had higher replication and spike-mediated entry than B.1.617.1, potentially explaining the B.1.617.2 dominance. In an analysis of more than 130 SARS-CoV-2-infected health care workers across three centres in India during a period of mixed lineage circulation, we observed reduced ChAdOx1 vaccine effectiveness against B.1.617.2 relative to non-B.1.617.2, with the caveat of possible residual confounding. Compromised vaccine efficacy against the highly fit and immune-evasive B.1.617.2 Delta variant warrants continued infection control measures in the post-vaccination era.","container-title":"Nature","DOI":"10.1038/s41586-021-03944-y","ISSN":"1476-4687","issue":"7883","language":"en","note":"number: 7883\npublisher: Nature Publishing Group","page":"114-119","source":"www.nature.com","title":"SARS-CoV-2 B.1.617.2 Delta variant replication and immune evasion","volume":"599","author":[{"family":"Mlcochova","given":"Petra"},{"family":"Kemp","given":"Steven A."},{"family":"Dhar","given":"Mahesh Shanker"},{"family":"Papa","given":"Guido"},{"family":"Meng","given":"Bo"},{"family":"Ferreira","given":"Isabella A. T. M."},{"family":"Datir","given":"Rawlings"},{"family":"Collier","given":"Dami A."},{"family":"Albecka","given":"Anna"},{"family":"Singh","given":"Sujeet"},{"family":"Pandey","given":"Rajesh"},{"family":"Brown","given":"Jonathan"},{"family":"Zhou","given":"Jie"},{"family":"Goonawardane","given":"Niluka"},{"family":"Mishra","given":"Swapnil"},{"family":"Whittaker","given":"Charles"},{"family":"Mellan","given":"Thomas"},{"family":"Marwal","given":"Robin"},{"family":"Datta","given":"Meena"},{"family":"Sengupta","given":"Shantanu"},{"family":"Ponnusamy","given":"Kalaiarasan"},{"family":"Radhakrishnan","given":"Venkatraman Srinivasan"},{"family":"Abdullahi","given":"Adam"},{"family":"Charles","given":"Oscar"},{"family":"Chattopadhyay","given":"Partha"},{"family":"Devi","given":"Priti"},{"family":"Caputo","given":"Daniela"},{"family":"Peacock","given":"Tom"},{"family":"Wattal","given":"Chand"},{"family":"Goel","given":"Neeraj"},{"family":"Satwik","given":"Ambrish"},{"family":"Vaishya","given":"Raju"},{"family":"Agarwal","given":"Meenakshi"},{"family":"Mavousian","given":"Antranik"},{"family":"Lee","given":"Joo Hyeon"},{"family":"Bassi","given":"Jessica"},{"family":"Silacci-Fegni","given":"Chiara"},{"family":"Saliba","given":"Christian"},{"family":"Pinto","given":"Dora"},{"family":"Irie","given":"Takashi"},{"family":"Yoshida","given":"Isao"},{"family":"Hamilton","given":"William L."},{"family":"Sato","given":"Kei"},{"family":"Bhatt","given":"Samir"},{"family":"Flaxman","given":"Seth"},{"family":"James","given":"Leo C."},{"family":"Corti","given":"Davide"},{"family":"Piccoli","given":"Luca"},{"family":"Barclay","given":"Wendy S."},{"family":"Rakshit","given":"Partha"},{"family":"Agrawal","given":"Anurag"},{"family":"Gupta","given":"Ravindra K."}],"issued":{"date-parts":[["2021",11]]}}},{"id":1314,"uris":["http://zotero.org/users/local/ZR048J0w/items/WCPLZC5U"],"uri":["http://zotero.org/users/local/ZR048J0w/items/WCPLZC5U"],"itemData":{"id":1314,"type":"article-journal","abstract":"With the delta variant of COVID-19, known as B.1.617.2, quickly ramping up infections around the world, we need to understand what makes this variant more contagious. One study has reported that the delta variant is 60% more transmissible than the alpha variant. As of August 2021, the delta variant has quickly become the dominant strain. Despite countries like the US, where most of the population is vaccinated, COVID-19 has made a resurgence in infections. Collectively, as a country, we ask: is it more deadly? What makes it more \"contagious\" or \"transmissible\"? This review article delves into the information we already know about the delta variant and how it compares with the other SARS-CoV-2 variants. The current vaccine companies like AstraZeneca, Pfizer/BioNTech, and Moderna have reported that their vaccines can provide protection against this variant but with a slightly reduced efficacy. In this article, we do a comprehensive review and summary of the delta B.1.617.2 variant and what makes it more contagious.","container-title":"Clinics and Practice","DOI":"10.3390/clinpract11040093","ISSN":"2039-7275","issue":"4","journalAbbreviation":"Clin Pract","language":"eng","note":"PMID: 34698149\nPMCID: PMC8544471","page":"778-784","source":"PubMed","title":"Analysis of the Delta Variant B.1.617.2 COVID-19","volume":"11","author":[{"family":"Shiehzadegan","given":"Shayan"},{"family":"Alaghemand","given":"Nazanin"},{"family":"Fox","given":"Michael"},{"family":"Venketaraman","given":"Vishwanath"}],"issued":{"date-parts":[["2021",10,21]]}}}],"schema":"https://github.com/citation-style-language/schema/raw/master/csl-citation.json"} </w:instrText>
      </w:r>
      <w:r w:rsidR="002C3339"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19–25</w:t>
      </w:r>
      <w:r w:rsidR="002C3339"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w:t>
      </w:r>
    </w:p>
    <w:p w14:paraId="48261514" w14:textId="77777777" w:rsidR="006937C5" w:rsidRPr="009F44A4" w:rsidRDefault="006937C5" w:rsidP="00DC7281">
      <w:pPr>
        <w:shd w:val="clear" w:color="auto" w:fill="FFFFFF" w:themeFill="background1"/>
        <w:spacing w:line="360" w:lineRule="auto"/>
        <w:rPr>
          <w:rFonts w:ascii="Times New Roman" w:eastAsia="Times New Roman" w:hAnsi="Times New Roman" w:cs="Times New Roman"/>
          <w:color w:val="000000" w:themeColor="text1"/>
          <w:sz w:val="20"/>
          <w:szCs w:val="20"/>
          <w:lang w:eastAsia="en-US"/>
        </w:rPr>
      </w:pPr>
    </w:p>
    <w:p w14:paraId="7803693E" w14:textId="77777777" w:rsidR="006937C5" w:rsidRPr="009F44A4" w:rsidRDefault="006937C5" w:rsidP="00DC7281">
      <w:pPr>
        <w:shd w:val="clear" w:color="auto" w:fill="FFFFFF" w:themeFill="background1"/>
        <w:spacing w:line="360" w:lineRule="auto"/>
        <w:jc w:val="both"/>
        <w:rPr>
          <w:rFonts w:ascii="Times New Roman" w:eastAsia="Times New Roman" w:hAnsi="Times New Roman" w:cs="Times New Roman"/>
          <w:color w:val="000000" w:themeColor="text1"/>
          <w:sz w:val="20"/>
          <w:szCs w:val="20"/>
          <w:lang w:eastAsia="en-US"/>
        </w:rPr>
      </w:pPr>
      <w:r w:rsidRPr="009F44A4">
        <w:rPr>
          <w:rFonts w:ascii="Times New Roman" w:eastAsia="Times New Roman" w:hAnsi="Times New Roman" w:cs="Times New Roman"/>
          <w:color w:val="000000" w:themeColor="text1"/>
          <w:sz w:val="20"/>
          <w:szCs w:val="20"/>
          <w:shd w:val="clear" w:color="auto" w:fill="FFFFFF"/>
          <w:lang w:eastAsia="en-US"/>
        </w:rPr>
        <w:t>Till date, more than 430 million people worldwide have been diagnosed with COVID-19, resulting in 5.9 million fatalities (According to WHO dashboards information March 1 2022). Since its discovery, the Omicron has caused an increase of infections in a number of countries and at several locations. According to WHO news the number of verified COVID19 cases in the United States surpassed one million in a single day in early January 2022. This rapid increase is consistent with the Omicron variant outbreak in the United States.</w:t>
      </w:r>
    </w:p>
    <w:p w14:paraId="35E96C94" w14:textId="77777777" w:rsidR="006937C5" w:rsidRPr="009F44A4" w:rsidRDefault="006937C5" w:rsidP="00DC7281">
      <w:pPr>
        <w:shd w:val="clear" w:color="auto" w:fill="FFFFFF" w:themeFill="background1"/>
        <w:spacing w:line="360" w:lineRule="auto"/>
        <w:rPr>
          <w:rFonts w:ascii="Times New Roman" w:eastAsia="Times New Roman" w:hAnsi="Times New Roman" w:cs="Times New Roman"/>
          <w:color w:val="000000" w:themeColor="text1"/>
          <w:sz w:val="20"/>
          <w:szCs w:val="20"/>
          <w:lang w:eastAsia="en-US"/>
        </w:rPr>
      </w:pPr>
    </w:p>
    <w:p w14:paraId="66FF44AC" w14:textId="5582F0E2" w:rsidR="006937C5" w:rsidRPr="009F44A4" w:rsidRDefault="006937C5" w:rsidP="00DC7281">
      <w:pPr>
        <w:shd w:val="clear" w:color="auto" w:fill="FFFFFF" w:themeFill="background1"/>
        <w:spacing w:line="360" w:lineRule="auto"/>
        <w:jc w:val="both"/>
        <w:rPr>
          <w:rFonts w:ascii="Times New Roman" w:eastAsia="Times New Roman" w:hAnsi="Times New Roman" w:cs="Times New Roman"/>
          <w:color w:val="000000" w:themeColor="text1"/>
          <w:sz w:val="20"/>
          <w:szCs w:val="20"/>
          <w:lang w:eastAsia="en-US"/>
        </w:rPr>
      </w:pPr>
      <w:r w:rsidRPr="009F44A4">
        <w:rPr>
          <w:rFonts w:ascii="Times New Roman" w:eastAsia="Times New Roman" w:hAnsi="Times New Roman" w:cs="Times New Roman"/>
          <w:color w:val="000000" w:themeColor="text1"/>
          <w:sz w:val="20"/>
          <w:szCs w:val="20"/>
          <w:shd w:val="clear" w:color="auto" w:fill="FFFFFF"/>
          <w:lang w:eastAsia="en-US"/>
        </w:rPr>
        <w:t xml:space="preserve">The Omicron variant has a constellation of over 50 mutations, roughly 30 of which are in the spike protein, which is the most concerning aspect of the variant. The 15 altered locations in the receptor-binding domain (RBD), which interacts with human cells before cell entry and may increase transmissibility </w:t>
      </w:r>
      <w:r w:rsidR="007D46C2"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{"citationID":"AGKiATLN","properties":{"formattedCitation":"\\super 26\\nosupersub{}","plainCitation":"26","noteIndex":0},"citationItems":[{"id":1333,"uris":["http://zotero.org/users/local/ZR048J0w/items/HRLD6DQ5"],"uri":["http://zotero.org/users/local/ZR048J0w/items/HRLD6DQ5"],"itemData":{"id":1333,"type":"article-journal","abstract":"Recent emergence of the SARS-CoV-2 variant as OMICRON has become a global concern. This short note highlights the identification and global spread of OMICRON which has spread over 77 nations by now, which resulted in many hypotheses about its origin and degree of infectivity. The detection of mutations in the RBD region of Spike protein is a concern by surpassing vaccine immunity. The ahead will speak about its transmission potentiality, infectivity, disease morbidity as well as its effect on COVID-19 vaccines.","container-title":"Journal of Medical Virology","DOI":"10.1002/jmv.27541","ISSN":"1096-9071","issue":"5","language":"en","note":"_eprint: https://onlinelibrary.wiley.com/doi/pdf/10.1002/jmv.27541","page":"1821-1824","source":"Wiley Online Library","title":"OMICRON (B.1.1.529): A new SARS-CoV-2 variant of concern mounting worldwide fear","title-short":"OMICRON (B.1.1.529)","volume":"94","author":[{"family":"Thakur","given":"Vikram"},{"family":"Ratho","given":"Radha Kanta"}],"issued":{"date-parts":[["2022"]]}}}],"schema":"https://github.com/citation-style-language/schema/raw/master/csl-citation.json"} </w:instrText>
      </w:r>
      <w:r w:rsidR="007D46C2"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26</w:t>
      </w:r>
      <w:r w:rsidR="007D46C2"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 are the most concerning matter. Since the discovery of this variety in South Africa, scientists have been looking for evidence of its origin and the likely path of the unknown pandemic. Based on the examination of the Omicron and other SARS-</w:t>
      </w:r>
      <w:proofErr w:type="spellStart"/>
      <w:r w:rsidRPr="009F44A4">
        <w:rPr>
          <w:rFonts w:ascii="Times New Roman" w:eastAsia="Times New Roman" w:hAnsi="Times New Roman" w:cs="Times New Roman"/>
          <w:color w:val="000000" w:themeColor="text1"/>
          <w:sz w:val="20"/>
          <w:szCs w:val="20"/>
          <w:shd w:val="clear" w:color="auto" w:fill="FFFFFF"/>
          <w:lang w:eastAsia="en-US"/>
        </w:rPr>
        <w:t>CoV</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-2 variant sequences, researchers hypothesized that Omicron evolved in parallel and most likely diverged during early or possibly in mid-2020 from other strains </w:t>
      </w:r>
      <w:r w:rsidR="00F10668"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{"citationID":"YdhBKUOJ","properties":{"formattedCitation":"\\super 27\\nosupersub{}","plainCitation":"27","noteIndex":0},"citationItems":[{"id":1338,"uris":["http://zotero.org/users/local/ZR048J0w/items/ZQJEJRR7"],"uri":["http://zotero.org/users/local/ZR048J0w/items/ZQJEJRR7"],"itemData":{"id":1338,"type":"article-journal","container-title":"Science (New York, N.Y.)","DOI":"10.1126/science.acx9738","ISSN":"1095-9203","issue":"6572","journalAbbreviation":"Science","language":"eng","note":"PMID: 34855502","page":"1179","source":"PubMed","title":"Where did 'weird' Omicron come from?","volume":"374","author":[{"family":"Kupferschmidt","given":"Kai"}],"issued":{"date-parts":[["2021",12,3]]}}}],"schema":"https://github.com/citation-style-language/schema/raw/master/csl-citation.json"} </w:instrText>
      </w:r>
      <w:r w:rsidR="00F10668"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27</w:t>
      </w:r>
      <w:r w:rsidR="00F10668"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 RBD (receptor-binding domain) analysis revealed the existence of two Omicron sub-clades. Furthermore, phylogenetic analysis of 3590 SARS-</w:t>
      </w:r>
      <w:proofErr w:type="spellStart"/>
      <w:r w:rsidRPr="009F44A4">
        <w:rPr>
          <w:rFonts w:ascii="Times New Roman" w:eastAsia="Times New Roman" w:hAnsi="Times New Roman" w:cs="Times New Roman"/>
          <w:color w:val="000000" w:themeColor="text1"/>
          <w:sz w:val="20"/>
          <w:szCs w:val="20"/>
          <w:shd w:val="clear" w:color="auto" w:fill="FFFFFF"/>
          <w:lang w:eastAsia="en-US"/>
        </w:rPr>
        <w:t>CoV</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-2 sequences revealed the development of Omicron from the </w:t>
      </w:r>
      <w:proofErr w:type="spellStart"/>
      <w:r w:rsidRPr="009F44A4">
        <w:rPr>
          <w:rFonts w:ascii="Times New Roman" w:eastAsia="Times New Roman" w:hAnsi="Times New Roman" w:cs="Times New Roman"/>
          <w:color w:val="000000" w:themeColor="text1"/>
          <w:sz w:val="20"/>
          <w:szCs w:val="20"/>
          <w:shd w:val="clear" w:color="auto" w:fill="FFFFFF"/>
          <w:lang w:eastAsia="en-US"/>
        </w:rPr>
        <w:t>B.1.1.519</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 family (clade </w:t>
      </w:r>
      <w:proofErr w:type="spellStart"/>
      <w:r w:rsidRPr="009F44A4">
        <w:rPr>
          <w:rFonts w:ascii="Times New Roman" w:eastAsia="Times New Roman" w:hAnsi="Times New Roman" w:cs="Times New Roman"/>
          <w:color w:val="000000" w:themeColor="text1"/>
          <w:sz w:val="20"/>
          <w:szCs w:val="20"/>
          <w:shd w:val="clear" w:color="auto" w:fill="FFFFFF"/>
          <w:lang w:eastAsia="en-US"/>
        </w:rPr>
        <w:t>20B</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 </w:t>
      </w:r>
      <w:r w:rsidR="006B01E1"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{"citationID":"Sbpqijvx","properties":{"formattedCitation":"\\super 28\\nosupersub{}","plainCitation":"28","noteIndex":0},"citationItems":[{"id":1336,"uris":["http://zotero.org/users/local/ZR048J0w/items/VSY2WJVT"],"uri":["http://zotero.org/users/local/ZR048J0w/items/VSY2WJVT"],"itemData":{"id":1336,"type":"article-journal","abstract":"Despite the worldwide vaccination, the COVID-19 pandemic continues as SARS-CoV-2 evolves into numerous variants. Since the first identification of the novel SARS-CoV-2 variant of concern (VOC) Omicron on November 24th, 2021, from an immunocompromised patient in South Africa, the variant has overtaken Delta as the predominant lineage in South Africa and has quickly spread to over 40 countries. Here, we provide an initial molecular characterization of the Omicron variant through analyzing a large number of mutations, especially in the spike protein receptor-binding domain with their potential effects on viral infectivity and host immunity. Our analysis indicates that the Omicron variant has two subclades and may evolve from clade 20B instead of the currently dominant Delta variant. In addition, we have also identified mutations that may affect the ACE2 receptor and/or antibody bindings. Our study has raised additional questions on the evolution, transmission, virulence, and immune escape properties of this new Omicron variant.","container-title":"Journal of Medical Virology","DOI":"10.1002/jmv.27516","ISSN":"1096-9071","issue":"4","journalAbbreviation":"J Med Virol","language":"eng","note":"PMID: 34897752","page":"1728-1733","source":"PubMed","title":"Sequence analysis of the emerging SARS-CoV-2 variant Omicron in South Africa","volume":"94","author":[{"family":"Wang","given":"Lulan"},{"family":"Cheng","given":"Genhong"}],"issued":{"date-parts":[["2022",4]]}}}],"schema":"https://github.com/citation-style-language/schema/raw/master/csl-citation.json"} </w:instrText>
      </w:r>
      <w:r w:rsidR="006B01E1"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28</w:t>
      </w:r>
      <w:r w:rsidR="006B01E1"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 xml:space="preserve">. The presence of the majority of mutations in the Omicron variant in the body of an </w:t>
      </w:r>
      <w:proofErr w:type="spellStart"/>
      <w:r w:rsidRPr="009F44A4">
        <w:rPr>
          <w:rFonts w:ascii="Times New Roman" w:eastAsia="Times New Roman" w:hAnsi="Times New Roman" w:cs="Times New Roman"/>
          <w:color w:val="000000" w:themeColor="text1"/>
          <w:sz w:val="20"/>
          <w:szCs w:val="20"/>
          <w:shd w:val="clear" w:color="auto" w:fill="FFFFFF"/>
          <w:lang w:eastAsia="en-US"/>
        </w:rPr>
        <w:t>immunocompromised</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 HIV-infected individual shows the possibility of adaptations in COVID-19 patients who are persistently infected. A contributing cause to Omicron may be South Africa's high (19%) HIV prevalence rate </w:t>
      </w:r>
      <w:r w:rsidR="00014A03"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{"citationID":"jABcXDpI","properties":{"formattedCitation":"\\super 26,29\\nosupersub{}","plainCitation":"26,29","noteIndex":0},"citationItems":[{"id":1340,"uris":["http://zotero.org/users/local/ZR048J0w/items/BYQZDZTB"],"uri":["http://zotero.org/users/local/ZR048J0w/items/BYQZDZTB"],"itemData":{"id":1340,"type":"article-journal","container-title":"Nature","DOI":"10.1038/d41586-021-03546-8","ISSN":"1476-4687","issue":"7887","journalAbbreviation":"Nature","language":"eng","note":"PMID: 34853449","page":"33-36","source":"PubMed","title":"Africa: tackle HIV and COVID-19 together","title-short":"Africa","volume":"600","author":[{"family":"Msomi","given":"Nokukhanya"},{"family":"Lessells","given":"Richard"},{"family":"Mlisana","given":"Koleka"},{"family":"Oliveira","given":"Tulio","non-dropping-particle":"de"}],"issued":{"date-parts":[["2021",12]]}}},{"id":1333,"uris":["http://zotero.org/users/local/ZR048J0w/items/HRLD6DQ5"],"uri":["http://zotero.org/users/local/ZR048J0w/items/HRLD6DQ5"],"itemData":{"id":1333,"type":"article-journal","abstract":"Recent emergence of the SARS-CoV-2 variant as OMICRON has become a global concern. This short note highlights the identification and global spread of OMICRON which has spread over 77 nations by now, which resulted in many hypotheses about its origin and degree of infectivity. The detection of mutations in the RBD region of Spike protein is a concern by surpassing vaccine immunity. The ahead will speak about its transmission potentiality, infectivity, disease morbidity as well as its effect on COVID-19 vaccines.","container-title":"Journal of Medical Virology","DOI":"10.1002/jmv.27541","ISSN":"1096-9071","issue":"5","language":"en","note":"_eprint: https://onlinelibrary.wiley.com/doi/pdf/10.1002/jmv.27541","page":"1821-1824","source":"Wiley Online Library","title":"OMICRON (B.1.1.529): A new SARS-CoV-2 variant of concern mounting worldwide fear","title-short":"OMICRON (B.1.1.529)","volume":"94","author":[{"family":"Thakur","given":"Vikram"},{"family":"Ratho","given":"Radha Kanta"}],"issued":{"date-parts":[["2022"]]}}}],"schema":"https://github.com/citation-style-language/schema/raw/master/csl-citation.json"} </w:instrText>
      </w:r>
      <w:r w:rsidR="00014A03"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26,29</w:t>
      </w:r>
      <w:r w:rsidR="00014A03" w:rsidRPr="009F44A4">
        <w:rPr>
          <w:rFonts w:ascii="Times New Roman" w:eastAsia="Times New Roman" w:hAnsi="Times New Roman" w:cs="Times New Roman"/>
          <w:color w:val="000000" w:themeColor="text1"/>
          <w:sz w:val="20"/>
          <w:szCs w:val="20"/>
          <w:shd w:val="clear" w:color="auto" w:fill="FFFFFF"/>
          <w:lang w:eastAsia="en-US"/>
        </w:rPr>
        <w:fldChar w:fldCharType="end"/>
      </w:r>
      <w:r w:rsidR="00014A03" w:rsidRPr="009F44A4">
        <w:rPr>
          <w:rFonts w:ascii="Times New Roman" w:eastAsia="Times New Roman" w:hAnsi="Times New Roman" w:cs="Times New Roman"/>
          <w:color w:val="000000" w:themeColor="text1"/>
          <w:sz w:val="20"/>
          <w:szCs w:val="20"/>
          <w:shd w:val="clear" w:color="auto" w:fill="FFFFFF"/>
          <w:lang w:eastAsia="en-US"/>
        </w:rPr>
        <w:t>.</w:t>
      </w:r>
    </w:p>
    <w:p w14:paraId="6EADAA70" w14:textId="77777777" w:rsidR="008D16FE" w:rsidRPr="009F44A4" w:rsidRDefault="00C02138" w:rsidP="00DC7281">
      <w:pPr>
        <w:pStyle w:val="Heading4"/>
        <w:numPr>
          <w:ilvl w:val="0"/>
          <w:numId w:val="6"/>
        </w:numPr>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Origin of SARS-</w:t>
      </w:r>
      <w:proofErr w:type="spellStart"/>
      <w:r w:rsidRPr="009F44A4">
        <w:rPr>
          <w:rFonts w:ascii="Times New Roman" w:eastAsia="Calibri" w:hAnsi="Times New Roman" w:cs="Times New Roman"/>
          <w:b/>
          <w:color w:val="000000" w:themeColor="text1"/>
          <w:sz w:val="20"/>
          <w:szCs w:val="20"/>
        </w:rPr>
        <w:t>CoV</w:t>
      </w:r>
      <w:proofErr w:type="spellEnd"/>
      <w:r w:rsidRPr="009F44A4">
        <w:rPr>
          <w:rFonts w:ascii="Times New Roman" w:eastAsia="Calibri" w:hAnsi="Times New Roman" w:cs="Times New Roman"/>
          <w:b/>
          <w:color w:val="000000" w:themeColor="text1"/>
          <w:sz w:val="20"/>
          <w:szCs w:val="20"/>
        </w:rPr>
        <w:t>-2 is linked with SARS-</w:t>
      </w:r>
      <w:proofErr w:type="spellStart"/>
      <w:r w:rsidRPr="009F44A4">
        <w:rPr>
          <w:rFonts w:ascii="Times New Roman" w:eastAsia="Calibri" w:hAnsi="Times New Roman" w:cs="Times New Roman"/>
          <w:b/>
          <w:color w:val="000000" w:themeColor="text1"/>
          <w:sz w:val="20"/>
          <w:szCs w:val="20"/>
        </w:rPr>
        <w:t>CoV</w:t>
      </w:r>
      <w:proofErr w:type="spellEnd"/>
      <w:r w:rsidRPr="009F44A4">
        <w:rPr>
          <w:rFonts w:ascii="Times New Roman" w:eastAsia="Calibri" w:hAnsi="Times New Roman" w:cs="Times New Roman"/>
          <w:b/>
          <w:color w:val="000000" w:themeColor="text1"/>
          <w:sz w:val="20"/>
          <w:szCs w:val="20"/>
        </w:rPr>
        <w:t xml:space="preserve"> and MERS-</w:t>
      </w:r>
      <w:proofErr w:type="spellStart"/>
      <w:r w:rsidRPr="009F44A4">
        <w:rPr>
          <w:rFonts w:ascii="Times New Roman" w:eastAsia="Calibri" w:hAnsi="Times New Roman" w:cs="Times New Roman"/>
          <w:b/>
          <w:color w:val="000000" w:themeColor="text1"/>
          <w:sz w:val="20"/>
          <w:szCs w:val="20"/>
        </w:rPr>
        <w:t>CoV</w:t>
      </w:r>
      <w:proofErr w:type="spellEnd"/>
    </w:p>
    <w:p w14:paraId="17707DB5" w14:textId="53115D79" w:rsidR="008D16FE" w:rsidRPr="009F44A4" w:rsidRDefault="00C2381A"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 xml:space="preserve">The source of origin and transmission of the infection must be identified for the establishment of therapeutic strategies to control the disease. The prior confirmed case of SARS disease was identified in </w:t>
      </w:r>
      <w:proofErr w:type="spellStart"/>
      <w:r w:rsidRPr="009F44A4">
        <w:rPr>
          <w:rFonts w:ascii="Times New Roman" w:hAnsi="Times New Roman" w:cs="Times New Roman"/>
          <w:color w:val="000000" w:themeColor="text1"/>
          <w:sz w:val="20"/>
          <w:szCs w:val="20"/>
          <w:shd w:val="clear" w:color="auto" w:fill="FFFFFF"/>
        </w:rPr>
        <w:t>Foshan</w:t>
      </w:r>
      <w:proofErr w:type="spellEnd"/>
      <w:r w:rsidRPr="009F44A4">
        <w:rPr>
          <w:rFonts w:ascii="Times New Roman" w:hAnsi="Times New Roman" w:cs="Times New Roman"/>
          <w:color w:val="000000" w:themeColor="text1"/>
          <w:sz w:val="20"/>
          <w:szCs w:val="20"/>
          <w:shd w:val="clear" w:color="auto" w:fill="FFFFFF"/>
        </w:rPr>
        <w:t xml:space="preserve">, China in November 2002. Cases involving 300 health workers were reported in China in February 2003. The SARS outbreak in China later spread to other countries through infected individuals. The SARS epidemic in 2003 occurred due to a new strain of human coronavirus as it was then discovered. Some countries which came in contact with this virus were Hong Kong, Vietnam, Toronto, Taiwan, Canada and the United States </w:t>
      </w:r>
      <w:r w:rsidR="00974D4B"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{"citationID":"r2qd0DSL","properties":{"formattedCitation":"\\super 30\\uc0\\u8211{}32\\nosupersub{}","plainCitation":"30–32","noteIndex":0},"citationItems":[{"id":572,"uris":["http://zotero.org/users/local/ZR048J0w/items/J7HFGRWC"],"uri":["http://zotero.org/users/local/ZR048J0w/items/J7HFGRWC"],"itemData":{"id":572,"type":"article-journal","abstract":"The emergence of Middle East respiratory syndrome coronavirus (MERS-CoV) in 2012 marked the second introduction of a highly pathogenic coronavirus into the human population in the twenty-first century. The continuing introductions of MERS-CoV from dromedary camels, the subsequent travel-related viral spread, the unprecedented nosocomial outbreaks and the high case-fatality rates highlight the need for prophylactic and therapeutic measures. Scientific advancements since the 2002-2003 severe acute respiratory syndrome coronavirus (SARS-CoV) pandemic allowed for rapid progress in our understanding of the epidemiology and pathogenesis of MERS-CoV and the development of therapeutics. In this Review, we detail our present understanding of the transmission and pathogenesis of SARS-CoV and MERS-CoV, and discuss the current state of development of measures to combat emerging coronaviruses.","container-title":"Nature Reviews. Microbiology","DOI":"10.1038/nrmicro.2016.81","ISSN":"1740-1534","issue":"8","journalAbbreviation":"Nat Rev Microbiol","language":"eng","note":"PMID: 27344959\nPMCID: PMC7097822","page":"523-534","source":"PubMed","title":"SARS and MERS: recent insights into emerging coronaviruses","title-short":"SARS and MERS","volume":"14","author":[{"family":"Wit","given":"Emmie","non-dropping-particle":"de"},{"family":"Doremalen","given":"Neeltje","non-dropping-particle":"van"},{"family":"Falzarano","given":"Darryl"},{"family":"Munster","given":"Vincent J."}],"issued":{"date-parts":[["2016"]]}}},{"id":575,"uris":["http://zotero.org/users/local/ZR048J0w/items/XAXN7QR3"],"uri":["http://zotero.org/users/local/ZR048J0w/items/XAXN7QR3"],"itemData":{"id":575,"type":"article-journal","abstract":"BACKGROUND: There has been an outbreak of the severe acute respiratory syndrome (SARS) worldwide. We report the clinical, laboratory, and radiologic features of 138 cases of suspected SARS during a hospital outbreak in Hong Kong.\nMETHODS: From March 11 to 25, 2003, all patients with suspected SARS after exposure to an index patient or ward were admitted to the isolation wards of the Prince of Wales Hospital. Their demographic, clinical, laboratory, and radiologic characteristics were analyzed. Clinical end points included the need for intensive care and death. Univariate and multivariate analyses were performed.\nRESULTS: There were 66 male patients and 72 female patients in this cohort, 69 of whom were health care workers. The most common symptoms included fever (in 100 percent of the patients); chills, rigors, or both (73.2 percent); and myalgia (60.9 percent). Cough and headache were also reported in more than 50 percent of the patients. Other common findings were lymphopenia (in 69.6 percent), thrombocytopenia (44.8 percent), and elevated lactate dehydrogenase and creatine kinase levels (71.0 percent and 32.1 percent, respectively). Peripheral air-space consolidation was commonly observed on thoracic computed tomographic scanning. A total of 32 patients (23.2 percent) were admitted to the intensive care unit; 5 patients died, all of whom had coexisting conditions. In a multivariate analysis, the independent predictors of an adverse outcome were advanced age (odds ratio per decade of life, 1.80; 95 percent confidence interval, 1.16 to 2.81; P=0.009), a high peak lactate dehydrogenase level (odds ratio per 100 U per liter, 2.09; 95 percent confidence interval, 1.28 to 3.42; P=0.003), and an absolute neutrophil count that exceeded the upper limit of the normal range on presentation (odds ratio, 1.60; 95 percent confidence interval, 1.03 to 2.50; P=0.04).\nCONCLUSIONS: SARS is a serious respiratory illness that led to significant morbidity and mortality in our cohort.","container-title":"The New England Journal of Medicine","DOI":"10.1056/NEJMoa030685","ISSN":"1533-4406","issue":"20","journalAbbreviation":"N Engl J Med","language":"eng","note":"PMID: 12682352","page":"1986-1994","source":"PubMed","title":"A major outbreak of severe acute respiratory syndrome in Hong Kong","volume":"348","author":[{"family":"Lee","given":"Nelson"},{"family":"Hui","given":"David"},{"family":"Wu","given":"Alan"},{"family":"Chan","given":"Paul"},{"family":"Cameron","given":"Peter"},{"family":"Joynt","given":"Gavin M."},{"family":"Ahuja","given":"Anil"},{"family":"Yung","given":"Man Yee"},{"family":"Leung","given":"C. B."},{"family":"To","given":"K. F."},{"family":"Lui","given":"S. F."},{"family":"Szeto","given":"C. C."},{"family":"Chung","given":"Sydney"},{"family":"Sung","given":"Joseph J. Y."}],"issued":{"date-parts":[["2003",5,15]]}}},{"id":577,"uris":["http://zotero.org/users/local/ZR048J0w/items/XU828BY7"],"uri":["http://zotero.org/users/local/ZR048J0w/items/XU828BY7"],"itemData":{"id":577,"type":"article-journal","abstract":"Background\nSevere acute respiratory syndrome (SARS) is a newly emerged disease caused by a novel coronavirus (SARS-CoV), which spread globally in early 2003, affecting over 30 countries. We have used molecular epidemiology to define the patterns of spread of the virus in Hong Kong and beyond.\n\nMethods\nThe case definition of SARS was based on that recommended by WHO. We genetically sequenced the gene for the S1 unit of the viral spike protein of viruses from patients with SARS in Hong Kong (138) and Guangdong (three) in February to April, 2003. We undertook phylogenetic comparisons with 27 other sequences available from public databases (Genbank).\n\nFindings\nMost of the Hong Kong viruses (139/142), including those from a large outbreak in an apartment block, clustered closely together with the isolate from a single index case (HKU-33) who came from Guangdong to Hong Kong in late February. Three other isolates were genetically distinct from HKU-33 in Hong Kong during February, but none of these contributed substantially to the subsequent local outbreak. Viruses identified in Guangdong and Beijing were genetically more diverse.\n\nInterpretation\nThe molecular epidemiological evidence suggests that most SARS-CoV from the outbreak in Hong Kong, as well as the viruses from Canada, Vietnam, and Singapore, are genetically closely linked. Three viruses found in Hong Kong in February were phylogenetically distinct from the major cluster, which suggests that several introductions of the virus had occurred, but that only one was associated with the subsequent outbreak in Hong Kong, which in turn spread globally.","container-title":"Lancet (London, England)","DOI":"10.1016/S0140-6736(03)15259-2","ISSN":"0140-6736","issue":"9403","journalAbbreviation":"Lancet","note":"PMID: 14726162\nPMCID: PMC7112497","page":"99-104","source":"PubMed Central","title":"Molecular epidemiology of the novel coronavirus that causes severe acute respiratory syndrome","volume":"363","author":[{"family":"Guan","given":"Y"},{"family":"Peiris","given":"JSM"},{"family":"Zheng","given":"B"},{"family":"Poon","given":"LLM"},{"family":"Chan","given":"KH"},{"family":"Zeng","given":"FY"},{"family":"Chan","given":"CWM"},{"family":"Chan","given":"MN"},{"family":"Chen","given":"JD"},{"family":"Chow","given":"KYC"},{"family":"Hon","given":"CC"},{"family":"Hui","given":"KH"},{"family":"Li","given":"J"},{"family":"Li","given":"VYY"},{"family":"Wang","given":"Y"},{"family":"Leung","given":"SW"},{"family":"Yuen","given":"KY"},{"family":"Leung","given":"FC"}],"issued":{"date-parts":[["2004",1,10]]}}}],"schema":"https://github.com/citation-style-language/schema/raw/master/csl-citation.json"} </w:instrText>
      </w:r>
      <w:r w:rsidR="00974D4B"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30–32</w:t>
      </w:r>
      <w:r w:rsidR="00974D4B" w:rsidRPr="009F44A4">
        <w:rPr>
          <w:rFonts w:ascii="Times New Roman" w:eastAsia="Calibri" w:hAnsi="Times New Roman" w:cs="Times New Roman"/>
          <w:color w:val="000000" w:themeColor="text1"/>
          <w:sz w:val="20"/>
          <w:szCs w:val="20"/>
        </w:rPr>
        <w:fldChar w:fldCharType="end"/>
      </w:r>
      <w:r w:rsidR="00974D4B"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Also, </w:t>
      </w:r>
      <w:r w:rsidRPr="009F44A4">
        <w:rPr>
          <w:rFonts w:ascii="Times New Roman" w:hAnsi="Times New Roman" w:cs="Times New Roman"/>
          <w:color w:val="000000" w:themeColor="text1"/>
          <w:sz w:val="20"/>
          <w:szCs w:val="20"/>
        </w:rPr>
        <w:t>WHO issued a worldwide notice in March</w:t>
      </w:r>
      <w:r w:rsidRPr="009F44A4">
        <w:rPr>
          <w:rFonts w:ascii="Times New Roman" w:hAnsi="Times New Roman" w:cs="Times New Roman"/>
          <w:color w:val="000000" w:themeColor="text1"/>
          <w:sz w:val="20"/>
          <w:szCs w:val="20"/>
          <w:shd w:val="clear" w:color="auto" w:fill="FFFFFF"/>
        </w:rPr>
        <w:t xml:space="preserve"> 12, 2003 and warned of the spread of atypical pneumonia. After 3 days, WHO coined the name SARS for the spreading virus and provided an emergency alert along with cautions and travel advisory. WHO observed air transport as one of the major reasons for its s</w:t>
      </w:r>
      <w:r w:rsidR="006355FE" w:rsidRPr="009F44A4">
        <w:rPr>
          <w:rFonts w:ascii="Times New Roman" w:hAnsi="Times New Roman" w:cs="Times New Roman"/>
          <w:color w:val="000000" w:themeColor="text1"/>
          <w:sz w:val="20"/>
          <w:szCs w:val="20"/>
          <w:shd w:val="clear" w:color="auto" w:fill="FFFFFF"/>
        </w:rPr>
        <w:t xml:space="preserve">preading throughout the </w:t>
      </w:r>
      <w:proofErr w:type="gramStart"/>
      <w:r w:rsidR="006355FE" w:rsidRPr="009F44A4">
        <w:rPr>
          <w:rFonts w:ascii="Times New Roman" w:hAnsi="Times New Roman" w:cs="Times New Roman"/>
          <w:color w:val="000000" w:themeColor="text1"/>
          <w:sz w:val="20"/>
          <w:szCs w:val="20"/>
          <w:shd w:val="clear" w:color="auto" w:fill="FFFFFF"/>
        </w:rPr>
        <w:t>world.</w:t>
      </w:r>
      <w:proofErr w:type="gramEnd"/>
      <w:r w:rsidR="006355FE" w:rsidRPr="009F44A4">
        <w:rPr>
          <w:rFonts w:ascii="Times New Roman" w:hAnsi="Times New Roman" w:cs="Times New Roman"/>
          <w:color w:val="000000" w:themeColor="text1"/>
          <w:sz w:val="20"/>
          <w:szCs w:val="20"/>
          <w:shd w:val="clear" w:color="auto" w:fill="FFFFFF"/>
        </w:rPr>
        <w:t xml:space="preserve"> B</w:t>
      </w:r>
      <w:r w:rsidRPr="009F44A4">
        <w:rPr>
          <w:rFonts w:ascii="Times New Roman" w:hAnsi="Times New Roman" w:cs="Times New Roman"/>
          <w:color w:val="000000" w:themeColor="text1"/>
          <w:sz w:val="20"/>
          <w:szCs w:val="20"/>
          <w:shd w:val="clear" w:color="auto" w:fill="FFFFFF"/>
        </w:rPr>
        <w:t>y April 04, 2003, the WHO had recorded 2353 cases. Approximately 4 percent of SARS patients died as per the reports</w:t>
      </w:r>
      <w:r w:rsidR="00B5582B" w:rsidRPr="009F44A4">
        <w:rPr>
          <w:rFonts w:ascii="Times New Roman" w:eastAsia="Calibri" w:hAnsi="Times New Roman" w:cs="Times New Roman"/>
          <w:color w:val="000000" w:themeColor="text1"/>
          <w:sz w:val="20"/>
          <w:szCs w:val="20"/>
        </w:rPr>
        <w:t xml:space="preserve"> </w:t>
      </w:r>
      <w:r w:rsidR="00B5582B"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{"citationID":"DhoC5ov8","properties":{"formattedCitation":"\\super 33\\nosupersub{}","plainCitation":"33","noteIndex":0},"citationItems":[{"id":580,"uris":["http://zotero.org/users/local/ZR048J0w/items/CXG4PD8K"],"uri":["http://zotero.org/users/local/ZR048J0w/items/CXG4PD8K"],"itemData":{"id":580,"type":"article-journal","abstract":"BACKGROUND: The severe acute respiratory syndrome (SARS) has recently been identified as a new clinical entity. SARS is thought to be caused by an unknown infectious agent.\nMETHODS: Clinical specimens from patients with SARS were searched for unknown viruses with the use of cell cultures and molecular techniques.\nRESULTS: A novel coronavirus was identified in patients with SARS. The virus was isolated in cell culture, and a sequence 300 nucleotides in length was obtained by a polymerase-chain-reaction (PCR)-based random-amplification procedure. Genetic characterization indicated that the virus is only distantly related to known coronaviruses (identical in 50 to 60 percent of the nucleotide sequence). On the basis of the obtained sequence, conventional and real-time PCR assays for specific and sensitive detection of the novel virus were established. Virus was detected in a variety of clinical specimens from patients with SARS but not in controls. High concentrations of viral RNA of up to 100 million molecules per milliliter were found in sputum. Viral RNA was also detected at extremely low concentrations in plasma during the acute phase and in feces during the late convalescent phase. Infected patients showed seroconversion on the Vero cells in which the virus was isolated.\nCONCLUSIONS: The novel coronavirus might have a role in causing SARS.","container-title":"The New England Journal of Medicine","DOI":"10.1056/NEJMoa030747","ISSN":"1533-4406","issue":"20","journalAbbreviation":"N Engl J Med","language":"eng","note":"PMID: 12690091","page":"1967-1976","source":"PubMed","title":"Identification of a novel coronavirus in patients with severe acute respiratory syndrome","volume":"348","author":[{"family":"Drosten","given":"Christian"},{"family":"Günther","given":"Stephan"},{"family":"Preiser","given":"Wolfgang"},{"family":"Werf","given":"Sylvie","non-dropping-particle":"van der"},{"family":"Brodt","given":"Hans-Reinhard"},{"family":"Becker","given":"Stephan"},{"family":"Rabenau","given":"Holger"},{"family":"Panning","given":"Marcus"},{"family":"Kolesnikova","given":"Larissa"},{"family":"Fouchier","given":"Ron A. M."},{"family":"Berger","given":"Annemarie"},{"family":"Burguière","given":"Ana-Maria"},{"family":"Cinatl","given":"Jindrich"},{"family":"Eickmann","given":"Markus"},{"family":"Escriou","given":"Nicolas"},{"family":"Grywna","given":"Klaus"},{"family":"Kramme","given":"Stefanie"},{"family":"Manuguerra","given":"Jean-Claude"},{"family":"Müller","given":"Stefanie"},{"family":"Rickerts","given":"Volker"},{"family":"Stürmer","given":"Martin"},{"family":"Vieth","given":"Simon"},{"family":"Klenk","given":"Hans-Dieter"},{"family":"Osterhaus","given":"Albert D. M. E."},{"family":"Schmitz","given":"Herbert"},{"family":"Doerr","given":"Hans Wilhelm"}],"issued":{"date-parts":[["2003",5,15]]}}}],"schema":"https://github.com/citation-style-language/schema/raw/master/csl-citation.json"} </w:instrText>
      </w:r>
      <w:r w:rsidR="00B5582B"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33</w:t>
      </w:r>
      <w:r w:rsidR="00B5582B" w:rsidRPr="009F44A4">
        <w:rPr>
          <w:rFonts w:ascii="Times New Roman" w:eastAsia="Calibri" w:hAnsi="Times New Roman" w:cs="Times New Roman"/>
          <w:color w:val="000000" w:themeColor="text1"/>
          <w:sz w:val="20"/>
          <w:szCs w:val="20"/>
        </w:rPr>
        <w:fldChar w:fldCharType="end"/>
      </w:r>
      <w:r w:rsidR="00B5582B"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In literature, it was revealed that the natural </w:t>
      </w:r>
      <w:r w:rsidRPr="009F44A4">
        <w:rPr>
          <w:rFonts w:ascii="Times New Roman" w:hAnsi="Times New Roman" w:cs="Times New Roman"/>
          <w:color w:val="000000" w:themeColor="text1"/>
          <w:sz w:val="20"/>
          <w:szCs w:val="20"/>
          <w:shd w:val="clear" w:color="auto" w:fill="FFFFFF"/>
        </w:rPr>
        <w:lastRenderedPageBreak/>
        <w:t>reservoir of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 was horseshoe bats and civets and the animals sold in the China wet market that incredibly contributed to the SARS transmission from animals to humans </w:t>
      </w:r>
      <w:r w:rsidR="00E60FF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{"citationID":"mgV30CPy","properties":{"formattedCitation":"\\super 34\\nosupersub{}","plainCitation":"34","noteIndex":0},"citationItems":[{"id":583,"uris":["http://zotero.org/users/local/ZR048J0w/items/Y5EWNDCM"],"uri":["http://zotero.org/users/local/ZR048J0w/items/Y5EWNDCM"],"itemData":{"id":583,"type":"article-journal","abstract":"Europe PMC is an archive of life sciences journal literature., Severe acute respiratory syndrome (SARS).","container-title":"Infectious Disease Clinics of North America","DOI":"10.1016/j.idc.2009.10.005","ISSN":"0891-5520, 1557-9824","issue":"1","journalAbbreviation":"Infect Dis Clin North Am","language":"English","note":"PMID: 20171552","page":"175-202","source":"europepmc.org","title":"Severe acute respiratory syndrome (SARS).","volume":"24","author":[{"family":"Dj","given":"Cleri"},{"family":"Aj","given":"Ricketti"},{"family":"Jr","given":"Vernaleo"}],"issued":{"date-parts":[["2010",3,1]]}}}],"schema":"https://github.com/citation-style-language/schema/raw/master/csl-citation.json"} </w:instrText>
      </w:r>
      <w:r w:rsidR="00E60FF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34</w:t>
      </w:r>
      <w:r w:rsidR="00E60FF0" w:rsidRPr="009F44A4">
        <w:rPr>
          <w:rFonts w:ascii="Times New Roman" w:eastAsia="Calibri" w:hAnsi="Times New Roman" w:cs="Times New Roman"/>
          <w:color w:val="000000" w:themeColor="text1"/>
          <w:sz w:val="20"/>
          <w:szCs w:val="20"/>
        </w:rPr>
        <w:fldChar w:fldCharType="end"/>
      </w:r>
      <w:r w:rsidR="00E60FF0"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Talking or breathing, coughing and sneezing served as common modes of transmission. SERS and MERS showed an incubation period of ~5 days and the illness was reported by more than 95% patients approximately 13 days after exposure. Severe symptoms included fever, chills, coughing and headache; while mild symptoms covered diarrhea, vomiting and nausea in the first or second week of illness. Patients who required intensive care infected with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 were approximately 20-30%; while in the case of MERS 90-100% of the patients reported were required intensive care </w:t>
      </w:r>
      <w:r w:rsidR="002A39D2"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{"citationID":"Rj5izzBC","properties":{"formattedCitation":"\\super 30\\uc0\\u8211{}32\\nosupersub{}","plainCitation":"30–32","noteIndex":0},"citationItems":[{"id":572,"uris":["http://zotero.org/users/local/ZR048J0w/items/J7HFGRWC"],"uri":["http://zotero.org/users/local/ZR048J0w/items/J7HFGRWC"],"itemData":{"id":572,"type":"article-journal","abstract":"The emergence of Middle East respiratory syndrome coronavirus (MERS-CoV) in 2012 marked the second introduction of a highly pathogenic coronavirus into the human population in the twenty-first century. The continuing introductions of MERS-CoV from dromedary camels, the subsequent travel-related viral spread, the unprecedented nosocomial outbreaks and the high case-fatality rates highlight the need for prophylactic and therapeutic measures. Scientific advancements since the 2002-2003 severe acute respiratory syndrome coronavirus (SARS-CoV) pandemic allowed for rapid progress in our understanding of the epidemiology and pathogenesis of MERS-CoV and the development of therapeutics. In this Review, we detail our present understanding of the transmission and pathogenesis of SARS-CoV and MERS-CoV, and discuss the current state of development of measures to combat emerging coronaviruses.","container-title":"Nature Reviews. Microbiology","DOI":"10.1038/nrmicro.2016.81","ISSN":"1740-1534","issue":"8","journalAbbreviation":"Nat Rev Microbiol","language":"eng","note":"PMID: 27344959\nPMCID: PMC7097822","page":"523-534","source":"PubMed","title":"SARS and MERS: recent insights into emerging coronaviruses","title-short":"SARS and MERS","volume":"14","author":[{"family":"Wit","given":"Emmie","non-dropping-particle":"de"},{"family":"Doremalen","given":"Neeltje","non-dropping-particle":"van"},{"family":"Falzarano","given":"Darryl"},{"family":"Munster","given":"Vincent J."}],"issued":{"date-parts":[["2016"]]}}},{"id":575,"uris":["http://zotero.org/users/local/ZR048J0w/items/XAXN7QR3"],"uri":["http://zotero.org/users/local/ZR048J0w/items/XAXN7QR3"],"itemData":{"id":575,"type":"article-journal","abstract":"BACKGROUND: There has been an outbreak of the severe acute respiratory syndrome (SARS) worldwide. We report the clinical, laboratory, and radiologic features of 138 cases of suspected SARS during a hospital outbreak in Hong Kong.\nMETHODS: From March 11 to 25, 2003, all patients with suspected SARS after exposure to an index patient or ward were admitted to the isolation wards of the Prince of Wales Hospital. Their demographic, clinical, laboratory, and radiologic characteristics were analyzed. Clinical end points included the need for intensive care and death. Univariate and multivariate analyses were performed.\nRESULTS: There were 66 male patients and 72 female patients in this cohort, 69 of whom were health care workers. The most common symptoms included fever (in 100 percent of the patients); chills, rigors, or both (73.2 percent); and myalgia (60.9 percent). Cough and headache were also reported in more than 50 percent of the patients. Other common findings were lymphopenia (in 69.6 percent), thrombocytopenia (44.8 percent), and elevated lactate dehydrogenase and creatine kinase levels (71.0 percent and 32.1 percent, respectively). Peripheral air-space consolidation was commonly observed on thoracic computed tomographic scanning. A total of 32 patients (23.2 percent) were admitted to the intensive care unit; 5 patients died, all of whom had coexisting conditions. In a multivariate analysis, the independent predictors of an adverse outcome were advanced age (odds ratio per decade of life, 1.80; 95 percent confidence interval, 1.16 to 2.81; P=0.009), a high peak lactate dehydrogenase level (odds ratio per 100 U per liter, 2.09; 95 percent confidence interval, 1.28 to 3.42; P=0.003), and an absolute neutrophil count that exceeded the upper limit of the normal range on presentation (odds ratio, 1.60; 95 percent confidence interval, 1.03 to 2.50; P=0.04).\nCONCLUSIONS: SARS is a serious respiratory illness that led to significant morbidity and mortality in our cohort.","container-title":"The New England Journal of Medicine","DOI":"10.1056/NEJMoa030685","ISSN":"1533-4406","issue":"20","journalAbbreviation":"N Engl J Med","language":"eng","note":"PMID: 12682352","page":"1986-1994","source":"PubMed","title":"A major outbreak of severe acute respiratory syndrome in Hong Kong","volume":"348","author":[{"family":"Lee","given":"Nelson"},{"family":"Hui","given":"David"},{"family":"Wu","given":"Alan"},{"family":"Chan","given":"Paul"},{"family":"Cameron","given":"Peter"},{"family":"Joynt","given":"Gavin M."},{"family":"Ahuja","given":"Anil"},{"family":"Yung","given":"Man Yee"},{"family":"Leung","given":"C. B."},{"family":"To","given":"K. F."},{"family":"Lui","given":"S. F."},{"family":"Szeto","given":"C. C."},{"family":"Chung","given":"Sydney"},{"family":"Sung","given":"Joseph J. Y."}],"issued":{"date-parts":[["2003",5,15]]}}},{"id":577,"uris":["http://zotero.org/users/local/ZR048J0w/items/XU828BY7"],"uri":["http://zotero.org/users/local/ZR048J0w/items/XU828BY7"],"itemData":{"id":577,"type":"article-journal","abstract":"Background\nSevere acute respiratory syndrome (SARS) is a newly emerged disease caused by a novel coronavirus (SARS-CoV), which spread globally in early 2003, affecting over 30 countries. We have used molecular epidemiology to define the patterns of spread of the virus in Hong Kong and beyond.\n\nMethods\nThe case definition of SARS was based on that recommended by WHO. We genetically sequenced the gene for the S1 unit of the viral spike protein of viruses from patients with SARS in Hong Kong (138) and Guangdong (three) in February to April, 2003. We undertook phylogenetic comparisons with 27 other sequences available from public databases (Genbank).\n\nFindings\nMost of the Hong Kong viruses (139/142), including those from a large outbreak in an apartment block, clustered closely together with the isolate from a single index case (HKU-33) who came from Guangdong to Hong Kong in late February. Three other isolates were genetically distinct from HKU-33 in Hong Kong during February, but none of these contributed substantially to the subsequent local outbreak. Viruses identified in Guangdong and Beijing were genetically more diverse.\n\nInterpretation\nThe molecular epidemiological evidence suggests that most SARS-CoV from the outbreak in Hong Kong, as well as the viruses from Canada, Vietnam, and Singapore, are genetically closely linked. Three viruses found in Hong Kong in February were phylogenetically distinct from the major cluster, which suggests that several introductions of the virus had occurred, but that only one was associated with the subsequent outbreak in Hong Kong, which in turn spread globally.","container-title":"Lancet (London, England)","DOI":"10.1016/S0140-6736(03)15259-2","ISSN":"0140-6736","issue":"9403","journalAbbreviation":"Lancet","note":"PMID: 14726162\nPMCID: PMC7112497","page":"99-104","source":"PubMed Central","title":"Molecular epidemiology of the novel coronavirus that causes severe acute respiratory syndrome","volume":"363","author":[{"family":"Guan","given":"Y"},{"family":"Peiris","given":"JSM"},{"family":"Zheng","given":"B"},{"family":"Poon","given":"LLM"},{"family":"Chan","given":"KH"},{"family":"Zeng","given":"FY"},{"family":"Chan","given":"CWM"},{"family":"Chan","given":"MN"},{"family":"Chen","given":"JD"},{"family":"Chow","given":"KYC"},{"family":"Hon","given":"CC"},{"family":"Hui","given":"KH"},{"family":"Li","given":"J"},{"family":"Li","given":"VYY"},{"family":"Wang","given":"Y"},{"family":"Leung","given":"SW"},{"family":"Yuen","given":"KY"},{"family":"Leung","given":"FC"}],"issued":{"date-parts":[["2004",1,10]]}}}],"schema":"https://github.com/citation-style-language/schema/raw/master/csl-citation.json"} </w:instrText>
      </w:r>
      <w:r w:rsidR="002A39D2"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30–32</w:t>
      </w:r>
      <w:r w:rsidR="002A39D2" w:rsidRPr="009F44A4">
        <w:rPr>
          <w:rFonts w:ascii="Times New Roman" w:eastAsia="Calibri" w:hAnsi="Times New Roman" w:cs="Times New Roman"/>
          <w:color w:val="000000" w:themeColor="text1"/>
          <w:sz w:val="20"/>
          <w:szCs w:val="20"/>
        </w:rPr>
        <w:fldChar w:fldCharType="end"/>
      </w:r>
      <w:r w:rsidR="002A39D2" w:rsidRPr="009F44A4">
        <w:rPr>
          <w:rFonts w:ascii="Times New Roman" w:eastAsia="Calibri" w:hAnsi="Times New Roman" w:cs="Times New Roman"/>
          <w:color w:val="000000" w:themeColor="text1"/>
          <w:sz w:val="20"/>
          <w:szCs w:val="20"/>
        </w:rPr>
        <w:t>.</w:t>
      </w:r>
    </w:p>
    <w:p w14:paraId="413A37F3" w14:textId="5386FE75" w:rsidR="00C2381A" w:rsidRPr="009F44A4" w:rsidRDefault="00C2381A" w:rsidP="00DC7281">
      <w:pPr>
        <w:pStyle w:val="NormalWeb"/>
        <w:shd w:val="clear" w:color="auto" w:fill="FFFFFF" w:themeFill="background1"/>
        <w:spacing w:before="240" w:beforeAutospacing="0" w:after="240" w:afterAutospacing="0" w:line="360" w:lineRule="auto"/>
        <w:jc w:val="both"/>
        <w:rPr>
          <w:color w:val="000000" w:themeColor="text1"/>
          <w:sz w:val="20"/>
          <w:szCs w:val="20"/>
        </w:rPr>
      </w:pPr>
      <w:r w:rsidRPr="009F44A4">
        <w:rPr>
          <w:color w:val="000000" w:themeColor="text1"/>
          <w:sz w:val="20"/>
          <w:szCs w:val="20"/>
          <w:shd w:val="clear" w:color="auto" w:fill="FFFFFF"/>
        </w:rPr>
        <w:t xml:space="preserve">According to a report from </w:t>
      </w:r>
      <w:proofErr w:type="spellStart"/>
      <w:r w:rsidRPr="009F44A4">
        <w:rPr>
          <w:color w:val="000000" w:themeColor="text1"/>
          <w:sz w:val="20"/>
          <w:szCs w:val="20"/>
          <w:shd w:val="clear" w:color="auto" w:fill="FFFFFF"/>
        </w:rPr>
        <w:t>ProMED</w:t>
      </w:r>
      <w:proofErr w:type="spellEnd"/>
      <w:r w:rsidRPr="009F44A4">
        <w:rPr>
          <w:color w:val="000000" w:themeColor="text1"/>
          <w:sz w:val="20"/>
          <w:szCs w:val="20"/>
          <w:shd w:val="clear" w:color="auto" w:fill="FFFFFF"/>
        </w:rPr>
        <w:t xml:space="preserve"> (Program for Monitoring Emerging Diseases) submitted on September 20, 2012, a new virus called as MERS-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 was discovered from sputum taken from a man belonging to Arabian Peninsula, who died due to pneumonia and renal failure 3 months earlier </w:t>
      </w:r>
      <w:r w:rsidR="002A39D2" w:rsidRPr="009F44A4">
        <w:rPr>
          <w:rFonts w:eastAsia="Calibri"/>
          <w:color w:val="000000" w:themeColor="text1"/>
          <w:sz w:val="20"/>
          <w:szCs w:val="20"/>
        </w:rPr>
        <w:fldChar w:fldCharType="begin"/>
      </w:r>
      <w:r w:rsidR="00236558">
        <w:rPr>
          <w:rFonts w:eastAsia="Calibri"/>
          <w:color w:val="000000" w:themeColor="text1"/>
          <w:sz w:val="20"/>
          <w:szCs w:val="20"/>
        </w:rPr>
        <w:instrText xml:space="preserve"> ADDIN ZOTERO_ITEM CSL_CITATION {"citationID":"7tlssHk5","properties":{"formattedCitation":"\\super 30,35,36\\nosupersub{}","plainCitation":"30,35,36","noteIndex":0},"citationItems":[{"id":572,"uris":["http://zotero.org/users/local/ZR048J0w/items/J7HFGRWC"],"uri":["http://zotero.org/users/local/ZR048J0w/items/J7HFGRWC"],"itemData":{"id":572,"type":"article-journal","abstract":"The emergence of Middle East respiratory syndrome coronavirus (MERS-CoV) in 2012 marked the second introduction of a highly pathogenic coronavirus into the human population in the twenty-first century. The continuing introductions of MERS-CoV from dromedary camels, the subsequent travel-related viral spread, the unprecedented nosocomial outbreaks and the high case-fatality rates highlight the need for prophylactic and therapeutic measures. Scientific advancements since the 2002-2003 severe acute respiratory syndrome coronavirus (SARS-CoV) pandemic allowed for rapid progress in our understanding of the epidemiology and pathogenesis of MERS-CoV and the development of therapeutics. In this Review, we detail our present understanding of the transmission and pathogenesis of SARS-CoV and MERS-CoV, and discuss the current state of development of measures to combat emerging coronaviruses.","container-title":"Nature Reviews. Microbiology","DOI":"10.1038/nrmicro.2016.81","ISSN":"1740-1534","issue":"8","journalAbbreviation":"Nat Rev Microbiol","language":"eng","note":"PMID: 27344959\nPMCID: PMC7097822","page":"523-534","source":"PubMed","title":"SARS and MERS: recent insights into emerging coronaviruses","title-short":"SARS and MERS","volume":"14","author":[{"family":"Wit","given":"Emmie","non-dropping-particle":"de"},{"family":"Doremalen","given":"Neeltje","non-dropping-particle":"van"},{"family":"Falzarano","given":"Darryl"},{"family":"Munster","given":"Vincent J."}],"issued":{"date-parts":[["2016"]]}}},{"id":587,"uris":["http://zotero.org/users/local/ZR048J0w/items/N2G6RHBL"],"uri":["http://zotero.org/users/local/ZR048J0w/items/N2G6RHBL"],"itemData":{"id":587,"type":"article-journal","abstract":"In April 2012, an outbreak of acute respiratory illness occurred in a public hospital in Zarqa city, in Jordan; 8 health care workers were among the 11 people affected, 1 of who later died. The cause of the outbreak was unknown at the time and an epidemiological investigation including laboratory testing carried out immediately afterthe outbreak was inconclusive. Following the discovery of novel coronavirus infection (nCoV) in the Arabian peninsula in September 2012, stored respiratory and serum samples of patients from this outbreak were retested and the diagnosis of nCoV was confirmed in 2 deceased patients. This paper describes the epidemiological findings of retrospective investigation carried out in November 2012 and highlights the likelihood of nosocomial transmission of nCoV infection in a health-care setting. A total of 2 laboratory-confirmed and 11 probable cases were identified from this outbreak of whom 10 were HCWs and 2 were family members of cases.","container-title":"Eastern Mediterranean Health Journal = La Revue De Sante De La Mediterranee Orientale = Al-Majallah Al-Sihhiyah Li-Sharq Al-Mutawassit","ISSN":"1020-3397","journalAbbreviation":"East Mediterr Health J","language":"eng","note":"PMID: 23888790","page":"S12-18","source":"PubMed","title":"Novel coronavirus infections in Jordan, April 2012: epidemiological findings from a retrospective investigation","title-short":"Novel coronavirus infections in Jordan, April 2012","volume":"19 Suppl 1","author":[{"family":"Hijawi","given":"B."},{"family":"Abdallat","given":"M."},{"family":"Sayaydeh","given":"A."},{"family":"Alqasrawi","given":"S."},{"family":"Haddadin","given":"A."},{"family":"Jaarour","given":"N."},{"family":"Alsheikh","given":"S."},{"family":"Alsanouri","given":"T."}],"issued":{"date-parts":[["2013"]]}}},{"id":591,"uris":["http://zotero.org/users/local/ZR048J0w/items/6VTYFUSN"],"uri":["http://zotero.org/users/local/ZR048J0w/items/6VTYFUSN"],"itemData":{"id":591,"type":"webpage","abstract":"Between 19 and 23 April 2016, the National IHR Focal Point for the Kingdom of Saudi Arabia notified WHO of 3 additional cases of Middle East Respiratory Syndrome (MERS-CoV).","container-title":"WHO","note":"publisher: World Health Organization","title":"WHO | Middle East respiratory syndrome coronavirus (MERS-CoV) – Saudi Arabia","URL":"http://www.who.int/csr/don/26-april-2016-mers-saudi-arabia/en/","accessed":{"date-parts":[["2020",12,15]]}}}],"schema":"https://github.com/citation-style-language/schema/raw/master/csl-citation.json"} </w:instrText>
      </w:r>
      <w:r w:rsidR="002A39D2" w:rsidRPr="009F44A4">
        <w:rPr>
          <w:rFonts w:eastAsia="Calibri"/>
          <w:color w:val="000000" w:themeColor="text1"/>
          <w:sz w:val="20"/>
          <w:szCs w:val="20"/>
        </w:rPr>
        <w:fldChar w:fldCharType="separate"/>
      </w:r>
      <w:r w:rsidR="00236558" w:rsidRPr="00236558">
        <w:rPr>
          <w:sz w:val="20"/>
          <w:vertAlign w:val="superscript"/>
        </w:rPr>
        <w:t>30,35,36</w:t>
      </w:r>
      <w:r w:rsidR="002A39D2" w:rsidRPr="009F44A4">
        <w:rPr>
          <w:rFonts w:eastAsia="Calibri"/>
          <w:color w:val="000000" w:themeColor="text1"/>
          <w:sz w:val="20"/>
          <w:szCs w:val="20"/>
        </w:rPr>
        <w:fldChar w:fldCharType="end"/>
      </w:r>
      <w:r w:rsidR="00C02138" w:rsidRPr="009F44A4">
        <w:rPr>
          <w:rFonts w:eastAsia="Calibri"/>
          <w:color w:val="000000" w:themeColor="text1"/>
          <w:sz w:val="20"/>
          <w:szCs w:val="20"/>
        </w:rPr>
        <w:t xml:space="preserve">. </w:t>
      </w:r>
      <w:r w:rsidRPr="009F44A4">
        <w:rPr>
          <w:color w:val="000000" w:themeColor="text1"/>
          <w:sz w:val="20"/>
          <w:szCs w:val="20"/>
          <w:shd w:val="clear" w:color="auto" w:fill="FFFFFF"/>
        </w:rPr>
        <w:t xml:space="preserve">Acute respiratory disease outbreak has already </w:t>
      </w:r>
      <w:r w:rsidRPr="009F44A4">
        <w:rPr>
          <w:color w:val="000000" w:themeColor="text1"/>
          <w:sz w:val="20"/>
          <w:szCs w:val="20"/>
        </w:rPr>
        <w:t xml:space="preserve">happened on April 2012 in the </w:t>
      </w:r>
      <w:proofErr w:type="spellStart"/>
      <w:r w:rsidRPr="009F44A4">
        <w:rPr>
          <w:color w:val="000000" w:themeColor="text1"/>
          <w:sz w:val="20"/>
          <w:szCs w:val="20"/>
        </w:rPr>
        <w:t>Zarqa</w:t>
      </w:r>
      <w:proofErr w:type="spellEnd"/>
      <w:r w:rsidRPr="009F44A4">
        <w:rPr>
          <w:color w:val="000000" w:themeColor="text1"/>
          <w:sz w:val="20"/>
          <w:szCs w:val="20"/>
        </w:rPr>
        <w:t>, Jordan, public hospital</w:t>
      </w:r>
      <w:r w:rsidRPr="009F44A4">
        <w:rPr>
          <w:color w:val="000000" w:themeColor="text1"/>
          <w:sz w:val="20"/>
          <w:szCs w:val="20"/>
          <w:shd w:val="clear" w:color="auto" w:fill="FFFFFF"/>
        </w:rPr>
        <w:t xml:space="preserve">. The cause of the outbreak was unknown at the time and laboratory studies conducted shortly after the outbreak </w:t>
      </w:r>
      <w:r w:rsidR="007A46A1" w:rsidRPr="009F44A4">
        <w:rPr>
          <w:rFonts w:eastAsia="Calibri"/>
          <w:color w:val="000000" w:themeColor="text1"/>
          <w:sz w:val="20"/>
          <w:szCs w:val="20"/>
        </w:rPr>
        <w:fldChar w:fldCharType="begin"/>
      </w:r>
      <w:r w:rsidR="00236558">
        <w:rPr>
          <w:rFonts w:eastAsia="Calibri"/>
          <w:color w:val="000000" w:themeColor="text1"/>
          <w:sz w:val="20"/>
          <w:szCs w:val="20"/>
        </w:rPr>
        <w:instrText xml:space="preserve"> ADDIN ZOTERO_ITEM CSL_CITATION {"citationID":"ya05zPuf","properties":{"formattedCitation":"\\super 36\\nosupersub{}","plainCitation":"36","noteIndex":0},"citationItems":[{"id":591,"uris":["http://zotero.org/users/local/ZR048J0w/items/6VTYFUSN"],"uri":["http://zotero.org/users/local/ZR048J0w/items/6VTYFUSN"],"itemData":{"id":591,"type":"webpage","abstract":"Between 19 and 23 April 2016, the National IHR Focal Point for the Kingdom of Saudi Arabia notified WHO of 3 additional cases of Middle East Respiratory Syndrome (MERS-CoV).","container-title":"WHO","note":"publisher: World Health Organization","title":"WHO | Middle East respiratory syndrome coronavirus (MERS-CoV) – Saudi Arabia","URL":"http://www.who.int/csr/don/26-april-2016-mers-saudi-arabia/en/","accessed":{"date-parts":[["2020",12,15]]}}}],"schema":"https://github.com/citation-style-language/schema/raw/master/csl-citation.json"} </w:instrText>
      </w:r>
      <w:r w:rsidR="007A46A1" w:rsidRPr="009F44A4">
        <w:rPr>
          <w:rFonts w:eastAsia="Calibri"/>
          <w:color w:val="000000" w:themeColor="text1"/>
          <w:sz w:val="20"/>
          <w:szCs w:val="20"/>
        </w:rPr>
        <w:fldChar w:fldCharType="separate"/>
      </w:r>
      <w:r w:rsidR="00236558" w:rsidRPr="00236558">
        <w:rPr>
          <w:sz w:val="20"/>
          <w:vertAlign w:val="superscript"/>
        </w:rPr>
        <w:t>36</w:t>
      </w:r>
      <w:r w:rsidR="007A46A1" w:rsidRPr="009F44A4">
        <w:rPr>
          <w:rFonts w:eastAsia="Calibri"/>
          <w:color w:val="000000" w:themeColor="text1"/>
          <w:sz w:val="20"/>
          <w:szCs w:val="20"/>
        </w:rPr>
        <w:fldChar w:fldCharType="end"/>
      </w:r>
      <w:r w:rsidR="007A46A1" w:rsidRPr="009F44A4">
        <w:rPr>
          <w:rFonts w:eastAsia="Calibri"/>
          <w:color w:val="000000" w:themeColor="text1"/>
          <w:sz w:val="20"/>
          <w:szCs w:val="20"/>
        </w:rPr>
        <w:t xml:space="preserve">. </w:t>
      </w:r>
      <w:r w:rsidRPr="009F44A4">
        <w:rPr>
          <w:color w:val="000000" w:themeColor="text1"/>
          <w:sz w:val="20"/>
          <w:szCs w:val="20"/>
          <w:shd w:val="clear" w:color="auto" w:fill="FFFFFF"/>
        </w:rPr>
        <w:t>The earliest case of severe respiratory illness dated in April 2012 in Jordan hospital was subsequently diagnosed as MERS. Later, in September 2012 three MERS patients were found in the UK as well. Since 2012, MERS cases have been reported in 27 nations throughout the world but a maximum of 80% cases befell in Arabian Peninsula</w:t>
      </w:r>
      <w:r w:rsidR="002A39D2" w:rsidRPr="009F44A4">
        <w:rPr>
          <w:rFonts w:eastAsia="Calibri"/>
          <w:color w:val="000000" w:themeColor="text1"/>
          <w:sz w:val="20"/>
          <w:szCs w:val="20"/>
        </w:rPr>
        <w:t xml:space="preserve"> </w:t>
      </w:r>
      <w:r w:rsidR="002A39D2" w:rsidRPr="009F44A4">
        <w:rPr>
          <w:rFonts w:eastAsia="Calibri"/>
          <w:color w:val="000000" w:themeColor="text1"/>
          <w:sz w:val="20"/>
          <w:szCs w:val="20"/>
        </w:rPr>
        <w:fldChar w:fldCharType="begin"/>
      </w:r>
      <w:r w:rsidR="00236558">
        <w:rPr>
          <w:rFonts w:eastAsia="Calibri"/>
          <w:color w:val="000000" w:themeColor="text1"/>
          <w:sz w:val="20"/>
          <w:szCs w:val="20"/>
        </w:rPr>
        <w:instrText xml:space="preserve"> ADDIN ZOTERO_ITEM CSL_CITATION {"citationID":"dgv8VJz4","properties":{"formattedCitation":"\\super 30\\nosupersub{}","plainCitation":"30","noteIndex":0},"citationItems":[{"id":572,"uris":["http://zotero.org/users/local/ZR048J0w/items/J7HFGRWC"],"uri":["http://zotero.org/users/local/ZR048J0w/items/J7HFGRWC"],"itemData":{"id":572,"type":"article-journal","abstract":"The emergence of Middle East respiratory syndrome coronavirus (MERS-CoV) in 2012 marked the second introduction of a highly pathogenic coronavirus into the human population in the twenty-first century. The continuing introductions of MERS-CoV from dromedary camels, the subsequent travel-related viral spread, the unprecedented nosocomial outbreaks and the high case-fatality rates highlight the need for prophylactic and therapeutic measures. Scientific advancements since the 2002-2003 severe acute respiratory syndrome coronavirus (SARS-CoV) pandemic allowed for rapid progress in our understanding of the epidemiology and pathogenesis of MERS-CoV and the development of therapeutics. In this Review, we detail our present understanding of the transmission and pathogenesis of SARS-CoV and MERS-CoV, and discuss the current state of development of measures to combat emerging coronaviruses.","container-title":"Nature Reviews. Microbiology","DOI":"10.1038/nrmicro.2016.81","ISSN":"1740-1534","issue":"8","journalAbbreviation":"Nat Rev Microbiol","language":"eng","note":"PMID: 27344959\nPMCID: PMC7097822","page":"523-534","source":"PubMed","title":"SARS and MERS: recent insights into emerging coronaviruses","title-short":"SARS and MERS","volume":"14","author":[{"family":"Wit","given":"Emmie","non-dropping-particle":"de"},{"family":"Doremalen","given":"Neeltje","non-dropping-particle":"van"},{"family":"Falzarano","given":"Darryl"},{"family":"Munster","given":"Vincent J."}],"issued":{"date-parts":[["2016"]]}}}],"schema":"https://github.com/citation-style-language/schema/raw/master/csl-citation.json"} </w:instrText>
      </w:r>
      <w:r w:rsidR="002A39D2" w:rsidRPr="009F44A4">
        <w:rPr>
          <w:rFonts w:eastAsia="Calibri"/>
          <w:color w:val="000000" w:themeColor="text1"/>
          <w:sz w:val="20"/>
          <w:szCs w:val="20"/>
        </w:rPr>
        <w:fldChar w:fldCharType="separate"/>
      </w:r>
      <w:r w:rsidR="00236558" w:rsidRPr="00236558">
        <w:rPr>
          <w:sz w:val="20"/>
          <w:vertAlign w:val="superscript"/>
        </w:rPr>
        <w:t>30</w:t>
      </w:r>
      <w:r w:rsidR="002A39D2" w:rsidRPr="009F44A4">
        <w:rPr>
          <w:rFonts w:eastAsia="Calibri"/>
          <w:color w:val="000000" w:themeColor="text1"/>
          <w:sz w:val="20"/>
          <w:szCs w:val="20"/>
        </w:rPr>
        <w:fldChar w:fldCharType="end"/>
      </w:r>
      <w:r w:rsidR="002A39D2" w:rsidRPr="009F44A4">
        <w:rPr>
          <w:rFonts w:eastAsia="Calibri"/>
          <w:color w:val="000000" w:themeColor="text1"/>
          <w:sz w:val="20"/>
          <w:szCs w:val="20"/>
        </w:rPr>
        <w:t>.</w:t>
      </w:r>
      <w:r w:rsidR="00C02138" w:rsidRPr="009F44A4">
        <w:rPr>
          <w:rFonts w:eastAsia="Calibri"/>
          <w:color w:val="000000" w:themeColor="text1"/>
          <w:sz w:val="20"/>
          <w:szCs w:val="20"/>
        </w:rPr>
        <w:t xml:space="preserve"> </w:t>
      </w:r>
      <w:r w:rsidRPr="009F44A4">
        <w:rPr>
          <w:color w:val="000000" w:themeColor="text1"/>
          <w:sz w:val="20"/>
          <w:szCs w:val="20"/>
          <w:shd w:val="clear" w:color="auto" w:fill="FFFFFF"/>
        </w:rPr>
        <w:t>MERS-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 possesses a range of similarities with zoonotic virus as evidenced from the cases of its transmission from animals to humans. WHO reported that dromedary camels worked as a source of infection either directly or indirectly</w:t>
      </w:r>
      <w:r w:rsidR="00147BFD" w:rsidRPr="009F44A4">
        <w:rPr>
          <w:rFonts w:eastAsia="Calibri"/>
          <w:color w:val="000000" w:themeColor="text1"/>
          <w:sz w:val="20"/>
          <w:szCs w:val="20"/>
        </w:rPr>
        <w:t xml:space="preserve"> </w:t>
      </w:r>
      <w:r w:rsidR="00147BFD" w:rsidRPr="009F44A4">
        <w:rPr>
          <w:rFonts w:eastAsia="Calibri"/>
          <w:color w:val="000000" w:themeColor="text1"/>
          <w:sz w:val="20"/>
          <w:szCs w:val="20"/>
        </w:rPr>
        <w:fldChar w:fldCharType="begin"/>
      </w:r>
      <w:r w:rsidR="00236558">
        <w:rPr>
          <w:rFonts w:eastAsia="Calibri"/>
          <w:color w:val="000000" w:themeColor="text1"/>
          <w:sz w:val="20"/>
          <w:szCs w:val="20"/>
        </w:rPr>
        <w:instrText xml:space="preserve"> ADDIN ZOTERO_ITEM CSL_CITATION {"citationID":"O0TYHJQs","properties":{"formattedCitation":"\\super 30\\nosupersub{}","plainCitation":"30","noteIndex":0},"citationItems":[{"id":572,"uris":["http://zotero.org/users/local/ZR048J0w/items/J7HFGRWC"],"uri":["http://zotero.org/users/local/ZR048J0w/items/J7HFGRWC"],"itemData":{"id":572,"type":"article-journal","abstract":"The emergence of Middle East respiratory syndrome coronavirus (MERS-CoV) in 2012 marked the second introduction of a highly pathogenic coronavirus into the human population in the twenty-first century. The continuing introductions of MERS-CoV from dromedary camels, the subsequent travel-related viral spread, the unprecedented nosocomial outbreaks and the high case-fatality rates highlight the need for prophylactic and therapeutic measures. Scientific advancements since the 2002-2003 severe acute respiratory syndrome coronavirus (SARS-CoV) pandemic allowed for rapid progress in our understanding of the epidemiology and pathogenesis of MERS-CoV and the development of therapeutics. In this Review, we detail our present understanding of the transmission and pathogenesis of SARS-CoV and MERS-CoV, and discuss the current state of development of measures to combat emerging coronaviruses.","container-title":"Nature Reviews. Microbiology","DOI":"10.1038/nrmicro.2016.81","ISSN":"1740-1534","issue":"8","journalAbbreviation":"Nat Rev Microbiol","language":"eng","note":"PMID: 27344959\nPMCID: PMC7097822","page":"523-534","source":"PubMed","title":"SARS and MERS: recent insights into emerging coronaviruses","title-short":"SARS and MERS","volume":"14","author":[{"family":"Wit","given":"Emmie","non-dropping-particle":"de"},{"family":"Doremalen","given":"Neeltje","non-dropping-particle":"van"},{"family":"Falzarano","given":"Darryl"},{"family":"Munster","given":"Vincent J."}],"issued":{"date-parts":[["2016"]]}}}],"schema":"https://github.com/citation-style-language/schema/raw/master/csl-citation.json"} </w:instrText>
      </w:r>
      <w:r w:rsidR="00147BFD" w:rsidRPr="009F44A4">
        <w:rPr>
          <w:rFonts w:eastAsia="Calibri"/>
          <w:color w:val="000000" w:themeColor="text1"/>
          <w:sz w:val="20"/>
          <w:szCs w:val="20"/>
        </w:rPr>
        <w:fldChar w:fldCharType="separate"/>
      </w:r>
      <w:r w:rsidR="00236558" w:rsidRPr="00236558">
        <w:rPr>
          <w:sz w:val="20"/>
          <w:vertAlign w:val="superscript"/>
        </w:rPr>
        <w:t>30</w:t>
      </w:r>
      <w:r w:rsidR="00147BFD" w:rsidRPr="009F44A4">
        <w:rPr>
          <w:rFonts w:eastAsia="Calibri"/>
          <w:color w:val="000000" w:themeColor="text1"/>
          <w:sz w:val="20"/>
          <w:szCs w:val="20"/>
        </w:rPr>
        <w:fldChar w:fldCharType="end"/>
      </w:r>
      <w:r w:rsidR="00147BFD" w:rsidRPr="009F44A4">
        <w:rPr>
          <w:rFonts w:eastAsia="Calibri"/>
          <w:color w:val="000000" w:themeColor="text1"/>
          <w:sz w:val="20"/>
          <w:szCs w:val="20"/>
        </w:rPr>
        <w:t>.</w:t>
      </w:r>
      <w:r w:rsidR="00C02138" w:rsidRPr="009F44A4">
        <w:rPr>
          <w:rFonts w:eastAsia="Calibri"/>
          <w:color w:val="000000" w:themeColor="text1"/>
          <w:sz w:val="20"/>
          <w:szCs w:val="20"/>
        </w:rPr>
        <w:t xml:space="preserve"> </w:t>
      </w:r>
      <w:r w:rsidRPr="009F44A4">
        <w:rPr>
          <w:color w:val="000000" w:themeColor="text1"/>
          <w:sz w:val="20"/>
          <w:szCs w:val="20"/>
          <w:shd w:val="clear" w:color="auto" w:fill="FFFFFF"/>
        </w:rPr>
        <w:t>By April 26, 2016, it was reported in 27 nations with 1,728 active MERS cases, 624 deaths and 34.3% mortality rate</w:t>
      </w:r>
      <w:r w:rsidR="007A46A1" w:rsidRPr="009F44A4">
        <w:rPr>
          <w:rFonts w:eastAsia="Calibri"/>
          <w:color w:val="000000" w:themeColor="text1"/>
          <w:sz w:val="20"/>
          <w:szCs w:val="20"/>
        </w:rPr>
        <w:t xml:space="preserve"> </w:t>
      </w:r>
      <w:r w:rsidR="007A46A1" w:rsidRPr="009F44A4">
        <w:rPr>
          <w:rFonts w:eastAsia="Calibri"/>
          <w:color w:val="000000" w:themeColor="text1"/>
          <w:sz w:val="20"/>
          <w:szCs w:val="20"/>
        </w:rPr>
        <w:fldChar w:fldCharType="begin"/>
      </w:r>
      <w:r w:rsidR="00236558">
        <w:rPr>
          <w:rFonts w:eastAsia="Calibri"/>
          <w:color w:val="000000" w:themeColor="text1"/>
          <w:sz w:val="20"/>
          <w:szCs w:val="20"/>
        </w:rPr>
        <w:instrText xml:space="preserve"> ADDIN ZOTERO_ITEM CSL_CITATION {"citationID":"RaGaIfMb","properties":{"formattedCitation":"\\super 30,36\\nosupersub{}","plainCitation":"30,36","noteIndex":0},"citationItems":[{"id":572,"uris":["http://zotero.org/users/local/ZR048J0w/items/J7HFGRWC"],"uri":["http://zotero.org/users/local/ZR048J0w/items/J7HFGRWC"],"itemData":{"id":572,"type":"article-journal","abstract":"The emergence of Middle East respiratory syndrome coronavirus (MERS-CoV) in 2012 marked the second introduction of a highly pathogenic coronavirus into the human population in the twenty-first century. The continuing introductions of MERS-CoV from dromedary camels, the subsequent travel-related viral spread, the unprecedented nosocomial outbreaks and the high case-fatality rates highlight the need for prophylactic and therapeutic measures. Scientific advancements since the 2002-2003 severe acute respiratory syndrome coronavirus (SARS-CoV) pandemic allowed for rapid progress in our understanding of the epidemiology and pathogenesis of MERS-CoV and the development of therapeutics. In this Review, we detail our present understanding of the transmission and pathogenesis of SARS-CoV and MERS-CoV, and discuss the current state of development of measures to combat emerging coronaviruses.","container-title":"Nature Reviews. Microbiology","DOI":"10.1038/nrmicro.2016.81","ISSN":"1740-1534","issue":"8","journalAbbreviation":"Nat Rev Microbiol","language":"eng","note":"PMID: 27344959\nPMCID: PMC7097822","page":"523-534","source":"PubMed","title":"SARS and MERS: recent insights into emerging coronaviruses","title-short":"SARS and MERS","volume":"14","author":[{"family":"Wit","given":"Emmie","non-dropping-particle":"de"},{"family":"Doremalen","given":"Neeltje","non-dropping-particle":"van"},{"family":"Falzarano","given":"Darryl"},{"family":"Munster","given":"Vincent J."}],"issued":{"date-parts":[["2016"]]}}},{"id":591,"uris":["http://zotero.org/users/local/ZR048J0w/items/6VTYFUSN"],"uri":["http://zotero.org/users/local/ZR048J0w/items/6VTYFUSN"],"itemData":{"id":591,"type":"webpage","abstract":"Between 19 and 23 April 2016, the National IHR Focal Point for the Kingdom of Saudi Arabia notified WHO of 3 additional cases of Middle East Respiratory Syndrome (MERS-CoV).","container-title":"WHO","note":"publisher: World Health Organization","title":"WHO | Middle East respiratory syndrome coronavirus (MERS-CoV) – Saudi Arabia","URL":"http://www.who.int/csr/don/26-april-2016-mers-saudi-arabia/en/","accessed":{"date-parts":[["2020",12,15]]}}}],"schema":"https://github.com/citation-style-language/schema/raw/master/csl-citation.json"} </w:instrText>
      </w:r>
      <w:r w:rsidR="007A46A1" w:rsidRPr="009F44A4">
        <w:rPr>
          <w:rFonts w:eastAsia="Calibri"/>
          <w:color w:val="000000" w:themeColor="text1"/>
          <w:sz w:val="20"/>
          <w:szCs w:val="20"/>
        </w:rPr>
        <w:fldChar w:fldCharType="separate"/>
      </w:r>
      <w:r w:rsidR="00236558" w:rsidRPr="00236558">
        <w:rPr>
          <w:sz w:val="20"/>
          <w:vertAlign w:val="superscript"/>
        </w:rPr>
        <w:t>30,36</w:t>
      </w:r>
      <w:r w:rsidR="007A46A1" w:rsidRPr="009F44A4">
        <w:rPr>
          <w:rFonts w:eastAsia="Calibri"/>
          <w:color w:val="000000" w:themeColor="text1"/>
          <w:sz w:val="20"/>
          <w:szCs w:val="20"/>
        </w:rPr>
        <w:fldChar w:fldCharType="end"/>
      </w:r>
      <w:r w:rsidR="00CC7C65" w:rsidRPr="009F44A4">
        <w:rPr>
          <w:rFonts w:eastAsia="Calibri"/>
          <w:color w:val="000000" w:themeColor="text1"/>
          <w:sz w:val="20"/>
          <w:szCs w:val="20"/>
        </w:rPr>
        <w:t>.</w:t>
      </w:r>
      <w:r w:rsidR="00633747" w:rsidRPr="009F44A4">
        <w:rPr>
          <w:rFonts w:eastAsia="Calibri"/>
          <w:color w:val="000000" w:themeColor="text1"/>
          <w:sz w:val="20"/>
          <w:szCs w:val="20"/>
        </w:rPr>
        <w:t xml:space="preserve"> </w:t>
      </w:r>
      <w:r w:rsidRPr="009F44A4">
        <w:rPr>
          <w:color w:val="000000" w:themeColor="text1"/>
          <w:sz w:val="20"/>
          <w:szCs w:val="20"/>
          <w:shd w:val="clear" w:color="auto" w:fill="FFFFFF"/>
        </w:rPr>
        <w:t>The major symptoms of MERS included fever, cough, and breathlessness.</w:t>
      </w:r>
    </w:p>
    <w:p w14:paraId="60DE8C39" w14:textId="5BAE868E" w:rsidR="00746084" w:rsidRPr="009F44A4" w:rsidRDefault="00C2381A" w:rsidP="00DC7281">
      <w:pPr>
        <w:shd w:val="clear" w:color="auto" w:fill="FFFFFF" w:themeFill="background1"/>
        <w:spacing w:before="240" w:after="240"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shows a great extent of similarities to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 in terms of their mode of transmission and symptoms and therefore it is known to have emerged as a new modified pathogen that has caused COVID-19 disease. WHO reported the outbreak of unknown cause on January 05, 2020 and the organization called for an </w:t>
      </w:r>
      <w:r w:rsidRPr="009F44A4">
        <w:rPr>
          <w:rFonts w:ascii="Times New Roman" w:hAnsi="Times New Roman" w:cs="Times New Roman"/>
          <w:color w:val="000000" w:themeColor="text1"/>
          <w:sz w:val="20"/>
          <w:szCs w:val="20"/>
        </w:rPr>
        <w:t>emergency health situation around the end of January 2020</w:t>
      </w:r>
      <w:r w:rsidR="00633747" w:rsidRPr="009F44A4">
        <w:rPr>
          <w:rFonts w:ascii="Times New Roman" w:eastAsia="Calibri" w:hAnsi="Times New Roman" w:cs="Times New Roman"/>
          <w:color w:val="000000" w:themeColor="text1"/>
          <w:sz w:val="20"/>
          <w:szCs w:val="20"/>
        </w:rPr>
        <w:t xml:space="preserve"> </w:t>
      </w:r>
      <w:r w:rsidR="0063374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{"citationID":"ETUVqnYM","properties":{"formattedCitation":"\\super 37\\nosupersub{}","plainCitation":"37","noteIndex":0},"citationItems":[{"id":595,"uris":["http://zotero.org/users/local/ZR048J0w/items/PNYYPMR5"],"uri":["http://zotero.org/users/local/ZR048J0w/items/PNYYPMR5"],"itemData":{"id":595,"type":"webpage","container-title":"WHO","note":"publisher: World Health Organization","title":"WHO | Pneumonia of unknown cause – China","URL":"http://www.who.int/csr/don/05-january-2020-pneumonia-of-unkown-cause-china/en/","accessed":{"date-parts":[["2020",12,15]]}}}],"schema":"https://github.com/citation-style-language/schema/raw/master/csl-citation.json"} </w:instrText>
      </w:r>
      <w:r w:rsidR="0063374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37</w:t>
      </w:r>
      <w:r w:rsidR="00633747" w:rsidRPr="009F44A4">
        <w:rPr>
          <w:rFonts w:ascii="Times New Roman" w:eastAsia="Calibri" w:hAnsi="Times New Roman" w:cs="Times New Roman"/>
          <w:color w:val="000000" w:themeColor="text1"/>
          <w:sz w:val="20"/>
          <w:szCs w:val="20"/>
        </w:rPr>
        <w:fldChar w:fldCharType="end"/>
      </w:r>
      <w:r w:rsidR="00633747"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On February 11, 2020 the organization announced COVID-19 as a pandemic</w:t>
      </w:r>
      <w:r w:rsidR="00633747" w:rsidRPr="009F44A4">
        <w:rPr>
          <w:rFonts w:ascii="Times New Roman" w:eastAsia="Calibri" w:hAnsi="Times New Roman" w:cs="Times New Roman"/>
          <w:color w:val="000000" w:themeColor="text1"/>
          <w:sz w:val="20"/>
          <w:szCs w:val="20"/>
        </w:rPr>
        <w:t xml:space="preserve"> </w:t>
      </w:r>
      <w:r w:rsidR="0063374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{"citationID":"wkbN0zFq","properties":{"formattedCitation":"\\super 1\\nosupersub{}","plainCitation":"1","noteIndex":0},"citationItems":[{"id":522,"uris":["http://zotero.org/users/local/ZR048J0w/items/ZMBK34ZW"],"uri":["http://zotero.org/users/local/ZR048J0w/items/ZMBK34ZW"],"itemData":{"id":522,"type":"webpage","abstract":"The daily Situation Report provides the current COVID-19 epidemiological situation and presents official case and death counts and transmission classifications worldwide. This includes a map, epidemic curve, and table allowing users to explore the latest numbers and trends at global, regional and country levels. The report also highlights important recent events and actions taken by WHO and partners.","language":"en","title":"Coronavirus Disease (COVID-19) Situation Reports","URL":"https://www.who.int/emergencies/diseases/novel-coronavirus-2019/situation-reports","accessed":{"date-parts":[["2020",12,8]]}}}],"schema":"https://github.com/citation-style-language/schema/raw/master/csl-citation.json"} </w:instrText>
      </w:r>
      <w:r w:rsidR="0063374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w:t>
      </w:r>
      <w:r w:rsidR="00633747"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Like SARS and MERS, COVID-19 shows symptoms such as coughing, sneezing droplets and breathing problems (Table 1). Also, the incubation time of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-2 is found to be 5-6 days after transmission </w:t>
      </w:r>
      <w:r w:rsidR="0063374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{"citationID":"2DQfdG2I","properties":{"formattedCitation":"\\super 1\\nosupersub{}","plainCitation":"1","noteIndex":0},"citationItems":[{"id":522,"uris":["http://zotero.org/users/local/ZR048J0w/items/ZMBK34ZW"],"uri":["http://zotero.org/users/local/ZR048J0w/items/ZMBK34ZW"],"itemData":{"id":522,"type":"webpage","abstract":"The daily Situation Report provides the current COVID-19 epidemiological situation and presents official case and death counts and transmission classifications worldwide. This includes a map, epidemic curve, and table allowing users to explore the latest numbers and trends at global, regional and country levels. The report also highlights important recent events and actions taken by WHO and partners.","language":"en","title":"Coronavirus Disease (COVID-19) Situation Reports","URL":"https://www.who.int/emergencies/diseases/novel-coronavirus-2019/situation-reports","accessed":{"date-parts":[["2020",12,8]]}}}],"schema":"https://github.com/citation-style-language/schema/raw/master/csl-citation.json"} </w:instrText>
      </w:r>
      <w:r w:rsidR="0063374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w:t>
      </w:r>
      <w:r w:rsidR="00633747" w:rsidRPr="009F44A4">
        <w:rPr>
          <w:rFonts w:ascii="Times New Roman" w:eastAsia="Calibri" w:hAnsi="Times New Roman" w:cs="Times New Roman"/>
          <w:color w:val="000000" w:themeColor="text1"/>
          <w:sz w:val="20"/>
          <w:szCs w:val="20"/>
        </w:rPr>
        <w:fldChar w:fldCharType="end"/>
      </w:r>
      <w:r w:rsidR="00633747"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Although these three viruses show a great range of similarities, they exhibit unique features in terms of severity of its infection. Notably, SARS and MERS so far showed higher mortality rates in comparison to COVID-19 </w:t>
      </w:r>
      <w:r w:rsidR="0063374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{"citationID":"7NAsbsDW","properties":{"formattedCitation":"\\super 37\\nosupersub{}","plainCitation":"37","noteIndex":0},"citationItems":[{"id":595,"uris":["http://zotero.org/users/local/ZR048J0w/items/PNYYPMR5"],"uri":["http://zotero.org/users/local/ZR048J0w/items/PNYYPMR5"],"itemData":{"id":595,"type":"webpage","container-title":"WHO","note":"publisher: World Health Organization","title":"WHO | Pneumonia of unknown cause – China","URL":"http://www.who.int/csr/don/05-january-2020-pneumonia-of-unkown-cause-china/en/","accessed":{"date-parts":[["2020",12,15]]}}}],"schema":"https://github.com/citation-style-language/schema/raw/master/csl-citation.json"} </w:instrText>
      </w:r>
      <w:r w:rsidR="0063374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37</w:t>
      </w:r>
      <w:r w:rsidR="00633747" w:rsidRPr="009F44A4">
        <w:rPr>
          <w:rFonts w:ascii="Times New Roman" w:eastAsia="Calibri" w:hAnsi="Times New Roman" w:cs="Times New Roman"/>
          <w:color w:val="000000" w:themeColor="text1"/>
          <w:sz w:val="20"/>
          <w:szCs w:val="20"/>
        </w:rPr>
        <w:fldChar w:fldCharType="end"/>
      </w:r>
      <w:r w:rsidR="00633747"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is, however, observed to be more infectious than MERS-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 and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 because</w:t>
      </w:r>
      <w:r w:rsidRPr="009F44A4">
        <w:rPr>
          <w:rFonts w:ascii="Times New Roman" w:hAnsi="Times New Roman" w:cs="Times New Roman"/>
          <w:color w:val="000000" w:themeColor="text1"/>
          <w:sz w:val="20"/>
          <w:szCs w:val="20"/>
        </w:rPr>
        <w:t xml:space="preserve"> SARS-</w:t>
      </w:r>
      <w:proofErr w:type="spellStart"/>
      <w:r w:rsidRPr="009F44A4">
        <w:rPr>
          <w:rFonts w:ascii="Times New Roman" w:hAnsi="Times New Roman" w:cs="Times New Roman"/>
          <w:color w:val="000000" w:themeColor="text1"/>
          <w:sz w:val="20"/>
          <w:szCs w:val="20"/>
        </w:rPr>
        <w:t>CoV</w:t>
      </w:r>
      <w:proofErr w:type="spellEnd"/>
      <w:r w:rsidRPr="009F44A4">
        <w:rPr>
          <w:rFonts w:ascii="Times New Roman" w:hAnsi="Times New Roman" w:cs="Times New Roman"/>
          <w:color w:val="000000" w:themeColor="text1"/>
          <w:sz w:val="20"/>
          <w:szCs w:val="20"/>
        </w:rPr>
        <w:t xml:space="preserve">-2 infected </w:t>
      </w:r>
      <w:r w:rsidRPr="009F44A4">
        <w:rPr>
          <w:rFonts w:ascii="Times New Roman" w:hAnsi="Times New Roman" w:cs="Times New Roman"/>
          <w:color w:val="000000" w:themeColor="text1"/>
          <w:sz w:val="20"/>
          <w:szCs w:val="20"/>
          <w:shd w:val="clear" w:color="auto" w:fill="FFFFFF"/>
        </w:rPr>
        <w:t>asymptomatic</w:t>
      </w:r>
      <w:r w:rsidRPr="009F44A4">
        <w:rPr>
          <w:rFonts w:ascii="Times New Roman" w:hAnsi="Times New Roman" w:cs="Times New Roman"/>
          <w:color w:val="000000" w:themeColor="text1"/>
          <w:sz w:val="20"/>
          <w:szCs w:val="20"/>
        </w:rPr>
        <w:t xml:space="preserve"> individuals can transfer the virus</w:t>
      </w:r>
      <w:r w:rsidRPr="009F44A4">
        <w:rPr>
          <w:rFonts w:ascii="Times New Roman" w:hAnsi="Times New Roman" w:cs="Times New Roman"/>
          <w:color w:val="000000" w:themeColor="text1"/>
          <w:sz w:val="20"/>
          <w:szCs w:val="20"/>
          <w:shd w:val="clear" w:color="auto" w:fill="FFFFFF"/>
        </w:rPr>
        <w:t xml:space="preserve"> potentially similar to symptomatic individuals. </w:t>
      </w:r>
      <w:r w:rsidRPr="009F44A4">
        <w:rPr>
          <w:rFonts w:ascii="Times New Roman" w:hAnsi="Times New Roman" w:cs="Times New Roman"/>
          <w:color w:val="000000" w:themeColor="text1"/>
          <w:sz w:val="20"/>
          <w:szCs w:val="20"/>
        </w:rPr>
        <w:t>Initial analyses indicate that 79% genome of SARS-</w:t>
      </w:r>
      <w:proofErr w:type="spellStart"/>
      <w:r w:rsidRPr="009F44A4">
        <w:rPr>
          <w:rFonts w:ascii="Times New Roman" w:hAnsi="Times New Roman" w:cs="Times New Roman"/>
          <w:color w:val="000000" w:themeColor="text1"/>
          <w:sz w:val="20"/>
          <w:szCs w:val="20"/>
        </w:rPr>
        <w:t>CoV</w:t>
      </w:r>
      <w:proofErr w:type="spellEnd"/>
      <w:r w:rsidRPr="009F44A4">
        <w:rPr>
          <w:rFonts w:ascii="Times New Roman" w:hAnsi="Times New Roman" w:cs="Times New Roman"/>
          <w:color w:val="000000" w:themeColor="text1"/>
          <w:sz w:val="20"/>
          <w:szCs w:val="20"/>
        </w:rPr>
        <w:t>-2 is similar to that of SARS-</w:t>
      </w:r>
      <w:proofErr w:type="spellStart"/>
      <w:r w:rsidRPr="009F44A4">
        <w:rPr>
          <w:rFonts w:ascii="Times New Roman" w:hAnsi="Times New Roman" w:cs="Times New Roman"/>
          <w:color w:val="000000" w:themeColor="text1"/>
          <w:sz w:val="20"/>
          <w:szCs w:val="20"/>
        </w:rPr>
        <w:t>CoV</w:t>
      </w:r>
      <w:proofErr w:type="spellEnd"/>
      <w:r w:rsidRPr="009F44A4">
        <w:rPr>
          <w:rFonts w:ascii="Times New Roman" w:hAnsi="Times New Roman" w:cs="Times New Roman"/>
          <w:color w:val="000000" w:themeColor="text1"/>
          <w:sz w:val="20"/>
          <w:szCs w:val="20"/>
        </w:rPr>
        <w:t xml:space="preserve"> but not identical at the nucleotide level. </w:t>
      </w:r>
      <w:r w:rsidRPr="009F44A4">
        <w:rPr>
          <w:rFonts w:ascii="Times New Roman" w:hAnsi="Times New Roman" w:cs="Times New Roman"/>
          <w:color w:val="000000" w:themeColor="text1"/>
          <w:sz w:val="20"/>
          <w:szCs w:val="20"/>
          <w:shd w:val="clear" w:color="auto" w:fill="FFFFFF"/>
        </w:rPr>
        <w:t>However, such changes are significantly noticed at the level of gene expression, as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-2 is found to possess only 72% similarity in its spike protein </w:t>
      </w:r>
      <w:r w:rsidRPr="009F44A4">
        <w:rPr>
          <w:rFonts w:ascii="Times New Roman" w:hAnsi="Times New Roman" w:cs="Times New Roman"/>
          <w:color w:val="000000" w:themeColor="text1"/>
          <w:sz w:val="20"/>
          <w:szCs w:val="20"/>
        </w:rPr>
        <w:t>which is a crucial surface glycoprotein that interacts with receptors on host cells</w:t>
      </w:r>
      <w:r w:rsidR="00C34227" w:rsidRPr="009F44A4">
        <w:rPr>
          <w:rFonts w:ascii="Times New Roman" w:eastAsia="Calibri" w:hAnsi="Times New Roman" w:cs="Times New Roman"/>
          <w:color w:val="000000" w:themeColor="text1"/>
          <w:sz w:val="20"/>
          <w:szCs w:val="20"/>
        </w:rPr>
        <w:t xml:space="preserve"> </w:t>
      </w:r>
      <w:r w:rsidR="00C3422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{"citationID":"oBtcuEKn","properties":{"formattedCitation":"\\super 38\\nosupersub{}","plainCitation":"38","noteIndex":0},"citationItems":[{"id":597,"uris":["http://zotero.org/users/local/ZR048J0w/items/YB9Z33RQ"],"uri":["http://zotero.org/users/local/ZR048J0w/items/YB9Z33RQ"],"itemData":{"id":597,"type":"article-journal","abstract":"The ongoing pandemic of a new human coronavirus, SARS-CoV-2, has generated enormous global concern. We and others in China were involved in the initial genome sequencing of the virus. Herein, we describe what genomic data reveal about the emergence SARS-CoV-2 and discuss the gaps in our understanding of its origins.","container-title":"Cell","DOI":"10.1016/j.cell.2020.03.035","ISSN":"1097-4172","issue":"2","journalAbbreviation":"Cell","language":"eng","note":"PMID: 32220310\nPMCID: PMC7194821","page":"223-227","source":"PubMed","title":"A Genomic Perspective on the Origin and Emergence of SARS-CoV-2","volume":"181","author":[{"family":"Zhang","given":"Yong-Zhen"},{"family":"Holmes","given":"Edward C."}],"issued":{"date-parts":[["2020",4,16]]}}}],"schema":"https://github.com/citation-style-language/schema/raw/master/csl-citation.json"} </w:instrText>
      </w:r>
      <w:r w:rsidR="00C3422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38</w:t>
      </w:r>
      <w:r w:rsidR="00C34227" w:rsidRPr="009F44A4">
        <w:rPr>
          <w:rFonts w:ascii="Times New Roman" w:eastAsia="Calibri" w:hAnsi="Times New Roman" w:cs="Times New Roman"/>
          <w:color w:val="000000" w:themeColor="text1"/>
          <w:sz w:val="20"/>
          <w:szCs w:val="20"/>
        </w:rPr>
        <w:fldChar w:fldCharType="end"/>
      </w:r>
      <w:r w:rsidR="00C34227" w:rsidRPr="009F44A4">
        <w:rPr>
          <w:rFonts w:ascii="Times New Roman" w:eastAsia="Calibri" w:hAnsi="Times New Roman" w:cs="Times New Roman"/>
          <w:color w:val="000000" w:themeColor="text1"/>
          <w:sz w:val="20"/>
          <w:szCs w:val="20"/>
        </w:rPr>
        <w:t>.</w:t>
      </w:r>
    </w:p>
    <w:tbl>
      <w:tblPr>
        <w:tblStyle w:val="TableGrid"/>
        <w:tblW w:w="5000" w:type="pct"/>
        <w:tblLook w:val="04A0" w:firstRow="1" w:lastRow="0" w:firstColumn="1" w:lastColumn="0" w:noHBand="0" w:noVBand="1"/>
      </w:tblPr>
      <w:tblGrid>
        <w:gridCol w:w="2464"/>
        <w:gridCol w:w="1657"/>
        <w:gridCol w:w="1915"/>
        <w:gridCol w:w="1657"/>
        <w:gridCol w:w="1657"/>
      </w:tblGrid>
      <w:tr w:rsidR="009F44A4" w:rsidRPr="009F44A4" w14:paraId="73259171" w14:textId="77777777" w:rsidTr="003A7B4A">
        <w:trPr>
          <w:trHeight w:val="375"/>
        </w:trPr>
        <w:tc>
          <w:tcPr>
            <w:tcW w:w="1318" w:type="pct"/>
            <w:hideMark/>
          </w:tcPr>
          <w:p w14:paraId="54B646EA"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Symptoms</w:t>
            </w:r>
          </w:p>
        </w:tc>
        <w:tc>
          <w:tcPr>
            <w:tcW w:w="886" w:type="pct"/>
            <w:hideMark/>
          </w:tcPr>
          <w:p w14:paraId="6FCB6189"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proofErr w:type="spellStart"/>
            <w:r w:rsidRPr="003A7B4A">
              <w:rPr>
                <w:rFonts w:ascii="Times New Roman" w:hAnsi="Times New Roman"/>
                <w:b/>
                <w:color w:val="000000" w:themeColor="text1"/>
                <w:sz w:val="20"/>
                <w:szCs w:val="20"/>
              </w:rPr>
              <w:t>Covid</w:t>
            </w:r>
            <w:proofErr w:type="spellEnd"/>
            <w:r w:rsidRPr="003A7B4A">
              <w:rPr>
                <w:rFonts w:ascii="Times New Roman" w:hAnsi="Times New Roman"/>
                <w:b/>
                <w:color w:val="000000" w:themeColor="text1"/>
                <w:sz w:val="20"/>
                <w:szCs w:val="20"/>
              </w:rPr>
              <w:t>-19</w:t>
            </w:r>
          </w:p>
        </w:tc>
        <w:tc>
          <w:tcPr>
            <w:tcW w:w="1024" w:type="pct"/>
            <w:hideMark/>
          </w:tcPr>
          <w:p w14:paraId="6869BF80"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Common Cold</w:t>
            </w:r>
          </w:p>
        </w:tc>
        <w:tc>
          <w:tcPr>
            <w:tcW w:w="886" w:type="pct"/>
            <w:hideMark/>
          </w:tcPr>
          <w:p w14:paraId="3BE47FB8"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Flu</w:t>
            </w:r>
          </w:p>
        </w:tc>
        <w:tc>
          <w:tcPr>
            <w:tcW w:w="886" w:type="pct"/>
            <w:hideMark/>
          </w:tcPr>
          <w:p w14:paraId="4804971A"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Allergies</w:t>
            </w:r>
          </w:p>
        </w:tc>
      </w:tr>
      <w:tr w:rsidR="009F44A4" w:rsidRPr="009F44A4" w14:paraId="4EA7D3A8" w14:textId="77777777" w:rsidTr="003A7B4A">
        <w:trPr>
          <w:trHeight w:val="345"/>
        </w:trPr>
        <w:tc>
          <w:tcPr>
            <w:tcW w:w="1318" w:type="pct"/>
            <w:hideMark/>
          </w:tcPr>
          <w:p w14:paraId="03498375"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Fever</w:t>
            </w:r>
          </w:p>
        </w:tc>
        <w:tc>
          <w:tcPr>
            <w:tcW w:w="886" w:type="pct"/>
            <w:hideMark/>
          </w:tcPr>
          <w:p w14:paraId="3644C618"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1024" w:type="pct"/>
            <w:hideMark/>
          </w:tcPr>
          <w:p w14:paraId="07704F1B"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Rare</w:t>
            </w:r>
          </w:p>
        </w:tc>
        <w:tc>
          <w:tcPr>
            <w:tcW w:w="886" w:type="pct"/>
            <w:hideMark/>
          </w:tcPr>
          <w:p w14:paraId="7A9774C1"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886" w:type="pct"/>
            <w:hideMark/>
          </w:tcPr>
          <w:p w14:paraId="1F6707ED"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Sometimes</w:t>
            </w:r>
          </w:p>
        </w:tc>
      </w:tr>
      <w:tr w:rsidR="009F44A4" w:rsidRPr="009F44A4" w14:paraId="01269BD2" w14:textId="77777777" w:rsidTr="003A7B4A">
        <w:trPr>
          <w:trHeight w:val="345"/>
        </w:trPr>
        <w:tc>
          <w:tcPr>
            <w:tcW w:w="1318" w:type="pct"/>
            <w:hideMark/>
          </w:tcPr>
          <w:p w14:paraId="176FB597"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lastRenderedPageBreak/>
              <w:t>Dry Cough</w:t>
            </w:r>
          </w:p>
        </w:tc>
        <w:tc>
          <w:tcPr>
            <w:tcW w:w="886" w:type="pct"/>
            <w:hideMark/>
          </w:tcPr>
          <w:p w14:paraId="3396285D"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 </w:t>
            </w:r>
          </w:p>
        </w:tc>
        <w:tc>
          <w:tcPr>
            <w:tcW w:w="1024" w:type="pct"/>
            <w:hideMark/>
          </w:tcPr>
          <w:p w14:paraId="22974EB4"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Mild</w:t>
            </w:r>
          </w:p>
        </w:tc>
        <w:tc>
          <w:tcPr>
            <w:tcW w:w="886" w:type="pct"/>
            <w:hideMark/>
          </w:tcPr>
          <w:p w14:paraId="21B31DD8"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886" w:type="pct"/>
            <w:hideMark/>
          </w:tcPr>
          <w:p w14:paraId="6F8CA1C3"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Sometimes</w:t>
            </w:r>
          </w:p>
        </w:tc>
      </w:tr>
      <w:tr w:rsidR="009F44A4" w:rsidRPr="009F44A4" w14:paraId="0EDE3B31" w14:textId="77777777" w:rsidTr="003A7B4A">
        <w:trPr>
          <w:trHeight w:val="360"/>
        </w:trPr>
        <w:tc>
          <w:tcPr>
            <w:tcW w:w="1318" w:type="pct"/>
            <w:hideMark/>
          </w:tcPr>
          <w:p w14:paraId="41348302"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Shortness Of Breath</w:t>
            </w:r>
          </w:p>
        </w:tc>
        <w:tc>
          <w:tcPr>
            <w:tcW w:w="886" w:type="pct"/>
            <w:hideMark/>
          </w:tcPr>
          <w:p w14:paraId="1692B4A7"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1024" w:type="pct"/>
            <w:hideMark/>
          </w:tcPr>
          <w:p w14:paraId="15293034"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No</w:t>
            </w:r>
          </w:p>
        </w:tc>
        <w:tc>
          <w:tcPr>
            <w:tcW w:w="886" w:type="pct"/>
            <w:hideMark/>
          </w:tcPr>
          <w:p w14:paraId="682B03F2"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No</w:t>
            </w:r>
          </w:p>
        </w:tc>
        <w:tc>
          <w:tcPr>
            <w:tcW w:w="886" w:type="pct"/>
            <w:hideMark/>
          </w:tcPr>
          <w:p w14:paraId="55433893"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r>
      <w:tr w:rsidR="009F44A4" w:rsidRPr="009F44A4" w14:paraId="56A6D398" w14:textId="77777777" w:rsidTr="003A7B4A">
        <w:trPr>
          <w:trHeight w:val="330"/>
        </w:trPr>
        <w:tc>
          <w:tcPr>
            <w:tcW w:w="1318" w:type="pct"/>
            <w:hideMark/>
          </w:tcPr>
          <w:p w14:paraId="7E918DD4"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Headache</w:t>
            </w:r>
          </w:p>
        </w:tc>
        <w:tc>
          <w:tcPr>
            <w:tcW w:w="886" w:type="pct"/>
            <w:hideMark/>
          </w:tcPr>
          <w:p w14:paraId="30FB05B6"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Sometimes</w:t>
            </w:r>
          </w:p>
        </w:tc>
        <w:tc>
          <w:tcPr>
            <w:tcW w:w="1024" w:type="pct"/>
            <w:hideMark/>
          </w:tcPr>
          <w:p w14:paraId="2916EF29"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Rare</w:t>
            </w:r>
          </w:p>
        </w:tc>
        <w:tc>
          <w:tcPr>
            <w:tcW w:w="886" w:type="pct"/>
            <w:hideMark/>
          </w:tcPr>
          <w:p w14:paraId="6FE1BBC7"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886" w:type="pct"/>
            <w:hideMark/>
          </w:tcPr>
          <w:p w14:paraId="41EDB0DD"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Sometimes</w:t>
            </w:r>
          </w:p>
        </w:tc>
      </w:tr>
      <w:tr w:rsidR="009F44A4" w:rsidRPr="009F44A4" w14:paraId="1B24090E" w14:textId="77777777" w:rsidTr="003A7B4A">
        <w:trPr>
          <w:trHeight w:val="360"/>
        </w:trPr>
        <w:tc>
          <w:tcPr>
            <w:tcW w:w="1318" w:type="pct"/>
            <w:hideMark/>
          </w:tcPr>
          <w:p w14:paraId="591048BB"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Aches And Pains</w:t>
            </w:r>
          </w:p>
        </w:tc>
        <w:tc>
          <w:tcPr>
            <w:tcW w:w="886" w:type="pct"/>
            <w:hideMark/>
          </w:tcPr>
          <w:p w14:paraId="60C317F5"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Sometimes</w:t>
            </w:r>
          </w:p>
        </w:tc>
        <w:tc>
          <w:tcPr>
            <w:tcW w:w="1024" w:type="pct"/>
            <w:hideMark/>
          </w:tcPr>
          <w:p w14:paraId="377AECAB"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886" w:type="pct"/>
            <w:hideMark/>
          </w:tcPr>
          <w:p w14:paraId="01D62DB9"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886" w:type="pct"/>
            <w:hideMark/>
          </w:tcPr>
          <w:p w14:paraId="10A4BE45"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No</w:t>
            </w:r>
          </w:p>
        </w:tc>
      </w:tr>
      <w:tr w:rsidR="009F44A4" w:rsidRPr="009F44A4" w14:paraId="3A87C2A7" w14:textId="77777777" w:rsidTr="003A7B4A">
        <w:trPr>
          <w:trHeight w:val="330"/>
        </w:trPr>
        <w:tc>
          <w:tcPr>
            <w:tcW w:w="1318" w:type="pct"/>
            <w:hideMark/>
          </w:tcPr>
          <w:p w14:paraId="507C1A1A"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Sore Throat</w:t>
            </w:r>
          </w:p>
        </w:tc>
        <w:tc>
          <w:tcPr>
            <w:tcW w:w="886" w:type="pct"/>
            <w:hideMark/>
          </w:tcPr>
          <w:p w14:paraId="4402443E"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Sometimes</w:t>
            </w:r>
          </w:p>
        </w:tc>
        <w:tc>
          <w:tcPr>
            <w:tcW w:w="1024" w:type="pct"/>
            <w:hideMark/>
          </w:tcPr>
          <w:p w14:paraId="2600CE79"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886" w:type="pct"/>
            <w:hideMark/>
          </w:tcPr>
          <w:p w14:paraId="07FDCA88"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886" w:type="pct"/>
            <w:hideMark/>
          </w:tcPr>
          <w:p w14:paraId="2E4F7D54"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No</w:t>
            </w:r>
          </w:p>
        </w:tc>
      </w:tr>
      <w:tr w:rsidR="009F44A4" w:rsidRPr="009F44A4" w14:paraId="09DB3BA2" w14:textId="77777777" w:rsidTr="003A7B4A">
        <w:trPr>
          <w:trHeight w:val="360"/>
        </w:trPr>
        <w:tc>
          <w:tcPr>
            <w:tcW w:w="1318" w:type="pct"/>
            <w:hideMark/>
          </w:tcPr>
          <w:p w14:paraId="054350EC"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Fatigue</w:t>
            </w:r>
          </w:p>
        </w:tc>
        <w:tc>
          <w:tcPr>
            <w:tcW w:w="886" w:type="pct"/>
            <w:hideMark/>
          </w:tcPr>
          <w:p w14:paraId="02840F75"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Sometimes</w:t>
            </w:r>
          </w:p>
        </w:tc>
        <w:tc>
          <w:tcPr>
            <w:tcW w:w="1024" w:type="pct"/>
            <w:hideMark/>
          </w:tcPr>
          <w:p w14:paraId="1F51A4F1"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Sometimes</w:t>
            </w:r>
          </w:p>
        </w:tc>
        <w:tc>
          <w:tcPr>
            <w:tcW w:w="886" w:type="pct"/>
            <w:hideMark/>
          </w:tcPr>
          <w:p w14:paraId="1A317631"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886" w:type="pct"/>
            <w:hideMark/>
          </w:tcPr>
          <w:p w14:paraId="768FE899"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Sometimes</w:t>
            </w:r>
          </w:p>
        </w:tc>
      </w:tr>
      <w:tr w:rsidR="009F44A4" w:rsidRPr="009F44A4" w14:paraId="241A2792" w14:textId="77777777" w:rsidTr="003A7B4A">
        <w:trPr>
          <w:trHeight w:val="375"/>
        </w:trPr>
        <w:tc>
          <w:tcPr>
            <w:tcW w:w="1318" w:type="pct"/>
            <w:hideMark/>
          </w:tcPr>
          <w:p w14:paraId="3A8B67AE"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proofErr w:type="spellStart"/>
            <w:r w:rsidRPr="003A7B4A">
              <w:rPr>
                <w:rFonts w:ascii="Times New Roman" w:hAnsi="Times New Roman"/>
                <w:b/>
                <w:color w:val="000000" w:themeColor="text1"/>
                <w:sz w:val="20"/>
                <w:szCs w:val="20"/>
              </w:rPr>
              <w:t>Diarrhoea</w:t>
            </w:r>
            <w:proofErr w:type="spellEnd"/>
          </w:p>
        </w:tc>
        <w:tc>
          <w:tcPr>
            <w:tcW w:w="886" w:type="pct"/>
            <w:hideMark/>
          </w:tcPr>
          <w:p w14:paraId="11155009"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Rare</w:t>
            </w:r>
          </w:p>
        </w:tc>
        <w:tc>
          <w:tcPr>
            <w:tcW w:w="1024" w:type="pct"/>
            <w:hideMark/>
          </w:tcPr>
          <w:p w14:paraId="79AC2A3B"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No</w:t>
            </w:r>
          </w:p>
        </w:tc>
        <w:tc>
          <w:tcPr>
            <w:tcW w:w="886" w:type="pct"/>
            <w:hideMark/>
          </w:tcPr>
          <w:p w14:paraId="5CDD05C7"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Sometimes</w:t>
            </w:r>
          </w:p>
        </w:tc>
        <w:tc>
          <w:tcPr>
            <w:tcW w:w="886" w:type="pct"/>
            <w:hideMark/>
          </w:tcPr>
          <w:p w14:paraId="2633964F"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No</w:t>
            </w:r>
          </w:p>
        </w:tc>
      </w:tr>
      <w:tr w:rsidR="009F44A4" w:rsidRPr="009F44A4" w14:paraId="6759E55B" w14:textId="77777777" w:rsidTr="003A7B4A">
        <w:trPr>
          <w:trHeight w:val="360"/>
        </w:trPr>
        <w:tc>
          <w:tcPr>
            <w:tcW w:w="1318" w:type="pct"/>
            <w:hideMark/>
          </w:tcPr>
          <w:p w14:paraId="1A6CE1D6"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Runny Nose</w:t>
            </w:r>
          </w:p>
        </w:tc>
        <w:tc>
          <w:tcPr>
            <w:tcW w:w="886" w:type="pct"/>
            <w:hideMark/>
          </w:tcPr>
          <w:p w14:paraId="5E208164"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Rare</w:t>
            </w:r>
          </w:p>
        </w:tc>
        <w:tc>
          <w:tcPr>
            <w:tcW w:w="1024" w:type="pct"/>
            <w:hideMark/>
          </w:tcPr>
          <w:p w14:paraId="2010D171"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886" w:type="pct"/>
            <w:hideMark/>
          </w:tcPr>
          <w:p w14:paraId="403F960C"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Sometimes</w:t>
            </w:r>
          </w:p>
        </w:tc>
        <w:tc>
          <w:tcPr>
            <w:tcW w:w="886" w:type="pct"/>
            <w:hideMark/>
          </w:tcPr>
          <w:p w14:paraId="626C1476"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r>
      <w:tr w:rsidR="009F44A4" w:rsidRPr="009F44A4" w14:paraId="043D68E3" w14:textId="77777777" w:rsidTr="003A7B4A">
        <w:trPr>
          <w:trHeight w:val="345"/>
        </w:trPr>
        <w:tc>
          <w:tcPr>
            <w:tcW w:w="1318" w:type="pct"/>
            <w:hideMark/>
          </w:tcPr>
          <w:p w14:paraId="7EC0C2E0" w14:textId="77777777" w:rsidR="00746084" w:rsidRPr="003A7B4A" w:rsidRDefault="00746084" w:rsidP="00DC7281">
            <w:pPr>
              <w:shd w:val="clear" w:color="auto" w:fill="FFFFFF" w:themeFill="background1"/>
              <w:spacing w:after="160" w:line="360" w:lineRule="auto"/>
              <w:rPr>
                <w:rFonts w:ascii="Times New Roman" w:hAnsi="Times New Roman"/>
                <w:b/>
                <w:color w:val="000000" w:themeColor="text1"/>
                <w:sz w:val="20"/>
                <w:szCs w:val="20"/>
              </w:rPr>
            </w:pPr>
            <w:r w:rsidRPr="003A7B4A">
              <w:rPr>
                <w:rFonts w:ascii="Times New Roman" w:hAnsi="Times New Roman"/>
                <w:b/>
                <w:color w:val="000000" w:themeColor="text1"/>
                <w:sz w:val="20"/>
                <w:szCs w:val="20"/>
              </w:rPr>
              <w:t>Sneezing</w:t>
            </w:r>
          </w:p>
        </w:tc>
        <w:tc>
          <w:tcPr>
            <w:tcW w:w="886" w:type="pct"/>
            <w:hideMark/>
          </w:tcPr>
          <w:p w14:paraId="4400FE04"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No</w:t>
            </w:r>
          </w:p>
        </w:tc>
        <w:tc>
          <w:tcPr>
            <w:tcW w:w="1024" w:type="pct"/>
            <w:hideMark/>
          </w:tcPr>
          <w:p w14:paraId="751DB5FE"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c>
          <w:tcPr>
            <w:tcW w:w="886" w:type="pct"/>
            <w:hideMark/>
          </w:tcPr>
          <w:p w14:paraId="0FDBC99D"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No</w:t>
            </w:r>
          </w:p>
        </w:tc>
        <w:tc>
          <w:tcPr>
            <w:tcW w:w="886" w:type="pct"/>
            <w:hideMark/>
          </w:tcPr>
          <w:p w14:paraId="7DD234B8" w14:textId="77777777" w:rsidR="00746084" w:rsidRPr="009F44A4" w:rsidRDefault="00746084"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bCs/>
                <w:color w:val="000000" w:themeColor="text1"/>
                <w:sz w:val="20"/>
                <w:szCs w:val="20"/>
              </w:rPr>
              <w:t>Common</w:t>
            </w:r>
          </w:p>
        </w:tc>
      </w:tr>
    </w:tbl>
    <w:p w14:paraId="2F10CA06" w14:textId="47F58953" w:rsidR="00746084" w:rsidRPr="009F44A4" w:rsidRDefault="00746084" w:rsidP="00DC7281">
      <w:pPr>
        <w:shd w:val="clear" w:color="auto" w:fill="FFFFFF" w:themeFill="background1"/>
        <w:spacing w:before="240" w:after="240"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Table 1:</w:t>
      </w:r>
      <w:r w:rsidRPr="009F44A4">
        <w:rPr>
          <w:rFonts w:ascii="Times New Roman" w:eastAsia="Calibri" w:hAnsi="Times New Roman" w:cs="Times New Roman"/>
          <w:color w:val="000000" w:themeColor="text1"/>
          <w:sz w:val="20"/>
          <w:szCs w:val="20"/>
        </w:rPr>
        <w:t xml:space="preserve"> Symptoms of COVID-19 in comparison with similar contagious diseases.</w:t>
      </w:r>
    </w:p>
    <w:p w14:paraId="7AFAADBD" w14:textId="022BBF40" w:rsidR="00C2381A" w:rsidRPr="009F44A4" w:rsidRDefault="00C2381A"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Study of Genome sequencing of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and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 revealed that the virus is similar to a bat coronavirus (</w:t>
      </w:r>
      <w:proofErr w:type="spellStart"/>
      <w:r w:rsidRPr="009F44A4">
        <w:rPr>
          <w:rFonts w:ascii="Times New Roman" w:hAnsi="Times New Roman" w:cs="Times New Roman"/>
          <w:color w:val="000000" w:themeColor="text1"/>
          <w:sz w:val="20"/>
          <w:szCs w:val="20"/>
          <w:shd w:val="clear" w:color="auto" w:fill="FFFFFF"/>
        </w:rPr>
        <w:t>BtCoV</w:t>
      </w:r>
      <w:proofErr w:type="spellEnd"/>
      <w:r w:rsidRPr="009F44A4">
        <w:rPr>
          <w:rFonts w:ascii="Times New Roman" w:hAnsi="Times New Roman" w:cs="Times New Roman"/>
          <w:color w:val="000000" w:themeColor="text1"/>
          <w:sz w:val="20"/>
          <w:szCs w:val="20"/>
          <w:shd w:val="clear" w:color="auto" w:fill="FFFFFF"/>
        </w:rPr>
        <w:t xml:space="preserve">) </w:t>
      </w:r>
      <w:proofErr w:type="spellStart"/>
      <w:r w:rsidRPr="009F44A4">
        <w:rPr>
          <w:rFonts w:ascii="Times New Roman" w:hAnsi="Times New Roman" w:cs="Times New Roman"/>
          <w:color w:val="000000" w:themeColor="text1"/>
          <w:sz w:val="20"/>
          <w:szCs w:val="20"/>
          <w:shd w:val="clear" w:color="auto" w:fill="FFFFFF"/>
        </w:rPr>
        <w:t>RaTG13</w:t>
      </w:r>
      <w:proofErr w:type="spellEnd"/>
      <w:r w:rsidRPr="009F44A4">
        <w:rPr>
          <w:rFonts w:ascii="Times New Roman" w:hAnsi="Times New Roman" w:cs="Times New Roman"/>
          <w:color w:val="000000" w:themeColor="text1"/>
          <w:sz w:val="20"/>
          <w:szCs w:val="20"/>
          <w:shd w:val="clear" w:color="auto" w:fill="FFFFFF"/>
        </w:rPr>
        <w:t xml:space="preserve"> originated from Yunnan Province in </w:t>
      </w:r>
      <w:proofErr w:type="spellStart"/>
      <w:r w:rsidRPr="009F44A4">
        <w:rPr>
          <w:rFonts w:ascii="Times New Roman" w:hAnsi="Times New Roman" w:cs="Times New Roman"/>
          <w:color w:val="000000" w:themeColor="text1"/>
          <w:sz w:val="20"/>
          <w:szCs w:val="20"/>
          <w:shd w:val="clear" w:color="auto" w:fill="FFFFFF"/>
        </w:rPr>
        <w:t>Rhinolophus</w:t>
      </w:r>
      <w:proofErr w:type="spellEnd"/>
      <w:r w:rsidRPr="009F44A4">
        <w:rPr>
          <w:rFonts w:ascii="Times New Roman" w:hAnsi="Times New Roman" w:cs="Times New Roman"/>
          <w:color w:val="000000" w:themeColor="text1"/>
          <w:sz w:val="20"/>
          <w:szCs w:val="20"/>
          <w:shd w:val="clear" w:color="auto" w:fill="FFFFFF"/>
        </w:rPr>
        <w:t xml:space="preserve"> with genome sequence similarity of 96.2% </w:t>
      </w:r>
      <w:r w:rsidR="00E34AC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{"citationID":"bFLfkS8G","properties":{"formattedCitation":"\\super 39\\nosupersub{}","plainCitation":"39","noteIndex":0},"citationItems":[{"id":600,"uris":["http://zotero.org/users/local/ZR048J0w/items/TMN9GNP5"],"uri":["http://zotero.org/users/local/ZR048J0w/items/TMN9GNP5"],"itemData":{"id":600,"type":"article-journal","abstract":"Since the outbreak of severe acute respiratory syndrome (SARS) 18 years ago, a large number of SARS-related coronaviruses (SARSr-CoVs) have been discovered in their natural reservoir host, bats1-4. Previous studies have shown that some bat SARSr-CoVs have the potential to infect humans5-7. Here we report the identification and characterization of a new coronavirus (2019-nCoV), which caused an epidemic of acute respiratory syndrome in humans in Wuhan, China. The epidemic, which started on 12 December 2019, had caused 2,794 laboratory-confirmed infections including 80 deaths by 26 January 2020. Full-length genome sequences were obtained from five patients at an early stage of the outbreak. The sequences are almost identical and share 79.6% sequence identity to SARS-CoV. Furthermore, we show that 2019-nCoV is 96% identical at the whole-genome level to a bat coronavirus. Pairwise protein sequence analysis of seven conserved non-structural proteins domains show that this virus belongs to the species of SARSr-CoV. In addition, 2019-nCoV virus isolated from the bronchoalveolar lavage fluid of a critically ill patient could be neutralized by sera from several patients. Notably, we confirmed that 2019-nCoV uses the same cell entry receptor-angiotensin converting enzyme II (ACE2)-as SARS-CoV.","container-title":"Nature","DOI":"10.1038/s41586-020-2012-7","ISSN":"1476-4687","issue":"7798","journalAbbreviation":"Nature","language":"eng","note":"PMID: 32015507\nPMCID: PMC7095418","page":"270-273","source":"PubMed","title":"A pneumonia outbreak associated with a new coronavirus of probable bat origin","volume":"579","author":[{"family":"Zhou","given":"Peng"},{"family":"Yang","given":"Xing-Lou"},{"family":"Wang","given":"Xian-Guang"},{"family":"Hu","given":"Ben"},{"family":"Zhang","given":"Lei"},{"family":"Zhang","given":"Wei"},{"family":"Si","given":"Hao-Rui"},{"family":"Zhu","given":"Yan"},{"family":"Li","given":"Bei"},{"family":"Huang","given":"Chao-Lin"},{"family":"Chen","given":"Hui-Dong"},{"family":"Chen","given":"Jing"},{"family":"Luo","given":"Yun"},{"family":"Guo","given":"Hua"},{"family":"Jiang","given":"Ren-Di"},{"family":"Liu","given":"Mei-Qin"},{"family":"Chen","given":"Ying"},{"family":"Shen","given":"Xu-Rui"},{"family":"Wang","given":"Xi"},{"family":"Zheng","given":"Xiao-Shuang"},{"family":"Zhao","given":"Kai"},{"family":"Chen","given":"Quan-Jiao"},{"family":"Deng","given":"Fei"},{"family":"Liu","given":"Lin-Lin"},{"family":"Yan","given":"Bing"},{"family":"Zhan","given":"Fa-Xian"},{"family":"Wang","given":"Yan-Yi"},{"family":"Xiao","given":"Geng-Fu"},{"family":"Shi","given":"Zheng-Li"}],"issued":{"date-parts":[["2020"]]}}}],"schema":"https://github.com/citation-style-language/schema/raw/master/csl-citation.json"} </w:instrText>
      </w:r>
      <w:r w:rsidR="00E34AC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39</w:t>
      </w:r>
      <w:r w:rsidR="00E34ACD" w:rsidRPr="009F44A4">
        <w:rPr>
          <w:rFonts w:ascii="Times New Roman" w:eastAsia="Calibri" w:hAnsi="Times New Roman" w:cs="Times New Roman"/>
          <w:color w:val="000000" w:themeColor="text1"/>
          <w:sz w:val="20"/>
          <w:szCs w:val="20"/>
        </w:rPr>
        <w:fldChar w:fldCharType="end"/>
      </w:r>
      <w:r w:rsidR="00E34ACD"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In addition, study reported that no recombination events occurred in the genome of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-2 from other </w:t>
      </w:r>
      <w:proofErr w:type="gramStart"/>
      <w:r w:rsidRPr="009F44A4">
        <w:rPr>
          <w:rFonts w:ascii="Times New Roman" w:hAnsi="Times New Roman" w:cs="Times New Roman"/>
          <w:color w:val="000000" w:themeColor="text1"/>
          <w:sz w:val="20"/>
          <w:szCs w:val="20"/>
          <w:shd w:val="clear" w:color="auto" w:fill="FFFFFF"/>
        </w:rPr>
        <w:t>bat’s</w:t>
      </w:r>
      <w:proofErr w:type="gramEnd"/>
      <w:r w:rsidRPr="009F44A4">
        <w:rPr>
          <w:rFonts w:ascii="Times New Roman" w:hAnsi="Times New Roman" w:cs="Times New Roman"/>
          <w:color w:val="000000" w:themeColor="text1"/>
          <w:sz w:val="20"/>
          <w:szCs w:val="20"/>
          <w:shd w:val="clear" w:color="auto" w:fill="FFFFFF"/>
        </w:rPr>
        <w:t xml:space="preserve"> originated viruses. Thus, literature so far published suggested that bats might be the real host of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w:t>
      </w:r>
      <w:r w:rsidR="00E34ACD" w:rsidRPr="009F44A4">
        <w:rPr>
          <w:rFonts w:ascii="Times New Roman" w:eastAsia="Calibri" w:hAnsi="Times New Roman" w:cs="Times New Roman"/>
          <w:color w:val="000000" w:themeColor="text1"/>
          <w:sz w:val="20"/>
          <w:szCs w:val="20"/>
        </w:rPr>
        <w:t xml:space="preserve"> </w:t>
      </w:r>
      <w:r w:rsidR="00E34AC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{"citationID":"3JZhYDsq","properties":{"formattedCitation":"\\super 39,40\\nosupersub{}","plainCitation":"39,40","noteIndex":0},"citationItems":[{"id":600,"uris":["http://zotero.org/users/local/ZR048J0w/items/TMN9GNP5"],"uri":["http://zotero.org/users/local/ZR048J0w/items/TMN9GNP5"],"itemData":{"id":600,"type":"article-journal","abstract":"Since the outbreak of severe acute respiratory syndrome (SARS) 18 years ago, a large number of SARS-related coronaviruses (SARSr-CoVs) have been discovered in their natural reservoir host, bats1-4. Previous studies have shown that some bat SARSr-CoVs have the potential to infect humans5-7. Here we report the identification and characterization of a new coronavirus (2019-nCoV), which caused an epidemic of acute respiratory syndrome in humans in Wuhan, China. The epidemic, which started on 12 December 2019, had caused 2,794 laboratory-confirmed infections including 80 deaths by 26 January 2020. Full-length genome sequences were obtained from five patients at an early stage of the outbreak. The sequences are almost identical and share 79.6% sequence identity to SARS-CoV. Furthermore, we show that 2019-nCoV is 96% identical at the whole-genome level to a bat coronavirus. Pairwise protein sequence analysis of seven conserved non-structural proteins domains show that this virus belongs to the species of SARSr-CoV. In addition, 2019-nCoV virus isolated from the bronchoalveolar lavage fluid of a critically ill patient could be neutralized by sera from several patients. Notably, we confirmed that 2019-nCoV uses the same cell entry receptor-angiotensin converting enzyme II (ACE2)-as SARS-CoV.","container-title":"Nature","DOI":"10.1038/s41586-020-2012-7","ISSN":"1476-4687","issue":"7798","journalAbbreviation":"Nature","language":"eng","note":"PMID: 32015507\nPMCID: PMC7095418","page":"270-273","source":"PubMed","title":"A pneumonia outbreak associated with a new coronavirus of probable bat origin","volume":"579","author":[{"family":"Zhou","given":"Peng"},{"family":"Yang","given":"Xing-Lou"},{"family":"Wang","given":"Xian-Guang"},{"family":"Hu","given":"Ben"},{"family":"Zhang","given":"Lei"},{"family":"Zhang","given":"Wei"},{"family":"Si","given":"Hao-Rui"},{"family":"Zhu","given":"Yan"},{"family":"Li","given":"Bei"},{"family":"Huang","given":"Chao-Lin"},{"family":"Chen","given":"Hui-Dong"},{"family":"Chen","given":"Jing"},{"family":"Luo","given":"Yun"},{"family":"Guo","given":"Hua"},{"family":"Jiang","given":"Ren-Di"},{"family":"Liu","given":"Mei-Qin"},{"family":"Chen","given":"Ying"},{"family":"Shen","given":"Xu-Rui"},{"family":"Wang","given":"Xi"},{"family":"Zheng","given":"Xiao-Shuang"},{"family":"Zhao","given":"Kai"},{"family":"Chen","given":"Quan-Jiao"},{"family":"Deng","given":"Fei"},{"family":"Liu","given":"Lin-Lin"},{"family":"Yan","given":"Bing"},{"family":"Zhan","given":"Fa-Xian"},{"family":"Wang","given":"Yan-Yi"},{"family":"Xiao","given":"Geng-Fu"},{"family":"Shi","given":"Zheng-Li"}],"issued":{"date-parts":[["2020"]]}}},{"id":603,"uris":["http://zotero.org/users/local/ZR048J0w/items/MLX3EZBQ"],"uri":["http://zotero.org/users/local/ZR048J0w/items/MLX3EZBQ"],"itemData":{"id":603,"type":"article-journal","abstract":"&lt;h2&gt;Summary&lt;/h2&gt;&lt;h3&gt;Background&lt;/h3&gt;&lt;p&gt;In late December, 2019, patients presenting with viral pneumonia due to an unidentified microbial agent were reported in Wuhan, China. A novel coronavirus was subsequently identified as the causative pathogen, provisionally named 2019 novel coronavirus (2019-nCoV). As of Jan 26, 2020, more than 2000 cases of 2019-nCoV infection have been confirmed, most of which involved people living in or visiting Wuhan, and human-to-human transmission has been confirmed.&lt;/p&gt;&lt;h3&gt;Methods&lt;/h3&gt;&lt;p&gt;We did next-generation sequencing of samples from bronchoalveolar lavage fluid and cultured isolates from nine inpatients, eight of whom had visited the Huanan seafood market in Wuhan. Complete and partial 2019-nCoV genome sequences were obtained from these individuals. Viral contigs were connected using Sanger sequencing to obtain the full-length genomes, with the terminal regions determined by rapid amplification of cDNA ends. Phylogenetic analysis of these 2019-nCoV genomes and those of other coronaviruses was used to determine the evolutionary history of the virus and help infer its likely origin. Homology modelling was done to explore the likely receptor-binding properties of the virus.&lt;/p&gt;&lt;h3&gt;Findings&lt;/h3&gt;&lt;p&gt;The ten genome sequences of 2019-nCoV obtained from the nine patients were extremely similar, exhibiting more than 99·98% sequence identity. Notably, 2019-nCoV was closely related (with 88% identity) to two bat-derived severe acute respiratory syndrome (SARS)-like coronaviruses, bat-SL-CoVZC45 and bat-SL-CoVZXC21, collected in 2018 in Zhoushan, eastern China, but were more distant from SARS-CoV (about 79%) and MERS-CoV (about 50%). Phylogenetic analysis revealed that 2019-nCoV fell within the subgenus Sarbecovirus of the genus Betacoronavirus, with a relatively long branch length to its closest relatives bat-SL-CoVZC45 and bat-SL-CoVZXC21, and was genetically distinct from SARS-CoV. Notably, homology modelling revealed that 2019-nCoV had a similar receptor-binding domain structure to that of SARS-CoV, despite amino acid variation at some key residues.&lt;/p&gt;&lt;h3&gt;Interpretation&lt;/h3&gt;&lt;p&gt;2019-nCoV is sufficiently divergent from SARS-CoV to be considered a new human-infecting betacoronavirus. Although our phylogenetic analysis suggests that bats might be the original host of this virus, an animal sold at the seafood market in Wuhan might represent an intermediate host facilitating the emergence of the virus in humans. Importantly, structural analysis suggests that 2019-nCoV might be able to bind to the angiotensin-converting enzyme 2 receptor in humans. The future evolution, adaptation, and spread of this virus warrant urgent investigation.&lt;/p&gt;&lt;h3&gt;Funding&lt;/h3&gt;&lt;p&gt;National Key Research and Development Program of China, National Major Project for Control and Prevention of Infectious Disease in China, Chinese Academy of Sciences, Shandong First Medical University.&lt;/p&gt;","container-title":"The Lancet","DOI":"10.1016/S0140-6736(20)30251-8","ISSN":"0140-6736, 1474-547X","issue":"10224","journalAbbreviation":"The Lancet","language":"English","note":"publisher: Elsevier\nPMID: 32007145","page":"565-574","source":"www.thelancet.com","title":"Genomic characterisation and epidemiology of 2019 novel coronavirus: implications for virus origins and receptor binding","title-short":"Genomic characterisation and epidemiology of 2019 novel coronavirus","volume":"395","author":[{"family":"Lu","given":"Roujian"},{"family":"Zhao","given":"Xiang"},{"family":"Li","given":"Juan"},{"family":"Niu","given":"Peihua"},{"family":"Yang","given":"Bo"},{"family":"Wu","given":"Honglong"},{"family":"Wang","given":"Wenling"},{"family":"Song","given":"Hao"},{"family":"Huang","given":"Baoying"},{"family":"Zhu","given":"Na"},{"family":"Bi","given":"Yuhai"},{"family":"Ma","given":"Xuejun"},{"family":"Zhan","given":"Faxian"},{"family":"Wang","given":"Liang"},{"family":"Hu","given":"Tao"},{"family":"Zhou","given":"Hong"},{"family":"Hu","given":"Zhenhong"},{"family":"Zhou","given":"Weimin"},{"family":"Zhao","given":"Li"},{"family":"Chen","given":"Jing"},{"family":"Meng","given":"Yao"},{"family":"Wang","given":"Ji"},{"family":"Lin","given":"Yang"},{"family":"Yuan","given":"Jianying"},{"family":"Xie","given":"Zhihao"},{"family":"Ma","given":"Jinmin"},{"family":"Liu","given":"William J."},{"family":"Wang","given":"Dayan"},{"family":"Xu","given":"Wenbo"},{"family":"Holmes","given":"Edward C."},{"family":"Gao","given":"George F."},{"family":"Wu","given":"Guizhen"},{"family":"Chen","given":"Weijun"},{"family":"Shi","given":"Weifeng"},{"family":"Tan","given":"Wenjie"}],"issued":{"date-parts":[["2020",2,22]]}}}],"schema":"https://github.com/citation-style-language/schema/raw/master/csl-citation.json"} </w:instrText>
      </w:r>
      <w:r w:rsidR="00E34AC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39,40</w:t>
      </w:r>
      <w:r w:rsidR="00E34ACD" w:rsidRPr="009F44A4">
        <w:rPr>
          <w:rFonts w:ascii="Times New Roman" w:eastAsia="Calibri" w:hAnsi="Times New Roman" w:cs="Times New Roman"/>
          <w:color w:val="000000" w:themeColor="text1"/>
          <w:sz w:val="20"/>
          <w:szCs w:val="20"/>
        </w:rPr>
        <w:fldChar w:fldCharType="end"/>
      </w:r>
      <w:r w:rsidR="00E34ACD"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However, more intensive research is needed to identify the possible intermediate host responsible for transmission of this virus to humans</w:t>
      </w:r>
      <w:r w:rsidR="00E34ACD" w:rsidRPr="009F44A4">
        <w:rPr>
          <w:rFonts w:ascii="Times New Roman" w:eastAsia="Calibri" w:hAnsi="Times New Roman" w:cs="Times New Roman"/>
          <w:color w:val="000000" w:themeColor="text1"/>
          <w:sz w:val="20"/>
          <w:szCs w:val="20"/>
        </w:rPr>
        <w:t xml:space="preserve"> </w:t>
      </w:r>
      <w:r w:rsidR="00E34AC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{"citationID":"vdFcn6gd","properties":{"formattedCitation":"\\super 40\\nosupersub{}","plainCitation":"40","noteIndex":0},"citationItems":[{"id":603,"uris":["http://zotero.org/users/local/ZR048J0w/items/MLX3EZBQ"],"uri":["http://zotero.org/users/local/ZR048J0w/items/MLX3EZBQ"],"itemData":{"id":603,"type":"article-journal","abstract":"&lt;h2&gt;Summary&lt;/h2&gt;&lt;h3&gt;Background&lt;/h3&gt;&lt;p&gt;In late December, 2019, patients presenting with viral pneumonia due to an unidentified microbial agent were reported in Wuhan, China. A novel coronavirus was subsequently identified as the causative pathogen, provisionally named 2019 novel coronavirus (2019-nCoV). As of Jan 26, 2020, more than 2000 cases of 2019-nCoV infection have been confirmed, most of which involved people living in or visiting Wuhan, and human-to-human transmission has been confirmed.&lt;/p&gt;&lt;h3&gt;Methods&lt;/h3&gt;&lt;p&gt;We did next-generation sequencing of samples from bronchoalveolar lavage fluid and cultured isolates from nine inpatients, eight of whom had visited the Huanan seafood market in Wuhan. Complete and partial 2019-nCoV genome sequences were obtained from these individuals. Viral contigs were connected using Sanger sequencing to obtain the full-length genomes, with the terminal regions determined by rapid amplification of cDNA ends. Phylogenetic analysis of these 2019-nCoV genomes and those of other coronaviruses was used to determine the evolutionary history of the virus and help infer its likely origin. Homology modelling was done to explore the likely receptor-binding properties of the virus.&lt;/p&gt;&lt;h3&gt;Findings&lt;/h3&gt;&lt;p&gt;The ten genome sequences of 2019-nCoV obtained from the nine patients were extremely similar, exhibiting more than 99·98% sequence identity. Notably, 2019-nCoV was closely related (with 88% identity) to two bat-derived severe acute respiratory syndrome (SARS)-like coronaviruses, bat-SL-CoVZC45 and bat-SL-CoVZXC21, collected in 2018 in Zhoushan, eastern China, but were more distant from SARS-CoV (about 79%) and MERS-CoV (about 50%). Phylogenetic analysis revealed that 2019-nCoV fell within the subgenus Sarbecovirus of the genus Betacoronavirus, with a relatively long branch length to its closest relatives bat-SL-CoVZC45 and bat-SL-CoVZXC21, and was genetically distinct from SARS-CoV. Notably, homology modelling revealed that 2019-nCoV had a similar receptor-binding domain structure to that of SARS-CoV, despite amino acid variation at some key residues.&lt;/p&gt;&lt;h3&gt;Interpretation&lt;/h3&gt;&lt;p&gt;2019-nCoV is sufficiently divergent from SARS-CoV to be considered a new human-infecting betacoronavirus. Although our phylogenetic analysis suggests that bats might be the original host of this virus, an animal sold at the seafood market in Wuhan might represent an intermediate host facilitating the emergence of the virus in humans. Importantly, structural analysis suggests that 2019-nCoV might be able to bind to the angiotensin-converting enzyme 2 receptor in humans. The future evolution, adaptation, and spread of this virus warrant urgent investigation.&lt;/p&gt;&lt;h3&gt;Funding&lt;/h3&gt;&lt;p&gt;National Key Research and Development Program of China, National Major Project for Control and Prevention of Infectious Disease in China, Chinese Academy of Sciences, Shandong First Medical University.&lt;/p&gt;","container-title":"The Lancet","DOI":"10.1016/S0140-6736(20)30251-8","ISSN":"0140-6736, 1474-547X","issue":"10224","journalAbbreviation":"The Lancet","language":"English","note":"publisher: Elsevier\nPMID: 32007145","page":"565-574","source":"www.thelancet.com","title":"Genomic characterisation and epidemiology of 2019 novel coronavirus: implications for virus origins and receptor binding","title-short":"Genomic characterisation and epidemiology of 2019 novel coronavirus","volume":"395","author":[{"family":"Lu","given":"Roujian"},{"family":"Zhao","given":"Xiang"},{"family":"Li","given":"Juan"},{"family":"Niu","given":"Peihua"},{"family":"Yang","given":"Bo"},{"family":"Wu","given":"Honglong"},{"family":"Wang","given":"Wenling"},{"family":"Song","given":"Hao"},{"family":"Huang","given":"Baoying"},{"family":"Zhu","given":"Na"},{"family":"Bi","given":"Yuhai"},{"family":"Ma","given":"Xuejun"},{"family":"Zhan","given":"Faxian"},{"family":"Wang","given":"Liang"},{"family":"Hu","given":"Tao"},{"family":"Zhou","given":"Hong"},{"family":"Hu","given":"Zhenhong"},{"family":"Zhou","given":"Weimin"},{"family":"Zhao","given":"Li"},{"family":"Chen","given":"Jing"},{"family":"Meng","given":"Yao"},{"family":"Wang","given":"Ji"},{"family":"Lin","given":"Yang"},{"family":"Yuan","given":"Jianying"},{"family":"Xie","given":"Zhihao"},{"family":"Ma","given":"Jinmin"},{"family":"Liu","given":"William J."},{"family":"Wang","given":"Dayan"},{"family":"Xu","given":"Wenbo"},{"family":"Holmes","given":"Edward C."},{"family":"Gao","given":"George F."},{"family":"Wu","given":"Guizhen"},{"family":"Chen","given":"Weijun"},{"family":"Shi","given":"Weifeng"},{"family":"Tan","given":"Wenjie"}],"issued":{"date-parts":[["2020",2,22]]}}}],"schema":"https://github.com/citation-style-language/schema/raw/master/csl-citation.json"} </w:instrText>
      </w:r>
      <w:r w:rsidR="00E34AC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40</w:t>
      </w:r>
      <w:r w:rsidR="00E34ACD" w:rsidRPr="009F44A4">
        <w:rPr>
          <w:rFonts w:ascii="Times New Roman" w:eastAsia="Calibri" w:hAnsi="Times New Roman" w:cs="Times New Roman"/>
          <w:color w:val="000000" w:themeColor="text1"/>
          <w:sz w:val="20"/>
          <w:szCs w:val="20"/>
        </w:rPr>
        <w:fldChar w:fldCharType="end"/>
      </w:r>
      <w:r w:rsidR="00E34ACD"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Studies reported so far reveal that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causes excessive release of GCSF, IP10, MCPI, MIPIA, IL-2, IL-6, IL-7 and TNFα, which further lead to pulmonary edema, dysfunction of air-exchange, acute respiratory syndrome, acute cardiac injury and lastly even death. Thus,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pathogenesis causes overproduction of immune cells and cytokine release in the lung</w:t>
      </w:r>
      <w:r w:rsidR="00665C53" w:rsidRPr="009F44A4">
        <w:rPr>
          <w:rFonts w:ascii="Times New Roman" w:eastAsia="Calibri" w:hAnsi="Times New Roman" w:cs="Times New Roman"/>
          <w:color w:val="000000" w:themeColor="text1"/>
          <w:sz w:val="20"/>
          <w:szCs w:val="20"/>
        </w:rPr>
        <w:t xml:space="preserve"> </w:t>
      </w:r>
      <w:r w:rsidR="00665C5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{"citationID":"d5t2JtEu","properties":{"formattedCitation":"\\super 4\\nosupersub{}","plainCitation":"4","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COVID-19","author":[{"family":"Golchin","given":"Ali"},{"family":"Seyedjafari","given":"Ehsan"},{"family":"Ardeshirylajimi","given":"Abdolreza"}],"issued":{"date-parts":[["2020",4,13]]}}}],"schema":"https://github.com/citation-style-language/schema/raw/master/csl-citation.json"} </w:instrText>
      </w:r>
      <w:r w:rsidR="00665C5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w:t>
      </w:r>
      <w:r w:rsidR="00665C53" w:rsidRPr="009F44A4">
        <w:rPr>
          <w:rFonts w:ascii="Times New Roman" w:eastAsia="Calibri" w:hAnsi="Times New Roman" w:cs="Times New Roman"/>
          <w:color w:val="000000" w:themeColor="text1"/>
          <w:sz w:val="20"/>
          <w:szCs w:val="20"/>
        </w:rPr>
        <w:fldChar w:fldCharType="end"/>
      </w:r>
      <w:r w:rsidR="00BC5298" w:rsidRPr="009F44A4">
        <w:rPr>
          <w:rFonts w:ascii="Times New Roman" w:eastAsia="Calibri" w:hAnsi="Times New Roman" w:cs="Times New Roman"/>
          <w:color w:val="000000" w:themeColor="text1"/>
          <w:sz w:val="20"/>
          <w:szCs w:val="20"/>
        </w:rPr>
        <w:t>.</w:t>
      </w:r>
    </w:p>
    <w:p w14:paraId="4CBCC811" w14:textId="2D062219" w:rsidR="00C2381A" w:rsidRPr="009F44A4" w:rsidRDefault="00C2381A" w:rsidP="00DC7281">
      <w:pPr>
        <w:shd w:val="clear" w:color="auto" w:fill="FFFFFF" w:themeFill="background1"/>
        <w:spacing w:line="360" w:lineRule="auto"/>
        <w:jc w:val="both"/>
        <w:rPr>
          <w:rFonts w:ascii="Times New Roman" w:eastAsia="Times New Roman" w:hAnsi="Times New Roman" w:cs="Times New Roman"/>
          <w:color w:val="000000" w:themeColor="text1"/>
          <w:sz w:val="20"/>
          <w:szCs w:val="20"/>
          <w:lang w:eastAsia="en-US"/>
        </w:rPr>
      </w:pPr>
      <w:r w:rsidRPr="009F44A4">
        <w:rPr>
          <w:rFonts w:ascii="Times New Roman" w:eastAsia="Times New Roman" w:hAnsi="Times New Roman" w:cs="Times New Roman"/>
          <w:color w:val="000000" w:themeColor="text1"/>
          <w:sz w:val="20"/>
          <w:szCs w:val="20"/>
          <w:shd w:val="clear" w:color="auto" w:fill="FFFFFF"/>
          <w:lang w:eastAsia="en-US"/>
        </w:rPr>
        <w:t>In the middle of November 2021</w:t>
      </w:r>
      <w:r w:rsidR="00813BA8"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{"citationID":"XNjZNFTz","properties":{"formattedCitation":"\\super 41\\nosupersub{}","plainCitation":"41","noteIndex":0},"citationItems":[{"id":1346,"uris":["http://zotero.org/users/local/ZR048J0w/items/P5HG3YSM"],"uri":["http://zotero.org/users/local/ZR048J0w/items/P5HG3YSM"],"itemData":{"id":1346,"type":"article-journal","abstract":"This report describes the initial spread and impact of the Omicron COVID-19 variant in the U.S.","container-title":"MMWR. Morbidity and Mortality Weekly Report","DOI":"10.15585/mmwr.mm7050e1","ISSN":"0149-21951545-861X","journalAbbreviation":"MMWR Morb Mortal Wkly Rep","language":"en-us","source":"www.cdc.gov","title":"SARS-CoV-2 B.1.1.529 (Omicron) Variant — United States, December 1–8, 2021","URL":"https://www.cdc.gov/mmwr/volumes/70/wr/mm7050e1.htm","volume":"70","author":[{"family":"CDCMMWR","given":""}],"accessed":{"date-parts":[["2022",11,19]]},"issued":{"date-parts":[["2021"]]}}}],"schema":"https://github.com/citation-style-language/schema/raw/master/csl-citation.json"} </w:instrText>
      </w:r>
      <w:r w:rsidR="00813BA8"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41</w:t>
      </w:r>
      <w:r w:rsidR="00813BA8"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 the new OMICRON strain was discovered for the first time in the Gauteng area of South Africa. The advanced genome sequencing infrastructure in South Africa makes it easier to find novel variants early. According to WHO the new SARS-</w:t>
      </w:r>
      <w:proofErr w:type="spellStart"/>
      <w:r w:rsidRPr="009F44A4">
        <w:rPr>
          <w:rFonts w:ascii="Times New Roman" w:eastAsia="Times New Roman" w:hAnsi="Times New Roman" w:cs="Times New Roman"/>
          <w:color w:val="000000" w:themeColor="text1"/>
          <w:sz w:val="20"/>
          <w:szCs w:val="20"/>
          <w:shd w:val="clear" w:color="auto" w:fill="FFFFFF"/>
          <w:lang w:eastAsia="en-US"/>
        </w:rPr>
        <w:t>CoV</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-2 strain e.g. Omicron has already been detected as of 15 December 2021 in 77 different nations, </w:t>
      </w:r>
      <w:r w:rsidRPr="009F44A4">
        <w:rPr>
          <w:rFonts w:ascii="Times New Roman" w:eastAsia="Times New Roman" w:hAnsi="Times New Roman" w:cs="Times New Roman"/>
          <w:color w:val="000000" w:themeColor="text1"/>
          <w:sz w:val="20"/>
          <w:szCs w:val="20"/>
          <w:lang w:eastAsia="en-US"/>
        </w:rPr>
        <w:t>in the majority of instances</w:t>
      </w:r>
      <w:r w:rsidRPr="009F44A4">
        <w:rPr>
          <w:rFonts w:ascii="Times New Roman" w:eastAsia="Times New Roman" w:hAnsi="Times New Roman" w:cs="Times New Roman"/>
          <w:color w:val="000000" w:themeColor="text1"/>
          <w:sz w:val="20"/>
          <w:szCs w:val="20"/>
          <w:shd w:val="clear" w:color="auto" w:fill="FFFFFF"/>
          <w:lang w:eastAsia="en-US"/>
        </w:rPr>
        <w:t xml:space="preserve"> coming from the United Kingdom, South Africa and the United States </w:t>
      </w:r>
      <w:r w:rsidR="00813BA8"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{"citationID":"hkt8A3dJ","properties":{"formattedCitation":"\\super 42\\nosupersub{}","plainCitation":"42","noteIndex":0},"citationItems":[{"id":1352,"uris":["http://zotero.org/users/local/ZR048J0w/items/JCECZW28"],"uri":["http://zotero.org/users/local/ZR048J0w/items/JCECZW28"],"itemData":{"id":1352,"type":"article-newspaper","abstract":"\"Omicron is spreading at a rate we have not seen with any previous variant,\" says WHO Director-General Tedros Adhanom Ghebreyesus.","container-title":"NPR","language":"en","section":"Coronavirus By The Numbers","source":"NPR","title":"Omicron spreads faster than any other variant, WHO says. It's now in 77 countries","URL":"https://www.npr.org/sections/coronavirus-live-updates/2021/12/15/1064432010/omicron-spread-variant-coronavirus","author":[{"family":"Chappell","given":"Bill"}],"accessed":{"date-parts":[["2022",11,19]]},"issued":{"date-parts":[["2021",12,15]]}}}],"schema":"https://github.com/citation-style-language/schema/raw/master/csl-citation.json"} </w:instrText>
      </w:r>
      <w:r w:rsidR="00813BA8"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42</w:t>
      </w:r>
      <w:r w:rsidR="00813BA8"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 India has also seen Omicron positive cases. According to BBC News the new COVID-19 variant's first death was recorded in the United Kingdom.</w:t>
      </w:r>
    </w:p>
    <w:p w14:paraId="2E4FAE19" w14:textId="77777777" w:rsidR="008D16FE" w:rsidRPr="009F44A4" w:rsidRDefault="00C02138" w:rsidP="00DC7281">
      <w:pPr>
        <w:pStyle w:val="Heading4"/>
        <w:numPr>
          <w:ilvl w:val="0"/>
          <w:numId w:val="6"/>
        </w:numPr>
        <w:shd w:val="clear" w:color="auto" w:fill="FFFFFF" w:themeFill="background1"/>
        <w:spacing w:before="240" w:after="240"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Symptoms, Risk factor and Transmission Rate of COVID-19</w:t>
      </w:r>
    </w:p>
    <w:p w14:paraId="371E87A7" w14:textId="44971C65" w:rsidR="00F51E57" w:rsidRPr="009F44A4" w:rsidRDefault="00C2381A" w:rsidP="00DC7281">
      <w:pPr>
        <w:pStyle w:val="NormalWeb"/>
        <w:shd w:val="clear" w:color="auto" w:fill="FFFFFF" w:themeFill="background1"/>
        <w:spacing w:before="240" w:beforeAutospacing="0" w:after="240" w:afterAutospacing="0" w:line="360" w:lineRule="auto"/>
        <w:jc w:val="both"/>
        <w:rPr>
          <w:color w:val="000000" w:themeColor="text1"/>
          <w:sz w:val="20"/>
          <w:szCs w:val="20"/>
        </w:rPr>
      </w:pPr>
      <w:r w:rsidRPr="009F44A4">
        <w:rPr>
          <w:color w:val="000000" w:themeColor="text1"/>
          <w:sz w:val="20"/>
          <w:szCs w:val="20"/>
          <w:shd w:val="clear" w:color="auto" w:fill="FFFFFF"/>
        </w:rPr>
        <w:t xml:space="preserve">COVID-19 usually displays symptoms around 2 to 14 days after infection, informed by the Centers for Disease Control and Prevention (CDC) and WHO </w:t>
      </w:r>
      <w:r w:rsidR="00DD79B2" w:rsidRPr="009F44A4">
        <w:rPr>
          <w:rFonts w:eastAsia="Calibri"/>
          <w:color w:val="000000" w:themeColor="text1"/>
          <w:sz w:val="20"/>
          <w:szCs w:val="20"/>
        </w:rPr>
        <w:fldChar w:fldCharType="begin"/>
      </w:r>
      <w:r w:rsidR="00236558">
        <w:rPr>
          <w:rFonts w:eastAsia="Calibri"/>
          <w:color w:val="000000" w:themeColor="text1"/>
          <w:sz w:val="20"/>
          <w:szCs w:val="20"/>
        </w:rPr>
        <w:instrText xml:space="preserve"> ADDIN ZOTERO_ITEM CSL_CITATION {"citationID":"x7lQsKXq","properties":{"formattedCitation":"\\super 43,44\\nosupersub{}","plainCitation":"43,44","noteIndex":0},"citationItems":[{"id":612,"uris":["http://zotero.org/users/local/ZR048J0w/items/EHB648HH"],"uri":["http://zotero.org/users/local/ZR048J0w/items/EHB648HH"],"itemData":{"id":612,"type":"webpage","abstract":"COVID-19 has a wide range of symptoms. The Self-Checker is a guide to help make decisions on when to seek testing and appropriate medical care.","container-title":"Centers for Disease Control and Prevention","language":"en-us","title":"Coronavirus Disease 2019 (COVID-19) – Symptoms","URL":"https://www.cdc.gov/coronavirus/2019-ncov/symptoms-testing/symptoms.html","author":[{"family":"CDC","given":""}],"accessed":{"date-parts":[["2020",12,17]]},"issued":{"date-parts":[["2020",5,13]]}}},{"id":614,"uris":["http://zotero.org/users/local/ZR048J0w/items/MP32SIJ4"],"uri":["http://zotero.org/users/local/ZR048J0w/items/MP32SIJ4"],"itemData":{"id":614,"type":"webpage","abstract":"These question and answers on COVID-19 and related health topics are updated regularly based on new scientific findings as the pandemic evolves.","language":"en","title":"Question and answers hub","URL":"https://www.who.int/emergencies/diseases/novel-coronavirus-2019/question-and-answers-hub","accessed":{"date-parts":[["2020",12,17]]}}}],"schema":"https://github.com/citation-style-language/schema/raw/master/csl-citation.json"} </w:instrText>
      </w:r>
      <w:r w:rsidR="00DD79B2" w:rsidRPr="009F44A4">
        <w:rPr>
          <w:rFonts w:eastAsia="Calibri"/>
          <w:color w:val="000000" w:themeColor="text1"/>
          <w:sz w:val="20"/>
          <w:szCs w:val="20"/>
        </w:rPr>
        <w:fldChar w:fldCharType="separate"/>
      </w:r>
      <w:r w:rsidR="00236558" w:rsidRPr="00236558">
        <w:rPr>
          <w:sz w:val="20"/>
          <w:vertAlign w:val="superscript"/>
        </w:rPr>
        <w:t>43,44</w:t>
      </w:r>
      <w:r w:rsidR="00DD79B2" w:rsidRPr="009F44A4">
        <w:rPr>
          <w:rFonts w:eastAsia="Calibri"/>
          <w:color w:val="000000" w:themeColor="text1"/>
          <w:sz w:val="20"/>
          <w:szCs w:val="20"/>
        </w:rPr>
        <w:fldChar w:fldCharType="end"/>
      </w:r>
      <w:r w:rsidR="00C02138" w:rsidRPr="009F44A4">
        <w:rPr>
          <w:rFonts w:eastAsia="Calibri"/>
          <w:color w:val="000000" w:themeColor="text1"/>
          <w:sz w:val="20"/>
          <w:szCs w:val="20"/>
        </w:rPr>
        <w:t xml:space="preserve">. </w:t>
      </w:r>
      <w:r w:rsidRPr="009F44A4">
        <w:rPr>
          <w:color w:val="000000" w:themeColor="text1"/>
          <w:sz w:val="20"/>
          <w:szCs w:val="20"/>
          <w:shd w:val="clear" w:color="auto" w:fill="FFFFFF"/>
        </w:rPr>
        <w:t xml:space="preserve">According to WHO, patients diagnosed with COVID-19 show most common symptoms such as dry cough, nausea, exhaustion and headache; other common side effects include headaches, pharyngitis, sickness, eye infections, fever, </w:t>
      </w:r>
      <w:proofErr w:type="spellStart"/>
      <w:r w:rsidRPr="009F44A4">
        <w:rPr>
          <w:color w:val="000000" w:themeColor="text1"/>
          <w:sz w:val="20"/>
          <w:szCs w:val="20"/>
          <w:shd w:val="clear" w:color="auto" w:fill="FFFFFF"/>
        </w:rPr>
        <w:t>ageusia</w:t>
      </w:r>
      <w:proofErr w:type="spellEnd"/>
      <w:r w:rsidRPr="009F44A4">
        <w:rPr>
          <w:color w:val="000000" w:themeColor="text1"/>
          <w:sz w:val="20"/>
          <w:szCs w:val="20"/>
          <w:shd w:val="clear" w:color="auto" w:fill="FFFFFF"/>
        </w:rPr>
        <w:t xml:space="preserve">, </w:t>
      </w:r>
      <w:proofErr w:type="spellStart"/>
      <w:r w:rsidRPr="009F44A4">
        <w:rPr>
          <w:color w:val="000000" w:themeColor="text1"/>
          <w:sz w:val="20"/>
          <w:szCs w:val="20"/>
          <w:shd w:val="clear" w:color="auto" w:fill="FFFFFF"/>
        </w:rPr>
        <w:t>exanthem</w:t>
      </w:r>
      <w:proofErr w:type="spellEnd"/>
      <w:r w:rsidRPr="009F44A4">
        <w:rPr>
          <w:color w:val="000000" w:themeColor="text1"/>
          <w:sz w:val="20"/>
          <w:szCs w:val="20"/>
          <w:shd w:val="clear" w:color="auto" w:fill="FFFFFF"/>
        </w:rPr>
        <w:t xml:space="preserve"> rash and </w:t>
      </w:r>
      <w:proofErr w:type="spellStart"/>
      <w:r w:rsidRPr="009F44A4">
        <w:rPr>
          <w:color w:val="000000" w:themeColor="text1"/>
          <w:sz w:val="20"/>
          <w:szCs w:val="20"/>
          <w:shd w:val="clear" w:color="auto" w:fill="FFFFFF"/>
        </w:rPr>
        <w:t>discolouration</w:t>
      </w:r>
      <w:proofErr w:type="spellEnd"/>
      <w:r w:rsidRPr="009F44A4">
        <w:rPr>
          <w:color w:val="000000" w:themeColor="text1"/>
          <w:sz w:val="20"/>
          <w:szCs w:val="20"/>
          <w:shd w:val="clear" w:color="auto" w:fill="FFFFFF"/>
        </w:rPr>
        <w:t xml:space="preserve"> of the skin (Table 1). The severe </w:t>
      </w:r>
      <w:r w:rsidRPr="009F44A4">
        <w:rPr>
          <w:color w:val="000000" w:themeColor="text1"/>
          <w:sz w:val="20"/>
          <w:szCs w:val="20"/>
          <w:shd w:val="clear" w:color="auto" w:fill="FFFFFF"/>
        </w:rPr>
        <w:lastRenderedPageBreak/>
        <w:t xml:space="preserve">signs include breathing difficulty, chest discomfort and loss of voice </w:t>
      </w:r>
      <w:r w:rsidR="005341BB" w:rsidRPr="009F44A4">
        <w:rPr>
          <w:rFonts w:eastAsia="Calibri"/>
          <w:color w:val="000000" w:themeColor="text1"/>
          <w:sz w:val="20"/>
          <w:szCs w:val="20"/>
        </w:rPr>
        <w:fldChar w:fldCharType="begin"/>
      </w:r>
      <w:r w:rsidR="00236558">
        <w:rPr>
          <w:rFonts w:eastAsia="Calibri"/>
          <w:color w:val="000000" w:themeColor="text1"/>
          <w:sz w:val="20"/>
          <w:szCs w:val="20"/>
        </w:rPr>
        <w:instrText xml:space="preserve"> ADDIN ZOTERO_ITEM CSL_CITATION {"citationID":"Z3fj1BVK","properties":{"formattedCitation":"\\super 44\\nosupersub{}","plainCitation":"44","noteIndex":0},"citationItems":[{"id":614,"uris":["http://zotero.org/users/local/ZR048J0w/items/MP32SIJ4"],"uri":["http://zotero.org/users/local/ZR048J0w/items/MP32SIJ4"],"itemData":{"id":614,"type":"webpage","abstract":"These question and answers on COVID-19 and related health topics are updated regularly based on new scientific findings as the pandemic evolves.","language":"en","title":"Question and answers hub","URL":"https://www.who.int/emergencies/diseases/novel-coronavirus-2019/question-and-answers-hub","accessed":{"date-parts":[["2020",12,17]]}}}],"schema":"https://github.com/citation-style-language/schema/raw/master/csl-citation.json"} </w:instrText>
      </w:r>
      <w:r w:rsidR="005341BB" w:rsidRPr="009F44A4">
        <w:rPr>
          <w:rFonts w:eastAsia="Calibri"/>
          <w:color w:val="000000" w:themeColor="text1"/>
          <w:sz w:val="20"/>
          <w:szCs w:val="20"/>
        </w:rPr>
        <w:fldChar w:fldCharType="separate"/>
      </w:r>
      <w:r w:rsidR="00236558" w:rsidRPr="00236558">
        <w:rPr>
          <w:sz w:val="20"/>
          <w:vertAlign w:val="superscript"/>
        </w:rPr>
        <w:t>44</w:t>
      </w:r>
      <w:r w:rsidR="005341BB" w:rsidRPr="009F44A4">
        <w:rPr>
          <w:rFonts w:eastAsia="Calibri"/>
          <w:color w:val="000000" w:themeColor="text1"/>
          <w:sz w:val="20"/>
          <w:szCs w:val="20"/>
        </w:rPr>
        <w:fldChar w:fldCharType="end"/>
      </w:r>
      <w:r w:rsidR="00C02138" w:rsidRPr="009F44A4">
        <w:rPr>
          <w:rFonts w:eastAsia="Calibri"/>
          <w:color w:val="000000" w:themeColor="text1"/>
          <w:sz w:val="20"/>
          <w:szCs w:val="20"/>
        </w:rPr>
        <w:t xml:space="preserve">. </w:t>
      </w:r>
      <w:r w:rsidR="00F51E57" w:rsidRPr="009F44A4">
        <w:rPr>
          <w:color w:val="000000" w:themeColor="text1"/>
          <w:sz w:val="20"/>
          <w:szCs w:val="20"/>
          <w:shd w:val="clear" w:color="auto" w:fill="FFFFFF"/>
        </w:rPr>
        <w:t>The transmission rate of the virus is quite severe and it depends a lot on the demography and quarantine level of the infected population</w:t>
      </w:r>
      <w:r w:rsidR="00EC3895" w:rsidRPr="009F44A4">
        <w:rPr>
          <w:rFonts w:eastAsia="Calibri"/>
          <w:color w:val="000000" w:themeColor="text1"/>
          <w:sz w:val="20"/>
          <w:szCs w:val="20"/>
        </w:rPr>
        <w:t xml:space="preserve"> </w:t>
      </w:r>
      <w:r w:rsidR="00EC3895" w:rsidRPr="009F44A4">
        <w:rPr>
          <w:rFonts w:eastAsia="Calibri"/>
          <w:color w:val="000000" w:themeColor="text1"/>
          <w:sz w:val="20"/>
          <w:szCs w:val="20"/>
        </w:rPr>
        <w:fldChar w:fldCharType="begin"/>
      </w:r>
      <w:r w:rsidR="00236558">
        <w:rPr>
          <w:rFonts w:eastAsia="Calibri"/>
          <w:color w:val="000000" w:themeColor="text1"/>
          <w:sz w:val="20"/>
          <w:szCs w:val="20"/>
        </w:rPr>
        <w:instrText xml:space="preserve"> ADDIN ZOTERO_ITEM CSL_CITATION {"citationID":"bxd15EEO","properties":{"formattedCitation":"\\super 43\\nosupersub{}","plainCitation":"43","noteIndex":0},"citationItems":[{"id":612,"uris":["http://zotero.org/users/local/ZR048J0w/items/EHB648HH"],"uri":["http://zotero.org/users/local/ZR048J0w/items/EHB648HH"],"itemData":{"id":612,"type":"webpage","abstract":"COVID-19 has a wide range of symptoms. The Self-Checker is a guide to help make decisions on when to seek testing and appropriate medical care.","container-title":"Centers for Disease Control and Prevention","language":"en-us","title":"Coronavirus Disease 2019 (COVID-19) – Symptoms","URL":"https://www.cdc.gov/coronavirus/2019-ncov/symptoms-testing/symptoms.html","author":[{"family":"CDC","given":""}],"accessed":{"date-parts":[["2020",12,17]]},"issued":{"date-parts":[["2020",5,13]]}}}],"schema":"https://github.com/citation-style-language/schema/raw/master/csl-citation.json"} </w:instrText>
      </w:r>
      <w:r w:rsidR="00EC3895" w:rsidRPr="009F44A4">
        <w:rPr>
          <w:rFonts w:eastAsia="Calibri"/>
          <w:color w:val="000000" w:themeColor="text1"/>
          <w:sz w:val="20"/>
          <w:szCs w:val="20"/>
        </w:rPr>
        <w:fldChar w:fldCharType="separate"/>
      </w:r>
      <w:r w:rsidR="00236558" w:rsidRPr="00236558">
        <w:rPr>
          <w:sz w:val="20"/>
          <w:vertAlign w:val="superscript"/>
        </w:rPr>
        <w:t>43</w:t>
      </w:r>
      <w:r w:rsidR="00EC3895" w:rsidRPr="009F44A4">
        <w:rPr>
          <w:rFonts w:eastAsia="Calibri"/>
          <w:color w:val="000000" w:themeColor="text1"/>
          <w:sz w:val="20"/>
          <w:szCs w:val="20"/>
        </w:rPr>
        <w:fldChar w:fldCharType="end"/>
      </w:r>
      <w:r w:rsidR="004E6945" w:rsidRPr="009F44A4">
        <w:rPr>
          <w:rFonts w:eastAsia="Calibri"/>
          <w:color w:val="000000" w:themeColor="text1"/>
          <w:sz w:val="20"/>
          <w:szCs w:val="20"/>
        </w:rPr>
        <w:t>.</w:t>
      </w:r>
      <w:r w:rsidR="00C02138" w:rsidRPr="009F44A4">
        <w:rPr>
          <w:rFonts w:eastAsia="Calibri"/>
          <w:color w:val="000000" w:themeColor="text1"/>
          <w:sz w:val="20"/>
          <w:szCs w:val="20"/>
        </w:rPr>
        <w:t xml:space="preserve"> </w:t>
      </w:r>
      <w:r w:rsidR="00F51E57" w:rsidRPr="009F44A4">
        <w:rPr>
          <w:color w:val="000000" w:themeColor="text1"/>
          <w:sz w:val="20"/>
          <w:szCs w:val="20"/>
          <w:shd w:val="clear" w:color="auto" w:fill="FFFFFF"/>
        </w:rPr>
        <w:t>Infectivity is characterized as a pathogen's ability to develop an infection and it is denoted by the disease's reproductive number (</w:t>
      </w:r>
      <w:proofErr w:type="spellStart"/>
      <w:r w:rsidR="00F51E57" w:rsidRPr="009F44A4">
        <w:rPr>
          <w:color w:val="000000" w:themeColor="text1"/>
          <w:sz w:val="20"/>
          <w:szCs w:val="20"/>
          <w:shd w:val="clear" w:color="auto" w:fill="FFFFFF"/>
        </w:rPr>
        <w:t>R0</w:t>
      </w:r>
      <w:proofErr w:type="spellEnd"/>
      <w:r w:rsidR="00F51E57" w:rsidRPr="009F44A4">
        <w:rPr>
          <w:color w:val="000000" w:themeColor="text1"/>
          <w:sz w:val="20"/>
          <w:szCs w:val="20"/>
          <w:shd w:val="clear" w:color="auto" w:fill="FFFFFF"/>
        </w:rPr>
        <w:t xml:space="preserve">, pronounced "R naught") </w:t>
      </w:r>
      <w:r w:rsidR="005341BB" w:rsidRPr="009F44A4">
        <w:rPr>
          <w:rFonts w:eastAsia="Calibri"/>
          <w:color w:val="000000" w:themeColor="text1"/>
          <w:sz w:val="20"/>
          <w:szCs w:val="20"/>
        </w:rPr>
        <w:fldChar w:fldCharType="begin"/>
      </w:r>
      <w:r w:rsidR="00236558">
        <w:rPr>
          <w:rFonts w:eastAsia="Calibri"/>
          <w:color w:val="000000" w:themeColor="text1"/>
          <w:sz w:val="20"/>
          <w:szCs w:val="20"/>
        </w:rPr>
        <w:instrText xml:space="preserve"> ADDIN ZOTERO_ITEM CSL_CITATION {"citationID":"U41KKDk7","properties":{"formattedCitation":"\\super 45\\nosupersub{}","plainCitation":"45","noteIndex":0},"citationItems":[{"id":616,"uris":["http://zotero.org/users/local/ZR048J0w/items/R8ZKNVGK"],"uri":["http://zotero.org/users/local/ZR048J0w/items/R8ZKNVGK"],"itemData":{"id":616,"type":"webpage","abstract":"R0 indicates how contagious a disease is. Learn how it works and the R0 values for various diseases.","container-title":"Healthline","language":"en","title":"What Is R0? Gauging Contagious Infections","title-short":"What Is R0?","URL":"https://www.healthline.com/health/r-nought-reproduction-number","accessed":{"date-parts":[["2020",12,17]]},"issued":{"date-parts":[["2020",4,20]]}}}],"schema":"https://github.com/citation-style-language/schema/raw/master/csl-citation.json"} </w:instrText>
      </w:r>
      <w:r w:rsidR="005341BB" w:rsidRPr="009F44A4">
        <w:rPr>
          <w:rFonts w:eastAsia="Calibri"/>
          <w:color w:val="000000" w:themeColor="text1"/>
          <w:sz w:val="20"/>
          <w:szCs w:val="20"/>
        </w:rPr>
        <w:fldChar w:fldCharType="separate"/>
      </w:r>
      <w:r w:rsidR="00236558" w:rsidRPr="00236558">
        <w:rPr>
          <w:sz w:val="20"/>
          <w:vertAlign w:val="superscript"/>
        </w:rPr>
        <w:t>45</w:t>
      </w:r>
      <w:r w:rsidR="005341BB" w:rsidRPr="009F44A4">
        <w:rPr>
          <w:rFonts w:eastAsia="Calibri"/>
          <w:color w:val="000000" w:themeColor="text1"/>
          <w:sz w:val="20"/>
          <w:szCs w:val="20"/>
        </w:rPr>
        <w:fldChar w:fldCharType="end"/>
      </w:r>
      <w:r w:rsidR="004E6945" w:rsidRPr="009F44A4">
        <w:rPr>
          <w:rFonts w:eastAsia="Calibri"/>
          <w:color w:val="000000" w:themeColor="text1"/>
          <w:sz w:val="20"/>
          <w:szCs w:val="20"/>
        </w:rPr>
        <w:t>.</w:t>
      </w:r>
      <w:r w:rsidR="00C02138" w:rsidRPr="009F44A4">
        <w:rPr>
          <w:rFonts w:eastAsia="Calibri"/>
          <w:color w:val="000000" w:themeColor="text1"/>
          <w:sz w:val="20"/>
          <w:szCs w:val="20"/>
        </w:rPr>
        <w:t xml:space="preserve"> </w:t>
      </w:r>
      <w:r w:rsidR="00F51E57" w:rsidRPr="009F44A4">
        <w:rPr>
          <w:color w:val="000000" w:themeColor="text1"/>
          <w:sz w:val="20"/>
          <w:szCs w:val="20"/>
          <w:shd w:val="clear" w:color="auto" w:fill="FFFFFF"/>
        </w:rPr>
        <w:t>SARS-</w:t>
      </w:r>
      <w:proofErr w:type="spellStart"/>
      <w:r w:rsidR="00F51E57" w:rsidRPr="009F44A4">
        <w:rPr>
          <w:color w:val="000000" w:themeColor="text1"/>
          <w:sz w:val="20"/>
          <w:szCs w:val="20"/>
          <w:shd w:val="clear" w:color="auto" w:fill="FFFFFF"/>
        </w:rPr>
        <w:t>CoV</w:t>
      </w:r>
      <w:proofErr w:type="spellEnd"/>
      <w:r w:rsidR="00F51E57" w:rsidRPr="009F44A4">
        <w:rPr>
          <w:color w:val="000000" w:themeColor="text1"/>
          <w:sz w:val="20"/>
          <w:szCs w:val="20"/>
          <w:shd w:val="clear" w:color="auto" w:fill="FFFFFF"/>
        </w:rPr>
        <w:t xml:space="preserve">-2 is predicted to have a </w:t>
      </w:r>
      <w:proofErr w:type="spellStart"/>
      <w:r w:rsidR="00F51E57" w:rsidRPr="009F44A4">
        <w:rPr>
          <w:color w:val="000000" w:themeColor="text1"/>
          <w:sz w:val="20"/>
          <w:szCs w:val="20"/>
          <w:shd w:val="clear" w:color="auto" w:fill="FFFFFF"/>
        </w:rPr>
        <w:t>R0</w:t>
      </w:r>
      <w:proofErr w:type="spellEnd"/>
      <w:r w:rsidR="00F51E57" w:rsidRPr="009F44A4">
        <w:rPr>
          <w:color w:val="000000" w:themeColor="text1"/>
          <w:sz w:val="20"/>
          <w:szCs w:val="20"/>
          <w:shd w:val="clear" w:color="auto" w:fill="FFFFFF"/>
        </w:rPr>
        <w:t xml:space="preserve"> of 2 to 2.5</w:t>
      </w:r>
      <w:r w:rsidR="004D4AA4" w:rsidRPr="009F44A4">
        <w:rPr>
          <w:rFonts w:eastAsia="Calibri"/>
          <w:color w:val="000000" w:themeColor="text1"/>
          <w:sz w:val="20"/>
          <w:szCs w:val="20"/>
        </w:rPr>
        <w:t xml:space="preserve"> </w:t>
      </w:r>
      <w:r w:rsidR="004D4AA4" w:rsidRPr="009F44A4">
        <w:rPr>
          <w:rFonts w:eastAsia="Calibri"/>
          <w:color w:val="000000" w:themeColor="text1"/>
          <w:sz w:val="20"/>
          <w:szCs w:val="20"/>
        </w:rPr>
        <w:fldChar w:fldCharType="begin"/>
      </w:r>
      <w:r w:rsidR="00236558">
        <w:rPr>
          <w:rFonts w:eastAsia="Calibri"/>
          <w:color w:val="000000" w:themeColor="text1"/>
          <w:sz w:val="20"/>
          <w:szCs w:val="20"/>
        </w:rPr>
        <w:instrText xml:space="preserve"> ADDIN ZOTERO_ITEM CSL_CITATION {"citationID":"JAT3BH9v","properties":{"formattedCitation":"\\super 1\\nosupersub{}","plainCitation":"1","noteIndex":0},"citationItems":[{"id":522,"uris":["http://zotero.org/users/local/ZR048J0w/items/ZMBK34ZW"],"uri":["http://zotero.org/users/local/ZR048J0w/items/ZMBK34ZW"],"itemData":{"id":522,"type":"webpage","abstract":"The daily Situation Report provides the current COVID-19 epidemiological situation and presents official case and death counts and transmission classifications worldwide. This includes a map, epidemic curve, and table allowing users to explore the latest numbers and trends at global, regional and country levels. The report also highlights important recent events and actions taken by WHO and partners.","language":"en","title":"Coronavirus Disease (COVID-19) Situation Reports","URL":"https://www.who.int/emergencies/diseases/novel-coronavirus-2019/situation-reports","accessed":{"date-parts":[["2020",12,8]]}}}],"schema":"https://github.com/citation-style-language/schema/raw/master/csl-citation.json"} </w:instrText>
      </w:r>
      <w:r w:rsidR="004D4AA4" w:rsidRPr="009F44A4">
        <w:rPr>
          <w:rFonts w:eastAsia="Calibri"/>
          <w:color w:val="000000" w:themeColor="text1"/>
          <w:sz w:val="20"/>
          <w:szCs w:val="20"/>
        </w:rPr>
        <w:fldChar w:fldCharType="separate"/>
      </w:r>
      <w:r w:rsidR="00236558" w:rsidRPr="00236558">
        <w:rPr>
          <w:sz w:val="20"/>
          <w:vertAlign w:val="superscript"/>
        </w:rPr>
        <w:t>1</w:t>
      </w:r>
      <w:r w:rsidR="004D4AA4" w:rsidRPr="009F44A4">
        <w:rPr>
          <w:rFonts w:eastAsia="Calibri"/>
          <w:color w:val="000000" w:themeColor="text1"/>
          <w:sz w:val="20"/>
          <w:szCs w:val="20"/>
        </w:rPr>
        <w:fldChar w:fldCharType="end"/>
      </w:r>
      <w:r w:rsidR="00C02138" w:rsidRPr="009F44A4">
        <w:rPr>
          <w:rFonts w:eastAsia="Calibri"/>
          <w:color w:val="000000" w:themeColor="text1"/>
          <w:sz w:val="20"/>
          <w:szCs w:val="20"/>
        </w:rPr>
        <w:t xml:space="preserve">; </w:t>
      </w:r>
      <w:r w:rsidR="00F51E57" w:rsidRPr="009F44A4">
        <w:rPr>
          <w:color w:val="000000" w:themeColor="text1"/>
          <w:sz w:val="20"/>
          <w:szCs w:val="20"/>
          <w:shd w:val="clear" w:color="auto" w:fill="FFFFFF"/>
        </w:rPr>
        <w:t>indicating that in a population 2 to 2.5 individuals are susceptible to infection by each infected person.</w:t>
      </w:r>
    </w:p>
    <w:p w14:paraId="65A9C0BC" w14:textId="3C1B01A4" w:rsidR="008807D9" w:rsidRPr="009F44A4" w:rsidRDefault="00F51E57" w:rsidP="00DC7281">
      <w:pPr>
        <w:shd w:val="clear" w:color="auto" w:fill="FFFFFF" w:themeFill="background1"/>
        <w:spacing w:before="240" w:after="240" w:line="360" w:lineRule="auto"/>
        <w:jc w:val="both"/>
        <w:rPr>
          <w:rFonts w:ascii="Times New Roman" w:eastAsia="Calibri" w:hAnsi="Times New Roman" w:cs="Times New Roman"/>
          <w:b/>
          <w:color w:val="000000" w:themeColor="text1"/>
          <w:sz w:val="20"/>
          <w:szCs w:val="20"/>
        </w:rPr>
      </w:pPr>
      <w:r w:rsidRPr="009F44A4">
        <w:rPr>
          <w:rFonts w:ascii="Times New Roman" w:hAnsi="Times New Roman" w:cs="Times New Roman"/>
          <w:color w:val="000000" w:themeColor="text1"/>
          <w:sz w:val="20"/>
          <w:szCs w:val="20"/>
          <w:shd w:val="clear" w:color="auto" w:fill="FFFFFF"/>
        </w:rPr>
        <w:t xml:space="preserve">COVID-19 spreads rapidly with a primary reproductive number of 2.2 to 2.5 defined in Wuhan </w:t>
      </w:r>
      <w:r w:rsidR="00AA792F"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{"citationID":"en8k2ZHz","properties":{"formattedCitation":"\\super 46,47\\nosupersub{}","plainCitation":"46,47","noteIndex":0},"citationItems":[{"id":618,"uris":["http://zotero.org/users/local/ZR048J0w/items/KVGQKPNY"],"uri":["http://zotero.org/users/local/ZR048J0w/items/KVGQKPNY"],"itemData":{"id":618,"type":"article-journal","container-title":"New England Journal of Medicine","DOI":"10.1056/NEJMoa2001316","ISSN":"0028-4793","issue":"13","note":"publisher: Massachusetts Medical Society\n_eprint: https://doi.org/10.1056/NEJMoa2001316\nPMID: 31995857","page":"1199-1207","source":"Taylor and Francis+NEJM","title":"Early Transmission Dynamics in Wuhan, China, of Novel Coronavirus–Infected Pneumonia","volume":"382","author":[{"family":"Li","given":"Qun"},{"family":"Guan","given":"Xuhua"},{"family":"Wu","given":"Peng"},{"family":"Wang","given":"Xiaoye"},{"family":"Zhou","given":"Lei"},{"family":"Tong","given":"Yeqing"},{"family":"Ren","given":"Ruiqi"},{"family":"Leung","given":"Kathy S.M."},{"family":"Lau","given":"Eric H.Y."},{"family":"Wong","given":"Jessica Y."},{"family":"Xing","given":"Xuesen"},{"family":"Xiang","given":"Nijuan"},{"family":"Wu","given":"Yang"},{"family":"Li","given":"Chao"},{"family":"Chen","given":"Qi"},{"family":"Li","given":"Dan"},{"family":"Liu","given":"Tian"},{"family":"Zhao","given":"Jing"},{"family":"Liu","given":"Man"},{"family":"Tu","given":"Wenxiao"},{"family":"Chen","given":"Chuding"},{"family":"Jin","given":"Lianmei"},{"family":"Yang","given":"Rui"},{"family":"Wang","given":"Qi"},{"family":"Zhou","given":"Suhua"},{"family":"Wang","given":"Rui"},{"family":"Liu","given":"Hui"},{"family":"Luo","given":"Yinbo"},{"family":"Liu","given":"Yuan"},{"family":"Shao","given":"Ge"},{"family":"Li","given":"Huan"},{"family":"Tao","given":"Zhongfa"},{"family":"Yang","given":"Yang"},{"family":"Deng","given":"Zhiqiang"},{"family":"Liu","given":"Boxi"},{"family":"Ma","given":"Zhitao"},{"family":"Zhang","given":"Yanping"},{"family":"Shi","given":"Guoqing"},{"family":"Lam","given":"Tommy T.Y."},{"family":"Wu","given":"Joseph T."},{"family":"Gao","given":"George F."},{"family":"Cowling","given":"Benjamin J."},{"family":"Yang","given":"Bo"},{"family":"Leung","given":"Gabriel M."},{"family":"Feng","given":"Zijian"}],"issued":{"date-parts":[["2020",3,26]]}}},{"id":621,"uris":["http://zotero.org/users/local/ZR048J0w/items/BTPB3RSQ"],"uri":["http://zotero.org/users/local/ZR048J0w/items/BTPB3RSQ"],"itemData":{"id":621,"type":"article-journal","abstract":"&lt;h2&gt;Summary&lt;/h2&gt;&lt;h3&gt;Background&lt;/h3&gt;&lt;p&gt;Since Dec 31, 2019, the Chinese city of Wuhan has reported an outbreak of atypical pneumonia caused by the 2019 novel coronavirus (2019-nCoV). Cases have been exported to other Chinese cities, as well as internationally, threatening to trigger a global outbreak. Here, we provide an estimate of the size of the epidemic in Wuhan on the basis of the number of cases exported from Wuhan to cities outside mainland China and forecast the extent of the domestic and global public health risks of epidemics, accounting for social and non-pharmaceutical prevention interventions.&lt;/p&gt;&lt;h3&gt;Methods&lt;/h3&gt;&lt;p&gt;We used data from Dec 31, 2019, to Jan 28, 2020, on the number of cases exported from Wuhan internationally (known days of symptom onset from Dec 25, 2019, to Jan 19, 2020) to infer the number of infections in Wuhan from Dec 1, 2019, to Jan 25, 2020. Cases exported domestically were then estimated. We forecasted the national and global spread of 2019-nCoV, accounting for the effect of the metropolitan-wide quarantine of Wuhan and surrounding cities, which began Jan 23–24, 2020. We used data on monthly flight bookings from the Official Aviation Guide and data on human mobility across more than 300 prefecture-level cities in mainland China from the Tencent database. Data on confirmed cases were obtained from the reports published by the Chinese Center for Disease Control and Prevention. Serial interval estimates were based on previous studies of severe acute respiratory syndrome coronavirus (SARS-CoV). A susceptible-exposed-infectious-recovered metapopulation model was used to simulate the epidemics across all major cities in China. The basic reproductive number was estimated using Markov Chain Monte Carlo methods and presented using the resulting posterior mean and 95% credibile interval (CrI).&lt;/p&gt;&lt;h3&gt;Findings&lt;/h3&gt;&lt;p&gt;In our baseline scenario, we estimated that the basic reproductive number for 2019-nCoV was 2·68 (95% CrI 2·47–2·86) and that 75 815 individuals (95% CrI 37 304–130 330) have been infected in Wuhan as of Jan 25, 2020. The epidemic doubling time was 6·4 days (95% CrI 5·8–7·1). We estimated that in the baseline scenario, Chongqing, Beijing, Shanghai, Guangzhou, and Shenzhen had imported 461 (95% CrI 227–805), 113 (57–193), 98 (49–168), 111 (56–191), and 80 (40–139) infections from Wuhan, respectively. If the transmissibility of 2019-nCoV were similar everywhere domestically and over time, we inferred that epidemics are already growing exponentially in multiple major cities of China with a lag time behind the Wuhan outbreak of about 1–2 weeks.&lt;/p&gt;&lt;h3&gt;Interpretation&lt;/h3&gt;&lt;p&gt;Given that 2019-nCoV is no longer contained within Wuhan, other major Chinese cities are probably sustaining localised outbreaks. Large cities overseas with close transport links to China could also become outbreak epicentres, unless substantial public health interventions at both the population and personal levels are implemented immediately. Independent self-sustaining outbreaks in major cities globally could become inevitable because of substantial exportation of presymptomatic cases and in the absence of large-scale public health interventions. Preparedness plans and mitigation interventions should be readied for quick deployment globally.&lt;/p&gt;&lt;h3&gt;Funding&lt;/h3&gt;&lt;p&gt;Health and Medical Research Fund (Hong Kong, China).&lt;/p&gt;","container-title":"The Lancet","DOI":"10.1016/S0140-6736(20)30260-9","ISSN":"0140-6736, 1474-547X","issue":"10225","journalAbbreviation":"The Lancet","language":"English","note":"publisher: Elsevier\nPMID: 32014114","page":"689-697","source":"www.thelancet.com","title":"Nowcasting and forecasting the potential domestic and international spread of the 2019-nCoV outbreak originating in Wuhan, China: a modelling study","title-short":"Nowcasting and forecasting the potential domestic and international spread of the 2019-nCoV outbreak originating in Wuhan, China","volume":"395","author":[{"family":"Wu","given":"Joseph T."},{"family":"Leung","given":"Kathy"},{"family":"Leung","given":"Gabriel M."}],"issued":{"date-parts":[["2020",2,29]]}}}],"schema":"https://github.com/citation-style-language/schema/raw/master/csl-citation.json"} </w:instrText>
      </w:r>
      <w:r w:rsidR="00AA792F"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46,47</w:t>
      </w:r>
      <w:r w:rsidR="00AA792F" w:rsidRPr="009F44A4">
        <w:rPr>
          <w:rFonts w:ascii="Times New Roman" w:eastAsia="Calibri" w:hAnsi="Times New Roman" w:cs="Times New Roman"/>
          <w:color w:val="000000" w:themeColor="text1"/>
          <w:sz w:val="20"/>
          <w:szCs w:val="20"/>
        </w:rPr>
        <w:fldChar w:fldCharType="end"/>
      </w:r>
      <w:r w:rsidR="00864177"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However, this value estimation can vary on the basis of geography, population density and size</w:t>
      </w:r>
      <w:r w:rsidR="00AA792F" w:rsidRPr="009F44A4">
        <w:rPr>
          <w:rFonts w:ascii="Times New Roman" w:eastAsia="Calibri" w:hAnsi="Times New Roman" w:cs="Times New Roman"/>
          <w:color w:val="000000" w:themeColor="text1"/>
          <w:sz w:val="20"/>
          <w:szCs w:val="20"/>
        </w:rPr>
        <w:t xml:space="preserve"> </w:t>
      </w:r>
      <w:r w:rsidR="00AA792F"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{"citationID":"7Xm51ZkG","properties":{"formattedCitation":"\\super 48\\nosupersub{}","plainCitation":"48","noteIndex":0},"citationItems":[{"id":629,"uris":["http://zotero.org/users/local/ZR048J0w/items/AFTZW623"],"uri":["http://zotero.org/users/local/ZR048J0w/items/AFTZW623"],"itemData":{"id":629,"type":"webpage","abstract":"We use artificial intelligence to accurately forecast infections, deaths, and recovery timelines of the COVID-19 / coronavirus pandemic in the US and globally","container-title":"COVID-19 Projections Using Machine Learning","language":"en-US","title":"COVID-19 Projections Using Machine Learning","URL":"https://covid19-projections.com/","accessed":{"date-parts":[["2020",12,17]]}}}],"schema":"https://github.com/citation-style-language/schema/raw/master/csl-citation.json"} </w:instrText>
      </w:r>
      <w:r w:rsidR="00AA792F"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48</w:t>
      </w:r>
      <w:r w:rsidR="00AA792F" w:rsidRPr="009F44A4">
        <w:rPr>
          <w:rFonts w:ascii="Times New Roman" w:eastAsia="Calibri" w:hAnsi="Times New Roman" w:cs="Times New Roman"/>
          <w:color w:val="000000" w:themeColor="text1"/>
          <w:sz w:val="20"/>
          <w:szCs w:val="20"/>
        </w:rPr>
        <w:fldChar w:fldCharType="end"/>
      </w:r>
      <w:r w:rsidR="00AA792F"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Considering all the reports available in the literature, we have observed that the incubation period (detection time) in general for the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is 5 days before any initial symptoms; however, it is likely that the same person can infect anyone after 2-3 days of the infection</w:t>
      </w:r>
      <w:r w:rsidR="00947ECD" w:rsidRPr="009F44A4">
        <w:rPr>
          <w:rFonts w:ascii="Times New Roman" w:eastAsia="Calibri" w:hAnsi="Times New Roman" w:cs="Times New Roman"/>
          <w:color w:val="000000" w:themeColor="text1"/>
          <w:sz w:val="20"/>
          <w:szCs w:val="20"/>
        </w:rPr>
        <w:t xml:space="preserve"> </w:t>
      </w:r>
      <w:r w:rsidR="00947EC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{"citationID":"o0YChdCG","properties":{"formattedCitation":"\\super 49\\nosupersub{}","plainCitation":"49","noteIndex":0},"citationItems":[{"id":631,"uris":["http://zotero.org/users/local/ZR048J0w/items/8ANH6DJZ"],"uri":["http://zotero.org/users/local/ZR048J0w/items/8ANH6DJZ"],"itemData":{"id":631,"type":"article-journal","abstract":"We report temporal patterns of viral shedding in 94 patients with laboratory-confirmed COVID-19 and modeled COVID-19 infectiousness profiles from a separate sample of 77 infector–infectee transmission pairs. We observed the highest viral load in throat swabs at the time of symptom onset, and inferred that infectiousness peaked on or before symptom onset. We estimated that 44% (95% confidence interval, 30–57%) of secondary cases were infected during the index cases’ presymptomatic stage, in settings with substantial household clustering, active case finding and quarantine outside the home. Disease control measures should be adjusted to account for probable substantial presymptomatic transmission.","container-title":"Nature Medicine","DOI":"10.1038/s41591-020-0869-5","ISSN":"1546-170X","issue":"5","language":"en","note":"number: 5\npublisher: Nature Publishing Group","page":"672-675","source":"www.nature.com","title":"Temporal dynamics in viral shedding and transmissibility of COVID-19","volume":"26","author":[{"family":"He","given":"Xi"},{"family":"Lau","given":"Eric H. Y."},{"family":"Wu","given":"Peng"},{"family":"Deng","given":"Xilong"},{"family":"Wang","given":"Jian"},{"family":"Hao","given":"Xinxin"},{"family":"Lau","given":"Yiu Chung"},{"family":"Wong","given":"Jessica Y."},{"family":"Guan","given":"Yujuan"},{"family":"Tan","given":"Xinghua"},{"family":"Mo","given":"Xiaoneng"},{"family":"Chen","given":"Yanqing"},{"family":"Liao","given":"Baolin"},{"family":"Chen","given":"Weilie"},{"family":"Hu","given":"Fengyu"},{"family":"Zhang","given":"Qing"},{"family":"Zhong","given":"Mingqiu"},{"family":"Wu","given":"Yanrong"},{"family":"Zhao","given":"Lingzhai"},{"family":"Zhang","given":"Fuchun"},{"family":"Cowling","given":"Benjamin J."},{"family":"Li","given":"Fang"},{"family":"Leung","given":"Gabriel M."}],"issued":{"date-parts":[["2020",5]]}}}],"schema":"https://github.com/citation-style-language/schema/raw/master/csl-citation.json"} </w:instrText>
      </w:r>
      <w:r w:rsidR="00947EC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49</w:t>
      </w:r>
      <w:r w:rsidR="00947ECD" w:rsidRPr="009F44A4">
        <w:rPr>
          <w:rFonts w:ascii="Times New Roman" w:eastAsia="Calibri" w:hAnsi="Times New Roman" w:cs="Times New Roman"/>
          <w:color w:val="000000" w:themeColor="text1"/>
          <w:sz w:val="20"/>
          <w:szCs w:val="20"/>
        </w:rPr>
        <w:fldChar w:fldCharType="end"/>
      </w:r>
      <w:r w:rsidR="00947ECD"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Although an asymptomatic infection is recommended to be quarantined for at least 14 days, further studies are required to determine the infectivity duration in asymptomatic cases </w:t>
      </w:r>
      <w:r w:rsidR="00947EC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{"citationID":"P4AW3tdS","properties":{"formattedCitation":"\\super 50\\nosupersub{}","plainCitation":"50","noteIndex":0},"citationItems":[{"id":634,"uris":["http://zotero.org/users/local/ZR048J0w/items/HKR86XJB"],"uri":["http://zotero.org/users/local/ZR048J0w/items/HKR86XJB"],"itemData":{"id":634,"type":"article-journal","abstract":"Since the outbreak of coronavirus disease 2019 (COVID-19) in late December 2019, it has brought significant harm and challenges to over 200 countries and regions around the world. However, there is increasing evidence that many patients with COVID-19 are asymptomatic or have only mild symptoms, but they are able to transmit the virus to others. There are difficulties in screening for asymptomatic infections, which makes it more difficult for national prevention and control of this epidemic. This article reviews the characteristics, treatment, and outcomes of asymptomatic infections with COVID-19, hoping it would be helpful for early prevention and control of this severe public health threat worldwide.","container-title":"Journal of Microbiology, Immunology, and Infection","DOI":"10.1016/j.jmii.2020.05.001","ISSN":"1684-1182","journalAbbreviation":"J Microbiol Immunol Infect","note":"PMID: 32425996\nPMCID: PMC7227597","source":"PubMed Central","title":"A systematic review of asymptomatic infections with COVID-19","URL":"https://www.ncbi.nlm.nih.gov/pmc/articles/PMC7227597/","author":[{"family":"Gao","given":"Zhiru"},{"family":"Xu","given":"Yinghui"},{"family":"Sun","given":"Chao"},{"family":"Wang","given":"Xu"},{"family":"Guo","given":"Ye"},{"family":"Qiu","given":"Shi"},{"family":"Ma","given":"Kewei"}],"accessed":{"date-parts":[["2020",12,17]]},"issued":{"date-parts":[["2020",5,15]]}}}],"schema":"https://github.com/citation-style-language/schema/raw/master/csl-citation.json"} </w:instrText>
      </w:r>
      <w:r w:rsidR="00947EC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50</w:t>
      </w:r>
      <w:r w:rsidR="00947ECD" w:rsidRPr="009F44A4">
        <w:rPr>
          <w:rFonts w:ascii="Times New Roman" w:eastAsia="Calibri" w:hAnsi="Times New Roman" w:cs="Times New Roman"/>
          <w:color w:val="000000" w:themeColor="text1"/>
          <w:sz w:val="20"/>
          <w:szCs w:val="20"/>
        </w:rPr>
        <w:fldChar w:fldCharType="end"/>
      </w:r>
      <w:r w:rsidR="00947ECD"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The study recorded that during this phase 44 percent of viral infections occurred</w:t>
      </w:r>
      <w:r w:rsidR="00947ECD" w:rsidRPr="009F44A4">
        <w:rPr>
          <w:rFonts w:ascii="Times New Roman" w:eastAsia="Calibri" w:hAnsi="Times New Roman" w:cs="Times New Roman"/>
          <w:color w:val="000000" w:themeColor="text1"/>
          <w:sz w:val="20"/>
          <w:szCs w:val="20"/>
        </w:rPr>
        <w:t xml:space="preserve"> </w:t>
      </w:r>
      <w:r w:rsidR="00947EC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{"citationID":"gSbMRnP0","properties":{"formattedCitation":"\\super 49,51\\nosupersub{}","plainCitation":"49,51","noteIndex":0},"citationItems":[{"id":631,"uris":["http://zotero.org/users/local/ZR048J0w/items/8ANH6DJZ"],"uri":["http://zotero.org/users/local/ZR048J0w/items/8ANH6DJZ"],"itemData":{"id":631,"type":"article-journal","abstract":"We report temporal patterns of viral shedding in 94 patients with laboratory-confirmed COVID-19 and modeled COVID-19 infectiousness profiles from a separate sample of 77 infector–infectee transmission pairs. We observed the highest viral load in throat swabs at the time of symptom onset, and inferred that infectiousness peaked on or before symptom onset. We estimated that 44% (95% confidence interval, 30–57%) of secondary cases were infected during the index cases’ presymptomatic stage, in settings with substantial household clustering, active case finding and quarantine outside the home. Disease control measures should be adjusted to account for probable substantial presymptomatic transmission.","container-title":"Nature Medicine","DOI":"10.1038/s41591-020-0869-5","ISSN":"1546-170X","issue":"5","language":"en","note":"number: 5\npublisher: Nature Publishing Group","page":"672-675","source":"www.nature.com","title":"Temporal dynamics in viral shedding and transmissibility of COVID-19","volume":"26","author":[{"family":"He","given":"Xi"},{"family":"Lau","given":"Eric H. Y."},{"family":"Wu","given":"Peng"},{"family":"Deng","given":"Xilong"},{"family":"Wang","given":"Jian"},{"family":"Hao","given":"Xinxin"},{"family":"Lau","given":"Yiu Chung"},{"family":"Wong","given":"Jessica Y."},{"family":"Guan","given":"Yujuan"},{"family":"Tan","given":"Xinghua"},{"family":"Mo","given":"Xiaoneng"},{"family":"Chen","given":"Yanqing"},{"family":"Liao","given":"Baolin"},{"family":"Chen","given":"Weilie"},{"family":"Hu","given":"Fengyu"},{"family":"Zhang","given":"Qing"},{"family":"Zhong","given":"Mingqiu"},{"family":"Wu","given":"Yanrong"},{"family":"Zhao","given":"Lingzhai"},{"family":"Zhang","given":"Fuchun"},{"family":"Cowling","given":"Benjamin J."},{"family":"Li","given":"Fang"},{"family":"Leung","given":"Gabriel M."}],"issued":{"date-parts":[["2020",5]]}}},{"id":637,"uris":["http://zotero.org/users/local/ZR048J0w/items/EBNFHBL9"],"uri":["http://zotero.org/users/local/ZR048J0w/items/EBNFHBL9"],"itemData":{"id":637,"type":"webpage","abstract":"Experts say these carriers with no symptoms allow the virus to spread more quickly and more easily. It's one reason face masks have become more important.","container-title":"Healthline","language":"en","title":"50 Percent of People with COVID-19 Aren't Aware They Have Virus","URL":"https://www.healthline.com/health-news/50-percent-of-people-with-covid19-not-aware-have-virus","accessed":{"date-parts":[["2020",12,17]]},"issued":{"date-parts":[["2020",5,28]]}}}],"schema":"https://github.com/citation-style-language/schema/raw/master/csl-citation.json"} </w:instrText>
      </w:r>
      <w:r w:rsidR="00947EC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49,51</w:t>
      </w:r>
      <w:r w:rsidR="00947ECD" w:rsidRPr="009F44A4">
        <w:rPr>
          <w:rFonts w:ascii="Times New Roman" w:eastAsia="Calibri" w:hAnsi="Times New Roman" w:cs="Times New Roman"/>
          <w:color w:val="000000" w:themeColor="text1"/>
          <w:sz w:val="20"/>
          <w:szCs w:val="20"/>
        </w:rPr>
        <w:fldChar w:fldCharType="end"/>
      </w:r>
      <w:r w:rsidR="00947ECD"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As per the CDC, a significant proportion of sick people with no symptoms are infectious </w:t>
      </w:r>
      <w:r w:rsidR="00947EC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{"citationID":"iBG0NhMC","properties":{"formattedCitation":"\\super 51,52\\nosupersub{}","plainCitation":"51,52","noteIndex":0},"citationItems":[{"id":637,"uris":["http://zotero.org/users/local/ZR048J0w/items/EBNFHBL9"],"uri":["http://zotero.org/users/local/ZR048J0w/items/EBNFHBL9"],"itemData":{"id":637,"type":"webpage","abstract":"Experts say these carriers with no symptoms allow the virus to spread more quickly and more easily. It's one reason face masks have become more important.","container-title":"Healthline","language":"en","title":"50 Percent of People with COVID-19 Aren't Aware They Have Virus","URL":"https://www.healthline.com/health-news/50-percent-of-people-with-covid19-not-aware-have-virus","accessed":{"date-parts":[["2020",12,17]]},"issued":{"date-parts":[["2020",5,28]]}}},{"id":640,"uris":["http://zotero.org/users/local/ZR048J0w/items/RD4EFYU8"],"uri":["http://zotero.org/users/local/ZR048J0w/items/RD4EFYU8"],"itemData":{"id":640,"type":"webpage","abstract":"CDC provides credible COVID-19 health information to the U.S.","container-title":"Centers for Disease Control and Prevention","language":"en-us","title":"Coronavirus Disease 2019 (COVID-19)","URL":"https://www.cdc.gov/coronavirus/2019-ncov/hcp/planning-scenarios.html","author":[{"family":"CDC","given":""}],"accessed":{"date-parts":[["2020",12,17]]},"issued":{"date-parts":[["2020",2,11]]}}}],"schema":"https://github.com/citation-style-language/schema/raw/master/csl-citation.json"} </w:instrText>
      </w:r>
      <w:r w:rsidR="00947EC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51,52</w:t>
      </w:r>
      <w:r w:rsidR="00947ECD" w:rsidRPr="009F44A4">
        <w:rPr>
          <w:rFonts w:ascii="Times New Roman" w:eastAsia="Calibri" w:hAnsi="Times New Roman" w:cs="Times New Roman"/>
          <w:color w:val="000000" w:themeColor="text1"/>
          <w:sz w:val="20"/>
          <w:szCs w:val="20"/>
        </w:rPr>
        <w:fldChar w:fldCharType="end"/>
      </w:r>
      <w:r w:rsidR="00947ECD"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b/>
          <w:color w:val="000000" w:themeColor="text1"/>
          <w:sz w:val="20"/>
          <w:szCs w:val="20"/>
        </w:rPr>
        <w:t xml:space="preserve"> </w:t>
      </w:r>
    </w:p>
    <w:p w14:paraId="4A95D821" w14:textId="0C297697" w:rsidR="008D16FE" w:rsidRPr="009F44A4" w:rsidRDefault="00F51E57" w:rsidP="00DC7281">
      <w:pPr>
        <w:shd w:val="clear" w:color="auto" w:fill="FFFFFF" w:themeFill="background1"/>
        <w:spacing w:before="240" w:after="240" w:line="360" w:lineRule="auto"/>
        <w:jc w:val="both"/>
        <w:rPr>
          <w:rFonts w:ascii="Times New Roman" w:hAnsi="Times New Roman" w:cs="Times New Roman"/>
          <w:b/>
          <w:bCs/>
          <w:color w:val="000000" w:themeColor="text1"/>
          <w:sz w:val="20"/>
          <w:szCs w:val="20"/>
          <w:shd w:val="clear" w:color="auto" w:fill="FFFFFF"/>
        </w:rPr>
      </w:pPr>
      <w:r w:rsidRPr="009F44A4">
        <w:rPr>
          <w:rFonts w:ascii="Times New Roman" w:hAnsi="Times New Roman" w:cs="Times New Roman"/>
          <w:color w:val="000000" w:themeColor="text1"/>
          <w:sz w:val="20"/>
          <w:szCs w:val="20"/>
          <w:shd w:val="clear" w:color="auto" w:fill="FFFFFF"/>
        </w:rPr>
        <w:t>On the basis of research data, WHO suggested that kids, pregnant women, cancer patients and people who are above 65 years of age are more prone in comparison to other age bracket and may unfold the sickness and transmission and further added that, since they are at higher risk to get exposed and showing symptoms, they should make sure do self-quarantine and avoid contact with others to prevent further transmission</w:t>
      </w:r>
      <w:r w:rsidR="00855E2E" w:rsidRPr="009F44A4">
        <w:rPr>
          <w:rFonts w:ascii="Times New Roman" w:hAnsi="Times New Roman" w:cs="Times New Roman"/>
          <w:color w:val="000000" w:themeColor="text1"/>
          <w:sz w:val="20"/>
          <w:szCs w:val="20"/>
          <w:shd w:val="clear" w:color="auto" w:fill="FFFFFF"/>
        </w:rPr>
        <w:t xml:space="preserve"> </w:t>
      </w:r>
      <w:r w:rsidR="004D4AA4"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{"citationID":"NYTKaXYz","properties":{"formattedCitation":"\\super 1,52\\nosupersub{}","plainCitation":"1,52","noteIndex":0},"citationItems":[{"id":522,"uris":["http://zotero.org/users/local/ZR048J0w/items/ZMBK34ZW"],"uri":["http://zotero.org/users/local/ZR048J0w/items/ZMBK34ZW"],"itemData":{"id":522,"type":"webpage","abstract":"The daily Situation Report provides the current COVID-19 epidemiological situation and presents official case and death counts and transmission classifications worldwide. This includes a map, epidemic curve, and table allowing users to explore the latest numbers and trends at global, regional and country levels. The report also highlights important recent events and actions taken by WHO and partners.","language":"en","title":"Coronavirus Disease (COVID-19) Situation Reports","URL":"https://www.who.int/emergencies/diseases/novel-coronavirus-2019/situation-reports","accessed":{"date-parts":[["2020",12,8]]}}},{"id":640,"uris":["http://zotero.org/users/local/ZR048J0w/items/RD4EFYU8"],"uri":["http://zotero.org/users/local/ZR048J0w/items/RD4EFYU8"],"itemData":{"id":640,"type":"webpage","abstract":"CDC provides credible COVID-19 health information to the U.S.","container-title":"Centers for Disease Control and Prevention","language":"en-us","title":"Coronavirus Disease 2019 (COVID-19)","URL":"https://www.cdc.gov/coronavirus/2019-ncov/hcp/planning-scenarios.html","author":[{"family":"CDC","given":""}],"accessed":{"date-parts":[["2020",12,17]]},"issued":{"date-parts":[["2020",2,11]]}}}],"schema":"https://github.com/citation-style-language/schema/raw/master/csl-citation.json"} </w:instrText>
      </w:r>
      <w:r w:rsidR="004D4AA4"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1,52</w:t>
      </w:r>
      <w:r w:rsidR="004D4AA4" w:rsidRPr="009F44A4">
        <w:rPr>
          <w:rFonts w:ascii="Times New Roman" w:eastAsia="Calibri" w:hAnsi="Times New Roman" w:cs="Times New Roman"/>
          <w:color w:val="000000" w:themeColor="text1"/>
          <w:sz w:val="20"/>
          <w:szCs w:val="20"/>
        </w:rPr>
        <w:fldChar w:fldCharType="end"/>
      </w:r>
      <w:r w:rsidR="00590F9D"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Studies also indicate the susceptibility of an individual towards infection of this virus based on the blood group. In a study, individuals with A blood group are found to be more vulnerable to get infected with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w:t>
      </w:r>
      <w:r w:rsidR="00C44F1D" w:rsidRPr="009F44A4">
        <w:rPr>
          <w:rFonts w:ascii="Times New Roman" w:eastAsia="Calibri" w:hAnsi="Times New Roman" w:cs="Times New Roman"/>
          <w:color w:val="000000" w:themeColor="text1"/>
          <w:sz w:val="20"/>
          <w:szCs w:val="20"/>
        </w:rPr>
        <w:t xml:space="preserve"> </w:t>
      </w:r>
      <w:r w:rsidR="00C44F1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{"citationID":"cF78G0Oy","properties":{"formattedCitation":"\\super 53\\nosupersub{}","plainCitation":"53","noteIndex":0},"citationItems":[{"id":644,"uris":["http://zotero.org/users/local/ZR048J0w/items/UT3VS7DR"],"uri":["http://zotero.org/users/local/ZR048J0w/items/UT3VS7DR"],"itemData":{"id":644,"type":"webpage","abstract":"How to prevent the spread of COVID-19 in your community. Investigational treatments for COVID-19.","container-title":"Drugs.com","language":"en","title":"COVID-19: Prevention &amp; Investigational Treatments","title-short":"COVID-19","URL":"https://www.drugs.com/condition/covid-19.html","accessed":{"date-parts":[["2020",12,17]]}}}],"schema":"https://github.com/citation-style-language/schema/raw/master/csl-citation.json"} </w:instrText>
      </w:r>
      <w:r w:rsidR="00C44F1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53</w:t>
      </w:r>
      <w:r w:rsidR="00C44F1D" w:rsidRPr="009F44A4">
        <w:rPr>
          <w:rFonts w:ascii="Times New Roman" w:eastAsia="Calibri" w:hAnsi="Times New Roman" w:cs="Times New Roman"/>
          <w:color w:val="000000" w:themeColor="text1"/>
          <w:sz w:val="20"/>
          <w:szCs w:val="20"/>
        </w:rPr>
        <w:fldChar w:fldCharType="end"/>
      </w:r>
      <w:r w:rsidR="00C44F1D" w:rsidRPr="009F44A4">
        <w:rPr>
          <w:rFonts w:ascii="Times New Roman" w:eastAsia="Calibri" w:hAnsi="Times New Roman" w:cs="Times New Roman"/>
          <w:color w:val="000000" w:themeColor="text1"/>
          <w:sz w:val="20"/>
          <w:szCs w:val="20"/>
        </w:rPr>
        <w:t>.</w:t>
      </w:r>
    </w:p>
    <w:p w14:paraId="34170276" w14:textId="7D746A7D" w:rsidR="00F51E57" w:rsidRPr="009F44A4" w:rsidRDefault="00F51E57" w:rsidP="00DC7281">
      <w:pPr>
        <w:shd w:val="clear" w:color="auto" w:fill="FFFFFF" w:themeFill="background1"/>
        <w:spacing w:before="240" w:after="240" w:line="360" w:lineRule="auto"/>
        <w:jc w:val="both"/>
        <w:rPr>
          <w:rFonts w:ascii="Times New Roman" w:eastAsia="Times New Roman" w:hAnsi="Times New Roman" w:cs="Times New Roman"/>
          <w:color w:val="000000" w:themeColor="text1"/>
          <w:sz w:val="20"/>
          <w:szCs w:val="20"/>
          <w:lang w:eastAsia="en-US"/>
        </w:rPr>
      </w:pPr>
      <w:r w:rsidRPr="009F44A4">
        <w:rPr>
          <w:rFonts w:ascii="Times New Roman" w:eastAsia="Times New Roman" w:hAnsi="Times New Roman" w:cs="Times New Roman"/>
          <w:color w:val="000000" w:themeColor="text1"/>
          <w:sz w:val="20"/>
          <w:szCs w:val="20"/>
          <w:shd w:val="clear" w:color="auto" w:fill="FFFFFF"/>
          <w:lang w:eastAsia="en-US"/>
        </w:rPr>
        <w:t xml:space="preserve">According to the World Health Organization (WHO), no research has shown that the Omicron version is more severe than other VOCs (Variants of Concern). Concerns about high transmissibility, virulence, increased risk of reinfection, and decreased efficacy of existing diagnostics, vaccines, and therapies remain unsolved. Chen et al. </w:t>
      </w:r>
      <w:r w:rsidR="00C205E3"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{"citationID":"1nmsoNpb","properties":{"formattedCitation":"\\super 54\\nosupersub{}","plainCitation":"54","noteIndex":0},"citationItems":[{"id":1356,"uris":["http://zotero.org/users/local/ZR048J0w/items/W5ILKVH8"],"uri":["http://zotero.org/users/local/ZR048J0w/items/W5ILKVH8"],"itemData":{"id":1356,"type":"article-journal","abstract":"The latest severe acute respiratory syndrome coronavirus 2 (SARS-CoV-2) variant Omicron (B.1.1.529) has ushered panic responses around the world due to its contagious and vaccine escape mutations. The essential infectivity and antibody resistance of the SARS-CoV-2 variant are determined by its mutations on the spike (S) protein receptor-binding domain (RBD). However, a complete experimental evaluation of Omicron might take weeks or even months. Here, we present a comprehensive quantitative analysis of Omicron’s infectivity, vaccine-breakthrough, and antibody resistance. An artificial intelligence (AI) model, which has been trained with tens of thousands of experimental data points and extensively validated by experimental data on SARS-CoV-2, reveals that Omicron may be over ten times more contagious than the original virus or about twice as infectious as the Delta variant. Based on 132 three-dimensional (3D) structures of antibody-RBD complexes, we unveil that Omicron may be twice more likely to escape current vaccines than the Delta variant. The Food and Drug Administration (FDA)-approved monoclonal antibodies (mAbs) from Eli Lilly may be seriously compromised. Omicron may also diminish the efficacy of mAbs from Celltrion and Rockefeller University. However, its impact to Regeneron mAb cocktail appears to be mild.","container-title":"ArXiv","ISSN":"2331-8422","journalAbbreviation":"ArXiv","note":"PMID: 34873578\nPMCID: PMC8647651","page":"arXiv:2112.01318v1","source":"PubMed Central","title":"Omicron (B.1.1.529): Infectivity, vaccine breakthrough, and antibody resistance","title-short":"Omicron (B.1.1.529)","author":[{"family":"Chen","given":"Jiahui"},{"family":"Wang","given":"Rui"},{"family":"Gilby","given":"Nancy Benovich"},{"family":"Wei","given":"Guo-Wei"}],"issued":{"date-parts":[["2021",12,1]]}}}],"schema":"https://github.com/citation-style-language/schema/raw/master/csl-citation.json"} </w:instrText>
      </w:r>
      <w:r w:rsidR="00C205E3"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54</w:t>
      </w:r>
      <w:r w:rsidR="00C205E3"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 xml:space="preserve"> used an artificial intelligence (AI) model (</w:t>
      </w:r>
      <w:proofErr w:type="spellStart"/>
      <w:r w:rsidRPr="009F44A4">
        <w:rPr>
          <w:rFonts w:ascii="Times New Roman" w:eastAsia="Times New Roman" w:hAnsi="Times New Roman" w:cs="Times New Roman"/>
          <w:color w:val="000000" w:themeColor="text1"/>
          <w:sz w:val="20"/>
          <w:szCs w:val="20"/>
          <w:shd w:val="clear" w:color="auto" w:fill="FFFFFF"/>
          <w:lang w:eastAsia="en-US"/>
        </w:rPr>
        <w:t>TopNetmAb</w:t>
      </w:r>
      <w:proofErr w:type="spellEnd"/>
      <w:r w:rsidRPr="009F44A4">
        <w:rPr>
          <w:rFonts w:ascii="Times New Roman" w:eastAsia="Times New Roman" w:hAnsi="Times New Roman" w:cs="Times New Roman"/>
          <w:color w:val="000000" w:themeColor="text1"/>
          <w:sz w:val="20"/>
          <w:szCs w:val="20"/>
          <w:shd w:val="clear" w:color="auto" w:fill="FFFFFF"/>
          <w:lang w:eastAsia="en-US"/>
        </w:rPr>
        <w:t>) to predict the effect of 15 RBD mutations on the Omicron infectivity and efficacy of current vaccinations. The analysis found that mutations at the N440K, T478K and N501Y locations may confer ten times and two times greater infectivity to Omicron, respectively, than the original SARS-</w:t>
      </w:r>
      <w:proofErr w:type="spellStart"/>
      <w:r w:rsidRPr="009F44A4">
        <w:rPr>
          <w:rFonts w:ascii="Times New Roman" w:eastAsia="Times New Roman" w:hAnsi="Times New Roman" w:cs="Times New Roman"/>
          <w:color w:val="000000" w:themeColor="text1"/>
          <w:sz w:val="20"/>
          <w:szCs w:val="20"/>
          <w:shd w:val="clear" w:color="auto" w:fill="FFFFFF"/>
          <w:lang w:eastAsia="en-US"/>
        </w:rPr>
        <w:t>CoV</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-2 and Delta variant. A study of 35,670 reinfections among 2.8 million positive cases in South Africa found significant population-level evidence for immune evasion from past infection. This suggests that the Omicron variation is involved in infections in people who have recovered </w:t>
      </w:r>
      <w:r w:rsidR="00E57392"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{"citationID":"wtS4LXX5","properties":{"formattedCitation":"\\super 55\\nosupersub{}","plainCitation":"55","noteIndex":0},"citationItems":[{"id":1359,"uris":["http://zotero.org/users/local/ZR048J0w/items/LH7V5T3B"],"uri":["http://zotero.org/users/local/ZR048J0w/items/LH7V5T3B"],"itemData":{"id":1359,"type":"article-journal","abstract":"We provide two methods for monitoring reinfection trends in routine surveillance data to identify signatures of changes in reinfection risk and apply these approaches to data from South Africa's severe acute respiratory syndrome coronavirus 2 (SARS-CoV-2) epidemic to date. Although we found no evidence of increased reinfection risk associated with circulation of the Beta (B.1.351) or Delta (B.1.617.2) variants, we did find clear, population-level evidence to suggest immune evasion by the Omicron (B.1.1.529) variant in previously infected individuals in South Africa. Reinfections occurring between 1 November 2021 and 31 January 2022 were detected in individuals infected in all three previous waves, and there has been an increase in the risk of having a third infection since mid-November 2021.","container-title":"Science (New York, N.Y.)","DOI":"10.1126/science.abn4947","ISSN":"1095-9203","issue":"6593","journalAbbreviation":"Science","language":"eng","note":"PMID: 35289632\nPMCID: PMC8995029","page":"eabn4947","source":"PubMed","title":"Increased risk of SARS-CoV-2 reinfection associated with emergence of Omicron in South Africa","volume":"376","author":[{"family":"Pulliam","given":"Juliet R. C."},{"family":"Schalkwyk","given":"Cari","non-dropping-particle":"van"},{"family":"Govender","given":"Nevashan"},{"family":"Gottberg","given":"Anne","non-dropping-particle":"von"},{"family":"Cohen","given":"Cheryl"},{"family":"Groome","given":"Michelle J."},{"family":"Dushoff","given":"Jonathan"},{"family":"Mlisana","given":"Koleka"},{"family":"Moultrie","given":"Harry"}],"issued":{"date-parts":[["2022",5,6]]}}}],"schema":"https://github.com/citation-style-language/schema/raw/master/csl-citation.json"} </w:instrText>
      </w:r>
      <w:r w:rsidR="00E57392"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55</w:t>
      </w:r>
      <w:r w:rsidR="00E57392"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 In support of this, the Omicron (</w:t>
      </w:r>
      <w:proofErr w:type="spellStart"/>
      <w:r w:rsidRPr="009F44A4">
        <w:rPr>
          <w:rFonts w:ascii="Times New Roman" w:eastAsia="Times New Roman" w:hAnsi="Times New Roman" w:cs="Times New Roman"/>
          <w:color w:val="000000" w:themeColor="text1"/>
          <w:sz w:val="20"/>
          <w:szCs w:val="20"/>
          <w:shd w:val="clear" w:color="auto" w:fill="FFFFFF"/>
          <w:lang w:eastAsia="en-US"/>
        </w:rPr>
        <w:t>pseudotyped</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 construct demonstrated an ED50 of 66 when evaluated against a panel of human sera collected from convalescent COVID-19 patients, representing a 8.4-fold reduction in neutralization </w:t>
      </w:r>
      <w:r w:rsidR="00C205E3"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{"citationID":"VvEPpzoL","properties":{"formattedCitation":"\\super 56\\nosupersub{}","plainCitation":"56","noteIndex":0},"citationItems":[{"id":1365,"uris":["http://zotero.org/users/local/ZR048J0w/items/X5QVNET2"],"uri":["http://zotero.org/users/local/ZR048J0w/items/X5QVNET2"],"itemData":{"id":1365,"type":"article-journal","abstract":"The emergence of Omicron/BA.1 has brought new challenges to fight against SARS-CoV-2. A large number of mutations in the Spike protein suggest that its susceptibility to immune protection elicited by the existing COVID-19 infection and vaccines may be altered. In this study, we constructed the pseudotyped SARS-CoV-2 variant Omicron. The sensitivity of 28 serum samples from COVID-19 convalescent patients infected with SARS-CoV-2 original strain was tested against pseudotyped Omicron as well as the other variants of concern (VOCs, Alpha, Beta, Gamma, Delta) and variants of interest (VOIs, Lambda, Mu). Our results indicated that the mean neutralization ED50 of these sera against Omicron decreased to 66, which is about 8.4-folds compared to the D614G reference strain (ED50 = 556), whereas the neutralization activity of other VOC and VOI pseudotyped viruses decreased only about 1.2-4.5-folds. The finding from our in vitro assay suggest that Omicron variant may lead to more significant escape from immune protection elicited by previous SARS-CoV-2 infection and perhaps even by existing COVID-19 vaccines.","container-title":"Emerging Microbes &amp; Infections","DOI":"10.1080/22221751.2021.2017757","ISSN":"2222-1751","issue":"1","journalAbbreviation":"Emerg Microbes Infect","language":"eng","note":"PMID: 34890524\nPMCID: PMC8725892","page":"1-5","source":"PubMed","title":"The significant immune escape of pseudotyped SARS-CoV-2 variant Omicron","volume":"11","author":[{"family":"Zhang","given":"Li"},{"family":"Li","given":"Qianqian"},{"family":"Liang","given":"Ziteng"},{"family":"Li","given":"Tao"},{"family":"Liu","given":"Shuo"},{"family":"Cui","given":"Qianqian"},{"family":"Nie","given":"Jianhui"},{"family":"Wu","given":"Qian"},{"family":"Qu","given":"Xiaowang"},{"family":"Huang","given":"Weijin"},{"family":"Wang","given":"Youchun"}],"issued":{"date-parts":[["2022",12]]}}}],"schema":"https://github.com/citation-style-language/schema/raw/master/csl-citation.json"} </w:instrText>
      </w:r>
      <w:r w:rsidR="00C205E3"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56</w:t>
      </w:r>
      <w:r w:rsidR="00C205E3"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w:t>
      </w:r>
    </w:p>
    <w:p w14:paraId="71C62CF9" w14:textId="169DD5F8" w:rsidR="00F51E57" w:rsidRPr="009F44A4" w:rsidRDefault="00F51E57" w:rsidP="00DC7281">
      <w:pPr>
        <w:shd w:val="clear" w:color="auto" w:fill="FFFFFF" w:themeFill="background1"/>
        <w:spacing w:line="360" w:lineRule="auto"/>
        <w:jc w:val="both"/>
        <w:rPr>
          <w:rFonts w:ascii="Times New Roman" w:eastAsia="Times New Roman" w:hAnsi="Times New Roman" w:cs="Times New Roman"/>
          <w:color w:val="000000" w:themeColor="text1"/>
          <w:sz w:val="20"/>
          <w:szCs w:val="20"/>
          <w:lang w:eastAsia="en-US"/>
        </w:rPr>
      </w:pPr>
      <w:r w:rsidRPr="009F44A4">
        <w:rPr>
          <w:rFonts w:ascii="Times New Roman" w:eastAsia="Times New Roman" w:hAnsi="Times New Roman" w:cs="Times New Roman"/>
          <w:color w:val="000000" w:themeColor="text1"/>
          <w:sz w:val="20"/>
          <w:szCs w:val="20"/>
          <w:shd w:val="clear" w:color="auto" w:fill="FFFFFF"/>
          <w:lang w:eastAsia="en-US"/>
        </w:rPr>
        <w:t xml:space="preserve">The Omicron version shows a 13 fold increase in infectiousness, making it approximately 2.8 times more infectious than the Delta variant </w:t>
      </w:r>
      <w:r w:rsidR="00C205E3"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{"citationID":"oDEYoNun","properties":{"formattedCitation":"\\super 54\\nosupersub{}","plainCitation":"54","noteIndex":0},"citationItems":[{"id":1356,"uris":["http://zotero.org/users/local/ZR048J0w/items/W5ILKVH8"],"uri":["http://zotero.org/users/local/ZR048J0w/items/W5ILKVH8"],"itemData":{"id":1356,"type":"article-journal","abstract":"The latest severe acute respiratory syndrome coronavirus 2 (SARS-CoV-2) variant Omicron (B.1.1.529) has ushered panic responses around the world due to its contagious and vaccine escape mutations. The essential infectivity and antibody resistance of the SARS-CoV-2 variant are determined by its mutations on the spike (S) protein receptor-binding domain (RBD). However, a complete experimental evaluation of Omicron might take weeks or even months. Here, we present a comprehensive quantitative analysis of Omicron’s infectivity, vaccine-breakthrough, and antibody resistance. An artificial intelligence (AI) model, which has been trained with tens of thousands of experimental data points and extensively validated by experimental data on SARS-CoV-2, reveals that Omicron may be over ten times more contagious than the original virus or about twice as infectious as the Delta variant. Based on 132 three-dimensional (3D) structures of antibody-RBD complexes, we unveil that Omicron may be twice more likely to escape current vaccines than the Delta variant. The Food and Drug Administration (FDA)-approved monoclonal antibodies (mAbs) from Eli Lilly may be seriously compromised. Omicron may also diminish the efficacy of mAbs from Celltrion and Rockefeller University. However, its impact to Regeneron mAb cocktail appears to be mild.","container-title":"ArXiv","ISSN":"2331-8422","journalAbbreviation":"ArXiv","note":"PMID: 34873578\nPMCID: PMC8647651","page":"arXiv:2112.01318v1","source":"PubMed Central","title":"Omicron (B.1.1.529): Infectivity, vaccine breakthrough, and antibody resistance","title-short":"Omicron (B.1.1.529)","author":[{"family":"Chen","given":"Jiahui"},{"family":"Wang","given":"Rui"},{"family":"Gilby","given":"Nancy Benovich"},{"family":"Wei","given":"Guo-Wei"}],"issued":{"date-parts":[["2021",12,1]]}}}],"schema":"https://github.com/citation-style-language/schema/raw/master/csl-citation.json"} </w:instrText>
      </w:r>
      <w:r w:rsidR="00C205E3"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54</w:t>
      </w:r>
      <w:r w:rsidR="00C205E3"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 The Omicron variant's basic reproductive number (</w:t>
      </w:r>
      <w:proofErr w:type="spellStart"/>
      <w:r w:rsidRPr="009F44A4">
        <w:rPr>
          <w:rFonts w:ascii="Times New Roman" w:eastAsia="Times New Roman" w:hAnsi="Times New Roman" w:cs="Times New Roman"/>
          <w:color w:val="000000" w:themeColor="text1"/>
          <w:sz w:val="20"/>
          <w:szCs w:val="20"/>
          <w:shd w:val="clear" w:color="auto" w:fill="FFFFFF"/>
          <w:lang w:eastAsia="en-US"/>
        </w:rPr>
        <w:t>R0</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 or the average number of additional cases created by a single infected individual, is similarly increased. The original </w:t>
      </w:r>
      <w:proofErr w:type="spellStart"/>
      <w:r w:rsidRPr="009F44A4">
        <w:rPr>
          <w:rFonts w:ascii="Times New Roman" w:eastAsia="Times New Roman" w:hAnsi="Times New Roman" w:cs="Times New Roman"/>
          <w:color w:val="000000" w:themeColor="text1"/>
          <w:sz w:val="20"/>
          <w:szCs w:val="20"/>
          <w:shd w:val="clear" w:color="auto" w:fill="FFFFFF"/>
          <w:lang w:eastAsia="en-US"/>
        </w:rPr>
        <w:t>SARSCoV2</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 strain has a </w:t>
      </w:r>
      <w:proofErr w:type="spellStart"/>
      <w:r w:rsidRPr="009F44A4">
        <w:rPr>
          <w:rFonts w:ascii="Times New Roman" w:eastAsia="Times New Roman" w:hAnsi="Times New Roman" w:cs="Times New Roman"/>
          <w:color w:val="000000" w:themeColor="text1"/>
          <w:sz w:val="20"/>
          <w:szCs w:val="20"/>
          <w:shd w:val="clear" w:color="auto" w:fill="FFFFFF"/>
          <w:lang w:eastAsia="en-US"/>
        </w:rPr>
        <w:t>R0</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 of 2-3, the Delta variation has a </w:t>
      </w:r>
      <w:proofErr w:type="spellStart"/>
      <w:r w:rsidRPr="009F44A4">
        <w:rPr>
          <w:rFonts w:ascii="Times New Roman" w:eastAsia="Times New Roman" w:hAnsi="Times New Roman" w:cs="Times New Roman"/>
          <w:color w:val="000000" w:themeColor="text1"/>
          <w:sz w:val="20"/>
          <w:szCs w:val="20"/>
          <w:shd w:val="clear" w:color="auto" w:fill="FFFFFF"/>
          <w:lang w:eastAsia="en-US"/>
        </w:rPr>
        <w:t>R0</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 of 5-8, and Omicron's </w:t>
      </w:r>
      <w:proofErr w:type="spellStart"/>
      <w:r w:rsidRPr="009F44A4">
        <w:rPr>
          <w:rFonts w:ascii="Times New Roman" w:eastAsia="Times New Roman" w:hAnsi="Times New Roman" w:cs="Times New Roman"/>
          <w:color w:val="000000" w:themeColor="text1"/>
          <w:sz w:val="20"/>
          <w:szCs w:val="20"/>
          <w:shd w:val="clear" w:color="auto" w:fill="FFFFFF"/>
          <w:lang w:eastAsia="en-US"/>
        </w:rPr>
        <w:t>R0</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 is believed to be as high as 10 </w:t>
      </w:r>
      <w:r w:rsidR="00B82C07"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{"citationID":"17vy4Oxm","properties":{"formattedCitation":"\\super 57\\uc0\\u8211{}59\\nosupersub{}","plainCitation":"57–59","noteIndex":0},"citationItems":[{"id":1374,"uris":["http://zotero.org/users/local/ZR048J0w/items/6N7H9JVR"],"uri":["http://zotero.org/users/local/ZR048J0w/items/6N7H9JVR"],"itemData":{"id":1374,"type":"article-journal","container-title":"The Lancet. Respiratory Medicine","DOI":"10.1016/S2213-2600(21)00559-2","ISSN":"2213-2619","issue":"2","journalAbbreviation":"Lancet Respir Med","language":"eng","note":"PMID: 34929158\nPMCID: PMC8683118","page":"e17","source":"PubMed","title":"Omicron variant and booster COVID-19 vaccines","volume":"10","author":[{"family":"Burki","given":"Talha Khan"}],"issued":{"date-parts":[["2022",2]]}}},{"id":1371,"uris":["http://zotero.org/users/local/ZR048J0w/items/7DYCYRMF"],"uri":["http://zotero.org/users/local/ZR048J0w/items/7DYCYRMF"],"itemData":{"id":1371,"type":"article-journal","abstract":"We present a global analysis of the spread of recently emerged SARS-CoV-2 variants and estimate changes in effective reproduction numbers at country-specific level using sequence data from GISAID. Nearly all investigated countries demonstrated rapid replacement of previously circulating lineages by the World Health Organization-designated variants of concern, with estimated transmissibility increases of 29% (95% CI: 24-33), 25% (95% CI: 20-30), 38% (95% CI: 29-48) and 97% (95% CI: 76-117), respectively, for B.1.1.7, B.1.351, P.1 and B.1.617.2.","container-title":"Euro Surveillance: Bulletin Europeen Sur Les Maladies Transmissibles = European Communicable Disease Bulletin","DOI":"10.2807/1560-7917.ES.2021.26.24.2100509","ISSN":"1560-7917","issue":"24","journalAbbreviation":"Euro Surveill","language":"eng","note":"PMID: 34142653\nPMCID: PMC8212592","source":"PubMed","title":"Increased transmissibility and global spread of SARS-CoV-2 variants of concern as at June 2021","volume":"26","author":[{"family":"Campbell","given":"Finlay"},{"family":"Archer","given":"Brett"},{"family":"Laurenson-Schafer","given":"Henry"},{"family":"Jinnai","given":"Yuka"},{"family":"Konings","given":"Franck"},{"family":"Batra","given":"Neale"},{"family":"Pavlin","given":"Boris"},{"family":"Vandemaele","given":"Katelijn"},{"family":"Van Kerkhove","given":"Maria D."},{"family":"Jombart","given":"Thibaut"},{"family":"Morgan","given":"Oliver"},{"family":"Polain de Waroux","given":"Olivier","non-dropping-particle":"le"}],"issued":{"date-parts":[["2021",6]]}}},{"id":833,"uris":["http://zotero.org/users/local/ZR048J0w/items/QSQ65XAZ"],"uri":["http://zotero.org/users/local/ZR048J0w/items/QSQ65XAZ"],"itemData":{"id":833,"type":"article-journal","abstract":"Coronavirus disease 2019 (COVID-19) caused by severe acute respiratory syndrome coronavirus 2 (SARS-CoV-2) has recently become a pandemic. As the sudden emergence and rapid spread of SARS-CoV-2 is endangering global health and the economy, the development of strategies to contain the virus's spread are urgently needed. At present, various diagnostic kits to test for SARS-CoV-2 are available for use to initiate appropriate treatment faster and to limit further spread of the virus. Several drugs have demonstrated in vitro activity against SARS-CoV-2 or potential clinical benefits. In addition, institutions and companies worldwide are working tirelessly to develop treatments and vaccines against COVID-19. However, no drug or vaccine has yet been specifically approved for COVID-19. Given the urgency of the outbreak, we focus here on recent advances in the diagnostics, treatment, and vaccine development for SARS-CoV-2 infection, helping to guide strategies to address the current COVID-19 pandemic.","container-title":"Theranostics","DOI":"10.7150/thno.47987","ISSN":"1838-7640","issue":"17","journalAbbreviation":"Theranostics","language":"eng","note":"PMID: 32685022\nPMCID: PMC7359073","page":"7821-7835","source":"PubMed","title":"COVID-19: Progress in diagnostics, therapy and vaccination","title-short":"COVID-19","volume":"10","author":[{"family":"Liu","given":"Xue"},{"family":"Liu","given":"Chao"},{"family":"Liu","given":"Gang"},{"family":"Luo","given":"Wenxin"},{"family":"Xia","given":"Ningshao"}],"issued":{"date-parts":[["2020"]]}}}],"schema":"https://github.com/citation-style-language/schema/raw/master/csl-citation.json"} </w:instrText>
      </w:r>
      <w:r w:rsidR="00B82C07"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57–59</w:t>
      </w:r>
      <w:r w:rsidR="00B82C07" w:rsidRPr="009F44A4">
        <w:rPr>
          <w:rFonts w:ascii="Times New Roman" w:eastAsia="Times New Roman" w:hAnsi="Times New Roman" w:cs="Times New Roman"/>
          <w:color w:val="000000" w:themeColor="text1"/>
          <w:sz w:val="20"/>
          <w:szCs w:val="20"/>
          <w:shd w:val="clear" w:color="auto" w:fill="FFFFFF"/>
          <w:lang w:eastAsia="en-US"/>
        </w:rPr>
        <w:fldChar w:fldCharType="end"/>
      </w:r>
      <w:r w:rsidR="00B82C07" w:rsidRPr="009F44A4">
        <w:rPr>
          <w:rFonts w:ascii="Times New Roman" w:eastAsia="Times New Roman" w:hAnsi="Times New Roman" w:cs="Times New Roman"/>
          <w:color w:val="000000" w:themeColor="text1"/>
          <w:sz w:val="20"/>
          <w:szCs w:val="20"/>
          <w:shd w:val="clear" w:color="auto" w:fill="FFFFFF"/>
          <w:lang w:eastAsia="en-US"/>
        </w:rPr>
        <w:t>.</w:t>
      </w:r>
    </w:p>
    <w:p w14:paraId="719149BE" w14:textId="77777777" w:rsidR="008D16FE" w:rsidRPr="009F44A4" w:rsidRDefault="00C02138" w:rsidP="00DC7281">
      <w:pPr>
        <w:pStyle w:val="Heading3"/>
        <w:numPr>
          <w:ilvl w:val="0"/>
          <w:numId w:val="6"/>
        </w:numPr>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lastRenderedPageBreak/>
        <w:t>Diagnostic approaches for COVID-19</w:t>
      </w:r>
    </w:p>
    <w:p w14:paraId="6DC70378" w14:textId="79F3C3EF" w:rsidR="008D16FE" w:rsidRPr="009F44A4" w:rsidRDefault="00C02138"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u w:val="single"/>
        </w:rPr>
      </w:pPr>
      <w:r w:rsidRPr="009F44A4">
        <w:rPr>
          <w:rFonts w:ascii="Times New Roman" w:eastAsia="Calibri" w:hAnsi="Times New Roman" w:cs="Times New Roman"/>
          <w:color w:val="000000" w:themeColor="text1"/>
          <w:sz w:val="20"/>
          <w:szCs w:val="20"/>
        </w:rPr>
        <w:t>COVID-19 diagnostic testing is critical to the monitoring of the virus, knowledge of its epidemiology, the reporting of case monitoring and to preventing the spread of the virus. For understanding drug repurposing, management of cases and control transmission, it is important to diagnose and trace the virus</w:t>
      </w:r>
      <w:r w:rsidR="00C44F1D" w:rsidRPr="009F44A4">
        <w:rPr>
          <w:rFonts w:ascii="Times New Roman" w:eastAsia="Calibri" w:hAnsi="Times New Roman" w:cs="Times New Roman"/>
          <w:color w:val="000000" w:themeColor="text1"/>
          <w:sz w:val="20"/>
          <w:szCs w:val="20"/>
        </w:rPr>
        <w:t xml:space="preserve"> </w:t>
      </w:r>
      <w:r w:rsidR="00C44F1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{"citationID":"gAsvXym1","properties":{"formattedCitation":"\\super 60\\nosupersub{}","plainCitation":"60","noteIndex":0},"citationItems":[{"id":646,"uris":["http://zotero.org/users/local/ZR048J0w/items/BTNLDNBE"],"uri":["http://zotero.org/users/local/ZR048J0w/items/BTNLDNBE"],"itemData":{"id":646,"type":"webpage","abstract":"Collection of WHO technical guidance on COVID-19, updated based on new scientific findings as the epidemic evolves.","language":"en","title":"Technical guidance publications","URL":"https://www.who.int/emergencies/diseases/novel-coronavirus-2019/technical-guidance-publications","accessed":{"date-parts":[["2020",12,17]]}}}],"schema":"https://github.com/citation-style-language/schema/raw/master/csl-citation.json"} </w:instrText>
      </w:r>
      <w:r w:rsidR="00C44F1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60</w:t>
      </w:r>
      <w:r w:rsidR="00C44F1D" w:rsidRPr="009F44A4">
        <w:rPr>
          <w:rFonts w:ascii="Times New Roman" w:eastAsia="Calibri" w:hAnsi="Times New Roman" w:cs="Times New Roman"/>
          <w:color w:val="000000" w:themeColor="text1"/>
          <w:sz w:val="20"/>
          <w:szCs w:val="20"/>
        </w:rPr>
        <w:fldChar w:fldCharType="end"/>
      </w:r>
      <w:r w:rsidR="00C44F1D"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On January 17, 2020, WHO released guidelines for laboratory testing of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suspected individuals; acknowledging the point that the worldwide unfold of COVID-19 has surprisingly redoubled the quantity of suspected cases in the geographic regions wherever testing is increased and enforced properly. Rigorous tracing and testing of COVID-19 suspects have also led to a shortfall of testing reagents worldwide and alternative molecular medicines or repurposed drugs. In addition, there are constraints of treatment capability in several regions particularly in low and medium earning countries</w:t>
      </w:r>
      <w:r w:rsidR="00C44F1D" w:rsidRPr="009F44A4">
        <w:rPr>
          <w:rFonts w:ascii="Times New Roman" w:eastAsia="Calibri" w:hAnsi="Times New Roman" w:cs="Times New Roman"/>
          <w:color w:val="000000" w:themeColor="text1"/>
          <w:sz w:val="20"/>
          <w:szCs w:val="20"/>
        </w:rPr>
        <w:t xml:space="preserve"> </w:t>
      </w:r>
      <w:r w:rsidR="00C44F1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{"citationID":"7j6nTrnD","properties":{"formattedCitation":"\\super 61\\nosupersub{}","plainCitation":"61","noteIndex":0},"citationItems":[{"id":648,"uris":["http://zotero.org/users/local/ZR048J0w/items/7H6Q88WD"],"uri":["http://zotero.org/users/local/ZR048J0w/items/7H6Q88WD"],"itemData":{"id":648,"type":"book","abstract":"6 p.","ISBN":"978-92-4-000097-1","language":"en","note":"Accepted: 2020-01-30T11:22:50Z","publisher":"World Health Organization","source":"apps.who.int","title":"Laboratory testing of 2019 novel coronavirus (‎‎‎‎‎‎‎‎‎‎‎2019-nCoV)‎‎‎‎‎‎‎‎‎‎‎ in suspected human cases: interim guidance, 17 January 2020","title-short":"Laboratory testing of 2019 novel coronavirus (‎‎‎‎‎‎‎‎‎‎‎2019-nCoV)‎‎‎‎‎‎‎‎‎‎‎ in suspected human cases","URL":"https://apps.who.int/iris/handle/10665/330676","author":[{"family":"Organization","given":"World Health"}],"accessed":{"date-parts":[["2020",12,17]]},"issued":{"date-parts":[["2020"]]}}}],"schema":"https://github.com/citation-style-language/schema/raw/master/csl-citation.json"} </w:instrText>
      </w:r>
      <w:r w:rsidR="00C44F1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61</w:t>
      </w:r>
      <w:r w:rsidR="00C44F1D" w:rsidRPr="009F44A4">
        <w:rPr>
          <w:rFonts w:ascii="Times New Roman" w:eastAsia="Calibri" w:hAnsi="Times New Roman" w:cs="Times New Roman"/>
          <w:color w:val="000000" w:themeColor="text1"/>
          <w:sz w:val="20"/>
          <w:szCs w:val="20"/>
        </w:rPr>
        <w:fldChar w:fldCharType="end"/>
      </w:r>
      <w:r w:rsidR="00C44F1D"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Presently, there are multiple ways that are being utilized for testing COVID-19 suspects that are as follows-</w:t>
      </w:r>
    </w:p>
    <w:p w14:paraId="06DCFFC5" w14:textId="3368FC00" w:rsidR="008D16FE" w:rsidRPr="009F44A4" w:rsidRDefault="00F535D3" w:rsidP="00DC7281">
      <w:pPr>
        <w:pStyle w:val="Heading4"/>
        <w:numPr>
          <w:ilvl w:val="1"/>
          <w:numId w:val="7"/>
        </w:numPr>
        <w:shd w:val="clear" w:color="auto" w:fill="FFFFFF" w:themeFill="background1"/>
        <w:spacing w:line="360" w:lineRule="auto"/>
        <w:ind w:left="360"/>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 xml:space="preserve"> </w:t>
      </w:r>
      <w:r w:rsidR="00C02138" w:rsidRPr="009F44A4">
        <w:rPr>
          <w:rFonts w:ascii="Times New Roman" w:eastAsia="Calibri" w:hAnsi="Times New Roman" w:cs="Times New Roman"/>
          <w:b/>
          <w:color w:val="000000" w:themeColor="text1"/>
          <w:sz w:val="20"/>
          <w:szCs w:val="20"/>
        </w:rPr>
        <w:t xml:space="preserve">Real time RT-PCR </w:t>
      </w:r>
    </w:p>
    <w:p w14:paraId="674CCEB4" w14:textId="1C1D5FBF"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In laboratories that have validated a wide range of coronaviruses using real time reverse transcription polymerase chain reaction (RT-PCR) assays, it is strongly recommended that the primers be checked against the published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genomic sequence, as well as be tested if the primers overlap and have the capability to identify the presence of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 xml:space="preserve">-2. In order to determine the exact virus detected (e.g. on an </w:t>
      </w:r>
      <w:proofErr w:type="spellStart"/>
      <w:r w:rsidRPr="009F44A4">
        <w:rPr>
          <w:rFonts w:ascii="Times New Roman" w:eastAsia="Calibri" w:hAnsi="Times New Roman" w:cs="Times New Roman"/>
          <w:color w:val="000000" w:themeColor="text1"/>
          <w:sz w:val="20"/>
          <w:szCs w:val="20"/>
        </w:rPr>
        <w:t>amplicon</w:t>
      </w:r>
      <w:proofErr w:type="spellEnd"/>
      <w:r w:rsidRPr="009F44A4">
        <w:rPr>
          <w:rFonts w:ascii="Times New Roman" w:eastAsia="Calibri" w:hAnsi="Times New Roman" w:cs="Times New Roman"/>
          <w:color w:val="000000" w:themeColor="text1"/>
          <w:sz w:val="20"/>
          <w:szCs w:val="20"/>
        </w:rPr>
        <w:t xml:space="preserve"> of an </w:t>
      </w:r>
      <w:proofErr w:type="spellStart"/>
      <w:r w:rsidRPr="009F44A4">
        <w:rPr>
          <w:rFonts w:ascii="Times New Roman" w:eastAsia="Calibri" w:hAnsi="Times New Roman" w:cs="Times New Roman"/>
          <w:color w:val="000000" w:themeColor="text1"/>
          <w:sz w:val="20"/>
          <w:szCs w:val="20"/>
        </w:rPr>
        <w:t>unconserved</w:t>
      </w:r>
      <w:proofErr w:type="spellEnd"/>
      <w:r w:rsidRPr="009F44A4">
        <w:rPr>
          <w:rFonts w:ascii="Times New Roman" w:eastAsia="Calibri" w:hAnsi="Times New Roman" w:cs="Times New Roman"/>
          <w:color w:val="000000" w:themeColor="text1"/>
          <w:sz w:val="20"/>
          <w:szCs w:val="20"/>
        </w:rPr>
        <w:t xml:space="preserve"> region), sequencing should be performed on positive tests. On January 17, 2020, WHO suggested visualizing the primers against the revealed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genomic sequence and observing if primers complement and have the capability to find the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w:t>
      </w:r>
      <w:r w:rsidR="004F35EE" w:rsidRPr="009F44A4">
        <w:rPr>
          <w:rFonts w:ascii="Times New Roman" w:eastAsia="Calibri" w:hAnsi="Times New Roman" w:cs="Times New Roman"/>
          <w:color w:val="000000" w:themeColor="text1"/>
          <w:sz w:val="20"/>
          <w:szCs w:val="20"/>
        </w:rPr>
        <w:t xml:space="preserve"> </w:t>
      </w:r>
      <w:r w:rsidR="004F35E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{"citationID":"QVWmO3bq","properties":{"formattedCitation":"\\super 61\\nosupersub{}","plainCitation":"61","noteIndex":0},"citationItems":[{"id":648,"uris":["http://zotero.org/users/local/ZR048J0w/items/7H6Q88WD"],"uri":["http://zotero.org/users/local/ZR048J0w/items/7H6Q88WD"],"itemData":{"id":648,"type":"book","abstract":"6 p.","ISBN":"978-92-4-000097-1","language":"en","note":"Accepted: 2020-01-30T11:22:50Z","publisher":"World Health Organization","source":"apps.who.int","title":"Laboratory testing of 2019 novel coronavirus (‎‎‎‎‎‎‎‎‎‎‎2019-nCoV)‎‎‎‎‎‎‎‎‎‎‎ in suspected human cases: interim guidance, 17 January 2020","title-short":"Laboratory testing of 2019 novel coronavirus (‎‎‎‎‎‎‎‎‎‎‎2019-nCoV)‎‎‎‎‎‎‎‎‎‎‎ in suspected human cases","URL":"https://apps.who.int/iris/handle/10665/330676","author":[{"family":"Organization","given":"World Health"}],"accessed":{"date-parts":[["2020",12,17]]},"issued":{"date-parts":[["2020"]]}}}],"schema":"https://github.com/citation-style-language/schema/raw/master/csl-citation.json"} </w:instrText>
      </w:r>
      <w:r w:rsidR="004F35E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61</w:t>
      </w:r>
      <w:r w:rsidR="004F35EE" w:rsidRPr="009F44A4">
        <w:rPr>
          <w:rFonts w:ascii="Times New Roman" w:eastAsia="Calibri" w:hAnsi="Times New Roman" w:cs="Times New Roman"/>
          <w:color w:val="000000" w:themeColor="text1"/>
          <w:sz w:val="20"/>
          <w:szCs w:val="20"/>
        </w:rPr>
        <w:fldChar w:fldCharType="end"/>
      </w:r>
      <w:r w:rsidR="004F35EE"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It is a nucleic acid-derived method for detection of genetic material of infectious agents, including virus, bacteria etc. This equipment is one amongst the foremost commonly used for diagnosis of the COVID-19 genome. In the past, for identification of different diseases such as caused by Ebola virus and some other viruses, several nations have used real time RT–PCR assays. Therefore, several countries require this equipment on top-priority for identifying the presence of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and also envision making strategies to expand further their national virus examination facilities</w:t>
      </w:r>
      <w:r w:rsidR="00377D29" w:rsidRPr="009F44A4">
        <w:rPr>
          <w:rFonts w:ascii="Times New Roman" w:eastAsia="Calibri" w:hAnsi="Times New Roman" w:cs="Times New Roman"/>
          <w:color w:val="000000" w:themeColor="text1"/>
          <w:sz w:val="20"/>
          <w:szCs w:val="20"/>
        </w:rPr>
        <w:t xml:space="preserve"> </w:t>
      </w:r>
      <w:r w:rsidR="00377D29"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{"citationID":"4mfvt1iF","properties":{"formattedCitation":"\\super 62\\nosupersub{}","plainCitation":"62","noteIndex":0},"citationItems":[{"id":651,"uris":["http://zotero.org/users/local/ZR048J0w/items/BJMV25X6"],"uri":["http://zotero.org/users/local/ZR048J0w/items/BJMV25X6"],"itemData":{"id":651,"type":"webpage","abstract":"What is real time RT–PCR? How does it work with the coronavirus?  And what does it have to do with nuclear technology? Here’s a handy overview of the technique, how it works and a few refresher details on viruses and genetics.","genre":"Text","language":"en","note":"publisher: IAEA","title":"How is the COVID-19 Virus Detected using Real Time RT-PCR?","URL":"https://www.iaea.org/newscenter/news/how-is-the-covid-19-virus-detected-using-real-time-rt-pcr","accessed":{"date-parts":[["2020",12,17]]},"issued":{"date-parts":[["2020",3,27]]}}}],"schema":"https://github.com/citation-style-language/schema/raw/master/csl-citation.json"} </w:instrText>
      </w:r>
      <w:r w:rsidR="00377D29"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62</w:t>
      </w:r>
      <w:r w:rsidR="00377D29" w:rsidRPr="009F44A4">
        <w:rPr>
          <w:rFonts w:ascii="Times New Roman" w:eastAsia="Calibri" w:hAnsi="Times New Roman" w:cs="Times New Roman"/>
          <w:color w:val="000000" w:themeColor="text1"/>
          <w:sz w:val="20"/>
          <w:szCs w:val="20"/>
        </w:rPr>
        <w:fldChar w:fldCharType="end"/>
      </w:r>
      <w:r w:rsidR="00377D29" w:rsidRPr="009F44A4">
        <w:rPr>
          <w:rFonts w:ascii="Times New Roman" w:eastAsia="Calibri" w:hAnsi="Times New Roman" w:cs="Times New Roman"/>
          <w:color w:val="000000" w:themeColor="text1"/>
          <w:sz w:val="20"/>
          <w:szCs w:val="20"/>
        </w:rPr>
        <w:t>.</w:t>
      </w:r>
    </w:p>
    <w:p w14:paraId="08A2BAB1" w14:textId="4BDF371F"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Quantitative RT-PCR is a fluorescent-based technique that helps to examine small quantities of nucleic acid in a vast range of samples. It is a promising technology used in different fields, including life sciences, agriculture, biotechnology and medical sciences </w:t>
      </w:r>
      <w:r w:rsidR="008F52C5" w:rsidRPr="009F44A4">
        <w:rPr>
          <w:rFonts w:ascii="Times New Roman" w:eastAsia="Calibri" w:hAnsi="Times New Roman" w:cs="Times New Roman"/>
          <w:color w:val="000000" w:themeColor="text1"/>
          <w:sz w:val="20"/>
          <w:szCs w:val="20"/>
        </w:rPr>
        <w:t>which</w:t>
      </w:r>
      <w:r w:rsidRPr="009F44A4">
        <w:rPr>
          <w:rFonts w:ascii="Times New Roman" w:eastAsia="Calibri" w:hAnsi="Times New Roman" w:cs="Times New Roman"/>
          <w:color w:val="000000" w:themeColor="text1"/>
          <w:sz w:val="20"/>
          <w:szCs w:val="20"/>
        </w:rPr>
        <w:t xml:space="preserve"> gives better results at the molecular level. It is simple to operate in conjunction with speed, sensitivity and specificity in a homogeneous assay</w:t>
      </w:r>
      <w:r w:rsidR="008C1721" w:rsidRPr="009F44A4">
        <w:rPr>
          <w:rFonts w:ascii="Times New Roman" w:eastAsia="Calibri" w:hAnsi="Times New Roman" w:cs="Times New Roman"/>
          <w:color w:val="000000" w:themeColor="text1"/>
          <w:sz w:val="20"/>
          <w:szCs w:val="20"/>
        </w:rPr>
        <w:t xml:space="preserve"> </w:t>
      </w:r>
      <w:r w:rsidR="008C1721"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{"citationID":"RVpMef2l","properties":{"formattedCitation":"\\super 63\\nosupersub{}","plainCitation":"63","noteIndex":0},"citationItems":[{"id":653,"uris":["http://zotero.org/users/local/ZR048J0w/items/9LSUJJ63"],"uri":["http://zotero.org/users/local/ZR048J0w/items/9LSUJJ63"],"itemData":{"id":653,"type":"article-journal","abstract":"BACKGROUND: Currently, a lack of consensus exists on how best to perform and interpret quantitative real-time PCR (qPCR) experiments. The problem is exacerbated by a lack of sufficient experimental detail in many publications, which impedes a reader's ability to evaluate critically the quality of the results presented or to repeat the experiments.\nCONTENT: The Minimum Information for Publication of Quantitative Real-Time PCR Experiments (MIQE) guidelines target the reliability of results to help ensure the integrity of the scientific literature, promote consistency between laboratories, and increase experimental transparency. MIQE is a set of guidelines that describe the minimum information necessary for evaluating qPCR experiments. Included is a checklist to accompany the initial submission of a manuscript to the publisher. By providing all relevant experimental conditions and assay characteristics, reviewers can assess the validity of the protocols used. Full disclosure of all reagents, sequences, and analysis methods is necessary to enable other investigators to reproduce results. MIQE details should be published either in abbreviated form or as an online supplement.\nSUMMARY: Following these guidelines will encourage better experimental practice, allowing more reliable and unequivocal interpretation of qPCR results.","container-title":"Clinical Chemistry","DOI":"10.1373/clinchem.2008.112797","ISSN":"1530-8561","issue":"4","journalAbbreviation":"Clin Chem","language":"eng","note":"PMID: 19246619","page":"611-622","source":"PubMed","title":"The MIQE guidelines: minimum information for publication of quantitative real-time PCR experiments","title-short":"The MIQE guidelines","volume":"55","author":[{"family":"Bustin","given":"Stephen A."},{"family":"Benes","given":"Vladimir"},{"family":"Garson","given":"Jeremy A."},{"family":"Hellemans","given":"Jan"},{"family":"Huggett","given":"Jim"},{"family":"Kubista","given":"Mikael"},{"family":"Mueller","given":"Reinhold"},{"family":"Nolan","given":"Tania"},{"family":"Pfaffl","given":"Michael W."},{"family":"Shipley","given":"Gregory L."},{"family":"Vandesompele","given":"Jo"},{"family":"Wittwer","given":"Carl T."}],"issued":{"date-parts":[["2009",4]]}}}],"schema":"https://github.com/citation-style-language/schema/raw/master/csl-citation.json"} </w:instrText>
      </w:r>
      <w:r w:rsidR="008C1721"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63</w:t>
      </w:r>
      <w:r w:rsidR="008C1721" w:rsidRPr="009F44A4">
        <w:rPr>
          <w:rFonts w:ascii="Times New Roman" w:eastAsia="Calibri" w:hAnsi="Times New Roman" w:cs="Times New Roman"/>
          <w:color w:val="000000" w:themeColor="text1"/>
          <w:sz w:val="20"/>
          <w:szCs w:val="20"/>
        </w:rPr>
        <w:fldChar w:fldCharType="end"/>
      </w:r>
      <w:r w:rsidR="008C1721"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Coronavirus possesses a positive sense RNA strand and RNA-dependent RNA polymerase enzyme which enables the virus to translate its own RNA copy by utilizing host machinery and replicate large number of complementary DNA (</w:t>
      </w:r>
      <w:proofErr w:type="spellStart"/>
      <w:r w:rsidRPr="009F44A4">
        <w:rPr>
          <w:rFonts w:ascii="Times New Roman" w:eastAsia="Calibri" w:hAnsi="Times New Roman" w:cs="Times New Roman"/>
          <w:color w:val="000000" w:themeColor="text1"/>
          <w:sz w:val="20"/>
          <w:szCs w:val="20"/>
        </w:rPr>
        <w:t>cDNA</w:t>
      </w:r>
      <w:proofErr w:type="spellEnd"/>
      <w:r w:rsidRPr="009F44A4">
        <w:rPr>
          <w:rFonts w:ascii="Times New Roman" w:eastAsia="Calibri" w:hAnsi="Times New Roman" w:cs="Times New Roman"/>
          <w:color w:val="000000" w:themeColor="text1"/>
          <w:sz w:val="20"/>
          <w:szCs w:val="20"/>
        </w:rPr>
        <w:t>) as an intermediate template that helps synthesis of multiple sub-genomic mRNAs</w:t>
      </w:r>
      <w:r w:rsidR="008C1721" w:rsidRPr="009F44A4">
        <w:rPr>
          <w:rFonts w:ascii="Times New Roman" w:eastAsia="Calibri" w:hAnsi="Times New Roman" w:cs="Times New Roman"/>
          <w:color w:val="000000" w:themeColor="text1"/>
          <w:sz w:val="20"/>
          <w:szCs w:val="20"/>
        </w:rPr>
        <w:t xml:space="preserve"> </w:t>
      </w:r>
      <w:r w:rsidR="008C1721"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{"citationID":"89QvVvru","properties":{"formattedCitation":"\\super 64\\nosupersub{}","plainCitation":"64","noteIndex":0},"citationItems":[{"id":656,"uris":["http://zotero.org/users/local/ZR048J0w/items/H6JF9A7Z"],"uri":["http://zotero.org/users/local/ZR048J0w/items/H6JF9A7Z"],"itemData":{"id":656,"type":"article-journal","abstract":"Background\nThe ongoing outbreak of the recently emerged novel coronavirus (2019-nCoV) poses a challenge for public health laboratories as virus isolates are unavailable while there is growing evidence that the outbreak is more widespread than initially thought, and international spread through travellers does already occur.\n\nAim\nWe aimed to develop and deploy robust diagnostic methodology for use in public health laboratory settings without having virus material available.\n\nMethods\nHere we present a validated diagnostic workflow for 2019-nCoV, its design relying on close genetic relatedness of 2019-nCoV with SARS coronavirus, making use of synthetic nucleic acid technology.\n\nResults\nThe workflow reliably detects 2019-nCoV, and further discriminates 2019-nCoV from SARS-CoV. Through coordination between academic and public laboratories, we confirmed assay exclusivity based on 297 original clinical specimens containing a full spectrum of human respiratory viruses. Control material is made available through European Virus Archive – Global (EVAg), a European Union infrastructure project.\n\nConclusion\nThe present study demonstrates the enormous response capacity achieved through coordination of academic and public laboratories in national and European research networks.","container-title":"Eurosurveillance","DOI":"10.2807/1560-7917.ES.2020.25.3.2000045","ISSN":"1025-496X","issue":"3","journalAbbreviation":"Euro Surveill","note":"PMID: 31992387\nPMCID: PMC6988269","source":"PubMed Central","title":"Detection of 2019 novel coronavirus (2019-nCoV) by real-time RT-PCR","URL":"https://www.ncbi.nlm.nih.gov/pmc/articles/PMC6988269/","volume":"25","author":[{"family":"Corman","given":"Victor M"},{"family":"Landt","given":"Olfert"},{"family":"Kaiser","given":"Marco"},{"family":"Molenkamp","given":"Richard"},{"family":"Meijer","given":"Adam"},{"family":"Chu","given":"Daniel KW"},{"family":"Bleicker","given":"Tobias"},{"family":"Brünink","given":"Sebastian"},{"family":"Schneider","given":"Julia"},{"family":"Schmidt","given":"Marie Luisa"},{"family":"Mulders","given":"Daphne GJC"},{"family":"Haagmans","given":"Bart L"},{"family":"Veer","given":"Bas","non-dropping-particle":"van der"},{"family":"Brink","given":"Sharon","non-dropping-particle":"van den"},{"family":"Wijsman","given":"Lisa"},{"family":"Goderski","given":"Gabriel"},{"family":"Romette","given":"Jean-Louis"},{"family":"Ellis","given":"Joanna"},{"family":"Zambon","given":"Maria"},{"family":"Peiris","given":"Malik"},{"family":"Goossens","given":"Herman"},{"family":"Reusken","given":"Chantal"},{"family":"Koopmans","given":"Marion PG"},{"family":"Drosten","given":"Christian"}],"accessed":{"date-parts":[["2020",12,17]]},"issued":{"date-parts":[["2020",1,23]]}}}],"schema":"https://github.com/citation-style-language/schema/raw/master/csl-citation.json"} </w:instrText>
      </w:r>
      <w:r w:rsidR="008C1721"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64</w:t>
      </w:r>
      <w:r w:rsidR="008C1721" w:rsidRPr="009F44A4">
        <w:rPr>
          <w:rFonts w:ascii="Times New Roman" w:eastAsia="Calibri" w:hAnsi="Times New Roman" w:cs="Times New Roman"/>
          <w:color w:val="000000" w:themeColor="text1"/>
          <w:sz w:val="20"/>
          <w:szCs w:val="20"/>
        </w:rPr>
        <w:fldChar w:fldCharType="end"/>
      </w:r>
      <w:r w:rsidR="008C1721" w:rsidRPr="009F44A4">
        <w:rPr>
          <w:rFonts w:ascii="Times New Roman" w:eastAsia="Calibri" w:hAnsi="Times New Roman" w:cs="Times New Roman"/>
          <w:color w:val="000000" w:themeColor="text1"/>
          <w:sz w:val="20"/>
          <w:szCs w:val="20"/>
        </w:rPr>
        <w:t>.</w:t>
      </w:r>
    </w:p>
    <w:p w14:paraId="65E0CFF8" w14:textId="77777777" w:rsidR="008D16FE" w:rsidRPr="009F44A4" w:rsidRDefault="00C02138" w:rsidP="00DC7281">
      <w:pPr>
        <w:pStyle w:val="Heading5"/>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Benefits of real time RT-PCR</w:t>
      </w:r>
    </w:p>
    <w:p w14:paraId="7C975BB8" w14:textId="737043A8"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Due to its sensitivity, specificity, high throughput and reliable instrumentation, real time RT-PCR is used frequently for detection of COVID-19 virus. It takes approximately 3 h to obtain reliable results, although the laboratory takes between six and eight hours on average. Real time RT-PCR is considerably quicker and encompasses less possible </w:t>
      </w:r>
      <w:r w:rsidRPr="009F44A4">
        <w:rPr>
          <w:rFonts w:ascii="Times New Roman" w:eastAsia="Calibri" w:hAnsi="Times New Roman" w:cs="Times New Roman"/>
          <w:color w:val="000000" w:themeColor="text1"/>
          <w:sz w:val="20"/>
          <w:szCs w:val="20"/>
        </w:rPr>
        <w:lastRenderedPageBreak/>
        <w:t>errors because the entire method runs within a single tube. It is proved as a reliable technique and best available methodology for testing of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w:t>
      </w:r>
      <w:r w:rsidR="008C1721" w:rsidRPr="009F44A4">
        <w:rPr>
          <w:rFonts w:ascii="Times New Roman" w:eastAsia="Calibri" w:hAnsi="Times New Roman" w:cs="Times New Roman"/>
          <w:color w:val="000000" w:themeColor="text1"/>
          <w:sz w:val="20"/>
          <w:szCs w:val="20"/>
        </w:rPr>
        <w:t xml:space="preserve"> </w:t>
      </w:r>
      <w:r w:rsidR="008C1721"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{"citationID":"xJHYhLT6","properties":{"formattedCitation":"\\super 64,65\\nosupersub{}","plainCitation":"64,65","noteIndex":0},"citationItems":[{"id":656,"uris":["http://zotero.org/users/local/ZR048J0w/items/H6JF9A7Z"],"uri":["http://zotero.org/users/local/ZR048J0w/items/H6JF9A7Z"],"itemData":{"id":656,"type":"article-journal","abstract":"Background\nThe ongoing outbreak of the recently emerged novel coronavirus (2019-nCoV) poses a challenge for public health laboratories as virus isolates are unavailable while there is growing evidence that the outbreak is more widespread than initially thought, and international spread through travellers does already occur.\n\nAim\nWe aimed to develop and deploy robust diagnostic methodology for use in public health laboratory settings without having virus material available.\n\nMethods\nHere we present a validated diagnostic workflow for 2019-nCoV, its design relying on close genetic relatedness of 2019-nCoV with SARS coronavirus, making use of synthetic nucleic acid technology.\n\nResults\nThe workflow reliably detects 2019-nCoV, and further discriminates 2019-nCoV from SARS-CoV. Through coordination between academic and public laboratories, we confirmed assay exclusivity based on 297 original clinical specimens containing a full spectrum of human respiratory viruses. Control material is made available through European Virus Archive – Global (EVAg), a European Union infrastructure project.\n\nConclusion\nThe present study demonstrates the enormous response capacity achieved through coordination of academic and public laboratories in national and European research networks.","container-title":"Eurosurveillance","DOI":"10.2807/1560-7917.ES.2020.25.3.2000045","ISSN":"1025-496X","issue":"3","journalAbbreviation":"Euro Surveill","note":"PMID: 31992387\nPMCID: PMC6988269","source":"PubMed Central","title":"Detection of 2019 novel coronavirus (2019-nCoV) by real-time RT-PCR","URL":"https://www.ncbi.nlm.nih.gov/pmc/articles/PMC6988269/","volume":"25","author":[{"family":"Corman","given":"Victor M"},{"family":"Landt","given":"Olfert"},{"family":"Kaiser","given":"Marco"},{"family":"Molenkamp","given":"Richard"},{"family":"Meijer","given":"Adam"},{"family":"Chu","given":"Daniel KW"},{"family":"Bleicker","given":"Tobias"},{"family":"Brünink","given":"Sebastian"},{"family":"Schneider","given":"Julia"},{"family":"Schmidt","given":"Marie Luisa"},{"family":"Mulders","given":"Daphne GJC"},{"family":"Haagmans","given":"Bart L"},{"family":"Veer","given":"Bas","non-dropping-particle":"van der"},{"family":"Brink","given":"Sharon","non-dropping-particle":"van den"},{"family":"Wijsman","given":"Lisa"},{"family":"Goderski","given":"Gabriel"},{"family":"Romette","given":"Jean-Louis"},{"family":"Ellis","given":"Joanna"},{"family":"Zambon","given":"Maria"},{"family":"Peiris","given":"Malik"},{"family":"Goossens","given":"Herman"},{"family":"Reusken","given":"Chantal"},{"family":"Koopmans","given":"Marion PG"},{"family":"Drosten","given":"Christian"}],"accessed":{"date-parts":[["2020",12,17]]},"issued":{"date-parts":[["2020",1,23]]}}},{"id":659,"uris":["http://zotero.org/users/local/ZR048J0w/items/2SZJVTVB"],"uri":["http://zotero.org/users/local/ZR048J0w/items/2SZJVTVB"],"itemData":{"id":659,"type":"webpage","abstract":"RT-PCR (reverse transcription-polymerase chain reaction) is the most sensitive technique for mRNA detection and quantitation currently available. Compared to the two other commonly used techniques for quantifying mRNA levels, Northern blot analysis and RNase protection assay, RT-PCR can be used to quantify mRNA levels from much smaller samples.","language":"en","title":"The Basics: RT-PCR - IN","title-short":"The Basics","URL":"//www.thermofisher.com/in/en/home/references/ambion-tech-support/rtpcr-analysis/general-articles/rt--pcr-the-basics.html","accessed":{"date-parts":[["2020",12,17]]}}}],"schema":"https://github.com/citation-style-language/schema/raw/master/csl-citation.json"} </w:instrText>
      </w:r>
      <w:r w:rsidR="008C1721"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64,65</w:t>
      </w:r>
      <w:r w:rsidR="008C1721" w:rsidRPr="009F44A4">
        <w:rPr>
          <w:rFonts w:ascii="Times New Roman" w:eastAsia="Calibri" w:hAnsi="Times New Roman" w:cs="Times New Roman"/>
          <w:color w:val="000000" w:themeColor="text1"/>
          <w:sz w:val="20"/>
          <w:szCs w:val="20"/>
        </w:rPr>
        <w:fldChar w:fldCharType="end"/>
      </w:r>
      <w:r w:rsidR="008C1721" w:rsidRPr="009F44A4">
        <w:rPr>
          <w:rFonts w:ascii="Times New Roman" w:eastAsia="Calibri" w:hAnsi="Times New Roman" w:cs="Times New Roman"/>
          <w:color w:val="000000" w:themeColor="text1"/>
          <w:sz w:val="20"/>
          <w:szCs w:val="20"/>
        </w:rPr>
        <w:t>.</w:t>
      </w:r>
    </w:p>
    <w:p w14:paraId="55A6A0FF" w14:textId="77777777" w:rsidR="008D16FE" w:rsidRPr="009F44A4" w:rsidRDefault="00C02138" w:rsidP="00DC7281">
      <w:pPr>
        <w:pStyle w:val="Heading5"/>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 xml:space="preserve">Drawbacks:      </w:t>
      </w:r>
    </w:p>
    <w:p w14:paraId="747B39EA" w14:textId="3257C61C"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Detection of past infections in real time RT-PCR cannot be performed that is necessary for the analysis of the virus emergence and transmission, as pathogens are known to be available in the body for a prolonged period of time. Alternate methods to diagnose, monitor and analyze previous infections, especially those that may have transmitted the virus without signs. RT-PCR is not a blood-based test, requires too much time to test and involves collection of the sample from the throat and nasal swabs</w:t>
      </w:r>
      <w:r w:rsidR="00775DA7" w:rsidRPr="009F44A4">
        <w:rPr>
          <w:rFonts w:ascii="Times New Roman" w:eastAsia="Calibri" w:hAnsi="Times New Roman" w:cs="Times New Roman"/>
          <w:color w:val="000000" w:themeColor="text1"/>
          <w:sz w:val="20"/>
          <w:szCs w:val="20"/>
        </w:rPr>
        <w:t xml:space="preserve"> </w:t>
      </w:r>
      <w:r w:rsidR="00775DA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{"citationID":"KPylL7A9","properties":{"formattedCitation":"\\super 64\\nosupersub{}","plainCitation":"64","noteIndex":0},"citationItems":[{"id":656,"uris":["http://zotero.org/users/local/ZR048J0w/items/H6JF9A7Z"],"uri":["http://zotero.org/users/local/ZR048J0w/items/H6JF9A7Z"],"itemData":{"id":656,"type":"article-journal","abstract":"Background\nThe ongoing outbreak of the recently emerged novel coronavirus (2019-nCoV) poses a challenge for public health laboratories as virus isolates are unavailable while there is growing evidence that the outbreak is more widespread than initially thought, and international spread through travellers does already occur.\n\nAim\nWe aimed to develop and deploy robust diagnostic methodology for use in public health laboratory settings without having virus material available.\n\nMethods\nHere we present a validated diagnostic workflow for 2019-nCoV, its design relying on close genetic relatedness of 2019-nCoV with SARS coronavirus, making use of synthetic nucleic acid technology.\n\nResults\nThe workflow reliably detects 2019-nCoV, and further discriminates 2019-nCoV from SARS-CoV. Through coordination between academic and public laboratories, we confirmed assay exclusivity based on 297 original clinical specimens containing a full spectrum of human respiratory viruses. Control material is made available through European Virus Archive – Global (EVAg), a European Union infrastructure project.\n\nConclusion\nThe present study demonstrates the enormous response capacity achieved through coordination of academic and public laboratories in national and European research networks.","container-title":"Eurosurveillance","DOI":"10.2807/1560-7917.ES.2020.25.3.2000045","ISSN":"1025-496X","issue":"3","journalAbbreviation":"Euro Surveill","note":"PMID: 31992387\nPMCID: PMC6988269","source":"PubMed Central","title":"Detection of 2019 novel coronavirus (2019-nCoV) by real-time RT-PCR","URL":"https://www.ncbi.nlm.nih.gov/pmc/articles/PMC6988269/","volume":"25","author":[{"family":"Corman","given":"Victor M"},{"family":"Landt","given":"Olfert"},{"family":"Kaiser","given":"Marco"},{"family":"Molenkamp","given":"Richard"},{"family":"Meijer","given":"Adam"},{"family":"Chu","given":"Daniel KW"},{"family":"Bleicker","given":"Tobias"},{"family":"Brünink","given":"Sebastian"},{"family":"Schneider","given":"Julia"},{"family":"Schmidt","given":"Marie Luisa"},{"family":"Mulders","given":"Daphne GJC"},{"family":"Haagmans","given":"Bart L"},{"family":"Veer","given":"Bas","non-dropping-particle":"van der"},{"family":"Brink","given":"Sharon","non-dropping-particle":"van den"},{"family":"Wijsman","given":"Lisa"},{"family":"Goderski","given":"Gabriel"},{"family":"Romette","given":"Jean-Louis"},{"family":"Ellis","given":"Joanna"},{"family":"Zambon","given":"Maria"},{"family":"Peiris","given":"Malik"},{"family":"Goossens","given":"Herman"},{"family":"Reusken","given":"Chantal"},{"family":"Koopmans","given":"Marion PG"},{"family":"Drosten","given":"Christian"}],"accessed":{"date-parts":[["2020",12,17]]},"issued":{"date-parts":[["2020",1,23]]}}}],"schema":"https://github.com/citation-style-language/schema/raw/master/csl-citation.json"} </w:instrText>
      </w:r>
      <w:r w:rsidR="00775DA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64</w:t>
      </w:r>
      <w:r w:rsidR="00775DA7" w:rsidRPr="009F44A4">
        <w:rPr>
          <w:rFonts w:ascii="Times New Roman" w:eastAsia="Calibri" w:hAnsi="Times New Roman" w:cs="Times New Roman"/>
          <w:color w:val="000000" w:themeColor="text1"/>
          <w:sz w:val="20"/>
          <w:szCs w:val="20"/>
        </w:rPr>
        <w:fldChar w:fldCharType="end"/>
      </w:r>
      <w:r w:rsidR="00775DA7" w:rsidRPr="009F44A4">
        <w:rPr>
          <w:rFonts w:ascii="Times New Roman" w:eastAsia="Calibri" w:hAnsi="Times New Roman" w:cs="Times New Roman"/>
          <w:color w:val="000000" w:themeColor="text1"/>
          <w:sz w:val="20"/>
          <w:szCs w:val="20"/>
        </w:rPr>
        <w:t>.</w:t>
      </w:r>
    </w:p>
    <w:p w14:paraId="3669B9B3" w14:textId="6920CE21" w:rsidR="008D16FE" w:rsidRPr="009F44A4" w:rsidRDefault="00F535D3" w:rsidP="00DC7281">
      <w:pPr>
        <w:pStyle w:val="Heading4"/>
        <w:numPr>
          <w:ilvl w:val="1"/>
          <w:numId w:val="7"/>
        </w:numPr>
        <w:shd w:val="clear" w:color="auto" w:fill="FFFFFF" w:themeFill="background1"/>
        <w:spacing w:line="360" w:lineRule="auto"/>
        <w:ind w:left="360"/>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 xml:space="preserve"> </w:t>
      </w:r>
      <w:r w:rsidR="00C02138" w:rsidRPr="009F44A4">
        <w:rPr>
          <w:rFonts w:ascii="Times New Roman" w:eastAsia="Calibri" w:hAnsi="Times New Roman" w:cs="Times New Roman"/>
          <w:b/>
          <w:color w:val="000000" w:themeColor="text1"/>
          <w:sz w:val="20"/>
          <w:szCs w:val="20"/>
        </w:rPr>
        <w:t>Serological test</w:t>
      </w:r>
    </w:p>
    <w:p w14:paraId="2691F789" w14:textId="002D14FD"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Serological testing is very useful for confirming immunological response from a particular viral group, for example coronaviruses. The best serological test results include the collection of paired serum samples (in acute and convalescent phases) from the recovered cases</w:t>
      </w:r>
      <w:r w:rsidR="00D55E6F" w:rsidRPr="009F44A4">
        <w:rPr>
          <w:rFonts w:ascii="Times New Roman" w:eastAsia="Calibri" w:hAnsi="Times New Roman" w:cs="Times New Roman"/>
          <w:color w:val="000000" w:themeColor="text1"/>
          <w:sz w:val="20"/>
          <w:szCs w:val="20"/>
        </w:rPr>
        <w:t xml:space="preserve"> </w:t>
      </w:r>
      <w:r w:rsidR="00D55E6F"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{"citationID":"MYLjfbaJ","properties":{"formattedCitation":"\\super 61\\nosupersub{}","plainCitation":"61","noteIndex":0},"citationItems":[{"id":648,"uris":["http://zotero.org/users/local/ZR048J0w/items/7H6Q88WD"],"uri":["http://zotero.org/users/local/ZR048J0w/items/7H6Q88WD"],"itemData":{"id":648,"type":"book","abstract":"6 p.","ISBN":"978-92-4-000097-1","language":"en","note":"Accepted: 2020-01-30T11:22:50Z","publisher":"World Health Organization","source":"apps.who.int","title":"Laboratory testing of 2019 novel coronavirus (‎‎‎‎‎‎‎‎‎‎‎2019-nCoV)‎‎‎‎‎‎‎‎‎‎‎ in suspected human cases: interim guidance, 17 January 2020","title-short":"Laboratory testing of 2019 novel coronavirus (‎‎‎‎‎‎‎‎‎‎‎2019-nCoV)‎‎‎‎‎‎‎‎‎‎‎ in suspected human cases","URL":"https://apps.who.int/iris/handle/10665/330676","author":[{"family":"Organization","given":"World Health"}],"accessed":{"date-parts":[["2020",12,17]]},"issued":{"date-parts":[["2020"]]}}}],"schema":"https://github.com/citation-style-language/schema/raw/master/csl-citation.json"} </w:instrText>
      </w:r>
      <w:r w:rsidR="00D55E6F"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61</w:t>
      </w:r>
      <w:r w:rsidR="00D55E6F" w:rsidRPr="009F44A4">
        <w:rPr>
          <w:rFonts w:ascii="Times New Roman" w:eastAsia="Calibri" w:hAnsi="Times New Roman" w:cs="Times New Roman"/>
          <w:color w:val="000000" w:themeColor="text1"/>
          <w:sz w:val="20"/>
          <w:szCs w:val="20"/>
        </w:rPr>
        <w:fldChar w:fldCharType="end"/>
      </w:r>
      <w:r w:rsidR="00D55E6F"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CDC looks at antibody test data to determine the overall amount of persons tainted with the virus causing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infection in the USA</w:t>
      </w:r>
      <w:r w:rsidR="00D55E6F" w:rsidRPr="009F44A4">
        <w:rPr>
          <w:rFonts w:ascii="Times New Roman" w:eastAsia="Calibri" w:hAnsi="Times New Roman" w:cs="Times New Roman"/>
          <w:color w:val="000000" w:themeColor="text1"/>
          <w:sz w:val="20"/>
          <w:szCs w:val="20"/>
        </w:rPr>
        <w:t xml:space="preserve"> </w:t>
      </w:r>
      <w:r w:rsidR="00D55E6F"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{"citationID":"ksi5inVD","properties":{"formattedCitation":"\\super 66\\nosupersub{}","plainCitation":"66","noteIndex":0},"citationItems":[{"id":663,"uris":["http://zotero.org/users/local/ZR048J0w/items/3MFFHFV2"],"uri":["http://zotero.org/users/local/ZR048J0w/items/3MFFHFV2"],"itemData":{"id":663,"type":"webpage","abstract":"Resources and interim guidelines for laboratory professionals working with specimens from persons with coronavirus disease 2019 (COVID-19).","container-title":"Centers for Disease Control and Prevention","language":"en-us","title":"Information for Laboratories about Coronavirus (COVID-19)","URL":"https://www.cdc.gov/coronavirus/2019-ncov/lab/serology-testing.html","author":[{"family":"CDC","given":""}],"accessed":{"date-parts":[["2020",12,17]]},"issued":{"date-parts":[["2020",2,11]]}}}],"schema":"https://github.com/citation-style-language/schema/raw/master/csl-citation.json"} </w:instrText>
      </w:r>
      <w:r w:rsidR="00D55E6F"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66</w:t>
      </w:r>
      <w:r w:rsidR="00D55E6F" w:rsidRPr="009F44A4">
        <w:rPr>
          <w:rFonts w:ascii="Times New Roman" w:eastAsia="Calibri" w:hAnsi="Times New Roman" w:cs="Times New Roman"/>
          <w:color w:val="000000" w:themeColor="text1"/>
          <w:sz w:val="20"/>
          <w:szCs w:val="20"/>
        </w:rPr>
        <w:fldChar w:fldCharType="end"/>
      </w:r>
      <w:r w:rsidR="00D55E6F"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CDC also uses antibody testing to understand more about how the immune system in the body reacts to the virus and how the virus spreads among people who are exposed to the virus</w:t>
      </w:r>
      <w:r w:rsidR="00D55E6F" w:rsidRPr="009F44A4">
        <w:rPr>
          <w:rFonts w:ascii="Times New Roman" w:eastAsia="Calibri" w:hAnsi="Times New Roman" w:cs="Times New Roman"/>
          <w:color w:val="000000" w:themeColor="text1"/>
          <w:sz w:val="20"/>
          <w:szCs w:val="20"/>
        </w:rPr>
        <w:t xml:space="preserve"> </w:t>
      </w:r>
      <w:r w:rsidR="00D55E6F"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{"citationID":"OzLyYO0O","properties":{"formattedCitation":"\\super 67\\nosupersub{}","plainCitation":"67","noteIndex":0},"citationItems":[{"id":665,"uris":["http://zotero.org/users/local/ZR048J0w/items/9BCFZ795"],"uri":["http://zotero.org/users/local/ZR048J0w/items/9BCFZ795"],"itemData":{"id":665,"type":"webpage","abstract":"Get information about symptoms, testing, what to do if sick, daily activities, and more.","container-title":"Centers for Disease Control and Prevention","language":"en-us","title":"COVID-19 and Your Health","URL":"https://www.cdc.gov/coronavirus/2019-ncov/testing/serology-overview.html","author":[{"family":"CDC","given":""}],"accessed":{"date-parts":[["2020",12,17]]},"issued":{"date-parts":[["2020",2,11]]}}}],"schema":"https://github.com/citation-style-language/schema/raw/master/csl-citation.json"} </w:instrText>
      </w:r>
      <w:r w:rsidR="00D55E6F"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67</w:t>
      </w:r>
      <w:r w:rsidR="00D55E6F" w:rsidRPr="009F44A4">
        <w:rPr>
          <w:rFonts w:ascii="Times New Roman" w:eastAsia="Calibri" w:hAnsi="Times New Roman" w:cs="Times New Roman"/>
          <w:color w:val="000000" w:themeColor="text1"/>
          <w:sz w:val="20"/>
          <w:szCs w:val="20"/>
        </w:rPr>
        <w:fldChar w:fldCharType="end"/>
      </w:r>
      <w:r w:rsidR="00D55E6F"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The information that CDC is investigating is taken from several sources, including blood donors of people with symptoms and COVID-19 diagnoses.</w:t>
      </w:r>
    </w:p>
    <w:p w14:paraId="48D1F8CB" w14:textId="77777777" w:rsidR="008D16FE" w:rsidRPr="009F44A4" w:rsidRDefault="00C02138"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Types of serological assays</w:t>
      </w:r>
    </w:p>
    <w:p w14:paraId="3A425C2A" w14:textId="77777777" w:rsidR="008D16FE" w:rsidRPr="009F44A4" w:rsidRDefault="00C02138" w:rsidP="00DC7281">
      <w:pPr>
        <w:pStyle w:val="Heading5"/>
        <w:numPr>
          <w:ilvl w:val="0"/>
          <w:numId w:val="2"/>
        </w:numPr>
        <w:shd w:val="clear" w:color="auto" w:fill="FFFFFF" w:themeFill="background1"/>
        <w:spacing w:after="240" w:line="360" w:lineRule="auto"/>
        <w:ind w:left="0"/>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 xml:space="preserve"> Rapid diagnostic test (RDT)</w:t>
      </w:r>
    </w:p>
    <w:p w14:paraId="1ED677A0" w14:textId="77777777" w:rsidR="008D16FE" w:rsidRPr="009F44A4" w:rsidRDefault="00C02138" w:rsidP="00DC7281">
      <w:pPr>
        <w:shd w:val="clear" w:color="auto" w:fill="FFFFFF" w:themeFill="background1"/>
        <w:spacing w:before="240" w:after="240"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RDT is generally a compact, movable, qualitative lateral flow test that could be used at healthcare. Such procedures require fingertip blood samples, drool sample, or nasal swab fluids.</w:t>
      </w:r>
    </w:p>
    <w:p w14:paraId="24B7E9BA" w14:textId="09E15B26" w:rsidR="008D16FE" w:rsidRPr="009F44A4" w:rsidRDefault="00C02138" w:rsidP="00DC7281">
      <w:pPr>
        <w:shd w:val="clear" w:color="auto" w:fill="FFFFFF" w:themeFill="background1"/>
        <w:spacing w:before="240" w:after="240"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This test is somewhat common to pregnancy kit tests, because the test displays colored lines for users showing either positive or negative outcomes. Such tests most often recognize patients' antibodies (</w:t>
      </w:r>
      <w:proofErr w:type="spellStart"/>
      <w:r w:rsidRPr="009F44A4">
        <w:rPr>
          <w:rFonts w:ascii="Times New Roman" w:eastAsia="Calibri" w:hAnsi="Times New Roman" w:cs="Times New Roman"/>
          <w:color w:val="000000" w:themeColor="text1"/>
          <w:sz w:val="20"/>
          <w:szCs w:val="20"/>
        </w:rPr>
        <w:t>IgG</w:t>
      </w:r>
      <w:proofErr w:type="spellEnd"/>
      <w:r w:rsidRPr="009F44A4">
        <w:rPr>
          <w:rFonts w:ascii="Times New Roman" w:eastAsia="Calibri" w:hAnsi="Times New Roman" w:cs="Times New Roman"/>
          <w:color w:val="000000" w:themeColor="text1"/>
          <w:sz w:val="20"/>
          <w:szCs w:val="20"/>
        </w:rPr>
        <w:t xml:space="preserve"> and </w:t>
      </w:r>
      <w:proofErr w:type="spellStart"/>
      <w:r w:rsidRPr="009F44A4">
        <w:rPr>
          <w:rFonts w:ascii="Times New Roman" w:eastAsia="Calibri" w:hAnsi="Times New Roman" w:cs="Times New Roman"/>
          <w:color w:val="000000" w:themeColor="text1"/>
          <w:sz w:val="20"/>
          <w:szCs w:val="20"/>
        </w:rPr>
        <w:t>IgM</w:t>
      </w:r>
      <w:proofErr w:type="spellEnd"/>
      <w:r w:rsidRPr="009F44A4">
        <w:rPr>
          <w:rFonts w:ascii="Times New Roman" w:eastAsia="Calibri" w:hAnsi="Times New Roman" w:cs="Times New Roman"/>
          <w:color w:val="000000" w:themeColor="text1"/>
          <w:sz w:val="20"/>
          <w:szCs w:val="20"/>
        </w:rPr>
        <w:t xml:space="preserve">) or viral antigens in the sense of COVID-19. For certain instances, it may be helpful in estimating the starting point (prior to infection) of </w:t>
      </w:r>
      <w:proofErr w:type="spellStart"/>
      <w:r w:rsidRPr="009F44A4">
        <w:rPr>
          <w:rFonts w:ascii="Times New Roman" w:eastAsia="Calibri" w:hAnsi="Times New Roman" w:cs="Times New Roman"/>
          <w:color w:val="000000" w:themeColor="text1"/>
          <w:sz w:val="20"/>
          <w:szCs w:val="20"/>
        </w:rPr>
        <w:t>IgG</w:t>
      </w:r>
      <w:proofErr w:type="spellEnd"/>
      <w:r w:rsidRPr="009F44A4">
        <w:rPr>
          <w:rFonts w:ascii="Times New Roman" w:eastAsia="Calibri" w:hAnsi="Times New Roman" w:cs="Times New Roman"/>
          <w:color w:val="000000" w:themeColor="text1"/>
          <w:sz w:val="20"/>
          <w:szCs w:val="20"/>
        </w:rPr>
        <w:t xml:space="preserve"> and </w:t>
      </w:r>
      <w:proofErr w:type="spellStart"/>
      <w:r w:rsidRPr="009F44A4">
        <w:rPr>
          <w:rFonts w:ascii="Times New Roman" w:eastAsia="Calibri" w:hAnsi="Times New Roman" w:cs="Times New Roman"/>
          <w:color w:val="000000" w:themeColor="text1"/>
          <w:sz w:val="20"/>
          <w:szCs w:val="20"/>
        </w:rPr>
        <w:t>IgM</w:t>
      </w:r>
      <w:proofErr w:type="spellEnd"/>
      <w:r w:rsidRPr="009F44A4">
        <w:rPr>
          <w:rFonts w:ascii="Times New Roman" w:eastAsia="Calibri" w:hAnsi="Times New Roman" w:cs="Times New Roman"/>
          <w:color w:val="000000" w:themeColor="text1"/>
          <w:sz w:val="20"/>
          <w:szCs w:val="20"/>
        </w:rPr>
        <w:t xml:space="preserve"> titers</w:t>
      </w:r>
      <w:r w:rsidR="00CE7C93" w:rsidRPr="009F44A4">
        <w:rPr>
          <w:rFonts w:ascii="Times New Roman" w:eastAsia="Calibri" w:hAnsi="Times New Roman" w:cs="Times New Roman"/>
          <w:color w:val="000000" w:themeColor="text1"/>
          <w:sz w:val="20"/>
          <w:szCs w:val="20"/>
        </w:rPr>
        <w:t xml:space="preserve"> </w:t>
      </w:r>
      <w:r w:rsidR="00CE7C9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{"citationID":"NlNeKMci","properties":{"formattedCitation":"\\super 68\\nosupersub{}","plainCitation":"68","noteIndex":0},"citationItems":[{"id":669,"uris":["http://zotero.org/users/local/ZR048J0w/items/67C5AA4S"],"uri":["http://zotero.org/users/local/ZR048J0w/items/67C5AA4S"],"itemData":{"id":669,"type":"webpage","abstract":"Serology testing for SARS-CoV-2 is at increased demand in order to better quantify the number of cases of COVID-19.","container-title":"Johns Hopkins Center for Health Security","language":"en","title":"Global Progress on COVID-19 Serology-Based Testing","URL":"https://www.centerforhealthsecurity.org/resources/COVID-19/serology/Serology-based-tests-for-COVID-19.html","author":[{"family":"administrator","given":"JHCHS","dropping-particle":"website"}],"accessed":{"date-parts":[["2020",12,17]]}}}],"schema":"https://github.com/citation-style-language/schema/raw/master/csl-citation.json"} </w:instrText>
      </w:r>
      <w:r w:rsidR="00CE7C9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68</w:t>
      </w:r>
      <w:r w:rsidR="00CE7C93" w:rsidRPr="009F44A4">
        <w:rPr>
          <w:rFonts w:ascii="Times New Roman" w:eastAsia="Calibri" w:hAnsi="Times New Roman" w:cs="Times New Roman"/>
          <w:color w:val="000000" w:themeColor="text1"/>
          <w:sz w:val="20"/>
          <w:szCs w:val="20"/>
        </w:rPr>
        <w:fldChar w:fldCharType="end"/>
      </w:r>
      <w:r w:rsidRPr="009F44A4">
        <w:rPr>
          <w:rFonts w:ascii="Times New Roman" w:eastAsia="Calibri" w:hAnsi="Times New Roman" w:cs="Times New Roman"/>
          <w:color w:val="000000" w:themeColor="text1"/>
          <w:sz w:val="20"/>
          <w:szCs w:val="20"/>
        </w:rPr>
        <w:t>.</w:t>
      </w:r>
    </w:p>
    <w:p w14:paraId="3E8E4BAD" w14:textId="403F2B12" w:rsidR="008D16FE" w:rsidRPr="009F44A4" w:rsidRDefault="00C02138" w:rsidP="00DC7281">
      <w:pPr>
        <w:shd w:val="clear" w:color="auto" w:fill="FFFFFF" w:themeFill="background1"/>
        <w:spacing w:before="240" w:after="240"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Antibodies are proteins that help to combat infections and typically provide protection against the recurrence of the disease (immunity).</w:t>
      </w:r>
      <w:r w:rsidR="008F52C5"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Antibody tests analyze the blood for antibodies that can determine if you have had a prior infection with the COVID-19 virus</w:t>
      </w:r>
      <w:r w:rsidR="005A216C" w:rsidRPr="009F44A4">
        <w:rPr>
          <w:rFonts w:ascii="Times New Roman" w:eastAsia="Calibri" w:hAnsi="Times New Roman" w:cs="Times New Roman"/>
          <w:color w:val="000000" w:themeColor="text1"/>
          <w:sz w:val="20"/>
          <w:szCs w:val="20"/>
        </w:rPr>
        <w:t xml:space="preserve"> </w:t>
      </w:r>
      <w:r w:rsidR="005A216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{"citationID":"cL2s0L3K","properties":{"formattedCitation":"\\super 67\\nosupersub{}","plainCitation":"67","noteIndex":0},"citationItems":[{"id":665,"uris":["http://zotero.org/users/local/ZR048J0w/items/9BCFZ795"],"uri":["http://zotero.org/users/local/ZR048J0w/items/9BCFZ795"],"itemData":{"id":665,"type":"webpage","abstract":"Get information about symptoms, testing, what to do if sick, daily activities, and more.","container-title":"Centers for Disease Control and Prevention","language":"en-us","title":"COVID-19 and Your Health","URL":"https://www.cdc.gov/coronavirus/2019-ncov/testing/serology-overview.html","author":[{"family":"CDC","given":""}],"accessed":{"date-parts":[["2020",12,17]]},"issued":{"date-parts":[["2020",2,11]]}}}],"schema":"https://github.com/citation-style-language/schema/raw/master/csl-citation.json"} </w:instrText>
      </w:r>
      <w:r w:rsidR="005A216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67</w:t>
      </w:r>
      <w:r w:rsidR="005A216C" w:rsidRPr="009F44A4">
        <w:rPr>
          <w:rFonts w:ascii="Times New Roman" w:eastAsia="Calibri" w:hAnsi="Times New Roman" w:cs="Times New Roman"/>
          <w:color w:val="000000" w:themeColor="text1"/>
          <w:sz w:val="20"/>
          <w:szCs w:val="20"/>
        </w:rPr>
        <w:fldChar w:fldCharType="end"/>
      </w:r>
      <w:r w:rsidR="005A216C"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Antibodies are typically disease-specific, e.g. Measles antibodies can protect a person who is once again exposed to measles but has no effect if he is exposed to mumps</w:t>
      </w:r>
      <w:r w:rsidR="005A216C" w:rsidRPr="009F44A4">
        <w:rPr>
          <w:rFonts w:ascii="Times New Roman" w:eastAsia="Calibri" w:hAnsi="Times New Roman" w:cs="Times New Roman"/>
          <w:color w:val="000000" w:themeColor="text1"/>
          <w:sz w:val="20"/>
          <w:szCs w:val="20"/>
        </w:rPr>
        <w:t xml:space="preserve"> </w:t>
      </w:r>
      <w:r w:rsidR="005A216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{"citationID":"4DB0MXEv","properties":{"formattedCitation":"\\super 67\\nosupersub{}","plainCitation":"67","noteIndex":0},"citationItems":[{"id":665,"uris":["http://zotero.org/users/local/ZR048J0w/items/9BCFZ795"],"uri":["http://zotero.org/users/local/ZR048J0w/items/9BCFZ795"],"itemData":{"id":665,"type":"webpage","abstract":"Get information about symptoms, testing, what to do if sick, daily activities, and more.","container-title":"Centers for Disease Control and Prevention","language":"en-us","title":"COVID-19 and Your Health","URL":"https://www.cdc.gov/coronavirus/2019-ncov/testing/serology-overview.html","author":[{"family":"CDC","given":""}],"accessed":{"date-parts":[["2020",12,17]]},"issued":{"date-parts":[["2020",2,11]]}}}],"schema":"https://github.com/citation-style-language/schema/raw/master/csl-citation.json"} </w:instrText>
      </w:r>
      <w:r w:rsidR="005A216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67</w:t>
      </w:r>
      <w:r w:rsidR="005A216C" w:rsidRPr="009F44A4">
        <w:rPr>
          <w:rFonts w:ascii="Times New Roman" w:eastAsia="Calibri" w:hAnsi="Times New Roman" w:cs="Times New Roman"/>
          <w:color w:val="000000" w:themeColor="text1"/>
          <w:sz w:val="20"/>
          <w:szCs w:val="20"/>
        </w:rPr>
        <w:fldChar w:fldCharType="end"/>
      </w:r>
      <w:r w:rsidR="005A216C"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CDC is evaluating commercial antibody tests, as CDC works with other government agencies to evaluate the performance of commercially produced antibodies tests</w:t>
      </w:r>
      <w:r w:rsidR="005A216C" w:rsidRPr="009F44A4">
        <w:rPr>
          <w:rFonts w:ascii="Times New Roman" w:eastAsia="Calibri" w:hAnsi="Times New Roman" w:cs="Times New Roman"/>
          <w:color w:val="000000" w:themeColor="text1"/>
          <w:sz w:val="20"/>
          <w:szCs w:val="20"/>
        </w:rPr>
        <w:t xml:space="preserve"> </w:t>
      </w:r>
      <w:r w:rsidR="005A216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{"citationID":"Ady90UIs","properties":{"formattedCitation":"\\super 66\\nosupersub{}","plainCitation":"66","noteIndex":0},"citationItems":[{"id":663,"uris":["http://zotero.org/users/local/ZR048J0w/items/3MFFHFV2"],"uri":["http://zotero.org/users/local/ZR048J0w/items/3MFFHFV2"],"itemData":{"id":663,"type":"webpage","abstract":"Resources and interim guidelines for laboratory professionals working with specimens from persons with coronavirus disease 2019 (COVID-19).","container-title":"Centers for Disease Control and Prevention","language":"en-us","title":"Information for Laboratories about Coronavirus (COVID-19)","URL":"https://www.cdc.gov/coronavirus/2019-ncov/lab/serology-testing.html","author":[{"family":"CDC","given":""}],"accessed":{"date-parts":[["2020",12,17]]},"issued":{"date-parts":[["2020",2,11]]}}}],"schema":"https://github.com/citation-style-language/schema/raw/master/csl-citation.json"} </w:instrText>
      </w:r>
      <w:r w:rsidR="005A216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66</w:t>
      </w:r>
      <w:r w:rsidR="005A216C" w:rsidRPr="009F44A4">
        <w:rPr>
          <w:rFonts w:ascii="Times New Roman" w:eastAsia="Calibri" w:hAnsi="Times New Roman" w:cs="Times New Roman"/>
          <w:color w:val="000000" w:themeColor="text1"/>
          <w:sz w:val="20"/>
          <w:szCs w:val="20"/>
        </w:rPr>
        <w:fldChar w:fldCharType="end"/>
      </w:r>
      <w:r w:rsidR="005A216C" w:rsidRPr="009F44A4">
        <w:rPr>
          <w:rFonts w:ascii="Times New Roman" w:eastAsia="Calibri" w:hAnsi="Times New Roman" w:cs="Times New Roman"/>
          <w:color w:val="000000" w:themeColor="text1"/>
          <w:sz w:val="20"/>
          <w:szCs w:val="20"/>
        </w:rPr>
        <w:t>.</w:t>
      </w:r>
    </w:p>
    <w:p w14:paraId="73FA1425" w14:textId="77777777" w:rsidR="008D16FE" w:rsidRPr="009F44A4" w:rsidRDefault="00C02138" w:rsidP="00DC7281">
      <w:pPr>
        <w:pStyle w:val="Heading5"/>
        <w:numPr>
          <w:ilvl w:val="0"/>
          <w:numId w:val="2"/>
        </w:numPr>
        <w:shd w:val="clear" w:color="auto" w:fill="FFFFFF" w:themeFill="background1"/>
        <w:spacing w:after="240" w:line="360" w:lineRule="auto"/>
        <w:ind w:left="0"/>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lastRenderedPageBreak/>
        <w:t xml:space="preserve">ELISA (Enzyme Linked </w:t>
      </w:r>
      <w:proofErr w:type="spellStart"/>
      <w:r w:rsidRPr="009F44A4">
        <w:rPr>
          <w:rFonts w:ascii="Times New Roman" w:eastAsia="Calibri" w:hAnsi="Times New Roman" w:cs="Times New Roman"/>
          <w:b/>
          <w:color w:val="000000" w:themeColor="text1"/>
          <w:sz w:val="20"/>
          <w:szCs w:val="20"/>
        </w:rPr>
        <w:t>Immunosorbent</w:t>
      </w:r>
      <w:proofErr w:type="spellEnd"/>
      <w:r w:rsidRPr="009F44A4">
        <w:rPr>
          <w:rFonts w:ascii="Times New Roman" w:eastAsia="Calibri" w:hAnsi="Times New Roman" w:cs="Times New Roman"/>
          <w:b/>
          <w:color w:val="000000" w:themeColor="text1"/>
          <w:sz w:val="20"/>
          <w:szCs w:val="20"/>
        </w:rPr>
        <w:t xml:space="preserve"> Assay) </w:t>
      </w:r>
    </w:p>
    <w:p w14:paraId="5BE3C9A6" w14:textId="7488BD7D" w:rsidR="008D16FE" w:rsidRPr="009F44A4" w:rsidRDefault="00C02138" w:rsidP="00DC7281">
      <w:pPr>
        <w:shd w:val="clear" w:color="auto" w:fill="FFFFFF" w:themeFill="background1"/>
        <w:spacing w:before="240" w:after="240"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ELISA is used as a qualitative or quantitative test depending on test types required considering sensitivity and specificity. It is also known as rapid fast tests, which are only used for surveillance purposes. In this technique whole blood, plasma or serum of infected patients are required as samples. The test depends on a virus protein like spike protein or inactivated form of the virus coated on a multi-well plate. Sample is incubated in multi-well plates and eventually an antibody-protein complex is supposed to be formed, if antibodies are already present in the sample against the viral protein coated on the substrate. For the estimation, a fluorescent-labeled secondary antibody is used which produces a color change when bound with antibody-protein complex thus detecting antibodies against virus. This technique is utilized for detection of antibodies that are developed in response to SAR-</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infection</w:t>
      </w:r>
      <w:r w:rsidR="00CE7C93" w:rsidRPr="009F44A4">
        <w:rPr>
          <w:rFonts w:ascii="Times New Roman" w:eastAsia="Calibri" w:hAnsi="Times New Roman" w:cs="Times New Roman"/>
          <w:color w:val="000000" w:themeColor="text1"/>
          <w:sz w:val="20"/>
          <w:szCs w:val="20"/>
        </w:rPr>
        <w:t xml:space="preserve"> </w:t>
      </w:r>
      <w:r w:rsidR="00CE7C9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{"citationID":"E5NEDvkN","properties":{"formattedCitation":"\\super 68\\nosupersub{}","plainCitation":"68","noteIndex":0},"citationItems":[{"id":669,"uris":["http://zotero.org/users/local/ZR048J0w/items/67C5AA4S"],"uri":["http://zotero.org/users/local/ZR048J0w/items/67C5AA4S"],"itemData":{"id":669,"type":"webpage","abstract":"Serology testing for SARS-CoV-2 is at increased demand in order to better quantify the number of cases of COVID-19.","container-title":"Johns Hopkins Center for Health Security","language":"en","title":"Global Progress on COVID-19 Serology-Based Testing","URL":"https://www.centerforhealthsecurity.org/resources/COVID-19/serology/Serology-based-tests-for-COVID-19.html","author":[{"family":"administrator","given":"JHCHS","dropping-particle":"website"}],"accessed":{"date-parts":[["2020",12,17]]}}}],"schema":"https://github.com/citation-style-language/schema/raw/master/csl-citation.json"} </w:instrText>
      </w:r>
      <w:r w:rsidR="00CE7C9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68</w:t>
      </w:r>
      <w:r w:rsidR="00CE7C93" w:rsidRPr="009F44A4">
        <w:rPr>
          <w:rFonts w:ascii="Times New Roman" w:eastAsia="Calibri" w:hAnsi="Times New Roman" w:cs="Times New Roman"/>
          <w:color w:val="000000" w:themeColor="text1"/>
          <w:sz w:val="20"/>
          <w:szCs w:val="20"/>
        </w:rPr>
        <w:fldChar w:fldCharType="end"/>
      </w:r>
      <w:r w:rsidR="00CE7C93"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In particular, an immunoglobulin G (</w:t>
      </w:r>
      <w:proofErr w:type="spellStart"/>
      <w:r w:rsidRPr="009F44A4">
        <w:rPr>
          <w:rFonts w:ascii="Times New Roman" w:eastAsia="Calibri" w:hAnsi="Times New Roman" w:cs="Times New Roman"/>
          <w:color w:val="000000" w:themeColor="text1"/>
          <w:sz w:val="20"/>
          <w:szCs w:val="20"/>
        </w:rPr>
        <w:t>IgG</w:t>
      </w:r>
      <w:proofErr w:type="spellEnd"/>
      <w:r w:rsidRPr="009F44A4">
        <w:rPr>
          <w:rFonts w:ascii="Times New Roman" w:eastAsia="Calibri" w:hAnsi="Times New Roman" w:cs="Times New Roman"/>
          <w:color w:val="000000" w:themeColor="text1"/>
          <w:sz w:val="20"/>
          <w:szCs w:val="20"/>
        </w:rPr>
        <w:t>) based ELISA test is preferred and developed by various research groups across the world, which has the advantage to analyze a large number of samples in one go within 2-3 h. This test in general is characterized with 100% specificity and 98.7% sensitivity, suggesting that it can give reliable data that will indirectly confirm exposure of a person to the coronavirus</w:t>
      </w:r>
      <w:r w:rsidR="007F4AE0" w:rsidRPr="009F44A4">
        <w:rPr>
          <w:rFonts w:ascii="Times New Roman" w:eastAsia="Calibri" w:hAnsi="Times New Roman" w:cs="Times New Roman"/>
          <w:color w:val="000000" w:themeColor="text1"/>
          <w:sz w:val="20"/>
          <w:szCs w:val="20"/>
        </w:rPr>
        <w:t xml:space="preserve"> </w:t>
      </w:r>
      <w:r w:rsidR="008E021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{"citationID":"2UzoesJl","properties":{"formattedCitation":"\\super 69\\nosupersub{}","plainCitation":"69","noteIndex":0},"citationItems":[{"id":912,"uris":["http://zotero.org/users/local/ZR048J0w/items/5EMEZ7A8"],"uri":["http://zotero.org/users/local/ZR048J0w/items/5EMEZ7A8"],"itemData":{"id":912,"type":"webpage","abstract":"National Institute of Virology, NIV, Pune has validated the first batch of ELISA kits produced by the company Zydus Cadila.","title":"ICMR-NIV, Pune develops indigenous ELISA test kit for COVID-19 antibody detection","URL":"http://newsonair.com/Main-News-Details.aspx?id=388679","accessed":{"date-parts":[["2020",12,23]]}}}],"schema":"https://github.com/citation-style-language/schema/raw/master/csl-citation.json"} </w:instrText>
      </w:r>
      <w:r w:rsidR="008E021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69</w:t>
      </w:r>
      <w:r w:rsidR="008E021D" w:rsidRPr="009F44A4">
        <w:rPr>
          <w:rFonts w:ascii="Times New Roman" w:eastAsia="Calibri" w:hAnsi="Times New Roman" w:cs="Times New Roman"/>
          <w:color w:val="000000" w:themeColor="text1"/>
          <w:sz w:val="20"/>
          <w:szCs w:val="20"/>
        </w:rPr>
        <w:fldChar w:fldCharType="end"/>
      </w:r>
      <w:r w:rsidR="00DD1742" w:rsidRPr="009F44A4">
        <w:rPr>
          <w:rFonts w:ascii="Times New Roman" w:eastAsia="Calibri" w:hAnsi="Times New Roman" w:cs="Times New Roman"/>
          <w:color w:val="000000" w:themeColor="text1"/>
          <w:sz w:val="20"/>
          <w:szCs w:val="20"/>
        </w:rPr>
        <w:t>.</w:t>
      </w:r>
    </w:p>
    <w:p w14:paraId="4CBBC909" w14:textId="77777777" w:rsidR="008D16FE" w:rsidRPr="009F44A4" w:rsidRDefault="00C02138" w:rsidP="00DC7281">
      <w:pPr>
        <w:pStyle w:val="Heading5"/>
        <w:numPr>
          <w:ilvl w:val="0"/>
          <w:numId w:val="2"/>
        </w:numPr>
        <w:shd w:val="clear" w:color="auto" w:fill="FFFFFF" w:themeFill="background1"/>
        <w:spacing w:after="240" w:line="360" w:lineRule="auto"/>
        <w:ind w:left="0"/>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Neutralization assay</w:t>
      </w:r>
    </w:p>
    <w:p w14:paraId="5B1C2F0A" w14:textId="4FCBC8B1" w:rsidR="008D16FE" w:rsidRPr="009F44A4" w:rsidRDefault="00C02138" w:rsidP="00DC7281">
      <w:pPr>
        <w:shd w:val="clear" w:color="auto" w:fill="FFFFFF" w:themeFill="background1"/>
        <w:spacing w:before="240" w:after="240"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Neutralizing assay is a cell culture-based method that requires growth of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 xml:space="preserve">-2 culturing cells (e.g., Vero </w:t>
      </w:r>
      <w:proofErr w:type="spellStart"/>
      <w:r w:rsidRPr="009F44A4">
        <w:rPr>
          <w:rFonts w:ascii="Times New Roman" w:eastAsia="Calibri" w:hAnsi="Times New Roman" w:cs="Times New Roman"/>
          <w:color w:val="000000" w:themeColor="text1"/>
          <w:sz w:val="20"/>
          <w:szCs w:val="20"/>
        </w:rPr>
        <w:t>E6</w:t>
      </w:r>
      <w:proofErr w:type="spellEnd"/>
      <w:r w:rsidRPr="009F44A4">
        <w:rPr>
          <w:rFonts w:ascii="Times New Roman" w:eastAsia="Calibri" w:hAnsi="Times New Roman" w:cs="Times New Roman"/>
          <w:color w:val="000000" w:themeColor="text1"/>
          <w:sz w:val="20"/>
          <w:szCs w:val="20"/>
        </w:rPr>
        <w:t xml:space="preserve"> cells). This test is primarily based on observing potency of antibodies of the patient to stop viral infection of cells in a suitable culture environment. If the patient has active and effective antibodies against coronavirus, this assay can recognize the viruses easily. In this test, samples such as whole blood, plasma or serum are required from the infected patient. Neutralizing assay generally visualizes and quantifies the extent of blocking of virus replication through antibodies present in the patient serum. This blocking phenomena reveals that antibodies specifically bind to a surface moiety of the virus meant for facilitating cell entry and thus help neutralizing them</w:t>
      </w:r>
      <w:r w:rsidR="00206A47" w:rsidRPr="009F44A4">
        <w:rPr>
          <w:rFonts w:ascii="Times New Roman" w:eastAsia="Calibri" w:hAnsi="Times New Roman" w:cs="Times New Roman"/>
          <w:color w:val="000000" w:themeColor="text1"/>
          <w:sz w:val="20"/>
          <w:szCs w:val="20"/>
        </w:rPr>
        <w:t xml:space="preserve"> </w:t>
      </w:r>
      <w:r w:rsidR="00206A4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{"citationID":"Mc3GhEu9","properties":{"formattedCitation":"\\super 68\\nosupersub{}","plainCitation":"68","noteIndex":0},"citationItems":[{"id":669,"uris":["http://zotero.org/users/local/ZR048J0w/items/67C5AA4S"],"uri":["http://zotero.org/users/local/ZR048J0w/items/67C5AA4S"],"itemData":{"id":669,"type":"webpage","abstract":"Serology testing for SARS-CoV-2 is at increased demand in order to better quantify the number of cases of COVID-19.","container-title":"Johns Hopkins Center for Health Security","language":"en","title":"Global Progress on COVID-19 Serology-Based Testing","URL":"https://www.centerforhealthsecurity.org/resources/COVID-19/serology/Serology-based-tests-for-COVID-19.html","author":[{"family":"administrator","given":"JHCHS","dropping-particle":"website"}],"accessed":{"date-parts":[["2020",12,17]]}}}],"schema":"https://github.com/citation-style-language/schema/raw/master/csl-citation.json"} </w:instrText>
      </w:r>
      <w:r w:rsidR="00206A4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68</w:t>
      </w:r>
      <w:r w:rsidR="00206A47" w:rsidRPr="009F44A4">
        <w:rPr>
          <w:rFonts w:ascii="Times New Roman" w:eastAsia="Calibri" w:hAnsi="Times New Roman" w:cs="Times New Roman"/>
          <w:color w:val="000000" w:themeColor="text1"/>
          <w:sz w:val="20"/>
          <w:szCs w:val="20"/>
        </w:rPr>
        <w:fldChar w:fldCharType="end"/>
      </w:r>
      <w:r w:rsidR="00206A47" w:rsidRPr="009F44A4">
        <w:rPr>
          <w:rFonts w:ascii="Times New Roman" w:eastAsia="Calibri" w:hAnsi="Times New Roman" w:cs="Times New Roman"/>
          <w:color w:val="000000" w:themeColor="text1"/>
          <w:sz w:val="20"/>
          <w:szCs w:val="20"/>
        </w:rPr>
        <w:t xml:space="preserve">. </w:t>
      </w:r>
    </w:p>
    <w:p w14:paraId="63458B7E" w14:textId="77777777" w:rsidR="008D16FE" w:rsidRPr="009F44A4" w:rsidRDefault="00C02138" w:rsidP="00DC7281">
      <w:pPr>
        <w:pStyle w:val="Heading5"/>
        <w:numPr>
          <w:ilvl w:val="0"/>
          <w:numId w:val="2"/>
        </w:numPr>
        <w:shd w:val="clear" w:color="auto" w:fill="FFFFFF" w:themeFill="background1"/>
        <w:spacing w:after="240" w:line="360" w:lineRule="auto"/>
        <w:ind w:left="0"/>
        <w:jc w:val="both"/>
        <w:rPr>
          <w:rFonts w:ascii="Times New Roman" w:eastAsia="Calibri" w:hAnsi="Times New Roman" w:cs="Times New Roman"/>
          <w:color w:val="000000" w:themeColor="text1"/>
          <w:sz w:val="20"/>
          <w:szCs w:val="20"/>
        </w:rPr>
      </w:pPr>
      <w:proofErr w:type="spellStart"/>
      <w:r w:rsidRPr="009F44A4">
        <w:rPr>
          <w:rFonts w:ascii="Times New Roman" w:eastAsia="Calibri" w:hAnsi="Times New Roman" w:cs="Times New Roman"/>
          <w:b/>
          <w:color w:val="000000" w:themeColor="text1"/>
          <w:sz w:val="20"/>
          <w:szCs w:val="20"/>
        </w:rPr>
        <w:t>Chemiluminescent</w:t>
      </w:r>
      <w:proofErr w:type="spellEnd"/>
      <w:r w:rsidRPr="009F44A4">
        <w:rPr>
          <w:rFonts w:ascii="Times New Roman" w:eastAsia="Calibri" w:hAnsi="Times New Roman" w:cs="Times New Roman"/>
          <w:b/>
          <w:color w:val="000000" w:themeColor="text1"/>
          <w:sz w:val="20"/>
          <w:szCs w:val="20"/>
        </w:rPr>
        <w:t xml:space="preserve"> immunoassay (CLIA)</w:t>
      </w:r>
    </w:p>
    <w:p w14:paraId="7E053A16" w14:textId="688E3776" w:rsidR="008D16FE" w:rsidRPr="009F44A4" w:rsidRDefault="00C02138" w:rsidP="00DC7281">
      <w:pPr>
        <w:shd w:val="clear" w:color="auto" w:fill="FFFFFF" w:themeFill="background1"/>
        <w:spacing w:before="240" w:after="240"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This immunoassay is a quantitative biochemical technique requiring whole blood plasma or serum as patients’ samples. This test is also known as </w:t>
      </w:r>
      <w:proofErr w:type="spellStart"/>
      <w:r w:rsidRPr="009F44A4">
        <w:rPr>
          <w:rFonts w:ascii="Times New Roman" w:eastAsia="Calibri" w:hAnsi="Times New Roman" w:cs="Times New Roman"/>
          <w:color w:val="000000" w:themeColor="text1"/>
          <w:sz w:val="20"/>
          <w:szCs w:val="20"/>
        </w:rPr>
        <w:t>chemiluminescent</w:t>
      </w:r>
      <w:proofErr w:type="spellEnd"/>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microparticle</w:t>
      </w:r>
      <w:proofErr w:type="spellEnd"/>
      <w:r w:rsidRPr="009F44A4">
        <w:rPr>
          <w:rFonts w:ascii="Times New Roman" w:eastAsia="Calibri" w:hAnsi="Times New Roman" w:cs="Times New Roman"/>
          <w:color w:val="000000" w:themeColor="text1"/>
          <w:sz w:val="20"/>
          <w:szCs w:val="20"/>
        </w:rPr>
        <w:t xml:space="preserve"> immunoassay due to the use of magnetic protein-coated </w:t>
      </w:r>
      <w:proofErr w:type="spellStart"/>
      <w:r w:rsidRPr="009F44A4">
        <w:rPr>
          <w:rFonts w:ascii="Times New Roman" w:eastAsia="Calibri" w:hAnsi="Times New Roman" w:cs="Times New Roman"/>
          <w:color w:val="000000" w:themeColor="text1"/>
          <w:sz w:val="20"/>
          <w:szCs w:val="20"/>
        </w:rPr>
        <w:t>microparticles</w:t>
      </w:r>
      <w:proofErr w:type="spellEnd"/>
      <w:r w:rsidRPr="009F44A4">
        <w:rPr>
          <w:rFonts w:ascii="Times New Roman" w:eastAsia="Calibri" w:hAnsi="Times New Roman" w:cs="Times New Roman"/>
          <w:color w:val="000000" w:themeColor="text1"/>
          <w:sz w:val="20"/>
          <w:szCs w:val="20"/>
        </w:rPr>
        <w:t>. In this type of test, several reagents such as buffer solution, antigen-antibody complex formed by specific primary antibodies and enzyme-linked secondary antibodies which added sequentially together with the patient sample. Their binding generates a light-emitting chemical reaction.</w:t>
      </w:r>
      <w:r w:rsidR="00600DE5"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 xml:space="preserve">The amount of light (radiance) emitted from each sample is then utilized to evaluate the number of antibodies found in the patient sample. This test can look for several kinds of antibodies, namely </w:t>
      </w:r>
      <w:proofErr w:type="spellStart"/>
      <w:r w:rsidRPr="009F44A4">
        <w:rPr>
          <w:rFonts w:ascii="Times New Roman" w:eastAsia="Calibri" w:hAnsi="Times New Roman" w:cs="Times New Roman"/>
          <w:color w:val="000000" w:themeColor="text1"/>
          <w:sz w:val="20"/>
          <w:szCs w:val="20"/>
        </w:rPr>
        <w:t>IgM</w:t>
      </w:r>
      <w:proofErr w:type="spellEnd"/>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IgG</w:t>
      </w:r>
      <w:proofErr w:type="spellEnd"/>
      <w:r w:rsidRPr="009F44A4">
        <w:rPr>
          <w:rFonts w:ascii="Times New Roman" w:eastAsia="Calibri" w:hAnsi="Times New Roman" w:cs="Times New Roman"/>
          <w:color w:val="000000" w:themeColor="text1"/>
          <w:sz w:val="20"/>
          <w:szCs w:val="20"/>
        </w:rPr>
        <w:t>, and IgA.</w:t>
      </w:r>
      <w:r w:rsidR="00600DE5"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However, the drawback of this type of testing is that it cannot predict whether antibodies detected can block growth of the viruses</w:t>
      </w:r>
      <w:r w:rsidR="00AC350C" w:rsidRPr="009F44A4">
        <w:rPr>
          <w:rFonts w:ascii="Times New Roman" w:eastAsia="Calibri" w:hAnsi="Times New Roman" w:cs="Times New Roman"/>
          <w:color w:val="000000" w:themeColor="text1"/>
          <w:sz w:val="20"/>
          <w:szCs w:val="20"/>
        </w:rPr>
        <w:t xml:space="preserve"> </w:t>
      </w:r>
      <w:r w:rsidR="00AC350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{"citationID":"L4vfXb4I","properties":{"formattedCitation":"\\super 68,70\\nosupersub{}","plainCitation":"68,70","noteIndex":0},"citationItems":[{"id":669,"uris":["http://zotero.org/users/local/ZR048J0w/items/67C5AA4S"],"uri":["http://zotero.org/users/local/ZR048J0w/items/67C5AA4S"],"itemData":{"id":669,"type":"webpage","abstract":"Serology testing for SARS-CoV-2 is at increased demand in order to better quantify the number of cases of COVID-19.","container-title":"Johns Hopkins Center for Health Security","language":"en","title":"Global Progress on COVID-19 Serology-Based Testing","URL":"https://www.centerforhealthsecurity.org/resources/COVID-19/serology/Serology-based-tests-for-COVID-19.html","author":[{"family":"administrator","given":"JHCHS","dropping-particle":"website"}],"accessed":{"date-parts":[["2020",12,17]]}}},{"id":674,"uris":["http://zotero.org/users/local/ZR048J0w/items/J63HEWYH"],"uri":["http://zotero.org/users/local/ZR048J0w/items/J63HEWYH"],"itemData":{"id":674,"type":"article-journal","abstract":"A pandemic of coronavirus disease 2019 (COVID-19) caused by severe acute respiratory syndrome coronavirus 2 (SARS-CoV-2) has been spreading throughout the world. Though molecular diagnostic tests are the gold standard for COVID-19, serological testing is emerging as a potential surveillance tool, in addition to its complementary role in COVID-19 diagnostics. Indubitably quantitative serological testing provides greater advantages than qualitative tests but today there is still little known about serological diagnostics and what the most appropriate role quantitative tests might play. Sixty-one COVID-19 patients and 64 patients from a control group were tested by iFlash1800 CLIA analyzer for anti-SARS CoV-2 antibodies IgM and IgG. All COVID-19 patients were hospitalized in San Giovanni di Dio Hospital (Florence, Italy) and had a positive oro/nasopharyngeal swab reverse-transcription polymerase chain reaction result. The highest sensitivity with a very good specificity performance was reached at a cutoff value of 10.0 AU/mL for IgM and of 7.1 for IgG antibodies, hence near to the manufacturer's cutoff values of 10 AU/mL for both isotypes. The receiver operating characteristic curves showed area under the curve values of 0.918 and 0.980 for anti-SARS CoV-2 antibodies IgM and IgG, respectively. iFlash1800 CLIA analyzer has shown highly accurate results for the anti-SARS-CoV-2 antibodies profile and can be considered an excellent tool for COVID-19 diagnostics.","container-title":"Journal of Medical Virology","DOI":"10.1002/jmv.25932","ISSN":"1096-9071","issue":"9","journalAbbreviation":"J Med Virol","language":"eng","note":"PMID: 32330291\nPMCID: PMC7264663","page":"1671-1675","source":"PubMed","title":"Diagnostic accuracy of an automated chemiluminescent immunoassay for anti-SARS-CoV-2 IgM and IgG antibodies: an Italian experience","title-short":"Diagnostic accuracy of an automated chemiluminescent immunoassay for anti-SARS-CoV-2 IgM and IgG antibodies","volume":"92","author":[{"family":"Infantino","given":"Maria"},{"family":"Grossi","given":"Valentina"},{"family":"Lari","given":"Barbara"},{"family":"Bambi","given":"Riccardo"},{"family":"Perri","given":"Alessandro"},{"family":"Manneschi","given":"Matteo"},{"family":"Terenzi","given":"Giovanni"},{"family":"Liotti","given":"Irene"},{"family":"Ciotta","given":"Giovanni"},{"family":"Taddei","given":"Cristina"},{"family":"Benucci","given":"Maurizio"},{"family":"Casprini","given":"Patrizia"},{"family":"Veneziani","given":"Francesca"},{"family":"Fabbri","given":"Sergio"},{"family":"Pompetti","given":"Adolfo"},{"family":"Manfredi","given":"Mariangela"}],"issued":{"date-parts":[["2020",9]]}}}],"schema":"https://github.com/citation-style-language/schema/raw/master/csl-citation.json"} </w:instrText>
      </w:r>
      <w:r w:rsidR="00AC350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68,70</w:t>
      </w:r>
      <w:r w:rsidR="00AC350C" w:rsidRPr="009F44A4">
        <w:rPr>
          <w:rFonts w:ascii="Times New Roman" w:eastAsia="Calibri" w:hAnsi="Times New Roman" w:cs="Times New Roman"/>
          <w:color w:val="000000" w:themeColor="text1"/>
          <w:sz w:val="20"/>
          <w:szCs w:val="20"/>
        </w:rPr>
        <w:fldChar w:fldCharType="end"/>
      </w:r>
      <w:r w:rsidR="00AC350C" w:rsidRPr="009F44A4">
        <w:rPr>
          <w:rFonts w:ascii="Times New Roman" w:eastAsia="Calibri" w:hAnsi="Times New Roman" w:cs="Times New Roman"/>
          <w:color w:val="000000" w:themeColor="text1"/>
          <w:sz w:val="20"/>
          <w:szCs w:val="20"/>
        </w:rPr>
        <w:t>.</w:t>
      </w:r>
    </w:p>
    <w:p w14:paraId="29924B9D" w14:textId="5D5D070D" w:rsidR="008D16FE" w:rsidRPr="009F44A4" w:rsidRDefault="00295495" w:rsidP="00DC7281">
      <w:pPr>
        <w:pStyle w:val="Heading4"/>
        <w:numPr>
          <w:ilvl w:val="1"/>
          <w:numId w:val="7"/>
        </w:numPr>
        <w:shd w:val="clear" w:color="auto" w:fill="FFFFFF" w:themeFill="background1"/>
        <w:spacing w:line="360" w:lineRule="auto"/>
        <w:ind w:left="360"/>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 xml:space="preserve"> </w:t>
      </w:r>
      <w:proofErr w:type="spellStart"/>
      <w:r w:rsidR="00C02138" w:rsidRPr="009F44A4">
        <w:rPr>
          <w:rFonts w:ascii="Times New Roman" w:eastAsia="Calibri" w:hAnsi="Times New Roman" w:cs="Times New Roman"/>
          <w:b/>
          <w:color w:val="000000" w:themeColor="text1"/>
          <w:sz w:val="20"/>
          <w:szCs w:val="20"/>
        </w:rPr>
        <w:t>TrueNat</w:t>
      </w:r>
      <w:proofErr w:type="spellEnd"/>
      <w:r w:rsidR="00C02138" w:rsidRPr="009F44A4">
        <w:rPr>
          <w:rFonts w:ascii="Times New Roman" w:eastAsia="Calibri" w:hAnsi="Times New Roman" w:cs="Times New Roman"/>
          <w:b/>
          <w:color w:val="000000" w:themeColor="text1"/>
          <w:sz w:val="20"/>
          <w:szCs w:val="20"/>
        </w:rPr>
        <w:t>/CBNAAT based testing for COVID-19</w:t>
      </w:r>
    </w:p>
    <w:p w14:paraId="6C6B95FB" w14:textId="7CCB2E8A" w:rsidR="00945D5B"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Following initial validation of </w:t>
      </w:r>
      <w:proofErr w:type="spellStart"/>
      <w:r w:rsidRPr="009F44A4">
        <w:rPr>
          <w:rFonts w:ascii="Times New Roman" w:eastAsia="Calibri" w:hAnsi="Times New Roman" w:cs="Times New Roman"/>
          <w:color w:val="000000" w:themeColor="text1"/>
          <w:sz w:val="20"/>
          <w:szCs w:val="20"/>
        </w:rPr>
        <w:t>TrueNat</w:t>
      </w:r>
      <w:proofErr w:type="spellEnd"/>
      <w:r w:rsidRPr="009F44A4">
        <w:rPr>
          <w:rFonts w:ascii="Times New Roman" w:eastAsia="Calibri" w:hAnsi="Times New Roman" w:cs="Times New Roman"/>
          <w:color w:val="000000" w:themeColor="text1"/>
          <w:sz w:val="20"/>
          <w:szCs w:val="20"/>
        </w:rPr>
        <w:t xml:space="preserve"> test machines for screening of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 xml:space="preserve">-2 infected patients, the Indian Council of Medical Research (ICMR) released revised guidelines on May 19, 2020; calling the test a 'comprehensive </w:t>
      </w:r>
      <w:r w:rsidRPr="009F44A4">
        <w:rPr>
          <w:rFonts w:ascii="Times New Roman" w:eastAsia="Calibri" w:hAnsi="Times New Roman" w:cs="Times New Roman"/>
          <w:color w:val="000000" w:themeColor="text1"/>
          <w:sz w:val="20"/>
          <w:szCs w:val="20"/>
        </w:rPr>
        <w:lastRenderedPageBreak/>
        <w:t>method for the screening and confirmation of COVID-19 cases</w:t>
      </w:r>
      <w:r w:rsidR="00F46656" w:rsidRPr="009F44A4">
        <w:rPr>
          <w:rFonts w:ascii="Times New Roman" w:eastAsia="Calibri" w:hAnsi="Times New Roman" w:cs="Times New Roman"/>
          <w:color w:val="000000" w:themeColor="text1"/>
          <w:sz w:val="20"/>
          <w:szCs w:val="20"/>
        </w:rPr>
        <w:t xml:space="preserve"> </w:t>
      </w:r>
      <w:r w:rsidR="00F4665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{"citationID":"bl2DwGBm","properties":{"formattedCitation":"\\super 71\\nosupersub{}","plainCitation":"71","noteIndex":0},"citationItems":[{"id":679,"uris":["http://zotero.org/users/local/ZR048J0w/items/ERWAXURH"],"uri":["http://zotero.org/users/local/ZR048J0w/items/ERWAXURH"],"itemData":{"id":679,"type":"article-journal","language":"en","page":"1","source":"Zotero","title":"Revised Guidelines for TrueNat testing for COVID-19"}}],"schema":"https://github.com/citation-style-language/schema/raw/master/csl-citation.json"} </w:instrText>
      </w:r>
      <w:r w:rsidR="00F4665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71</w:t>
      </w:r>
      <w:r w:rsidR="00F46656" w:rsidRPr="009F44A4">
        <w:rPr>
          <w:rFonts w:ascii="Times New Roman" w:eastAsia="Calibri" w:hAnsi="Times New Roman" w:cs="Times New Roman"/>
          <w:color w:val="000000" w:themeColor="text1"/>
          <w:sz w:val="20"/>
          <w:szCs w:val="20"/>
        </w:rPr>
        <w:fldChar w:fldCharType="end"/>
      </w:r>
      <w:r w:rsidR="007F4AE0"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The </w:t>
      </w:r>
      <w:proofErr w:type="spellStart"/>
      <w:r w:rsidRPr="009F44A4">
        <w:rPr>
          <w:rFonts w:ascii="Times New Roman" w:eastAsia="Calibri" w:hAnsi="Times New Roman" w:cs="Times New Roman"/>
          <w:color w:val="000000" w:themeColor="text1"/>
          <w:sz w:val="20"/>
          <w:szCs w:val="20"/>
        </w:rPr>
        <w:t>TrueNat</w:t>
      </w:r>
      <w:proofErr w:type="spellEnd"/>
      <w:r w:rsidRPr="009F44A4">
        <w:rPr>
          <w:rFonts w:ascii="Times New Roman" w:eastAsia="Calibri" w:hAnsi="Times New Roman" w:cs="Times New Roman"/>
          <w:color w:val="000000" w:themeColor="text1"/>
          <w:sz w:val="20"/>
          <w:szCs w:val="20"/>
        </w:rPr>
        <w:t xml:space="preserve"> system, which is a cartridge based nucleic acid amplification test (CBNAAT) and indigenously manufactured in India, was originally designed for tuberculosis diagnosis</w:t>
      </w:r>
      <w:r w:rsidR="00F46656" w:rsidRPr="009F44A4">
        <w:rPr>
          <w:rFonts w:ascii="Times New Roman" w:eastAsia="Calibri" w:hAnsi="Times New Roman" w:cs="Times New Roman"/>
          <w:color w:val="000000" w:themeColor="text1"/>
          <w:sz w:val="20"/>
          <w:szCs w:val="20"/>
        </w:rPr>
        <w:t xml:space="preserve"> </w:t>
      </w:r>
      <w:r w:rsidR="00F4665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{"citationID":"rwQdIUFT","properties":{"formattedCitation":"\\super 71,72\\nosupersub{}","plainCitation":"71,72","noteIndex":0},"citationItems":[{"id":679,"uris":["http://zotero.org/users/local/ZR048J0w/items/ERWAXURH"],"uri":["http://zotero.org/users/local/ZR048J0w/items/ERWAXURH"],"itemData":{"id":679,"type":"article-journal","language":"en","page":"1","source":"Zotero","title":"Revised Guidelines for TrueNat testing for COVID-19"}},{"id":680,"uris":["http://zotero.org/users/local/ZR048J0w/items/MB2RTI6K"],"uri":["http://zotero.org/users/local/ZR048J0w/items/MB2RTI6K"],"itemData":{"id":680,"type":"post-weblog","abstract":"TrueNat molecular TB test uses a sputum sample to diagnose TB and test for rifampicin resistance. It can also be used to test for COVID-19.","container-title":"TBFacts","language":"en-GB","title":"Truenat TB Test - Diagnosis, resistance testing,COVID-19","URL":"https://tbfacts.org/truenat/","accessed":{"date-parts":[["2020",12,18]]}}}],"schema":"https://github.com/citation-style-language/schema/raw/master/csl-citation.json"} </w:instrText>
      </w:r>
      <w:r w:rsidR="00F4665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71,72</w:t>
      </w:r>
      <w:r w:rsidR="00F46656" w:rsidRPr="009F44A4">
        <w:rPr>
          <w:rFonts w:ascii="Times New Roman" w:eastAsia="Calibri" w:hAnsi="Times New Roman" w:cs="Times New Roman"/>
          <w:color w:val="000000" w:themeColor="text1"/>
          <w:sz w:val="20"/>
          <w:szCs w:val="20"/>
        </w:rPr>
        <w:fldChar w:fldCharType="end"/>
      </w:r>
      <w:r w:rsidR="009868A0" w:rsidRPr="009F44A4">
        <w:rPr>
          <w:rFonts w:ascii="Times New Roman" w:eastAsia="Calibri" w:hAnsi="Times New Roman" w:cs="Times New Roman"/>
          <w:color w:val="000000" w:themeColor="text1"/>
          <w:sz w:val="20"/>
          <w:szCs w:val="20"/>
        </w:rPr>
        <w:t>.</w:t>
      </w:r>
    </w:p>
    <w:p w14:paraId="7665B71D" w14:textId="77777777" w:rsidR="00600DE5"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 xml:space="preserve">Working principle of </w:t>
      </w:r>
      <w:proofErr w:type="spellStart"/>
      <w:r w:rsidRPr="009F44A4">
        <w:rPr>
          <w:rFonts w:ascii="Times New Roman" w:eastAsia="Calibri" w:hAnsi="Times New Roman" w:cs="Times New Roman"/>
          <w:b/>
          <w:color w:val="000000" w:themeColor="text1"/>
          <w:sz w:val="20"/>
          <w:szCs w:val="20"/>
        </w:rPr>
        <w:t>TrueNat</w:t>
      </w:r>
      <w:proofErr w:type="spellEnd"/>
      <w:r w:rsidRPr="009F44A4">
        <w:rPr>
          <w:rFonts w:ascii="Times New Roman" w:eastAsia="Calibri" w:hAnsi="Times New Roman" w:cs="Times New Roman"/>
          <w:b/>
          <w:color w:val="000000" w:themeColor="text1"/>
          <w:sz w:val="20"/>
          <w:szCs w:val="20"/>
        </w:rPr>
        <w:t xml:space="preserve"> tests</w:t>
      </w:r>
    </w:p>
    <w:p w14:paraId="1322F6BA" w14:textId="034B9DFD" w:rsidR="00337C75" w:rsidRPr="009F44A4" w:rsidRDefault="00C02138"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rPr>
      </w:pPr>
      <w:proofErr w:type="spellStart"/>
      <w:r w:rsidRPr="009F44A4">
        <w:rPr>
          <w:rFonts w:ascii="Times New Roman" w:eastAsia="Calibri" w:hAnsi="Times New Roman" w:cs="Times New Roman"/>
          <w:color w:val="000000" w:themeColor="text1"/>
          <w:sz w:val="20"/>
          <w:szCs w:val="20"/>
        </w:rPr>
        <w:t>TrueNat</w:t>
      </w:r>
      <w:proofErr w:type="spellEnd"/>
      <w:r w:rsidRPr="009F44A4">
        <w:rPr>
          <w:rFonts w:ascii="Times New Roman" w:eastAsia="Calibri" w:hAnsi="Times New Roman" w:cs="Times New Roman"/>
          <w:color w:val="000000" w:themeColor="text1"/>
          <w:sz w:val="20"/>
          <w:szCs w:val="20"/>
        </w:rPr>
        <w:t xml:space="preserve"> is known as the </w:t>
      </w:r>
      <w:proofErr w:type="spellStart"/>
      <w:r w:rsidRPr="009F44A4">
        <w:rPr>
          <w:rFonts w:ascii="Times New Roman" w:eastAsia="Calibri" w:hAnsi="Times New Roman" w:cs="Times New Roman"/>
          <w:color w:val="000000" w:themeColor="text1"/>
          <w:sz w:val="20"/>
          <w:szCs w:val="20"/>
        </w:rPr>
        <w:t>Rt</w:t>
      </w:r>
      <w:proofErr w:type="spellEnd"/>
      <w:r w:rsidRPr="009F44A4">
        <w:rPr>
          <w:rFonts w:ascii="Times New Roman" w:eastAsia="Calibri" w:hAnsi="Times New Roman" w:cs="Times New Roman"/>
          <w:color w:val="000000" w:themeColor="text1"/>
          <w:sz w:val="20"/>
          <w:szCs w:val="20"/>
        </w:rPr>
        <w:t>-PCR series, a battery-powered and chip-based machine that uses a two-step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detection method. The first stage is the detection of the presence of E-gene in the COVID-19 virus. E-gene allows the virus to create a spherical envelope around it. Step two recognizes the RNA-dependent RNA polymerase (</w:t>
      </w:r>
      <w:proofErr w:type="spellStart"/>
      <w:r w:rsidRPr="009F44A4">
        <w:rPr>
          <w:rFonts w:ascii="Times New Roman" w:eastAsia="Calibri" w:hAnsi="Times New Roman" w:cs="Times New Roman"/>
          <w:color w:val="000000" w:themeColor="text1"/>
          <w:sz w:val="20"/>
          <w:szCs w:val="20"/>
        </w:rPr>
        <w:t>RdRp</w:t>
      </w:r>
      <w:proofErr w:type="spellEnd"/>
      <w:r w:rsidRPr="009F44A4">
        <w:rPr>
          <w:rFonts w:ascii="Times New Roman" w:eastAsia="Calibri" w:hAnsi="Times New Roman" w:cs="Times New Roman"/>
          <w:color w:val="000000" w:themeColor="text1"/>
          <w:sz w:val="20"/>
          <w:szCs w:val="20"/>
        </w:rPr>
        <w:t>) gene in the viral RNA confirms the presence of the virus. For confirmation of the existence of E-gene in the sample, RT-PCR studies can be performed. However, new systems are designed to search for the RNA-dependent RNA polymerase (</w:t>
      </w:r>
      <w:proofErr w:type="spellStart"/>
      <w:r w:rsidRPr="009F44A4">
        <w:rPr>
          <w:rFonts w:ascii="Times New Roman" w:eastAsia="Calibri" w:hAnsi="Times New Roman" w:cs="Times New Roman"/>
          <w:color w:val="000000" w:themeColor="text1"/>
          <w:sz w:val="20"/>
          <w:szCs w:val="20"/>
        </w:rPr>
        <w:t>RdRp</w:t>
      </w:r>
      <w:proofErr w:type="spellEnd"/>
      <w:r w:rsidRPr="009F44A4">
        <w:rPr>
          <w:rFonts w:ascii="Times New Roman" w:eastAsia="Calibri" w:hAnsi="Times New Roman" w:cs="Times New Roman"/>
          <w:color w:val="000000" w:themeColor="text1"/>
          <w:sz w:val="20"/>
          <w:szCs w:val="20"/>
        </w:rPr>
        <w:t>) enzyme in the RNA virus. Consequently, all samples tested positive for E-gene can be confirmed in the same laboratory using a two-step test and the ICMR has determined that such test results could be seen as evidence of the existence of a new coronavirus</w:t>
      </w:r>
      <w:r w:rsidR="004023F8" w:rsidRPr="009F44A4">
        <w:rPr>
          <w:rFonts w:ascii="Times New Roman" w:eastAsia="Calibri" w:hAnsi="Times New Roman" w:cs="Times New Roman"/>
          <w:color w:val="000000" w:themeColor="text1"/>
          <w:sz w:val="20"/>
          <w:szCs w:val="20"/>
        </w:rPr>
        <w:t xml:space="preserve"> </w:t>
      </w:r>
      <w:r w:rsidR="004023F8"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{"citationID":"tYFSZmHC","properties":{"formattedCitation":"\\super 73\\nosupersub{}","plainCitation":"73","noteIndex":0},"citationItems":[{"id":914,"uris":["http://zotero.org/users/local/ZR048J0w/items/SMDLE5J3"],"uri":["http://zotero.org/users/local/ZR048J0w/items/SMDLE5J3"],"itemData":{"id":914,"type":"webpage","title":"Information for COVID-19 Testing Labs","URL":"https://www.icmr.gov.in/ctestlab.html","accessed":{"date-parts":[["2020",12,24]]}}}],"schema":"https://github.com/citation-style-language/schema/raw/master/csl-citation.json"} </w:instrText>
      </w:r>
      <w:r w:rsidR="004023F8"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73</w:t>
      </w:r>
      <w:r w:rsidR="004023F8" w:rsidRPr="009F44A4">
        <w:rPr>
          <w:rFonts w:ascii="Times New Roman" w:eastAsia="Calibri" w:hAnsi="Times New Roman" w:cs="Times New Roman"/>
          <w:color w:val="000000" w:themeColor="text1"/>
          <w:sz w:val="20"/>
          <w:szCs w:val="20"/>
        </w:rPr>
        <w:fldChar w:fldCharType="end"/>
      </w:r>
      <w:r w:rsidR="004023F8" w:rsidRPr="009F44A4">
        <w:rPr>
          <w:rFonts w:ascii="Times New Roman" w:eastAsia="Calibri" w:hAnsi="Times New Roman" w:cs="Times New Roman"/>
          <w:color w:val="000000" w:themeColor="text1"/>
          <w:sz w:val="20"/>
          <w:szCs w:val="20"/>
        </w:rPr>
        <w:t>.</w:t>
      </w:r>
      <w:r w:rsidR="00337C75" w:rsidRPr="009F44A4">
        <w:rPr>
          <w:rFonts w:ascii="Times New Roman" w:eastAsia="Calibri" w:hAnsi="Times New Roman" w:cs="Times New Roman"/>
          <w:b/>
          <w:color w:val="000000" w:themeColor="text1"/>
          <w:sz w:val="20"/>
          <w:szCs w:val="20"/>
        </w:rPr>
        <w:t xml:space="preserve"> </w:t>
      </w:r>
    </w:p>
    <w:p w14:paraId="1B7AC007" w14:textId="50F99DAE" w:rsidR="008D16FE" w:rsidRPr="009F44A4" w:rsidRDefault="00C02138"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color w:val="000000" w:themeColor="text1"/>
          <w:sz w:val="20"/>
          <w:szCs w:val="20"/>
        </w:rPr>
        <w:t>The sample of the throat and nasal swab is extracted and placed in a viral transmission medium where it is neutralized. It is then transported to some other solvent, the viral lyse buffer, wherein the cells are broken down and the contaminants excluded. A portion of a solvent is then transported to a cartridge that appears like a disc. The process extracts the RNA in about 20 minutes. This isolated RNA is then moved to another system where the solvent is transferred into a smaller well which is connected to an electronic chip not bigger than that of the human thumb.</w:t>
      </w:r>
    </w:p>
    <w:p w14:paraId="4F259B84" w14:textId="5C67EA4D" w:rsidR="008D16FE" w:rsidRPr="009F44A4" w:rsidRDefault="00C02138" w:rsidP="00DC7281">
      <w:pPr>
        <w:shd w:val="clear" w:color="auto" w:fill="FFFFFF" w:themeFill="background1"/>
        <w:spacing w:after="420"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The RNA is activated by reagent in the miniature well, it is the chip which is loaded with all viral load data to help determine whether or not the person carries the virus. compared to traditional PCR tests, the reagents may not demand high heat in this method</w:t>
      </w:r>
      <w:r w:rsidR="00466F64" w:rsidRPr="009F44A4">
        <w:rPr>
          <w:rFonts w:ascii="Times New Roman" w:eastAsia="Calibri" w:hAnsi="Times New Roman" w:cs="Times New Roman"/>
          <w:color w:val="000000" w:themeColor="text1"/>
          <w:sz w:val="20"/>
          <w:szCs w:val="20"/>
        </w:rPr>
        <w:t xml:space="preserve"> </w:t>
      </w:r>
      <w:r w:rsidR="00466F64"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{"citationID":"TxpRdQ3R","properties":{"formattedCitation":"\\super 74\\nosupersub{}","plainCitation":"74","noteIndex":0},"citationItems":[{"id":909,"uris":["http://zotero.org/users/local/ZR048J0w/items/QVVFVIQF"],"uri":["http://zotero.org/users/local/ZR048J0w/items/QVVFVIQF"],"itemData":{"id":909,"type":"post-weblog","container-title":"FIND","language":"en-US","title":"World Health Organization endorses Truenat tests for initial diagnosis of tuberculosis and detection of rifampicin resistance","URL":"https://www.finddx.org/newsroom/pr-02jul20/","accessed":{"date-parts":[["2020",12,23]]}}}],"schema":"https://github.com/citation-style-language/schema/raw/master/csl-citation.json"} </w:instrText>
      </w:r>
      <w:r w:rsidR="00466F64"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74</w:t>
      </w:r>
      <w:r w:rsidR="00466F64" w:rsidRPr="009F44A4">
        <w:rPr>
          <w:rFonts w:ascii="Times New Roman" w:eastAsia="Calibri" w:hAnsi="Times New Roman" w:cs="Times New Roman"/>
          <w:color w:val="000000" w:themeColor="text1"/>
          <w:sz w:val="20"/>
          <w:szCs w:val="20"/>
        </w:rPr>
        <w:fldChar w:fldCharType="end"/>
      </w:r>
      <w:r w:rsidR="00466F64"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with a smaller amount of swab required for diagnostics. The main difference seems to be that the system is portable and costs much less than the conventional RT-PCR tests</w:t>
      </w:r>
      <w:r w:rsidR="00CD61AC" w:rsidRPr="009F44A4">
        <w:rPr>
          <w:rFonts w:ascii="Times New Roman" w:eastAsia="Calibri" w:hAnsi="Times New Roman" w:cs="Times New Roman"/>
          <w:color w:val="000000" w:themeColor="text1"/>
          <w:sz w:val="20"/>
          <w:szCs w:val="20"/>
        </w:rPr>
        <w:t xml:space="preserve"> </w:t>
      </w:r>
      <w:r w:rsidR="00CD61A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{"citationID":"14pX9P46","properties":{"formattedCitation":"\\super 72\\nosupersub{}","plainCitation":"72","noteIndex":0},"citationItems":[{"id":680,"uris":["http://zotero.org/users/local/ZR048J0w/items/MB2RTI6K"],"uri":["http://zotero.org/users/local/ZR048J0w/items/MB2RTI6K"],"itemData":{"id":680,"type":"post-weblog","abstract":"TrueNat molecular TB test uses a sputum sample to diagnose TB and test for rifampicin resistance. It can also be used to test for COVID-19.","container-title":"TBFacts","language":"en-GB","title":"Truenat TB Test - Diagnosis, resistance testing,COVID-19","URL":"https://tbfacts.org/truenat/","accessed":{"date-parts":[["2020",12,18]]}}}],"schema":"https://github.com/citation-style-language/schema/raw/master/csl-citation.json"} </w:instrText>
      </w:r>
      <w:r w:rsidR="00CD61A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72</w:t>
      </w:r>
      <w:r w:rsidR="00CD61AC" w:rsidRPr="009F44A4">
        <w:rPr>
          <w:rFonts w:ascii="Times New Roman" w:eastAsia="Calibri" w:hAnsi="Times New Roman" w:cs="Times New Roman"/>
          <w:color w:val="000000" w:themeColor="text1"/>
          <w:sz w:val="20"/>
          <w:szCs w:val="20"/>
        </w:rPr>
        <w:fldChar w:fldCharType="end"/>
      </w:r>
      <w:r w:rsidR="00CD61AC" w:rsidRPr="009F44A4">
        <w:rPr>
          <w:rFonts w:ascii="Times New Roman" w:eastAsia="Calibri" w:hAnsi="Times New Roman" w:cs="Times New Roman"/>
          <w:color w:val="000000" w:themeColor="text1"/>
          <w:sz w:val="20"/>
          <w:szCs w:val="20"/>
        </w:rPr>
        <w:t xml:space="preserve">. </w:t>
      </w:r>
    </w:p>
    <w:p w14:paraId="70CC0206" w14:textId="77777777" w:rsidR="008D16FE" w:rsidRPr="009F44A4" w:rsidRDefault="00C02138" w:rsidP="00DC7281">
      <w:pPr>
        <w:pStyle w:val="Heading3"/>
        <w:numPr>
          <w:ilvl w:val="0"/>
          <w:numId w:val="7"/>
        </w:numPr>
        <w:shd w:val="clear" w:color="auto" w:fill="FFFFFF" w:themeFill="background1"/>
        <w:spacing w:before="0" w:after="240"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Impact of SARS-</w:t>
      </w:r>
      <w:proofErr w:type="spellStart"/>
      <w:r w:rsidRPr="009F44A4">
        <w:rPr>
          <w:rFonts w:ascii="Times New Roman" w:eastAsia="Calibri" w:hAnsi="Times New Roman" w:cs="Times New Roman"/>
          <w:b/>
          <w:color w:val="000000" w:themeColor="text1"/>
          <w:sz w:val="20"/>
          <w:szCs w:val="20"/>
        </w:rPr>
        <w:t>CoV</w:t>
      </w:r>
      <w:proofErr w:type="spellEnd"/>
      <w:r w:rsidRPr="009F44A4">
        <w:rPr>
          <w:rFonts w:ascii="Times New Roman" w:eastAsia="Calibri" w:hAnsi="Times New Roman" w:cs="Times New Roman"/>
          <w:b/>
          <w:color w:val="000000" w:themeColor="text1"/>
          <w:sz w:val="20"/>
          <w:szCs w:val="20"/>
        </w:rPr>
        <w:t>-2 on economy</w:t>
      </w:r>
    </w:p>
    <w:p w14:paraId="5D768FAC" w14:textId="3F372001" w:rsidR="008D16FE" w:rsidRPr="009F44A4" w:rsidRDefault="00A00FA3"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 xml:space="preserve">The coronavirus outbreak has shown tremendous downfall in the global economy since its emergence. Lockdown was applied across the globe, which halted the economic movement. Stock markets took a global hit and the human race started finding high financial difficulty. Investors fear that the spread of the coronavirus will destroy economic growth and it has already curbed the investments funds for businesses. In response, central banks in many countries across the globe have slashed interest rates. Global markets did recover some ground when governments across the globe started to drop some decent funds in the economy for its boost. The IMF (International Monetary Fund) defined this as similar to the great depression of the </w:t>
      </w:r>
      <w:proofErr w:type="spellStart"/>
      <w:r w:rsidRPr="009F44A4">
        <w:rPr>
          <w:rFonts w:ascii="Times New Roman" w:hAnsi="Times New Roman" w:cs="Times New Roman"/>
          <w:color w:val="000000" w:themeColor="text1"/>
          <w:sz w:val="20"/>
          <w:szCs w:val="20"/>
          <w:shd w:val="clear" w:color="auto" w:fill="FFFFFF"/>
        </w:rPr>
        <w:t>1930's</w:t>
      </w:r>
      <w:proofErr w:type="spellEnd"/>
      <w:r w:rsidRPr="009F44A4">
        <w:rPr>
          <w:rFonts w:ascii="Times New Roman" w:hAnsi="Times New Roman" w:cs="Times New Roman"/>
          <w:color w:val="000000" w:themeColor="text1"/>
          <w:sz w:val="20"/>
          <w:szCs w:val="20"/>
          <w:shd w:val="clear" w:color="auto" w:fill="FFFFFF"/>
        </w:rPr>
        <w:t xml:space="preserve">. While coronavirus is said to have plunged the world into a worst-hit epidemic, global growth is projected to increase to 5.8% next year if the pandemic declines in late 2020 </w:t>
      </w:r>
      <w:r w:rsidR="00017AD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{"citationID":"csOjkoNT","properties":{"formattedCitation":"\\super 75\\nosupersub{}","plainCitation":"75","noteIndex":0},"citationItems":[{"id":682,"uris":["http://zotero.org/users/local/ZR048J0w/items/RN72V9JV"],"uri":["http://zotero.org/users/local/ZR048J0w/items/RN72V9JV"],"itemData":{"id":682,"type":"webpage","abstract":"The COVID-19 pandemic is inflicting high and rising human costs worldwide, and the necessary protection measures are severely impacting economic activity. As a result of the pandemic, the global economy is projected to contract sharply by –3 percent in 2020, much worse than during the 2008–09 financial crisis. In a baseline scenario--which assumes that the pandemic fades in the second half of 2020 and containment efforts can be gradually unwound—the global economy is projected to grow by 5.8 percent in 2021 as economic activity normalizes, helped by policy support.","container-title":"IMF","language":"en","title":"World Economic Outlook, April 2020: The Great Lockdown","title-short":"World Economic Outlook, April 2020","URL":"https://www.imf.org/en/Publications/WEO/Issues/2020/04/14/weo-april-2020","accessed":{"date-parts":[["2020",12,20]]}}}],"schema":"https://github.com/citation-style-language/schema/raw/master/csl-citation.json"} </w:instrText>
      </w:r>
      <w:r w:rsidR="00017AD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75</w:t>
      </w:r>
      <w:r w:rsidR="00017AD6"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Technology usage across the globe saw a surge as the government urged the companies to work from home. Zoom (a video call)/</w:t>
      </w:r>
      <w:proofErr w:type="spellStart"/>
      <w:r w:rsidRPr="009F44A4">
        <w:rPr>
          <w:rFonts w:ascii="Times New Roman" w:hAnsi="Times New Roman" w:cs="Times New Roman"/>
          <w:color w:val="000000" w:themeColor="text1"/>
          <w:sz w:val="20"/>
          <w:szCs w:val="20"/>
          <w:shd w:val="clear" w:color="auto" w:fill="FFFFFF"/>
        </w:rPr>
        <w:t>meetup</w:t>
      </w:r>
      <w:proofErr w:type="spellEnd"/>
      <w:r w:rsidRPr="009F44A4">
        <w:rPr>
          <w:rFonts w:ascii="Times New Roman" w:hAnsi="Times New Roman" w:cs="Times New Roman"/>
          <w:color w:val="000000" w:themeColor="text1"/>
          <w:sz w:val="20"/>
          <w:szCs w:val="20"/>
          <w:shd w:val="clear" w:color="auto" w:fill="FFFFFF"/>
        </w:rPr>
        <w:t xml:space="preserve"> platform saw a massive uplift in share pricing during this period, also Netflix and amazon saw a surge in its shares. Heavy lockdown not only triggered drastic changes in economic conditions but also significantly declined the pollution level. Countries across the globe got their nature back in shape with pollution levels dropping noticeably </w:t>
      </w:r>
      <w:r w:rsidRPr="009F44A4">
        <w:rPr>
          <w:rFonts w:ascii="Times New Roman" w:hAnsi="Times New Roman" w:cs="Times New Roman"/>
          <w:color w:val="000000" w:themeColor="text1"/>
          <w:sz w:val="20"/>
          <w:szCs w:val="20"/>
          <w:shd w:val="clear" w:color="auto" w:fill="FFFFFF"/>
        </w:rPr>
        <w:lastRenderedPageBreak/>
        <w:t xml:space="preserve">across the globe </w:t>
      </w:r>
      <w:r w:rsidR="00017AD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{"citationID":"VhCDeww7","properties":{"formattedCitation":"\\super 75\\nosupersub{}","plainCitation":"75","noteIndex":0},"citationItems":[{"id":682,"uris":["http://zotero.org/users/local/ZR048J0w/items/RN72V9JV"],"uri":["http://zotero.org/users/local/ZR048J0w/items/RN72V9JV"],"itemData":{"id":682,"type":"webpage","abstract":"The COVID-19 pandemic is inflicting high and rising human costs worldwide, and the necessary protection measures are severely impacting economic activity. As a result of the pandemic, the global economy is projected to contract sharply by –3 percent in 2020, much worse than during the 2008–09 financial crisis. In a baseline scenario--which assumes that the pandemic fades in the second half of 2020 and containment efforts can be gradually unwound—the global economy is projected to grow by 5.8 percent in 2021 as economic activity normalizes, helped by policy support.","container-title":"IMF","language":"en","title":"World Economic Outlook, April 2020: The Great Lockdown","title-short":"World Economic Outlook, April 2020","URL":"https://www.imf.org/en/Publications/WEO/Issues/2020/04/14/weo-april-2020","accessed":{"date-parts":[["2020",12,20]]}}}],"schema":"https://github.com/citation-style-language/schema/raw/master/csl-citation.json"} </w:instrText>
      </w:r>
      <w:r w:rsidR="00017AD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75</w:t>
      </w:r>
      <w:r w:rsidR="00017AD6" w:rsidRPr="009F44A4">
        <w:rPr>
          <w:rFonts w:ascii="Times New Roman" w:eastAsia="Calibri" w:hAnsi="Times New Roman" w:cs="Times New Roman"/>
          <w:color w:val="000000" w:themeColor="text1"/>
          <w:sz w:val="20"/>
          <w:szCs w:val="20"/>
        </w:rPr>
        <w:fldChar w:fldCharType="end"/>
      </w:r>
      <w:r w:rsidR="00017AD6"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00F51E57" w:rsidRPr="009F44A4">
        <w:rPr>
          <w:rFonts w:ascii="Times New Roman" w:hAnsi="Times New Roman" w:cs="Times New Roman"/>
          <w:color w:val="000000" w:themeColor="text1"/>
          <w:sz w:val="20"/>
          <w:szCs w:val="20"/>
          <w:shd w:val="clear" w:color="auto" w:fill="FFFFFF"/>
        </w:rPr>
        <w:t>Now easing lockdowns in various countries are helping the economy to move better than the March to May period, and even pollution levels in different countries are coming back to normal at a gradual pace</w:t>
      </w:r>
      <w:r w:rsidR="00017AD6" w:rsidRPr="009F44A4">
        <w:rPr>
          <w:rFonts w:ascii="Times New Roman" w:eastAsia="Calibri" w:hAnsi="Times New Roman" w:cs="Times New Roman"/>
          <w:color w:val="000000" w:themeColor="text1"/>
          <w:sz w:val="20"/>
          <w:szCs w:val="20"/>
        </w:rPr>
        <w:t xml:space="preserve"> </w:t>
      </w:r>
      <w:r w:rsidR="00017AD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{"citationID":"zcctJrPg","properties":{"formattedCitation":"\\super 75\\nosupersub{}","plainCitation":"75","noteIndex":0},"citationItems":[{"id":682,"uris":["http://zotero.org/users/local/ZR048J0w/items/RN72V9JV"],"uri":["http://zotero.org/users/local/ZR048J0w/items/RN72V9JV"],"itemData":{"id":682,"type":"webpage","abstract":"The COVID-19 pandemic is inflicting high and rising human costs worldwide, and the necessary protection measures are severely impacting economic activity. As a result of the pandemic, the global economy is projected to contract sharply by –3 percent in 2020, much worse than during the 2008–09 financial crisis. In a baseline scenario--which assumes that the pandemic fades in the second half of 2020 and containment efforts can be gradually unwound—the global economy is projected to grow by 5.8 percent in 2021 as economic activity normalizes, helped by policy support.","container-title":"IMF","language":"en","title":"World Economic Outlook, April 2020: The Great Lockdown","title-short":"World Economic Outlook, April 2020","URL":"https://www.imf.org/en/Publications/WEO/Issues/2020/04/14/weo-april-2020","accessed":{"date-parts":[["2020",12,20]]}}}],"schema":"https://github.com/citation-style-language/schema/raw/master/csl-citation.json"} </w:instrText>
      </w:r>
      <w:r w:rsidR="00017AD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75</w:t>
      </w:r>
      <w:r w:rsidR="00017AD6" w:rsidRPr="009F44A4">
        <w:rPr>
          <w:rFonts w:ascii="Times New Roman" w:eastAsia="Calibri" w:hAnsi="Times New Roman" w:cs="Times New Roman"/>
          <w:color w:val="000000" w:themeColor="text1"/>
          <w:sz w:val="20"/>
          <w:szCs w:val="20"/>
        </w:rPr>
        <w:fldChar w:fldCharType="end"/>
      </w:r>
      <w:r w:rsidR="00017AD6" w:rsidRPr="009F44A4">
        <w:rPr>
          <w:rFonts w:ascii="Times New Roman" w:eastAsia="Calibri" w:hAnsi="Times New Roman" w:cs="Times New Roman"/>
          <w:color w:val="000000" w:themeColor="text1"/>
          <w:sz w:val="20"/>
          <w:szCs w:val="20"/>
        </w:rPr>
        <w:t>.</w:t>
      </w:r>
    </w:p>
    <w:p w14:paraId="28729E1D" w14:textId="77777777" w:rsidR="008D16FE" w:rsidRPr="009F44A4" w:rsidRDefault="00C02138" w:rsidP="00DC7281">
      <w:pPr>
        <w:pStyle w:val="Heading3"/>
        <w:numPr>
          <w:ilvl w:val="0"/>
          <w:numId w:val="7"/>
        </w:numPr>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Mortality Rate of COVID-19</w:t>
      </w:r>
    </w:p>
    <w:p w14:paraId="222F4BB1" w14:textId="0C5D88F0" w:rsidR="00372B65"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The mortality rate of COVID-19 appears to be higher than influenza. To better understand the true death rate </w:t>
      </w:r>
      <w:r w:rsidR="00C66E9F" w:rsidRPr="009F44A4">
        <w:rPr>
          <w:rFonts w:ascii="Times New Roman" w:eastAsia="Calibri" w:hAnsi="Times New Roman" w:cs="Times New Roman"/>
          <w:color w:val="000000" w:themeColor="text1"/>
          <w:sz w:val="20"/>
          <w:szCs w:val="20"/>
        </w:rPr>
        <w:t>of COVID</w:t>
      </w:r>
      <w:r w:rsidRPr="009F44A4">
        <w:rPr>
          <w:rFonts w:ascii="Times New Roman" w:eastAsia="Calibri" w:hAnsi="Times New Roman" w:cs="Times New Roman"/>
          <w:color w:val="000000" w:themeColor="text1"/>
          <w:sz w:val="20"/>
          <w:szCs w:val="20"/>
        </w:rPr>
        <w:t>-19 infected people it will take some time, the data available to date show that the crude mortality</w:t>
      </w:r>
      <w:r w:rsidR="00C66E9F"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(the number of confirmed deaths divided by recorded case) is between 3-4%. The infection fatality rate (the number of confirmed deaths divided by the number of infections would be lower. Mortality for seasonal influenza is typically well below 0.1 percent. Mortality, however, is largely determined by healthcare access and quality available in a given country</w:t>
      </w:r>
      <w:r w:rsidR="0005589E" w:rsidRPr="009F44A4">
        <w:rPr>
          <w:rFonts w:ascii="Times New Roman" w:eastAsia="Calibri" w:hAnsi="Times New Roman" w:cs="Times New Roman"/>
          <w:color w:val="000000" w:themeColor="text1"/>
          <w:sz w:val="20"/>
          <w:szCs w:val="20"/>
        </w:rPr>
        <w:t xml:space="preserve"> </w:t>
      </w:r>
      <w:r w:rsidR="0005589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{"citationID":"qqf1uqz6","properties":{"formattedCitation":"\\super 76\\nosupersub{}","plainCitation":"76","noteIndex":0},"citationItems":[{"id":684,"uris":["http://zotero.org/users/local/ZR048J0w/items/7KYHB3NV"],"uri":["http://zotero.org/users/local/ZR048J0w/items/7KYHB3NV"],"itemData":{"id":684,"type":"webpage","language":"en","title":"WHO Director-General's opening remarks at the media briefing on COVID-19 - 20 March 2020","URL":"https://www.who.int/director-general/speeches/detail/who-director-general-s-opening-remarks-at-the-media-briefing-on-covid-19---20-march-2020","accessed":{"date-parts":[["2020",12,20]]}}}],"schema":"https://github.com/citation-style-language/schema/raw/master/csl-citation.json"} </w:instrText>
      </w:r>
      <w:r w:rsidR="0005589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76</w:t>
      </w:r>
      <w:r w:rsidR="0005589E" w:rsidRPr="009F44A4">
        <w:rPr>
          <w:rFonts w:ascii="Times New Roman" w:eastAsia="Calibri" w:hAnsi="Times New Roman" w:cs="Times New Roman"/>
          <w:color w:val="000000" w:themeColor="text1"/>
          <w:sz w:val="20"/>
          <w:szCs w:val="20"/>
        </w:rPr>
        <w:fldChar w:fldCharType="end"/>
      </w:r>
      <w:r w:rsidR="0005589E" w:rsidRPr="009F44A4">
        <w:rPr>
          <w:rFonts w:ascii="Times New Roman" w:eastAsia="Calibri" w:hAnsi="Times New Roman" w:cs="Times New Roman"/>
          <w:color w:val="000000" w:themeColor="text1"/>
          <w:sz w:val="20"/>
          <w:szCs w:val="20"/>
        </w:rPr>
        <w:t>.</w:t>
      </w:r>
    </w:p>
    <w:p w14:paraId="0B778A2A" w14:textId="60683EEF" w:rsidR="00372B65" w:rsidRPr="009F44A4" w:rsidRDefault="00372B65" w:rsidP="00DC7281">
      <w:pPr>
        <w:shd w:val="clear" w:color="auto" w:fill="FFFFFF" w:themeFill="background1"/>
        <w:spacing w:line="360" w:lineRule="auto"/>
        <w:jc w:val="both"/>
        <w:rPr>
          <w:rFonts w:ascii="Times New Roman" w:eastAsia="Times New Roman" w:hAnsi="Times New Roman" w:cs="Times New Roman"/>
          <w:color w:val="000000" w:themeColor="text1"/>
          <w:sz w:val="20"/>
          <w:szCs w:val="20"/>
          <w:lang w:eastAsia="en-US"/>
        </w:rPr>
      </w:pPr>
      <w:r w:rsidRPr="009F44A4">
        <w:rPr>
          <w:rFonts w:ascii="Times New Roman" w:eastAsia="Times New Roman" w:hAnsi="Times New Roman" w:cs="Times New Roman"/>
          <w:color w:val="000000" w:themeColor="text1"/>
          <w:sz w:val="20"/>
          <w:szCs w:val="20"/>
          <w:shd w:val="clear" w:color="auto" w:fill="FFFFFF"/>
          <w:lang w:eastAsia="en-US"/>
        </w:rPr>
        <w:t>As of January 1st, 2022, India had reported over 35 million cases of SARS-</w:t>
      </w:r>
      <w:proofErr w:type="spellStart"/>
      <w:r w:rsidRPr="009F44A4">
        <w:rPr>
          <w:rFonts w:ascii="Times New Roman" w:eastAsia="Times New Roman" w:hAnsi="Times New Roman" w:cs="Times New Roman"/>
          <w:color w:val="000000" w:themeColor="text1"/>
          <w:sz w:val="20"/>
          <w:szCs w:val="20"/>
          <w:shd w:val="clear" w:color="auto" w:fill="FFFFFF"/>
          <w:lang w:eastAsia="en-US"/>
        </w:rPr>
        <w:t>CoV</w:t>
      </w:r>
      <w:proofErr w:type="spellEnd"/>
      <w:r w:rsidRPr="009F44A4">
        <w:rPr>
          <w:rFonts w:ascii="Times New Roman" w:eastAsia="Times New Roman" w:hAnsi="Times New Roman" w:cs="Times New Roman"/>
          <w:color w:val="000000" w:themeColor="text1"/>
          <w:sz w:val="20"/>
          <w:szCs w:val="20"/>
          <w:shd w:val="clear" w:color="auto" w:fill="FFFFFF"/>
          <w:lang w:eastAsia="en-US"/>
        </w:rPr>
        <w:t>-2, the virus that causes COVID-19. This placed the country as the second-highest in the world for confirmed cases, behind only the United States</w:t>
      </w:r>
      <w:r w:rsidR="00CD4033" w:rsidRPr="009F44A4">
        <w:rPr>
          <w:rFonts w:ascii="Times New Roman" w:eastAsia="Times New Roman" w:hAnsi="Times New Roman" w:cs="Times New Roman"/>
          <w:color w:val="000000" w:themeColor="text1"/>
          <w:sz w:val="20"/>
          <w:szCs w:val="20"/>
          <w:shd w:val="clear" w:color="auto" w:fill="FFFFFF"/>
          <w:lang w:eastAsia="en-US"/>
        </w:rPr>
        <w:t xml:space="preserve"> </w:t>
      </w:r>
      <w:r w:rsidR="00CD4033"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{"citationID":"a4ha6mskp1","properties":{"formattedCitation":"\\super 77\\nosupersub{}","plainCitation":"77","noteIndex":0},"citationItems":[{"id":1657,"uris":["http://zotero.org/users/local/ZR048J0w/items/2RNSC2HY"],"uri":["http://zotero.org/users/local/ZR048J0w/items/2RNSC2HY"],"itemData":{"id":1657,"type":"webpage","abstract":"Track the spread of the Coronavirus COVID-19 epidemic, browse an interactive map, view fatality rate and recoveries, check affected regions in real-time and more.","language":"en","title":"The Coronavirus App","URL":"https://coronavirus.app","accessed":{"date-parts":[["2023",2,1]]}}}],"schema":"https://github.com/citation-style-language/schema/raw/master/csl-citation.json"} </w:instrText>
      </w:r>
      <w:r w:rsidR="00CD4033"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77</w:t>
      </w:r>
      <w:r w:rsidR="00CD4033"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lang w:eastAsia="en-US"/>
        </w:rPr>
        <w:t>. The</w:t>
      </w:r>
      <w:r w:rsidRPr="009F44A4">
        <w:rPr>
          <w:rFonts w:ascii="Times New Roman" w:eastAsia="Times New Roman" w:hAnsi="Times New Roman" w:cs="Times New Roman"/>
          <w:color w:val="000000" w:themeColor="text1"/>
          <w:sz w:val="20"/>
          <w:szCs w:val="20"/>
          <w:shd w:val="clear" w:color="auto" w:fill="FFFFFF"/>
          <w:lang w:eastAsia="en-US"/>
        </w:rPr>
        <w:t xml:space="preserve"> official cumulative COVID death count in India at the time was 0.48 million, translating to a death rate of approximately 345 per million population, which was one-seventh of the death rate in the United States</w:t>
      </w:r>
      <w:r w:rsidR="005518F7" w:rsidRPr="009F44A4">
        <w:rPr>
          <w:rFonts w:ascii="Times New Roman" w:eastAsia="Times New Roman" w:hAnsi="Times New Roman" w:cs="Times New Roman"/>
          <w:color w:val="000000" w:themeColor="text1"/>
          <w:sz w:val="20"/>
          <w:szCs w:val="20"/>
          <w:shd w:val="clear" w:color="auto" w:fill="FFFFFF"/>
          <w:lang w:eastAsia="en-US"/>
        </w:rPr>
        <w:t xml:space="preserve"> </w:t>
      </w:r>
      <w:r w:rsidR="005518F7"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{"citationID":"a7cc4hraao","properties":{"formattedCitation":"\\super 78\\nosupersub{}","plainCitation":"78","noteIndex":0},"citationItems":[{"id":1663,"uris":["http://zotero.org/users/local/ZR048J0w/items/T3MFYFYS"],"uri":["http://zotero.org/users/local/ZR048J0w/items/T3MFYFYS"],"itemData":{"id":1663,"type":"webpage","abstract":"A volunteer-driven crowdsourced effort to track the coronavirus in India. A detailed country map shows the extent of the coronavirus outbreak, with tables of the number of cases by state and district.","language":"en","title":"Coronavirus in India: Latest Map and Case Count","title-short":"Coronavirus in India","URL":"https://www.covid19india.org","accessed":{"date-parts":[["2023",2,1]]}}}],"schema":"https://github.com/citation-style-language/schema/raw/master/csl-citation.json"} </w:instrText>
      </w:r>
      <w:r w:rsidR="005518F7"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78</w:t>
      </w:r>
      <w:r w:rsidR="005518F7"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lang w:eastAsia="en-US"/>
        </w:rPr>
        <w:t>.</w:t>
      </w:r>
    </w:p>
    <w:p w14:paraId="2609AD09" w14:textId="022D39C1" w:rsidR="00372B65" w:rsidRDefault="00372B65" w:rsidP="00DC7281">
      <w:pPr>
        <w:shd w:val="clear" w:color="auto" w:fill="FFFFFF" w:themeFill="background1"/>
        <w:spacing w:line="360" w:lineRule="auto"/>
        <w:jc w:val="both"/>
        <w:rPr>
          <w:rFonts w:ascii="Times New Roman" w:eastAsia="Times New Roman" w:hAnsi="Times New Roman" w:cs="Times New Roman"/>
          <w:color w:val="000000" w:themeColor="text1"/>
          <w:sz w:val="20"/>
          <w:szCs w:val="20"/>
          <w:shd w:val="clear" w:color="auto" w:fill="F7F7F8"/>
          <w:lang w:eastAsia="en-US"/>
        </w:rPr>
      </w:pPr>
      <w:r w:rsidRPr="009F44A4">
        <w:rPr>
          <w:rFonts w:ascii="Times New Roman" w:eastAsia="Times New Roman" w:hAnsi="Times New Roman" w:cs="Times New Roman"/>
          <w:color w:val="000000" w:themeColor="text1"/>
          <w:sz w:val="20"/>
          <w:szCs w:val="20"/>
          <w:shd w:val="clear" w:color="auto" w:fill="FFFFFF"/>
          <w:lang w:eastAsia="en-US"/>
        </w:rPr>
        <w:t xml:space="preserve">However, it was widely believed that India's reported COVID death totals were underreported due to incomplete certification of COVID deaths and misattribution to other causes, as well as the fact that most deaths occurred in rural areas without medical attention </w:t>
      </w:r>
      <w:r w:rsidR="009B70E2" w:rsidRPr="009F44A4">
        <w:rPr>
          <w:rFonts w:ascii="Times New Roman" w:eastAsia="Times New Roman" w:hAnsi="Times New Roman" w:cs="Times New Roman"/>
          <w:color w:val="000000" w:themeColor="text1"/>
          <w:sz w:val="20"/>
          <w:szCs w:val="20"/>
          <w:shd w:val="clear" w:color="auto" w:fill="FFFFFF"/>
          <w:lang w:eastAsia="en-US"/>
        </w:rPr>
        <w:fldChar w:fldCharType="begin"/>
      </w:r>
      <w:r w:rsidR="00236558">
        <w:rPr>
          <w:rFonts w:ascii="Times New Roman" w:eastAsia="Times New Roman" w:hAnsi="Times New Roman" w:cs="Times New Roman"/>
          <w:color w:val="000000" w:themeColor="text1"/>
          <w:sz w:val="20"/>
          <w:szCs w:val="20"/>
          <w:shd w:val="clear" w:color="auto" w:fill="FFFFFF"/>
          <w:lang w:eastAsia="en-US"/>
        </w:rPr>
        <w:instrText xml:space="preserve"> ADDIN ZOTERO_ITEM CSL_CITATION {"citationID":"afr7tie7oe","properties":{"formattedCitation":"\\super 79,80\\nosupersub{}","plainCitation":"79,80","noteIndex":0},"citationItems":[{"id":1665,"uris":["http://zotero.org/users/local/ZR048J0w/items/ZV3IFRCS"],"uri":["http://zotero.org/users/local/ZR048J0w/items/ZV3IFRCS"],"itemData":{"id":1665,"type":"article-journal","container-title":"The Lancet Global Health","DOI":"10.1016/S2214-109X(19)30451-6","ISSN":"2214-109X","issue":"12","journalAbbreviation":"The Lancet Global Health","language":"English","note":"publisher: Elsevier\nPMID: 31708148","page":"e1675-e1684","source":"www.thelancet.com","title":"National Burden Estimates of healthy life lost in India, 2017: an analysis using direct mortality data and indirect disability data","title-short":"National Burden Estimates of healthy life lost in India, 2017","volume":"7","author":[{"family":"Menon","given":"Geetha R."},{"family":"Singh","given":"Lucky"},{"family":"Sharma","given":"Palak"},{"family":"Yadav","given":"Priyanka"},{"family":"Sharma","given":"Shweta"},{"family":"Kalaskar","given":"Shrikant"},{"family":"Singh","given":"Harpreet"},{"family":"Adinarayanan","given":"Srividya"},{"family":"Joshua","given":"Vasna"},{"family":"Kulothungan","given":"Vaitheeswaran"},{"family":"Yadav","given":"Jeetendra"},{"family":"Watson","given":"Leah K."},{"family":"Fadel","given":"Shaza A."},{"family":"Suraweera","given":"Wilson"},{"family":"Rao","given":"M. Vishnu Vardhana"},{"family":"Dhaliwal","given":"R. S."},{"family":"Begum","given":"Rehana"},{"family":"Sati","given":"Prabha"},{"family":"Jamison","given":"Dean T."},{"family":"Jha","given":"Prabhat"}],"issued":{"date-parts":[["2019",12,1]]}}},{"id":1670,"uris":["http://zotero.org/users/local/ZR048J0w/items/4I4XMPJL"],"uri":["http://zotero.org/users/local/ZR048J0w/items/4I4XMPJL"],"itemData":{"id":1670,"type":"webpage","title":"India - REPORT ON VITAL STATISTICS OF INDIA BASED ON THE CIVIL REGISTRATION SYSTEM-2019","URL":"https://censusindia.gov.in/nada/index.php/catalog/42541","accessed":{"date-parts":[["2023",2,1]]}}}],"schema":"https://github.com/citation-style-language/schema/raw/master/csl-citation.json"} </w:instrText>
      </w:r>
      <w:r w:rsidR="009B70E2" w:rsidRPr="009F44A4">
        <w:rPr>
          <w:rFonts w:ascii="Times New Roman" w:eastAsia="Times New Roman" w:hAnsi="Times New Roman" w:cs="Times New Roman"/>
          <w:color w:val="000000" w:themeColor="text1"/>
          <w:sz w:val="20"/>
          <w:szCs w:val="20"/>
          <w:shd w:val="clear" w:color="auto" w:fill="FFFFFF"/>
          <w:lang w:eastAsia="en-US"/>
        </w:rPr>
        <w:fldChar w:fldCharType="separate"/>
      </w:r>
      <w:r w:rsidR="00236558" w:rsidRPr="00236558">
        <w:rPr>
          <w:rFonts w:ascii="Times New Roman" w:hAnsi="Times New Roman" w:cs="Times New Roman"/>
          <w:sz w:val="20"/>
          <w:szCs w:val="24"/>
          <w:vertAlign w:val="superscript"/>
        </w:rPr>
        <w:t>79,80</w:t>
      </w:r>
      <w:r w:rsidR="009B70E2" w:rsidRPr="009F44A4">
        <w:rPr>
          <w:rFonts w:ascii="Times New Roman" w:eastAsia="Times New Roman" w:hAnsi="Times New Roman" w:cs="Times New Roman"/>
          <w:color w:val="000000" w:themeColor="text1"/>
          <w:sz w:val="20"/>
          <w:szCs w:val="20"/>
          <w:shd w:val="clear" w:color="auto" w:fill="FFFFFF"/>
          <w:lang w:eastAsia="en-US"/>
        </w:rPr>
        <w:fldChar w:fldCharType="end"/>
      </w:r>
      <w:r w:rsidRPr="009F44A4">
        <w:rPr>
          <w:rFonts w:ascii="Times New Roman" w:eastAsia="Times New Roman" w:hAnsi="Times New Roman" w:cs="Times New Roman"/>
          <w:color w:val="000000" w:themeColor="text1"/>
          <w:sz w:val="20"/>
          <w:szCs w:val="20"/>
          <w:shd w:val="clear" w:color="auto" w:fill="FFFFFF"/>
          <w:lang w:eastAsia="en-US"/>
        </w:rPr>
        <w:t>. The United Nations Population Division (UNPD) estimated that India had up to 10 million deaths in 2020, with over 3 million of those deaths going unregistered and over 8 million not undergoing medical certification.</w:t>
      </w:r>
      <w:r w:rsidR="00691BA7">
        <w:rPr>
          <w:rFonts w:ascii="Times New Roman" w:eastAsia="Times New Roman" w:hAnsi="Times New Roman" w:cs="Times New Roman"/>
          <w:color w:val="000000" w:themeColor="text1"/>
          <w:sz w:val="20"/>
          <w:szCs w:val="20"/>
          <w:shd w:val="clear" w:color="auto" w:fill="FFFFFF"/>
          <w:lang w:eastAsia="en-US"/>
        </w:rPr>
        <w:t xml:space="preserve"> </w:t>
      </w:r>
      <w:r w:rsidR="00691BA7" w:rsidRPr="00691BA7">
        <w:rPr>
          <w:rFonts w:ascii="Times New Roman" w:eastAsia="Times New Roman" w:hAnsi="Times New Roman" w:cs="Times New Roman"/>
          <w:color w:val="000000" w:themeColor="text1"/>
          <w:sz w:val="20"/>
          <w:szCs w:val="20"/>
          <w:shd w:val="clear" w:color="auto" w:fill="FFFFFF"/>
          <w:lang w:eastAsia="en-US"/>
        </w:rPr>
        <w:t>As of November 9th, 2022, the United States has reported 1,070,947 COVID-19 related deaths</w:t>
      </w:r>
      <w:r w:rsidR="003812AA" w:rsidRPr="009F44A4">
        <w:rPr>
          <w:rFonts w:ascii="Times New Roman" w:eastAsia="Times New Roman" w:hAnsi="Times New Roman" w:cs="Times New Roman"/>
          <w:color w:val="000000" w:themeColor="text1"/>
          <w:sz w:val="20"/>
          <w:szCs w:val="20"/>
          <w:shd w:val="clear" w:color="auto" w:fill="F7F7F8"/>
          <w:lang w:eastAsia="en-US"/>
        </w:rPr>
        <w:t xml:space="preserve"> </w:t>
      </w:r>
      <w:r w:rsidR="003812AA" w:rsidRPr="009F44A4">
        <w:rPr>
          <w:rFonts w:ascii="Times New Roman" w:eastAsia="Times New Roman" w:hAnsi="Times New Roman" w:cs="Times New Roman"/>
          <w:color w:val="000000" w:themeColor="text1"/>
          <w:sz w:val="20"/>
          <w:szCs w:val="20"/>
          <w:shd w:val="clear" w:color="auto" w:fill="F7F7F8"/>
          <w:lang w:eastAsia="en-US"/>
        </w:rPr>
        <w:fldChar w:fldCharType="begin"/>
      </w:r>
      <w:r w:rsidR="00236558">
        <w:rPr>
          <w:rFonts w:ascii="Times New Roman" w:eastAsia="Times New Roman" w:hAnsi="Times New Roman" w:cs="Times New Roman"/>
          <w:color w:val="000000" w:themeColor="text1"/>
          <w:sz w:val="20"/>
          <w:szCs w:val="20"/>
          <w:shd w:val="clear" w:color="auto" w:fill="F7F7F8"/>
          <w:lang w:eastAsia="en-US"/>
        </w:rPr>
        <w:instrText xml:space="preserve"> ADDIN ZOTERO_ITEM CSL_CITATION {"citationID":"a29s90q7782","properties":{"formattedCitation":"\\super 81\\nosupersub{}","plainCitation":"81","noteIndex":0},"citationItems":[{"id":1672,"uris":["http://zotero.org/users/local/ZR048J0w/items/RKKE3YC4"],"uri":["http://zotero.org/users/local/ZR048J0w/items/RKKE3YC4"],"itemData":{"id":1672,"type":"webpage","abstract":"CDC’s home for COVID-19 data. Visualizations, graphs, and data in one easy-to-use website.","container-title":"Centers for Disease Control and Prevention","language":"en","title":"COVID Data Tracker","URL":"https://covid.cdc.gov/covid-data-tracker","author":[{"family":"CDC","given":""}],"accessed":{"date-parts":[["2023",2,1]]},"issued":{"date-parts":[["2020",3,28]]}}}],"schema":"https://github.com/citation-style-language/schema/raw/master/csl-citation.json"} </w:instrText>
      </w:r>
      <w:r w:rsidR="003812AA" w:rsidRPr="009F44A4">
        <w:rPr>
          <w:rFonts w:ascii="Times New Roman" w:eastAsia="Times New Roman" w:hAnsi="Times New Roman" w:cs="Times New Roman"/>
          <w:color w:val="000000" w:themeColor="text1"/>
          <w:sz w:val="20"/>
          <w:szCs w:val="20"/>
          <w:shd w:val="clear" w:color="auto" w:fill="F7F7F8"/>
          <w:lang w:eastAsia="en-US"/>
        </w:rPr>
        <w:fldChar w:fldCharType="separate"/>
      </w:r>
      <w:r w:rsidR="00236558" w:rsidRPr="00236558">
        <w:rPr>
          <w:rFonts w:ascii="Times New Roman" w:hAnsi="Times New Roman" w:cs="Times New Roman"/>
          <w:sz w:val="20"/>
          <w:szCs w:val="24"/>
          <w:vertAlign w:val="superscript"/>
        </w:rPr>
        <w:t>81</w:t>
      </w:r>
      <w:r w:rsidR="003812AA" w:rsidRPr="009F44A4">
        <w:rPr>
          <w:rFonts w:ascii="Times New Roman" w:eastAsia="Times New Roman" w:hAnsi="Times New Roman" w:cs="Times New Roman"/>
          <w:color w:val="000000" w:themeColor="text1"/>
          <w:sz w:val="20"/>
          <w:szCs w:val="20"/>
          <w:shd w:val="clear" w:color="auto" w:fill="F7F7F8"/>
          <w:lang w:eastAsia="en-US"/>
        </w:rPr>
        <w:fldChar w:fldCharType="end"/>
      </w:r>
      <w:r w:rsidRPr="009F44A4">
        <w:rPr>
          <w:rFonts w:ascii="Times New Roman" w:eastAsia="Times New Roman" w:hAnsi="Times New Roman" w:cs="Times New Roman"/>
          <w:color w:val="000000" w:themeColor="text1"/>
          <w:sz w:val="20"/>
          <w:szCs w:val="20"/>
          <w:lang w:eastAsia="en-US"/>
        </w:rPr>
        <w:t>.</w:t>
      </w:r>
      <w:r w:rsidR="00DF288E" w:rsidRPr="00DF288E">
        <w:t xml:space="preserve"> </w:t>
      </w:r>
      <w:r w:rsidR="00DF288E" w:rsidRPr="00DF288E">
        <w:rPr>
          <w:rFonts w:ascii="Times New Roman" w:eastAsia="Times New Roman" w:hAnsi="Times New Roman" w:cs="Times New Roman"/>
          <w:color w:val="000000" w:themeColor="text1"/>
          <w:sz w:val="20"/>
          <w:szCs w:val="20"/>
          <w:lang w:eastAsia="en-US"/>
        </w:rPr>
        <w:t>During the first two years of the pandemic, COVID-19 emerged as one of the top three leading causes of death in the country, ranked behind only heart disease and cancer</w:t>
      </w:r>
      <w:r w:rsidRPr="00DF288E">
        <w:rPr>
          <w:rFonts w:ascii="Times New Roman" w:eastAsia="Times New Roman" w:hAnsi="Times New Roman" w:cs="Times New Roman"/>
          <w:color w:val="000000" w:themeColor="text1"/>
          <w:sz w:val="20"/>
          <w:szCs w:val="20"/>
          <w:lang w:eastAsia="en-US"/>
        </w:rPr>
        <w:t xml:space="preserve"> </w:t>
      </w:r>
      <w:r w:rsidR="00B94F7B" w:rsidRPr="00F53C40">
        <w:rPr>
          <w:rFonts w:ascii="Times New Roman" w:eastAsia="Times New Roman" w:hAnsi="Times New Roman" w:cs="Times New Roman"/>
          <w:color w:val="000000" w:themeColor="text1"/>
          <w:sz w:val="20"/>
          <w:szCs w:val="20"/>
          <w:shd w:val="clear" w:color="auto" w:fill="F7F7F8"/>
          <w:lang w:eastAsia="en-US"/>
        </w:rPr>
        <w:fldChar w:fldCharType="begin"/>
      </w:r>
      <w:r w:rsidR="00236558">
        <w:rPr>
          <w:rFonts w:ascii="Times New Roman" w:eastAsia="Times New Roman" w:hAnsi="Times New Roman" w:cs="Times New Roman"/>
          <w:color w:val="000000" w:themeColor="text1"/>
          <w:sz w:val="20"/>
          <w:szCs w:val="20"/>
          <w:shd w:val="clear" w:color="auto" w:fill="F7F7F8"/>
          <w:lang w:eastAsia="en-US"/>
        </w:rPr>
        <w:instrText xml:space="preserve"> ADDIN ZOTERO_ITEM CSL_CITATION {"citationID":"ao0kesiikl","properties":{"formattedCitation":"\\super 82,83\\nosupersub{}","plainCitation":"82,83","noteIndex":0},"citationItems":[{"id":1680,"uris":["http://zotero.org/users/local/ZR048J0w/items/L9G9RFRW"],"uri":["http://zotero.org/users/local/ZR048J0w/items/L9G9RFRW"],"itemData":{"id":1680,"type":"article-journal","container-title":"JAMA","DOI":"10.1001/jama.2021.5469","ISSN":"0098-7484","issue":"18","journalAbbreviation":"JAMA","note":"PMID: 33787821\nPMCID: PMC8145781","page":"1829-1830","source":"PubMed Central","title":"The Leading Causes of Death in the US for 2020","volume":"325","author":[{"family":"Ahmad","given":"Farida B."},{"family":"Anderson","given":"Robert N."}],"issued":{"date-parts":[["2021",5,11]]}}},{"id":1683,"uris":["http://zotero.org/users/local/ZR048J0w/items/UWKWCR9B"],"uri":["http://zotero.org/users/local/ZR048J0w/items/UWKWCR9B"],"itemData":{"id":1683,"type":"webpage","abstract":"National Center for Health Statistics","language":"en-us","title":"CDC - NCHS - National Center for Health Statistics","URL":"https://www.cdc.gov/nchs/index.htm","accessed":{"date-parts":[["2023",2,1]]},"issued":{"date-parts":[["2023",1,31]]}}}],"schema":"https://github.com/citation-style-language/schema/raw/master/csl-citation.json"} </w:instrText>
      </w:r>
      <w:r w:rsidR="00B94F7B" w:rsidRPr="00F53C40">
        <w:rPr>
          <w:rFonts w:ascii="Times New Roman" w:eastAsia="Times New Roman" w:hAnsi="Times New Roman" w:cs="Times New Roman"/>
          <w:color w:val="000000" w:themeColor="text1"/>
          <w:sz w:val="20"/>
          <w:szCs w:val="20"/>
          <w:shd w:val="clear" w:color="auto" w:fill="F7F7F8"/>
          <w:lang w:eastAsia="en-US"/>
        </w:rPr>
        <w:fldChar w:fldCharType="separate"/>
      </w:r>
      <w:r w:rsidR="00236558" w:rsidRPr="00236558">
        <w:rPr>
          <w:rFonts w:ascii="Times New Roman" w:hAnsi="Times New Roman" w:cs="Times New Roman"/>
          <w:sz w:val="20"/>
          <w:szCs w:val="24"/>
          <w:vertAlign w:val="superscript"/>
        </w:rPr>
        <w:t>82,83</w:t>
      </w:r>
      <w:r w:rsidR="00B94F7B" w:rsidRPr="00F53C40">
        <w:rPr>
          <w:rFonts w:ascii="Times New Roman" w:eastAsia="Times New Roman" w:hAnsi="Times New Roman" w:cs="Times New Roman"/>
          <w:color w:val="000000" w:themeColor="text1"/>
          <w:sz w:val="20"/>
          <w:szCs w:val="20"/>
          <w:shd w:val="clear" w:color="auto" w:fill="F7F7F8"/>
          <w:lang w:eastAsia="en-US"/>
        </w:rPr>
        <w:fldChar w:fldCharType="end"/>
      </w:r>
      <w:r w:rsidR="00085E3F" w:rsidRPr="00F53C40">
        <w:rPr>
          <w:rFonts w:ascii="Times New Roman" w:eastAsia="Times New Roman" w:hAnsi="Times New Roman" w:cs="Times New Roman"/>
          <w:color w:val="000000" w:themeColor="text1"/>
          <w:sz w:val="20"/>
          <w:szCs w:val="20"/>
          <w:shd w:val="clear" w:color="auto" w:fill="F7F7F8"/>
          <w:lang w:eastAsia="en-US"/>
        </w:rPr>
        <w:t>.</w:t>
      </w:r>
    </w:p>
    <w:p w14:paraId="1BED3016" w14:textId="68DA1E90" w:rsidR="00372B65" w:rsidRPr="00F53C40" w:rsidRDefault="00F53C40" w:rsidP="00DC7281">
      <w:pPr>
        <w:spacing w:line="360" w:lineRule="auto"/>
        <w:jc w:val="both"/>
        <w:rPr>
          <w:rFonts w:ascii="Times New Roman" w:eastAsia="Times New Roman" w:hAnsi="Times New Roman" w:cs="Times New Roman"/>
          <w:color w:val="000000" w:themeColor="text1"/>
          <w:sz w:val="20"/>
          <w:szCs w:val="20"/>
          <w:shd w:val="clear" w:color="auto" w:fill="F7F7F8"/>
          <w:lang w:eastAsia="en-US"/>
        </w:rPr>
      </w:pPr>
      <w:r w:rsidRPr="00F53C40">
        <w:rPr>
          <w:rFonts w:ascii="Times New Roman" w:eastAsia="Times New Roman" w:hAnsi="Times New Roman" w:cs="Times New Roman"/>
          <w:color w:val="000000" w:themeColor="text1"/>
          <w:sz w:val="20"/>
          <w:szCs w:val="20"/>
          <w:lang w:eastAsia="en-US"/>
        </w:rPr>
        <w:t>The COVID-19 pandemic in 2020 and 2021 was marked by the widespread transmission of the SARS-</w:t>
      </w:r>
      <w:proofErr w:type="spellStart"/>
      <w:r w:rsidRPr="00F53C40">
        <w:rPr>
          <w:rFonts w:ascii="Times New Roman" w:eastAsia="Times New Roman" w:hAnsi="Times New Roman" w:cs="Times New Roman"/>
          <w:color w:val="000000" w:themeColor="text1"/>
          <w:sz w:val="20"/>
          <w:szCs w:val="20"/>
          <w:lang w:eastAsia="en-US"/>
        </w:rPr>
        <w:t>CoV</w:t>
      </w:r>
      <w:proofErr w:type="spellEnd"/>
      <w:r w:rsidRPr="00F53C40">
        <w:rPr>
          <w:rFonts w:ascii="Times New Roman" w:eastAsia="Times New Roman" w:hAnsi="Times New Roman" w:cs="Times New Roman"/>
          <w:color w:val="000000" w:themeColor="text1"/>
          <w:sz w:val="20"/>
          <w:szCs w:val="20"/>
          <w:lang w:eastAsia="en-US"/>
        </w:rPr>
        <w:t xml:space="preserve">-2 virus within households, including among multiple generations, with a high prevalence of antibodies being detected. </w:t>
      </w:r>
      <w:r w:rsidR="00304B7B" w:rsidRPr="00F53C40">
        <w:rPr>
          <w:rFonts w:ascii="Times New Roman" w:eastAsia="Times New Roman" w:hAnsi="Times New Roman" w:cs="Times New Roman"/>
          <w:color w:val="000000" w:themeColor="text1"/>
          <w:sz w:val="20"/>
          <w:szCs w:val="20"/>
          <w:lang w:eastAsia="en-US"/>
        </w:rPr>
        <w:fldChar w:fldCharType="begin"/>
      </w:r>
      <w:r w:rsidR="00236558">
        <w:rPr>
          <w:rFonts w:ascii="Times New Roman" w:eastAsia="Times New Roman" w:hAnsi="Times New Roman" w:cs="Times New Roman"/>
          <w:color w:val="000000" w:themeColor="text1"/>
          <w:sz w:val="20"/>
          <w:szCs w:val="20"/>
          <w:shd w:val="clear" w:color="auto" w:fill="F7F7F8"/>
          <w:lang w:eastAsia="en-US"/>
        </w:rPr>
        <w:instrText xml:space="preserve"> ADDIN ZOTERO_ITEM CSL_CITATION {"citationID":"a3p2u0httm","properties":{"formattedCitation":"\\super 84\\nosupersub{}","plainCitation":"84","noteIndex":0},"citationItems":[{"id":1687,"uris":["http://zotero.org/users/local/ZR048J0w/items/QFVSJK7L"],"uri":["http://zotero.org/users/local/ZR048J0w/items/QFVSJK7L"],"itemData":{"id":1687,"type":"article-journal","abstract":"&lt;h3&gt;SUMMARY&lt;/h3&gt; &lt;h3&gt;Objectives&lt;/h3&gt; &lt;p&gt;We sought to understand the spread of SARS-CoV-2 infection in urban India, which has surprisingly low COVID-19 deaths.&lt;/p&gt;&lt;h3&gt;Design&lt;/h3&gt; &lt;p&gt;Cross-sectional and trend analyses of seroprevalence in self-referred test populations, and of reported cases and COVID mortality data.&lt;/p&gt;&lt;h3&gt;Participants&lt;/h3&gt; &lt;p&gt;448,518 self-referred individuals using a nationwide chain of private laboratories with central testing of SARS-CoV-2 antibodies and publicly available case and mortality data.&lt;/p&gt;&lt;h3&gt;Setting&lt;/h3&gt; &lt;p&gt;12 populous cities with nearly 92 million total population.&lt;/p&gt;&lt;h3&gt;Main outcome measures&lt;/h3&gt; &lt;p&gt;Seropositivity trends and predictors (using a Bayesian geospatial model) and prevalence derived from mortality data and infection fatality rates (IFR).&lt;/p&gt;&lt;h3&gt;Results&lt;/h3&gt; &lt;p&gt;For the whole of India, 31% of the self-referred individuals undergoing antibody testing were seropositive for SARS-CoV-2 antibodies. Seropositivity was higher in females (35%) than in males (30%) overall and in nearly every age group. In these 12 cities, seroprevalence rose from about 18% in July to 41% by December, with steeper increases at ages &amp;lt;20 and 20-44 years than at older ages. The “M-shaped” age pattern is consistent with intergenerational transmission. Areas of higher childhood measles vaccination in earlier years had lower seropositivity. The patterns of increase in seropositivity and in peak cases and deaths varied substantially across cities. In Delhi, death rates and cases first peaked in June and again in November; Chennai had a single peak in July. Based local IFRs and COVID deaths (adjusted for undercounts), we estimate that 43%-65% of adults above age 20 had been infected (range of mid-estimates of 12%-77%) corresponding 26 to 36 million infected adults in these cities, or an average of 9-12 infected adults per confirmed case.&lt;/p&gt;&lt;h3&gt;Conclusion&lt;/h3&gt; &lt;p&gt;Even with relatively low death rates, the large cities of India had remarkably high levels of SARS-CoV-2 infection. Vaccination strategies need to consider widespread intergenerational transmission.&lt;/p&gt;","container-title":"medRxiv","DOI":"10.1101/2021.03.19.21253429","language":"en","note":"publisher: Cold Spring Harbor Laboratory Press","page":"2021.03.19.21253429","source":"www.medrxiv.org","title":"SARS-CoV-2 Seroprevalence in 12 Cities of India from July-December 2020","author":[{"family":"Velumani","given":"Arokiaswamy"},{"family":"Nikam","given":"Chaitali"},{"family":"Suraweera","given":"Wilson"},{"family":"Fu","given":"Sze Hang"},{"family":"Gelband","given":"Hellen"},{"family":"Brown","given":"Patrick"},{"family":"Bogoch","given":"Isaac"},{"family":"Nagelkerke","given":"Nico"},{"family":"Jha","given":"Prabhat"}],"issued":{"date-parts":[["2021",3,24]]}}}],"schema":"https://github.com/citation-style-language/schema/raw/master/csl-citation.json"} </w:instrText>
      </w:r>
      <w:r w:rsidR="00304B7B" w:rsidRPr="00F53C40">
        <w:rPr>
          <w:rFonts w:ascii="Times New Roman" w:eastAsia="Times New Roman" w:hAnsi="Times New Roman" w:cs="Times New Roman"/>
          <w:color w:val="000000" w:themeColor="text1"/>
          <w:sz w:val="20"/>
          <w:szCs w:val="20"/>
          <w:shd w:val="clear" w:color="auto" w:fill="F7F7F8"/>
          <w:lang w:eastAsia="en-US"/>
        </w:rPr>
        <w:fldChar w:fldCharType="separate"/>
      </w:r>
      <w:r w:rsidR="00236558" w:rsidRPr="00236558">
        <w:rPr>
          <w:rFonts w:ascii="Times New Roman" w:hAnsi="Times New Roman" w:cs="Times New Roman"/>
          <w:sz w:val="20"/>
          <w:szCs w:val="24"/>
          <w:vertAlign w:val="superscript"/>
        </w:rPr>
        <w:t>84</w:t>
      </w:r>
      <w:r w:rsidR="00304B7B" w:rsidRPr="00F53C40">
        <w:rPr>
          <w:rFonts w:ascii="Times New Roman" w:eastAsia="Times New Roman" w:hAnsi="Times New Roman" w:cs="Times New Roman"/>
          <w:color w:val="000000" w:themeColor="text1"/>
          <w:sz w:val="20"/>
          <w:szCs w:val="20"/>
          <w:shd w:val="clear" w:color="auto" w:fill="F7F7F8"/>
          <w:lang w:eastAsia="en-US"/>
        </w:rPr>
        <w:fldChar w:fldCharType="end"/>
      </w:r>
      <w:r>
        <w:rPr>
          <w:rFonts w:ascii="Times New Roman" w:eastAsia="Times New Roman" w:hAnsi="Times New Roman" w:cs="Times New Roman"/>
          <w:color w:val="000000" w:themeColor="text1"/>
          <w:sz w:val="20"/>
          <w:szCs w:val="20"/>
          <w:shd w:val="clear" w:color="auto" w:fill="F7F7F8"/>
          <w:lang w:eastAsia="en-US"/>
        </w:rPr>
        <w:t xml:space="preserve">. </w:t>
      </w:r>
      <w:r w:rsidRPr="00F53C40">
        <w:rPr>
          <w:rFonts w:ascii="Times New Roman" w:eastAsia="Times New Roman" w:hAnsi="Times New Roman" w:cs="Times New Roman"/>
          <w:color w:val="000000" w:themeColor="text1"/>
          <w:sz w:val="20"/>
          <w:szCs w:val="20"/>
          <w:lang w:eastAsia="en-US"/>
        </w:rPr>
        <w:t>The elevated death rate from COVID-19 in India in 2021 compared to the rate observed in 2020 requires further investigation. The dissemination of the virus to rural areas is a potential contributing factor, but variations in the pathogenicity between the Wuhan strain of the virus in 2020 and the Alpha and Delta variants that dominated the 2021 wave</w:t>
      </w:r>
      <w:r w:rsidR="00304B7B" w:rsidRPr="00F53C40">
        <w:rPr>
          <w:rFonts w:ascii="Times New Roman" w:eastAsia="Times New Roman" w:hAnsi="Times New Roman" w:cs="Times New Roman"/>
          <w:color w:val="000000" w:themeColor="text1"/>
          <w:sz w:val="20"/>
          <w:szCs w:val="20"/>
          <w:shd w:val="clear" w:color="auto" w:fill="F7F7F8"/>
          <w:lang w:eastAsia="en-US"/>
        </w:rPr>
        <w:t xml:space="preserve"> </w:t>
      </w:r>
      <w:r w:rsidR="00304B7B" w:rsidRPr="00F53C40">
        <w:rPr>
          <w:rFonts w:ascii="Times New Roman" w:eastAsia="Times New Roman" w:hAnsi="Times New Roman" w:cs="Times New Roman"/>
          <w:color w:val="000000" w:themeColor="text1"/>
          <w:sz w:val="20"/>
          <w:szCs w:val="20"/>
          <w:shd w:val="clear" w:color="auto" w:fill="F7F7F8"/>
          <w:lang w:eastAsia="en-US"/>
        </w:rPr>
        <w:fldChar w:fldCharType="begin"/>
      </w:r>
      <w:r w:rsidR="00236558">
        <w:rPr>
          <w:rFonts w:ascii="Times New Roman" w:eastAsia="Times New Roman" w:hAnsi="Times New Roman" w:cs="Times New Roman"/>
          <w:color w:val="000000" w:themeColor="text1"/>
          <w:sz w:val="20"/>
          <w:szCs w:val="20"/>
          <w:shd w:val="clear" w:color="auto" w:fill="F7F7F8"/>
          <w:lang w:eastAsia="en-US"/>
        </w:rPr>
        <w:instrText xml:space="preserve"> ADDIN ZOTERO_ITEM CSL_CITATION {"citationID":"a2c73gairp6","properties":{"formattedCitation":"\\super 85\\nosupersub{}","plainCitation":"85","noteIndex":0},"citationItems":[{"id":1689,"uris":["http://zotero.org/users/local/ZR048J0w/items/JFYLT4YK"],"uri":["http://zotero.org/users/local/ZR048J0w/items/JFYLT4YK"],"itemData":{"id":1689,"type":"article-journal","abstract":"Background: As the coronavirus disease 2019 (COVID-19) pandemic continues, the selection of genomic variants of severe acute respiratory syndrome coronavirus 2 (SARS-CoV-2) associated with higher transmission, more severe disease, re-infection, and immune escape are a cause for concern. Such variants have been reported from the UK (B.1.1.7), South Africa (B.1.351) and, Brazil (P.1/B.1.1.28). We performed this study to track the importation, spread, and emergence of variants locally. Methods: We sequenced whole genomes of SARS-CoV-2 from international travellers (n=75) entering Karnataka, South India, between Dec 22, 2020 and Jan 31, 2021, and from positive cases in the city of Bengaluru (n=108), between Nov 22, 2020- Jan 22, 2021, as well as a local outbreak. We present the lineage distribution and analysis of these sequences. Results: Genomes from the study group into 34 lineages. Variant B.1.1.7 was introduced by international travel (24/73, 32.9%). Lineage B.1.36 and B.1 formed a major fraction of both imported (B.1.36: 20/73, 27.4%; B.1: 14/73, 19.2%), and circulating viruses (B.1.36: 45/103; 43.7%,. B.1: 26/103; 25.2%). The lineage B.1.36 was also associated with a local outbreak. We detected nine amino acid changes, previously associated with immune escape, spread across multiple lineages. The N440K change was detected in 45/162 (27.7%) of the sequences, 37 of these were in the B.1.36 lineage (37/65, 56.92%) Conclusions: Our data support the idea that variants of concern spread by travel. Viruses with amino acid replacements associated with immune escape are already circulating. It is critical to check transmission and monitor changes in SARS-CoV-2 locally.","container-title":"Wellcome Open Research","DOI":"10.12688/wellcomeopenres.16768.2","ISSN":"2398-502X","journalAbbreviation":"Wellcome Open Res","language":"eng","note":"PMID: 35243004\nPMCID: PMC8857524","page":"110","source":"PubMed","title":"Importation, circulation, and emergence of variants of SARS-CoV-2 in the South Indian state of Karnataka","volume":"6","author":[{"family":"Pattabiraman","given":"Chitra"},{"family":"Prasad","given":"Pramada"},{"family":"George","given":"Anson K."},{"family":"Sreenivas","given":"Darshan"},{"family":"Rasheed","given":"Risha"},{"family":"Reddy","given":"Nakka Vijay Kiran"},{"family":"Desai","given":"Anita"},{"family":"Vasanthapuram","given":"Ravi"}],"issued":{"date-parts":[["2021"]]}}}],"schema":"https://github.com/citation-style-language/schema/raw/master/csl-citation.json"} </w:instrText>
      </w:r>
      <w:r w:rsidR="00304B7B" w:rsidRPr="00F53C40">
        <w:rPr>
          <w:rFonts w:ascii="Times New Roman" w:eastAsia="Times New Roman" w:hAnsi="Times New Roman" w:cs="Times New Roman"/>
          <w:color w:val="000000" w:themeColor="text1"/>
          <w:sz w:val="20"/>
          <w:szCs w:val="20"/>
          <w:shd w:val="clear" w:color="auto" w:fill="F7F7F8"/>
          <w:lang w:eastAsia="en-US"/>
        </w:rPr>
        <w:fldChar w:fldCharType="separate"/>
      </w:r>
      <w:r w:rsidR="00236558" w:rsidRPr="00236558">
        <w:rPr>
          <w:rFonts w:ascii="Times New Roman" w:hAnsi="Times New Roman" w:cs="Times New Roman"/>
          <w:sz w:val="20"/>
          <w:szCs w:val="24"/>
          <w:vertAlign w:val="superscript"/>
        </w:rPr>
        <w:t>85</w:t>
      </w:r>
      <w:r w:rsidR="00304B7B" w:rsidRPr="00F53C40">
        <w:rPr>
          <w:rFonts w:ascii="Times New Roman" w:eastAsia="Times New Roman" w:hAnsi="Times New Roman" w:cs="Times New Roman"/>
          <w:color w:val="000000" w:themeColor="text1"/>
          <w:sz w:val="20"/>
          <w:szCs w:val="20"/>
          <w:shd w:val="clear" w:color="auto" w:fill="F7F7F8"/>
          <w:lang w:eastAsia="en-US"/>
        </w:rPr>
        <w:fldChar w:fldCharType="end"/>
      </w:r>
      <w:r w:rsidR="00372B65" w:rsidRPr="00F53C40">
        <w:rPr>
          <w:rFonts w:ascii="Times New Roman" w:eastAsia="Times New Roman" w:hAnsi="Times New Roman" w:cs="Times New Roman"/>
          <w:color w:val="000000" w:themeColor="text1"/>
          <w:sz w:val="20"/>
          <w:szCs w:val="20"/>
          <w:shd w:val="clear" w:color="auto" w:fill="F7F7F8"/>
          <w:lang w:eastAsia="en-US"/>
        </w:rPr>
        <w:t xml:space="preserve">, </w:t>
      </w:r>
      <w:r w:rsidRPr="00F53C40">
        <w:rPr>
          <w:rFonts w:ascii="Times New Roman" w:eastAsia="Times New Roman" w:hAnsi="Times New Roman" w:cs="Times New Roman"/>
          <w:color w:val="000000" w:themeColor="text1"/>
          <w:sz w:val="20"/>
          <w:szCs w:val="20"/>
          <w:lang w:eastAsia="en-US"/>
        </w:rPr>
        <w:t>as well as changes in biological markers predictive of severe infections, may also play a role. The continuous monitoring of COVID-19 death rates is crucial in assessing the impact of the ongoing Omicron wave in India and any future viral variants that may emerge.</w:t>
      </w:r>
    </w:p>
    <w:p w14:paraId="4FD9116B" w14:textId="77777777" w:rsidR="008D16FE" w:rsidRPr="009F44A4" w:rsidRDefault="00C02138" w:rsidP="00DC7281">
      <w:pPr>
        <w:pStyle w:val="Heading3"/>
        <w:numPr>
          <w:ilvl w:val="0"/>
          <w:numId w:val="7"/>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Precaution, Prevention and Treatment</w:t>
      </w:r>
    </w:p>
    <w:p w14:paraId="557E1F98" w14:textId="2EA9596D"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Medical companies and researchers across the globe are in a race to develop medication and vaccines for COVID-19 disease. Many companies are in the clinical trial phase where they are trying to expedite the steps of the clinical trial phases. Nevertheless, for remedial and preventive measure purposes, many governments in different countries have authorized various treatment procedures as valid steps for preventive measures till the vaccine or medicine is actually developed. WHO recommended washing hands properly with soap, using a 70% alcohol-based hand sanitizer, which helps killing the viruses. When anyone goes outside then it is suggested to use proper masks and gloves that can help </w:t>
      </w:r>
      <w:r w:rsidRPr="009F44A4">
        <w:rPr>
          <w:rFonts w:ascii="Times New Roman" w:eastAsia="Calibri" w:hAnsi="Times New Roman" w:cs="Times New Roman"/>
          <w:color w:val="000000" w:themeColor="text1"/>
          <w:sz w:val="20"/>
          <w:szCs w:val="20"/>
        </w:rPr>
        <w:lastRenderedPageBreak/>
        <w:t>avoid from getting infection as well as transmitting infection to others. Also, maintaining at least 1-meter physical distance is suggested as one of the major precautions</w:t>
      </w:r>
      <w:r w:rsidR="00DC0A72" w:rsidRPr="009F44A4">
        <w:rPr>
          <w:rFonts w:ascii="Times New Roman" w:eastAsia="Calibri" w:hAnsi="Times New Roman" w:cs="Times New Roman"/>
          <w:color w:val="000000" w:themeColor="text1"/>
          <w:sz w:val="20"/>
          <w:szCs w:val="20"/>
        </w:rPr>
        <w:t xml:space="preserve"> </w:t>
      </w:r>
      <w:r w:rsidR="00DC0A72"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{"citationID":"zENOA1yd","properties":{"formattedCitation":"\\super 86\\nosupersub{}","plainCitation":"86","noteIndex":0},"citationItems":[{"id":688,"uris":["http://zotero.org/users/local/ZR048J0w/items/P53IU3NF"],"uri":["http://zotero.org/users/local/ZR048J0w/items/P53IU3NF"],"itemData":{"id":688,"type":"webpage","abstract":"Simple precautions to reduce your chances of being infected or spreading COVID-19.","language":"en","title":"Advice for the public on COVID-19 – World Health Organization","URL":"https://www.who.int/emergencies/diseases/novel-coronavirus-2019/advice-for-public","accessed":{"date-parts":[["2020",12,20]]}}}],"schema":"https://github.com/citation-style-language/schema/raw/master/csl-citation.json"} </w:instrText>
      </w:r>
      <w:r w:rsidR="00DC0A72"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86</w:t>
      </w:r>
      <w:r w:rsidR="00DC0A72" w:rsidRPr="009F44A4">
        <w:rPr>
          <w:rFonts w:ascii="Times New Roman" w:eastAsia="Calibri" w:hAnsi="Times New Roman" w:cs="Times New Roman"/>
          <w:color w:val="000000" w:themeColor="text1"/>
          <w:sz w:val="20"/>
          <w:szCs w:val="20"/>
        </w:rPr>
        <w:fldChar w:fldCharType="end"/>
      </w:r>
      <w:r w:rsidR="00237820" w:rsidRPr="009F44A4">
        <w:rPr>
          <w:rFonts w:ascii="Times New Roman" w:eastAsia="Calibri" w:hAnsi="Times New Roman" w:cs="Times New Roman"/>
          <w:color w:val="000000" w:themeColor="text1"/>
          <w:sz w:val="20"/>
          <w:szCs w:val="20"/>
        </w:rPr>
        <w:t xml:space="preserve">. </w:t>
      </w:r>
    </w:p>
    <w:p w14:paraId="628EEF5F" w14:textId="77777777" w:rsidR="008D16FE" w:rsidRPr="009F44A4" w:rsidRDefault="00C02138" w:rsidP="00DC7281">
      <w:pPr>
        <w:pStyle w:val="Heading3"/>
        <w:numPr>
          <w:ilvl w:val="0"/>
          <w:numId w:val="7"/>
        </w:numPr>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 xml:space="preserve">Ayurveda as natural treatment </w:t>
      </w:r>
    </w:p>
    <w:p w14:paraId="2081F198" w14:textId="41E45718"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Ayurveda is a gift of </w:t>
      </w:r>
      <w:proofErr w:type="gramStart"/>
      <w:r w:rsidRPr="009F44A4">
        <w:rPr>
          <w:rFonts w:ascii="Times New Roman" w:eastAsia="Calibri" w:hAnsi="Times New Roman" w:cs="Times New Roman"/>
          <w:color w:val="000000" w:themeColor="text1"/>
          <w:sz w:val="20"/>
          <w:szCs w:val="20"/>
        </w:rPr>
        <w:t>mother nature</w:t>
      </w:r>
      <w:proofErr w:type="gramEnd"/>
      <w:r w:rsidRPr="009F44A4">
        <w:rPr>
          <w:rFonts w:ascii="Times New Roman" w:eastAsia="Calibri" w:hAnsi="Times New Roman" w:cs="Times New Roman"/>
          <w:color w:val="000000" w:themeColor="text1"/>
          <w:sz w:val="20"/>
          <w:szCs w:val="20"/>
        </w:rPr>
        <w:t xml:space="preserve"> and an ancient traditional method practiced in India for the treatment of human diseases and other health disorders. Various doctors and government agencies in India are recommending </w:t>
      </w:r>
      <w:proofErr w:type="spellStart"/>
      <w:r w:rsidRPr="009F44A4">
        <w:rPr>
          <w:rFonts w:ascii="Times New Roman" w:eastAsia="Calibri" w:hAnsi="Times New Roman" w:cs="Times New Roman"/>
          <w:color w:val="000000" w:themeColor="text1"/>
          <w:sz w:val="20"/>
          <w:szCs w:val="20"/>
        </w:rPr>
        <w:t>Ayurvedic</w:t>
      </w:r>
      <w:proofErr w:type="spellEnd"/>
      <w:r w:rsidRPr="009F44A4">
        <w:rPr>
          <w:rFonts w:ascii="Times New Roman" w:eastAsia="Calibri" w:hAnsi="Times New Roman" w:cs="Times New Roman"/>
          <w:color w:val="000000" w:themeColor="text1"/>
          <w:sz w:val="20"/>
          <w:szCs w:val="20"/>
        </w:rPr>
        <w:t xml:space="preserve"> medicines to manage pre-symptomatic and asymptomatic COVID-19 patients. Basically, </w:t>
      </w:r>
      <w:proofErr w:type="spellStart"/>
      <w:r w:rsidRPr="009F44A4">
        <w:rPr>
          <w:rFonts w:ascii="Times New Roman" w:eastAsia="Calibri" w:hAnsi="Times New Roman" w:cs="Times New Roman"/>
          <w:color w:val="000000" w:themeColor="text1"/>
          <w:sz w:val="20"/>
          <w:szCs w:val="20"/>
        </w:rPr>
        <w:t>Ayurvedic</w:t>
      </w:r>
      <w:proofErr w:type="spellEnd"/>
      <w:r w:rsidRPr="009F44A4">
        <w:rPr>
          <w:rFonts w:ascii="Times New Roman" w:eastAsia="Calibri" w:hAnsi="Times New Roman" w:cs="Times New Roman"/>
          <w:color w:val="000000" w:themeColor="text1"/>
          <w:sz w:val="20"/>
          <w:szCs w:val="20"/>
        </w:rPr>
        <w:t xml:space="preserve"> concept suggests that boost in immunity can lower the risk of severe infection and help fast recovery of the patients</w:t>
      </w:r>
      <w:r w:rsidR="00FC0B03" w:rsidRPr="009F44A4">
        <w:rPr>
          <w:rFonts w:ascii="Times New Roman" w:eastAsia="Calibri" w:hAnsi="Times New Roman" w:cs="Times New Roman"/>
          <w:color w:val="000000" w:themeColor="text1"/>
          <w:sz w:val="20"/>
          <w:szCs w:val="20"/>
        </w:rPr>
        <w:t xml:space="preserve"> </w:t>
      </w:r>
      <w:r w:rsidR="00FC0B0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{"citationID":"9lFbzsi0","properties":{"formattedCitation":"\\super 87\\nosupersub{}","plainCitation":"87","noteIndex":0},"citationItems":[{"id":695,"uris":["http://zotero.org/users/local/ZR048J0w/items/JXESAAI9"],"uri":["http://zotero.org/users/local/ZR048J0w/items/JXESAAI9"],"itemData":{"id":695,"type":"webpage","title":"vikaspedia Domains","URL":"https://vikaspedia.in/news/ayurvedas-immunity-boosting-measures-for-self-care-during-covid-19-crisis","accessed":{"date-parts":[["2020",12,20]]}}}],"schema":"https://github.com/citation-style-language/schema/raw/master/csl-citation.json"} </w:instrText>
      </w:r>
      <w:r w:rsidR="00FC0B0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87</w:t>
      </w:r>
      <w:r w:rsidR="00FC0B03" w:rsidRPr="009F44A4">
        <w:rPr>
          <w:rFonts w:ascii="Times New Roman" w:eastAsia="Calibri" w:hAnsi="Times New Roman" w:cs="Times New Roman"/>
          <w:color w:val="000000" w:themeColor="text1"/>
          <w:sz w:val="20"/>
          <w:szCs w:val="20"/>
        </w:rPr>
        <w:fldChar w:fldCharType="end"/>
      </w:r>
      <w:r w:rsidR="00FC0B03"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Therefore, Ayurveda suggests consuming </w:t>
      </w:r>
      <w:proofErr w:type="spellStart"/>
      <w:r w:rsidRPr="009F44A4">
        <w:rPr>
          <w:rFonts w:ascii="Times New Roman" w:eastAsia="Calibri" w:hAnsi="Times New Roman" w:cs="Times New Roman"/>
          <w:color w:val="000000" w:themeColor="text1"/>
          <w:sz w:val="20"/>
          <w:szCs w:val="20"/>
        </w:rPr>
        <w:t>immunomodulatory</w:t>
      </w:r>
      <w:proofErr w:type="spellEnd"/>
      <w:r w:rsidRPr="009F44A4">
        <w:rPr>
          <w:rFonts w:ascii="Times New Roman" w:eastAsia="Calibri" w:hAnsi="Times New Roman" w:cs="Times New Roman"/>
          <w:color w:val="000000" w:themeColor="text1"/>
          <w:sz w:val="20"/>
          <w:szCs w:val="20"/>
        </w:rPr>
        <w:t xml:space="preserve"> herbs, which can enhance immunity. Few suggested ways are -</w:t>
      </w:r>
    </w:p>
    <w:p w14:paraId="341E2524" w14:textId="4D0C7490" w:rsidR="008D16FE" w:rsidRPr="009F44A4" w:rsidRDefault="00C02138" w:rsidP="00DC7281">
      <w:pPr>
        <w:numPr>
          <w:ilvl w:val="0"/>
          <w:numId w:val="3"/>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Consume decoction once or twice a day made from </w:t>
      </w:r>
      <w:proofErr w:type="spellStart"/>
      <w:r w:rsidRPr="009F44A4">
        <w:rPr>
          <w:rFonts w:ascii="Times New Roman" w:eastAsia="Calibri" w:hAnsi="Times New Roman" w:cs="Times New Roman"/>
          <w:color w:val="000000" w:themeColor="text1"/>
          <w:sz w:val="20"/>
          <w:szCs w:val="20"/>
        </w:rPr>
        <w:t>Ocimum</w:t>
      </w:r>
      <w:proofErr w:type="spellEnd"/>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basilicum</w:t>
      </w:r>
      <w:proofErr w:type="spellEnd"/>
      <w:r w:rsidRPr="009F44A4">
        <w:rPr>
          <w:rFonts w:ascii="Times New Roman" w:eastAsia="Calibri" w:hAnsi="Times New Roman" w:cs="Times New Roman"/>
          <w:color w:val="000000" w:themeColor="text1"/>
          <w:sz w:val="20"/>
          <w:szCs w:val="20"/>
        </w:rPr>
        <w:t xml:space="preserve"> (basil), cinnamon, Piper </w:t>
      </w:r>
      <w:proofErr w:type="spellStart"/>
      <w:r w:rsidRPr="009F44A4">
        <w:rPr>
          <w:rFonts w:ascii="Times New Roman" w:eastAsia="Calibri" w:hAnsi="Times New Roman" w:cs="Times New Roman"/>
          <w:color w:val="000000" w:themeColor="text1"/>
          <w:sz w:val="20"/>
          <w:szCs w:val="20"/>
        </w:rPr>
        <w:t>nigrum</w:t>
      </w:r>
      <w:proofErr w:type="spellEnd"/>
      <w:r w:rsidRPr="009F44A4">
        <w:rPr>
          <w:rFonts w:ascii="Times New Roman" w:eastAsia="Calibri" w:hAnsi="Times New Roman" w:cs="Times New Roman"/>
          <w:color w:val="000000" w:themeColor="text1"/>
          <w:sz w:val="20"/>
          <w:szCs w:val="20"/>
        </w:rPr>
        <w:t xml:space="preserve"> (black pepper), </w:t>
      </w:r>
      <w:proofErr w:type="spellStart"/>
      <w:r w:rsidRPr="009F44A4">
        <w:rPr>
          <w:rFonts w:ascii="Times New Roman" w:eastAsia="Calibri" w:hAnsi="Times New Roman" w:cs="Times New Roman"/>
          <w:color w:val="000000" w:themeColor="text1"/>
          <w:sz w:val="20"/>
          <w:szCs w:val="20"/>
        </w:rPr>
        <w:t>Zingiber</w:t>
      </w:r>
      <w:proofErr w:type="spellEnd"/>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officinale</w:t>
      </w:r>
      <w:proofErr w:type="spellEnd"/>
      <w:r w:rsidRPr="009F44A4">
        <w:rPr>
          <w:rFonts w:ascii="Times New Roman" w:eastAsia="Calibri" w:hAnsi="Times New Roman" w:cs="Times New Roman"/>
          <w:color w:val="000000" w:themeColor="text1"/>
          <w:sz w:val="20"/>
          <w:szCs w:val="20"/>
        </w:rPr>
        <w:t xml:space="preserve"> (dry ginger) and raisin</w:t>
      </w:r>
      <w:r w:rsidR="00850C84"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w:t>
      </w:r>
      <w:proofErr w:type="spellStart"/>
      <w:r w:rsidRPr="009F44A4">
        <w:rPr>
          <w:rFonts w:ascii="Times New Roman" w:eastAsia="Calibri" w:hAnsi="Times New Roman" w:cs="Times New Roman"/>
          <w:color w:val="000000" w:themeColor="text1"/>
          <w:sz w:val="20"/>
          <w:szCs w:val="20"/>
        </w:rPr>
        <w:t>kishmish</w:t>
      </w:r>
      <w:proofErr w:type="spellEnd"/>
      <w:r w:rsidRPr="009F44A4">
        <w:rPr>
          <w:rFonts w:ascii="Times New Roman" w:eastAsia="Calibri" w:hAnsi="Times New Roman" w:cs="Times New Roman"/>
          <w:color w:val="000000" w:themeColor="text1"/>
          <w:sz w:val="20"/>
          <w:szCs w:val="20"/>
        </w:rPr>
        <w:t xml:space="preserve">). </w:t>
      </w:r>
    </w:p>
    <w:p w14:paraId="0383B684" w14:textId="77777777" w:rsidR="008D16FE" w:rsidRPr="009F44A4" w:rsidRDefault="00C02138" w:rsidP="00DC7281">
      <w:pPr>
        <w:numPr>
          <w:ilvl w:val="0"/>
          <w:numId w:val="3"/>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Golden Milk is also useful for enhancing immunity power. For its preparation, turmeric is added in hot milk and then it is recommended to consume once or twice a day.</w:t>
      </w:r>
    </w:p>
    <w:p w14:paraId="6EFD90A9" w14:textId="7ACF9704" w:rsidR="008D16FE" w:rsidRPr="009F44A4" w:rsidRDefault="00C02138" w:rsidP="00DC7281">
      <w:pPr>
        <w:numPr>
          <w:ilvl w:val="0"/>
          <w:numId w:val="3"/>
        </w:numPr>
        <w:shd w:val="clear" w:color="auto" w:fill="FFFFFF" w:themeFill="background1"/>
        <w:spacing w:line="360" w:lineRule="auto"/>
        <w:jc w:val="both"/>
        <w:rPr>
          <w:rFonts w:ascii="Times New Roman" w:eastAsia="Calibri" w:hAnsi="Times New Roman" w:cs="Times New Roman"/>
          <w:color w:val="000000" w:themeColor="text1"/>
          <w:sz w:val="20"/>
          <w:szCs w:val="20"/>
        </w:rPr>
      </w:pPr>
      <w:proofErr w:type="spellStart"/>
      <w:r w:rsidRPr="009F44A4">
        <w:rPr>
          <w:rFonts w:ascii="Times New Roman" w:eastAsia="Calibri" w:hAnsi="Times New Roman" w:cs="Times New Roman"/>
          <w:color w:val="000000" w:themeColor="text1"/>
          <w:sz w:val="20"/>
          <w:szCs w:val="20"/>
        </w:rPr>
        <w:t>Practise</w:t>
      </w:r>
      <w:proofErr w:type="spellEnd"/>
      <w:r w:rsidRPr="009F44A4">
        <w:rPr>
          <w:rFonts w:ascii="Times New Roman" w:eastAsia="Calibri" w:hAnsi="Times New Roman" w:cs="Times New Roman"/>
          <w:color w:val="000000" w:themeColor="text1"/>
          <w:sz w:val="20"/>
          <w:szCs w:val="20"/>
        </w:rPr>
        <w:t xml:space="preserve"> drinking lukewarm water and use of common spices such as turmeric, cumin, coriander and garlic in daily food</w:t>
      </w:r>
      <w:r w:rsidR="00FC0B03" w:rsidRPr="009F44A4">
        <w:rPr>
          <w:rFonts w:ascii="Times New Roman" w:eastAsia="Calibri" w:hAnsi="Times New Roman" w:cs="Times New Roman"/>
          <w:color w:val="000000" w:themeColor="text1"/>
          <w:sz w:val="20"/>
          <w:szCs w:val="20"/>
        </w:rPr>
        <w:t xml:space="preserve"> </w:t>
      </w:r>
      <w:r w:rsidR="00FC0B0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{"citationID":"SbsjZeOk","properties":{"formattedCitation":"\\super 87\\nosupersub{}","plainCitation":"87","noteIndex":0},"citationItems":[{"id":695,"uris":["http://zotero.org/users/local/ZR048J0w/items/JXESAAI9"],"uri":["http://zotero.org/users/local/ZR048J0w/items/JXESAAI9"],"itemData":{"id":695,"type":"webpage","title":"vikaspedia Domains","URL":"https://vikaspedia.in/news/ayurvedas-immunity-boosting-measures-for-self-care-during-covid-19-crisis","accessed":{"date-parts":[["2020",12,20]]}}}],"schema":"https://github.com/citation-style-language/schema/raw/master/csl-citation.json"} </w:instrText>
      </w:r>
      <w:r w:rsidR="00FC0B0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87</w:t>
      </w:r>
      <w:r w:rsidR="00FC0B03" w:rsidRPr="009F44A4">
        <w:rPr>
          <w:rFonts w:ascii="Times New Roman" w:eastAsia="Calibri" w:hAnsi="Times New Roman" w:cs="Times New Roman"/>
          <w:color w:val="000000" w:themeColor="text1"/>
          <w:sz w:val="20"/>
          <w:szCs w:val="20"/>
        </w:rPr>
        <w:fldChar w:fldCharType="end"/>
      </w:r>
      <w:r w:rsidR="00FC0B03" w:rsidRPr="009F44A4">
        <w:rPr>
          <w:rFonts w:ascii="Times New Roman" w:eastAsia="Calibri" w:hAnsi="Times New Roman" w:cs="Times New Roman"/>
          <w:color w:val="000000" w:themeColor="text1"/>
          <w:sz w:val="20"/>
          <w:szCs w:val="20"/>
        </w:rPr>
        <w:t>.</w:t>
      </w:r>
    </w:p>
    <w:p w14:paraId="10A391C4" w14:textId="68FBFCF5" w:rsidR="008D16FE" w:rsidRPr="009F44A4" w:rsidRDefault="00C02138" w:rsidP="00DC7281">
      <w:pPr>
        <w:pStyle w:val="Heading3"/>
        <w:numPr>
          <w:ilvl w:val="0"/>
          <w:numId w:val="7"/>
        </w:numPr>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 xml:space="preserve">Homeopathy </w:t>
      </w:r>
    </w:p>
    <w:p w14:paraId="6E1BD51B" w14:textId="0EB8BEB9"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Homeopathy is an alternative medication easy to consume with no side effects. It is believed that homeopathic medicines are able to boost immunity. The Ministry of AYUSH, Government of India released a health guideline and suggested that drugs from homeopathy and </w:t>
      </w:r>
      <w:proofErr w:type="spellStart"/>
      <w:r w:rsidRPr="009F44A4">
        <w:rPr>
          <w:rFonts w:ascii="Times New Roman" w:eastAsia="Calibri" w:hAnsi="Times New Roman" w:cs="Times New Roman"/>
          <w:color w:val="000000" w:themeColor="text1"/>
          <w:sz w:val="20"/>
          <w:szCs w:val="20"/>
        </w:rPr>
        <w:t>Unani</w:t>
      </w:r>
      <w:proofErr w:type="spellEnd"/>
      <w:r w:rsidRPr="009F44A4">
        <w:rPr>
          <w:rFonts w:ascii="Times New Roman" w:eastAsia="Calibri" w:hAnsi="Times New Roman" w:cs="Times New Roman"/>
          <w:color w:val="000000" w:themeColor="text1"/>
          <w:sz w:val="20"/>
          <w:szCs w:val="20"/>
        </w:rPr>
        <w:t xml:space="preserve"> could be beneficial in contro</w:t>
      </w:r>
      <w:r w:rsidR="00196F86" w:rsidRPr="009F44A4">
        <w:rPr>
          <w:rFonts w:ascii="Times New Roman" w:eastAsia="Calibri" w:hAnsi="Times New Roman" w:cs="Times New Roman"/>
          <w:color w:val="000000" w:themeColor="text1"/>
          <w:sz w:val="20"/>
          <w:szCs w:val="20"/>
        </w:rPr>
        <w:t>lling SARS-</w:t>
      </w:r>
      <w:proofErr w:type="spellStart"/>
      <w:r w:rsidR="00196F86" w:rsidRPr="009F44A4">
        <w:rPr>
          <w:rFonts w:ascii="Times New Roman" w:eastAsia="Calibri" w:hAnsi="Times New Roman" w:cs="Times New Roman"/>
          <w:color w:val="000000" w:themeColor="text1"/>
          <w:sz w:val="20"/>
          <w:szCs w:val="20"/>
        </w:rPr>
        <w:t>CoV</w:t>
      </w:r>
      <w:proofErr w:type="spellEnd"/>
      <w:r w:rsidR="00196F86" w:rsidRPr="009F44A4">
        <w:rPr>
          <w:rFonts w:ascii="Times New Roman" w:eastAsia="Calibri" w:hAnsi="Times New Roman" w:cs="Times New Roman"/>
          <w:color w:val="000000" w:themeColor="text1"/>
          <w:sz w:val="20"/>
          <w:szCs w:val="20"/>
        </w:rPr>
        <w:t xml:space="preserve">-2 infections </w:t>
      </w:r>
      <w:r w:rsidR="00196F8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{"citationID":"7IkQK2xX","properties":{"formattedCitation":"\\super 88\\nosupersub{}","plainCitation":"88","noteIndex":0},"citationItems":[{"id":698,"uris":["http://zotero.org/users/local/ZR048J0w/items/NG73XQ76"],"uri":["http://zotero.org/users/local/ZR048J0w/items/NG73XQ76"],"itemData":{"id":698,"type":"webpage","abstract":"The outbreak of a mysterious new CoronaVirus is rapidly spreading. The whole world is going through","title":"Advisory for Corona virus","URL":"pib.gov.in/Pressreleaseshare.aspx?PRID=1600895","accessed":{"date-parts":[["2020",12,20]]}}}],"schema":"https://github.com/citation-style-language/schema/raw/master/csl-citation.json"} </w:instrText>
      </w:r>
      <w:r w:rsidR="00196F8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88</w:t>
      </w:r>
      <w:r w:rsidR="00196F86" w:rsidRPr="009F44A4">
        <w:rPr>
          <w:rFonts w:ascii="Times New Roman" w:eastAsia="Calibri" w:hAnsi="Times New Roman" w:cs="Times New Roman"/>
          <w:color w:val="000000" w:themeColor="text1"/>
          <w:sz w:val="20"/>
          <w:szCs w:val="20"/>
        </w:rPr>
        <w:fldChar w:fldCharType="end"/>
      </w:r>
      <w:r w:rsidR="00196F86"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Arsenicum</w:t>
      </w:r>
      <w:proofErr w:type="spellEnd"/>
      <w:r w:rsidRPr="009F44A4">
        <w:rPr>
          <w:rFonts w:ascii="Times New Roman" w:eastAsia="Calibri" w:hAnsi="Times New Roman" w:cs="Times New Roman"/>
          <w:color w:val="000000" w:themeColor="text1"/>
          <w:sz w:val="20"/>
          <w:szCs w:val="20"/>
        </w:rPr>
        <w:t xml:space="preserve"> album 30 of homoeopathic medicine has been suggested to be used empty stomach everyday as a prophylactic treatment against the infection for three days. Every month the same dose needs to be repeated following the same schedule</w:t>
      </w:r>
      <w:r w:rsidR="00196F86" w:rsidRPr="009F44A4">
        <w:rPr>
          <w:rFonts w:ascii="Times New Roman" w:eastAsia="Calibri" w:hAnsi="Times New Roman" w:cs="Times New Roman"/>
          <w:color w:val="000000" w:themeColor="text1"/>
          <w:sz w:val="20"/>
          <w:szCs w:val="20"/>
        </w:rPr>
        <w:t xml:space="preserve"> </w:t>
      </w:r>
      <w:r w:rsidR="00196F8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{"citationID":"jwwipKVz","properties":{"formattedCitation":"\\super 88\\nosupersub{}","plainCitation":"88","noteIndex":0},"citationItems":[{"id":698,"uris":["http://zotero.org/users/local/ZR048J0w/items/NG73XQ76"],"uri":["http://zotero.org/users/local/ZR048J0w/items/NG73XQ76"],"itemData":{"id":698,"type":"webpage","abstract":"The outbreak of a mysterious new CoronaVirus is rapidly spreading. The whole world is going through","title":"Advisory for Corona virus","URL":"pib.gov.in/Pressreleaseshare.aspx?PRID=1600895","accessed":{"date-parts":[["2020",12,20]]}}}],"schema":"https://github.com/citation-style-language/schema/raw/master/csl-citation.json"} </w:instrText>
      </w:r>
      <w:r w:rsidR="00196F8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88</w:t>
      </w:r>
      <w:r w:rsidR="00196F86" w:rsidRPr="009F44A4">
        <w:rPr>
          <w:rFonts w:ascii="Times New Roman" w:eastAsia="Calibri" w:hAnsi="Times New Roman" w:cs="Times New Roman"/>
          <w:color w:val="000000" w:themeColor="text1"/>
          <w:sz w:val="20"/>
          <w:szCs w:val="20"/>
        </w:rPr>
        <w:fldChar w:fldCharType="end"/>
      </w:r>
      <w:r w:rsidR="00196F86"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However, there is no evidence that </w:t>
      </w:r>
      <w:proofErr w:type="spellStart"/>
      <w:r w:rsidRPr="009F44A4">
        <w:rPr>
          <w:rFonts w:ascii="Times New Roman" w:eastAsia="Calibri" w:hAnsi="Times New Roman" w:cs="Times New Roman"/>
          <w:color w:val="000000" w:themeColor="text1"/>
          <w:sz w:val="20"/>
          <w:szCs w:val="20"/>
        </w:rPr>
        <w:t>Arsenicum</w:t>
      </w:r>
      <w:proofErr w:type="spellEnd"/>
      <w:r w:rsidRPr="009F44A4">
        <w:rPr>
          <w:rFonts w:ascii="Times New Roman" w:eastAsia="Calibri" w:hAnsi="Times New Roman" w:cs="Times New Roman"/>
          <w:color w:val="000000" w:themeColor="text1"/>
          <w:sz w:val="20"/>
          <w:szCs w:val="20"/>
        </w:rPr>
        <w:t xml:space="preserve"> album 30 holds any preventive properties for COVID-19. </w:t>
      </w:r>
    </w:p>
    <w:p w14:paraId="3CCB62E5" w14:textId="77777777" w:rsidR="008D16FE" w:rsidRPr="009F44A4" w:rsidRDefault="008D16FE"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rPr>
      </w:pPr>
    </w:p>
    <w:p w14:paraId="619DCF38" w14:textId="77777777" w:rsidR="008D16FE" w:rsidRPr="009F44A4" w:rsidRDefault="00C02138" w:rsidP="00DC7281">
      <w:pPr>
        <w:pStyle w:val="ListParagraph"/>
        <w:numPr>
          <w:ilvl w:val="0"/>
          <w:numId w:val="7"/>
        </w:numPr>
        <w:shd w:val="clear" w:color="auto" w:fill="FFFFFF" w:themeFill="background1"/>
        <w:spacing w:line="360" w:lineRule="auto"/>
        <w:jc w:val="both"/>
        <w:rPr>
          <w:rFonts w:ascii="Times New Roman" w:eastAsia="Calibri" w:hAnsi="Times New Roman" w:cs="Times New Roman"/>
          <w:b/>
          <w:color w:val="000000" w:themeColor="text1"/>
          <w:sz w:val="20"/>
          <w:szCs w:val="20"/>
        </w:rPr>
      </w:pPr>
      <w:proofErr w:type="spellStart"/>
      <w:r w:rsidRPr="009F44A4">
        <w:rPr>
          <w:rFonts w:ascii="Times New Roman" w:eastAsia="Calibri" w:hAnsi="Times New Roman" w:cs="Times New Roman"/>
          <w:b/>
          <w:color w:val="000000" w:themeColor="text1"/>
          <w:sz w:val="20"/>
          <w:szCs w:val="20"/>
        </w:rPr>
        <w:t>Allopathy</w:t>
      </w:r>
      <w:proofErr w:type="spellEnd"/>
    </w:p>
    <w:p w14:paraId="338B6949" w14:textId="18DA6890"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proofErr w:type="spellStart"/>
      <w:r w:rsidRPr="009F44A4">
        <w:rPr>
          <w:rFonts w:ascii="Times New Roman" w:eastAsia="Calibri" w:hAnsi="Times New Roman" w:cs="Times New Roman"/>
          <w:color w:val="000000" w:themeColor="text1"/>
          <w:sz w:val="20"/>
          <w:szCs w:val="20"/>
        </w:rPr>
        <w:t>Allopathy</w:t>
      </w:r>
      <w:proofErr w:type="spellEnd"/>
      <w:r w:rsidRPr="009F44A4">
        <w:rPr>
          <w:rFonts w:ascii="Times New Roman" w:eastAsia="Calibri" w:hAnsi="Times New Roman" w:cs="Times New Roman"/>
          <w:color w:val="000000" w:themeColor="text1"/>
          <w:sz w:val="20"/>
          <w:szCs w:val="20"/>
        </w:rPr>
        <w:t xml:space="preserve"> refers to science based conventional medication, which is used to target the infectious agent or biological moieties for suppression of symptoms. For the prevention of COVID-19, many pharmaceutical firms have shown their promptness to come forward for manufacturing of testing kits, vaccine and drug development and assessing the effectiveness of drug repurposing. We describe below some of the medicines that are undergoing through phase I, II, III trials and a few of them are even being used as treatment alternatives alone or in combination. </w:t>
      </w:r>
      <w:bookmarkStart w:id="4" w:name="_3znysh7" w:colFirst="0" w:colLast="0"/>
      <w:bookmarkEnd w:id="4"/>
    </w:p>
    <w:p w14:paraId="0652F069" w14:textId="5FABA39C" w:rsidR="008D16FE" w:rsidRPr="009F44A4" w:rsidRDefault="00C02138" w:rsidP="00DC7281">
      <w:pPr>
        <w:pStyle w:val="Heading4"/>
        <w:keepNext w:val="0"/>
        <w:keepLines w:val="0"/>
        <w:shd w:val="clear" w:color="auto" w:fill="FFFFFF" w:themeFill="background1"/>
        <w:spacing w:before="0" w:after="0"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1</w:t>
      </w:r>
      <w:r w:rsidR="008956DC" w:rsidRPr="009F44A4">
        <w:rPr>
          <w:rFonts w:ascii="Times New Roman" w:eastAsia="Calibri" w:hAnsi="Times New Roman" w:cs="Times New Roman"/>
          <w:b/>
          <w:color w:val="000000" w:themeColor="text1"/>
          <w:sz w:val="20"/>
          <w:szCs w:val="20"/>
        </w:rPr>
        <w:t>0.1</w:t>
      </w:r>
      <w:r w:rsidRPr="009F44A4">
        <w:rPr>
          <w:rFonts w:ascii="Times New Roman" w:eastAsia="Calibri" w:hAnsi="Times New Roman" w:cs="Times New Roman"/>
          <w:b/>
          <w:color w:val="000000" w:themeColor="text1"/>
          <w:sz w:val="20"/>
          <w:szCs w:val="20"/>
        </w:rPr>
        <w:t xml:space="preserve">. </w:t>
      </w:r>
      <w:proofErr w:type="spellStart"/>
      <w:r w:rsidRPr="009F44A4">
        <w:rPr>
          <w:rFonts w:ascii="Times New Roman" w:eastAsia="Calibri" w:hAnsi="Times New Roman" w:cs="Times New Roman"/>
          <w:b/>
          <w:color w:val="000000" w:themeColor="text1"/>
          <w:sz w:val="20"/>
          <w:szCs w:val="20"/>
        </w:rPr>
        <w:t>Chloroquine</w:t>
      </w:r>
      <w:proofErr w:type="spellEnd"/>
      <w:r w:rsidRPr="009F44A4">
        <w:rPr>
          <w:rFonts w:ascii="Times New Roman" w:eastAsia="Calibri" w:hAnsi="Times New Roman" w:cs="Times New Roman"/>
          <w:b/>
          <w:color w:val="000000" w:themeColor="text1"/>
          <w:sz w:val="20"/>
          <w:szCs w:val="20"/>
        </w:rPr>
        <w:t xml:space="preserve"> and </w:t>
      </w:r>
      <w:proofErr w:type="spellStart"/>
      <w:r w:rsidRPr="009F44A4">
        <w:rPr>
          <w:rFonts w:ascii="Times New Roman" w:eastAsia="Calibri" w:hAnsi="Times New Roman" w:cs="Times New Roman"/>
          <w:b/>
          <w:color w:val="000000" w:themeColor="text1"/>
          <w:sz w:val="20"/>
          <w:szCs w:val="20"/>
        </w:rPr>
        <w:t>hydroxychloroquine</w:t>
      </w:r>
      <w:proofErr w:type="spellEnd"/>
    </w:p>
    <w:p w14:paraId="71273293" w14:textId="69A3AE2A"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The Food and Drug Administration (FDA), USA has only approved the use of </w:t>
      </w:r>
      <w:proofErr w:type="spellStart"/>
      <w:r w:rsidRPr="009F44A4">
        <w:rPr>
          <w:rFonts w:ascii="Times New Roman" w:eastAsia="Calibri" w:hAnsi="Times New Roman" w:cs="Times New Roman"/>
          <w:color w:val="000000" w:themeColor="text1"/>
          <w:sz w:val="20"/>
          <w:szCs w:val="20"/>
        </w:rPr>
        <w:t>hydroxychloroquine</w:t>
      </w:r>
      <w:proofErr w:type="spellEnd"/>
      <w:r w:rsidRPr="009F44A4">
        <w:rPr>
          <w:rFonts w:ascii="Times New Roman" w:eastAsia="Calibri" w:hAnsi="Times New Roman" w:cs="Times New Roman"/>
          <w:color w:val="000000" w:themeColor="text1"/>
          <w:sz w:val="20"/>
          <w:szCs w:val="20"/>
        </w:rPr>
        <w:t xml:space="preserve"> in emergency circumstances in people diagnosed with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 xml:space="preserve">-2 who are hospitalized or clinically enrolled. It is advised to stay under doctor’s supervision while using </w:t>
      </w:r>
      <w:proofErr w:type="spellStart"/>
      <w:r w:rsidRPr="009F44A4">
        <w:rPr>
          <w:rFonts w:ascii="Times New Roman" w:eastAsia="Calibri" w:hAnsi="Times New Roman" w:cs="Times New Roman"/>
          <w:color w:val="000000" w:themeColor="text1"/>
          <w:sz w:val="20"/>
          <w:szCs w:val="20"/>
        </w:rPr>
        <w:t>hydroxychloroquine</w:t>
      </w:r>
      <w:proofErr w:type="spellEnd"/>
      <w:r w:rsidRPr="009F44A4">
        <w:rPr>
          <w:rFonts w:ascii="Times New Roman" w:eastAsia="Calibri" w:hAnsi="Times New Roman" w:cs="Times New Roman"/>
          <w:color w:val="000000" w:themeColor="text1"/>
          <w:sz w:val="20"/>
          <w:szCs w:val="20"/>
        </w:rPr>
        <w:t xml:space="preserve"> for COVID-19</w:t>
      </w:r>
      <w:r w:rsidR="00196F86" w:rsidRPr="009F44A4">
        <w:rPr>
          <w:rFonts w:ascii="Times New Roman" w:eastAsia="Calibri" w:hAnsi="Times New Roman" w:cs="Times New Roman"/>
          <w:color w:val="000000" w:themeColor="text1"/>
          <w:sz w:val="20"/>
          <w:szCs w:val="20"/>
        </w:rPr>
        <w:t xml:space="preserve"> </w:t>
      </w:r>
      <w:r w:rsidR="00196F8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{"citationID":"bSc54sub","properties":{"formattedCitation":"\\super 89\\nosupersub{}","plainCitation":"89","noteIndex":0},"citationItems":[{"id":700,"uris":["http://zotero.org/users/local/ZR048J0w/items/K8DS2DGY"],"uri":["http://zotero.org/users/local/ZR048J0w/items/K8DS2DGY"],"itemData":{"id":700,"type":"article-journal","abstract":"FDA is concerned that hydroxychloroquine and chloroquine are being used inappropriately to treat non-hospitalized patients for coronavirus disease (COVID-19) or to prevent that disease.","container-title":"FDA","language":"en","note":"publisher: FDA","source":"www.fda.gov","title":"Hydroxychloroquine or Chloroquine for COVID-19: Drug Safety Communication - FDA Cautions Against Use Outside of the Hospital Setting or a Clinical Trial Due to Risk of Heart Rhythm Problems","title-short":"Hydroxychloroquine or Chloroquine for COVID-19","URL":"https://www.fda.gov/safety/medical-product-safety-information/hydroxychloroquine-or-chloroquine-covid-19-drug-safety-communication-fda-cautions-against-use","author":[{"family":"Commissioner","given":"Office","dropping-particle":"of the"}],"accessed":{"date-parts":[["2020",12,20]]},"issued":{"date-parts":[["2020",9,9]]}}}],"schema":"https://github.com/citation-style-language/schema/raw/master/csl-citation.json"} </w:instrText>
      </w:r>
      <w:r w:rsidR="00196F8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89</w:t>
      </w:r>
      <w:r w:rsidR="00196F86" w:rsidRPr="009F44A4">
        <w:rPr>
          <w:rFonts w:ascii="Times New Roman" w:eastAsia="Calibri" w:hAnsi="Times New Roman" w:cs="Times New Roman"/>
          <w:color w:val="000000" w:themeColor="text1"/>
          <w:sz w:val="20"/>
          <w:szCs w:val="20"/>
        </w:rPr>
        <w:fldChar w:fldCharType="end"/>
      </w:r>
      <w:r w:rsidR="00196F86"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The medications presently being studied for repurposing to treat COVID-19 appear to fall into two categories: those that control the process of viral replication and those that seek to manage the disease specific symptoms. The </w:t>
      </w:r>
      <w:proofErr w:type="spellStart"/>
      <w:r w:rsidRPr="009F44A4">
        <w:rPr>
          <w:rFonts w:ascii="Times New Roman" w:eastAsia="Calibri" w:hAnsi="Times New Roman" w:cs="Times New Roman"/>
          <w:color w:val="000000" w:themeColor="text1"/>
          <w:sz w:val="20"/>
          <w:szCs w:val="20"/>
        </w:rPr>
        <w:t>chloroquine</w:t>
      </w:r>
      <w:proofErr w:type="spellEnd"/>
      <w:r w:rsidRPr="009F44A4">
        <w:rPr>
          <w:rFonts w:ascii="Times New Roman" w:eastAsia="Calibri" w:hAnsi="Times New Roman" w:cs="Times New Roman"/>
          <w:color w:val="000000" w:themeColor="text1"/>
          <w:sz w:val="20"/>
          <w:szCs w:val="20"/>
        </w:rPr>
        <w:t xml:space="preserve"> and </w:t>
      </w:r>
      <w:proofErr w:type="spellStart"/>
      <w:r w:rsidRPr="009F44A4">
        <w:rPr>
          <w:rFonts w:ascii="Times New Roman" w:eastAsia="Calibri" w:hAnsi="Times New Roman" w:cs="Times New Roman"/>
          <w:color w:val="000000" w:themeColor="text1"/>
          <w:sz w:val="20"/>
          <w:szCs w:val="20"/>
        </w:rPr>
        <w:t>hydroxychloroquine</w:t>
      </w:r>
      <w:proofErr w:type="spellEnd"/>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lastRenderedPageBreak/>
        <w:t>aminoquinolines</w:t>
      </w:r>
      <w:proofErr w:type="spellEnd"/>
      <w:r w:rsidRPr="009F44A4">
        <w:rPr>
          <w:rFonts w:ascii="Times New Roman" w:eastAsia="Calibri" w:hAnsi="Times New Roman" w:cs="Times New Roman"/>
          <w:color w:val="000000" w:themeColor="text1"/>
          <w:sz w:val="20"/>
          <w:szCs w:val="20"/>
        </w:rPr>
        <w:t xml:space="preserve"> are normally taken as antimalarial medication.</w:t>
      </w:r>
      <w:r w:rsidR="00945D5B"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 xml:space="preserve">They are helpful in malaria to inhibit </w:t>
      </w:r>
      <w:proofErr w:type="spellStart"/>
      <w:r w:rsidRPr="009F44A4">
        <w:rPr>
          <w:rFonts w:ascii="Times New Roman" w:eastAsia="Calibri" w:hAnsi="Times New Roman" w:cs="Times New Roman"/>
          <w:color w:val="000000" w:themeColor="text1"/>
          <w:sz w:val="20"/>
          <w:szCs w:val="20"/>
        </w:rPr>
        <w:t>heme</w:t>
      </w:r>
      <w:proofErr w:type="spellEnd"/>
      <w:r w:rsidRPr="009F44A4">
        <w:rPr>
          <w:rFonts w:ascii="Times New Roman" w:eastAsia="Calibri" w:hAnsi="Times New Roman" w:cs="Times New Roman"/>
          <w:color w:val="000000" w:themeColor="text1"/>
          <w:sz w:val="20"/>
          <w:szCs w:val="20"/>
        </w:rPr>
        <w:t xml:space="preserve"> polymerase, which causes the parasite to accumulate toxic </w:t>
      </w:r>
      <w:proofErr w:type="spellStart"/>
      <w:r w:rsidRPr="009F44A4">
        <w:rPr>
          <w:rFonts w:ascii="Times New Roman" w:eastAsia="Calibri" w:hAnsi="Times New Roman" w:cs="Times New Roman"/>
          <w:color w:val="000000" w:themeColor="text1"/>
          <w:sz w:val="20"/>
          <w:szCs w:val="20"/>
        </w:rPr>
        <w:t>heme</w:t>
      </w:r>
      <w:proofErr w:type="spellEnd"/>
      <w:r w:rsidRPr="009F44A4">
        <w:rPr>
          <w:rFonts w:ascii="Times New Roman" w:eastAsia="Calibri" w:hAnsi="Times New Roman" w:cs="Times New Roman"/>
          <w:color w:val="000000" w:themeColor="text1"/>
          <w:sz w:val="20"/>
          <w:szCs w:val="20"/>
        </w:rPr>
        <w:t xml:space="preserve"> that may lead to death. In COVID-19, it is envisaged that the drugs can help avoid interaction of the virus with the host cells by blocking host receptor glycosylation and breaking down viral protein production by inhibiting </w:t>
      </w:r>
      <w:proofErr w:type="spellStart"/>
      <w:r w:rsidRPr="009F44A4">
        <w:rPr>
          <w:rFonts w:ascii="Times New Roman" w:eastAsia="Calibri" w:hAnsi="Times New Roman" w:cs="Times New Roman"/>
          <w:color w:val="000000" w:themeColor="text1"/>
          <w:sz w:val="20"/>
          <w:szCs w:val="20"/>
        </w:rPr>
        <w:t>endosomal</w:t>
      </w:r>
      <w:proofErr w:type="spellEnd"/>
      <w:r w:rsidRPr="009F44A4">
        <w:rPr>
          <w:rFonts w:ascii="Times New Roman" w:eastAsia="Calibri" w:hAnsi="Times New Roman" w:cs="Times New Roman"/>
          <w:color w:val="000000" w:themeColor="text1"/>
          <w:sz w:val="20"/>
          <w:szCs w:val="20"/>
        </w:rPr>
        <w:t xml:space="preserve"> acidification. Although initial studies appeared promising, various experimental flaws were noticed by the research groups. In a randomized study of thirty patients in China who were found positive for COVID-19 at the same time, it was observed that they had no benefit over the standard treatment and also </w:t>
      </w:r>
      <w:proofErr w:type="spellStart"/>
      <w:r w:rsidRPr="009F44A4">
        <w:rPr>
          <w:rFonts w:ascii="Times New Roman" w:eastAsia="Calibri" w:hAnsi="Times New Roman" w:cs="Times New Roman"/>
          <w:color w:val="000000" w:themeColor="text1"/>
          <w:sz w:val="20"/>
          <w:szCs w:val="20"/>
        </w:rPr>
        <w:t>hydroxychloroquine</w:t>
      </w:r>
      <w:proofErr w:type="spellEnd"/>
      <w:r w:rsidRPr="009F44A4">
        <w:rPr>
          <w:rFonts w:ascii="Times New Roman" w:eastAsia="Calibri" w:hAnsi="Times New Roman" w:cs="Times New Roman"/>
          <w:color w:val="000000" w:themeColor="text1"/>
          <w:sz w:val="20"/>
          <w:szCs w:val="20"/>
        </w:rPr>
        <w:t xml:space="preserve"> administration could not help decrease in death among hospitalized COVID-19 patients </w:t>
      </w:r>
      <w:r w:rsidR="00196F8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{"citationID":"GZRWkguI","properties":{"formattedCitation":"\\super 90\\nosupersub{}","plainCitation":"90","noteIndex":0},"citationItems":[{"id":702,"uris":["http://zotero.org/users/local/ZR048J0w/items/6C82II3C"],"uri":["http://zotero.org/users/local/ZR048J0w/items/6C82II3C"],"itemData":{"id":702,"type":"article-journal","abstract":"BACKGROUND: The severe acute respiratory syndrome coronavirus 2 (SARS-CoV-2) first broke out in 2019 and subsequently spread worldwide. Chloroquine has been sporadically used in treating SARS-CoV-2 infection. Hydroxychloroquine shares the same mechanism of action as chloroquine, but its more tolerable safety profile makes it the preferred drug to treat malaria and autoimmune conditions. We propose that the immunomodulatory effect of hydroxychloroquine also may be useful in controlling the cytokine storm that occurs late phase in critically ill patients with SARS-CoV-2. Currently, there is no evidence to support the use of hydroxychloroquine in SARS-CoV-2 infection.\nMETHODS: The pharmacological activity of chloroquine and hydroxychloroquine was tested using SARS-CoV-2-infected Vero cells. Physiologically based pharmacokinetic (PBPK) models were implemented for both drugs separately by integrating their in vitro data. Using the PBPK models, hydroxychloroquine concentrations in lung fluid were simulated under 5 different dosing regimens to explore the most effective regimen while considering the drug's safety profile.\nRESULTS: Hydroxychloroquine (EC50 = 0.72 μM) was found to be more potent than chloroquine (EC50 = 5.47 μM) in vitro. Based on PBPK models results, a loading dose of 400 mg twice daily of hydroxychloroquine sulfate given orally, followed by a maintenance dose of 200 mg given twice daily for 4 days is recommended for SARS-CoV-2 infection, as it reached 3 times the potency of chloroquine phosphate when given 500 mg twice daily 5 days in advance.\nCONCLUSIONS: Hydroxychloroquine was found to be more potent than chloroquine to inhibit SARS-CoV-2 in vitro.","container-title":"Clinical Infectious Diseases: An Official Publication of the Infectious Diseases Society of America","DOI":"10.1093/cid/ciaa237","ISSN":"1537-6591","issue":"15","journalAbbreviation":"Clin Infect Dis","language":"eng","note":"PMID: 32150618\nPMCID: PMC7108130","page":"732-739","source":"PubMed","title":"In Vitro Antiviral Activity and Projection of Optimized Dosing Design of Hydroxychloroquine for the Treatment of Severe Acute Respiratory Syndrome Coronavirus 2 (SARS-CoV-2)","volume":"71","author":[{"family":"Yao","given":"Xueting"},{"family":"Ye","given":"Fei"},{"family":"Zhang","given":"Miao"},{"family":"Cui","given":"Cheng"},{"family":"Huang","given":"Baoying"},{"family":"Niu","given":"Peihua"},{"family":"Liu","given":"Xu"},{"family":"Zhao","given":"Li"},{"family":"Dong","given":"Erdan"},{"family":"Song","given":"Chunli"},{"family":"Zhan","given":"Siyan"},{"family":"Lu","given":"Roujian"},{"family":"Li","given":"Haiyan"},{"family":"Tan","given":"Wenjie"},{"family":"Liu","given":"Dongyang"}],"issued":{"date-parts":[["2020",7,28]]}}}],"schema":"https://github.com/citation-style-language/schema/raw/master/csl-citation.json"} </w:instrText>
      </w:r>
      <w:r w:rsidR="00196F8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90</w:t>
      </w:r>
      <w:r w:rsidR="00196F86" w:rsidRPr="009F44A4">
        <w:rPr>
          <w:rFonts w:ascii="Times New Roman" w:eastAsia="Calibri" w:hAnsi="Times New Roman" w:cs="Times New Roman"/>
          <w:color w:val="000000" w:themeColor="text1"/>
          <w:sz w:val="20"/>
          <w:szCs w:val="20"/>
        </w:rPr>
        <w:fldChar w:fldCharType="end"/>
      </w:r>
      <w:r w:rsidR="00196F86" w:rsidRPr="009F44A4">
        <w:rPr>
          <w:rFonts w:ascii="Times New Roman" w:eastAsia="Calibri" w:hAnsi="Times New Roman" w:cs="Times New Roman"/>
          <w:color w:val="000000" w:themeColor="text1"/>
          <w:sz w:val="20"/>
          <w:szCs w:val="20"/>
        </w:rPr>
        <w:t>.</w:t>
      </w:r>
    </w:p>
    <w:p w14:paraId="07CC2B3D" w14:textId="2E2D73D5" w:rsidR="008D16FE" w:rsidRPr="009F44A4" w:rsidRDefault="008956DC"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10.</w:t>
      </w:r>
      <w:r w:rsidR="00C02138" w:rsidRPr="009F44A4">
        <w:rPr>
          <w:rFonts w:ascii="Times New Roman" w:eastAsia="Calibri" w:hAnsi="Times New Roman" w:cs="Times New Roman"/>
          <w:b/>
          <w:color w:val="000000" w:themeColor="text1"/>
          <w:sz w:val="20"/>
          <w:szCs w:val="20"/>
        </w:rPr>
        <w:t>2. Dexamethasone</w:t>
      </w:r>
    </w:p>
    <w:p w14:paraId="3EA38420" w14:textId="78CAC2D3"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It is a low-cost steroid that is widely used. Although this matter is currently under discussion and further examination, researchers confirmed from the latest recovery study that the death rate of COVID-19 patients got noticeably decreased following dexamethasone administration. This is known as an anti-inflammatory medicine widely utilized to treat disorders wherein the body's immunity is not working normally and triggers damage. Dexamethasone significantly lowers the level of inflammation and decreases the activation of the immune function by influencing the functioning of white blood cells. Dexamethasone falls under the corticosteroids category that closely matches cortisol hormone released by adrenal glands in humans. This is widely used to treat chronic </w:t>
      </w:r>
      <w:proofErr w:type="spellStart"/>
      <w:r w:rsidRPr="009F44A4">
        <w:rPr>
          <w:rFonts w:ascii="Times New Roman" w:eastAsia="Calibri" w:hAnsi="Times New Roman" w:cs="Times New Roman"/>
          <w:color w:val="000000" w:themeColor="text1"/>
          <w:sz w:val="20"/>
          <w:szCs w:val="20"/>
        </w:rPr>
        <w:t>rheumatological</w:t>
      </w:r>
      <w:proofErr w:type="spellEnd"/>
      <w:r w:rsidRPr="009F44A4">
        <w:rPr>
          <w:rFonts w:ascii="Times New Roman" w:eastAsia="Calibri" w:hAnsi="Times New Roman" w:cs="Times New Roman"/>
          <w:color w:val="000000" w:themeColor="text1"/>
          <w:sz w:val="20"/>
          <w:szCs w:val="20"/>
        </w:rPr>
        <w:t xml:space="preserve"> disorders such as swelling of the muscles, irritation inside the blood vessels, persistent joint pain and immune disorders. This is generally prescribed in cardiovascular disease, dysfunction of the kidneys and skin irritations, and also to minimize swelling of the brain and spinal </w:t>
      </w:r>
      <w:proofErr w:type="spellStart"/>
      <w:r w:rsidRPr="009F44A4">
        <w:rPr>
          <w:rFonts w:ascii="Times New Roman" w:eastAsia="Calibri" w:hAnsi="Times New Roman" w:cs="Times New Roman"/>
          <w:color w:val="000000" w:themeColor="text1"/>
          <w:sz w:val="20"/>
          <w:szCs w:val="20"/>
        </w:rPr>
        <w:t>tumour</w:t>
      </w:r>
      <w:proofErr w:type="spellEnd"/>
      <w:r w:rsidRPr="009F44A4">
        <w:rPr>
          <w:rFonts w:ascii="Times New Roman" w:eastAsia="Calibri" w:hAnsi="Times New Roman" w:cs="Times New Roman"/>
          <w:color w:val="000000" w:themeColor="text1"/>
          <w:sz w:val="20"/>
          <w:szCs w:val="20"/>
        </w:rPr>
        <w:t>. Corticosteroid treatment was used earlier during the SARS epidemic in 2003 to help alleviate inflammatory lung injury</w:t>
      </w:r>
      <w:r w:rsidR="00D84B31" w:rsidRPr="009F44A4">
        <w:rPr>
          <w:rFonts w:ascii="Times New Roman" w:eastAsia="Calibri" w:hAnsi="Times New Roman" w:cs="Times New Roman"/>
          <w:color w:val="000000" w:themeColor="text1"/>
          <w:sz w:val="20"/>
          <w:szCs w:val="20"/>
        </w:rPr>
        <w:t xml:space="preserve"> </w:t>
      </w:r>
      <w:r w:rsidR="00D84B31"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{"citationID":"ONE9rir1","properties":{"formattedCitation":"\\super 91\\nosupersub{}","plainCitation":"91","noteIndex":0},"citationItems":[{"id":705,"uris":["http://zotero.org/users/local/ZR048J0w/items/SNPWEBF9"],"uri":["http://zotero.org/users/local/ZR048J0w/items/SNPWEBF9"],"itemData":{"id":705,"type":"article-journal","container-title":"Lancet (London, England)","DOI":"10.1016/S0140-6736(20)30749-2","ISSN":"0140-6736","issue":"10239","journalAbbreviation":"Lancet","note":"PMID: 32464115\nPMCID: PMC7247780","page":"1759-1760","source":"PubMed Central","title":"Caution against corticosteroid-based COVID-19 treatment","volume":"395","author":[{"family":"Tang","given":"Chong"},{"family":"Wang","given":"Yichuan"},{"family":"Lv","given":"Houshan"},{"family":"Guan","given":"Zhenpeng"},{"family":"Gu","given":"Jin"}],"issued":{"date-parts":[["2020"]]}}}],"schema":"https://github.com/citation-style-language/schema/raw/master/csl-citation.json"} </w:instrText>
      </w:r>
      <w:r w:rsidR="00D84B31"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91</w:t>
      </w:r>
      <w:r w:rsidR="00D84B31" w:rsidRPr="009F44A4">
        <w:rPr>
          <w:rFonts w:ascii="Times New Roman" w:eastAsia="Calibri" w:hAnsi="Times New Roman" w:cs="Times New Roman"/>
          <w:color w:val="000000" w:themeColor="text1"/>
          <w:sz w:val="20"/>
          <w:szCs w:val="20"/>
        </w:rPr>
        <w:fldChar w:fldCharType="end"/>
      </w:r>
      <w:r w:rsidR="00D84B31"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As a result, several countries are studying the effectiveness of corticosteroid treatment in COVID-19 acute respiratory infection patients. The WHO has listed it as a priority for the review of its clinical trials with a view to determining safety and effectiveness.</w:t>
      </w:r>
    </w:p>
    <w:p w14:paraId="2210859C" w14:textId="1BE1BB7D"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The WHO has advised for the management of viral pneumonia "under the regimen of systemic corticosteroid" in interim recommendation on COVID-19 therapy published on 27 May, 2020</w:t>
      </w:r>
      <w:r w:rsidR="004E36E0" w:rsidRPr="009F44A4">
        <w:rPr>
          <w:rFonts w:ascii="Times New Roman" w:eastAsia="Calibri" w:hAnsi="Times New Roman" w:cs="Times New Roman"/>
          <w:color w:val="000000" w:themeColor="text1"/>
          <w:sz w:val="20"/>
          <w:szCs w:val="20"/>
        </w:rPr>
        <w:t xml:space="preserve"> </w:t>
      </w:r>
      <w:r w:rsidR="004E36E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{"citationID":"PBqe5NHV","properties":{"formattedCitation":"\\super 92\\nosupersub{}","plainCitation":"92","noteIndex":0},"citationItems":[{"id":708,"uris":["http://zotero.org/users/local/ZR048J0w/items/BFEV8K87"],"uri":["http://zotero.org/users/local/ZR048J0w/items/BFEV8K87"],"itemData":{"id":708,"type":"webpage","abstract":"interim guidance","language":"en","title":"Clinical management of COVID-19","URL":"https://www.who.int/publications-detail-redirect/clinical-management-of-covid-19","accessed":{"date-parts":[["2020",12,20]]}}}],"schema":"https://github.com/citation-style-language/schema/raw/master/csl-citation.json"} </w:instrText>
      </w:r>
      <w:r w:rsidR="004E36E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92</w:t>
      </w:r>
      <w:r w:rsidR="004E36E0" w:rsidRPr="009F44A4">
        <w:rPr>
          <w:rFonts w:ascii="Times New Roman" w:eastAsia="Calibri" w:hAnsi="Times New Roman" w:cs="Times New Roman"/>
          <w:color w:val="000000" w:themeColor="text1"/>
          <w:sz w:val="20"/>
          <w:szCs w:val="20"/>
        </w:rPr>
        <w:fldChar w:fldCharType="end"/>
      </w:r>
      <w:r w:rsidR="004E36E0"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However, a recent systematic examination and analysis of the effects of dexamethasone treatment on people infected with coronavirus found that dexamethasone did not lower the mortality rate, did not decrease the time of hospitalization, did not decrease the ICU admission rate and/or oxygen treatment, and had many harmful consequences</w:t>
      </w:r>
      <w:r w:rsidR="00450200" w:rsidRPr="009F44A4">
        <w:rPr>
          <w:rFonts w:ascii="Times New Roman" w:eastAsia="Calibri" w:hAnsi="Times New Roman" w:cs="Times New Roman"/>
          <w:color w:val="000000" w:themeColor="text1"/>
          <w:sz w:val="20"/>
          <w:szCs w:val="20"/>
        </w:rPr>
        <w:t xml:space="preserve"> </w:t>
      </w:r>
      <w:r w:rsidR="0045020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{"citationID":"GPZ4ZpaV","properties":{"formattedCitation":"\\super 93\\nosupersub{}","plainCitation":"93","noteIndex":0},"citationItems":[{"id":710,"uris":["http://zotero.org/users/local/ZR048J0w/items/L6GEAUIB"],"uri":["http://zotero.org/users/local/ZR048J0w/items/L6GEAUIB"],"itemData":{"id":710,"type":"article-journal","abstract":"BACKGROUND: Very little direct evidence exists on use of corticosteroids in patients with coronavirus disease 2019 (COVID-19). Indirect evidence from related conditions must therefore inform inferences regarding benefits and harms. To support a guideline for managing COVID-19, we conducted systematic reviews examining the impact of corticosteroids in COVID-19 and related severe acute respiratory illnesses.\nMETHODS: We searched standard international and Chinese biomedical literature databases and prepublication sources for randomized controlled trials (RCTs) and observational studies comparing corticosteroids versus no corticosteroids in patients with COVID-19, severe acute respiratory syndrome (SARS) or Middle East respiratory syndrome (MERS). For acute respiratory distress syndrome (ARDS), influenza and community-acquired pneumonia (CAP), we updated the most recent rigorous systematic review. We conducted random-effects meta-analyses to pool relative risks and then used baseline risk in patients with COVID-19 to generate absolute effects.\nRESULTS: In ARDS, according to 1 small cohort study in patients with COVID-19 and 7 RCTs in non-COVID-19 populations (risk ratio [RR] 0.72, 95% confidence interval [CI] 0.55 to 0.93, mean difference 17.3% fewer; low-quality evidence), corticosteroids may reduce mortality. In patients with severe COVID-19 but without ARDS, direct evidence from 2 observational studies provided very low-quality evidence of an increase in mortality with corticosteroids (hazard ratio [HR] 2.30, 95% CI 1.00 to 5.29, mean difference 11.9% more), as did observational data from influenza studies. Observational data from SARS and MERS studies provided very low-quality evidence of a small or no reduction in mortality. Randomized controlled trials in CAP suggest that corticosteroids may reduce mortality (RR 0.70, 95% CI 0.50 to 0.98, 3.1% lower; very low-quality evidence), and may increase hyperglycemia.\nINTERPRETATION: Corticosteroids may reduce mortality for patients with COVID-19 and ARDS. For patients with severe COVID-19 but without ARDS, evidence regarding benefit from different bodies of evidence is inconsistent and of very low quality.","container-title":"CMAJ: Canadian Medical Association journal = journal de l'Association medicale canadienne","DOI":"10.1503/cmaj.200645","ISSN":"1488-2329","issue":"27","journalAbbreviation":"CMAJ","language":"eng","note":"PMID: 32409522","page":"E756-E767","source":"PubMed","title":"Efficacy and safety of corticosteroids in COVID-19 based on evidence for COVID-19, other coronavirus infections, influenza, community-acquired pneumonia and acute respiratory distress syndrome: a systematic review and meta-analysis","title-short":"Efficacy and safety of corticosteroids in COVID-19 based on evidence for COVID-19, other coronavirus infections, influenza, community-acquired pneumonia and acute respiratory distress syndrome","volume":"192","author":[{"family":"Ye","given":"Zhikang"},{"family":"Wang","given":"Ying"},{"family":"Colunga-Lozano","given":"Luis Enrique"},{"family":"Prasad","given":"Manya"},{"family":"Tangamornsuksan","given":"Wimonchat"},{"family":"Rochwerg","given":"Bram"},{"family":"Yao","given":"Liang"},{"family":"Motaghi","given":"Shahrzad"},{"family":"Couban","given":"Rachel J."},{"family":"Ghadimi","given":"Maryam"},{"family":"Bala","given":"Malgorzata M."},{"family":"Gomaa","given":"Huda"},{"family":"Fang","given":"Fang"},{"family":"Xiao","given":"Yingqi"},{"family":"Guyatt","given":"Gordon H."}],"issued":{"date-parts":[["2020",7,6]]}}}],"schema":"https://github.com/citation-style-language/schema/raw/master/csl-citation.json"} </w:instrText>
      </w:r>
      <w:r w:rsidR="0045020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93</w:t>
      </w:r>
      <w:r w:rsidR="00450200" w:rsidRPr="009F44A4">
        <w:rPr>
          <w:rFonts w:ascii="Times New Roman" w:eastAsia="Calibri" w:hAnsi="Times New Roman" w:cs="Times New Roman"/>
          <w:color w:val="000000" w:themeColor="text1"/>
          <w:sz w:val="20"/>
          <w:szCs w:val="20"/>
        </w:rPr>
        <w:fldChar w:fldCharType="end"/>
      </w:r>
      <w:r w:rsidR="00450200"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In comparison, a recent study conducted by Oxford researchers, in which 2104 admitted patients received dexamethasone 6 mg for 10 days, revealed that the drug significantly reduced deaths in patients on respirator by one-third and patients on oxygen therapy by one-fifth. The drug was shown to reduce the mortality rate by 17 percent after 28 days, with an "extremely important" pattern indicating "greatest gain" in patients in need of ventilation</w:t>
      </w:r>
      <w:r w:rsidR="000A5AB9" w:rsidRPr="009F44A4">
        <w:rPr>
          <w:rFonts w:ascii="Times New Roman" w:eastAsia="Calibri" w:hAnsi="Times New Roman" w:cs="Times New Roman"/>
          <w:color w:val="000000" w:themeColor="text1"/>
          <w:sz w:val="20"/>
          <w:szCs w:val="20"/>
        </w:rPr>
        <w:t xml:space="preserve"> </w:t>
      </w:r>
      <w:r w:rsidR="000A5AB9"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{"citationID":"iV17XfoF","properties":{"formattedCitation":"\\super 94\\nosupersub{}","plainCitation":"94","noteIndex":0},"citationItems":[{"id":713,"uris":["http://zotero.org/users/local/ZR048J0w/items/E8IW4ZPA"],"uri":["http://zotero.org/users/local/ZR048J0w/items/E8IW4ZPA"],"itemData":{"id":713,"type":"article-journal","abstract":"&lt;p&gt;Background: Coronavirus disease 2019 (COVID-19) is associated with diffuse lung damage. Corticosteroids may modulate immune-mediated lung injury and reducing progression to respiratory failure and death. Methods: The Randomised Evaluation of COVID-19 therapy (RECOVERY) trial is a randomized, controlled, open-label, adaptive, platform trial comparing a range of possible treatments with usual care in patients hospitalized with COVID-19. We report the preliminary results for the comparison of dexamethasone 6 mg given once daily for up to ten days vs. usual care alone. The primary outcome was 28-day mortality. Results: 2104 patients randomly allocated to receive dexamethasone were compared with 4321 patients concurrently allocated to usual care. Overall, 454 (21.6%) patients allocated dexamethasone and 1065 (24.6%) patients allocated usual care died within 28 days (age-adjusted rate ratio [RR] 0.83; 95% confidence interval [CI] 0.74 to 0.92; P&amp;lt;0.001). The proportional and absolute mortality rate reductions varied significantly depending on level of respiratory support at randomization (test for trend p&amp;lt;0.001): Dexamethasone reduced deaths by one-third in patients receiving invasive mechanical ventilation (29.0% vs. 40.7%, RR 0.65 [95% CI 0.51 to 0.82]; p&amp;lt;0.001), by one-fifth in patients receiving oxygen without invasive mechanical ventilation (21.5% vs. 25.0%, RR 0.80 [95% CI 0.70 to 0.92]; p=0.002), but did not reduce mortality in patients not receiving respiratory support at randomization (17.0% vs. 13.2%, RR 1.22 [95% CI 0.93 to 1.61]; p=0.14). Conclusions: In patients hospitalized with COVID-19, dexamethasone reduced 28-day mortality among those receiving invasive mechanical ventilation or oxygen at randomization, but not among patients not receiving respiratory support.&lt;/p&gt;","container-title":"medRxiv","DOI":"10.1101/2020.06.22.20137273","ISSN":"2013-7273","language":"en","note":"publisher: Cold Spring Harbor Laboratory Press","page":"2020.06.22.20137273","source":"www.medrxiv.org","title":"Effect of Dexamethasone in Hospitalized Patients with COVID-19: Preliminary Report","title-short":"Effect of Dexamethasone in Hospitalized Patients with COVID-19","author":[{"family":"Horby","given":"Peter"},{"family":"Lim","given":"Wei Shen"},{"family":"Emberson","given":"Jonathan"},{"family":"Mafham","given":"Marion"},{"family":"Bell","given":"Jennifer"},{"family":"Linsell","given":"Louise"},{"family":"Staplin","given":"Natalie"},{"family":"Brightling","given":"Christopher"},{"family":"Ustianowski","given":"Andrew"},{"family":"Elmahi","given":"Einas"},{"family":"Prudon","given":"Benjamin"},{"family":"Green","given":"Christopher"},{"family":"Felton","given":"Timothy"},{"family":"Chadwick","given":"David"},{"family":"Rege","given":"Kanchan"},{"family":"Fegan","given":"Christopher"},{"family":"Chappell","given":"Lucy C."},{"family":"Faust","given":"Saul N."},{"family":"Jaki","given":"Thomas"},{"family":"Jeffery","given":"Katie"},{"family":"Montgomery","given":"Alan"},{"family":"Rowan","given":"Kathryn"},{"family":"Juszczak","given":"Edmund"},{"family":"Baillie","given":"J. Kenneth"},{"family":"Haynes","given":"Richard"},{"family":"Landray","given":"Martin J."},{"family":"Group","given":"RECOVERY Collaborative"}],"issued":{"date-parts":[["2020",6,22]]}}}],"schema":"https://github.com/citation-style-language/schema/raw/master/csl-citation.json"} </w:instrText>
      </w:r>
      <w:r w:rsidR="000A5AB9"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94</w:t>
      </w:r>
      <w:r w:rsidR="000A5AB9" w:rsidRPr="009F44A4">
        <w:rPr>
          <w:rFonts w:ascii="Times New Roman" w:eastAsia="Calibri" w:hAnsi="Times New Roman" w:cs="Times New Roman"/>
          <w:color w:val="000000" w:themeColor="text1"/>
          <w:sz w:val="20"/>
          <w:szCs w:val="20"/>
        </w:rPr>
        <w:fldChar w:fldCharType="end"/>
      </w:r>
      <w:r w:rsidR="000A5AB9"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However, the experiment did not research on patients beyond the clinical setting.</w:t>
      </w:r>
    </w:p>
    <w:p w14:paraId="6EE27E2C" w14:textId="310D7A58" w:rsidR="008D16FE" w:rsidRPr="009F44A4" w:rsidRDefault="00AF2AA4" w:rsidP="00DC7281">
      <w:pPr>
        <w:pStyle w:val="Heading4"/>
        <w:keepNext w:val="0"/>
        <w:keepLines w:val="0"/>
        <w:shd w:val="clear" w:color="auto" w:fill="FFFFFF" w:themeFill="background1"/>
        <w:spacing w:before="0"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10.</w:t>
      </w:r>
      <w:r w:rsidR="00C02138" w:rsidRPr="009F44A4">
        <w:rPr>
          <w:rFonts w:ascii="Times New Roman" w:eastAsia="Calibri" w:hAnsi="Times New Roman" w:cs="Times New Roman"/>
          <w:b/>
          <w:color w:val="000000" w:themeColor="text1"/>
          <w:sz w:val="20"/>
          <w:szCs w:val="20"/>
        </w:rPr>
        <w:t>3. Corticosteroids</w:t>
      </w:r>
    </w:p>
    <w:p w14:paraId="020F4949" w14:textId="5DC5B30A" w:rsidR="008D16FE" w:rsidRPr="009F44A4" w:rsidRDefault="00C02138" w:rsidP="00DC7281">
      <w:pPr>
        <w:shd w:val="clear" w:color="auto" w:fill="FFFFFF" w:themeFill="background1"/>
        <w:spacing w:after="420"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In parallel, scientists are investigating molecules to counteract the possible 'cytokine wind' in some patients which results in lung damage which causes respiratory issues. Although </w:t>
      </w:r>
      <w:proofErr w:type="spellStart"/>
      <w:r w:rsidRPr="009F44A4">
        <w:rPr>
          <w:rFonts w:ascii="Times New Roman" w:eastAsia="Calibri" w:hAnsi="Times New Roman" w:cs="Times New Roman"/>
          <w:color w:val="000000" w:themeColor="text1"/>
          <w:sz w:val="20"/>
          <w:szCs w:val="20"/>
        </w:rPr>
        <w:t>immunomodulators</w:t>
      </w:r>
      <w:proofErr w:type="spellEnd"/>
      <w:r w:rsidRPr="009F44A4">
        <w:rPr>
          <w:rFonts w:ascii="Times New Roman" w:eastAsia="Calibri" w:hAnsi="Times New Roman" w:cs="Times New Roman"/>
          <w:color w:val="000000" w:themeColor="text1"/>
          <w:sz w:val="20"/>
          <w:szCs w:val="20"/>
        </w:rPr>
        <w:t xml:space="preserve"> are thought to be a promising candidate for this purpose, it may have adverse downstream effects, such as raising the likelihood of certain kinds of infections. Corticosteroids are the principal of these </w:t>
      </w:r>
      <w:proofErr w:type="spellStart"/>
      <w:r w:rsidRPr="009F44A4">
        <w:rPr>
          <w:rFonts w:ascii="Times New Roman" w:eastAsia="Calibri" w:hAnsi="Times New Roman" w:cs="Times New Roman"/>
          <w:color w:val="000000" w:themeColor="text1"/>
          <w:sz w:val="20"/>
          <w:szCs w:val="20"/>
        </w:rPr>
        <w:t>immunomodulatory</w:t>
      </w:r>
      <w:proofErr w:type="spellEnd"/>
      <w:r w:rsidRPr="009F44A4">
        <w:rPr>
          <w:rFonts w:ascii="Times New Roman" w:eastAsia="Calibri" w:hAnsi="Times New Roman" w:cs="Times New Roman"/>
          <w:color w:val="000000" w:themeColor="text1"/>
          <w:sz w:val="20"/>
          <w:szCs w:val="20"/>
        </w:rPr>
        <w:t xml:space="preserve"> drugs being studied for COVID-19 treatment. </w:t>
      </w:r>
      <w:r w:rsidRPr="009F44A4">
        <w:rPr>
          <w:rFonts w:ascii="Times New Roman" w:eastAsia="Calibri" w:hAnsi="Times New Roman" w:cs="Times New Roman"/>
          <w:color w:val="000000" w:themeColor="text1"/>
          <w:sz w:val="20"/>
          <w:szCs w:val="20"/>
        </w:rPr>
        <w:lastRenderedPageBreak/>
        <w:t>These drugs are well studied but are also known to be one of the most-blunt tools for immune system mutation. In addition, cardiovascular disease and the loss of bone density are associated with its long-term use. A previous meta-analysis showed that use of corticosteroids in people with flu pneumonia was correlated with high death rate</w:t>
      </w:r>
      <w:r w:rsidR="00D46916" w:rsidRPr="009F44A4">
        <w:rPr>
          <w:rFonts w:ascii="Times New Roman" w:eastAsia="Calibri" w:hAnsi="Times New Roman" w:cs="Times New Roman"/>
          <w:color w:val="000000" w:themeColor="text1"/>
          <w:sz w:val="20"/>
          <w:szCs w:val="20"/>
        </w:rPr>
        <w:t xml:space="preserve"> </w:t>
      </w:r>
      <w:r w:rsidR="00D4691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{"citationID":"uLj8ByCO","properties":{"formattedCitation":"\\super 95\\nosupersub{}","plainCitation":"95","noteIndex":0},"citationItems":[{"id":715,"uris":["http://zotero.org/users/local/ZR048J0w/items/YAURW7L8"],"uri":["http://zotero.org/users/local/ZR048J0w/items/YAURW7L8"],"itemData":{"id":715,"type":"article-journal","abstract":"BACKGROUND: The effect of corticosteroids on clinical outcomes in patients with influenza pneumonia remains controversial. We aimed to further evaluate the influence of corticosteroids on mortality in adult patients with influenza pneumonia by comparing corticosteroid-treated and placebo-treated patients.\nMETHODS: The PubMed, Embase, Medline, Cochrane Central Register of Controlled Trials (CENTRAL), and Information Sciences Institute (ISI) Web of Science databases were searched for all controlled studies that compared the effects of corticosteroids and placebo in adult patients with influenza pneumonia. The primary outcome was mortality, and the secondary outcomes were mechanical ventilation (MV) days, length of stay in the intensive care unit (ICU LOS), and the rate of secondary infection.\nRESULTS: Ten trials involving 6548 patients were pooled in our final analysis. Significant heterogeneity was found in all outcome measures except for ICU LOS (I2 = 38%, P = 0.21). Compared with placebo, corticosteroids were associated with higher mortality (risk ratio [RR] 1.75, 95% confidence interval [CI] 1.30 ~ 2.36, Z = 3.71, P = 0.0002), longer ICU LOS (mean difference [MD] 2.14, 95% CI 1.17 ~ 3.10, Z = 4.35, P &lt; 0.0001), and a higher rate of secondary infection (RR 1.98, 95% CI 1.04 ~ 3.78, Z = 2.08, P = 0.04) but not MV days (MD 0.81, 95% CI - 1.23 ~ 2.84, Z = 0.78, P = 0.44) in patients with influenza pneumonia.\nCONCLUSIONS: In patients with influenza pneumonia, corticosteroid use is associated with higher mortality.\nTRIAL REGISTRATION: PROSPERO (ID: CRD42018112384 ).","container-title":"Critical Care (London, England)","DOI":"10.1186/s13054-019-2395-8","ISSN":"1466-609X","issue":"1","journalAbbreviation":"Crit Care","language":"eng","note":"PMID: 30917856\nPMCID: PMC6437920","page":"99","source":"PubMed","title":"The effect of corticosteroids on mortality of patients with influenza pneumonia: a systematic review and meta-analysis","title-short":"The effect of corticosteroids on mortality of patients with influenza pneumonia","volume":"23","author":[{"family":"Ni","given":"Yue-Nan"},{"family":"Chen","given":"Guo"},{"family":"Sun","given":"Jiankui"},{"family":"Liang","given":"Bin-Miao"},{"family":"Liang","given":"Zong-An"}],"issued":{"date-parts":[["2019",3,27]]}}}],"schema":"https://github.com/citation-style-language/schema/raw/master/csl-citation.json"} </w:instrText>
      </w:r>
      <w:r w:rsidR="00D4691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95</w:t>
      </w:r>
      <w:r w:rsidR="00D46916" w:rsidRPr="009F44A4">
        <w:rPr>
          <w:rFonts w:ascii="Times New Roman" w:eastAsia="Calibri" w:hAnsi="Times New Roman" w:cs="Times New Roman"/>
          <w:color w:val="000000" w:themeColor="text1"/>
          <w:sz w:val="20"/>
          <w:szCs w:val="20"/>
        </w:rPr>
        <w:fldChar w:fldCharType="end"/>
      </w:r>
      <w:r w:rsidR="00D46916"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Another retrospective study in China found that its use was associated with reduced death among those who developed ARDS. Various clinical studies of these drugs such as methylprednisolone and glucocorticoids are still underway</w:t>
      </w:r>
      <w:r w:rsidR="00337602" w:rsidRPr="009F44A4">
        <w:rPr>
          <w:rFonts w:ascii="Times New Roman" w:eastAsia="Calibri" w:hAnsi="Times New Roman" w:cs="Times New Roman"/>
          <w:color w:val="000000" w:themeColor="text1"/>
          <w:sz w:val="20"/>
          <w:szCs w:val="20"/>
        </w:rPr>
        <w:t xml:space="preserve"> </w:t>
      </w:r>
      <w:r w:rsidR="00337602"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{"citationID":"8iMSgkI5","properties":{"formattedCitation":"\\super 96,97\\nosupersub{}","plainCitation":"96,97","noteIndex":0},"citationItems":[{"id":718,"uris":["http://zotero.org/users/local/ZR048J0w/items/7YPEKK5P"],"uri":["http://zotero.org/users/local/ZR048J0w/items/7YPEKK5P"],"itemData":{"id":718,"type":"report","abstract":"There is still controversy about the effective of glucocorticoids for the treatment of novel coronavirus pneumonia. This is a prospective randomized controlled trails. The aim is to explore the effectiveness and safety of glucocorticoids in the treatment of novel coronavirus pneumonia.","genre":"Clinical trial registration","note":"submitted: February 15, 2020","number":"NCT04273321","publisher":"clinicaltrials.gov","source":"clinicaltrials.gov","title":"Efficacy and Safety of Corticosteroids in COVID-19: A Prospective Randomized Controlled Trails","title-short":"Efficacy and Safety of Corticosteroids in COVID-19","URL":"https://clinicaltrials.gov/ct2/show/NCT04273321","author":[{"family":"Huanzhong","given":"Shi"}],"accessed":{"date-parts":[["2020",12,19]]},"issued":{"date-parts":[["2020",5,8]]}}},{"id":719,"uris":["http://zotero.org/users/local/ZR048J0w/items/6LURJAQP"],"uri":["http://zotero.org/users/local/ZR048J0w/items/6LURJAQP"],"itemData":{"id":719,"type":"article-journal","container-title":"Signal Transduction and Targeted Therapy","DOI":"10.1038/s41392-020-0158-2","ISSN":"2059-3635","issue":"1","journalAbbreviation":"Signal Transduct Target Ther","language":"eng","note":"PMID: 32341331\nPMCID: PMC7186116","page":"57","source":"PubMed","title":"A retrospective cohort study of methylprednisolone therapy in severe patients with COVID-19 pneumonia","volume":"5","author":[{"family":"Wang","given":"Yin"},{"family":"Jiang","given":"Weiwei"},{"family":"He","given":"Qi"},{"family":"Wang","given":"Cheng"},{"family":"Wang","given":"Baoju"},{"family":"Zhou","given":"Pan"},{"family":"Dong","given":"Nianguo"},{"family":"Tong","given":"Qiaoxia"}],"issued":{"date-parts":[["2020",4,28]]}}}],"schema":"https://github.com/citation-style-language/schema/raw/master/csl-citation.json"} </w:instrText>
      </w:r>
      <w:r w:rsidR="00337602"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96,97</w:t>
      </w:r>
      <w:r w:rsidR="00337602" w:rsidRPr="009F44A4">
        <w:rPr>
          <w:rFonts w:ascii="Times New Roman" w:eastAsia="Calibri" w:hAnsi="Times New Roman" w:cs="Times New Roman"/>
          <w:color w:val="000000" w:themeColor="text1"/>
          <w:sz w:val="20"/>
          <w:szCs w:val="20"/>
        </w:rPr>
        <w:fldChar w:fldCharType="end"/>
      </w:r>
      <w:r w:rsidR="00337602"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It is also advised by the experts that</w:t>
      </w:r>
      <w:r w:rsidRPr="009F44A4">
        <w:rPr>
          <w:rFonts w:ascii="Times New Roman" w:eastAsia="Calibri" w:hAnsi="Times New Roman" w:cs="Times New Roman"/>
          <w:b/>
          <w:color w:val="000000" w:themeColor="text1"/>
          <w:sz w:val="20"/>
          <w:szCs w:val="20"/>
        </w:rPr>
        <w:t xml:space="preserve"> </w:t>
      </w:r>
      <w:r w:rsidRPr="009F44A4">
        <w:rPr>
          <w:rFonts w:ascii="Times New Roman" w:eastAsia="Calibri" w:hAnsi="Times New Roman" w:cs="Times New Roman"/>
          <w:color w:val="000000" w:themeColor="text1"/>
          <w:sz w:val="20"/>
          <w:szCs w:val="20"/>
        </w:rPr>
        <w:t>a higher dosage of glucocorticoid could prolong coronavirus elimination due to immunosuppressive results. On 25 May, 2020, the Lancet released a paper stating that, "incorrect use of systemic corticosteroids can raise the risk of femoral head osteonecrosis (ONFH)”</w:t>
      </w:r>
      <w:r w:rsidR="00391F80" w:rsidRPr="009F44A4">
        <w:rPr>
          <w:rFonts w:ascii="Times New Roman" w:eastAsia="Calibri" w:hAnsi="Times New Roman" w:cs="Times New Roman"/>
          <w:color w:val="000000" w:themeColor="text1"/>
          <w:sz w:val="20"/>
          <w:szCs w:val="20"/>
        </w:rPr>
        <w:t xml:space="preserve"> </w:t>
      </w:r>
      <w:r w:rsidR="00391F8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{"citationID":"KvOqPldg","properties":{"formattedCitation":"\\super 91,98\\nosupersub{}","plainCitation":"91,98","noteIndex":0},"citationItems":[{"id":705,"uris":["http://zotero.org/users/local/ZR048J0w/items/SNPWEBF9"],"uri":["http://zotero.org/users/local/ZR048J0w/items/SNPWEBF9"],"itemData":{"id":705,"type":"article-journal","container-title":"Lancet (London, England)","DOI":"10.1016/S0140-6736(20)30749-2","ISSN":"0140-6736","issue":"10239","journalAbbreviation":"Lancet","note":"PMID: 32464115\nPMCID: PMC7247780","page":"1759-1760","source":"PubMed Central","title":"Caution against corticosteroid-based COVID-19 treatment","volume":"395","author":[{"family":"Tang","given":"Chong"},{"family":"Wang","given":"Yichuan"},{"family":"Lv","given":"Houshan"},{"family":"Guan","given":"Zhenpeng"},{"family":"Gu","given":"Jin"}],"issued":{"date-parts":[["2020"]]}}},{"id":722,"uris":["http://zotero.org/users/local/ZR048J0w/items/GVIDLAQX"],"uri":["http://zotero.org/users/local/ZR048J0w/items/GVIDLAQX"],"itemData":{"id":722,"type":"article-journal","abstract":"Objective:\nThis review aimed to provide a current recommendation to multidisciplinary physicians for early detection, diagnosis, and treatment of corticosteroid-induced osteonecrosis of the femoral head (ONFH) based on a comprehensive analysis of the clinical literature.\n\nData Sources:\nFor the purpose of collecting potentially eligible articles, we searched for articles in the PubMed, Cochrane Library, Embase, and CNKI databases up to February 2017, using the following key words: “corticosteroid”, “osteonecrosis of the femoral head”, “risk factors”, “diagnosis”, “prognosis”, and “treatment”.\n\nStudy Selection:\nArticles on relationships between corticosteroid and ONFH were selected for this review. Articles on the diagnosis, prognosis, and intervention of earlier-stage ONFH were also reviewed.\n\nResults:\nThe incidence of corticosteroid-induced ONFH was associated with high doses of corticosteroids, and underlying diseases in certain predisposed individuals mainly occurred in the first 3 months of corticosteroid prescription. The enhanced awareness and minimized exposure to the established risk factors and earlier definitive diagnosis are essential for the success of joint preservation. When following up patients with ONFH, treatment should be started if necessary. Surgical treatment yielded better results than conservative therapy in earlier-stage ONFH. The ideal purpose of earlier intervention and treatment is permanent preservation of the femoral head without physical restrictions in daily living.\n\nConclusions:\nClinicians should enhance their precaution awareness of corticosteroid-induced ONFH. For high-risk patients, regular follow-up is very important in the 1st year after high-dose prescription of corticosteroids. Patients with suspected ONFH should be referred to orthopedists for diagnosis and treatment in its earlier stage to preserve the joint.","container-title":"Chinese Medical Journal","DOI":"10.4103/0366-6999.217094","ISSN":"0366-6999","issue":"21","journalAbbreviation":"Chin Med J (Engl)","note":"PMID: 29067959\nPMCID: PMC5678261","page":"2601-2607","source":"PubMed Central","title":"Corticosteroid-induced Osteonecrosis of the Femoral Head: Detection, Diagnosis, and Treatment in Earlier Stages","title-short":"Corticosteroid-induced Osteonecrosis of the Femoral Head","volume":"130","author":[{"family":"Liu","given":"Li-Hua"},{"family":"Zhang","given":"Qing-Yu"},{"family":"Sun","given":"Wei"},{"family":"Li","given":"Zi-Rong"},{"family":"Gao","given":"Fu-Qiang"}],"issued":{"date-parts":[["2017",11,5]]}}}],"schema":"https://github.com/citation-style-language/schema/raw/master/csl-citation.json"} </w:instrText>
      </w:r>
      <w:r w:rsidR="00391F8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91,98</w:t>
      </w:r>
      <w:r w:rsidR="00391F80" w:rsidRPr="009F44A4">
        <w:rPr>
          <w:rFonts w:ascii="Times New Roman" w:eastAsia="Calibri" w:hAnsi="Times New Roman" w:cs="Times New Roman"/>
          <w:color w:val="000000" w:themeColor="text1"/>
          <w:sz w:val="20"/>
          <w:szCs w:val="20"/>
        </w:rPr>
        <w:fldChar w:fldCharType="end"/>
      </w:r>
      <w:r w:rsidR="00391F80"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Osteonecrosis leads to bone tissue mortality owing to a loss of flow of oxygen. Even, the WHO suggests that regular corticosteroids must be avoided "given the lack of effectiveness and potential damage" unless they are suggested for some cause. While advising patients for its medications, it is strongly advised to consider any other health related factors, like upper respiratory infection or chronic obstructive pulmonary disease (COPD), organ failure, and specific patient peril / satisfaction assessments</w:t>
      </w:r>
      <w:r w:rsidR="004830C5" w:rsidRPr="009F44A4">
        <w:rPr>
          <w:rFonts w:ascii="Times New Roman" w:eastAsia="Calibri" w:hAnsi="Times New Roman" w:cs="Times New Roman"/>
          <w:color w:val="000000" w:themeColor="text1"/>
          <w:sz w:val="20"/>
          <w:szCs w:val="20"/>
        </w:rPr>
        <w:t xml:space="preserve"> </w:t>
      </w:r>
      <w:r w:rsidR="004830C5"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{"citationID":"1OhggGzW","properties":{"formattedCitation":"\\super 92\\nosupersub{}","plainCitation":"92","noteIndex":0},"citationItems":[{"id":708,"uris":["http://zotero.org/users/local/ZR048J0w/items/BFEV8K87"],"uri":["http://zotero.org/users/local/ZR048J0w/items/BFEV8K87"],"itemData":{"id":708,"type":"webpage","abstract":"interim guidance","language":"en","title":"Clinical management of COVID-19","URL":"https://www.who.int/publications-detail-redirect/clinical-management-of-covid-19","accessed":{"date-parts":[["2020",12,20]]}}}],"schema":"https://github.com/citation-style-language/schema/raw/master/csl-citation.json"} </w:instrText>
      </w:r>
      <w:r w:rsidR="004830C5"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92</w:t>
      </w:r>
      <w:r w:rsidR="004830C5" w:rsidRPr="009F44A4">
        <w:rPr>
          <w:rFonts w:ascii="Times New Roman" w:eastAsia="Calibri" w:hAnsi="Times New Roman" w:cs="Times New Roman"/>
          <w:color w:val="000000" w:themeColor="text1"/>
          <w:sz w:val="20"/>
          <w:szCs w:val="20"/>
        </w:rPr>
        <w:fldChar w:fldCharType="end"/>
      </w:r>
      <w:r w:rsidR="004830C5" w:rsidRPr="009F44A4">
        <w:rPr>
          <w:rFonts w:ascii="Times New Roman" w:eastAsia="Calibri" w:hAnsi="Times New Roman" w:cs="Times New Roman"/>
          <w:color w:val="000000" w:themeColor="text1"/>
          <w:sz w:val="20"/>
          <w:szCs w:val="20"/>
        </w:rPr>
        <w:t>.</w:t>
      </w:r>
    </w:p>
    <w:p w14:paraId="1F7B2D32" w14:textId="26B4920C" w:rsidR="00945D5B" w:rsidRPr="009F44A4" w:rsidRDefault="00AF2AA4"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10.</w:t>
      </w:r>
      <w:r w:rsidR="00C02138" w:rsidRPr="009F44A4">
        <w:rPr>
          <w:rFonts w:ascii="Times New Roman" w:eastAsia="Calibri" w:hAnsi="Times New Roman" w:cs="Times New Roman"/>
          <w:b/>
          <w:color w:val="000000" w:themeColor="text1"/>
          <w:sz w:val="20"/>
          <w:szCs w:val="20"/>
        </w:rPr>
        <w:t xml:space="preserve">4. </w:t>
      </w:r>
      <w:proofErr w:type="spellStart"/>
      <w:r w:rsidR="00C02138" w:rsidRPr="009F44A4">
        <w:rPr>
          <w:rFonts w:ascii="Times New Roman" w:eastAsia="Calibri" w:hAnsi="Times New Roman" w:cs="Times New Roman"/>
          <w:b/>
          <w:color w:val="000000" w:themeColor="text1"/>
          <w:sz w:val="20"/>
          <w:szCs w:val="20"/>
        </w:rPr>
        <w:t>Lopinavir</w:t>
      </w:r>
      <w:proofErr w:type="spellEnd"/>
      <w:r w:rsidR="00C02138" w:rsidRPr="009F44A4">
        <w:rPr>
          <w:rFonts w:ascii="Times New Roman" w:eastAsia="Calibri" w:hAnsi="Times New Roman" w:cs="Times New Roman"/>
          <w:b/>
          <w:color w:val="000000" w:themeColor="text1"/>
          <w:sz w:val="20"/>
          <w:szCs w:val="20"/>
        </w:rPr>
        <w:t xml:space="preserve"> and Ritonavir</w:t>
      </w:r>
    </w:p>
    <w:p w14:paraId="53818911" w14:textId="6497B666"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In vitro experiments have found that </w:t>
      </w:r>
      <w:proofErr w:type="spellStart"/>
      <w:r w:rsidRPr="009F44A4">
        <w:rPr>
          <w:rFonts w:ascii="Times New Roman" w:eastAsia="Calibri" w:hAnsi="Times New Roman" w:cs="Times New Roman"/>
          <w:color w:val="000000" w:themeColor="text1"/>
          <w:sz w:val="20"/>
          <w:szCs w:val="20"/>
        </w:rPr>
        <w:t>lopinavir</w:t>
      </w:r>
      <w:proofErr w:type="spellEnd"/>
      <w:r w:rsidRPr="009F44A4">
        <w:rPr>
          <w:rFonts w:ascii="Times New Roman" w:eastAsia="Calibri" w:hAnsi="Times New Roman" w:cs="Times New Roman"/>
          <w:color w:val="000000" w:themeColor="text1"/>
          <w:sz w:val="20"/>
          <w:szCs w:val="20"/>
        </w:rPr>
        <w:t xml:space="preserve"> and ritonavir suppress 3-chymotrypsin-like protease activity; that is why this drug is also known as human immunodeficiency virus protease inhibitor. This drug was reported to be effective against previously emerged coronaviruses; however, there is no evidence that it can work against COVID-19 as well. In China, a randomized study has been performed on 200 hospitalized patients but did not produce an effective outcome for the support of this drug combination in comparison to the standard care. According to the Journal of the American Medical Association, this drug shows some side effects such as increased nausea, diarrhea and risk of liver damage that are similar to the symptoms of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New England Journal of Medicine published a randomized controlled study, which reveals that the drug is not beneficial to treat COVID-19 patients and therefore not helpful in recovery of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 xml:space="preserve">-2 infected patients. Another trial on mild COVID-19 patients revealed that those who were treated with </w:t>
      </w:r>
      <w:proofErr w:type="spellStart"/>
      <w:r w:rsidRPr="009F44A4">
        <w:rPr>
          <w:rFonts w:ascii="Times New Roman" w:eastAsia="Calibri" w:hAnsi="Times New Roman" w:cs="Times New Roman"/>
          <w:color w:val="000000" w:themeColor="text1"/>
          <w:sz w:val="20"/>
          <w:szCs w:val="20"/>
        </w:rPr>
        <w:t>lopinavir</w:t>
      </w:r>
      <w:proofErr w:type="spellEnd"/>
      <w:r w:rsidRPr="009F44A4">
        <w:rPr>
          <w:rFonts w:ascii="Times New Roman" w:eastAsia="Calibri" w:hAnsi="Times New Roman" w:cs="Times New Roman"/>
          <w:color w:val="000000" w:themeColor="text1"/>
          <w:sz w:val="20"/>
          <w:szCs w:val="20"/>
        </w:rPr>
        <w:t xml:space="preserve">, ritonavir, IFN-B and ribavirin recovered fast, stayed for a short time in hospital and minimized symptoms noticeably, as compared to receiving </w:t>
      </w:r>
      <w:proofErr w:type="spellStart"/>
      <w:r w:rsidRPr="009F44A4">
        <w:rPr>
          <w:rFonts w:ascii="Times New Roman" w:eastAsia="Calibri" w:hAnsi="Times New Roman" w:cs="Times New Roman"/>
          <w:color w:val="000000" w:themeColor="text1"/>
          <w:sz w:val="20"/>
          <w:szCs w:val="20"/>
        </w:rPr>
        <w:t>lopinavir</w:t>
      </w:r>
      <w:proofErr w:type="spellEnd"/>
      <w:r w:rsidRPr="009F44A4">
        <w:rPr>
          <w:rFonts w:ascii="Times New Roman" w:eastAsia="Calibri" w:hAnsi="Times New Roman" w:cs="Times New Roman"/>
          <w:color w:val="000000" w:themeColor="text1"/>
          <w:sz w:val="20"/>
          <w:szCs w:val="20"/>
        </w:rPr>
        <w:t xml:space="preserve"> and ritonavir alone</w:t>
      </w:r>
      <w:r w:rsidR="0076325B" w:rsidRPr="009F44A4">
        <w:rPr>
          <w:rFonts w:ascii="Times New Roman" w:eastAsia="Calibri" w:hAnsi="Times New Roman" w:cs="Times New Roman"/>
          <w:color w:val="000000" w:themeColor="text1"/>
          <w:sz w:val="20"/>
          <w:szCs w:val="20"/>
        </w:rPr>
        <w:t xml:space="preserve"> </w:t>
      </w:r>
      <w:r w:rsidR="0076325B"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{"citationID":"ZeWIOPUl","properties":{"formattedCitation":"\\super 99\\nosupersub{}","plainCitation":"99","noteIndex":0},"citationItems":[{"id":725,"uris":["http://zotero.org/users/local/ZR048J0w/items/4HREUTQ3"],"uri":["http://zotero.org/users/local/ZR048J0w/items/4HREUTQ3"],"itemData":{"id":725,"type":"article-journal","container-title":"New England Journal of Medicine","DOI":"10.1056/NEJMoa2001282","ISSN":"0028-4793","issue":"19","note":"publisher: Massachusetts Medical Society\n_eprint: https://doi.org/10.1056/NEJMoa2001282\nPMID: 32187464","page":"1787-1799","source":"Taylor and Francis+NEJM","title":"A Trial of Lopinavir–Ritonavir in Adults Hospitalized with Severe Covid-19","volume":"382","author":[{"family":"Cao","given":"Bin"},{"family":"Wang","given":"Yeming"},{"family":"Wen","given":"Danning"},{"family":"Liu","given":"Wen"},{"family":"Wang","given":"Jingli"},{"family":"Fan","given":"Guohui"},{"family":"Ruan","given":"Lianguo"},{"family":"Song","given":"Bin"},{"family":"Cai","given":"Yanping"},{"family":"Wei","given":"Ming"},{"family":"Li","given":"Xingwang"},{"family":"Xia","given":"Jiaan"},{"family":"Chen","given":"Nanshan"},{"family":"Xiang","given":"Jie"},{"family":"Yu","given":"Ting"},{"family":"Bai","given":"Tao"},{"family":"Xie","given":"Xuelei"},{"family":"Zhang","given":"Li"},{"family":"Li","given":"Caihong"},{"family":"Yuan","given":"Ye"},{"family":"Chen","given":"Hua"},{"family":"Li","given":"Huadong"},{"family":"Huang","given":"Hanping"},{"family":"Tu","given":"Shengjing"},{"family":"Gong","given":"Fengyun"},{"family":"Liu","given":"Ying"},{"family":"Wei","given":"Yuan"},{"family":"Dong","given":"Chongya"},{"family":"Zhou","given":"Fei"},{"family":"Gu","given":"Xiaoying"},{"family":"Xu","given":"Jiuyang"},{"family":"Liu","given":"Zhibo"},{"family":"Zhang","given":"Yi"},{"family":"Li","given":"Hui"},{"family":"Shang","given":"Lianhan"},{"family":"Wang","given":"Ke"},{"family":"Li","given":"Kunxia"},{"family":"Zhou","given":"Xia"},{"family":"Dong","given":"Xuan"},{"family":"Qu","given":"Zhaohui"},{"family":"Lu","given":"Sixia"},{"family":"Hu","given":"Xujuan"},{"family":"Ruan","given":"Shunan"},{"family":"Luo","given":"Shanshan"},{"family":"Wu","given":"Jing"},{"family":"Peng","given":"Lu"},{"family":"Cheng","given":"Fang"},{"family":"Pan","given":"Lihong"},{"family":"Zou","given":"Jun"},{"family":"Jia","given":"Chunmin"},{"family":"Wang","given":"Juan"},{"family":"Liu","given":"Xia"},{"family":"Wang","given":"Shuzhen"},{"family":"Wu","given":"Xudong"},{"family":"Ge","given":"Qin"},{"family":"He","given":"Jing"},{"family":"Zhan","given":"Haiyan"},{"family":"Qiu","given":"Fang"},{"family":"Guo","given":"Li"},{"family":"Huang","given":"Chaolin"},{"family":"Jaki","given":"Thomas"},{"family":"Hayden","given":"Frederick G."},{"family":"Horby","given":"Peter W."},{"family":"Zhang","given":"Dingyu"},{"family":"Wang","given":"Chen"}],"issued":{"date-parts":[["2020",5,7]]}}}],"schema":"https://github.com/citation-style-language/schema/raw/master/csl-citation.json"} </w:instrText>
      </w:r>
      <w:r w:rsidR="0076325B"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99</w:t>
      </w:r>
      <w:r w:rsidR="0076325B" w:rsidRPr="009F44A4">
        <w:rPr>
          <w:rFonts w:ascii="Times New Roman" w:eastAsia="Calibri" w:hAnsi="Times New Roman" w:cs="Times New Roman"/>
          <w:color w:val="000000" w:themeColor="text1"/>
          <w:sz w:val="20"/>
          <w:szCs w:val="20"/>
        </w:rPr>
        <w:fldChar w:fldCharType="end"/>
      </w:r>
      <w:r w:rsidR="0076325B" w:rsidRPr="009F44A4">
        <w:rPr>
          <w:rFonts w:ascii="Times New Roman" w:eastAsia="Calibri" w:hAnsi="Times New Roman" w:cs="Times New Roman"/>
          <w:color w:val="000000" w:themeColor="text1"/>
          <w:sz w:val="20"/>
          <w:szCs w:val="20"/>
        </w:rPr>
        <w:t>.</w:t>
      </w:r>
    </w:p>
    <w:p w14:paraId="2B7440F8" w14:textId="17011593" w:rsidR="008D16FE" w:rsidRPr="009F44A4" w:rsidRDefault="00AF2AA4" w:rsidP="00DC7281">
      <w:pPr>
        <w:pStyle w:val="Heading4"/>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10.</w:t>
      </w:r>
      <w:r w:rsidR="00C02138" w:rsidRPr="009F44A4">
        <w:rPr>
          <w:rFonts w:ascii="Times New Roman" w:eastAsia="Calibri" w:hAnsi="Times New Roman" w:cs="Times New Roman"/>
          <w:b/>
          <w:color w:val="000000" w:themeColor="text1"/>
          <w:sz w:val="20"/>
          <w:szCs w:val="20"/>
        </w:rPr>
        <w:t xml:space="preserve">5. </w:t>
      </w:r>
      <w:proofErr w:type="spellStart"/>
      <w:r w:rsidR="00C02138" w:rsidRPr="009F44A4">
        <w:rPr>
          <w:rFonts w:ascii="Times New Roman" w:eastAsia="Calibri" w:hAnsi="Times New Roman" w:cs="Times New Roman"/>
          <w:b/>
          <w:color w:val="000000" w:themeColor="text1"/>
          <w:sz w:val="20"/>
          <w:szCs w:val="20"/>
        </w:rPr>
        <w:t>Nafamostat</w:t>
      </w:r>
      <w:proofErr w:type="spellEnd"/>
      <w:r w:rsidR="00C02138" w:rsidRPr="009F44A4">
        <w:rPr>
          <w:rFonts w:ascii="Times New Roman" w:eastAsia="Calibri" w:hAnsi="Times New Roman" w:cs="Times New Roman"/>
          <w:b/>
          <w:color w:val="000000" w:themeColor="text1"/>
          <w:sz w:val="20"/>
          <w:szCs w:val="20"/>
        </w:rPr>
        <w:t xml:space="preserve"> and </w:t>
      </w:r>
      <w:proofErr w:type="spellStart"/>
      <w:r w:rsidR="00C02138" w:rsidRPr="009F44A4">
        <w:rPr>
          <w:rFonts w:ascii="Times New Roman" w:eastAsia="Calibri" w:hAnsi="Times New Roman" w:cs="Times New Roman"/>
          <w:b/>
          <w:color w:val="000000" w:themeColor="text1"/>
          <w:sz w:val="20"/>
          <w:szCs w:val="20"/>
        </w:rPr>
        <w:t>Camostat</w:t>
      </w:r>
      <w:proofErr w:type="spellEnd"/>
    </w:p>
    <w:p w14:paraId="25ED443C" w14:textId="0C0C7BF1" w:rsidR="00945D5B"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proofErr w:type="spellStart"/>
      <w:r w:rsidRPr="009F44A4">
        <w:rPr>
          <w:rFonts w:ascii="Times New Roman" w:eastAsia="Calibri" w:hAnsi="Times New Roman" w:cs="Times New Roman"/>
          <w:color w:val="000000" w:themeColor="text1"/>
          <w:sz w:val="20"/>
          <w:szCs w:val="20"/>
        </w:rPr>
        <w:t>Nafamostat</w:t>
      </w:r>
      <w:proofErr w:type="spellEnd"/>
      <w:r w:rsidRPr="009F44A4">
        <w:rPr>
          <w:rFonts w:ascii="Times New Roman" w:eastAsia="Calibri" w:hAnsi="Times New Roman" w:cs="Times New Roman"/>
          <w:color w:val="000000" w:themeColor="text1"/>
          <w:sz w:val="20"/>
          <w:szCs w:val="20"/>
        </w:rPr>
        <w:t xml:space="preserve"> and </w:t>
      </w:r>
      <w:proofErr w:type="spellStart"/>
      <w:r w:rsidRPr="009F44A4">
        <w:rPr>
          <w:rFonts w:ascii="Times New Roman" w:eastAsia="Calibri" w:hAnsi="Times New Roman" w:cs="Times New Roman"/>
          <w:color w:val="000000" w:themeColor="text1"/>
          <w:sz w:val="20"/>
          <w:szCs w:val="20"/>
        </w:rPr>
        <w:t>camostat</w:t>
      </w:r>
      <w:proofErr w:type="spellEnd"/>
      <w:r w:rsidRPr="009F44A4">
        <w:rPr>
          <w:rFonts w:ascii="Times New Roman" w:eastAsia="Calibri" w:hAnsi="Times New Roman" w:cs="Times New Roman"/>
          <w:color w:val="000000" w:themeColor="text1"/>
          <w:sz w:val="20"/>
          <w:szCs w:val="20"/>
        </w:rPr>
        <w:t xml:space="preserve"> are approved for use against human pancreatitis in Japan. Both are inhibitors of serine protease. In an in vitro study, </w:t>
      </w:r>
      <w:proofErr w:type="spellStart"/>
      <w:r w:rsidRPr="009F44A4">
        <w:rPr>
          <w:rFonts w:ascii="Times New Roman" w:eastAsia="Calibri" w:hAnsi="Times New Roman" w:cs="Times New Roman"/>
          <w:color w:val="000000" w:themeColor="text1"/>
          <w:sz w:val="20"/>
          <w:szCs w:val="20"/>
        </w:rPr>
        <w:t>camostat</w:t>
      </w:r>
      <w:proofErr w:type="spellEnd"/>
      <w:r w:rsidRPr="009F44A4">
        <w:rPr>
          <w:rFonts w:ascii="Times New Roman" w:eastAsia="Calibri" w:hAnsi="Times New Roman" w:cs="Times New Roman"/>
          <w:color w:val="000000" w:themeColor="text1"/>
          <w:sz w:val="20"/>
          <w:szCs w:val="20"/>
        </w:rPr>
        <w:t xml:space="preserve"> was found to work as an antagonist to the TMPRSS2 serine protease and to be able to block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 xml:space="preserve"> from reaching the host cells</w:t>
      </w:r>
      <w:r w:rsidR="00713D39" w:rsidRPr="009F44A4">
        <w:rPr>
          <w:rFonts w:ascii="Times New Roman" w:eastAsia="Calibri" w:hAnsi="Times New Roman" w:cs="Times New Roman"/>
          <w:color w:val="000000" w:themeColor="text1"/>
          <w:sz w:val="20"/>
          <w:szCs w:val="20"/>
        </w:rPr>
        <w:t xml:space="preserve"> </w:t>
      </w:r>
      <w:r w:rsidR="00713D39"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{"citationID":"kYWcODBP","properties":{"formattedCitation":"\\super 12\\nosupersub{}","plainCitation":"12","noteIndex":0},"citationItems":[{"id":566,"uris":["http://zotero.org/users/local/ZR048J0w/items/F2BGMND6"],"uri":["http://zotero.org/users/local/ZR048J0w/items/F2BGMND6"],"itemData":{"id":566,"type":"article-journal","abstract":"The recent emergence of the novel, pathogenic SARS-coronavirus 2 (SARS-CoV-2) in China and its rapid national and international spread pose a global health emergency. Cell entry of coronaviruses depends on binding of the viral spike (S) proteins to cellular receptors and on S protein priming by host cell proteases. Unravelling which cellular factors are used by SARS-CoV-2 for entry might provide insights into viral transmission and reveal therapeutic targets. Here, we demonstrate that SARS-CoV-2 uses the SARS-CoV receptor ACE2 for entry and the serine protease TMPRSS2 for S protein priming. A TMPRSS2 inhibitor approved for clinical use blocked entry and might constitute a treatment option. Finally, we show that the sera from convalescent SARS patients cross-neutralized SARS-2-S-driven entry. Our results reveal important commonalities between SARS-CoV-2 and SARS-CoV infection and identify a potential target for antiviral intervention.","container-title":"Cell","DOI":"10.1016/j.cell.2020.02.052","ISSN":"1097-4172","issue":"2","journalAbbreviation":"Cell","language":"eng","note":"PMID: 32142651\nPMCID: PMC7102627","page":"271-280.e8","source":"PubMed","title":"SARS-CoV-2 Cell Entry Depends on ACE2 and TMPRSS2 and Is Blocked by a Clinically Proven Protease Inhibitor","volume":"181","author":[{"family":"Hoffmann","given":"Markus"},{"family":"Kleine-Weber","given":"Hannah"},{"family":"Schroeder","given":"Simon"},{"family":"Krüger","given":"Nadine"},{"family":"Herrler","given":"Tanja"},{"family":"Erichsen","given":"Sandra"},{"family":"Schiergens","given":"Tobias S."},{"family":"Herrler","given":"Georg"},{"family":"Wu","given":"Nai-Huei"},{"family":"Nitsche","given":"Andreas"},{"family":"Müller","given":"Marcel A."},{"family":"Drosten","given":"Christian"},{"family":"Pöhlmann","given":"Stefan"}],"issued":{"date-parts":[["2020",4,16]]}}}],"schema":"https://github.com/citation-style-language/schema/raw/master/csl-citation.json"} </w:instrText>
      </w:r>
      <w:r w:rsidR="00713D39"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12</w:t>
      </w:r>
      <w:r w:rsidR="00713D39" w:rsidRPr="009F44A4">
        <w:rPr>
          <w:rFonts w:ascii="Times New Roman" w:eastAsia="Calibri" w:hAnsi="Times New Roman" w:cs="Times New Roman"/>
          <w:color w:val="000000" w:themeColor="text1"/>
          <w:sz w:val="20"/>
          <w:szCs w:val="20"/>
        </w:rPr>
        <w:fldChar w:fldCharType="end"/>
      </w:r>
      <w:r w:rsidR="00B75E1D"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Researchers claimed that both compounds may have inhibiting effects on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 xml:space="preserve">-2 as well. Recent in vitro tests have displayed that both can block COVID-19 entry into cells; while a preprint study stated that </w:t>
      </w:r>
      <w:proofErr w:type="spellStart"/>
      <w:r w:rsidRPr="009F44A4">
        <w:rPr>
          <w:rFonts w:ascii="Times New Roman" w:eastAsia="Calibri" w:hAnsi="Times New Roman" w:cs="Times New Roman"/>
          <w:color w:val="000000" w:themeColor="text1"/>
          <w:sz w:val="20"/>
          <w:szCs w:val="20"/>
        </w:rPr>
        <w:t>nafamostat</w:t>
      </w:r>
      <w:proofErr w:type="spellEnd"/>
      <w:r w:rsidRPr="009F44A4">
        <w:rPr>
          <w:rFonts w:ascii="Times New Roman" w:eastAsia="Calibri" w:hAnsi="Times New Roman" w:cs="Times New Roman"/>
          <w:color w:val="000000" w:themeColor="text1"/>
          <w:sz w:val="20"/>
          <w:szCs w:val="20"/>
        </w:rPr>
        <w:t xml:space="preserve"> blocks the virus entry inside cells 15-fold more efficiently than </w:t>
      </w:r>
      <w:proofErr w:type="spellStart"/>
      <w:r w:rsidRPr="009F44A4">
        <w:rPr>
          <w:rFonts w:ascii="Times New Roman" w:eastAsia="Calibri" w:hAnsi="Times New Roman" w:cs="Times New Roman"/>
          <w:color w:val="000000" w:themeColor="text1"/>
          <w:sz w:val="20"/>
          <w:szCs w:val="20"/>
        </w:rPr>
        <w:t>camostat</w:t>
      </w:r>
      <w:proofErr w:type="spellEnd"/>
      <w:r w:rsidR="00327F59" w:rsidRPr="009F44A4">
        <w:rPr>
          <w:rFonts w:ascii="Times New Roman" w:eastAsia="Calibri" w:hAnsi="Times New Roman" w:cs="Times New Roman"/>
          <w:color w:val="000000" w:themeColor="text1"/>
          <w:sz w:val="20"/>
          <w:szCs w:val="20"/>
        </w:rPr>
        <w:t xml:space="preserve"> </w:t>
      </w:r>
      <w:r w:rsidR="00327F59"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{"citationID":"ASYRJv23","properties":{"formattedCitation":"\\super 100\\nosupersub{}","plainCitation":"100","noteIndex":0},"citationItems":[{"id":728,"uris":["http://zotero.org/users/local/ZR048J0w/items/4BJAAPU7"],"uri":["http://zotero.org/users/local/ZR048J0w/items/4BJAAPU7"],"itemData":{"id":728,"type":"article-journal","abstract":"&lt;h3&gt;Abstract&lt;/h3&gt; &lt;p&gt;Although infection by SARS-CoV-2, the causative agent of COVID-19, is spreading rapidly worldwide, no drug has been shown to be sufficiently effective for treating COVID-19. We previously found that nafamostat mesylate, an existing drug used for disseminated intravascular coagulation (DIC), effectively blocked MERS-CoV S protein-initiated cell fusion by targeting TMPRSS2, and inhibited MERS-CoV infection of human lung epithelium-derived Calu-3 cells. Here we established a quantitative fusion assay dependent on SARS-CoV-2 S protein, ACE2 and TMPRSS2, and found that nafamostat mesylate potently inhibited the fusion while camostat mesylate was about 10-fold less active. Furthermore, nafamostat mesylate blocked SARS-CoV-2 infection of Calu-3 cells with an EC&lt;sub&gt;50&lt;/sub&gt; around 10 nM, which is below its average blood concentration after intravenous administration through continuous infusion. These findings, together with accumulated clinical data regarding its safety, make nafamostat a likely candidate drug to treat COVID-19.&lt;/p&gt;","container-title":"bioRxiv","DOI":"10.1101/2020.04.22.054981","language":"en","note":"publisher: Cold Spring Harbor Laboratory\nsection: New Results","page":"2020.04.22.054981","source":"www.biorxiv.org","title":"The anticoagulant nafamostat potently inhibits SARS-CoV-2 infection in vitro: an existing drug with multiple possible therapeutic effects","title-short":"The anticoagulant nafamostat potently inhibits SARS-CoV-2 infection in vitro","author":[{"family":"Yamamoto","given":"Mizuki"},{"family":"Kiso","given":"Maki"},{"family":"Sakai-Tagawa","given":"Yuko"},{"family":"Iwatsuki-Horimoto","given":"Kiyoko"},{"family":"Imai","given":"Masaki"},{"family":"Takeda","given":"Makoto"},{"family":"Kinoshita","given":"Noriko"},{"family":"Ohmagari","given":"Norio"},{"family":"Gohda","given":"Jin"},{"family":"Semba","given":"Kentaro"},{"family":"Matsuda","given":"Zene"},{"family":"Kawaguchi","given":"Yasushi"},{"family":"Kawaoka","given":"Yoshihiro"},{"family":"Inoue","given":"Jun-ichiro"}],"issued":{"date-parts":[["2020",4,23]]}}}],"schema":"https://github.com/citation-style-language/schema/raw/master/csl-citation.json"} </w:instrText>
      </w:r>
      <w:r w:rsidR="00327F59"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100</w:t>
      </w:r>
      <w:r w:rsidR="00327F59" w:rsidRPr="009F44A4">
        <w:rPr>
          <w:rFonts w:ascii="Times New Roman" w:eastAsia="Calibri" w:hAnsi="Times New Roman" w:cs="Times New Roman"/>
          <w:color w:val="000000" w:themeColor="text1"/>
          <w:sz w:val="20"/>
          <w:szCs w:val="20"/>
        </w:rPr>
        <w:fldChar w:fldCharType="end"/>
      </w:r>
      <w:r w:rsidR="00EA3243"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In the USA and Japan, these drugs are undergoing through phase II</w:t>
      </w:r>
      <w:r w:rsidR="00327F59" w:rsidRPr="009F44A4">
        <w:rPr>
          <w:rFonts w:ascii="Times New Roman" w:eastAsia="Calibri" w:hAnsi="Times New Roman" w:cs="Times New Roman"/>
          <w:color w:val="000000" w:themeColor="text1"/>
          <w:sz w:val="20"/>
          <w:szCs w:val="20"/>
        </w:rPr>
        <w:t xml:space="preserve"> </w:t>
      </w:r>
      <w:r w:rsidR="00327F59"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{"citationID":"eqMz2b1Y","properties":{"formattedCitation":"\\super 101\\nosupersub{}","plainCitation":"101","noteIndex":0},"citationItems":[{"id":730,"uris":["http://zotero.org/users/local/ZR048J0w/items/MGT6IJCI"],"uri":["http://zotero.org/users/local/ZR048J0w/items/MGT6IJCI"],"itemData":{"id":730,"type":"report","abstract":"The rationale of the present clinical trial is that an orally available drug given to outpatients that could reduce the viral burden in the upper respiratory tract could forestall complications of SARS-CoV-2 infection and reduce transmission from one infected individual to another.","genre":"Clinical trial registration","note":"submitted: April 16, 2020","number":"NCT04353284","publisher":"clinicaltrials.gov","source":"clinicaltrials.gov","title":"The Effect of Camostat Mesylate on COVID-19 Infection in Ambulatory Patients: An Investigator-Initiated Randomized, Placebo-Controlled, Phase IIa Trial","title-short":"Camostat Mesylate in COVID-19 Outpatients","URL":"https://clinicaltrials.gov/ct2/show/NCT04353284","author":[{"family":"Chupp","given":"Geoffrey"}],"accessed":{"date-parts":[["2020",12,19]]},"issued":{"date-parts":[["2020",11,19]]}}}],"schema":"https://github.com/citation-style-language/schema/raw/master/csl-citation.json"} </w:instrText>
      </w:r>
      <w:r w:rsidR="00327F59"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101</w:t>
      </w:r>
      <w:r w:rsidR="00327F59" w:rsidRPr="009F44A4">
        <w:rPr>
          <w:rFonts w:ascii="Times New Roman" w:eastAsia="Calibri" w:hAnsi="Times New Roman" w:cs="Times New Roman"/>
          <w:color w:val="000000" w:themeColor="text1"/>
          <w:sz w:val="20"/>
          <w:szCs w:val="20"/>
        </w:rPr>
        <w:fldChar w:fldCharType="end"/>
      </w:r>
      <w:r w:rsidRPr="009F44A4">
        <w:rPr>
          <w:rFonts w:ascii="Times New Roman" w:eastAsia="Calibri" w:hAnsi="Times New Roman" w:cs="Times New Roman"/>
          <w:color w:val="000000" w:themeColor="text1"/>
          <w:sz w:val="20"/>
          <w:szCs w:val="20"/>
        </w:rPr>
        <w:t xml:space="preserve"> and phase II/III</w:t>
      </w:r>
      <w:r w:rsidR="00F5767A" w:rsidRPr="009F44A4">
        <w:rPr>
          <w:rFonts w:ascii="Times New Roman" w:eastAsia="Calibri" w:hAnsi="Times New Roman" w:cs="Times New Roman"/>
          <w:color w:val="000000" w:themeColor="text1"/>
          <w:sz w:val="20"/>
          <w:szCs w:val="20"/>
        </w:rPr>
        <w:t xml:space="preserve"> </w:t>
      </w:r>
      <w:r w:rsidR="00F5767A"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{"citationID":"nzfybeLh","properties":{"formattedCitation":"\\super 102\\nosupersub{}","plainCitation":"102","noteIndex":0},"citationItems":[{"id":731,"uris":["http://zotero.org/users/local/ZR048J0w/items/TW748DCI"],"uri":["http://zotero.org/users/local/ZR048J0w/items/TW748DCI"],"itemData":{"id":731,"type":"report","abstract":"RACONA is a prospective trial that will test the hypothesis that nafamostat can lower lung function deterioration and need for intensive care admission in COVID-19 patients.\n\nDesign: Adult hospitalized COVID-19 patients will be randomized in a prospective double-blind randomized placebo-controlled study to test the clinical efficacy of nafamostat mesylate (administered intravenously) on top of best standard of care.\n\nPrimary outcome measures: the time-to-clinical improvement, defined as the time from randomization to an improvement of two points (from the status at randomization) on a seven category ordinal scale or live discharge from the hospital, whichever comes first.","genre":"Clinical trial registration","note":"submitted: April 3, 2020","number":"NCT04352400","publisher":"clinicaltrials.gov","source":"clinicaltrials.gov","title":"RAndomized Clinical Trial in COvid19 Patients to Assess the Efficacy of the Transmembrane Protease Serine 2 (TMPRSS2) Inhibitor NAfamostat (RACONA Study)","title-short":"Efficacy of Nafamostat in Covid-19 Patients (RACONA Study)","URL":"https://clinicaltrials.gov/ct2/show/NCT04352400","author":[{"family":"FACC","given":"Gian Paolo Rossi","suffix":"MD, FAHA"}],"accessed":{"date-parts":[["2020",12,19]]},"issued":{"date-parts":[["2020",4,15]]}}}],"schema":"https://github.com/citation-style-language/schema/raw/master/csl-citation.json"} </w:instrText>
      </w:r>
      <w:r w:rsidR="00F5767A"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102</w:t>
      </w:r>
      <w:r w:rsidR="00F5767A" w:rsidRPr="009F44A4">
        <w:rPr>
          <w:rFonts w:ascii="Times New Roman" w:eastAsia="Calibri" w:hAnsi="Times New Roman" w:cs="Times New Roman"/>
          <w:color w:val="000000" w:themeColor="text1"/>
          <w:sz w:val="20"/>
          <w:szCs w:val="20"/>
        </w:rPr>
        <w:fldChar w:fldCharType="end"/>
      </w:r>
      <w:r w:rsidRPr="009F44A4">
        <w:rPr>
          <w:rFonts w:ascii="Times New Roman" w:eastAsia="Calibri" w:hAnsi="Times New Roman" w:cs="Times New Roman"/>
          <w:color w:val="000000" w:themeColor="text1"/>
          <w:sz w:val="20"/>
          <w:szCs w:val="20"/>
        </w:rPr>
        <w:t xml:space="preserve"> clinical trials for assessing their effectiveness against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w:t>
      </w:r>
    </w:p>
    <w:p w14:paraId="1A5F78FB" w14:textId="510AF4EA" w:rsidR="00945D5B" w:rsidRPr="009F44A4" w:rsidRDefault="005B6911"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bCs/>
          <w:color w:val="000000" w:themeColor="text1"/>
          <w:sz w:val="20"/>
          <w:szCs w:val="20"/>
        </w:rPr>
        <w:t>10.</w:t>
      </w:r>
      <w:r w:rsidR="00945D5B" w:rsidRPr="009F44A4">
        <w:rPr>
          <w:rFonts w:ascii="Times New Roman" w:eastAsia="Calibri" w:hAnsi="Times New Roman" w:cs="Times New Roman"/>
          <w:b/>
          <w:bCs/>
          <w:color w:val="000000" w:themeColor="text1"/>
          <w:sz w:val="20"/>
          <w:szCs w:val="20"/>
        </w:rPr>
        <w:t>6.</w:t>
      </w:r>
      <w:r w:rsidR="00C02138" w:rsidRPr="009F44A4">
        <w:rPr>
          <w:rFonts w:ascii="Times New Roman" w:eastAsia="Calibri" w:hAnsi="Times New Roman" w:cs="Times New Roman"/>
          <w:b/>
          <w:bCs/>
          <w:color w:val="000000" w:themeColor="text1"/>
          <w:sz w:val="20"/>
          <w:szCs w:val="20"/>
        </w:rPr>
        <w:t xml:space="preserve"> Famot</w:t>
      </w:r>
      <w:r w:rsidR="00C02138" w:rsidRPr="009F44A4">
        <w:rPr>
          <w:rFonts w:ascii="Times New Roman" w:eastAsia="Calibri" w:hAnsi="Times New Roman" w:cs="Times New Roman"/>
          <w:b/>
          <w:color w:val="000000" w:themeColor="text1"/>
          <w:sz w:val="20"/>
          <w:szCs w:val="20"/>
        </w:rPr>
        <w:t>idine</w:t>
      </w:r>
    </w:p>
    <w:p w14:paraId="5BB0FE16" w14:textId="55EF1F65"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lastRenderedPageBreak/>
        <w:t xml:space="preserve">Famotidine is known as a </w:t>
      </w:r>
      <w:proofErr w:type="spellStart"/>
      <w:r w:rsidRPr="009F44A4">
        <w:rPr>
          <w:rFonts w:ascii="Times New Roman" w:eastAsia="Calibri" w:hAnsi="Times New Roman" w:cs="Times New Roman"/>
          <w:color w:val="000000" w:themeColor="text1"/>
          <w:sz w:val="20"/>
          <w:szCs w:val="20"/>
        </w:rPr>
        <w:t>H2</w:t>
      </w:r>
      <w:proofErr w:type="spellEnd"/>
      <w:r w:rsidRPr="009F44A4">
        <w:rPr>
          <w:rFonts w:ascii="Times New Roman" w:eastAsia="Calibri" w:hAnsi="Times New Roman" w:cs="Times New Roman"/>
          <w:color w:val="000000" w:themeColor="text1"/>
          <w:sz w:val="20"/>
          <w:szCs w:val="20"/>
        </w:rPr>
        <w:t xml:space="preserve"> receptor blocker</w:t>
      </w:r>
      <w:r w:rsidR="00F5767A" w:rsidRPr="009F44A4">
        <w:rPr>
          <w:rFonts w:ascii="Times New Roman" w:eastAsia="Calibri" w:hAnsi="Times New Roman" w:cs="Times New Roman"/>
          <w:color w:val="000000" w:themeColor="text1"/>
          <w:sz w:val="20"/>
          <w:szCs w:val="20"/>
        </w:rPr>
        <w:t xml:space="preserve"> </w:t>
      </w:r>
      <w:r w:rsidR="00F5767A"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{"citationID":"jPZ0tBdb","properties":{"formattedCitation":"\\super 103,104\\nosupersub{}","plainCitation":"103,104","noteIndex":0},"citationItems":[{"id":732,"uris":["http://zotero.org/users/local/ZR048J0w/items/LGLMFVEQ"],"uri":["http://zotero.org/users/local/ZR048J0w/items/LGLMFVEQ"],"itemData":{"id":732,"type":"article-journal","container-title":"Gastroenterology","DOI":"10.1053/j.gastro.2020.05.053","ISSN":"0016-5085","issue":"3","journalAbbreviation":"Gastroenterology","note":"PMID: 32446698\nPMCID: PMC7242191","page":"1129-1131.e3","source":"PubMed Central","title":"Famotidine Use Is Associated With Improved Clinical Outcomes in Hospitalized COVID-19 Patients: A Propensity Score Matched Retrospective Cohort Study","title-short":"Famotidine Use Is Associated With Improved Clinical Outcomes in Hospitalized COVID-19 Patients","volume":"159","author":[{"family":"Freedberg","given":"Daniel E."},{"family":"Conigliaro","given":"Joseph"},{"family":"Wang","given":"Timothy C."},{"family":"Tracey","given":"Kevin J."},{"family":"Callahan","given":"Michael V."},{"family":"Abrams","given":"Julian A."}],"issued":{"date-parts":[["2020",9]]}}},{"id":735,"uris":["http://zotero.org/users/local/ZR048J0w/items/29C5S9HS"],"uri":["http://zotero.org/users/local/ZR048J0w/items/29C5S9HS"],"itemData":{"id":735,"type":"article-journal","abstract":"SARS-CoV-2 infection is required for COVID-19, but many signs and\nsymptoms of COVID-19 differ from common acute viral diseases. Currently, there\nare no pre- or post-exposure prophylactic COVID-19 medical countermeasures.\nClinical data suggest that famotidine may mitigate COVID-19 disease, but both\nmechanism of action and rationale for dose selection remain obscure. We explore\nseveral plausible avenues of activity including antiviral and host-mediated\nactions. We propose that the principal famotidine mechanism of action for\nCOVID-19 involves on-target histamine receptor H2 activity, and that\ndevelopment of clinical COVID-19 involves dysfunctional mast cell activation and\nhistamine release.","container-title":"Research Square","DOI":"10.21203/rs.3.rs-30934/v2","journalAbbreviation":"Res Sq","note":"PMID: 32702719\nPMCID: PMC7336703","source":"PubMed Central","title":"COVID-19: Famotidine, Histamine, Mast Cells, and Mechanisms","title-short":"COVID-19","URL":"https://www.ncbi.nlm.nih.gov/pmc/articles/PMC7336703/","author":[{"family":"Malone","given":"Robert W."},{"family":"Tisdall","given":"Philip"},{"family":"Fremont-Smith","given":"Philip"},{"family":"Liu","given":"Yongfeng"},{"family":"Huang","given":"Xi-Ping"},{"family":"White","given":"Kris M."},{"family":"Miorin","given":"Lisa"},{"family":"Olmo","given":"Elena Moreno Del"},{"family":"Alon","given":"Assaf"},{"family":"Delaforge","given":"Elise"},{"family":"Hennecker","given":"Christopher D."},{"family":"Wang","given":"Guanyu"},{"family":"Pottel","given":"Joshua"},{"family":"Smith","given":"Nora"},{"family":"Hall","given":"Julie M."},{"family":"Shapiro","given":"Gideon"},{"family":"Mittermaier","given":"Anthony"},{"family":"Kruse","given":"Andrew C."},{"family":"García-Sastre","given":"Adolfo"},{"family":"Roth","given":"Bryan L."},{"family":"Glasspool-Malone","given":"Jill"},{"family":"Ricke","given":"Darrell O."}],"accessed":{"date-parts":[["2020",12,21]]},"issued":{"date-parts":[["2020",6,22]]}}}],"schema":"https://github.com/citation-style-language/schema/raw/master/csl-citation.json"} </w:instrText>
      </w:r>
      <w:r w:rsidR="00F5767A"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103,104</w:t>
      </w:r>
      <w:r w:rsidR="00F5767A" w:rsidRPr="009F44A4">
        <w:rPr>
          <w:rFonts w:ascii="Times New Roman" w:eastAsia="Calibri" w:hAnsi="Times New Roman" w:cs="Times New Roman"/>
          <w:color w:val="000000" w:themeColor="text1"/>
          <w:sz w:val="20"/>
          <w:szCs w:val="20"/>
        </w:rPr>
        <w:fldChar w:fldCharType="end"/>
      </w:r>
      <w:r w:rsidRPr="009F44A4">
        <w:rPr>
          <w:rFonts w:ascii="Times New Roman" w:eastAsia="Calibri" w:hAnsi="Times New Roman" w:cs="Times New Roman"/>
          <w:color w:val="000000" w:themeColor="text1"/>
          <w:sz w:val="20"/>
          <w:szCs w:val="20"/>
        </w:rPr>
        <w:t xml:space="preserve"> and thought to be a potential candidate for treatment of patients infected with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In China, Michael Callahan and colleagues reported that patients taking famotidine heartburn medication seemed to be less affected or less likely to need intubation during severe COVID-19. No such peer-reviewed results was released as a preprint</w:t>
      </w:r>
      <w:r w:rsidR="00AC4AA7" w:rsidRPr="009F44A4">
        <w:rPr>
          <w:rFonts w:ascii="Times New Roman" w:eastAsia="Calibri" w:hAnsi="Times New Roman" w:cs="Times New Roman"/>
          <w:color w:val="000000" w:themeColor="text1"/>
          <w:sz w:val="20"/>
          <w:szCs w:val="20"/>
        </w:rPr>
        <w:t xml:space="preserve"> </w:t>
      </w:r>
      <w:r w:rsidR="00AC4AA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{"citationID":"VBGPZlLi","properties":{"formattedCitation":"\\super 103\\nosupersub{}","plainCitation":"103","noteIndex":0},"citationItems":[{"id":732,"uris":["http://zotero.org/users/local/ZR048J0w/items/LGLMFVEQ"],"uri":["http://zotero.org/users/local/ZR048J0w/items/LGLMFVEQ"],"itemData":{"id":732,"type":"article-journal","container-title":"Gastroenterology","DOI":"10.1053/j.gastro.2020.05.053","ISSN":"0016-5085","issue":"3","journalAbbreviation":"Gastroenterology","note":"PMID: 32446698\nPMCID: PMC7242191","page":"1129-1131.e3","source":"PubMed Central","title":"Famotidine Use Is Associated With Improved Clinical Outcomes in Hospitalized COVID-19 Patients: A Propensity Score Matched Retrospective Cohort Study","title-short":"Famotidine Use Is Associated With Improved Clinical Outcomes in Hospitalized COVID-19 Patients","volume":"159","author":[{"family":"Freedberg","given":"Daniel E."},{"family":"Conigliaro","given":"Joseph"},{"family":"Wang","given":"Timothy C."},{"family":"Tracey","given":"Kevin J."},{"family":"Callahan","given":"Michael V."},{"family":"Abrams","given":"Julian A."}],"issued":{"date-parts":[["2020",9]]}}}],"schema":"https://github.com/citation-style-language/schema/raw/master/csl-citation.json"} </w:instrText>
      </w:r>
      <w:r w:rsidR="00AC4AA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103</w:t>
      </w:r>
      <w:r w:rsidR="00AC4AA7" w:rsidRPr="009F44A4">
        <w:rPr>
          <w:rFonts w:ascii="Times New Roman" w:eastAsia="Calibri" w:hAnsi="Times New Roman" w:cs="Times New Roman"/>
          <w:color w:val="000000" w:themeColor="text1"/>
          <w:sz w:val="20"/>
          <w:szCs w:val="20"/>
        </w:rPr>
        <w:fldChar w:fldCharType="end"/>
      </w:r>
      <w:r w:rsidR="00AC4AA7"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A randomized phase III clinical trial is being performed in New York, in which COVID-19 patients who are in critical condition were received intravenous famotidine with </w:t>
      </w:r>
      <w:proofErr w:type="spellStart"/>
      <w:r w:rsidRPr="009F44A4">
        <w:rPr>
          <w:rFonts w:ascii="Times New Roman" w:eastAsia="Calibri" w:hAnsi="Times New Roman" w:cs="Times New Roman"/>
          <w:color w:val="000000" w:themeColor="text1"/>
          <w:sz w:val="20"/>
          <w:szCs w:val="20"/>
        </w:rPr>
        <w:t>hydroxychloroquine</w:t>
      </w:r>
      <w:proofErr w:type="spellEnd"/>
      <w:r w:rsidRPr="009F44A4">
        <w:rPr>
          <w:rFonts w:ascii="Times New Roman" w:eastAsia="Calibri" w:hAnsi="Times New Roman" w:cs="Times New Roman"/>
          <w:color w:val="000000" w:themeColor="text1"/>
          <w:sz w:val="20"/>
          <w:szCs w:val="20"/>
        </w:rPr>
        <w:t>, although the mode of action of the drug is unknown</w:t>
      </w:r>
      <w:r w:rsidR="00AC4AA7" w:rsidRPr="009F44A4">
        <w:rPr>
          <w:rFonts w:ascii="Times New Roman" w:eastAsia="Calibri" w:hAnsi="Times New Roman" w:cs="Times New Roman"/>
          <w:color w:val="000000" w:themeColor="text1"/>
          <w:sz w:val="20"/>
          <w:szCs w:val="20"/>
        </w:rPr>
        <w:t xml:space="preserve"> </w:t>
      </w:r>
      <w:r w:rsidR="00AC4AA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{"citationID":"Bro8T2In","properties":{"formattedCitation":"\\super 105\\nosupersub{}","plainCitation":"105","noteIndex":0},"citationItems":[{"id":738,"uris":["http://zotero.org/users/local/ZR048J0w/items/9E34KA8H"],"uri":["http://zotero.org/users/local/ZR048J0w/items/9E34KA8H"],"itemData":{"id":738,"type":"report","abstract":"The overall objective of the study is to evaluate the clinical efficacy of COVID-19 treatments consisting of standard of care (SOC), vs SOC with high dose famotidine in patients hospitalized and meeting radiologic criteria for COVID-19 disease. SOC for the treatment for COVID-19 has evolved since the initial conceptualization of this protocol and early recruitment of patients. Initially SOC included hydroxychloroquine and has progressed to include Remdesivir. This protocol is amended to allow the SOC to reflect the prevailing treatment for COVID-19. We will compare clinical outcomes associated with SOC and the addition of high-dose intravascular famotidine. The trial is designed to enroll at least 471 COVID-19 patients hospitalized with moderate to severe disease into each of the two treatment arms, with a total enrollment target of at least 942 patients. This trial has been designed and powered to support up to three interim analyses that will enable prompt assessment of benefits and risks of the two treatment groups while maintaining the rigorous gold standard of a randomized double blind clinical trial structure. Trial design has been guided by practical consideration of the current clinical context involving rapidly escalating demands on hospital staff and resources, and incorporates a minimalist approach employing existing laboratory information management systems and a clinically relevant binary primary outcome of 30-day endpoint of death or survival.","genre":"Clinical trial registration","note":"submitted: April 27, 2020","number":"NCT04370262","publisher":"clinicaltrials.gov","source":"clinicaltrials.gov","title":"A Multi-site, Randomized, Double-Blind, Comparative Trial of the Safety and Efficacy of Standard of Care (SOC) Plus Famotidine vs SOC Plus Placebo for the Treatment of COVID-19 in Hospitalized Adults","title-short":"Multi-site Adaptive Trials for COVID-19","URL":"https://clinicaltrials.gov/ct2/show/NCT04370262","author":[{"family":"Conigliaro","given":"Joseph"}],"accessed":{"date-parts":[["2020",12,19]]},"issued":{"date-parts":[["2020",12,10]]}}}],"schema":"https://github.com/citation-style-language/schema/raw/master/csl-citation.json"} </w:instrText>
      </w:r>
      <w:r w:rsidR="00AC4AA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105</w:t>
      </w:r>
      <w:r w:rsidR="00AC4AA7" w:rsidRPr="009F44A4">
        <w:rPr>
          <w:rFonts w:ascii="Times New Roman" w:eastAsia="Calibri" w:hAnsi="Times New Roman" w:cs="Times New Roman"/>
          <w:color w:val="000000" w:themeColor="text1"/>
          <w:sz w:val="20"/>
          <w:szCs w:val="20"/>
        </w:rPr>
        <w:fldChar w:fldCharType="end"/>
      </w:r>
      <w:r w:rsidR="00AC4AA7"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A </w:t>
      </w:r>
      <w:proofErr w:type="spellStart"/>
      <w:r w:rsidRPr="009F44A4">
        <w:rPr>
          <w:rFonts w:ascii="Times New Roman" w:eastAsia="Calibri" w:hAnsi="Times New Roman" w:cs="Times New Roman"/>
          <w:color w:val="000000" w:themeColor="text1"/>
          <w:sz w:val="20"/>
          <w:szCs w:val="20"/>
        </w:rPr>
        <w:t>virginia</w:t>
      </w:r>
      <w:proofErr w:type="spellEnd"/>
      <w:r w:rsidRPr="009F44A4">
        <w:rPr>
          <w:rFonts w:ascii="Times New Roman" w:eastAsia="Calibri" w:hAnsi="Times New Roman" w:cs="Times New Roman"/>
          <w:color w:val="000000" w:themeColor="text1"/>
          <w:sz w:val="20"/>
          <w:szCs w:val="20"/>
        </w:rPr>
        <w:t xml:space="preserve"> based biodefense consultant, Robert Malone who is working on the famotidine proposed a hypothesis that famotidine binds a papain like protease encoded by COVID-19 virus genome and </w:t>
      </w:r>
      <w:proofErr w:type="spellStart"/>
      <w:r w:rsidRPr="009F44A4">
        <w:rPr>
          <w:rFonts w:ascii="Times New Roman" w:eastAsia="Calibri" w:hAnsi="Times New Roman" w:cs="Times New Roman"/>
          <w:color w:val="000000" w:themeColor="text1"/>
          <w:sz w:val="20"/>
          <w:szCs w:val="20"/>
        </w:rPr>
        <w:t>recognised</w:t>
      </w:r>
      <w:proofErr w:type="spellEnd"/>
      <w:r w:rsidRPr="009F44A4">
        <w:rPr>
          <w:rFonts w:ascii="Times New Roman" w:eastAsia="Calibri" w:hAnsi="Times New Roman" w:cs="Times New Roman"/>
          <w:color w:val="000000" w:themeColor="text1"/>
          <w:sz w:val="20"/>
          <w:szCs w:val="20"/>
        </w:rPr>
        <w:t xml:space="preserve"> as a key component of viral entry into cells; however, none of the assay findings experimentally support this hypothesis</w:t>
      </w:r>
      <w:r w:rsidR="00AC4AA7" w:rsidRPr="009F44A4">
        <w:rPr>
          <w:rFonts w:ascii="Times New Roman" w:eastAsia="Calibri" w:hAnsi="Times New Roman" w:cs="Times New Roman"/>
          <w:color w:val="000000" w:themeColor="text1"/>
          <w:sz w:val="20"/>
          <w:szCs w:val="20"/>
        </w:rPr>
        <w:t xml:space="preserve"> </w:t>
      </w:r>
      <w:r w:rsidR="00AC4AA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{"citationID":"3FDfnjvL","properties":{"formattedCitation":"\\super 104\\nosupersub{}","plainCitation":"104","noteIndex":0},"citationItems":[{"id":735,"uris":["http://zotero.org/users/local/ZR048J0w/items/29C5S9HS"],"uri":["http://zotero.org/users/local/ZR048J0w/items/29C5S9HS"],"itemData":{"id":735,"type":"article-journal","abstract":"SARS-CoV-2 infection is required for COVID-19, but many signs and\nsymptoms of COVID-19 differ from common acute viral diseases. Currently, there\nare no pre- or post-exposure prophylactic COVID-19 medical countermeasures.\nClinical data suggest that famotidine may mitigate COVID-19 disease, but both\nmechanism of action and rationale for dose selection remain obscure. We explore\nseveral plausible avenues of activity including antiviral and host-mediated\nactions. We propose that the principal famotidine mechanism of action for\nCOVID-19 involves on-target histamine receptor H2 activity, and that\ndevelopment of clinical COVID-19 involves dysfunctional mast cell activation and\nhistamine release.","container-title":"Research Square","DOI":"10.21203/rs.3.rs-30934/v2","journalAbbreviation":"Res Sq","note":"PMID: 32702719\nPMCID: PMC7336703","source":"PubMed Central","title":"COVID-19: Famotidine, Histamine, Mast Cells, and Mechanisms","title-short":"COVID-19","URL":"https://www.ncbi.nlm.nih.gov/pmc/articles/PMC7336703/","author":[{"family":"Malone","given":"Robert W."},{"family":"Tisdall","given":"Philip"},{"family":"Fremont-Smith","given":"Philip"},{"family":"Liu","given":"Yongfeng"},{"family":"Huang","given":"Xi-Ping"},{"family":"White","given":"Kris M."},{"family":"Miorin","given":"Lisa"},{"family":"Olmo","given":"Elena Moreno Del"},{"family":"Alon","given":"Assaf"},{"family":"Delaforge","given":"Elise"},{"family":"Hennecker","given":"Christopher D."},{"family":"Wang","given":"Guanyu"},{"family":"Pottel","given":"Joshua"},{"family":"Smith","given":"Nora"},{"family":"Hall","given":"Julie M."},{"family":"Shapiro","given":"Gideon"},{"family":"Mittermaier","given":"Anthony"},{"family":"Kruse","given":"Andrew C."},{"family":"García-Sastre","given":"Adolfo"},{"family":"Roth","given":"Bryan L."},{"family":"Glasspool-Malone","given":"Jill"},{"family":"Ricke","given":"Darrell O."}],"accessed":{"date-parts":[["2020",12,21]]},"issued":{"date-parts":[["2020",6,22]]}}}],"schema":"https://github.com/citation-style-language/schema/raw/master/csl-citation.json"} </w:instrText>
      </w:r>
      <w:r w:rsidR="00AC4AA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104</w:t>
      </w:r>
      <w:r w:rsidR="00AC4AA7" w:rsidRPr="009F44A4">
        <w:rPr>
          <w:rFonts w:ascii="Times New Roman" w:eastAsia="Calibri" w:hAnsi="Times New Roman" w:cs="Times New Roman"/>
          <w:color w:val="000000" w:themeColor="text1"/>
          <w:sz w:val="20"/>
          <w:szCs w:val="20"/>
        </w:rPr>
        <w:fldChar w:fldCharType="end"/>
      </w:r>
      <w:r w:rsidR="00AC4AA7" w:rsidRPr="009F44A4">
        <w:rPr>
          <w:rFonts w:ascii="Times New Roman" w:eastAsia="Calibri" w:hAnsi="Times New Roman" w:cs="Times New Roman"/>
          <w:color w:val="000000" w:themeColor="text1"/>
          <w:sz w:val="20"/>
          <w:szCs w:val="20"/>
        </w:rPr>
        <w:t>.</w:t>
      </w:r>
    </w:p>
    <w:p w14:paraId="30108815" w14:textId="2921E583" w:rsidR="008D16FE" w:rsidRPr="009F44A4" w:rsidRDefault="005B6911" w:rsidP="00DC7281">
      <w:pPr>
        <w:pStyle w:val="Heading4"/>
        <w:keepNext w:val="0"/>
        <w:keepLines w:val="0"/>
        <w:shd w:val="clear" w:color="auto" w:fill="FFFFFF" w:themeFill="background1"/>
        <w:spacing w:before="0"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10.</w:t>
      </w:r>
      <w:r w:rsidR="00C02138" w:rsidRPr="009F44A4">
        <w:rPr>
          <w:rFonts w:ascii="Times New Roman" w:eastAsia="Calibri" w:hAnsi="Times New Roman" w:cs="Times New Roman"/>
          <w:b/>
          <w:color w:val="000000" w:themeColor="text1"/>
          <w:sz w:val="20"/>
          <w:szCs w:val="20"/>
        </w:rPr>
        <w:t xml:space="preserve">7. </w:t>
      </w:r>
      <w:proofErr w:type="spellStart"/>
      <w:r w:rsidR="00C02138" w:rsidRPr="009F44A4">
        <w:rPr>
          <w:rFonts w:ascii="Times New Roman" w:eastAsia="Calibri" w:hAnsi="Times New Roman" w:cs="Times New Roman"/>
          <w:b/>
          <w:color w:val="000000" w:themeColor="text1"/>
          <w:sz w:val="20"/>
          <w:szCs w:val="20"/>
        </w:rPr>
        <w:t>Umifenovir</w:t>
      </w:r>
      <w:proofErr w:type="spellEnd"/>
    </w:p>
    <w:p w14:paraId="05414B4C" w14:textId="07D42DD5" w:rsidR="00945D5B"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proofErr w:type="spellStart"/>
      <w:r w:rsidRPr="009F44A4">
        <w:rPr>
          <w:rFonts w:ascii="Times New Roman" w:eastAsia="Calibri" w:hAnsi="Times New Roman" w:cs="Times New Roman"/>
          <w:color w:val="000000" w:themeColor="text1"/>
          <w:sz w:val="20"/>
          <w:szCs w:val="20"/>
        </w:rPr>
        <w:t>Umifenovir</w:t>
      </w:r>
      <w:proofErr w:type="spellEnd"/>
      <w:r w:rsidRPr="009F44A4">
        <w:rPr>
          <w:rFonts w:ascii="Times New Roman" w:eastAsia="Calibri" w:hAnsi="Times New Roman" w:cs="Times New Roman"/>
          <w:color w:val="000000" w:themeColor="text1"/>
          <w:sz w:val="20"/>
          <w:szCs w:val="20"/>
        </w:rPr>
        <w:t xml:space="preserve"> is approved as a prophylaxis for the prevention of influenza virus A and B only in Russia and China and several research groups have presumed that it has large-spectrum antiviral properties;</w:t>
      </w:r>
      <w:r w:rsidR="003E09E7"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however, there is no data available yet to assist its effectiveness against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 xml:space="preserve">-2. </w:t>
      </w:r>
      <w:proofErr w:type="spellStart"/>
      <w:r w:rsidRPr="009F44A4">
        <w:rPr>
          <w:rFonts w:ascii="Times New Roman" w:eastAsia="Calibri" w:hAnsi="Times New Roman" w:cs="Times New Roman"/>
          <w:color w:val="000000" w:themeColor="text1"/>
          <w:sz w:val="20"/>
          <w:szCs w:val="20"/>
        </w:rPr>
        <w:t>Umifenovir</w:t>
      </w:r>
      <w:proofErr w:type="spellEnd"/>
      <w:r w:rsidRPr="009F44A4">
        <w:rPr>
          <w:rFonts w:ascii="Times New Roman" w:eastAsia="Calibri" w:hAnsi="Times New Roman" w:cs="Times New Roman"/>
          <w:color w:val="000000" w:themeColor="text1"/>
          <w:sz w:val="20"/>
          <w:szCs w:val="20"/>
        </w:rPr>
        <w:t xml:space="preserve"> is a small </w:t>
      </w:r>
      <w:proofErr w:type="spellStart"/>
      <w:r w:rsidRPr="009F44A4">
        <w:rPr>
          <w:rFonts w:ascii="Times New Roman" w:eastAsia="Calibri" w:hAnsi="Times New Roman" w:cs="Times New Roman"/>
          <w:color w:val="000000" w:themeColor="text1"/>
          <w:sz w:val="20"/>
          <w:szCs w:val="20"/>
        </w:rPr>
        <w:t>indole</w:t>
      </w:r>
      <w:proofErr w:type="spellEnd"/>
      <w:r w:rsidRPr="009F44A4">
        <w:rPr>
          <w:rFonts w:ascii="Times New Roman" w:eastAsia="Calibri" w:hAnsi="Times New Roman" w:cs="Times New Roman"/>
          <w:color w:val="000000" w:themeColor="text1"/>
          <w:sz w:val="20"/>
          <w:szCs w:val="20"/>
        </w:rPr>
        <w:t xml:space="preserve"> derivative hydrophobic molecule that interacts with lipids and proteins. It targets viral lipid membranes and inhibits contact between virus and host cell; thus, preventing virus entry into target cells</w:t>
      </w:r>
      <w:r w:rsidR="00AC4AA7" w:rsidRPr="009F44A4">
        <w:rPr>
          <w:rFonts w:ascii="Times New Roman" w:eastAsia="Calibri" w:hAnsi="Times New Roman" w:cs="Times New Roman"/>
          <w:color w:val="000000" w:themeColor="text1"/>
          <w:sz w:val="20"/>
          <w:szCs w:val="20"/>
        </w:rPr>
        <w:t xml:space="preserve"> </w:t>
      </w:r>
      <w:r w:rsidR="00AC4AA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{"citationID":"2vtRahBg","properties":{"formattedCitation":"\\super 106,107\\nosupersub{}","plainCitation":"106,107","noteIndex":0},"citationItems":[{"id":739,"uris":["http://zotero.org/users/local/ZR048J0w/items/ND6HJTDJ"],"uri":["http://zotero.org/users/local/ZR048J0w/items/ND6HJTDJ"],"itemData":{"id":739,"type":"report","abstract":"The present study is a randomized, double-blind, placebo-controlled, clinical trial, with the approval of the ethics committee will be conducted on patients who have a positive test confirming COVID-19 in Loghman Hakim Medical Education Center in Tehran. Patients will be randomly assigned to the two arms of the study and after completing the course of treatment and collecting and analyzing the necessary information from each patient, the results of the study will be published both on this site and in the form of an article in a reputable international journal.","genre":"Clinical trial registration","note":"submitted: April 14, 2020","number":"NCT04350684","publisher":"clinicaltrials.gov","source":"clinicaltrials.gov","title":"Efficacy and Safety of Umifenovir as an Adjuvant Therapy Compared to the Control Therapeutic Regiment of Interferon Beta 1a, Lopinavir / Ritonavir and a Single Dose of Hydroxychloroquine in Moderate to Severe COVID-19: A Randomized, Double-Blind, Placebo-Controlled, Clinical Trial","title-short":"Umifenovir in Hospitalized COVID-19 Patients","URL":"https://clinicaltrials.gov/ct2/show/NCT04350684","author":[{"family":"Researcher","given":"Seyed Sina Naghibi Irvani","suffix":"MD, MPH, MBA, Senior"}],"accessed":{"date-parts":[["2020",12,19]]},"issued":{"date-parts":[["2020",4,16]]}}},{"id":740,"uris":["http://zotero.org/users/local/ZR048J0w/items/EUGI99B7"],"uri":["http://zotero.org/users/local/ZR048J0w/items/EUGI99B7"],"itemData":{"id":740,"type":"article-journal","abstract":"The antiviral drug arbidol (ARB), which is licensed in Russia for use against influenza, is known to inhibit early membrane fusion events in influenza A and B virus replication. To investigate in more detail the target and mechanism of ARB action we generated and studied the characteristics of ARB-resistant influenza virus mutants. Observations of the ARB susceptibility of reassortants between A/Singapore/1/57(H2N2) and A/chicken/Germany/27(H7N7, \"Weybridge\" strain) and of mutants of the latter virus identified the virus haemagglutinin (HA) as the major determinant of ARB sensitivity. ARB-resistant mutants, selected from the most sensitive reassortant, possessed single amino acid substitutions in the HA2 subunit which caused an increase in the pH of fusion and the associated conformational change in HA. ARB was shown to stabilize the HA by causing a 0.2 pH unit reduction in the pH of the transition to the low pH form, which was specifically abrogated by the resistance mutations. Some of the resistance mutations, which reduce acid stability and would disrupt ARB-HA interactions, are located in the vicinity of a potential ARB binding site identified using the docking programme Gold. Together, the results of these investigations indicate that ARB falls within a class of inhibitor which interacts with HA to stabilize it against the low pH transition to its fusogenic state and consequently inhibit HA-mediated membrane fusion during influenza virus infection.","container-title":"Antiviral Research","DOI":"10.1016/j.antiviral.2008.10.009","ISSN":"1872-9096","issue":"2","journalAbbreviation":"Antiviral Res","language":"eng","note":"PMID: 19028526","page":"132-140","source":"PubMed","title":"Characteristics of arbidol-resistant mutants of influenza virus: implications for the mechanism of anti-influenza action of arbidol","title-short":"Characteristics of arbidol-resistant mutants of influenza virus","volume":"81","author":[{"family":"Leneva","given":"Irina A."},{"family":"Russell","given":"Rupert J."},{"family":"Boriskin","given":"Yury S."},{"family":"Hay","given":"Alan J."}],"issued":{"date-parts":[["2009",2]]}}}],"schema":"https://github.com/citation-style-language/schema/raw/master/csl-citation.json"} </w:instrText>
      </w:r>
      <w:r w:rsidR="00AC4AA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106,107</w:t>
      </w:r>
      <w:r w:rsidR="00AC4AA7" w:rsidRPr="009F44A4">
        <w:rPr>
          <w:rFonts w:ascii="Times New Roman" w:eastAsia="Calibri" w:hAnsi="Times New Roman" w:cs="Times New Roman"/>
          <w:color w:val="000000" w:themeColor="text1"/>
          <w:sz w:val="20"/>
          <w:szCs w:val="20"/>
        </w:rPr>
        <w:fldChar w:fldCharType="end"/>
      </w:r>
      <w:r w:rsidR="00AC4AA7"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A randomized phase III clinical trial is currently being conducted for examining the efficacy, safety and tolerability of an anti-viral </w:t>
      </w:r>
      <w:proofErr w:type="spellStart"/>
      <w:r w:rsidRPr="009F44A4">
        <w:rPr>
          <w:rFonts w:ascii="Times New Roman" w:eastAsia="Calibri" w:hAnsi="Times New Roman" w:cs="Times New Roman"/>
          <w:color w:val="000000" w:themeColor="text1"/>
          <w:sz w:val="20"/>
          <w:szCs w:val="20"/>
        </w:rPr>
        <w:t>umifenovir</w:t>
      </w:r>
      <w:proofErr w:type="spellEnd"/>
      <w:r w:rsidRPr="009F44A4">
        <w:rPr>
          <w:rFonts w:ascii="Times New Roman" w:eastAsia="Calibri" w:hAnsi="Times New Roman" w:cs="Times New Roman"/>
          <w:color w:val="000000" w:themeColor="text1"/>
          <w:sz w:val="20"/>
          <w:szCs w:val="20"/>
        </w:rPr>
        <w:t xml:space="preserve"> drug. </w:t>
      </w:r>
    </w:p>
    <w:p w14:paraId="34F268E5" w14:textId="6C4B6C77" w:rsidR="00455F7C" w:rsidRPr="009F44A4" w:rsidRDefault="005B6911"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10.</w:t>
      </w:r>
      <w:r w:rsidR="00C02138" w:rsidRPr="009F44A4">
        <w:rPr>
          <w:rFonts w:ascii="Times New Roman" w:eastAsia="Calibri" w:hAnsi="Times New Roman" w:cs="Times New Roman"/>
          <w:b/>
          <w:color w:val="000000" w:themeColor="text1"/>
          <w:sz w:val="20"/>
          <w:szCs w:val="20"/>
        </w:rPr>
        <w:t xml:space="preserve">8. </w:t>
      </w:r>
      <w:proofErr w:type="spellStart"/>
      <w:r w:rsidR="00C02138" w:rsidRPr="009F44A4">
        <w:rPr>
          <w:rFonts w:ascii="Times New Roman" w:eastAsia="Calibri" w:hAnsi="Times New Roman" w:cs="Times New Roman"/>
          <w:b/>
          <w:color w:val="000000" w:themeColor="text1"/>
          <w:sz w:val="20"/>
          <w:szCs w:val="20"/>
        </w:rPr>
        <w:t>Nitazoxanide</w:t>
      </w:r>
      <w:proofErr w:type="spellEnd"/>
    </w:p>
    <w:p w14:paraId="191C34B5" w14:textId="5F9C98C6" w:rsidR="00455F7C"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proofErr w:type="spellStart"/>
      <w:r w:rsidRPr="009F44A4">
        <w:rPr>
          <w:rFonts w:ascii="Times New Roman" w:eastAsia="Calibri" w:hAnsi="Times New Roman" w:cs="Times New Roman"/>
          <w:color w:val="000000" w:themeColor="text1"/>
          <w:sz w:val="20"/>
          <w:szCs w:val="20"/>
        </w:rPr>
        <w:t>Nitazoxanide</w:t>
      </w:r>
      <w:proofErr w:type="spellEnd"/>
      <w:r w:rsidRPr="009F44A4">
        <w:rPr>
          <w:rFonts w:ascii="Times New Roman" w:eastAsia="Calibri" w:hAnsi="Times New Roman" w:cs="Times New Roman"/>
          <w:color w:val="000000" w:themeColor="text1"/>
          <w:sz w:val="20"/>
          <w:szCs w:val="20"/>
        </w:rPr>
        <w:t xml:space="preserve"> is an </w:t>
      </w:r>
      <w:proofErr w:type="spellStart"/>
      <w:r w:rsidRPr="009F44A4">
        <w:rPr>
          <w:rFonts w:ascii="Times New Roman" w:eastAsia="Calibri" w:hAnsi="Times New Roman" w:cs="Times New Roman"/>
          <w:color w:val="000000" w:themeColor="text1"/>
          <w:sz w:val="20"/>
          <w:szCs w:val="20"/>
        </w:rPr>
        <w:t>antiparasitic</w:t>
      </w:r>
      <w:proofErr w:type="spellEnd"/>
      <w:r w:rsidRPr="009F44A4">
        <w:rPr>
          <w:rFonts w:ascii="Times New Roman" w:eastAsia="Calibri" w:hAnsi="Times New Roman" w:cs="Times New Roman"/>
          <w:color w:val="000000" w:themeColor="text1"/>
          <w:sz w:val="20"/>
          <w:szCs w:val="20"/>
        </w:rPr>
        <w:t xml:space="preserve"> and antiviral </w:t>
      </w:r>
      <w:proofErr w:type="spellStart"/>
      <w:r w:rsidRPr="009F44A4">
        <w:rPr>
          <w:rFonts w:ascii="Times New Roman" w:eastAsia="Calibri" w:hAnsi="Times New Roman" w:cs="Times New Roman"/>
          <w:color w:val="000000" w:themeColor="text1"/>
          <w:sz w:val="20"/>
          <w:szCs w:val="20"/>
        </w:rPr>
        <w:t>thiazolidine</w:t>
      </w:r>
      <w:proofErr w:type="spellEnd"/>
      <w:r w:rsidRPr="009F44A4">
        <w:rPr>
          <w:rFonts w:ascii="Times New Roman" w:eastAsia="Calibri" w:hAnsi="Times New Roman" w:cs="Times New Roman"/>
          <w:color w:val="000000" w:themeColor="text1"/>
          <w:sz w:val="20"/>
          <w:szCs w:val="20"/>
        </w:rPr>
        <w:t xml:space="preserve"> drug used as a medicine for the treatment of parasitic, bacterial and viral infection. This drug acts by blocking maturation of viral capsid N protein that helps formation of viral particles. In clinical trials, it is being tested with other anti-parasitic drugs like </w:t>
      </w:r>
      <w:proofErr w:type="spellStart"/>
      <w:r w:rsidRPr="009F44A4">
        <w:rPr>
          <w:rFonts w:ascii="Times New Roman" w:eastAsia="Calibri" w:hAnsi="Times New Roman" w:cs="Times New Roman"/>
          <w:color w:val="000000" w:themeColor="text1"/>
          <w:sz w:val="20"/>
          <w:szCs w:val="20"/>
        </w:rPr>
        <w:t>ivermectin</w:t>
      </w:r>
      <w:proofErr w:type="spellEnd"/>
      <w:r w:rsidRPr="009F44A4">
        <w:rPr>
          <w:rFonts w:ascii="Times New Roman" w:eastAsia="Calibri" w:hAnsi="Times New Roman" w:cs="Times New Roman"/>
          <w:color w:val="000000" w:themeColor="text1"/>
          <w:sz w:val="20"/>
          <w:szCs w:val="20"/>
        </w:rPr>
        <w:t xml:space="preserve"> and also against </w:t>
      </w:r>
      <w:proofErr w:type="spellStart"/>
      <w:r w:rsidRPr="009F44A4">
        <w:rPr>
          <w:rFonts w:ascii="Times New Roman" w:eastAsia="Calibri" w:hAnsi="Times New Roman" w:cs="Times New Roman"/>
          <w:color w:val="000000" w:themeColor="text1"/>
          <w:sz w:val="20"/>
          <w:szCs w:val="20"/>
        </w:rPr>
        <w:t>hydroxychloroquine</w:t>
      </w:r>
      <w:proofErr w:type="spellEnd"/>
      <w:r w:rsidR="00535F27" w:rsidRPr="009F44A4">
        <w:rPr>
          <w:rFonts w:ascii="Times New Roman" w:eastAsia="Calibri" w:hAnsi="Times New Roman" w:cs="Times New Roman"/>
          <w:color w:val="000000" w:themeColor="text1"/>
          <w:sz w:val="20"/>
          <w:szCs w:val="20"/>
        </w:rPr>
        <w:t xml:space="preserve"> </w:t>
      </w:r>
      <w:r w:rsidR="00535F2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{"citationID":"GlwE23Ei","properties":{"formattedCitation":"\\super 108\\nosupersub{}","plainCitation":"108","noteIndex":0},"citationItems":[{"id":742,"uris":["http://zotero.org/users/local/ZR048J0w/items/K7SRUXJU"],"uri":["http://zotero.org/users/local/ZR048J0w/items/K7SRUXJU"],"itemData":{"id":742,"type":"report","abstract":"Coronaviruses (CoV) are positive-sense single-stranded RNA viruses that infect a wide range of hosts producing diseases ranging from the common cold to serious / fatal events. Nitazoxanide (NTZx) is a derivative of 5-nitrothiazole, synthesized in 1974 by Rosignol - Cavier. NTZx has powerful antiviral effects through the phosphorylation of protein kinase activated by double-stranded RNA, which leads to an increase in phosphorylated factor 2-alpha, an intracellular protein with antiviral effects. The purpose of this study is to contrast the beneficial effect of NTZx vs NTZx plus hydroxychloroquine in patients Coronavirus Disease (COVID-19) as well as against other treatments.","genre":"Clinical trial registration","note":"submitted: April 7, 2020","number":"NCT04341493","publisher":"clinicaltrials.gov","source":"clinicaltrials.gov","title":"Treatment With Hydroxychloroquine vs Nitazoxanide + Hydroxychloroquine in Patients With COVID-19 With Risk Factors for Poor Outcome","title-short":"Hydroxychloroquine vs Nitazoxanide in Patients With COVID-19","URL":"https://clinicaltrials.gov/ct2/show/NCT04341493","author":[{"family":"Zeron","given":"Hugo Mendieta"}],"accessed":{"date-parts":[["2020",12,19]]},"issued":{"date-parts":[["2020",4,22]]}}}],"schema":"https://github.com/citation-style-language/schema/raw/master/csl-citation.json"} </w:instrText>
      </w:r>
      <w:r w:rsidR="00535F2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108</w:t>
      </w:r>
      <w:r w:rsidR="00535F27" w:rsidRPr="009F44A4">
        <w:rPr>
          <w:rFonts w:ascii="Times New Roman" w:eastAsia="Calibri" w:hAnsi="Times New Roman" w:cs="Times New Roman"/>
          <w:color w:val="000000" w:themeColor="text1"/>
          <w:sz w:val="20"/>
          <w:szCs w:val="20"/>
        </w:rPr>
        <w:fldChar w:fldCharType="end"/>
      </w:r>
      <w:r w:rsidR="00535F27" w:rsidRPr="009F44A4">
        <w:rPr>
          <w:rFonts w:ascii="Times New Roman" w:eastAsia="Calibri" w:hAnsi="Times New Roman" w:cs="Times New Roman"/>
          <w:color w:val="000000" w:themeColor="text1"/>
          <w:sz w:val="20"/>
          <w:szCs w:val="20"/>
        </w:rPr>
        <w:t>.</w:t>
      </w:r>
    </w:p>
    <w:p w14:paraId="6A1EBCEC" w14:textId="59E68F2B" w:rsidR="008D16FE" w:rsidRPr="009F44A4" w:rsidRDefault="005B6911"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10.</w:t>
      </w:r>
      <w:r w:rsidR="00C02138" w:rsidRPr="009F44A4">
        <w:rPr>
          <w:rFonts w:ascii="Times New Roman" w:eastAsia="Calibri" w:hAnsi="Times New Roman" w:cs="Times New Roman"/>
          <w:b/>
          <w:color w:val="000000" w:themeColor="text1"/>
          <w:sz w:val="20"/>
          <w:szCs w:val="20"/>
        </w:rPr>
        <w:t xml:space="preserve">9. </w:t>
      </w:r>
      <w:proofErr w:type="spellStart"/>
      <w:r w:rsidR="00C02138" w:rsidRPr="009F44A4">
        <w:rPr>
          <w:rFonts w:ascii="Times New Roman" w:eastAsia="Calibri" w:hAnsi="Times New Roman" w:cs="Times New Roman"/>
          <w:b/>
          <w:color w:val="000000" w:themeColor="text1"/>
          <w:sz w:val="20"/>
          <w:szCs w:val="20"/>
        </w:rPr>
        <w:t>Ivermectin</w:t>
      </w:r>
      <w:proofErr w:type="spellEnd"/>
    </w:p>
    <w:p w14:paraId="6E2568E3" w14:textId="2046ACEC"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proofErr w:type="spellStart"/>
      <w:r w:rsidRPr="009F44A4">
        <w:rPr>
          <w:rFonts w:ascii="Times New Roman" w:eastAsia="Calibri" w:hAnsi="Times New Roman" w:cs="Times New Roman"/>
          <w:color w:val="000000" w:themeColor="text1"/>
          <w:sz w:val="20"/>
          <w:szCs w:val="20"/>
        </w:rPr>
        <w:t>Ivermectin</w:t>
      </w:r>
      <w:proofErr w:type="spellEnd"/>
      <w:r w:rsidRPr="009F44A4">
        <w:rPr>
          <w:rFonts w:ascii="Times New Roman" w:eastAsia="Calibri" w:hAnsi="Times New Roman" w:cs="Times New Roman"/>
          <w:color w:val="000000" w:themeColor="text1"/>
          <w:sz w:val="20"/>
          <w:szCs w:val="20"/>
        </w:rPr>
        <w:t xml:space="preserve"> is a lipophilic macrolide medication used to treat many types of parasitic infection and usually used as an anti-parasitic drug. It acts upon parasitic cell membranes, wherein glutamate-gated chloride ion channels are present; increasing the permeability of cell membrane and resulting in paralysis or death of the parasite. Scientists at </w:t>
      </w:r>
      <w:proofErr w:type="spellStart"/>
      <w:r w:rsidRPr="009F44A4">
        <w:rPr>
          <w:rFonts w:ascii="Times New Roman" w:eastAsia="Calibri" w:hAnsi="Times New Roman" w:cs="Times New Roman"/>
          <w:color w:val="000000" w:themeColor="text1"/>
          <w:sz w:val="20"/>
          <w:szCs w:val="20"/>
        </w:rPr>
        <w:t>Monash</w:t>
      </w:r>
      <w:proofErr w:type="spellEnd"/>
      <w:r w:rsidRPr="009F44A4">
        <w:rPr>
          <w:rFonts w:ascii="Times New Roman" w:eastAsia="Calibri" w:hAnsi="Times New Roman" w:cs="Times New Roman"/>
          <w:color w:val="000000" w:themeColor="text1"/>
          <w:sz w:val="20"/>
          <w:szCs w:val="20"/>
        </w:rPr>
        <w:t xml:space="preserve"> University in Melbourne, Australia, have observed the efficacy of this drug against COVID-19 in an in vitro experiment</w:t>
      </w:r>
      <w:r w:rsidR="00535F27" w:rsidRPr="009F44A4">
        <w:rPr>
          <w:rFonts w:ascii="Times New Roman" w:eastAsia="Calibri" w:hAnsi="Times New Roman" w:cs="Times New Roman"/>
          <w:color w:val="000000" w:themeColor="text1"/>
          <w:sz w:val="20"/>
          <w:szCs w:val="20"/>
        </w:rPr>
        <w:t xml:space="preserve"> </w:t>
      </w:r>
      <w:r w:rsidR="00535F2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{"citationID":"E4s9ACsV","properties":{"formattedCitation":"\\super 109\\nosupersub{}","plainCitation":"109","noteIndex":0},"citationItems":[{"id":743,"uris":["http://zotero.org/users/local/ZR048J0w/items/EBZ8SQMN"],"uri":["http://zotero.org/users/local/ZR048J0w/items/EBZ8SQMN"],"itemData":{"id":743,"type":"article-journal","abstract":"Although several clinical trials are now underway to test possible therapies, the worldwide response to the COVID-19 outbreak has been largely limited to monitoring/containment. We report here that Ivermectin, an FDA-approved anti-parasitic previously shown to have broad-spectrum anti-viral activity in vitro, is an inhibitor of the causative virus (SARS-CoV-2), with a single addition to Vero-hSLAM cells 2 h post infection with SARS-CoV-2 able to effect ~5000-fold reduction in viral RNA at 48 h. Ivermectin therefore warrants further investigation for possible benefits in humans.","container-title":"Antiviral Research","DOI":"10.1016/j.antiviral.2020.104787","ISSN":"1872-9096","journalAbbreviation":"Antiviral Res","language":"eng","note":"PMID: 32251768\nPMCID: PMC7129059","page":"104787","source":"PubMed","title":"The FDA-approved drug ivermectin inhibits the replication of SARS-CoV-2 in vitro","volume":"178","author":[{"family":"Caly","given":"Leon"},{"family":"Druce","given":"Julian D."},{"family":"Catton","given":"Mike G."},{"family":"Jans","given":"David A."},{"family":"Wagstaff","given":"Kylie M."}],"issued":{"date-parts":[["2020",6]]}}}],"schema":"https://github.com/citation-style-language/schema/raw/master/csl-citation.json"} </w:instrText>
      </w:r>
      <w:r w:rsidR="00535F2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109</w:t>
      </w:r>
      <w:r w:rsidR="00535F27" w:rsidRPr="009F44A4">
        <w:rPr>
          <w:rFonts w:ascii="Times New Roman" w:eastAsia="Calibri" w:hAnsi="Times New Roman" w:cs="Times New Roman"/>
          <w:color w:val="000000" w:themeColor="text1"/>
          <w:sz w:val="20"/>
          <w:szCs w:val="20"/>
        </w:rPr>
        <w:fldChar w:fldCharType="end"/>
      </w:r>
      <w:r w:rsidR="00535F27"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In addition, clinical studies ought to be performed to support its effectiveness in humans with COVID-19.</w:t>
      </w:r>
    </w:p>
    <w:p w14:paraId="2C35B72A" w14:textId="21518BD1" w:rsidR="008D16FE" w:rsidRPr="009F44A4" w:rsidRDefault="00B46F71" w:rsidP="00DC7281">
      <w:pPr>
        <w:shd w:val="clear" w:color="auto" w:fill="FFFFFF" w:themeFill="background1"/>
        <w:spacing w:line="360" w:lineRule="auto"/>
        <w:ind w:left="810" w:right="75" w:hanging="900"/>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 xml:space="preserve"> </w:t>
      </w:r>
      <w:r w:rsidR="005B6911" w:rsidRPr="009F44A4">
        <w:rPr>
          <w:rFonts w:ascii="Times New Roman" w:eastAsia="Calibri" w:hAnsi="Times New Roman" w:cs="Times New Roman"/>
          <w:b/>
          <w:color w:val="000000" w:themeColor="text1"/>
          <w:sz w:val="20"/>
          <w:szCs w:val="20"/>
        </w:rPr>
        <w:t>10.</w:t>
      </w:r>
      <w:r w:rsidR="00C02138" w:rsidRPr="009F44A4">
        <w:rPr>
          <w:rFonts w:ascii="Times New Roman" w:eastAsia="Calibri" w:hAnsi="Times New Roman" w:cs="Times New Roman"/>
          <w:b/>
          <w:color w:val="000000" w:themeColor="text1"/>
          <w:sz w:val="20"/>
          <w:szCs w:val="20"/>
        </w:rPr>
        <w:t xml:space="preserve">10. </w:t>
      </w:r>
      <w:proofErr w:type="spellStart"/>
      <w:r w:rsidR="00C02138" w:rsidRPr="009F44A4">
        <w:rPr>
          <w:rFonts w:ascii="Times New Roman" w:eastAsia="Calibri" w:hAnsi="Times New Roman" w:cs="Times New Roman"/>
          <w:b/>
          <w:color w:val="000000" w:themeColor="text1"/>
          <w:sz w:val="20"/>
          <w:szCs w:val="20"/>
        </w:rPr>
        <w:t>Tocilizumab</w:t>
      </w:r>
      <w:proofErr w:type="spellEnd"/>
      <w:r w:rsidR="00C02138" w:rsidRPr="009F44A4">
        <w:rPr>
          <w:rFonts w:ascii="Times New Roman" w:eastAsia="Calibri" w:hAnsi="Times New Roman" w:cs="Times New Roman"/>
          <w:b/>
          <w:color w:val="000000" w:themeColor="text1"/>
          <w:sz w:val="20"/>
          <w:szCs w:val="20"/>
        </w:rPr>
        <w:t xml:space="preserve"> and </w:t>
      </w:r>
      <w:proofErr w:type="spellStart"/>
      <w:r w:rsidR="00C02138" w:rsidRPr="009F44A4">
        <w:rPr>
          <w:rFonts w:ascii="Times New Roman" w:eastAsia="Calibri" w:hAnsi="Times New Roman" w:cs="Times New Roman"/>
          <w:b/>
          <w:color w:val="000000" w:themeColor="text1"/>
          <w:sz w:val="20"/>
          <w:szCs w:val="20"/>
        </w:rPr>
        <w:t>sarilumab</w:t>
      </w:r>
      <w:proofErr w:type="spellEnd"/>
    </w:p>
    <w:p w14:paraId="23C092E9" w14:textId="4A11865F"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In clinical trials, different kinds of drugs such as </w:t>
      </w:r>
      <w:proofErr w:type="spellStart"/>
      <w:r w:rsidRPr="009F44A4">
        <w:rPr>
          <w:rFonts w:ascii="Times New Roman" w:eastAsia="Calibri" w:hAnsi="Times New Roman" w:cs="Times New Roman"/>
          <w:color w:val="000000" w:themeColor="text1"/>
          <w:sz w:val="20"/>
          <w:szCs w:val="20"/>
        </w:rPr>
        <w:t>tocilizumab</w:t>
      </w:r>
      <w:proofErr w:type="spellEnd"/>
      <w:r w:rsidRPr="009F44A4">
        <w:rPr>
          <w:rFonts w:ascii="Times New Roman" w:eastAsia="Calibri" w:hAnsi="Times New Roman" w:cs="Times New Roman"/>
          <w:color w:val="000000" w:themeColor="text1"/>
          <w:sz w:val="20"/>
          <w:szCs w:val="20"/>
        </w:rPr>
        <w:t xml:space="preserve"> and </w:t>
      </w:r>
      <w:proofErr w:type="spellStart"/>
      <w:r w:rsidRPr="009F44A4">
        <w:rPr>
          <w:rFonts w:ascii="Times New Roman" w:eastAsia="Calibri" w:hAnsi="Times New Roman" w:cs="Times New Roman"/>
          <w:color w:val="000000" w:themeColor="text1"/>
          <w:sz w:val="20"/>
          <w:szCs w:val="20"/>
        </w:rPr>
        <w:t>sarilumab</w:t>
      </w:r>
      <w:proofErr w:type="spellEnd"/>
      <w:r w:rsidRPr="009F44A4">
        <w:rPr>
          <w:rFonts w:ascii="Times New Roman" w:eastAsia="Calibri" w:hAnsi="Times New Roman" w:cs="Times New Roman"/>
          <w:color w:val="000000" w:themeColor="text1"/>
          <w:sz w:val="20"/>
          <w:szCs w:val="20"/>
        </w:rPr>
        <w:t xml:space="preserve"> that block cytokines are being tested currently. These drugs are monoclonal antibodies that serve as IL-6 receptor inhibitors and are commonly utilized in the therapy of chronic inflammatory conditions that badly affect joints and</w:t>
      </w:r>
      <w:r w:rsidR="00535F27" w:rsidRPr="009F44A4">
        <w:rPr>
          <w:rFonts w:ascii="Times New Roman" w:eastAsia="Calibri" w:hAnsi="Times New Roman" w:cs="Times New Roman"/>
          <w:color w:val="000000" w:themeColor="text1"/>
          <w:sz w:val="20"/>
          <w:szCs w:val="20"/>
        </w:rPr>
        <w:t xml:space="preserve"> damage various body systems.  </w:t>
      </w:r>
      <w:r w:rsidRPr="009F44A4">
        <w:rPr>
          <w:rFonts w:ascii="Times New Roman" w:eastAsia="Calibri" w:hAnsi="Times New Roman" w:cs="Times New Roman"/>
          <w:color w:val="000000" w:themeColor="text1"/>
          <w:sz w:val="20"/>
          <w:szCs w:val="20"/>
        </w:rPr>
        <w:t>A unarranged controlled trial showed very positive results</w:t>
      </w:r>
      <w:r w:rsidR="00535F27" w:rsidRPr="009F44A4">
        <w:rPr>
          <w:rFonts w:ascii="Times New Roman" w:eastAsia="Calibri" w:hAnsi="Times New Roman" w:cs="Times New Roman"/>
          <w:color w:val="000000" w:themeColor="text1"/>
          <w:sz w:val="20"/>
          <w:szCs w:val="20"/>
        </w:rPr>
        <w:t xml:space="preserve"> </w:t>
      </w:r>
      <w:r w:rsidR="00535F2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{"citationID":"MoLl5D36","properties":{"formattedCitation":"\\super 110\\nosupersub{}","plainCitation":"110","noteIndex":0},"citationItems":[{"id":752,"uris":["http://zotero.org/users/local/ZR048J0w/items/B83M6TFY"],"uri":["http://zotero.org/users/local/ZR048J0w/items/B83M6TFY"],"itemData":{"id":752,"type":"report","abstract":"This study project includes a single-arm phase 2 study and a parallel cohort study, enrolling patients with COVID-19 pneumonia.","genre":"Clinical trial registration","note":"submitted: March 19, 2020","number":"NCT04317092","publisher":"clinicaltrials.gov","source":"clinicaltrials.gov","title":"Multicenter Study on the Efficacy and Tolerability of Tocilizumab in the Treatment of Patients With COVID-19 Pneumonia","title-short":"Tocilizumab in COVID-19 Pneumonia (TOCIVID-19)","URL":"https://clinicaltrials.gov/ct2/show/NCT04317092","author":[{"literal":"National Cancer Institute, Naples"}],"accessed":{"date-parts":[["2020",12,19]]},"issued":{"date-parts":[["2020",10,19]]}}}],"schema":"https://github.com/citation-style-language/schema/raw/master/csl-citation.json"} </w:instrText>
      </w:r>
      <w:r w:rsidR="00535F2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110</w:t>
      </w:r>
      <w:r w:rsidR="00535F27" w:rsidRPr="009F44A4">
        <w:rPr>
          <w:rFonts w:ascii="Times New Roman" w:eastAsia="Calibri" w:hAnsi="Times New Roman" w:cs="Times New Roman"/>
          <w:color w:val="000000" w:themeColor="text1"/>
          <w:sz w:val="20"/>
          <w:szCs w:val="20"/>
        </w:rPr>
        <w:fldChar w:fldCharType="end"/>
      </w:r>
      <w:r w:rsidR="00535F27"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Tocilizumab</w:t>
      </w:r>
      <w:proofErr w:type="spellEnd"/>
      <w:r w:rsidRPr="009F44A4">
        <w:rPr>
          <w:rFonts w:ascii="Times New Roman" w:eastAsia="Calibri" w:hAnsi="Times New Roman" w:cs="Times New Roman"/>
          <w:color w:val="000000" w:themeColor="text1"/>
          <w:sz w:val="20"/>
          <w:szCs w:val="20"/>
        </w:rPr>
        <w:t xml:space="preserve"> is the first IL-6 inhibiting antibody to be approved and has demonstrated its protection and efficacy in rheumatoid arthritis therapy</w:t>
      </w:r>
      <w:r w:rsidR="00535F27" w:rsidRPr="009F44A4">
        <w:rPr>
          <w:rFonts w:ascii="Times New Roman" w:eastAsia="Calibri" w:hAnsi="Times New Roman" w:cs="Times New Roman"/>
          <w:color w:val="000000" w:themeColor="text1"/>
          <w:sz w:val="20"/>
          <w:szCs w:val="20"/>
        </w:rPr>
        <w:t xml:space="preserve"> </w:t>
      </w:r>
      <w:r w:rsidR="00535F2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{"citationID":"iDT9HvK2","properties":{"formattedCitation":"\\super 111\\nosupersub{}","plainCitation":"111","noteIndex":0},"citationItems":[{"id":755,"uris":["http://zotero.org/users/local/ZR048J0w/items/BLYEXG3R"],"uri":["http://zotero.org/users/local/ZR048J0w/items/BLYEXG3R"],"itemData":{"id":755,"type":"article-journal","abstract":"A severe pneumonia-associated respiratory syndrome caused by a new coronavirus was identified in December 2019 (COVID-19), spread rapidly and has become a world-wide public health challenge. About 25% of COVID-19 patients experienced severe complications including acute respiratory distress syndrome (ARDS), and even progressed into an intensive care unit (ICU) admission and died. The exploration for the mortality causes and advancing novel therapeutic development of severe COVID-19 is crucial at the moment. The biopsy samples analysis at autopsy suggested that increased alveolar exudate caused by aberrant host immune response and inflammatory cytokine storm probably impedes alveolar gas exchange and contributes to the high mortality of severe COVID-19 patients. Our research has identified that pathogenic T cells and inflammatory monocytes incite inflammatory storm with large amount of interleukin 6, therefore monoclonal antibody that targets the IL-6 pathways may potentially curb inflammatory storm. Moreover, Tocilizumab treatment that blocking IL-6 receptors showed inspiring clinical results including temperature returned to normal quickly and respiratory function improved. Therefore, we suggest that Tocilizumab is an effective treatment in severe patients of COVID-19 to calm the inflammatory storm and reduce mortality.","container-title":"Journal of Translational Medicine","DOI":"10.1186/s12967-020-02339-3","ISSN":"1479-5876","issue":"1","journalAbbreviation":"Journal of Translational Medicine","page":"164","source":"BioMed Central","title":"Why tocilizumab could be an effective treatment for severe COVID-19?","volume":"18","author":[{"family":"Fu","given":"Binqing"},{"family":"Xu","given":"Xiaoling"},{"family":"Wei","given":"Haiming"}],"issued":{"date-parts":[["2020",4,14]]}}}],"schema":"https://github.com/citation-style-language/schema/raw/master/csl-citation.json"} </w:instrText>
      </w:r>
      <w:r w:rsidR="00535F2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111</w:t>
      </w:r>
      <w:r w:rsidR="00535F27" w:rsidRPr="009F44A4">
        <w:rPr>
          <w:rFonts w:ascii="Times New Roman" w:eastAsia="Calibri" w:hAnsi="Times New Roman" w:cs="Times New Roman"/>
          <w:color w:val="000000" w:themeColor="text1"/>
          <w:sz w:val="20"/>
          <w:szCs w:val="20"/>
        </w:rPr>
        <w:fldChar w:fldCharType="end"/>
      </w:r>
      <w:r w:rsidR="00535F27"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 xml:space="preserve">Another RA-approved IL-6 receptor blocker, </w:t>
      </w:r>
      <w:proofErr w:type="spellStart"/>
      <w:r w:rsidRPr="009F44A4">
        <w:rPr>
          <w:rFonts w:ascii="Times New Roman" w:eastAsia="Calibri" w:hAnsi="Times New Roman" w:cs="Times New Roman"/>
          <w:color w:val="000000" w:themeColor="text1"/>
          <w:sz w:val="20"/>
          <w:szCs w:val="20"/>
        </w:rPr>
        <w:t>Sarilumab</w:t>
      </w:r>
      <w:proofErr w:type="spellEnd"/>
      <w:r w:rsidRPr="009F44A4">
        <w:rPr>
          <w:rFonts w:ascii="Times New Roman" w:eastAsia="Calibri" w:hAnsi="Times New Roman" w:cs="Times New Roman"/>
          <w:color w:val="000000" w:themeColor="text1"/>
          <w:sz w:val="20"/>
          <w:szCs w:val="20"/>
        </w:rPr>
        <w:t>, has been studied in a multicenter, double-blind, phase 2/3 trial in hospitalized severe COVID-19 patients</w:t>
      </w:r>
      <w:r w:rsidR="00535F27" w:rsidRPr="009F44A4">
        <w:rPr>
          <w:rFonts w:ascii="Times New Roman" w:eastAsia="Calibri" w:hAnsi="Times New Roman" w:cs="Times New Roman"/>
          <w:color w:val="000000" w:themeColor="text1"/>
          <w:sz w:val="20"/>
          <w:szCs w:val="20"/>
        </w:rPr>
        <w:t xml:space="preserve"> </w:t>
      </w:r>
      <w:r w:rsidR="00535F2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{"citationID":"9TFrLBpZ","properties":{"formattedCitation":"\\super 112\\nosupersub{}","plainCitation":"112","noteIndex":0},"citationItems":[{"id":758,"uris":["http://zotero.org/users/local/ZR048J0w/items/EYT4B3JN"],"uri":["http://zotero.org/users/local/ZR048J0w/items/EYT4B3JN"],"itemData":{"id":758,"type":"report","abstract":"Phase 2:\n\nThe primary objective of the study is to evaluate the clinical efficacy of sarilumab relative to the control arm in adult patients hospitalized with COVID-19 regardless of disease severity strata.\n\nPhase 3 Cohort 1:\n\nThe primary objective of the study is to evaluate the clinical efficacy of sarilumab relative to the control arm in adult patients hospitalized with critical COVID-19 receiving mechanical ventilation at baseline.\n\nPhase 3 Cohort 2:\n\nThe primary objective of the study is to evaluate the clinical efficacy of sarilumab relative to the control arm in adult patients hospitalized with COVID-19 receiving mechanical ventilation at baseline.","genre":"Clinical trial registration","note":"submitted: March 15, 2020","number":"NCT04315298","publisher":"clinicaltrials.gov","source":"clinicaltrials.gov","title":"An Adaptive Phase 2/3, Randomized, Double-Blind, Placebo-Controlled Study Assessing Efficacy and Safety of Sarilumab for Hospitalized Patients With COVID-19","title-short":"Evaluation of the Efficacy and Safety of Sarilumab in Hospitalized Patients With COVID-19","URL":"https://clinicaltrials.gov/ct2/show/NCT04315298","author":[{"literal":"Regeneron Pharmaceuticals"}],"accessed":{"date-parts":[["2020",12,19]]},"issued":{"date-parts":[["2020",9,30]]}}}],"schema":"https://github.com/citation-style-language/schema/raw/master/csl-citation.json"} </w:instrText>
      </w:r>
      <w:r w:rsidR="00535F2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112</w:t>
      </w:r>
      <w:r w:rsidR="00535F27" w:rsidRPr="009F44A4">
        <w:rPr>
          <w:rFonts w:ascii="Times New Roman" w:eastAsia="Calibri" w:hAnsi="Times New Roman" w:cs="Times New Roman"/>
          <w:color w:val="000000" w:themeColor="text1"/>
          <w:sz w:val="20"/>
          <w:szCs w:val="20"/>
        </w:rPr>
        <w:fldChar w:fldCharType="end"/>
      </w:r>
      <w:r w:rsidR="00535F27"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From affiliate Hospital of the University of Science and Technology of China and Anhui </w:t>
      </w:r>
      <w:proofErr w:type="spellStart"/>
      <w:r w:rsidRPr="009F44A4">
        <w:rPr>
          <w:rFonts w:ascii="Times New Roman" w:eastAsia="Calibri" w:hAnsi="Times New Roman" w:cs="Times New Roman"/>
          <w:color w:val="000000" w:themeColor="text1"/>
          <w:sz w:val="20"/>
          <w:szCs w:val="20"/>
        </w:rPr>
        <w:t>Fuyang</w:t>
      </w:r>
      <w:proofErr w:type="spellEnd"/>
      <w:r w:rsidRPr="009F44A4">
        <w:rPr>
          <w:rFonts w:ascii="Times New Roman" w:eastAsia="Calibri" w:hAnsi="Times New Roman" w:cs="Times New Roman"/>
          <w:color w:val="000000" w:themeColor="text1"/>
          <w:sz w:val="20"/>
          <w:szCs w:val="20"/>
        </w:rPr>
        <w:t xml:space="preserve"> Second People's Hospital twenty-one sufferers identified with serious COVID-19 were selected and </w:t>
      </w:r>
      <w:r w:rsidRPr="009F44A4">
        <w:rPr>
          <w:rFonts w:ascii="Times New Roman" w:eastAsia="Calibri" w:hAnsi="Times New Roman" w:cs="Times New Roman"/>
          <w:color w:val="000000" w:themeColor="text1"/>
          <w:sz w:val="20"/>
          <w:szCs w:val="20"/>
        </w:rPr>
        <w:lastRenderedPageBreak/>
        <w:t xml:space="preserve">administered </w:t>
      </w:r>
      <w:proofErr w:type="spellStart"/>
      <w:r w:rsidRPr="009F44A4">
        <w:rPr>
          <w:rFonts w:ascii="Times New Roman" w:eastAsia="Calibri" w:hAnsi="Times New Roman" w:cs="Times New Roman"/>
          <w:color w:val="000000" w:themeColor="text1"/>
          <w:sz w:val="20"/>
          <w:szCs w:val="20"/>
        </w:rPr>
        <w:t>tocilizumab</w:t>
      </w:r>
      <w:proofErr w:type="spellEnd"/>
      <w:r w:rsidRPr="009F44A4">
        <w:rPr>
          <w:rFonts w:ascii="Times New Roman" w:eastAsia="Calibri" w:hAnsi="Times New Roman" w:cs="Times New Roman"/>
          <w:color w:val="000000" w:themeColor="text1"/>
          <w:sz w:val="20"/>
          <w:szCs w:val="20"/>
        </w:rPr>
        <w:t xml:space="preserve"> therapy to check whether the targeted interleukin-6 (IL-6) could possibly be an efficient and useful way to reduce COVID-19 fatalities. The outcomes of </w:t>
      </w:r>
      <w:proofErr w:type="spellStart"/>
      <w:r w:rsidRPr="009F44A4">
        <w:rPr>
          <w:rFonts w:ascii="Times New Roman" w:eastAsia="Calibri" w:hAnsi="Times New Roman" w:cs="Times New Roman"/>
          <w:color w:val="000000" w:themeColor="text1"/>
          <w:sz w:val="20"/>
          <w:szCs w:val="20"/>
        </w:rPr>
        <w:t>tocilizumab</w:t>
      </w:r>
      <w:proofErr w:type="spellEnd"/>
      <w:r w:rsidRPr="009F44A4">
        <w:rPr>
          <w:rFonts w:ascii="Times New Roman" w:eastAsia="Calibri" w:hAnsi="Times New Roman" w:cs="Times New Roman"/>
          <w:color w:val="000000" w:themeColor="text1"/>
          <w:sz w:val="20"/>
          <w:szCs w:val="20"/>
        </w:rPr>
        <w:t xml:space="preserve"> therapy are promising. The temperature of all patients stabilized very rapidly and the respiratory function and all other conditions got fine considerably. Of these 21 patients, 20 were stabilized and released within 2 weeks of treatment. No adverse drug reactions were reported during treatment with </w:t>
      </w:r>
      <w:proofErr w:type="spellStart"/>
      <w:r w:rsidRPr="009F44A4">
        <w:rPr>
          <w:rFonts w:ascii="Times New Roman" w:eastAsia="Calibri" w:hAnsi="Times New Roman" w:cs="Times New Roman"/>
          <w:color w:val="000000" w:themeColor="text1"/>
          <w:sz w:val="20"/>
          <w:szCs w:val="20"/>
        </w:rPr>
        <w:t>tocilizumab</w:t>
      </w:r>
      <w:proofErr w:type="spellEnd"/>
      <w:r w:rsidR="008573F4" w:rsidRPr="009F44A4">
        <w:rPr>
          <w:rFonts w:ascii="Times New Roman" w:eastAsia="Calibri" w:hAnsi="Times New Roman" w:cs="Times New Roman"/>
          <w:color w:val="000000" w:themeColor="text1"/>
          <w:sz w:val="20"/>
          <w:szCs w:val="20"/>
        </w:rPr>
        <w:t xml:space="preserve"> </w:t>
      </w:r>
      <w:r w:rsidR="008573F4"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{"citationID":"OmuXKNpL","properties":{"formattedCitation":"\\super 111,113\\uc0\\u8211{}115\\nosupersub{}","plainCitation":"111,113–115","noteIndex":0},"citationItems":[{"id":755,"uris":["http://zotero.org/users/local/ZR048J0w/items/BLYEXG3R"],"uri":["http://zotero.org/users/local/ZR048J0w/items/BLYEXG3R"],"itemData":{"id":755,"type":"article-journal","abstract":"A severe pneumonia-associated respiratory syndrome caused by a new coronavirus was identified in December 2019 (COVID-19), spread rapidly and has become a world-wide public health challenge. About 25% of COVID-19 patients experienced severe complications including acute respiratory distress syndrome (ARDS), and even progressed into an intensive care unit (ICU) admission and died. The exploration for the mortality causes and advancing novel therapeutic development of severe COVID-19 is crucial at the moment. The biopsy samples analysis at autopsy suggested that increased alveolar exudate caused by aberrant host immune response and inflammatory cytokine storm probably impedes alveolar gas exchange and contributes to the high mortality of severe COVID-19 patients. Our research has identified that pathogenic T cells and inflammatory monocytes incite inflammatory storm with large amount of interleukin 6, therefore monoclonal antibody that targets the IL-6 pathways may potentially curb inflammatory storm. Moreover, Tocilizumab treatment that blocking IL-6 receptors showed inspiring clinical results including temperature returned to normal quickly and respiratory function improved. Therefore, we suggest that Tocilizumab is an effective treatment in severe patients of COVID-19 to calm the inflammatory storm and reduce mortality.","container-title":"Journal of Translational Medicine","DOI":"10.1186/s12967-020-02339-3","ISSN":"1479-5876","issue":"1","journalAbbreviation":"Journal of Translational Medicine","page":"164","source":"BioMed Central","title":"Why tocilizumab could be an effective treatment for severe COVID-19?","volume":"18","author":[{"family":"Fu","given":"Binqing"},{"family":"Xu","given":"Xiaoling"},{"family":"Wei","given":"Haiming"}],"issued":{"date-parts":[["2020",4,14]]}}},{"id":759,"uris":["http://zotero.org/users/local/ZR048J0w/items/R954IXBZ"],"uri":["http://zotero.org/users/local/ZR048J0w/items/R954IXBZ"],"itemData":{"id":759,"type":"article-journal","abstract":"In patients with coronavirus disease 2019, a large number of T lymphocytes and mononuclear macrophages are activated, producing cytokines such as interleukin-6 (IL-6), which bind to the IL-6 receptor on the target cells, causing the cytokine storm and severe inflammatory responses in lungs and other tissues and organs. Tocilizumab, as a recombinant humanized anti-human IL-6 receptor monoclonal antibody, can bind to the IL-6 receptor with high affinity, thus preventing IL-6 itself from binding to its receptor, rendering it incapable of immune damage to target cells, and alleviating the inflammatory responses., After analyzing the immune characteristics of patients with severe coronavirus disease 2019 (COVID-19), we have identified that pathogenic T cells and inflammatory monocytes with large amount of interleukin 6 secreting may incite the inflammatory storm, which may potentially be curbed through monoclonal antibody that targets the IL-6 pathways. Here, we aimed to assess the efficacy of tocilizumab in severe patients with COVID-19 and seek a therapeutic strategy. The patients diagnosed as severe or critical COVID-19 in The First Affiliated Hospital of University of Science and Technology of China (Anhui Provincial Hospital) and Anhui Fuyang Second People’s Hospital were given tocilizumab in addition to routine therapy between 5 and 14 February 2020. The changes of clinical manifestations, computerized tomography (CT) scan image, and laboratory examinations were retrospectively analyzed. Fever returned to normal on the first day, and other symptoms improved remarkably within a few days. Within 5 d after tocilizumab, 15 of the 20 patients (75.0%) had lowered their oxygen intake, and 1 patient needed no oxygen therapy. CT scans manifested that the lung lesion opacity absorbed in 19 patients (90.5%). The percentage of lymphocytes in peripheral blood, which decreased in 85.0% of patients (17/20) before treatment (mean, 15.52 ± 8.89%), returned to normal in 52.6% of patients (10/19) on the fifth day after treatment. Abnormally elevated C-reactive protein decreased significantly in 84.2% of patients (16/19). No obvious adverse reactions were observed. All patients have been discharged on average 15.1 d after giving tocilizumab. Preliminary data show that tocilizumab, which improved the clinical outcome immediately in severe and critical COVID-19 patients, is an effective treatment to reduce mortality.","container-title":"Proceedings of the National Academy of Sciences of the United States of America","DOI":"10.1073/pnas.2005615117","ISSN":"0027-8424","issue":"20","journalAbbreviation":"Proc Natl Acad Sci U S A","note":"PMID: 32350134\nPMCID: PMC7245089","page":"10970-10975","source":"PubMed Central","title":"Effective treatment of severe COVID-19 patients with tocilizumab","volume":"117","author":[{"family":"Xu","given":"Xiaoling"},{"family":"Han","given":"Mingfeng"},{"family":"Li","given":"Tiantian"},{"family":"Sun","given":"Wei"},{"family":"Wang","given":"Dongsheng"},{"family":"Fu","given":"Binqing"},{"family":"Zhou","given":"Yonggang"},{"family":"Zheng","given":"Xiaohu"},{"family":"Yang","given":"Yun"},{"family":"Li","given":"Xiuyong"},{"family":"Zhang","given":"Xiaohua"},{"family":"Pan","given":"Aijun"},{"family":"Wei","given":"Haiming"}],"issued":{"date-parts":[["2020",5,19]]}}},{"id":762,"uris":["http://zotero.org/users/local/ZR048J0w/items/UWCUY8FY"],"uri":["http://zotero.org/users/local/ZR048J0w/items/UWCUY8FY"],"itemData":{"id":762,"type":"article-journal","abstract":"The current pandemic of coronavirus disease 2019 (COVID-19) caused by severe acute respiratory syndrome coronavirus 2 (SARS-CoV-2) has presented unprecedented challenges to the healthcare systems in almost every country around the world. Currently, there are no proven effective vaccines or therapeutic agents against the virus. Current clinical management includes infection prevention and control measures and supportive care including supplemental oxygen and mechanical ventilatory support. Evolving research and clinical data regarding the virologic SARS-CoV-2 suggest a potential list of repurposed drugs with appropriate pharmacological effects and therapeutic efficacies in treating COVID-19 patients. In this review, we will update and summarize the most common and plausible drugs for the treatment of COVID-19 patients. These drugs and therapeutic agents include antiviral agents (remdesivir, hydroxychloroquine, chloroquine, lopinavir, umifenovir, favipiravir, and oseltamivir), and supporting agents (Ascorbic acid, Azithromycin, Corticosteroids, Nitric oxide, IL-6 antagonists), among others. We hope that this review will provide useful and most updated therapeutic drugs to prevent, control, and treat COVID-19 patients until the approval of vaccines and specific drugs targeting SARS-CoV-2.","container-title":"Current Pharmacology Reports","DOI":"10.1007/s40495-020-00216-7","ISSN":"2198-641X","journalAbbreviation":"Curr Pharmacol Rep","note":"PMID: 32395418\nPMCID: PMC7211915","page":"1-15","source":"PubMed Central","title":"An Update on Current Therapeutic Drugs Treating COVID-19","author":[{"family":"Wu","given":"Renyi"},{"family":"Wang","given":"Lujing"},{"family":"Kuo","given":"Hsiao-Chen Dina"},{"family":"Shannar","given":"Ahmad"},{"family":"Peter","given":"Rebecca"},{"family":"Chou","given":"Pochung Jordan"},{"family":"Li","given":"Shanyi"},{"family":"Hudlikar","given":"Rasika"},{"family":"Liu","given":"Xia"},{"family":"Liu","given":"Zhigang"},{"family":"Poiani","given":"George J."},{"family":"Amorosa","given":"Louis"},{"family":"Brunetti","given":"Luigi"},{"family":"Kong","given":"Ah-Ng"}],"issued":{"date-parts":[["2020",5,11]]}}},{"id":765,"uris":["http://zotero.org/users/local/ZR048J0w/items/ADV7FIJM"],"uri":["http://zotero.org/users/local/ZR048J0w/items/ADV7FIJM"],"itemData":{"id":765,"type":"article-journal","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described.\nMETHODS: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death.\nFINDINGS: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days.\nINTERPRETATION: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future.\nFUNDING: Chinese Academy of Medical Sciences Innovation Fund for Medical Sciences; National Science Grant for Distinguished Young Scholars; National Key Research and Development Program of China; The Beijing Science and Technology Project; and Major Projects of National Science and Technology on New Drug Creation and Development.","container-title":"Lancet (London, England)","DOI":"10.1016/S0140-6736(20)30566-3","ISSN":"1474-547X","issue":"10229","journalAbbreviation":"Lancet","language":"eng","note":"PMID: 32171076\nPMCID: PMC7270627","page":"1054-1062","source":"PubMed","title":"Clinical course and risk factors for mortality of adult inpatients with COVID-19 in Wuhan, China: a retrospective cohort study","title-short":"Clinical course and risk factors for mortality of adult inpatients with COVID-19 in Wuhan, China","volume":"395","author":[{"family":"Zhou","given":"Fei"},{"family":"Yu","given":"Ting"},{"family":"Du","given":"Ronghui"},{"family":"Fan","given":"Guohui"},{"family":"Liu","given":"Ying"},{"family":"Liu","given":"Zhibo"},{"family":"Xiang","given":"Jie"},{"family":"Wang","given":"Yeming"},{"family":"Song","given":"Bin"},{"family":"Gu","given":"Xiaoying"},{"family":"Guan","given":"Lulu"},{"family":"Wei","given":"Yuan"},{"family":"Li","given":"Hui"},{"family":"Wu","given":"Xudong"},{"family":"Xu","given":"Jiuyang"},{"family":"Tu","given":"Shengjin"},{"family":"Zhang","given":"Yi"},{"family":"Chen","given":"Hua"},{"family":"Cao","given":"Bin"}],"issued":{"date-parts":[["2020",3,28]]}}}],"schema":"https://github.com/citation-style-language/schema/raw/master/csl-citation.json"} </w:instrText>
      </w:r>
      <w:r w:rsidR="008573F4"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111,113–115</w:t>
      </w:r>
      <w:r w:rsidR="008573F4" w:rsidRPr="009F44A4">
        <w:rPr>
          <w:rFonts w:ascii="Times New Roman" w:eastAsia="Calibri" w:hAnsi="Times New Roman" w:cs="Times New Roman"/>
          <w:color w:val="000000" w:themeColor="text1"/>
          <w:sz w:val="20"/>
          <w:szCs w:val="20"/>
        </w:rPr>
        <w:fldChar w:fldCharType="end"/>
      </w:r>
      <w:r w:rsidR="008573F4" w:rsidRPr="009F44A4">
        <w:rPr>
          <w:rFonts w:ascii="Times New Roman" w:eastAsia="Calibri" w:hAnsi="Times New Roman" w:cs="Times New Roman"/>
          <w:color w:val="000000" w:themeColor="text1"/>
          <w:sz w:val="20"/>
          <w:szCs w:val="20"/>
        </w:rPr>
        <w:t xml:space="preserve">. </w:t>
      </w:r>
    </w:p>
    <w:p w14:paraId="2DD0C784" w14:textId="075E1DBB" w:rsidR="008D16FE" w:rsidRPr="009F44A4" w:rsidRDefault="005B6911" w:rsidP="00DC7281">
      <w:pPr>
        <w:pStyle w:val="Heading4"/>
        <w:shd w:val="clear" w:color="auto" w:fill="FFFFFF" w:themeFill="background1"/>
        <w:spacing w:after="0"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10.</w:t>
      </w:r>
      <w:r w:rsidR="00C02138" w:rsidRPr="009F44A4">
        <w:rPr>
          <w:rFonts w:ascii="Times New Roman" w:eastAsia="Calibri" w:hAnsi="Times New Roman" w:cs="Times New Roman"/>
          <w:b/>
          <w:color w:val="000000" w:themeColor="text1"/>
          <w:sz w:val="20"/>
          <w:szCs w:val="20"/>
        </w:rPr>
        <w:t xml:space="preserve">11. </w:t>
      </w:r>
      <w:proofErr w:type="spellStart"/>
      <w:r w:rsidR="00C02138" w:rsidRPr="009F44A4">
        <w:rPr>
          <w:rFonts w:ascii="Times New Roman" w:eastAsia="Calibri" w:hAnsi="Times New Roman" w:cs="Times New Roman"/>
          <w:b/>
          <w:color w:val="000000" w:themeColor="text1"/>
          <w:sz w:val="20"/>
          <w:szCs w:val="20"/>
        </w:rPr>
        <w:t>Bevacizumab</w:t>
      </w:r>
      <w:proofErr w:type="spellEnd"/>
    </w:p>
    <w:p w14:paraId="3D82E8BF" w14:textId="1FB64938"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proofErr w:type="spellStart"/>
      <w:r w:rsidRPr="009F44A4">
        <w:rPr>
          <w:rFonts w:ascii="Times New Roman" w:eastAsia="Calibri" w:hAnsi="Times New Roman" w:cs="Times New Roman"/>
          <w:color w:val="000000" w:themeColor="text1"/>
          <w:sz w:val="20"/>
          <w:szCs w:val="20"/>
        </w:rPr>
        <w:t>Bevacizumab</w:t>
      </w:r>
      <w:proofErr w:type="spellEnd"/>
      <w:r w:rsidRPr="009F44A4">
        <w:rPr>
          <w:rFonts w:ascii="Times New Roman" w:eastAsia="Calibri" w:hAnsi="Times New Roman" w:cs="Times New Roman"/>
          <w:color w:val="000000" w:themeColor="text1"/>
          <w:sz w:val="20"/>
          <w:szCs w:val="20"/>
        </w:rPr>
        <w:t xml:space="preserve"> is a monoclonal antibody that is normally used in various types of cancer against the signaling protein vascular endothelial growth factor (VEGF). In China and Italy, researchers are conducting clinical trials of </w:t>
      </w:r>
      <w:proofErr w:type="spellStart"/>
      <w:r w:rsidRPr="009F44A4">
        <w:rPr>
          <w:rFonts w:ascii="Times New Roman" w:eastAsia="Calibri" w:hAnsi="Times New Roman" w:cs="Times New Roman"/>
          <w:color w:val="000000" w:themeColor="text1"/>
          <w:sz w:val="20"/>
          <w:szCs w:val="20"/>
        </w:rPr>
        <w:t>Bevacizumab</w:t>
      </w:r>
      <w:proofErr w:type="spellEnd"/>
      <w:r w:rsidRPr="009F44A4">
        <w:rPr>
          <w:rFonts w:ascii="Times New Roman" w:eastAsia="Calibri" w:hAnsi="Times New Roman" w:cs="Times New Roman"/>
          <w:color w:val="000000" w:themeColor="text1"/>
          <w:sz w:val="20"/>
          <w:szCs w:val="20"/>
        </w:rPr>
        <w:t>. This drug helps in suppressing tumors by inhibiting the growth of blood vessels that are supplied to the tumor. This drug is also helpful in reduction of vascular permeability and thereby lowering the volume of fluid that enters into the lungs</w:t>
      </w:r>
      <w:r w:rsidR="00CA710F" w:rsidRPr="009F44A4">
        <w:rPr>
          <w:rFonts w:ascii="Times New Roman" w:eastAsia="Calibri" w:hAnsi="Times New Roman" w:cs="Times New Roman"/>
          <w:color w:val="000000" w:themeColor="text1"/>
          <w:sz w:val="20"/>
          <w:szCs w:val="20"/>
        </w:rPr>
        <w:t xml:space="preserve"> </w:t>
      </w:r>
      <w:r w:rsidR="00CA710F"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{"citationID":"hw7lbq1C","properties":{"formattedCitation":"\\super 116\\nosupersub{}","plainCitation":"116","noteIndex":0},"citationItems":[{"id":785,"uris":["http://zotero.org/users/local/ZR048J0w/items/MQ5DQQKZ"],"uri":["http://zotero.org/users/local/ZR048J0w/items/MQ5DQQKZ"],"itemData":{"id":785,"type":"report","abstract":"The novel coronavirus (SARS-CoV-2) is a new strain of coronavirus found in human in 2019, which causes epidemic worldwide. Novel coronavirus disease (COVID-19) causes acute lung injury (ALI) and acute respiratory distress syndrome (ARDS) in the severe and critically severe patients. Pulmonary edema is the key detrimental feature of ALI/ARDS. Autopsy of patients died from COVID-19 reported that, pulmonary mucus exudation was severe, more obvious than SARS infection. Pulmonary CT scanning and pathological findings also suggest that pulmonary edema caused by inflammatory exudation is a distinguished feature of COVID-19. However, specific pharmacotherapy is lacking.Vascular endothelial growth factor (VEGF) is known as the most potent inducing factors to increase vascular permeability. Bevacizumab is an anti VEGF recombinant humanized monoclonal antibody, which has been used in anti-tumor treatment for 16 years. Evidence suggest that Bevacizumab is a promising drug for severe and critical COVID-19 patients.","genre":"Clinical trial registration","note":"submitted: March 9, 2020","number":"NCT04305106","publisher":"clinicaltrials.gov","source":"clinicaltrials.gov","title":"The Efficacy and Safety of Bevacizumab in Severe or Critical Patients With COVID-19--a Multicenter Randomized Controlled Clinical Trial","title-short":"Bevacizumab in Severe or Critically Severe Patients With COVID-19 Pneumonia-RCT","URL":"https://clinicaltrials.gov/ct2/show/NCT04305106","author":[{"literal":"Qilu Hospital of Shandong University"}],"accessed":{"date-parts":[["2020",12,20]]},"issued":{"date-parts":[["2020",3,24]]}}}],"schema":"https://github.com/citation-style-language/schema/raw/master/csl-citation.json"} </w:instrText>
      </w:r>
      <w:r w:rsidR="00CA710F"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116</w:t>
      </w:r>
      <w:r w:rsidR="00CA710F" w:rsidRPr="009F44A4">
        <w:rPr>
          <w:rFonts w:ascii="Times New Roman" w:eastAsia="Calibri" w:hAnsi="Times New Roman" w:cs="Times New Roman"/>
          <w:color w:val="000000" w:themeColor="text1"/>
          <w:sz w:val="20"/>
          <w:szCs w:val="20"/>
        </w:rPr>
        <w:fldChar w:fldCharType="end"/>
      </w:r>
      <w:r w:rsidR="00823B79" w:rsidRPr="009F44A4">
        <w:rPr>
          <w:rFonts w:ascii="Times New Roman" w:eastAsia="Calibri" w:hAnsi="Times New Roman" w:cs="Times New Roman"/>
          <w:color w:val="000000" w:themeColor="text1"/>
          <w:sz w:val="20"/>
          <w:szCs w:val="20"/>
        </w:rPr>
        <w:t>.</w:t>
      </w:r>
    </w:p>
    <w:p w14:paraId="6227C066" w14:textId="456E9F45" w:rsidR="008D16FE" w:rsidRPr="009F44A4" w:rsidRDefault="005B6911" w:rsidP="00DC7281">
      <w:pPr>
        <w:pStyle w:val="Heading4"/>
        <w:shd w:val="clear" w:color="auto" w:fill="FFFFFF" w:themeFill="background1"/>
        <w:spacing w:before="0" w:after="0"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10.</w:t>
      </w:r>
      <w:r w:rsidR="00C02138" w:rsidRPr="009F44A4">
        <w:rPr>
          <w:rFonts w:ascii="Times New Roman" w:eastAsia="Calibri" w:hAnsi="Times New Roman" w:cs="Times New Roman"/>
          <w:b/>
          <w:color w:val="000000" w:themeColor="text1"/>
          <w:sz w:val="20"/>
          <w:szCs w:val="20"/>
        </w:rPr>
        <w:t>12. Fluvoxamine</w:t>
      </w:r>
    </w:p>
    <w:p w14:paraId="4FF2889D" w14:textId="48EA2698"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Fluvoxamine is an FDA-</w:t>
      </w:r>
      <w:proofErr w:type="spellStart"/>
      <w:r w:rsidRPr="009F44A4">
        <w:rPr>
          <w:rFonts w:ascii="Times New Roman" w:eastAsia="Calibri" w:hAnsi="Times New Roman" w:cs="Times New Roman"/>
          <w:color w:val="000000" w:themeColor="text1"/>
          <w:sz w:val="20"/>
          <w:szCs w:val="20"/>
        </w:rPr>
        <w:t>licenced</w:t>
      </w:r>
      <w:proofErr w:type="spellEnd"/>
      <w:r w:rsidRPr="009F44A4">
        <w:rPr>
          <w:rFonts w:ascii="Times New Roman" w:eastAsia="Calibri" w:hAnsi="Times New Roman" w:cs="Times New Roman"/>
          <w:color w:val="000000" w:themeColor="text1"/>
          <w:sz w:val="20"/>
          <w:szCs w:val="20"/>
        </w:rPr>
        <w:t xml:space="preserve"> antidepressant medicine utilized to cure obsessive-compulsive disorder and a better source of immunomodulation. According to an animal study, fluvoxamine in cells shuts down the inflammatory cascade from the endoplasmic reticulum when it binds to sigma-1 receptors</w:t>
      </w:r>
      <w:r w:rsidR="00E17E57" w:rsidRPr="009F44A4">
        <w:rPr>
          <w:rFonts w:ascii="Times New Roman" w:eastAsia="Calibri" w:hAnsi="Times New Roman" w:cs="Times New Roman"/>
          <w:color w:val="000000" w:themeColor="text1"/>
          <w:sz w:val="20"/>
          <w:szCs w:val="20"/>
        </w:rPr>
        <w:t xml:space="preserve"> </w:t>
      </w:r>
      <w:r w:rsidR="00E17E5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{"citationID":"sY4Ooq7n","properties":{"formattedCitation":"\\super 116\\nosupersub{}","plainCitation":"116","noteIndex":0},"citationItems":[{"id":785,"uris":["http://zotero.org/users/local/ZR048J0w/items/MQ5DQQKZ"],"uri":["http://zotero.org/users/local/ZR048J0w/items/MQ5DQQKZ"],"itemData":{"id":785,"type":"report","abstract":"The novel coronavirus (SARS-CoV-2) is a new strain of coronavirus found in human in 2019, which causes epidemic worldwide. Novel coronavirus disease (COVID-19) causes acute lung injury (ALI) and acute respiratory distress syndrome (ARDS) in the severe and critically severe patients. Pulmonary edema is the key detrimental feature of ALI/ARDS. Autopsy of patients died from COVID-19 reported that, pulmonary mucus exudation was severe, more obvious than SARS infection. Pulmonary CT scanning and pathological findings also suggest that pulmonary edema caused by inflammatory exudation is a distinguished feature of COVID-19. However, specific pharmacotherapy is lacking.Vascular endothelial growth factor (VEGF) is known as the most potent inducing factors to increase vascular permeability. Bevacizumab is an anti VEGF recombinant humanized monoclonal antibody, which has been used in anti-tumor treatment for 16 years. Evidence suggest that Bevacizumab is a promising drug for severe and critical COVID-19 patients.","genre":"Clinical trial registration","note":"submitted: March 9, 2020","number":"NCT04305106","publisher":"clinicaltrials.gov","source":"clinicaltrials.gov","title":"The Efficacy and Safety of Bevacizumab in Severe or Critical Patients With COVID-19--a Multicenter Randomized Controlled Clinical Trial","title-short":"Bevacizumab in Severe or Critically Severe Patients With COVID-19 Pneumonia-RCT","URL":"https://clinicaltrials.gov/ct2/show/NCT04305106","author":[{"literal":"Qilu Hospital of Shandong University"}],"accessed":{"date-parts":[["2020",12,20]]},"issued":{"date-parts":[["2020",3,24]]}}}],"schema":"https://github.com/citation-style-language/schema/raw/master/csl-citation.json"} </w:instrText>
      </w:r>
      <w:r w:rsidR="00E17E5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116</w:t>
      </w:r>
      <w:r w:rsidR="00E17E57" w:rsidRPr="009F44A4">
        <w:rPr>
          <w:rFonts w:ascii="Times New Roman" w:eastAsia="Calibri" w:hAnsi="Times New Roman" w:cs="Times New Roman"/>
          <w:color w:val="000000" w:themeColor="text1"/>
          <w:sz w:val="20"/>
          <w:szCs w:val="20"/>
        </w:rPr>
        <w:fldChar w:fldCharType="end"/>
      </w:r>
      <w:r w:rsidR="00E17E57"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A clinical trial is still underway at the Washington University School of Medicine in St Louis, Missouri, USA, to investigate the significance of this medicines for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therapy</w:t>
      </w:r>
      <w:r w:rsidR="00E17E57" w:rsidRPr="009F44A4">
        <w:rPr>
          <w:rFonts w:ascii="Times New Roman" w:eastAsia="Calibri" w:hAnsi="Times New Roman" w:cs="Times New Roman"/>
          <w:color w:val="000000" w:themeColor="text1"/>
          <w:sz w:val="20"/>
          <w:szCs w:val="20"/>
        </w:rPr>
        <w:t xml:space="preserve"> </w:t>
      </w:r>
      <w:r w:rsidR="00E17E5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{"citationID":"fH0Li4eA","properties":{"formattedCitation":"\\super 117\\nosupersub{}","plainCitation":"117","noteIndex":0},"citationItems":[{"id":772,"uris":["http://zotero.org/users/local/ZR048J0w/items/23RX2DZE"],"uri":["http://zotero.org/users/local/ZR048J0w/items/23RX2DZE"],"itemData":{"id":772,"type":"article-journal","abstract":"Importance: Coronavirus disease 2019 (COVID-19) may lead to serious illness as a result of an excessive immune response. Fluvoxamine may prevent clinical deterioration by stimulating the σ-1 receptor, which regulates cytokine production.\nObjective: To determine whether fluvoxamine, given during mild COVID-19 illness, prevents clinical deterioration and decreases the severity of disease.\nDesign, Setting, and Participants: Double-blind, randomized, fully remote (contactless) clinical trial of fluvoxamine vs placebo. Participants were community-living, nonhospitalized adults with confirmed severe acute respiratory syndrome coronavirus 2 infection, with COVID-19 symptom onset within 7 days and oxygen saturation of 92% or greater. One hundred fifty-two participants were enrolled from the St Louis metropolitan area (Missouri and Illinois) from April 10, 2020, to August 5, 2020. The final date of follow-up was September 19, 2020.\nInterventions: Participants were randomly assigned to receive 100 mg of fluvoxamine (n = 80) or placebo (n = 72) 3 times daily for 15 days.\nMain Outcomes and Measures: The primary outcome was clinical deterioration within 15 days of randomization defined by meeting both criteria of (1) shortness of breath or hospitalization for shortness of breath or pneumonia and (2) oxygen saturation less than 92% on room air or need for supplemental oxygen to achieve oxygen saturation of 92% or greater.\nResults: Of 152 patients who were randomized (mean [SD] age, 46 [13] years; 109 [72%] women), 115 (76%) completed the trial. Clinical deterioration occurred in 0 of 80 patients in the fluvoxamine group and in 6 of 72 patients in the placebo group (absolute difference, 8.7% [95% CI, 1.8%-16.4%] from survival analysis; log-rank P = .009). The fluvoxamine group had 1 serious adverse event and 11 other adverse events, whereas the placebo group had 6 serious adverse events and 12 other adverse events.\nConclusions and Relevance: In this preliminary study of adult outpatients with symptomatic COVID-19, patients treated with fluvoxamine, compared with placebo, had a lower likelihood of clinical deterioration over 15 days. However, the study is limited by a small sample size and short follow-up duration, and determination of clinical efficacy would require larger randomized trials with more definitive outcome measures.\nTrial Registration: ClinicalTrials.gov Identifier: NCT04342663.","container-title":"JAMA","DOI":"10.1001/jama.2020.22760","ISSN":"1538-3598","issue":"22","journalAbbreviation":"JAMA","language":"eng","note":"PMID: 33180097\nPMCID: PMC7662481","page":"2292-2300","source":"PubMed","title":"Fluvoxamine vs Placebo and Clinical Deterioration in Outpatients With Symptomatic COVID-19: A Randomized Clinical Trial","title-short":"Fluvoxamine vs Placebo and Clinical Deterioration in Outpatients With Symptomatic COVID-19","volume":"324","author":[{"family":"Lenze","given":"Eric J."},{"family":"Mattar","given":"Caline"},{"family":"Zorumski","given":"Charles F."},{"family":"Stevens","given":"Angela"},{"family":"Schweiger","given":"Julie"},{"family":"Nicol","given":"Ginger E."},{"family":"Miller","given":"J. Philip"},{"family":"Yang","given":"Lei"},{"family":"Yingling","given":"Michael"},{"family":"Avidan","given":"Michael S."},{"family":"Reiersen","given":"Angela M."}],"issued":{"date-parts":[["2020",12,8]]}}}],"schema":"https://github.com/citation-style-language/schema/raw/master/csl-citation.json"} </w:instrText>
      </w:r>
      <w:r w:rsidR="00E17E5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117</w:t>
      </w:r>
      <w:r w:rsidR="00E17E57" w:rsidRPr="009F44A4">
        <w:rPr>
          <w:rFonts w:ascii="Times New Roman" w:eastAsia="Calibri" w:hAnsi="Times New Roman" w:cs="Times New Roman"/>
          <w:color w:val="000000" w:themeColor="text1"/>
          <w:sz w:val="20"/>
          <w:szCs w:val="20"/>
        </w:rPr>
        <w:fldChar w:fldCharType="end"/>
      </w:r>
      <w:r w:rsidR="00E17E57" w:rsidRPr="009F44A4">
        <w:rPr>
          <w:rFonts w:ascii="Times New Roman" w:eastAsia="Calibri" w:hAnsi="Times New Roman" w:cs="Times New Roman"/>
          <w:color w:val="000000" w:themeColor="text1"/>
          <w:sz w:val="20"/>
          <w:szCs w:val="20"/>
        </w:rPr>
        <w:t>.</w:t>
      </w:r>
    </w:p>
    <w:p w14:paraId="266FDF81" w14:textId="106637E7" w:rsidR="008D16FE" w:rsidRPr="009F44A4" w:rsidRDefault="005B6911" w:rsidP="00DC7281">
      <w:pPr>
        <w:pStyle w:val="Heading4"/>
        <w:shd w:val="clear" w:color="auto" w:fill="FFFFFF" w:themeFill="background1"/>
        <w:spacing w:before="0" w:after="0"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10.</w:t>
      </w:r>
      <w:r w:rsidR="00C02138" w:rsidRPr="009F44A4">
        <w:rPr>
          <w:rFonts w:ascii="Times New Roman" w:eastAsia="Calibri" w:hAnsi="Times New Roman" w:cs="Times New Roman"/>
          <w:b/>
          <w:color w:val="000000" w:themeColor="text1"/>
          <w:sz w:val="20"/>
          <w:szCs w:val="20"/>
        </w:rPr>
        <w:t xml:space="preserve">13. </w:t>
      </w:r>
      <w:proofErr w:type="spellStart"/>
      <w:r w:rsidR="00C02138" w:rsidRPr="009F44A4">
        <w:rPr>
          <w:rFonts w:ascii="Times New Roman" w:eastAsia="Calibri" w:hAnsi="Times New Roman" w:cs="Times New Roman"/>
          <w:b/>
          <w:color w:val="000000" w:themeColor="text1"/>
          <w:sz w:val="20"/>
          <w:szCs w:val="20"/>
        </w:rPr>
        <w:t>Favipiravir</w:t>
      </w:r>
      <w:proofErr w:type="spellEnd"/>
    </w:p>
    <w:p w14:paraId="61178FBA" w14:textId="177BF876"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proofErr w:type="spellStart"/>
      <w:r w:rsidRPr="009F44A4">
        <w:rPr>
          <w:rFonts w:ascii="Times New Roman" w:eastAsia="Calibri" w:hAnsi="Times New Roman" w:cs="Times New Roman"/>
          <w:color w:val="000000" w:themeColor="text1"/>
          <w:sz w:val="20"/>
          <w:szCs w:val="20"/>
        </w:rPr>
        <w:t>Favipiravir</w:t>
      </w:r>
      <w:proofErr w:type="spellEnd"/>
      <w:r w:rsidRPr="009F44A4">
        <w:rPr>
          <w:rFonts w:ascii="Times New Roman" w:eastAsia="Calibri" w:hAnsi="Times New Roman" w:cs="Times New Roman"/>
          <w:color w:val="000000" w:themeColor="text1"/>
          <w:sz w:val="20"/>
          <w:szCs w:val="20"/>
        </w:rPr>
        <w:t xml:space="preserve"> is mainly produced by Toyama chemical Co. Ltd. in Japan. </w:t>
      </w:r>
      <w:proofErr w:type="spellStart"/>
      <w:r w:rsidRPr="009F44A4">
        <w:rPr>
          <w:rFonts w:ascii="Times New Roman" w:eastAsia="Calibri" w:hAnsi="Times New Roman" w:cs="Times New Roman"/>
          <w:color w:val="000000" w:themeColor="text1"/>
          <w:sz w:val="20"/>
          <w:szCs w:val="20"/>
        </w:rPr>
        <w:t>Favipiravir</w:t>
      </w:r>
      <w:proofErr w:type="spellEnd"/>
      <w:r w:rsidRPr="009F44A4">
        <w:rPr>
          <w:rFonts w:ascii="Times New Roman" w:eastAsia="Calibri" w:hAnsi="Times New Roman" w:cs="Times New Roman"/>
          <w:color w:val="000000" w:themeColor="text1"/>
          <w:sz w:val="20"/>
          <w:szCs w:val="20"/>
        </w:rPr>
        <w:t xml:space="preserve"> is an antiviral medication, which is an analog of modified </w:t>
      </w:r>
      <w:proofErr w:type="spellStart"/>
      <w:r w:rsidRPr="009F44A4">
        <w:rPr>
          <w:rFonts w:ascii="Times New Roman" w:eastAsia="Calibri" w:hAnsi="Times New Roman" w:cs="Times New Roman"/>
          <w:color w:val="000000" w:themeColor="text1"/>
          <w:sz w:val="20"/>
          <w:szCs w:val="20"/>
        </w:rPr>
        <w:t>pyrazine</w:t>
      </w:r>
      <w:proofErr w:type="spellEnd"/>
      <w:r w:rsidRPr="009F44A4">
        <w:rPr>
          <w:rFonts w:ascii="Times New Roman" w:eastAsia="Calibri" w:hAnsi="Times New Roman" w:cs="Times New Roman"/>
          <w:color w:val="000000" w:themeColor="text1"/>
          <w:sz w:val="20"/>
          <w:szCs w:val="20"/>
        </w:rPr>
        <w:t xml:space="preserve"> used to treat influenza in Japan. </w:t>
      </w:r>
      <w:proofErr w:type="spellStart"/>
      <w:r w:rsidRPr="009F44A4">
        <w:rPr>
          <w:rFonts w:ascii="Times New Roman" w:eastAsia="Calibri" w:hAnsi="Times New Roman" w:cs="Times New Roman"/>
          <w:color w:val="000000" w:themeColor="text1"/>
          <w:sz w:val="20"/>
          <w:szCs w:val="20"/>
        </w:rPr>
        <w:t>Favipiravir</w:t>
      </w:r>
      <w:proofErr w:type="spellEnd"/>
      <w:r w:rsidRPr="009F44A4">
        <w:rPr>
          <w:rFonts w:ascii="Times New Roman" w:eastAsia="Calibri" w:hAnsi="Times New Roman" w:cs="Times New Roman"/>
          <w:color w:val="000000" w:themeColor="text1"/>
          <w:sz w:val="20"/>
          <w:szCs w:val="20"/>
        </w:rPr>
        <w:t xml:space="preserve"> is a pro-drug which is converted by a host enzyme into its active form </w:t>
      </w:r>
      <w:proofErr w:type="spellStart"/>
      <w:r w:rsidRPr="009F44A4">
        <w:rPr>
          <w:rFonts w:ascii="Times New Roman" w:eastAsia="Calibri" w:hAnsi="Times New Roman" w:cs="Times New Roman"/>
          <w:color w:val="000000" w:themeColor="text1"/>
          <w:sz w:val="20"/>
          <w:szCs w:val="20"/>
        </w:rPr>
        <w:t>ribofuranosyl</w:t>
      </w:r>
      <w:proofErr w:type="spellEnd"/>
      <w:r w:rsidRPr="009F44A4">
        <w:rPr>
          <w:rFonts w:ascii="Times New Roman" w:eastAsia="Calibri" w:hAnsi="Times New Roman" w:cs="Times New Roman"/>
          <w:color w:val="000000" w:themeColor="text1"/>
          <w:sz w:val="20"/>
          <w:szCs w:val="20"/>
        </w:rPr>
        <w:t>-5’-triphosphate and inhibits RNA virus through selective inhibition of viral RNA-</w:t>
      </w:r>
      <w:proofErr w:type="spellStart"/>
      <w:r w:rsidRPr="009F44A4">
        <w:rPr>
          <w:rFonts w:ascii="Times New Roman" w:eastAsia="Calibri" w:hAnsi="Times New Roman" w:cs="Times New Roman"/>
          <w:color w:val="000000" w:themeColor="text1"/>
          <w:sz w:val="20"/>
          <w:szCs w:val="20"/>
        </w:rPr>
        <w:t>replicase</w:t>
      </w:r>
      <w:proofErr w:type="spellEnd"/>
      <w:r w:rsidRPr="009F44A4">
        <w:rPr>
          <w:rFonts w:ascii="Times New Roman" w:eastAsia="Calibri" w:hAnsi="Times New Roman" w:cs="Times New Roman"/>
          <w:color w:val="000000" w:themeColor="text1"/>
          <w:sz w:val="20"/>
          <w:szCs w:val="20"/>
        </w:rPr>
        <w:t>. RNA-</w:t>
      </w:r>
      <w:proofErr w:type="spellStart"/>
      <w:r w:rsidRPr="009F44A4">
        <w:rPr>
          <w:rFonts w:ascii="Times New Roman" w:eastAsia="Calibri" w:hAnsi="Times New Roman" w:cs="Times New Roman"/>
          <w:color w:val="000000" w:themeColor="text1"/>
          <w:sz w:val="20"/>
          <w:szCs w:val="20"/>
        </w:rPr>
        <w:t>replicase</w:t>
      </w:r>
      <w:proofErr w:type="spellEnd"/>
      <w:r w:rsidRPr="009F44A4">
        <w:rPr>
          <w:rFonts w:ascii="Times New Roman" w:eastAsia="Calibri" w:hAnsi="Times New Roman" w:cs="Times New Roman"/>
          <w:color w:val="000000" w:themeColor="text1"/>
          <w:sz w:val="20"/>
          <w:szCs w:val="20"/>
        </w:rPr>
        <w:t xml:space="preserve"> helps RNA viruses for the replication and transcription to make multiple copies of its own genome. In 2014, </w:t>
      </w:r>
      <w:proofErr w:type="spellStart"/>
      <w:r w:rsidRPr="009F44A4">
        <w:rPr>
          <w:rFonts w:ascii="Times New Roman" w:eastAsia="Calibri" w:hAnsi="Times New Roman" w:cs="Times New Roman"/>
          <w:color w:val="000000" w:themeColor="text1"/>
          <w:sz w:val="20"/>
          <w:szCs w:val="20"/>
        </w:rPr>
        <w:t>Favipiravir</w:t>
      </w:r>
      <w:proofErr w:type="spellEnd"/>
      <w:r w:rsidRPr="009F44A4">
        <w:rPr>
          <w:rFonts w:ascii="Times New Roman" w:eastAsia="Calibri" w:hAnsi="Times New Roman" w:cs="Times New Roman"/>
          <w:color w:val="000000" w:themeColor="text1"/>
          <w:sz w:val="20"/>
          <w:szCs w:val="20"/>
        </w:rPr>
        <w:t xml:space="preserve"> was licensed for avian influenza storage in Japan and is now an alternative option for influenza st</w:t>
      </w:r>
      <w:r w:rsidR="00944280" w:rsidRPr="009F44A4">
        <w:rPr>
          <w:rFonts w:ascii="Times New Roman" w:eastAsia="Calibri" w:hAnsi="Times New Roman" w:cs="Times New Roman"/>
          <w:color w:val="000000" w:themeColor="text1"/>
          <w:sz w:val="20"/>
          <w:szCs w:val="20"/>
        </w:rPr>
        <w:t>r</w:t>
      </w:r>
      <w:r w:rsidRPr="009F44A4">
        <w:rPr>
          <w:rFonts w:ascii="Times New Roman" w:eastAsia="Calibri" w:hAnsi="Times New Roman" w:cs="Times New Roman"/>
          <w:color w:val="000000" w:themeColor="text1"/>
          <w:sz w:val="20"/>
          <w:szCs w:val="20"/>
        </w:rPr>
        <w:t xml:space="preserve">ains that are resistant to neuraminidase inhibitors. </w:t>
      </w:r>
      <w:proofErr w:type="spellStart"/>
      <w:r w:rsidRPr="009F44A4">
        <w:rPr>
          <w:rFonts w:ascii="Times New Roman" w:eastAsia="Calibri" w:hAnsi="Times New Roman" w:cs="Times New Roman"/>
          <w:color w:val="000000" w:themeColor="text1"/>
          <w:sz w:val="20"/>
          <w:szCs w:val="20"/>
        </w:rPr>
        <w:t>Favipiravir</w:t>
      </w:r>
      <w:proofErr w:type="spellEnd"/>
      <w:r w:rsidRPr="009F44A4">
        <w:rPr>
          <w:rFonts w:ascii="Times New Roman" w:eastAsia="Calibri" w:hAnsi="Times New Roman" w:cs="Times New Roman"/>
          <w:color w:val="000000" w:themeColor="text1"/>
          <w:sz w:val="20"/>
          <w:szCs w:val="20"/>
        </w:rPr>
        <w:t xml:space="preserve"> has been approved to treat Ebola, Lassa viruses and is being used for curing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w:t>
      </w:r>
      <w:r w:rsidR="00F35B25" w:rsidRPr="009F44A4">
        <w:rPr>
          <w:rFonts w:ascii="Times New Roman" w:eastAsia="Calibri" w:hAnsi="Times New Roman" w:cs="Times New Roman"/>
          <w:color w:val="000000" w:themeColor="text1"/>
          <w:sz w:val="20"/>
          <w:szCs w:val="20"/>
        </w:rPr>
        <w:t xml:space="preserve"> </w:t>
      </w:r>
      <w:r w:rsidR="00F35B25"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{"citationID":"GA5mQpqL","properties":{"formattedCitation":"\\super 118\\uc0\\u8211{}120\\nosupersub{}","plainCitation":"118–120","noteIndex":0},"citationItems":[{"id":777,"uris":["http://zotero.org/users/local/ZR048J0w/items/5SR79JDK"],"uri":["http://zotero.org/users/local/ZR048J0w/items/5SR79JDK"],"itemData":{"id":777,"type":"webpage","abstract":"Favipiravir | C5H4FN3O2 | CID 492405 - structure, chemical names, physical and chemical properties, classification, patents, literature, biological activities, safety/hazards/toxicity information, supplier lists, and more.","language":"en","title":"Favipiravir","URL":"https://pubchem.ncbi.nlm.nih.gov/compound/492405","author":[{"family":"PubChem","given":""}],"accessed":{"date-parts":[["2020",12,21]]}}},{"id":779,"uris":["http://zotero.org/users/local/ZR048J0w/items/VJIYS9TJ"],"uri":["http://zotero.org/users/local/ZR048J0w/items/VJIYS9TJ"],"itemData":{"id":779,"type":"article-journal","abstract":"Favipiravir has been developed as an anti-influenza drug and licensed as an anti-influenza drug in Japan. Additionally, favipiravir is being stockpiled for 2 million people as a countermeasure for novel influenza strains. This drug functions as a chain terminator at the site of incorporation of the viral RNA and reduces the viral load. Favipiravir cures all mice in a lethal influenza infection model, while oseltamivir fails to cure the animals. Thus, favipiravir contributes to curing animals with lethal infection. In addition to influenza, favipiravir has a broad spectrum of anti-RNA virus activities in vitro and efficacies in animal models with lethal RNA viruses and has been used for treatment of human infection with life-threatening Ebola virus, Lassa virus, rabies, and severe fever with thrombocytopenia syndrome. The best feature of favipiravir as an antiviral agent is the apparent lack of generation of favipiravir-resistant viruses. Favipiravir alone maintains its therapeutic efficacy from the first to the last patient in an influenza pandemic or an epidemic lethal RNA virus infection. Favipiravir is expected to be an important therapeutic agent for severe influenza, the next pandemic influenza strain, and other severe RNA virus infections for which standard treatments are not available.","container-title":"Pharmacology &amp; Therapeutics","DOI":"10.1016/j.pharmthera.2020.107512","ISSN":"0163-7258","journalAbbreviation":"Pharmacol Ther","note":"PMID: 32097670\nPMCID: PMC7102570","page":"107512","source":"PubMed Central","title":"Favipiravir, an anti-influenza drug against life-threatening RNA virus infections","volume":"209","author":[{"family":"Shiraki","given":"Kimiyasu"},{"family":"Daikoku","given":"Tohru"}],"issued":{"date-parts":[["2020",5]]}}},{"id":782,"uris":["http://zotero.org/users/local/ZR048J0w/items/55CEAJ4K"],"uri":["http://zotero.org/users/local/ZR048J0w/items/55CEAJ4K"],"itemData":{"id":782,"type":"article-newspaper","abstract":"U.S. government researchers are working hard to get an experimental flu drug from Japan’s Fujifilm Holdings Corp. quickly approved to treat Ebola, as the death toll rises in West Africa.","container-title":"Bloomberg.com","language":"en","source":"www.bloomberg.com","title":"Ebola Drug From Japan May Emerge Among Key Candidates","URL":"https://www.bloomberg.com/news/articles/2014-08-07/ebola-drug-from-japan-may-emerge-among-key-candidates","accessed":{"date-parts":[["2020",12,21]]},"issued":{"date-parts":[["2014",8,7]]}}}],"schema":"https://github.com/citation-style-language/schema/raw/master/csl-citation.json"} </w:instrText>
      </w:r>
      <w:r w:rsidR="00F35B25"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118–120</w:t>
      </w:r>
      <w:r w:rsidR="00F35B25" w:rsidRPr="009F44A4">
        <w:rPr>
          <w:rFonts w:ascii="Times New Roman" w:eastAsia="Calibri" w:hAnsi="Times New Roman" w:cs="Times New Roman"/>
          <w:color w:val="000000" w:themeColor="text1"/>
          <w:sz w:val="20"/>
          <w:szCs w:val="20"/>
        </w:rPr>
        <w:fldChar w:fldCharType="end"/>
      </w:r>
      <w:r w:rsidR="00F35B25" w:rsidRPr="009F44A4">
        <w:rPr>
          <w:rFonts w:ascii="Times New Roman" w:eastAsia="Calibri" w:hAnsi="Times New Roman" w:cs="Times New Roman"/>
          <w:color w:val="000000" w:themeColor="text1"/>
          <w:sz w:val="20"/>
          <w:szCs w:val="20"/>
        </w:rPr>
        <w:t>.</w:t>
      </w:r>
    </w:p>
    <w:p w14:paraId="5FF1C535" w14:textId="2E7087ED"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On June 20, 2020 </w:t>
      </w:r>
      <w:proofErr w:type="spellStart"/>
      <w:r w:rsidRPr="009F44A4">
        <w:rPr>
          <w:rFonts w:ascii="Times New Roman" w:eastAsia="Calibri" w:hAnsi="Times New Roman" w:cs="Times New Roman"/>
          <w:color w:val="000000" w:themeColor="text1"/>
          <w:sz w:val="20"/>
          <w:szCs w:val="20"/>
        </w:rPr>
        <w:t>Glenmark</w:t>
      </w:r>
      <w:proofErr w:type="spellEnd"/>
      <w:r w:rsidRPr="009F44A4">
        <w:rPr>
          <w:rFonts w:ascii="Times New Roman" w:eastAsia="Calibri" w:hAnsi="Times New Roman" w:cs="Times New Roman"/>
          <w:color w:val="000000" w:themeColor="text1"/>
          <w:sz w:val="20"/>
          <w:szCs w:val="20"/>
        </w:rPr>
        <w:t xml:space="preserve">, India issued a press release and announced that the company with the help of Research and Development team successfully developed a </w:t>
      </w:r>
      <w:proofErr w:type="spellStart"/>
      <w:r w:rsidRPr="009F44A4">
        <w:rPr>
          <w:rFonts w:ascii="Times New Roman" w:eastAsia="Calibri" w:hAnsi="Times New Roman" w:cs="Times New Roman"/>
          <w:color w:val="000000" w:themeColor="text1"/>
          <w:sz w:val="20"/>
          <w:szCs w:val="20"/>
        </w:rPr>
        <w:t>FabiFlu</w:t>
      </w:r>
      <w:proofErr w:type="spellEnd"/>
      <w:r w:rsidRPr="009F44A4">
        <w:rPr>
          <w:rFonts w:ascii="Times New Roman" w:eastAsia="Calibri" w:hAnsi="Times New Roman" w:cs="Times New Roman"/>
          <w:color w:val="000000" w:themeColor="text1"/>
          <w:sz w:val="20"/>
          <w:szCs w:val="20"/>
        </w:rPr>
        <w:t xml:space="preserve">, an active pharmaceutical ingredient and formulation, and claimed that </w:t>
      </w:r>
      <w:proofErr w:type="spellStart"/>
      <w:r w:rsidRPr="009F44A4">
        <w:rPr>
          <w:rFonts w:ascii="Times New Roman" w:eastAsia="Calibri" w:hAnsi="Times New Roman" w:cs="Times New Roman"/>
          <w:color w:val="000000" w:themeColor="text1"/>
          <w:sz w:val="20"/>
          <w:szCs w:val="20"/>
        </w:rPr>
        <w:t>favipiravir</w:t>
      </w:r>
      <w:proofErr w:type="spellEnd"/>
      <w:r w:rsidRPr="009F44A4">
        <w:rPr>
          <w:rFonts w:ascii="Times New Roman" w:eastAsia="Calibri" w:hAnsi="Times New Roman" w:cs="Times New Roman"/>
          <w:color w:val="000000" w:themeColor="text1"/>
          <w:sz w:val="20"/>
          <w:szCs w:val="20"/>
        </w:rPr>
        <w:t xml:space="preserve"> shows 88% clinical improvement in COVID-19 and lowers the viral load within 4 days</w:t>
      </w:r>
      <w:r w:rsidR="00045F9B" w:rsidRPr="009F44A4">
        <w:rPr>
          <w:rFonts w:ascii="Times New Roman" w:eastAsia="Calibri" w:hAnsi="Times New Roman" w:cs="Times New Roman"/>
          <w:color w:val="000000" w:themeColor="text1"/>
          <w:sz w:val="20"/>
          <w:szCs w:val="20"/>
        </w:rPr>
        <w:t xml:space="preserve"> </w:t>
      </w:r>
      <w:r w:rsidR="00045F9B"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{"citationID":"mWmx1t9X","properties":{"formattedCitation":"\\super 121\\nosupersub{}","plainCitation":"121","noteIndex":0},"citationItems":[{"id":786,"uris":["http://zotero.org/users/local/ZR048J0w/items/9BK89JGB"],"uri":["http://zotero.org/users/local/ZR048J0w/items/9BK89JGB"],"itemData":{"id":786,"type":"webpage","abstract":"- Manufacturing and marketing approval granted as part of accelerated approval process, considering the emergency situation of the COVID-19 outbreak in India -...","language":"en","title":"Glenmark Becomes the First Pharmaceutical Company in India to Receive Regulatory Approval for Oral Antiviral Favipiravir, for the Treatment of Mild to Moderate COVID-19","URL":"https://www.prnewswire.com/in/news-releases/glenmark-becomes-the-first-pharmaceutical-company-in-india-to-receive-regulatory-approval-for-oral-antiviral-favipiravir-for-the-treatment-of-mild-to-moderate-covid-19-855346546.html","author":[{"family":"Ltd","given":"Glenmark Pharmaceuticals"}],"accessed":{"date-parts":[["2020",12,21]]}}}],"schema":"https://github.com/citation-style-language/schema/raw/master/csl-citation.json"} </w:instrText>
      </w:r>
      <w:r w:rsidR="00045F9B"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121</w:t>
      </w:r>
      <w:r w:rsidR="00045F9B" w:rsidRPr="009F44A4">
        <w:rPr>
          <w:rFonts w:ascii="Times New Roman" w:eastAsia="Calibri" w:hAnsi="Times New Roman" w:cs="Times New Roman"/>
          <w:color w:val="000000" w:themeColor="text1"/>
          <w:sz w:val="20"/>
          <w:szCs w:val="20"/>
        </w:rPr>
        <w:fldChar w:fldCharType="end"/>
      </w:r>
      <w:r w:rsidR="00045F9B"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In India, the company </w:t>
      </w:r>
      <w:proofErr w:type="spellStart"/>
      <w:r w:rsidRPr="009F44A4">
        <w:rPr>
          <w:rFonts w:ascii="Times New Roman" w:eastAsia="Calibri" w:hAnsi="Times New Roman" w:cs="Times New Roman"/>
          <w:color w:val="000000" w:themeColor="text1"/>
          <w:sz w:val="20"/>
          <w:szCs w:val="20"/>
        </w:rPr>
        <w:t>Glenmark</w:t>
      </w:r>
      <w:proofErr w:type="spellEnd"/>
      <w:r w:rsidRPr="009F44A4">
        <w:rPr>
          <w:rFonts w:ascii="Times New Roman" w:eastAsia="Calibri" w:hAnsi="Times New Roman" w:cs="Times New Roman"/>
          <w:color w:val="000000" w:themeColor="text1"/>
          <w:sz w:val="20"/>
          <w:szCs w:val="20"/>
        </w:rPr>
        <w:t xml:space="preserve"> conducted a </w:t>
      </w:r>
      <w:proofErr w:type="spellStart"/>
      <w:r w:rsidRPr="009F44A4">
        <w:rPr>
          <w:rFonts w:ascii="Times New Roman" w:eastAsia="Calibri" w:hAnsi="Times New Roman" w:cs="Times New Roman"/>
          <w:color w:val="000000" w:themeColor="text1"/>
          <w:sz w:val="20"/>
          <w:szCs w:val="20"/>
        </w:rPr>
        <w:t>randomised</w:t>
      </w:r>
      <w:proofErr w:type="spellEnd"/>
      <w:r w:rsidRPr="009F44A4">
        <w:rPr>
          <w:rFonts w:ascii="Times New Roman" w:eastAsia="Calibri" w:hAnsi="Times New Roman" w:cs="Times New Roman"/>
          <w:color w:val="000000" w:themeColor="text1"/>
          <w:sz w:val="20"/>
          <w:szCs w:val="20"/>
        </w:rPr>
        <w:t xml:space="preserve"> multi-</w:t>
      </w:r>
      <w:proofErr w:type="spellStart"/>
      <w:r w:rsidRPr="009F44A4">
        <w:rPr>
          <w:rFonts w:ascii="Times New Roman" w:eastAsia="Calibri" w:hAnsi="Times New Roman" w:cs="Times New Roman"/>
          <w:color w:val="000000" w:themeColor="text1"/>
          <w:sz w:val="20"/>
          <w:szCs w:val="20"/>
        </w:rPr>
        <w:t>centre</w:t>
      </w:r>
      <w:proofErr w:type="spellEnd"/>
      <w:r w:rsidRPr="009F44A4">
        <w:rPr>
          <w:rFonts w:ascii="Times New Roman" w:eastAsia="Calibri" w:hAnsi="Times New Roman" w:cs="Times New Roman"/>
          <w:color w:val="000000" w:themeColor="text1"/>
          <w:sz w:val="20"/>
          <w:szCs w:val="20"/>
        </w:rPr>
        <w:t xml:space="preserve"> drug efficacy and safety study on mild to severe </w:t>
      </w:r>
      <w:proofErr w:type="spellStart"/>
      <w:r w:rsidRPr="009F44A4">
        <w:rPr>
          <w:rFonts w:ascii="Times New Roman" w:eastAsia="Calibri" w:hAnsi="Times New Roman" w:cs="Times New Roman"/>
          <w:color w:val="000000" w:themeColor="text1"/>
          <w:sz w:val="20"/>
          <w:szCs w:val="20"/>
        </w:rPr>
        <w:t>Covid</w:t>
      </w:r>
      <w:proofErr w:type="spellEnd"/>
      <w:r w:rsidRPr="009F44A4">
        <w:rPr>
          <w:rFonts w:ascii="Times New Roman" w:eastAsia="Calibri" w:hAnsi="Times New Roman" w:cs="Times New Roman"/>
          <w:color w:val="000000" w:themeColor="text1"/>
          <w:sz w:val="20"/>
          <w:szCs w:val="20"/>
        </w:rPr>
        <w:t xml:space="preserve">-19 Indian patients with a standard of mixed health care </w:t>
      </w:r>
      <w:proofErr w:type="spellStart"/>
      <w:r w:rsidRPr="009F44A4">
        <w:rPr>
          <w:rFonts w:ascii="Times New Roman" w:eastAsia="Calibri" w:hAnsi="Times New Roman" w:cs="Times New Roman"/>
          <w:color w:val="000000" w:themeColor="text1"/>
          <w:sz w:val="20"/>
          <w:szCs w:val="20"/>
        </w:rPr>
        <w:t>vs</w:t>
      </w:r>
      <w:proofErr w:type="spellEnd"/>
      <w:r w:rsidRPr="009F44A4">
        <w:rPr>
          <w:rFonts w:ascii="Times New Roman" w:eastAsia="Calibri" w:hAnsi="Times New Roman" w:cs="Times New Roman"/>
          <w:color w:val="000000" w:themeColor="text1"/>
          <w:sz w:val="20"/>
          <w:szCs w:val="20"/>
        </w:rPr>
        <w:t xml:space="preserve"> standard of care alone. The study included one hundred fifty patients. The Chinese National Medical Products Administration licensed </w:t>
      </w:r>
      <w:proofErr w:type="spellStart"/>
      <w:r w:rsidRPr="009F44A4">
        <w:rPr>
          <w:rFonts w:ascii="Times New Roman" w:eastAsia="Calibri" w:hAnsi="Times New Roman" w:cs="Times New Roman"/>
          <w:color w:val="000000" w:themeColor="text1"/>
          <w:sz w:val="20"/>
          <w:szCs w:val="20"/>
        </w:rPr>
        <w:t>favipiravir</w:t>
      </w:r>
      <w:proofErr w:type="spellEnd"/>
      <w:r w:rsidRPr="009F44A4">
        <w:rPr>
          <w:rFonts w:ascii="Times New Roman" w:eastAsia="Calibri" w:hAnsi="Times New Roman" w:cs="Times New Roman"/>
          <w:color w:val="000000" w:themeColor="text1"/>
          <w:sz w:val="20"/>
          <w:szCs w:val="20"/>
        </w:rPr>
        <w:t xml:space="preserve"> as the very first anti-SARS-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 xml:space="preserve">-2 medicine in China, as the clinical study indicated effectiveness with minimal adverse effects. A retrospective, </w:t>
      </w:r>
      <w:proofErr w:type="spellStart"/>
      <w:r w:rsidRPr="009F44A4">
        <w:rPr>
          <w:rFonts w:ascii="Times New Roman" w:eastAsia="Calibri" w:hAnsi="Times New Roman" w:cs="Times New Roman"/>
          <w:color w:val="000000" w:themeColor="text1"/>
          <w:sz w:val="20"/>
          <w:szCs w:val="20"/>
        </w:rPr>
        <w:t>randomised</w:t>
      </w:r>
      <w:proofErr w:type="spellEnd"/>
      <w:r w:rsidRPr="009F44A4">
        <w:rPr>
          <w:rFonts w:ascii="Times New Roman" w:eastAsia="Calibri" w:hAnsi="Times New Roman" w:cs="Times New Roman"/>
          <w:color w:val="000000" w:themeColor="text1"/>
          <w:sz w:val="20"/>
          <w:szCs w:val="20"/>
        </w:rPr>
        <w:t>, controlled, open-label, multicenter study conducted by Chen et al</w:t>
      </w:r>
      <w:r w:rsidR="00944280"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included adult patients with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w:t>
      </w:r>
      <w:r w:rsidR="00C84F1A" w:rsidRPr="009F44A4">
        <w:rPr>
          <w:rFonts w:ascii="Times New Roman" w:eastAsia="Calibri" w:hAnsi="Times New Roman" w:cs="Times New Roman"/>
          <w:color w:val="000000" w:themeColor="text1"/>
          <w:sz w:val="20"/>
          <w:szCs w:val="20"/>
        </w:rPr>
        <w:t xml:space="preserve"> </w:t>
      </w:r>
      <w:r w:rsidR="00C84F1A"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{"citationID":"gwNrLOhW","properties":{"formattedCitation":"\\super 122\\nosupersub{}","plainCitation":"122","noteIndex":0},"citationItems":[{"id":788,"uris":["http://zotero.org/users/local/ZR048J0w/items/49WYDVWF"],"uri":["http://zotero.org/users/local/ZR048J0w/items/49WYDVWF"],"itemData":{"id":788,"type":"article-journal","abstract":"&lt;h3&gt;Abstract&lt;/h3&gt; &lt;h3&gt;Background&lt;/h3&gt; &lt;p&gt;No clinically proven effective antiviral strategy exists for the epidemic Coronavirus Disease 2019 (COVID-19).&lt;/p&gt;&lt;h3&gt;Methods&lt;/h3&gt; &lt;p&gt;We conducted a prospective, randomized, controlled, open-label multicenter trial involving adult patients with COVID-19. Patients were randomly assigned in a 1:1 ratio to receive conventional therapy plus Umifenovir (Arbidol) (200mg*3/day) or Favipiravir (1600mg*2/first day followed by 600mg*2/day) for 10 days. The primary outcome was clinical recovery rate of Day 7. Latency to relief for pyrexia and cough, the rate of auxiliary oxygen therapy (AOT) or noninvasive mechanical ventilation (NMV) were the secondary outcomes. Safety data were collected for 17 days.&lt;/p&gt;&lt;h3&gt;Results&lt;/h3&gt; &lt;p&gt;240 enrolled COVID-19 patients underwent randomization; 120 patients were assigned to receive Favipiravir (116 assessed), and 120 to receive Arbidol (120 assessed). Clinical recovery rate of Day 7 does not significantly differ between Favipiravir group (71/116) and Arbidol group (62/120) (P=0.1396, difference of recovery rate: 0.0954; 95% CI: -0.0305 to 0.2213). Favipiravir led to shorter latencies to relief for both pyrexia (difference: 1.70 days, P&amp;lt;0.0001) and cough (difference: 1.75 days, P&amp;lt;0.0001). No difference was observed of AOT or NMV rate (both P&amp;gt;0.05). The most frequently observed Favipiravir-associated adverse event was raised serum uric acid (16/116, OR: 5.52, P=0.0014).&lt;/p&gt;&lt;h3&gt;Conclusions&lt;/h3&gt; &lt;p&gt;Among patients with COVID-19, Favipiravir, compared to Arbidol, did not significantly improve the clinically recovery rate at Day 7. Favipiravir significantly improved the latency to relief for pyrexia and cough. Adverse effects caused Favipiravir are mild and manageable. This trial is registered with Chictr.org.cn (ChiCTR2000030254).&lt;/p&gt;","container-title":"medRxiv","DOI":"10.1101/2020.03.17.20037432","language":"en","note":"publisher: Cold Spring Harbor Laboratory Press","page":"2020.03.17.20037432","source":"www.medrxiv.org","title":"Favipiravir versus Arbidol for COVID-19: A Randomized Clinical Trial","title-short":"Favipiravir versus Arbidol for COVID-19","author":[{"family":"Chen","given":"Chang"},{"family":"Zhang","given":"Yi"},{"family":"Huang","given":"Jianying"},{"family":"Yin","given":"Ping"},{"family":"Cheng","given":"Zhenshun"},{"family":"Wu","given":"Jianyuan"},{"family":"Chen","given":"Song"},{"family":"Zhang","given":"Yongxi"},{"family":"Chen","given":"Bo"},{"family":"Lu","given":"Mengxin"},{"family":"Luo","given":"Yongwen"},{"family":"Ju","given":"Lingao"},{"family":"Zhang","given":"Jingyi"},{"family":"Wang","given":"Xinghuan"}],"issued":{"date-parts":[["2020",4,15]]}}}],"schema":"https://github.com/citation-style-language/schema/raw/master/csl-citation.json"} </w:instrText>
      </w:r>
      <w:r w:rsidR="00C84F1A"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122</w:t>
      </w:r>
      <w:r w:rsidR="00C84F1A" w:rsidRPr="009F44A4">
        <w:rPr>
          <w:rFonts w:ascii="Times New Roman" w:eastAsia="Calibri" w:hAnsi="Times New Roman" w:cs="Times New Roman"/>
          <w:color w:val="000000" w:themeColor="text1"/>
          <w:sz w:val="20"/>
          <w:szCs w:val="20"/>
        </w:rPr>
        <w:fldChar w:fldCharType="end"/>
      </w:r>
      <w:r w:rsidR="00C84F1A" w:rsidRPr="009F44A4">
        <w:rPr>
          <w:rFonts w:ascii="Times New Roman" w:eastAsia="Calibri" w:hAnsi="Times New Roman" w:cs="Times New Roman"/>
          <w:color w:val="000000" w:themeColor="text1"/>
          <w:sz w:val="20"/>
          <w:szCs w:val="20"/>
        </w:rPr>
        <w:t>.</w:t>
      </w:r>
    </w:p>
    <w:p w14:paraId="59277F02" w14:textId="77777777" w:rsidR="008D16FE" w:rsidRPr="009F44A4" w:rsidRDefault="00C02138" w:rsidP="00DC7281">
      <w:pPr>
        <w:pStyle w:val="Heading3"/>
        <w:numPr>
          <w:ilvl w:val="0"/>
          <w:numId w:val="7"/>
        </w:numPr>
        <w:shd w:val="clear" w:color="auto" w:fill="FFFFFF" w:themeFill="background1"/>
        <w:spacing w:line="360" w:lineRule="auto"/>
        <w:jc w:val="both"/>
        <w:rPr>
          <w:rFonts w:ascii="Times New Roman" w:eastAsia="Calibri" w:hAnsi="Times New Roman" w:cs="Times New Roman"/>
          <w:b/>
          <w:color w:val="000000" w:themeColor="text1"/>
          <w:sz w:val="20"/>
          <w:szCs w:val="20"/>
        </w:rPr>
      </w:pPr>
      <w:bookmarkStart w:id="5" w:name="_2et92p0" w:colFirst="0" w:colLast="0"/>
      <w:bookmarkEnd w:id="5"/>
      <w:r w:rsidRPr="009F44A4">
        <w:rPr>
          <w:rFonts w:ascii="Times New Roman" w:eastAsia="Calibri" w:hAnsi="Times New Roman" w:cs="Times New Roman"/>
          <w:b/>
          <w:color w:val="000000" w:themeColor="text1"/>
          <w:sz w:val="20"/>
          <w:szCs w:val="20"/>
        </w:rPr>
        <w:lastRenderedPageBreak/>
        <w:t>Stem cell-based therapy for treatment of SARS-</w:t>
      </w:r>
      <w:proofErr w:type="spellStart"/>
      <w:r w:rsidRPr="009F44A4">
        <w:rPr>
          <w:rFonts w:ascii="Times New Roman" w:eastAsia="Calibri" w:hAnsi="Times New Roman" w:cs="Times New Roman"/>
          <w:b/>
          <w:color w:val="000000" w:themeColor="text1"/>
          <w:sz w:val="20"/>
          <w:szCs w:val="20"/>
        </w:rPr>
        <w:t>CoV</w:t>
      </w:r>
      <w:proofErr w:type="spellEnd"/>
      <w:r w:rsidRPr="009F44A4">
        <w:rPr>
          <w:rFonts w:ascii="Times New Roman" w:eastAsia="Calibri" w:hAnsi="Times New Roman" w:cs="Times New Roman"/>
          <w:b/>
          <w:color w:val="000000" w:themeColor="text1"/>
          <w:sz w:val="20"/>
          <w:szCs w:val="20"/>
        </w:rPr>
        <w:t>-2</w:t>
      </w:r>
    </w:p>
    <w:p w14:paraId="5B405A20" w14:textId="6B2F73C7"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The emergence of severe acute respiratory syndrome coronavirus-2 in the first half of the 21st century has shaken the world and scientists</w:t>
      </w:r>
      <w:r w:rsidR="00944280"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w:t>
      </w:r>
      <w:r w:rsidR="00944280" w:rsidRPr="009F44A4">
        <w:rPr>
          <w:rFonts w:ascii="Times New Roman" w:eastAsia="Calibri" w:hAnsi="Times New Roman" w:cs="Times New Roman"/>
          <w:color w:val="000000" w:themeColor="text1"/>
          <w:sz w:val="20"/>
          <w:szCs w:val="20"/>
        </w:rPr>
        <w:t>T</w:t>
      </w:r>
      <w:r w:rsidRPr="009F44A4">
        <w:rPr>
          <w:rFonts w:ascii="Times New Roman" w:eastAsia="Calibri" w:hAnsi="Times New Roman" w:cs="Times New Roman"/>
          <w:color w:val="000000" w:themeColor="text1"/>
          <w:sz w:val="20"/>
          <w:szCs w:val="20"/>
        </w:rPr>
        <w:t>his pandemic has enforced many researchers to find solutions to overcome this situation and ensure the life of others. Many researchers and scientists from different life sciences or engineering fields are working continuously for alternative solutions and developing therapeutic approaches to bring the normal life back on track. In this direction, efforts related to stem cell-based therapy has also been found to be very positive as an efficient approach for the treatment of COVID-19 patients</w:t>
      </w:r>
      <w:r w:rsidR="00035A9D" w:rsidRPr="009F44A4">
        <w:rPr>
          <w:rFonts w:ascii="Times New Roman" w:eastAsia="Calibri" w:hAnsi="Times New Roman" w:cs="Times New Roman"/>
          <w:color w:val="000000" w:themeColor="text1"/>
          <w:sz w:val="20"/>
          <w:szCs w:val="20"/>
        </w:rPr>
        <w:t xml:space="preserve"> (Figure 2)</w:t>
      </w:r>
      <w:r w:rsidRPr="009F44A4">
        <w:rPr>
          <w:rFonts w:ascii="Times New Roman" w:eastAsia="Calibri" w:hAnsi="Times New Roman" w:cs="Times New Roman"/>
          <w:color w:val="000000" w:themeColor="text1"/>
          <w:sz w:val="20"/>
          <w:szCs w:val="20"/>
        </w:rPr>
        <w:t xml:space="preserve">. The </w:t>
      </w:r>
      <w:proofErr w:type="spellStart"/>
      <w:r w:rsidRPr="009F44A4">
        <w:rPr>
          <w:rFonts w:ascii="Times New Roman" w:eastAsia="Calibri" w:hAnsi="Times New Roman" w:cs="Times New Roman"/>
          <w:color w:val="000000" w:themeColor="text1"/>
          <w:sz w:val="20"/>
          <w:szCs w:val="20"/>
        </w:rPr>
        <w:t>mesenchymal</w:t>
      </w:r>
      <w:proofErr w:type="spellEnd"/>
      <w:r w:rsidRPr="009F44A4">
        <w:rPr>
          <w:rFonts w:ascii="Times New Roman" w:eastAsia="Calibri" w:hAnsi="Times New Roman" w:cs="Times New Roman"/>
          <w:color w:val="000000" w:themeColor="text1"/>
          <w:sz w:val="20"/>
          <w:szCs w:val="20"/>
        </w:rPr>
        <w:t xml:space="preserve"> stem cells ( MSCs) could be used as one of the potential strategies to prevent and cure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 xml:space="preserve">-2 infection that has recently been announced by the International Society for Stem Cell Research (ISSCR) </w:t>
      </w:r>
      <w:r w:rsidR="00694E82"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{"citationID":"14GIAGCZ","properties":{"formattedCitation":"\\super 4,123\\nosupersub{}","plainCitation":"4,123","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id":794,"uris":["http://zotero.org/users/local/ZR048J0w/items/K4FJJHHC"],"uri":["http://zotero.org/users/local/ZR048J0w/items/K4FJJHHC"],"itemData":{"id":794,"type":"article-journal","abstract":"Human coronavirus, hCoV-19, is highly pathogenic with severe pneumonia associated with rapid virus replication. Arising in Wuhan China December 2019, the current COVID-19 epidemic has rapidly grown with person-to-person infection expanding to become a global health emergency now on pandemic scale. Governments will not be able to minimise both deaths from COVID-19 and the economic impact of viral spread in mitigation of this current COVID-19 pandemic, according to Anderson et al. 2020 [1], Keeping mortality as low as possible will be the highest priority for individuals; hence governments must put in place measures to ameliorate the inevitable economic downturn. The current global picture shows small chains of transmission in many countries and large chains resulting in extensive spread in a few countries, such as Italy, Iran, South Korea, and Japan. Most countries are likely to have spread of COVID-19, at least in the early stages, before any mitigation measures have an impact. The scale of the problem is massive. Here I consider new approaches to improve patient's biological resistance to COVID-19 using stem cells, and how benefit might be scaled and simplified using synthetic stem cells to meet logistical needs within a short time frame.","container-title":"Medicine in Drug Discovery","DOI":"10.1016/j.medidd.2020.100019","ISSN":"2590-0986","journalAbbreviation":"Medicine in Drug Discovery","language":"en","page":"100019","source":"ScienceDirect","title":"Mesenchymal stem cells and management of COVID-19 pneumonia","volume":"5","author":[{"family":"Metcalfe","given":"Su M."}],"issued":{"date-parts":[["2020",3,1]]}}}],"schema":"https://github.com/citation-style-language/schema/raw/master/csl-citation.json"} </w:instrText>
      </w:r>
      <w:r w:rsidR="00694E82"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4,123</w:t>
      </w:r>
      <w:r w:rsidR="00694E82" w:rsidRPr="009F44A4">
        <w:rPr>
          <w:rFonts w:ascii="Times New Roman" w:eastAsia="Calibri" w:hAnsi="Times New Roman" w:cs="Times New Roman"/>
          <w:color w:val="000000" w:themeColor="text1"/>
          <w:sz w:val="20"/>
          <w:szCs w:val="20"/>
        </w:rPr>
        <w:fldChar w:fldCharType="end"/>
      </w:r>
      <w:r w:rsidRPr="009F44A4">
        <w:rPr>
          <w:rFonts w:ascii="Times New Roman" w:eastAsia="Calibri" w:hAnsi="Times New Roman" w:cs="Times New Roman"/>
          <w:color w:val="000000" w:themeColor="text1"/>
          <w:sz w:val="20"/>
          <w:szCs w:val="20"/>
        </w:rPr>
        <w:t xml:space="preserve">. </w:t>
      </w:r>
    </w:p>
    <w:p w14:paraId="12201C7B" w14:textId="5CE055F8" w:rsidR="005F1564"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Cell based experiments have currently proved to be one of the potential methods that provides treatment options for several diseases that were previously considered to be incurable. Because MSCs are safe from legal and ethical issues and have a great potential to make a copy of itself within a short time and less invasiveness, MSC therapy is preferred over alternative therapies. MSCs can be derived from a broad variety of adult tissues, including bone marrow, adipose tissues, dental pulp, neonatal birth-associated tissues, placenta (PL), umbilical cord (UC), Wharton jelly (WJ), amniotic fluid (AF), cord blood (CB), fetal liver and </w:t>
      </w:r>
      <w:proofErr w:type="spellStart"/>
      <w:proofErr w:type="gramStart"/>
      <w:r w:rsidRPr="009F44A4">
        <w:rPr>
          <w:rFonts w:ascii="Times New Roman" w:eastAsia="Calibri" w:hAnsi="Times New Roman" w:cs="Times New Roman"/>
          <w:color w:val="000000" w:themeColor="text1"/>
          <w:sz w:val="20"/>
          <w:szCs w:val="20"/>
        </w:rPr>
        <w:t>bichat</w:t>
      </w:r>
      <w:proofErr w:type="spellEnd"/>
      <w:proofErr w:type="gramEnd"/>
      <w:r w:rsidRPr="009F44A4">
        <w:rPr>
          <w:rFonts w:ascii="Times New Roman" w:eastAsia="Calibri" w:hAnsi="Times New Roman" w:cs="Times New Roman"/>
          <w:color w:val="000000" w:themeColor="text1"/>
          <w:sz w:val="20"/>
          <w:szCs w:val="20"/>
        </w:rPr>
        <w:t xml:space="preserve"> fat pads, etc. </w:t>
      </w:r>
      <w:proofErr w:type="spellStart"/>
      <w:r w:rsidR="004167F2" w:rsidRPr="009F44A4">
        <w:rPr>
          <w:rFonts w:ascii="Times New Roman" w:eastAsia="Calibri" w:hAnsi="Times New Roman" w:cs="Times New Roman"/>
          <w:color w:val="000000" w:themeColor="text1"/>
          <w:sz w:val="20"/>
          <w:szCs w:val="20"/>
        </w:rPr>
        <w:t>M</w:t>
      </w:r>
      <w:r w:rsidRPr="009F44A4">
        <w:rPr>
          <w:rFonts w:ascii="Times New Roman" w:eastAsia="Calibri" w:hAnsi="Times New Roman" w:cs="Times New Roman"/>
          <w:color w:val="000000" w:themeColor="text1"/>
          <w:sz w:val="20"/>
          <w:szCs w:val="20"/>
        </w:rPr>
        <w:t>esenchymal</w:t>
      </w:r>
      <w:proofErr w:type="spellEnd"/>
      <w:r w:rsidRPr="009F44A4">
        <w:rPr>
          <w:rFonts w:ascii="Times New Roman" w:eastAsia="Calibri" w:hAnsi="Times New Roman" w:cs="Times New Roman"/>
          <w:color w:val="000000" w:themeColor="text1"/>
          <w:sz w:val="20"/>
          <w:szCs w:val="20"/>
        </w:rPr>
        <w:t xml:space="preserve"> stem cells are known to be </w:t>
      </w:r>
      <w:proofErr w:type="spellStart"/>
      <w:r w:rsidRPr="009F44A4">
        <w:rPr>
          <w:rFonts w:ascii="Times New Roman" w:eastAsia="Calibri" w:hAnsi="Times New Roman" w:cs="Times New Roman"/>
          <w:color w:val="000000" w:themeColor="text1"/>
          <w:sz w:val="20"/>
          <w:szCs w:val="20"/>
        </w:rPr>
        <w:t>multipotent</w:t>
      </w:r>
      <w:proofErr w:type="spellEnd"/>
      <w:r w:rsidRPr="009F44A4">
        <w:rPr>
          <w:rFonts w:ascii="Times New Roman" w:eastAsia="Calibri" w:hAnsi="Times New Roman" w:cs="Times New Roman"/>
          <w:color w:val="000000" w:themeColor="text1"/>
          <w:sz w:val="20"/>
          <w:szCs w:val="20"/>
        </w:rPr>
        <w:t xml:space="preserve"> in nature and generally stored for future possible therapeutic purposes. Also, no unfavorable reaction towards allogeneic MSCs has been seen in the clinical trials of MSCs therapy</w:t>
      </w:r>
      <w:r w:rsidR="009D47F7" w:rsidRPr="009F44A4">
        <w:rPr>
          <w:rFonts w:ascii="Times New Roman" w:eastAsia="Calibri" w:hAnsi="Times New Roman" w:cs="Times New Roman"/>
          <w:color w:val="000000" w:themeColor="text1"/>
          <w:sz w:val="20"/>
          <w:szCs w:val="20"/>
        </w:rPr>
        <w:t xml:space="preserve"> </w:t>
      </w:r>
      <w:r w:rsidR="009D47F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{"citationID":"Lkwy0Ddx","properties":{"formattedCitation":"\\super 4\\nosupersub{}","plainCitation":"4","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COVID-19","author":[{"family":"Golchin","given":"Ali"},{"family":"Seyedjafari","given":"Ehsan"},{"family":"Ardeshirylajimi","given":"Abdolreza"}],"issued":{"date-parts":[["2020",4,13]]}}}],"schema":"https://github.com/citation-style-language/schema/raw/master/csl-citation.json"} </w:instrText>
      </w:r>
      <w:r w:rsidR="009D47F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w:t>
      </w:r>
      <w:r w:rsidR="009D47F7" w:rsidRPr="009F44A4">
        <w:rPr>
          <w:rFonts w:ascii="Times New Roman" w:eastAsia="Calibri" w:hAnsi="Times New Roman" w:cs="Times New Roman"/>
          <w:color w:val="000000" w:themeColor="text1"/>
          <w:sz w:val="20"/>
          <w:szCs w:val="20"/>
        </w:rPr>
        <w:fldChar w:fldCharType="end"/>
      </w:r>
      <w:r w:rsidR="009D47F7" w:rsidRPr="009F44A4">
        <w:rPr>
          <w:rFonts w:ascii="Times New Roman" w:eastAsia="Calibri" w:hAnsi="Times New Roman" w:cs="Times New Roman"/>
          <w:color w:val="000000" w:themeColor="text1"/>
          <w:sz w:val="20"/>
          <w:szCs w:val="20"/>
        </w:rPr>
        <w:t>.</w:t>
      </w:r>
    </w:p>
    <w:p w14:paraId="74F14B4F" w14:textId="77777777" w:rsidR="005F1564" w:rsidRPr="009F44A4" w:rsidRDefault="005F1564" w:rsidP="00DC7281">
      <w:pPr>
        <w:shd w:val="clear" w:color="auto" w:fill="FFFFFF" w:themeFill="background1"/>
        <w:spacing w:line="360" w:lineRule="auto"/>
        <w:rPr>
          <w:rFonts w:ascii="Times New Roman" w:hAnsi="Times New Roman" w:cs="Times New Roman"/>
          <w:color w:val="000000" w:themeColor="text1"/>
          <w:sz w:val="20"/>
          <w:szCs w:val="20"/>
        </w:rPr>
      </w:pPr>
    </w:p>
    <w:p w14:paraId="779786BF" w14:textId="3C604F69" w:rsidR="005F1564" w:rsidRPr="009F44A4" w:rsidRDefault="009F44A4" w:rsidP="00DC7281">
      <w:pPr>
        <w:shd w:val="clear" w:color="auto" w:fill="FFFFFF" w:themeFill="background1"/>
        <w:spacing w:line="36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                           </w:t>
      </w:r>
      <w:r w:rsidR="00DA7090" w:rsidRPr="009F44A4">
        <w:rPr>
          <w:rFonts w:ascii="Times New Roman" w:eastAsia="Times New Roman" w:hAnsi="Times New Roman" w:cs="Times New Roman"/>
          <w:b/>
          <w:noProof/>
          <w:color w:val="000000" w:themeColor="text1"/>
          <w:sz w:val="20"/>
          <w:szCs w:val="20"/>
          <w:lang w:val="en-IN"/>
        </w:rPr>
        <w:drawing>
          <wp:inline distT="0" distB="0" distL="0" distR="0" wp14:anchorId="04E7A6E3" wp14:editId="52E08D47">
            <wp:extent cx="4464239" cy="3600000"/>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64239" cy="3600000"/>
                    </a:xfrm>
                    <a:prstGeom prst="rect">
                      <a:avLst/>
                    </a:prstGeom>
                  </pic:spPr>
                </pic:pic>
              </a:graphicData>
            </a:graphic>
          </wp:inline>
        </w:drawing>
      </w:r>
    </w:p>
    <w:p w14:paraId="1979B019" w14:textId="77777777" w:rsidR="005F1564" w:rsidRPr="009F44A4" w:rsidRDefault="005F1564"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p>
    <w:p w14:paraId="6F9AC909" w14:textId="534968FF" w:rsidR="005F1564" w:rsidRPr="009F44A4" w:rsidRDefault="009F44A4"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                        </w:t>
      </w:r>
      <w:r w:rsidR="005F1564" w:rsidRPr="009F44A4">
        <w:rPr>
          <w:rFonts w:ascii="Times New Roman" w:eastAsia="Times New Roman" w:hAnsi="Times New Roman" w:cs="Times New Roman"/>
          <w:b/>
          <w:color w:val="000000" w:themeColor="text1"/>
          <w:sz w:val="20"/>
          <w:szCs w:val="20"/>
        </w:rPr>
        <w:t xml:space="preserve">Figure 2. </w:t>
      </w:r>
      <w:r w:rsidR="005F1564" w:rsidRPr="009F44A4">
        <w:rPr>
          <w:rFonts w:ascii="Times New Roman" w:eastAsia="Times New Roman" w:hAnsi="Times New Roman" w:cs="Times New Roman"/>
          <w:color w:val="000000" w:themeColor="text1"/>
          <w:sz w:val="20"/>
          <w:szCs w:val="20"/>
        </w:rPr>
        <w:t>Stem cell-based therapy as an efficient approach for the treatment of COVID-19 patients.</w:t>
      </w:r>
    </w:p>
    <w:p w14:paraId="6FEFCB57" w14:textId="77777777" w:rsidR="005F1564" w:rsidRPr="009F44A4" w:rsidRDefault="005F1564"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p>
    <w:p w14:paraId="5C96C68E" w14:textId="09DE1782"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MSCs are opposed to viral contamination due to the existence of enhanced quality of particular cytokines. These features are present in the inner niche of the MSCs prior to the separation process. Therefore, even if grafted to a recipient with verified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MSCs may be expected to survive. The concept of MSC therapy in patients with COVID-19 is therefore promising</w:t>
      </w:r>
      <w:r w:rsidR="005839DB" w:rsidRPr="009F44A4">
        <w:rPr>
          <w:rFonts w:ascii="Times New Roman" w:eastAsia="Calibri" w:hAnsi="Times New Roman" w:cs="Times New Roman"/>
          <w:color w:val="000000" w:themeColor="text1"/>
          <w:sz w:val="20"/>
          <w:szCs w:val="20"/>
        </w:rPr>
        <w:t xml:space="preserve"> (Table 2)</w:t>
      </w:r>
      <w:r w:rsidRPr="009F44A4">
        <w:rPr>
          <w:rFonts w:ascii="Times New Roman" w:eastAsia="Calibri" w:hAnsi="Times New Roman" w:cs="Times New Roman"/>
          <w:color w:val="000000" w:themeColor="text1"/>
          <w:sz w:val="20"/>
          <w:szCs w:val="20"/>
        </w:rPr>
        <w:t>. MSC therapy is inclined to prevent the inflammatory processes by the body's defense system and facilitate intrinsic reconstruction by the regenerative qualities of the stem cells</w:t>
      </w:r>
      <w:r w:rsidR="00555BB4" w:rsidRPr="009F44A4">
        <w:rPr>
          <w:rFonts w:ascii="Times New Roman" w:eastAsia="Calibri" w:hAnsi="Times New Roman" w:cs="Times New Roman"/>
          <w:color w:val="000000" w:themeColor="text1"/>
          <w:sz w:val="20"/>
          <w:szCs w:val="20"/>
        </w:rPr>
        <w:t xml:space="preserve"> </w:t>
      </w:r>
      <w:r w:rsidR="00555BB4"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{"citationID":"YvKl2rrN","properties":{"formattedCitation":"\\super 4\\nosupersub{}","plainCitation":"4","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COVID-19","author":[{"family":"Golchin","given":"Ali"},{"family":"Seyedjafari","given":"Ehsan"},{"family":"Ardeshirylajimi","given":"Abdolreza"}],"issued":{"date-parts":[["2020",4,13]]}}}],"schema":"https://github.com/citation-style-language/schema/raw/master/csl-citation.json"} </w:instrText>
      </w:r>
      <w:r w:rsidR="00555BB4"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w:t>
      </w:r>
      <w:r w:rsidR="00555BB4" w:rsidRPr="009F44A4">
        <w:rPr>
          <w:rFonts w:ascii="Times New Roman" w:eastAsia="Calibri" w:hAnsi="Times New Roman" w:cs="Times New Roman"/>
          <w:color w:val="000000" w:themeColor="text1"/>
          <w:sz w:val="20"/>
          <w:szCs w:val="20"/>
        </w:rPr>
        <w:fldChar w:fldCharType="end"/>
      </w:r>
      <w:r w:rsidRPr="009F44A4">
        <w:rPr>
          <w:rFonts w:ascii="Times New Roman" w:eastAsia="Calibri" w:hAnsi="Times New Roman" w:cs="Times New Roman"/>
          <w:color w:val="000000" w:themeColor="text1"/>
          <w:sz w:val="20"/>
          <w:szCs w:val="20"/>
        </w:rPr>
        <w:t>. After injecting directly into the vein, some of the MSC population is considered to be trapped in the lungs, sometimes referred to as a restriction of systemic infusion. Nevertheless, these MSCs can restore the lung microenvironment, shield epithelial cells, stop lung damage, and treat pulmonary impairment and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infection</w:t>
      </w:r>
      <w:r w:rsidR="00207A78" w:rsidRPr="009F44A4">
        <w:rPr>
          <w:rFonts w:ascii="Times New Roman" w:eastAsia="Calibri" w:hAnsi="Times New Roman" w:cs="Times New Roman"/>
          <w:color w:val="000000" w:themeColor="text1"/>
          <w:sz w:val="20"/>
          <w:szCs w:val="20"/>
        </w:rPr>
        <w:t xml:space="preserve"> </w:t>
      </w:r>
      <w:r w:rsidR="00207A78"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{"citationID":"CfP8QyJU","properties":{"formattedCitation":"\\super 4\\nosupersub{}","plainCitation":"4","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COVID-19","author":[{"family":"Golchin","given":"Ali"},{"family":"Seyedjafari","given":"Ehsan"},{"family":"Ardeshirylajimi","given":"Abdolreza"}],"issued":{"date-parts":[["2020",4,13]]}}}],"schema":"https://github.com/citation-style-language/schema/raw/master/csl-citation.json"} </w:instrText>
      </w:r>
      <w:r w:rsidR="00207A78"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w:t>
      </w:r>
      <w:r w:rsidR="00207A78" w:rsidRPr="009F44A4">
        <w:rPr>
          <w:rFonts w:ascii="Times New Roman" w:eastAsia="Calibri" w:hAnsi="Times New Roman" w:cs="Times New Roman"/>
          <w:color w:val="000000" w:themeColor="text1"/>
          <w:sz w:val="20"/>
          <w:szCs w:val="20"/>
        </w:rPr>
        <w:fldChar w:fldCharType="end"/>
      </w:r>
      <w:r w:rsidR="00207A78"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The key limitations of this therapy is the availability of therapeutic grade MSCs. As a result, MSCs could be the ideal candidate for research studies or beneficial strategies for curing patients infected with coronavirus-2</w:t>
      </w:r>
      <w:r w:rsidR="00856991" w:rsidRPr="009F44A4">
        <w:rPr>
          <w:rFonts w:ascii="Times New Roman" w:eastAsia="Calibri" w:hAnsi="Times New Roman" w:cs="Times New Roman"/>
          <w:color w:val="000000" w:themeColor="text1"/>
          <w:sz w:val="20"/>
          <w:szCs w:val="20"/>
        </w:rPr>
        <w:t xml:space="preserve"> </w:t>
      </w:r>
      <w:r w:rsidR="00856991"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{"citationID":"Lhmkvabl","properties":{"formattedCitation":"\\super 4,13\\nosupersub{}","plainCitation":"4,13","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id":569,"uris":["http://zotero.org/users/local/ZR048J0w/items/TDN6KPYQ"],"uri":["http://zotero.org/users/local/ZR048J0w/items/TDN6KPYQ"],"itemData":{"id":569,"type":"article-journal","abstract":"A coronavirus (HCoV-19) has caused the novel coronavirus disease (COVID-19) outbreak in Wuhan, China. Preventing and reversing the cytokine storm may be the key to save the patients with severe COVID-19 pneumonia. Mesenchymal stem cells (MSCs) have been shown to possess a comprehensive powerful immunomodulatory function. This study aims to investigate whether MSC transplantation improves the outcome of 7 enrolled patients with COVID-19 pneumonia in Beijing YouAn Hospital, China, from Jan 23, 2020 to Feb 16, 2020. The clinical outcomes, as well as changes of inflammatory and immune function levels and adverse effects of 7 enrolled patients were assessed for 14 days after MSC injection. MSCs could cure or significantly improve the functional outcomes of seven patients without observed adverse effects. The pulmonary function and symptoms of these seven patients were significantly improved in 2 days after MSC transplantation. Among them, two common and one severe patient were recovered and discharged in 10 days after treatment. After treatment, the peripheral lymphocytes were increased, the C-reactive protein decreased, and the overactivated cytokine-secreting immune cells CXCR3+CD4+ T cells, CXCR3+CD8+ T cells, and CXCR3+ NK cells disappeared in 3-6 days. In addition, a group of CD14+CD11c+CD11bmid regulatory DC cell population dramatically increased. Meanwhile, the level of TNF-α was significantly decreased, while IL-10 increased in MSC treatment group compared to the placebo control group. Furthermore, the gene expression profile showed MSCs were ACE2- and TMPRSS2- which indicated MSCs are free from COVID-19 infection. Thus, the intravenous transplantation of MSCs was safe and effective for treatment in patients with COVID-19 pneumonia, especially for the patients in critically severe condition.","container-title":"Aging and Disease","DOI":"10.14336/AD.2020.0228","ISSN":"2152-5250","issue":"2","journalAbbreviation":"Aging Dis","note":"PMID: 32257537\nPMCID: PMC7069465","page":"216-228","source":"PubMed Central","title":"Transplantation of ACE2- Mesenchymal Stem Cells Improves the Outcome of Patients with COVID-19 Pneumonia","volume":"11","author":[{"family":"Leng","given":"Zikuan"},{"family":"Zhu","given":"Rongjia"},{"family":"Hou","given":"Wei"},{"family":"Feng","given":"Yingmei"},{"family":"Yang","given":"Yanlei"},{"family":"Han","given":"Qin"},{"family":"Shan","given":"Guangliang"},{"family":"Meng","given":"Fanyan"},{"family":"Du","given":"Dongshu"},{"family":"Wang","given":"Shihua"},{"family":"Fan","given":"Junfen"},{"family":"Wang","given":"Wenjing"},{"family":"Deng","given":"Luchan"},{"family":"Shi","given":"Hongbo"},{"family":"Li","given":"Hongjun"},{"family":"Hu","given":"Zhongjie"},{"family":"Zhang","given":"Fengchun"},{"family":"Gao","given":"Jinming"},{"family":"Liu","given":"Hongjian"},{"family":"Li","given":"Xiaoxia"},{"family":"Zhao","given":"Yangyang"},{"family":"Yin","given":"Kan"},{"family":"He","given":"Xijing"},{"family":"Gao","given":"Zhengchao"},{"family":"Wang","given":"Yibin"},{"family":"Yang","given":"Bo"},{"family":"Jin","given":"Ronghua"},{"family":"Stambler","given":"Ilia"},{"family":"Lim","given":"Lee Wei"},{"family":"Su","given":"Huanxing"},{"family":"Moskalev","given":"Alexey"},{"family":"Cano","given":"Antonio"},{"family":"Chakrabarti","given":"Sasanka"},{"family":"Min","given":"Kyung-Jin"},{"family":"Ellison-Hughes","given":"Georgina"},{"family":"Caruso","given":"Calogero"},{"family":"Jin","given":"Kunlin"},{"family":"Zhao","given":"Robert Chunhua"}],"issued":{"date-parts":[["2020",3,9]]}}}],"schema":"https://github.com/citation-style-language/schema/raw/master/csl-citation.json"} </w:instrText>
      </w:r>
      <w:r w:rsidR="00856991"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4,13</w:t>
      </w:r>
      <w:r w:rsidR="00856991" w:rsidRPr="009F44A4">
        <w:rPr>
          <w:rFonts w:ascii="Times New Roman" w:eastAsia="Calibri" w:hAnsi="Times New Roman" w:cs="Times New Roman"/>
          <w:color w:val="000000" w:themeColor="text1"/>
          <w:sz w:val="20"/>
          <w:szCs w:val="20"/>
        </w:rPr>
        <w:fldChar w:fldCharType="end"/>
      </w:r>
      <w:r w:rsidR="00856991" w:rsidRPr="009F44A4">
        <w:rPr>
          <w:rFonts w:ascii="Times New Roman" w:eastAsia="Calibri" w:hAnsi="Times New Roman" w:cs="Times New Roman"/>
          <w:color w:val="000000" w:themeColor="text1"/>
          <w:sz w:val="20"/>
          <w:szCs w:val="20"/>
        </w:rPr>
        <w:t>.</w:t>
      </w:r>
    </w:p>
    <w:p w14:paraId="51A30BFD" w14:textId="77777777" w:rsidR="00A82E9E" w:rsidRPr="009F44A4" w:rsidRDefault="00A82E9E"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p>
    <w:tbl>
      <w:tblPr>
        <w:tblStyle w:val="TableGrid"/>
        <w:tblW w:w="10060" w:type="dxa"/>
        <w:tblLook w:val="04A0" w:firstRow="1" w:lastRow="0" w:firstColumn="1" w:lastColumn="0" w:noHBand="0" w:noVBand="1"/>
      </w:tblPr>
      <w:tblGrid>
        <w:gridCol w:w="1799"/>
        <w:gridCol w:w="1997"/>
        <w:gridCol w:w="3203"/>
        <w:gridCol w:w="1671"/>
        <w:gridCol w:w="1390"/>
      </w:tblGrid>
      <w:tr w:rsidR="009F44A4" w:rsidRPr="009F44A4" w14:paraId="2C8DCE75" w14:textId="77777777" w:rsidTr="0022740C">
        <w:trPr>
          <w:trHeight w:val="841"/>
        </w:trPr>
        <w:tc>
          <w:tcPr>
            <w:tcW w:w="1799" w:type="dxa"/>
          </w:tcPr>
          <w:p w14:paraId="793DCB11" w14:textId="77777777" w:rsidR="00DA7090" w:rsidRPr="0022740C" w:rsidRDefault="00DA7090" w:rsidP="00DC7281">
            <w:pPr>
              <w:shd w:val="clear" w:color="auto" w:fill="FFFFFF" w:themeFill="background1"/>
              <w:spacing w:after="160" w:line="360" w:lineRule="auto"/>
              <w:rPr>
                <w:rFonts w:ascii="Times New Roman" w:hAnsi="Times New Roman"/>
                <w:b/>
                <w:color w:val="000000" w:themeColor="text1"/>
                <w:sz w:val="20"/>
                <w:szCs w:val="20"/>
              </w:rPr>
            </w:pPr>
            <w:r w:rsidRPr="0022740C">
              <w:rPr>
                <w:rFonts w:ascii="Times New Roman" w:hAnsi="Times New Roman"/>
                <w:b/>
                <w:color w:val="000000" w:themeColor="text1"/>
                <w:sz w:val="20"/>
                <w:szCs w:val="20"/>
              </w:rPr>
              <w:t>Clinical trial number</w:t>
            </w:r>
          </w:p>
        </w:tc>
        <w:tc>
          <w:tcPr>
            <w:tcW w:w="1997" w:type="dxa"/>
          </w:tcPr>
          <w:p w14:paraId="52A447C8" w14:textId="77777777" w:rsidR="00DA7090" w:rsidRPr="0022740C" w:rsidRDefault="00DA7090" w:rsidP="00DC7281">
            <w:pPr>
              <w:shd w:val="clear" w:color="auto" w:fill="FFFFFF" w:themeFill="background1"/>
              <w:spacing w:after="160" w:line="360" w:lineRule="auto"/>
              <w:rPr>
                <w:rFonts w:ascii="Times New Roman" w:hAnsi="Times New Roman"/>
                <w:b/>
                <w:color w:val="000000" w:themeColor="text1"/>
                <w:sz w:val="20"/>
                <w:szCs w:val="20"/>
              </w:rPr>
            </w:pPr>
            <w:r w:rsidRPr="0022740C">
              <w:rPr>
                <w:rFonts w:ascii="Times New Roman" w:hAnsi="Times New Roman"/>
                <w:b/>
                <w:color w:val="000000" w:themeColor="text1"/>
                <w:sz w:val="20"/>
                <w:szCs w:val="20"/>
              </w:rPr>
              <w:t>Diseases</w:t>
            </w:r>
          </w:p>
        </w:tc>
        <w:tc>
          <w:tcPr>
            <w:tcW w:w="3203" w:type="dxa"/>
          </w:tcPr>
          <w:p w14:paraId="0362A032" w14:textId="77777777" w:rsidR="00DA7090" w:rsidRPr="0022740C" w:rsidRDefault="00DA7090" w:rsidP="00DC7281">
            <w:pPr>
              <w:shd w:val="clear" w:color="auto" w:fill="FFFFFF" w:themeFill="background1"/>
              <w:spacing w:after="160" w:line="360" w:lineRule="auto"/>
              <w:rPr>
                <w:rFonts w:ascii="Times New Roman" w:hAnsi="Times New Roman"/>
                <w:b/>
                <w:color w:val="000000" w:themeColor="text1"/>
                <w:sz w:val="20"/>
                <w:szCs w:val="20"/>
              </w:rPr>
            </w:pPr>
            <w:r w:rsidRPr="0022740C">
              <w:rPr>
                <w:rFonts w:ascii="Times New Roman" w:hAnsi="Times New Roman"/>
                <w:b/>
                <w:color w:val="000000" w:themeColor="text1"/>
                <w:sz w:val="20"/>
                <w:szCs w:val="20"/>
              </w:rPr>
              <w:t>Cell type as a treatment</w:t>
            </w:r>
          </w:p>
        </w:tc>
        <w:tc>
          <w:tcPr>
            <w:tcW w:w="1671" w:type="dxa"/>
          </w:tcPr>
          <w:p w14:paraId="79A85E26" w14:textId="77777777" w:rsidR="00DA7090" w:rsidRPr="0022740C" w:rsidRDefault="00DA7090" w:rsidP="00DC7281">
            <w:pPr>
              <w:shd w:val="clear" w:color="auto" w:fill="FFFFFF" w:themeFill="background1"/>
              <w:spacing w:after="160" w:line="360" w:lineRule="auto"/>
              <w:rPr>
                <w:rFonts w:ascii="Times New Roman" w:hAnsi="Times New Roman"/>
                <w:b/>
                <w:color w:val="000000" w:themeColor="text1"/>
                <w:sz w:val="20"/>
                <w:szCs w:val="20"/>
              </w:rPr>
            </w:pPr>
            <w:r w:rsidRPr="0022740C">
              <w:rPr>
                <w:rFonts w:ascii="Times New Roman" w:hAnsi="Times New Roman"/>
                <w:b/>
                <w:color w:val="000000" w:themeColor="text1"/>
                <w:sz w:val="20"/>
                <w:szCs w:val="20"/>
              </w:rPr>
              <w:t>Phase</w:t>
            </w:r>
          </w:p>
        </w:tc>
        <w:tc>
          <w:tcPr>
            <w:tcW w:w="1390" w:type="dxa"/>
          </w:tcPr>
          <w:p w14:paraId="4B30DCA7" w14:textId="77777777" w:rsidR="00DA7090" w:rsidRPr="0022740C" w:rsidRDefault="00DA7090" w:rsidP="00DC7281">
            <w:pPr>
              <w:shd w:val="clear" w:color="auto" w:fill="FFFFFF" w:themeFill="background1"/>
              <w:spacing w:after="160" w:line="360" w:lineRule="auto"/>
              <w:rPr>
                <w:rFonts w:ascii="Times New Roman" w:hAnsi="Times New Roman"/>
                <w:b/>
                <w:color w:val="000000" w:themeColor="text1"/>
                <w:sz w:val="20"/>
                <w:szCs w:val="20"/>
              </w:rPr>
            </w:pPr>
            <w:r w:rsidRPr="0022740C">
              <w:rPr>
                <w:rFonts w:ascii="Times New Roman" w:hAnsi="Times New Roman"/>
                <w:b/>
                <w:color w:val="000000" w:themeColor="text1"/>
                <w:sz w:val="20"/>
                <w:szCs w:val="20"/>
              </w:rPr>
              <w:t>Reference</w:t>
            </w:r>
          </w:p>
        </w:tc>
      </w:tr>
      <w:tr w:rsidR="009F44A4" w:rsidRPr="009F44A4" w14:paraId="137E04D5" w14:textId="77777777" w:rsidTr="0022740C">
        <w:trPr>
          <w:trHeight w:val="670"/>
        </w:trPr>
        <w:tc>
          <w:tcPr>
            <w:tcW w:w="1799" w:type="dxa"/>
          </w:tcPr>
          <w:p w14:paraId="57362589" w14:textId="77777777" w:rsidR="00DA7090" w:rsidRPr="0022740C" w:rsidRDefault="00DA7090" w:rsidP="00DC7281">
            <w:pPr>
              <w:shd w:val="clear" w:color="auto" w:fill="FFFFFF" w:themeFill="background1"/>
              <w:spacing w:after="160" w:line="360" w:lineRule="auto"/>
              <w:jc w:val="center"/>
              <w:rPr>
                <w:rFonts w:ascii="Times New Roman" w:hAnsi="Times New Roman"/>
                <w:b/>
                <w:color w:val="000000" w:themeColor="text1"/>
                <w:sz w:val="20"/>
                <w:szCs w:val="20"/>
              </w:rPr>
            </w:pPr>
            <w:r w:rsidRPr="0022740C">
              <w:rPr>
                <w:rFonts w:ascii="Times New Roman" w:hAnsi="Times New Roman"/>
                <w:b/>
                <w:color w:val="000000" w:themeColor="text1"/>
                <w:sz w:val="20"/>
                <w:szCs w:val="20"/>
              </w:rPr>
              <w:t>NCT04336254</w:t>
            </w:r>
          </w:p>
        </w:tc>
        <w:tc>
          <w:tcPr>
            <w:tcW w:w="1997" w:type="dxa"/>
          </w:tcPr>
          <w:p w14:paraId="534ADA1A"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COVID-19</w:t>
            </w:r>
          </w:p>
        </w:tc>
        <w:tc>
          <w:tcPr>
            <w:tcW w:w="3203" w:type="dxa"/>
          </w:tcPr>
          <w:p w14:paraId="799DEF68"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Allogeneic human dental pulp stem cells</w:t>
            </w:r>
          </w:p>
        </w:tc>
        <w:tc>
          <w:tcPr>
            <w:tcW w:w="1671" w:type="dxa"/>
          </w:tcPr>
          <w:p w14:paraId="3AF6726D"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Phase I/II</w:t>
            </w:r>
          </w:p>
        </w:tc>
        <w:tc>
          <w:tcPr>
            <w:tcW w:w="1390" w:type="dxa"/>
          </w:tcPr>
          <w:p w14:paraId="1B908D00" w14:textId="61E34082" w:rsidR="00DA7090" w:rsidRPr="009F44A4" w:rsidRDefault="00DA7090" w:rsidP="00DC7281">
            <w:pPr>
              <w:shd w:val="clear" w:color="auto" w:fill="FFFFFF" w:themeFill="background1"/>
              <w:spacing w:after="160" w:line="360" w:lineRule="auto"/>
              <w:jc w:val="center"/>
              <w:rPr>
                <w:rFonts w:ascii="Times New Roman" w:hAnsi="Times New Roman"/>
                <w:color w:val="000000" w:themeColor="text1"/>
                <w:sz w:val="20"/>
                <w:szCs w:val="20"/>
              </w:rPr>
            </w:pPr>
            <w:r w:rsidRPr="009F44A4">
              <w:rPr>
                <w:rFonts w:ascii="Times New Roman" w:hAnsi="Times New Roman"/>
                <w:color w:val="000000" w:themeColor="text1"/>
                <w:sz w:val="20"/>
                <w:szCs w:val="20"/>
              </w:rPr>
              <w:fldChar w:fldCharType="begin"/>
            </w:r>
            <w:r w:rsidR="00236558">
              <w:rPr>
                <w:rFonts w:ascii="Times New Roman" w:hAnsi="Times New Roman"/>
                <w:color w:val="000000" w:themeColor="text1"/>
                <w:sz w:val="20"/>
                <w:szCs w:val="20"/>
              </w:rPr>
              <w:instrText xml:space="preserve"> ADDIN ZOTERO_ITEM CSL_CITATION {"citationID":"EHi720KV","properties":{"formattedCitation":"\\super 124\\nosupersub{}","plainCitation":"124","noteIndex":0},"citationItems":[{"id":930,"uris":["http://zotero.org/users/local/ZR048J0w/items/RUE36UT5"],"uri":["http://zotero.org/users/local/ZR048J0w/items/RUE36UT5"],"itemData":{"id":930,"type":"report","abstract":"This clinical trial is set out to evaluate the safety and efficacy of allogeneic human dental pulp mesenchymal stem cells in the treatment of severe pneumonia caused by COVID-19; to explore the effects of human dental pulp mesenchymal stem cells in the treatment of severe pneumonia of COVID-19 in terms of reducing mortality and improving clinical prognosis; and to discover a new therapeutic strategy for COVID-19 using allogeneic human dental pulp mesenchymal stem cells.","genre":"Clinical trial registration","note":"submitted: March 28, 2020","number":"NCT04336254","publisher":"clinicaltrials.gov","source":"clinicaltrials.gov","title":"Safety and Efficacy Study of Allogeneic Human Dental Pulp Mesenchymal Stem Cells to Treat Severe Pneumonia of COVID-19</w:instrText>
            </w:r>
            <w:r w:rsidR="00236558">
              <w:rPr>
                <w:rFonts w:ascii="MS Gothic" w:eastAsia="MS Gothic" w:hAnsi="MS Gothic" w:cs="MS Gothic" w:hint="eastAsia"/>
                <w:color w:val="000000" w:themeColor="text1"/>
                <w:sz w:val="20"/>
                <w:szCs w:val="20"/>
              </w:rPr>
              <w:instrText>：</w:instrText>
            </w:r>
            <w:r w:rsidR="00236558">
              <w:rPr>
                <w:rFonts w:ascii="Times New Roman" w:hAnsi="Times New Roman"/>
                <w:color w:val="000000" w:themeColor="text1"/>
                <w:sz w:val="20"/>
                <w:szCs w:val="20"/>
              </w:rPr>
              <w:instrText xml:space="preserve">a Single-center, Prospective, Randomised Clinical Trial","title-short":"Safety and Efficacy Study of Allogeneic Human Dental Pulp Mesenchymal Stem Cells to Treat Severe COVID-19 Patients","URL":"https://clinicaltrials.gov/ct2/show/NCT04336254","author":[{"family":"Qingsong","given":"Ye"}],"accessed":{"date-parts":[["2021",1,11]]},"issued":{"date-parts":[["2020",4,3]]}}}],"schema":"https://github.com/citation-style-language/schema/raw/master/csl-citation.json"} </w:instrText>
            </w:r>
            <w:r w:rsidRPr="009F44A4">
              <w:rPr>
                <w:rFonts w:ascii="Times New Roman" w:hAnsi="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124</w:t>
            </w:r>
            <w:r w:rsidRPr="009F44A4">
              <w:rPr>
                <w:rFonts w:ascii="Times New Roman" w:hAnsi="Times New Roman"/>
                <w:color w:val="000000" w:themeColor="text1"/>
                <w:sz w:val="20"/>
                <w:szCs w:val="20"/>
              </w:rPr>
              <w:fldChar w:fldCharType="end"/>
            </w:r>
          </w:p>
        </w:tc>
      </w:tr>
      <w:tr w:rsidR="009F44A4" w:rsidRPr="009F44A4" w14:paraId="26429C40" w14:textId="77777777" w:rsidTr="0022740C">
        <w:tc>
          <w:tcPr>
            <w:tcW w:w="1799" w:type="dxa"/>
          </w:tcPr>
          <w:p w14:paraId="648C0BF6" w14:textId="77777777" w:rsidR="00DA7090" w:rsidRPr="0022740C" w:rsidRDefault="00DA7090" w:rsidP="00DC7281">
            <w:pPr>
              <w:shd w:val="clear" w:color="auto" w:fill="FFFFFF" w:themeFill="background1"/>
              <w:spacing w:after="160" w:line="360" w:lineRule="auto"/>
              <w:jc w:val="center"/>
              <w:rPr>
                <w:rFonts w:ascii="Times New Roman" w:hAnsi="Times New Roman"/>
                <w:b/>
                <w:color w:val="000000" w:themeColor="text1"/>
                <w:sz w:val="20"/>
                <w:szCs w:val="20"/>
              </w:rPr>
            </w:pPr>
            <w:r w:rsidRPr="0022740C">
              <w:rPr>
                <w:rFonts w:ascii="Times New Roman" w:hAnsi="Times New Roman"/>
                <w:b/>
                <w:color w:val="000000" w:themeColor="text1"/>
                <w:sz w:val="20"/>
                <w:szCs w:val="20"/>
              </w:rPr>
              <w:t>NCT04366323</w:t>
            </w:r>
          </w:p>
        </w:tc>
        <w:tc>
          <w:tcPr>
            <w:tcW w:w="1997" w:type="dxa"/>
          </w:tcPr>
          <w:p w14:paraId="6BB3B920"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SARS-</w:t>
            </w:r>
            <w:proofErr w:type="spellStart"/>
            <w:r w:rsidRPr="009F44A4">
              <w:rPr>
                <w:rFonts w:ascii="Times New Roman" w:hAnsi="Times New Roman"/>
                <w:color w:val="000000" w:themeColor="text1"/>
                <w:sz w:val="20"/>
                <w:szCs w:val="20"/>
              </w:rPr>
              <w:t>CoV</w:t>
            </w:r>
            <w:proofErr w:type="spellEnd"/>
            <w:r w:rsidRPr="009F44A4">
              <w:rPr>
                <w:rFonts w:ascii="Times New Roman" w:hAnsi="Times New Roman"/>
                <w:color w:val="000000" w:themeColor="text1"/>
                <w:sz w:val="20"/>
                <w:szCs w:val="20"/>
              </w:rPr>
              <w:t>-2</w:t>
            </w:r>
          </w:p>
        </w:tc>
        <w:tc>
          <w:tcPr>
            <w:tcW w:w="3203" w:type="dxa"/>
          </w:tcPr>
          <w:p w14:paraId="68D1FBE1"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proofErr w:type="spellStart"/>
            <w:r w:rsidRPr="009F44A4">
              <w:rPr>
                <w:rFonts w:ascii="Times New Roman" w:hAnsi="Times New Roman"/>
                <w:color w:val="000000" w:themeColor="text1"/>
                <w:sz w:val="20"/>
                <w:szCs w:val="20"/>
              </w:rPr>
              <w:t>Allogenic</w:t>
            </w:r>
            <w:proofErr w:type="spellEnd"/>
            <w:r w:rsidRPr="009F44A4">
              <w:rPr>
                <w:rFonts w:ascii="Times New Roman" w:hAnsi="Times New Roman"/>
                <w:color w:val="000000" w:themeColor="text1"/>
                <w:sz w:val="20"/>
                <w:szCs w:val="20"/>
              </w:rPr>
              <w:t xml:space="preserve"> and expanded adipose tissue-derived </w:t>
            </w:r>
            <w:proofErr w:type="spellStart"/>
            <w:r w:rsidRPr="009F44A4">
              <w:rPr>
                <w:rFonts w:ascii="Times New Roman" w:hAnsi="Times New Roman"/>
                <w:color w:val="000000" w:themeColor="text1"/>
                <w:sz w:val="20"/>
                <w:szCs w:val="20"/>
              </w:rPr>
              <w:t>mesenchymal</w:t>
            </w:r>
            <w:proofErr w:type="spellEnd"/>
            <w:r w:rsidRPr="009F44A4">
              <w:rPr>
                <w:rFonts w:ascii="Times New Roman" w:hAnsi="Times New Roman"/>
                <w:color w:val="000000" w:themeColor="text1"/>
                <w:sz w:val="20"/>
                <w:szCs w:val="20"/>
              </w:rPr>
              <w:t xml:space="preserve"> stem cells</w:t>
            </w:r>
          </w:p>
        </w:tc>
        <w:tc>
          <w:tcPr>
            <w:tcW w:w="1671" w:type="dxa"/>
          </w:tcPr>
          <w:p w14:paraId="5AB8DF4C"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Phase I/II</w:t>
            </w:r>
          </w:p>
        </w:tc>
        <w:tc>
          <w:tcPr>
            <w:tcW w:w="1390" w:type="dxa"/>
          </w:tcPr>
          <w:p w14:paraId="015B4A6B" w14:textId="7D9DA11A" w:rsidR="00DA7090" w:rsidRPr="009F44A4" w:rsidRDefault="00DA7090" w:rsidP="00DC7281">
            <w:pPr>
              <w:shd w:val="clear" w:color="auto" w:fill="FFFFFF" w:themeFill="background1"/>
              <w:spacing w:after="160" w:line="360" w:lineRule="auto"/>
              <w:jc w:val="center"/>
              <w:rPr>
                <w:rFonts w:ascii="Times New Roman" w:hAnsi="Times New Roman"/>
                <w:color w:val="000000" w:themeColor="text1"/>
                <w:sz w:val="20"/>
                <w:szCs w:val="20"/>
              </w:rPr>
            </w:pPr>
            <w:r w:rsidRPr="009F44A4">
              <w:rPr>
                <w:rFonts w:ascii="Times New Roman" w:hAnsi="Times New Roman"/>
                <w:color w:val="000000" w:themeColor="text1"/>
                <w:sz w:val="20"/>
                <w:szCs w:val="20"/>
              </w:rPr>
              <w:fldChar w:fldCharType="begin"/>
            </w:r>
            <w:r w:rsidR="00236558">
              <w:rPr>
                <w:rFonts w:ascii="Times New Roman" w:hAnsi="Times New Roman"/>
                <w:color w:val="000000" w:themeColor="text1"/>
                <w:sz w:val="20"/>
                <w:szCs w:val="20"/>
              </w:rPr>
              <w:instrText xml:space="preserve"> ADDIN ZOTERO_ITEM CSL_CITATION {"citationID":"95yTP10w","properties":{"formattedCitation":"\\super 125\\nosupersub{}","plainCitation":"125","noteIndex":0},"citationItems":[{"id":931,"uris":["http://zotero.org/users/local/ZR048J0w/items/Q3T28STH"],"uri":["http://zotero.org/users/local/ZR048J0w/items/Q3T28STH"],"itemData":{"id":931,"type":"report","abstract":"Phase I/II clinical trial to evaluate the safety and efficacy of Allogenic Adipose Tissue-Derived Mesenchymal Stem Cells Expanded in patients with severe COVID-19 pneumonia","genre":"Clinical trial registration","note":"submitted: April 22, 2020","number":"NCT04366323","publisher":"clinicaltrials.gov","source":"clinicaltrials.gov","title":"Phase I / II Clinical Trial, Multicenter, Randomized and Controlled, to Assess the Safety and Efficacy of Intravenous Administration of Allogeneic Adult Mesenchymal Stem Cells of Expanded Adipose Tissue in Patients With Severe Pneumonia Due to COVID-19","title-short":"Clinical Trial to Assess the Safety and Efficacy of Intravenous Administration of Allogeneic Adult Mesenchymal Stem Cells of Expanded Adipose Tissue in Patients With Severe Pneumonia Due to COVID-19","URL":"https://clinicaltrials.gov/ct2/show/NCT04366323","author":[{"literal":"Andalusian Network for Design and Translation of Advanced Therapies"}],"accessed":{"date-parts":[["2021",1,11]]},"issued":{"date-parts":[["2020",11,27]]}}}],"schema":"https://github.com/citation-style-language/schema/raw/master/csl-citation.json"} </w:instrText>
            </w:r>
            <w:r w:rsidRPr="009F44A4">
              <w:rPr>
                <w:rFonts w:ascii="Times New Roman" w:hAnsi="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125</w:t>
            </w:r>
            <w:r w:rsidRPr="009F44A4">
              <w:rPr>
                <w:rFonts w:ascii="Times New Roman" w:hAnsi="Times New Roman"/>
                <w:color w:val="000000" w:themeColor="text1"/>
                <w:sz w:val="20"/>
                <w:szCs w:val="20"/>
              </w:rPr>
              <w:fldChar w:fldCharType="end"/>
            </w:r>
          </w:p>
        </w:tc>
      </w:tr>
      <w:tr w:rsidR="009F44A4" w:rsidRPr="009F44A4" w14:paraId="7E0EF5B9" w14:textId="77777777" w:rsidTr="0022740C">
        <w:trPr>
          <w:trHeight w:val="469"/>
        </w:trPr>
        <w:tc>
          <w:tcPr>
            <w:tcW w:w="1799" w:type="dxa"/>
          </w:tcPr>
          <w:p w14:paraId="647111A0" w14:textId="77777777" w:rsidR="00DA7090" w:rsidRPr="0022740C" w:rsidRDefault="00DA7090" w:rsidP="00DC7281">
            <w:pPr>
              <w:shd w:val="clear" w:color="auto" w:fill="FFFFFF" w:themeFill="background1"/>
              <w:spacing w:after="160" w:line="360" w:lineRule="auto"/>
              <w:jc w:val="center"/>
              <w:rPr>
                <w:rFonts w:ascii="Times New Roman" w:hAnsi="Times New Roman"/>
                <w:b/>
                <w:color w:val="000000" w:themeColor="text1"/>
                <w:sz w:val="20"/>
                <w:szCs w:val="20"/>
              </w:rPr>
            </w:pPr>
            <w:r w:rsidRPr="0022740C">
              <w:rPr>
                <w:rFonts w:ascii="Times New Roman" w:hAnsi="Times New Roman"/>
                <w:b/>
                <w:color w:val="000000" w:themeColor="text1"/>
                <w:sz w:val="20"/>
                <w:szCs w:val="20"/>
              </w:rPr>
              <w:t>NCT04366063</w:t>
            </w:r>
          </w:p>
        </w:tc>
        <w:tc>
          <w:tcPr>
            <w:tcW w:w="1997" w:type="dxa"/>
          </w:tcPr>
          <w:p w14:paraId="60BE0C50"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SARS-</w:t>
            </w:r>
            <w:proofErr w:type="spellStart"/>
            <w:r w:rsidRPr="009F44A4">
              <w:rPr>
                <w:rFonts w:ascii="Times New Roman" w:hAnsi="Times New Roman"/>
                <w:color w:val="000000" w:themeColor="text1"/>
                <w:sz w:val="20"/>
                <w:szCs w:val="20"/>
              </w:rPr>
              <w:t>CoV</w:t>
            </w:r>
            <w:proofErr w:type="spellEnd"/>
            <w:r w:rsidRPr="009F44A4">
              <w:rPr>
                <w:rFonts w:ascii="Times New Roman" w:hAnsi="Times New Roman"/>
                <w:color w:val="000000" w:themeColor="text1"/>
                <w:sz w:val="20"/>
                <w:szCs w:val="20"/>
              </w:rPr>
              <w:t>-2</w:t>
            </w:r>
          </w:p>
        </w:tc>
        <w:tc>
          <w:tcPr>
            <w:tcW w:w="3203" w:type="dxa"/>
          </w:tcPr>
          <w:p w14:paraId="75EB51D8" w14:textId="77777777" w:rsidR="00DA7090" w:rsidRPr="009F44A4" w:rsidRDefault="00DA7090" w:rsidP="00DC7281">
            <w:pPr>
              <w:shd w:val="clear" w:color="auto" w:fill="FFFFFF" w:themeFill="background1"/>
              <w:spacing w:after="160" w:line="360" w:lineRule="auto"/>
              <w:jc w:val="center"/>
              <w:rPr>
                <w:rFonts w:ascii="Times New Roman" w:hAnsi="Times New Roman"/>
                <w:color w:val="000000" w:themeColor="text1"/>
                <w:sz w:val="20"/>
                <w:szCs w:val="20"/>
              </w:rPr>
            </w:pPr>
            <w:proofErr w:type="spellStart"/>
            <w:r w:rsidRPr="009F44A4">
              <w:rPr>
                <w:rFonts w:ascii="Times New Roman" w:hAnsi="Times New Roman"/>
                <w:color w:val="000000" w:themeColor="text1"/>
                <w:sz w:val="20"/>
                <w:szCs w:val="20"/>
              </w:rPr>
              <w:t>Mesenchymal</w:t>
            </w:r>
            <w:proofErr w:type="spellEnd"/>
            <w:r w:rsidRPr="009F44A4">
              <w:rPr>
                <w:rFonts w:ascii="Times New Roman" w:hAnsi="Times New Roman"/>
                <w:color w:val="000000" w:themeColor="text1"/>
                <w:sz w:val="20"/>
                <w:szCs w:val="20"/>
              </w:rPr>
              <w:t xml:space="preserve"> Stem Cell</w:t>
            </w:r>
          </w:p>
        </w:tc>
        <w:tc>
          <w:tcPr>
            <w:tcW w:w="1671" w:type="dxa"/>
          </w:tcPr>
          <w:p w14:paraId="5FAFC42D"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Phase II/III</w:t>
            </w:r>
          </w:p>
        </w:tc>
        <w:tc>
          <w:tcPr>
            <w:tcW w:w="1390" w:type="dxa"/>
          </w:tcPr>
          <w:p w14:paraId="7505E429" w14:textId="0D1DE196" w:rsidR="00DA7090" w:rsidRPr="009F44A4" w:rsidRDefault="00DA7090" w:rsidP="00DC7281">
            <w:pPr>
              <w:shd w:val="clear" w:color="auto" w:fill="FFFFFF" w:themeFill="background1"/>
              <w:spacing w:after="160" w:line="360" w:lineRule="auto"/>
              <w:jc w:val="center"/>
              <w:rPr>
                <w:rFonts w:ascii="Times New Roman" w:hAnsi="Times New Roman"/>
                <w:color w:val="000000" w:themeColor="text1"/>
                <w:sz w:val="20"/>
                <w:szCs w:val="20"/>
              </w:rPr>
            </w:pPr>
            <w:r w:rsidRPr="009F44A4">
              <w:rPr>
                <w:rFonts w:ascii="Times New Roman" w:hAnsi="Times New Roman"/>
                <w:color w:val="000000" w:themeColor="text1"/>
                <w:sz w:val="20"/>
                <w:szCs w:val="20"/>
              </w:rPr>
              <w:fldChar w:fldCharType="begin"/>
            </w:r>
            <w:r w:rsidR="00236558">
              <w:rPr>
                <w:rFonts w:ascii="Times New Roman" w:hAnsi="Times New Roman"/>
                <w:color w:val="000000" w:themeColor="text1"/>
                <w:sz w:val="20"/>
                <w:szCs w:val="20"/>
              </w:rPr>
              <w:instrText xml:space="preserve"> ADDIN ZOTERO_ITEM CSL_CITATION {"citationID":"GqVZuA8L","properties":{"formattedCitation":"\\super 126\\nosupersub{}","plainCitation":"126","noteIndex":0},"citationItems":[{"id":935,"uris":["http://zotero.org/users/local/ZR048J0w/items/HCEVGQ5I"],"uri":["http://zotero.org/users/local/ZR048J0w/items/HCEVGQ5I"],"itemData":{"id":935,"type":"report","abstract":"Acute Respiratory Distress Syndrome (ARDS) is the major cause of death in the COVID-19 pandemic. In this trial, the safety and efficacy of Mesenchymal Stem Cells (MSC) for the treatment of ARDS in COVID-19 patients will be assessed.","genre":"Clinical trial registration","note":"submitted: April 20, 2020","number":"NCT04366063","publisher":"clinicaltrials.gov","source":"clinicaltrials.gov","title":"Mesenchymal Stem Cell Therapy for Acute Respiratory Distress Syndrome in Coronavirus Infection: A Phase 2-3 Clinical Trial","title-short":"Mesenchymal Stem Cell Therapy for SARS-CoV-2-related Acute Respiratory Distress Syndrome","URL":"https://clinicaltrials.gov/ct2/show/NCT04366063","author":[{"literal":"Royan Institute"}],"accessed":{"date-parts":[["2021",1,13]]},"issued":{"date-parts":[["2020",4,29]]}}}],"schema":"https://github.com/citation-style-language/schema/raw/master/csl-citation.json"} </w:instrText>
            </w:r>
            <w:r w:rsidRPr="009F44A4">
              <w:rPr>
                <w:rFonts w:ascii="Times New Roman" w:hAnsi="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126</w:t>
            </w:r>
            <w:r w:rsidRPr="009F44A4">
              <w:rPr>
                <w:rFonts w:ascii="Times New Roman" w:hAnsi="Times New Roman"/>
                <w:color w:val="000000" w:themeColor="text1"/>
                <w:sz w:val="20"/>
                <w:szCs w:val="20"/>
              </w:rPr>
              <w:fldChar w:fldCharType="end"/>
            </w:r>
          </w:p>
        </w:tc>
      </w:tr>
      <w:tr w:rsidR="009F44A4" w:rsidRPr="009F44A4" w14:paraId="655414BF" w14:textId="77777777" w:rsidTr="0022740C">
        <w:trPr>
          <w:trHeight w:val="2248"/>
        </w:trPr>
        <w:tc>
          <w:tcPr>
            <w:tcW w:w="1799" w:type="dxa"/>
          </w:tcPr>
          <w:p w14:paraId="1EF5ABBA" w14:textId="77777777" w:rsidR="00DA7090" w:rsidRPr="0022740C" w:rsidRDefault="00DA7090" w:rsidP="00DC7281">
            <w:pPr>
              <w:shd w:val="clear" w:color="auto" w:fill="FFFFFF" w:themeFill="background1"/>
              <w:spacing w:after="160" w:line="360" w:lineRule="auto"/>
              <w:jc w:val="center"/>
              <w:rPr>
                <w:rFonts w:ascii="Times New Roman" w:hAnsi="Times New Roman"/>
                <w:b/>
                <w:color w:val="000000" w:themeColor="text1"/>
                <w:sz w:val="20"/>
                <w:szCs w:val="20"/>
              </w:rPr>
            </w:pPr>
            <w:r w:rsidRPr="0022740C">
              <w:rPr>
                <w:rFonts w:ascii="Times New Roman" w:hAnsi="Times New Roman"/>
                <w:b/>
                <w:color w:val="000000" w:themeColor="text1"/>
                <w:sz w:val="20"/>
                <w:szCs w:val="20"/>
              </w:rPr>
              <w:t>NCT04392778</w:t>
            </w:r>
          </w:p>
        </w:tc>
        <w:tc>
          <w:tcPr>
            <w:tcW w:w="1997" w:type="dxa"/>
          </w:tcPr>
          <w:p w14:paraId="51C9B93D"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COVID-19</w:t>
            </w:r>
          </w:p>
          <w:p w14:paraId="42D43B9E"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Pneumonia</w:t>
            </w:r>
          </w:p>
          <w:p w14:paraId="62FFE9CC"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Multiple Organ Failure</w:t>
            </w:r>
          </w:p>
          <w:p w14:paraId="0EB9294E"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Corona Virus Infection</w:t>
            </w:r>
          </w:p>
        </w:tc>
        <w:tc>
          <w:tcPr>
            <w:tcW w:w="3203" w:type="dxa"/>
          </w:tcPr>
          <w:p w14:paraId="707241EA" w14:textId="77777777" w:rsidR="00DA7090" w:rsidRPr="009F44A4" w:rsidRDefault="00DA7090" w:rsidP="00DC7281">
            <w:pPr>
              <w:shd w:val="clear" w:color="auto" w:fill="FFFFFF" w:themeFill="background1"/>
              <w:spacing w:after="160" w:line="360" w:lineRule="auto"/>
              <w:jc w:val="center"/>
              <w:rPr>
                <w:rFonts w:ascii="Times New Roman" w:hAnsi="Times New Roman"/>
                <w:color w:val="000000" w:themeColor="text1"/>
                <w:sz w:val="20"/>
                <w:szCs w:val="20"/>
              </w:rPr>
            </w:pPr>
            <w:proofErr w:type="spellStart"/>
            <w:r w:rsidRPr="009F44A4">
              <w:rPr>
                <w:rFonts w:ascii="Times New Roman" w:hAnsi="Times New Roman"/>
                <w:color w:val="000000" w:themeColor="text1"/>
                <w:sz w:val="20"/>
                <w:szCs w:val="20"/>
              </w:rPr>
              <w:t>Mesenchymal</w:t>
            </w:r>
            <w:proofErr w:type="spellEnd"/>
            <w:r w:rsidRPr="009F44A4">
              <w:rPr>
                <w:rFonts w:ascii="Times New Roman" w:hAnsi="Times New Roman"/>
                <w:color w:val="000000" w:themeColor="text1"/>
                <w:sz w:val="20"/>
                <w:szCs w:val="20"/>
              </w:rPr>
              <w:t xml:space="preserve"> Stem Cell</w:t>
            </w:r>
          </w:p>
        </w:tc>
        <w:tc>
          <w:tcPr>
            <w:tcW w:w="1671" w:type="dxa"/>
          </w:tcPr>
          <w:p w14:paraId="6A57B121"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Phase I/II</w:t>
            </w:r>
          </w:p>
        </w:tc>
        <w:tc>
          <w:tcPr>
            <w:tcW w:w="1390" w:type="dxa"/>
          </w:tcPr>
          <w:p w14:paraId="41333A65" w14:textId="65909CB5" w:rsidR="00DA7090" w:rsidRPr="009F44A4" w:rsidRDefault="00DA7090" w:rsidP="00DC7281">
            <w:pPr>
              <w:shd w:val="clear" w:color="auto" w:fill="FFFFFF" w:themeFill="background1"/>
              <w:spacing w:after="160" w:line="360" w:lineRule="auto"/>
              <w:jc w:val="center"/>
              <w:rPr>
                <w:rFonts w:ascii="Times New Roman" w:hAnsi="Times New Roman"/>
                <w:color w:val="000000" w:themeColor="text1"/>
                <w:sz w:val="20"/>
                <w:szCs w:val="20"/>
              </w:rPr>
            </w:pPr>
            <w:r w:rsidRPr="009F44A4">
              <w:rPr>
                <w:rFonts w:ascii="Times New Roman" w:hAnsi="Times New Roman"/>
                <w:color w:val="000000" w:themeColor="text1"/>
                <w:sz w:val="20"/>
                <w:szCs w:val="20"/>
              </w:rPr>
              <w:fldChar w:fldCharType="begin"/>
            </w:r>
            <w:r w:rsidR="00236558">
              <w:rPr>
                <w:rFonts w:ascii="Times New Roman" w:hAnsi="Times New Roman"/>
                <w:color w:val="000000" w:themeColor="text1"/>
                <w:sz w:val="20"/>
                <w:szCs w:val="20"/>
              </w:rPr>
              <w:instrText xml:space="preserve"> ADDIN ZOTERO_ITEM CSL_CITATION {"citationID":"31SFjGWP","properties":{"formattedCitation":"\\super 127\\nosupersub{}","plainCitation":"127","noteIndex":0},"citationItems":[{"id":936,"uris":["http://zotero.org/users/local/ZR048J0w/items/L36G2S5A"],"uri":["http://zotero.org/users/local/ZR048J0w/items/L36G2S5A"],"itemData":{"id":936,"type":"report","abstract":"This study aims to use the regenerative and repair abilities of stem cells to fight against the harmful effects of the novel coronavirus Covid-19 and therefore develop a treatment strategy. It is known that fatalities from this virus is largely caused by its damage to lungs and other organs. As the disease progresses, these organs fail and lead to mortality. Our hope is that the stem cell transplantation from healthy donors will repair the damage caused by the virus and result in a healthy recovery.","genre":"Clinical trial registration","note":"submitted: April 25, 2020","number":"NCT04392778","publisher":"clinicaltrials.gov","source":"clinicaltrials.gov","title":"What is the Effect of Mesenchymal Stem Cell Therapy on Seriously Ill Patients With Covid 19 in Intensive Care? (Prospective Double Controlled Study)","title-short":"Clinical Use of Stem Cells for the Treatment of Covid-19","URL":"https://clinicaltrials.gov/ct2/show/NCT04392778","author":[{"literal":"SBÜ Dr. Sadi Konuk Eğitim ve Araştırma Hastanesi"}],"accessed":{"date-parts":[["2021",1,13]]},"issued":{"date-parts":[["2020",5,17]]}}}],"schema":"https://github.com/citation-style-language/schema/raw/master/csl-citation.json"} </w:instrText>
            </w:r>
            <w:r w:rsidRPr="009F44A4">
              <w:rPr>
                <w:rFonts w:ascii="Times New Roman" w:hAnsi="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127</w:t>
            </w:r>
            <w:r w:rsidRPr="009F44A4">
              <w:rPr>
                <w:rFonts w:ascii="Times New Roman" w:hAnsi="Times New Roman"/>
                <w:color w:val="000000" w:themeColor="text1"/>
                <w:sz w:val="20"/>
                <w:szCs w:val="20"/>
              </w:rPr>
              <w:fldChar w:fldCharType="end"/>
            </w:r>
          </w:p>
        </w:tc>
      </w:tr>
      <w:tr w:rsidR="009F44A4" w:rsidRPr="009F44A4" w14:paraId="7EE578B0" w14:textId="77777777" w:rsidTr="0022740C">
        <w:tc>
          <w:tcPr>
            <w:tcW w:w="1799" w:type="dxa"/>
          </w:tcPr>
          <w:p w14:paraId="65ACDE58" w14:textId="77777777" w:rsidR="00DA7090" w:rsidRPr="0022740C" w:rsidRDefault="00DA7090" w:rsidP="00DC7281">
            <w:pPr>
              <w:shd w:val="clear" w:color="auto" w:fill="FFFFFF" w:themeFill="background1"/>
              <w:spacing w:after="160" w:line="360" w:lineRule="auto"/>
              <w:jc w:val="center"/>
              <w:rPr>
                <w:rFonts w:ascii="Times New Roman" w:hAnsi="Times New Roman"/>
                <w:b/>
                <w:color w:val="000000" w:themeColor="text1"/>
                <w:sz w:val="20"/>
                <w:szCs w:val="20"/>
              </w:rPr>
            </w:pPr>
            <w:r w:rsidRPr="0022740C">
              <w:rPr>
                <w:rFonts w:ascii="Times New Roman" w:hAnsi="Times New Roman"/>
                <w:b/>
                <w:color w:val="000000" w:themeColor="text1"/>
                <w:sz w:val="20"/>
                <w:szCs w:val="20"/>
              </w:rPr>
              <w:t>NCT04355728</w:t>
            </w:r>
          </w:p>
        </w:tc>
        <w:tc>
          <w:tcPr>
            <w:tcW w:w="1997" w:type="dxa"/>
          </w:tcPr>
          <w:p w14:paraId="33DAB295"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Corona Virus Infection</w:t>
            </w:r>
          </w:p>
          <w:p w14:paraId="6801C515"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ARDS</w:t>
            </w:r>
          </w:p>
          <w:p w14:paraId="26F2B75C"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Human Acute Respiratory Distress Syndrome</w:t>
            </w:r>
          </w:p>
          <w:p w14:paraId="4870FA25"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lastRenderedPageBreak/>
              <w:t>COVID-19</w:t>
            </w:r>
          </w:p>
        </w:tc>
        <w:tc>
          <w:tcPr>
            <w:tcW w:w="3203" w:type="dxa"/>
          </w:tcPr>
          <w:p w14:paraId="31394059"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lastRenderedPageBreak/>
              <w:t xml:space="preserve">Umbilical Cord </w:t>
            </w:r>
            <w:proofErr w:type="spellStart"/>
            <w:r w:rsidRPr="009F44A4">
              <w:rPr>
                <w:rFonts w:ascii="Times New Roman" w:hAnsi="Times New Roman"/>
                <w:color w:val="000000" w:themeColor="text1"/>
                <w:sz w:val="20"/>
                <w:szCs w:val="20"/>
              </w:rPr>
              <w:t>Mesenchymal</w:t>
            </w:r>
            <w:proofErr w:type="spellEnd"/>
            <w:r w:rsidRPr="009F44A4">
              <w:rPr>
                <w:rFonts w:ascii="Times New Roman" w:hAnsi="Times New Roman"/>
                <w:color w:val="000000" w:themeColor="text1"/>
                <w:sz w:val="20"/>
                <w:szCs w:val="20"/>
              </w:rPr>
              <w:t xml:space="preserve"> Stem Cells</w:t>
            </w:r>
          </w:p>
        </w:tc>
        <w:tc>
          <w:tcPr>
            <w:tcW w:w="1671" w:type="dxa"/>
          </w:tcPr>
          <w:p w14:paraId="7C66672D"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Phase I/II</w:t>
            </w:r>
          </w:p>
        </w:tc>
        <w:tc>
          <w:tcPr>
            <w:tcW w:w="1390" w:type="dxa"/>
          </w:tcPr>
          <w:p w14:paraId="7F91292C" w14:textId="59993B1A" w:rsidR="00DA7090" w:rsidRPr="009F44A4" w:rsidRDefault="00DA7090" w:rsidP="00DC7281">
            <w:pPr>
              <w:shd w:val="clear" w:color="auto" w:fill="FFFFFF" w:themeFill="background1"/>
              <w:spacing w:after="160" w:line="360" w:lineRule="auto"/>
              <w:jc w:val="center"/>
              <w:rPr>
                <w:rFonts w:ascii="Times New Roman" w:hAnsi="Times New Roman"/>
                <w:color w:val="000000" w:themeColor="text1"/>
                <w:sz w:val="20"/>
                <w:szCs w:val="20"/>
              </w:rPr>
            </w:pPr>
            <w:r w:rsidRPr="009F44A4">
              <w:rPr>
                <w:rFonts w:ascii="Times New Roman" w:hAnsi="Times New Roman"/>
                <w:color w:val="000000" w:themeColor="text1"/>
                <w:sz w:val="20"/>
                <w:szCs w:val="20"/>
              </w:rPr>
              <w:fldChar w:fldCharType="begin"/>
            </w:r>
            <w:r w:rsidR="00236558">
              <w:rPr>
                <w:rFonts w:ascii="Times New Roman" w:hAnsi="Times New Roman"/>
                <w:color w:val="000000" w:themeColor="text1"/>
                <w:sz w:val="20"/>
                <w:szCs w:val="20"/>
              </w:rPr>
              <w:instrText xml:space="preserve"> ADDIN ZOTERO_ITEM CSL_CITATION {"citationID":"aZDWW98V","properties":{"formattedCitation":"\\super 128\\nosupersub{}","plainCitation":"128","noteIndex":0},"citationItems":[{"id":937,"uris":["http://zotero.org/users/local/ZR048J0w/items/5S8EJWQM"],"uri":["http://zotero.org/users/local/ZR048J0w/items/5S8EJWQM"],"itemData":{"id":937,"type":"report","abstract":"The purpose of this research study is to learn about the safety and efficacy of human umbilical cord derived Mesenchymal Stem Cells (UC-MSC) for treatment of COVID-19 Patients with Severe Complications of Acute Lung Injury/Acute Respiratory Distress Syndrome (ALI/ARDS).","genre":"Clinical trial registration","note":"submitted: April 13, 2020","number":"NCT04355728","publisher":"clinicaltrials.gov","source":"clinicaltrials.gov","title":"Umbilical Cord-derived Mesenchymal Stem Cells for COVID-19 Patients With Acute Respiratory Distress Syndrome (ARDS)","title-short":"Use of UC-MSCs for COVID-19 Patients","URL":"https://clinicaltrials.gov/ct2/show/NCT04355728","author":[{"family":"Ricordi","given":"Camillo"}],"accessed":{"date-parts":[["2021",1,13]]},"issued":{"date-parts":[["2020",11,9]]}}}],"schema":"https://github.com/citation-style-language/schema/raw/master/csl-citation.json"} </w:instrText>
            </w:r>
            <w:r w:rsidRPr="009F44A4">
              <w:rPr>
                <w:rFonts w:ascii="Times New Roman" w:hAnsi="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128</w:t>
            </w:r>
            <w:r w:rsidRPr="009F44A4">
              <w:rPr>
                <w:rFonts w:ascii="Times New Roman" w:hAnsi="Times New Roman"/>
                <w:color w:val="000000" w:themeColor="text1"/>
                <w:sz w:val="20"/>
                <w:szCs w:val="20"/>
              </w:rPr>
              <w:fldChar w:fldCharType="end"/>
            </w:r>
          </w:p>
        </w:tc>
      </w:tr>
      <w:tr w:rsidR="009F44A4" w:rsidRPr="009F44A4" w14:paraId="0833BE06" w14:textId="77777777" w:rsidTr="0022740C">
        <w:trPr>
          <w:trHeight w:val="1241"/>
        </w:trPr>
        <w:tc>
          <w:tcPr>
            <w:tcW w:w="1799" w:type="dxa"/>
          </w:tcPr>
          <w:p w14:paraId="4453F3F2" w14:textId="77777777" w:rsidR="00DA7090" w:rsidRPr="0022740C" w:rsidRDefault="00DA7090" w:rsidP="00DC7281">
            <w:pPr>
              <w:shd w:val="clear" w:color="auto" w:fill="FFFFFF" w:themeFill="background1"/>
              <w:spacing w:after="160" w:line="360" w:lineRule="auto"/>
              <w:jc w:val="center"/>
              <w:rPr>
                <w:rFonts w:ascii="Times New Roman" w:hAnsi="Times New Roman"/>
                <w:b/>
                <w:color w:val="000000" w:themeColor="text1"/>
                <w:sz w:val="20"/>
                <w:szCs w:val="20"/>
              </w:rPr>
            </w:pPr>
            <w:r w:rsidRPr="0022740C">
              <w:rPr>
                <w:rFonts w:ascii="Times New Roman" w:hAnsi="Times New Roman"/>
                <w:b/>
                <w:color w:val="000000" w:themeColor="text1"/>
                <w:sz w:val="20"/>
                <w:szCs w:val="20"/>
              </w:rPr>
              <w:lastRenderedPageBreak/>
              <w:t>NCT03042143</w:t>
            </w:r>
          </w:p>
        </w:tc>
        <w:tc>
          <w:tcPr>
            <w:tcW w:w="1997" w:type="dxa"/>
          </w:tcPr>
          <w:p w14:paraId="63C25611"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Acute Respiratory Distress Syndrome (ARDS</w:t>
            </w:r>
          </w:p>
          <w:p w14:paraId="316CAB22"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w:t>
            </w:r>
          </w:p>
        </w:tc>
        <w:tc>
          <w:tcPr>
            <w:tcW w:w="3203" w:type="dxa"/>
          </w:tcPr>
          <w:p w14:paraId="30EE12D7"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Human umbilical cord derived CD362 enriched MSCs</w:t>
            </w:r>
          </w:p>
        </w:tc>
        <w:tc>
          <w:tcPr>
            <w:tcW w:w="1671" w:type="dxa"/>
          </w:tcPr>
          <w:p w14:paraId="385593A1"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Phase I/II</w:t>
            </w:r>
          </w:p>
        </w:tc>
        <w:tc>
          <w:tcPr>
            <w:tcW w:w="1390" w:type="dxa"/>
          </w:tcPr>
          <w:p w14:paraId="460D52F1" w14:textId="465C7303" w:rsidR="00DA7090" w:rsidRPr="009F44A4" w:rsidRDefault="00DA7090" w:rsidP="00DC7281">
            <w:pPr>
              <w:shd w:val="clear" w:color="auto" w:fill="FFFFFF" w:themeFill="background1"/>
              <w:spacing w:after="160" w:line="360" w:lineRule="auto"/>
              <w:jc w:val="center"/>
              <w:rPr>
                <w:rFonts w:ascii="Times New Roman" w:hAnsi="Times New Roman"/>
                <w:color w:val="000000" w:themeColor="text1"/>
                <w:sz w:val="20"/>
                <w:szCs w:val="20"/>
              </w:rPr>
            </w:pPr>
            <w:r w:rsidRPr="009F44A4">
              <w:rPr>
                <w:rFonts w:ascii="Times New Roman" w:hAnsi="Times New Roman"/>
                <w:color w:val="000000" w:themeColor="text1"/>
                <w:sz w:val="20"/>
                <w:szCs w:val="20"/>
              </w:rPr>
              <w:fldChar w:fldCharType="begin"/>
            </w:r>
            <w:r w:rsidR="00236558">
              <w:rPr>
                <w:rFonts w:ascii="Times New Roman" w:hAnsi="Times New Roman"/>
                <w:color w:val="000000" w:themeColor="text1"/>
                <w:sz w:val="20"/>
                <w:szCs w:val="20"/>
              </w:rPr>
              <w:instrText xml:space="preserve"> ADDIN ZOTERO_ITEM CSL_CITATION {"citationID":"BpUQ8eMC","properties":{"formattedCitation":"\\super 129\\nosupersub{}","plainCitation":"129","noteIndex":0},"citationItems":[{"id":938,"uris":["http://zotero.org/users/local/ZR048J0w/items/7U8NK46X"],"uri":["http://zotero.org/users/local/ZR048J0w/items/7U8NK46X"],"itemData":{"id":938,"type":"report","abstract":"Acute Respiratory Distress Syndrome (ARDS) causes the lungs to fail due to the collection of fluid in the lungs (pulmonary oedema). ARDS is common in severely ill patients in Intensive Care Units and is associated with a high mortality and a high morbidity in those who survive. ARDS occurs in approximately 20% case of COVID-19 and respiratory failure is the leading cause of mortality. There is a large economic burden with direct healthcare costs, but also indirectly due to the impact on the carer and patient through the patients inability to return to full time employment. There is little evidence for effective drug (pharmacological) treatment for ARDS. There is increasing information that mesenchymal stem cells (MSCs) might be important in treating ARDS. REALIST will investigate if a single infusion of MSCs will help in the treatment of ARDS. The first step will be to first of all determine what dose of MSCs is safe and then divide patients suffering from ARDS into two groups, one of which will get MSCs and the other a harmless dummy (or placebo) infusion, who will then be followed up to determine if lung function improves. If effective this may lead to further research to determine if MSCs are effective in patients with ARDS.","genre":"Clinical trial registration","note":"submitted: February 1, 2017","number":"NCT03042143","publisher":"clinicaltrials.gov","source":"clinicaltrials.gov","title":"Repair of Acute Respiratory Distress Syndrome by Stromal Cell Administration (REALIST): An Open Label Dose Escalation Phase 1 Trial Followed by a Randomized, Double-blind, Placebo-controlled Phase 2 Trial (COVID-19)","title-short":"Repair of Acute Respiratory Distress Syndrome by Stromal Cell Administration (REALIST) (COVID-19)","URL":"https://clinicaltrials.gov/ct2/show/NCT03042143","author":[{"family":"McAuley","given":"Professor Danny"}],"accessed":{"date-parts":[["2021",1,13]]},"issued":{"date-parts":[["2020",4,14]]}}}],"schema":"https://github.com/citation-style-language/schema/raw/master/csl-citation.json"} </w:instrText>
            </w:r>
            <w:r w:rsidRPr="009F44A4">
              <w:rPr>
                <w:rFonts w:ascii="Times New Roman" w:hAnsi="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129</w:t>
            </w:r>
            <w:r w:rsidRPr="009F44A4">
              <w:rPr>
                <w:rFonts w:ascii="Times New Roman" w:hAnsi="Times New Roman"/>
                <w:color w:val="000000" w:themeColor="text1"/>
                <w:sz w:val="20"/>
                <w:szCs w:val="20"/>
              </w:rPr>
              <w:fldChar w:fldCharType="end"/>
            </w:r>
          </w:p>
        </w:tc>
      </w:tr>
      <w:tr w:rsidR="009F44A4" w:rsidRPr="009F44A4" w14:paraId="0C5623CE" w14:textId="77777777" w:rsidTr="0022740C">
        <w:trPr>
          <w:trHeight w:val="436"/>
        </w:trPr>
        <w:tc>
          <w:tcPr>
            <w:tcW w:w="1799" w:type="dxa"/>
          </w:tcPr>
          <w:p w14:paraId="440D90D2" w14:textId="77777777" w:rsidR="00DA7090" w:rsidRPr="0022740C" w:rsidRDefault="00DA7090" w:rsidP="00DC7281">
            <w:pPr>
              <w:shd w:val="clear" w:color="auto" w:fill="FFFFFF" w:themeFill="background1"/>
              <w:spacing w:after="160" w:line="360" w:lineRule="auto"/>
              <w:jc w:val="center"/>
              <w:rPr>
                <w:rFonts w:ascii="Times New Roman" w:hAnsi="Times New Roman"/>
                <w:b/>
                <w:color w:val="000000" w:themeColor="text1"/>
                <w:sz w:val="20"/>
                <w:szCs w:val="20"/>
              </w:rPr>
            </w:pPr>
            <w:r w:rsidRPr="0022740C">
              <w:rPr>
                <w:rFonts w:ascii="Times New Roman" w:hAnsi="Times New Roman"/>
                <w:b/>
                <w:color w:val="000000" w:themeColor="text1"/>
                <w:sz w:val="20"/>
                <w:szCs w:val="20"/>
              </w:rPr>
              <w:t>NCT04288102</w:t>
            </w:r>
          </w:p>
        </w:tc>
        <w:tc>
          <w:tcPr>
            <w:tcW w:w="1997" w:type="dxa"/>
          </w:tcPr>
          <w:p w14:paraId="57799B4F"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Corona Virus Disease 2019 (COVID-19)</w:t>
            </w:r>
          </w:p>
        </w:tc>
        <w:tc>
          <w:tcPr>
            <w:tcW w:w="3203" w:type="dxa"/>
          </w:tcPr>
          <w:p w14:paraId="6F48096D"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 xml:space="preserve">Human Umbilical Cord-derived </w:t>
            </w:r>
            <w:proofErr w:type="spellStart"/>
            <w:r w:rsidRPr="009F44A4">
              <w:rPr>
                <w:rFonts w:ascii="Times New Roman" w:hAnsi="Times New Roman"/>
                <w:color w:val="000000" w:themeColor="text1"/>
                <w:sz w:val="20"/>
                <w:szCs w:val="20"/>
              </w:rPr>
              <w:t>Mesenchymal</w:t>
            </w:r>
            <w:proofErr w:type="spellEnd"/>
            <w:r w:rsidRPr="009F44A4">
              <w:rPr>
                <w:rFonts w:ascii="Times New Roman" w:hAnsi="Times New Roman"/>
                <w:color w:val="000000" w:themeColor="text1"/>
                <w:sz w:val="20"/>
                <w:szCs w:val="20"/>
              </w:rPr>
              <w:t xml:space="preserve"> Stem Cells</w:t>
            </w:r>
          </w:p>
        </w:tc>
        <w:tc>
          <w:tcPr>
            <w:tcW w:w="1671" w:type="dxa"/>
          </w:tcPr>
          <w:p w14:paraId="399E91BC" w14:textId="77777777" w:rsidR="00DA7090" w:rsidRPr="009F44A4" w:rsidRDefault="00DA7090" w:rsidP="00DC7281">
            <w:pPr>
              <w:shd w:val="clear" w:color="auto" w:fill="FFFFFF" w:themeFill="background1"/>
              <w:spacing w:after="160" w:line="360" w:lineRule="auto"/>
              <w:rPr>
                <w:rFonts w:ascii="Times New Roman" w:hAnsi="Times New Roman"/>
                <w:color w:val="000000" w:themeColor="text1"/>
                <w:sz w:val="20"/>
                <w:szCs w:val="20"/>
              </w:rPr>
            </w:pPr>
            <w:r w:rsidRPr="009F44A4">
              <w:rPr>
                <w:rFonts w:ascii="Times New Roman" w:hAnsi="Times New Roman"/>
                <w:color w:val="000000" w:themeColor="text1"/>
                <w:sz w:val="20"/>
                <w:szCs w:val="20"/>
              </w:rPr>
              <w:t>Phase II</w:t>
            </w:r>
          </w:p>
        </w:tc>
        <w:tc>
          <w:tcPr>
            <w:tcW w:w="1390" w:type="dxa"/>
          </w:tcPr>
          <w:p w14:paraId="1349ABF2" w14:textId="592430BE" w:rsidR="00DA7090" w:rsidRPr="009F44A4" w:rsidRDefault="00DA7090" w:rsidP="00DC7281">
            <w:pPr>
              <w:shd w:val="clear" w:color="auto" w:fill="FFFFFF" w:themeFill="background1"/>
              <w:spacing w:after="160" w:line="360" w:lineRule="auto"/>
              <w:jc w:val="center"/>
              <w:rPr>
                <w:rFonts w:ascii="Times New Roman" w:hAnsi="Times New Roman"/>
                <w:color w:val="000000" w:themeColor="text1"/>
                <w:sz w:val="20"/>
                <w:szCs w:val="20"/>
              </w:rPr>
            </w:pPr>
            <w:r w:rsidRPr="009F44A4">
              <w:rPr>
                <w:rFonts w:ascii="Times New Roman" w:hAnsi="Times New Roman"/>
                <w:color w:val="000000" w:themeColor="text1"/>
                <w:sz w:val="20"/>
                <w:szCs w:val="20"/>
              </w:rPr>
              <w:fldChar w:fldCharType="begin"/>
            </w:r>
            <w:r w:rsidR="00236558">
              <w:rPr>
                <w:rFonts w:ascii="Times New Roman" w:hAnsi="Times New Roman"/>
                <w:color w:val="000000" w:themeColor="text1"/>
                <w:sz w:val="20"/>
                <w:szCs w:val="20"/>
              </w:rPr>
              <w:instrText xml:space="preserve"> ADDIN ZOTERO_ITEM CSL_CITATION {"citationID":"y1n7M4LL","properties":{"formattedCitation":"\\super 130\\nosupersub{}","plainCitation":"130","noteIndex":0},"citationItems":[{"id":939,"uris":["http://zotero.org/users/local/ZR048J0w/items/R8ZLE22Y"],"uri":["http://zotero.org/users/local/ZR048J0w/items/R8ZLE22Y"],"itemData":{"id":939,"type":"report","abstract":"COVID-19 caused clusters of severe respiratory illness and was associated with 2% mortality. No specific anti-viral treatment exists. The mainstay of clinical management is largely symptomatic treatment, with organ support in intensive care for seriously ill patients. Cellular therapy, using mesenchymal stem cells has been shown to reduce nonproductive inflammation and affect tissue regeneration and is being evaluated in patients with ARDS. This clinical trial is to inspect the safety and efficiency of mesenchymal stem cells (MSCs) therapy for severe COVID-19.","genre":"Clinical trial registration","note":"submitted: February 24, 2020","number":"NCT04288102","publisher":"clinicaltrials.gov","source":"clinicaltrials.gov","title":"A Phase II, Multicenter, Randomized, Double-blind, Placebo-controlled Trial to Evaluate the Efficacy and Safety of Human Umbilical Cord-derived Mesenchymal Stem Cells in the Treatment of Severe COVID-19 Patients","title-short":"Treatment With Human Umbilical Cord-derived Mesenchymal Stem Cells for Severe Corona Virus Disease 2019 (COVID-19)","URL":"https://clinicaltrials.gov/ct2/show/NCT04288102","author":[{"family":"Wang","given":"Fu-Sheng"}],"accessed":{"date-parts":[["2021",1,13]]},"issued":{"date-parts":[["2020",8,18]]}}}],"schema":"https://github.com/citation-style-language/schema/raw/master/csl-citation.json"} </w:instrText>
            </w:r>
            <w:r w:rsidRPr="009F44A4">
              <w:rPr>
                <w:rFonts w:ascii="Times New Roman" w:hAnsi="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130</w:t>
            </w:r>
            <w:r w:rsidRPr="009F44A4">
              <w:rPr>
                <w:rFonts w:ascii="Times New Roman" w:hAnsi="Times New Roman"/>
                <w:color w:val="000000" w:themeColor="text1"/>
                <w:sz w:val="20"/>
                <w:szCs w:val="20"/>
              </w:rPr>
              <w:fldChar w:fldCharType="end"/>
            </w:r>
          </w:p>
        </w:tc>
      </w:tr>
    </w:tbl>
    <w:p w14:paraId="72335894" w14:textId="77777777" w:rsidR="00482C4A" w:rsidRPr="009F44A4" w:rsidRDefault="00482C4A"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rPr>
      </w:pPr>
    </w:p>
    <w:p w14:paraId="5FA854D9" w14:textId="5BD414EB" w:rsidR="00DA7090" w:rsidRPr="009F44A4" w:rsidRDefault="00DA7090"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 xml:space="preserve">Table 2: </w:t>
      </w:r>
      <w:r w:rsidRPr="009F44A4">
        <w:rPr>
          <w:rFonts w:ascii="Times New Roman" w:eastAsia="Calibri" w:hAnsi="Times New Roman" w:cs="Times New Roman"/>
          <w:color w:val="000000" w:themeColor="text1"/>
          <w:sz w:val="20"/>
          <w:szCs w:val="20"/>
        </w:rPr>
        <w:t xml:space="preserve">List of some clinical trials using stem cells for the treatment of COVID-19 patients. </w:t>
      </w:r>
    </w:p>
    <w:p w14:paraId="73A3BDFA" w14:textId="3535DC11" w:rsidR="00DA7090" w:rsidRPr="009F44A4" w:rsidRDefault="00DA7090"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p>
    <w:p w14:paraId="48E3A1A0" w14:textId="5491F086"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Clinical trials have recently started in the United States, China, Jordan, Iran and several other nations, and some reports have also been released. In particular, </w:t>
      </w:r>
      <w:proofErr w:type="spellStart"/>
      <w:r w:rsidRPr="009F44A4">
        <w:rPr>
          <w:rFonts w:ascii="Times New Roman" w:eastAsia="Calibri" w:hAnsi="Times New Roman" w:cs="Times New Roman"/>
          <w:color w:val="000000" w:themeColor="text1"/>
          <w:sz w:val="20"/>
          <w:szCs w:val="20"/>
        </w:rPr>
        <w:t>mesenchymal</w:t>
      </w:r>
      <w:proofErr w:type="spellEnd"/>
      <w:r w:rsidRPr="009F44A4">
        <w:rPr>
          <w:rFonts w:ascii="Times New Roman" w:eastAsia="Calibri" w:hAnsi="Times New Roman" w:cs="Times New Roman"/>
          <w:color w:val="000000" w:themeColor="text1"/>
          <w:sz w:val="20"/>
          <w:szCs w:val="20"/>
        </w:rPr>
        <w:t xml:space="preserve"> stem cell (MSC) therapy has been widely used for the curing of diabetes mellitus, autoimmune disorder, nerve damage and many different illnesses</w:t>
      </w:r>
      <w:r w:rsidR="009941F3" w:rsidRPr="009F44A4">
        <w:rPr>
          <w:rFonts w:ascii="Times New Roman" w:eastAsia="Calibri" w:hAnsi="Times New Roman" w:cs="Times New Roman"/>
          <w:color w:val="000000" w:themeColor="text1"/>
          <w:sz w:val="20"/>
          <w:szCs w:val="20"/>
        </w:rPr>
        <w:t xml:space="preserve"> </w:t>
      </w:r>
      <w:r w:rsidR="009941F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{"citationID":"ycpkWog8","properties":{"formattedCitation":"\\super 4\\nosupersub{}","plainCitation":"4","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COVID-19","author":[{"family":"Golchin","given":"Ali"},{"family":"Seyedjafari","given":"Ehsan"},{"family":"Ardeshirylajimi","given":"Abdolreza"}],"issued":{"date-parts":[["2020",4,13]]}}}],"schema":"https://github.com/citation-style-language/schema/raw/master/csl-citation.json"} </w:instrText>
      </w:r>
      <w:r w:rsidR="009941F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w:t>
      </w:r>
      <w:r w:rsidR="009941F3" w:rsidRPr="009F44A4">
        <w:rPr>
          <w:rFonts w:ascii="Times New Roman" w:eastAsia="Calibri" w:hAnsi="Times New Roman" w:cs="Times New Roman"/>
          <w:color w:val="000000" w:themeColor="text1"/>
          <w:sz w:val="20"/>
          <w:szCs w:val="20"/>
        </w:rPr>
        <w:fldChar w:fldCharType="end"/>
      </w:r>
      <w:r w:rsidR="009941F3"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The </w:t>
      </w:r>
      <w:proofErr w:type="spellStart"/>
      <w:r w:rsidRPr="009F44A4">
        <w:rPr>
          <w:rFonts w:ascii="Times New Roman" w:eastAsia="Calibri" w:hAnsi="Times New Roman" w:cs="Times New Roman"/>
          <w:color w:val="000000" w:themeColor="text1"/>
          <w:sz w:val="20"/>
          <w:szCs w:val="20"/>
        </w:rPr>
        <w:t>immunomodulatory</w:t>
      </w:r>
      <w:proofErr w:type="spellEnd"/>
      <w:r w:rsidRPr="009F44A4">
        <w:rPr>
          <w:rFonts w:ascii="Times New Roman" w:eastAsia="Calibri" w:hAnsi="Times New Roman" w:cs="Times New Roman"/>
          <w:color w:val="000000" w:themeColor="text1"/>
          <w:sz w:val="20"/>
          <w:szCs w:val="20"/>
        </w:rPr>
        <w:t xml:space="preserve"> properties and differentiating ability of MSC are therefore intended to stop the dying of pulmonary tissue by combating cytokine storms and helping to restore and restructure damaged tissues. Clinical treatment of avian influenza with alike consequences on the lungs by the use of these cells has recently been shown in the study</w:t>
      </w:r>
      <w:r w:rsidR="009941F3" w:rsidRPr="009F44A4">
        <w:rPr>
          <w:rFonts w:ascii="Times New Roman" w:eastAsia="Calibri" w:hAnsi="Times New Roman" w:cs="Times New Roman"/>
          <w:color w:val="000000" w:themeColor="text1"/>
          <w:sz w:val="20"/>
          <w:szCs w:val="20"/>
        </w:rPr>
        <w:t xml:space="preserve"> </w:t>
      </w:r>
      <w:r w:rsidR="009941F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{"citationID":"pHMhlUfM","properties":{"formattedCitation":"\\super 131\\nosupersub{}","plainCitation":"131","noteIndex":0},"citationItems":[{"id":800,"uris":["http://zotero.org/users/local/ZR048J0w/items/HFYI827Z"],"uri":["http://zotero.org/users/local/ZR048J0w/items/HFYI827Z"],"itemData":{"id":800,"type":"article-journal","abstract":"H7N9 viruses quickly spread between mammalian hosts and carry the risk of human-to-human transmission, as shown by the 2013 outbreak. Acute respiratory distress syndrome (ARDS), lung failure, and acute pneumonia are major lung diseases in H7N9 patients. Transplantation of mesenchymal stem cells (MSCs) is a promising choice for treating virus-induced pneumonia, and was used to treat H7N9-induced ARDS in 2013. The transplant of MSCs into patients with H7N9-induced ARDS was conducted at a single center through an open-label clinical trial. Based on the principles of voluntariness and informed consent, 44 patients with H7N9-induced ARDS were included as a control group, while 17 patients with H7N9-induced ARDS acted as an experimental group with allogeneic menstrual-blood-derived MSCs. It was notable that MSC transplantation significantly lowered the mortality of the experimental group, compared with the control group (17.6% died in the experimental group while 54.5% died in the control group). Furthermore, MSC transplantation did not result in harmful effects in the bodies of four of the patients who were part of the five-year follow-up period. Collectively, these results suggest that MSCs significantly improve the survival rate of H7N9-induced ARDS and provide a theoretical basis for the treatment of H7N9-induced ARDS in both preclinical research and clinical studies. Because H7N9 and the coronavirus disease 2019 (COVID-19) share similar complications (e.g., ARDS and lung failure) and corresponding multi-organ dysfunction, MSC-based therapy could be a possible alternative for treating COVID-19.","container-title":"Engineering (Beijing, China)","DOI":"10.1016/j.eng.2020.02.006","ISSN":"2095-8099","issue":"10","journalAbbreviation":"Engineering (Beijing)","language":"eng","note":"PMID: 32292627\nPMCID: PMC7102606","page":"1153-1161","source":"PubMed","title":"Clinical Study of Mesenchymal Stem Cell Treatment for Acute Respiratory Distress Syndrome Induced by Epidemic Influenza A (H7N9) Infection: A Hint for COVID-19 Treatment","title-short":"Clinical Study of Mesenchymal Stem Cell Treatment for Acute Respiratory Distress Syndrome Induced by Epidemic Influenza A (H7N9) Infection","volume":"6","author":[{"family":"Chen","given":"Jiajia"},{"family":"Hu","given":"Chenxia"},{"family":"Chen","given":"Lijun"},{"family":"Tang","given":"Lingling"},{"family":"Zhu","given":"Yixin"},{"family":"Xu","given":"Xiaowei"},{"family":"Chen","given":"Lu"},{"family":"Gao","given":"Hainv"},{"family":"Lu","given":"Xiaoqing"},{"family":"Yu","given":"Liang"},{"family":"Dai","given":"Xiahong"},{"family":"Xiang","given":"Charlie"},{"family":"Li","given":"Lanjuan"}],"issued":{"date-parts":[["2020",10]]}}}],"schema":"https://github.com/citation-style-language/schema/raw/master/csl-citation.json"} </w:instrText>
      </w:r>
      <w:r w:rsidR="009941F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131</w:t>
      </w:r>
      <w:r w:rsidR="009941F3" w:rsidRPr="009F44A4">
        <w:rPr>
          <w:rFonts w:ascii="Times New Roman" w:eastAsia="Calibri" w:hAnsi="Times New Roman" w:cs="Times New Roman"/>
          <w:color w:val="000000" w:themeColor="text1"/>
          <w:sz w:val="20"/>
          <w:szCs w:val="20"/>
        </w:rPr>
        <w:fldChar w:fldCharType="end"/>
      </w:r>
      <w:r w:rsidR="009941F3"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Similarly, a recent case study in a </w:t>
      </w:r>
      <w:r w:rsidR="00945D5B" w:rsidRPr="009F44A4">
        <w:rPr>
          <w:rFonts w:ascii="Times New Roman" w:eastAsia="Calibri" w:hAnsi="Times New Roman" w:cs="Times New Roman"/>
          <w:color w:val="000000" w:themeColor="text1"/>
          <w:sz w:val="20"/>
          <w:szCs w:val="20"/>
        </w:rPr>
        <w:t>woman</w:t>
      </w:r>
      <w:r w:rsidRPr="009F44A4">
        <w:rPr>
          <w:rFonts w:ascii="Times New Roman" w:eastAsia="Calibri" w:hAnsi="Times New Roman" w:cs="Times New Roman"/>
          <w:color w:val="000000" w:themeColor="text1"/>
          <w:sz w:val="20"/>
          <w:szCs w:val="20"/>
        </w:rPr>
        <w:t xml:space="preserve"> suffered with acute SARS-</w:t>
      </w:r>
      <w:proofErr w:type="spellStart"/>
      <w:r w:rsidRPr="009F44A4">
        <w:rPr>
          <w:rFonts w:ascii="Times New Roman" w:eastAsia="Calibri" w:hAnsi="Times New Roman" w:cs="Times New Roman"/>
          <w:color w:val="000000" w:themeColor="text1"/>
          <w:sz w:val="20"/>
          <w:szCs w:val="20"/>
        </w:rPr>
        <w:t>C</w:t>
      </w:r>
      <w:r w:rsidR="004167F2" w:rsidRPr="009F44A4">
        <w:rPr>
          <w:rFonts w:ascii="Times New Roman" w:eastAsia="Calibri" w:hAnsi="Times New Roman" w:cs="Times New Roman"/>
          <w:color w:val="000000" w:themeColor="text1"/>
          <w:sz w:val="20"/>
          <w:szCs w:val="20"/>
        </w:rPr>
        <w:t>oV</w:t>
      </w:r>
      <w:proofErr w:type="spellEnd"/>
      <w:r w:rsidRPr="009F44A4">
        <w:rPr>
          <w:rFonts w:ascii="Times New Roman" w:eastAsia="Calibri" w:hAnsi="Times New Roman" w:cs="Times New Roman"/>
          <w:color w:val="000000" w:themeColor="text1"/>
          <w:sz w:val="20"/>
          <w:szCs w:val="20"/>
        </w:rPr>
        <w:t xml:space="preserve">-2 infection in China has shown that her laboratory tests and CT images have improved significantly after 21 days of curing with </w:t>
      </w:r>
      <w:proofErr w:type="spellStart"/>
      <w:r w:rsidRPr="009F44A4">
        <w:rPr>
          <w:rFonts w:ascii="Times New Roman" w:eastAsia="Calibri" w:hAnsi="Times New Roman" w:cs="Times New Roman"/>
          <w:color w:val="000000" w:themeColor="text1"/>
          <w:sz w:val="20"/>
          <w:szCs w:val="20"/>
        </w:rPr>
        <w:t>funiculus</w:t>
      </w:r>
      <w:proofErr w:type="spellEnd"/>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umbilicalis</w:t>
      </w:r>
      <w:proofErr w:type="spellEnd"/>
      <w:r w:rsidRPr="009F44A4">
        <w:rPr>
          <w:rFonts w:ascii="Times New Roman" w:eastAsia="Calibri" w:hAnsi="Times New Roman" w:cs="Times New Roman"/>
          <w:color w:val="000000" w:themeColor="text1"/>
          <w:sz w:val="20"/>
          <w:szCs w:val="20"/>
        </w:rPr>
        <w:t xml:space="preserve"> MSCs</w:t>
      </w:r>
      <w:r w:rsidR="009941F3" w:rsidRPr="009F44A4">
        <w:rPr>
          <w:rFonts w:ascii="Times New Roman" w:eastAsia="Calibri" w:hAnsi="Times New Roman" w:cs="Times New Roman"/>
          <w:color w:val="000000" w:themeColor="text1"/>
          <w:sz w:val="20"/>
          <w:szCs w:val="20"/>
        </w:rPr>
        <w:t xml:space="preserve"> </w:t>
      </w:r>
      <w:r w:rsidR="009941F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{"citationID":"jsgml9oc","properties":{"formattedCitation":"\\super 4,132\\nosupersub{}","plainCitation":"4,132","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id":803,"uris":["http://zotero.org/users/local/ZR048J0w/items/FKRBGQ39"],"uri":["http://zotero.org/users/local/ZR048J0w/items/FKRBGQ39"],"itemData":{"id":803,"type":"article-journal","abstract":"Rationale:\nThe COVID-19 cases increased very fast in January and February 2020. The mortality among critically ill patients, especially the elder ones, is relatively high. Considering many patients died of severe inflammation response, it is urgent to develop effective therapeutic strategies for these patients. The human umbilical cord mesenchymal stem cells (hUCMSCs) have shown good capabilities to modulate the immune response and repair the injured tissue. Therefore, investigating the potential of hUCMSCs to the treatment of COVID-19 critically ill patients is necessary.\n\nPatient concerns:\nA 65-year-old woman felt fatigued and had a fever with body temperature of 38.2°C, coughed up white foaming sputum. After 1 day, she had chest tightness with SPO2 of 81%, and blood pressure of 160/91 mm Hg.\n\nDiagnose:\nAccording to the guideline for the diagnosis and treatment of 2019 novel coronavirus infected pneumonia (Trial 4th Edition), COVID-19 was diagnosed, based on the real-time RT-PCR test of SARS-CoV-2.\n\nInterventions:\nAfter regular treatment for 12 days, the inflammation symptom of the patient was still very severe and the potential side effects of corticosteroid were observed. Then, allogenic hUCMSCs were given 3 times (5 × 107 cells each time) with a 3-day interval, together with thymosin α1 and antibiotics daily injection.\n\nOutcomes:\nAfter these treatments, most of the laboratory indexes and CT images showed remission of the inflammation symptom. The patient was subsequently transferred out of ICU, and the throat swabs test reported negative 4 days later.\n\nLessons:\nThese results indicated the clinical outcome and good tolerance of allogenic hUCMSCs transfer.","container-title":"Medicine","DOI":"10.1097/MD.0000000000021429","ISSN":"0025-7974","issue":"31","journalAbbreviation":"Medicine (Baltimore)","note":"PMID: 32756149\nPMCID: PMC7402800","source":"PubMed Central","title":"Clinical remission of a critically ill COVID-19 patient treated by human umbilical cord mesenchymal stem cells","URL":"https://www.ncbi.nlm.nih.gov/pmc/articles/PMC7402800/","volume":"99","author":[{"family":"Liang","given":"Bing"},{"family":"Chen","given":"Junhui"},{"family":"Li","given":"Tao"},{"family":"Wu","given":"Haiying"},{"family":"Yang","given":"Wenjie"},{"family":"Li","given":"Yanjiao"},{"family":"Li","given":"Jianchun"},{"family":"Yu","given":"Congtao"},{"family":"Nie","given":"Fangang"},{"family":"Ma","given":"Zhaoxia"},{"family":"Yang","given":"Mingxi"},{"family":"Xiao","given":"Mingying"},{"family":"Nie","given":"Panrong"},{"family":"Gao","given":"Yanfeng"},{"family":"Qian","given":"Chuanyun"},{"family":"Hu","given":"Min"}],"accessed":{"date-parts":[["2020",12,22]]},"issued":{"date-parts":[["2020",7,31]]}}}],"schema":"https://github.com/citation-style-language/schema/raw/master/csl-citation.json"} </w:instrText>
      </w:r>
      <w:r w:rsidR="009941F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4,132</w:t>
      </w:r>
      <w:r w:rsidR="009941F3" w:rsidRPr="009F44A4">
        <w:rPr>
          <w:rFonts w:ascii="Times New Roman" w:eastAsia="Calibri" w:hAnsi="Times New Roman" w:cs="Times New Roman"/>
          <w:color w:val="000000" w:themeColor="text1"/>
          <w:sz w:val="20"/>
          <w:szCs w:val="20"/>
        </w:rPr>
        <w:fldChar w:fldCharType="end"/>
      </w:r>
      <w:r w:rsidR="009941F3"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In one other study, the patient was medicated with </w:t>
      </w:r>
      <w:proofErr w:type="spellStart"/>
      <w:r w:rsidRPr="009F44A4">
        <w:rPr>
          <w:rFonts w:ascii="Times New Roman" w:eastAsia="Calibri" w:hAnsi="Times New Roman" w:cs="Times New Roman"/>
          <w:color w:val="000000" w:themeColor="text1"/>
          <w:sz w:val="20"/>
          <w:szCs w:val="20"/>
        </w:rPr>
        <w:t>lopinavir</w:t>
      </w:r>
      <w:proofErr w:type="spellEnd"/>
      <w:r w:rsidRPr="009F44A4">
        <w:rPr>
          <w:rFonts w:ascii="Times New Roman" w:eastAsia="Calibri" w:hAnsi="Times New Roman" w:cs="Times New Roman"/>
          <w:color w:val="000000" w:themeColor="text1"/>
          <w:sz w:val="20"/>
          <w:szCs w:val="20"/>
        </w:rPr>
        <w:t xml:space="preserve">/ritonavir drugs which stops the growth of virus, and also with </w:t>
      </w:r>
      <w:proofErr w:type="spellStart"/>
      <w:r w:rsidRPr="009F44A4">
        <w:rPr>
          <w:rFonts w:ascii="Times New Roman" w:eastAsia="Calibri" w:hAnsi="Times New Roman" w:cs="Times New Roman"/>
          <w:color w:val="000000" w:themeColor="text1"/>
          <w:sz w:val="20"/>
          <w:szCs w:val="20"/>
        </w:rPr>
        <w:t>moxifloxacin</w:t>
      </w:r>
      <w:proofErr w:type="spellEnd"/>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xuebijing</w:t>
      </w:r>
      <w:proofErr w:type="spellEnd"/>
      <w:r w:rsidRPr="009F44A4">
        <w:rPr>
          <w:rFonts w:ascii="Times New Roman" w:eastAsia="Calibri" w:hAnsi="Times New Roman" w:cs="Times New Roman"/>
          <w:color w:val="000000" w:themeColor="text1"/>
          <w:sz w:val="20"/>
          <w:szCs w:val="20"/>
        </w:rPr>
        <w:t>, and methylprednisolone injected directly into veins, which resulted in an 87% rise in neutrophil and a decrease of 9.8% in lymphocyte. The infected person was also exposed to non-invasive mechanical ventilation due to insufficient oxygenation to improve respiration and alleviate muscle fatigue. The infected person was treated with MSC cord and with 5×10</w:t>
      </w:r>
      <w:r w:rsidRPr="009F44A4">
        <w:rPr>
          <w:rFonts w:ascii="Times New Roman" w:eastAsia="Calibri" w:hAnsi="Times New Roman" w:cs="Times New Roman"/>
          <w:color w:val="000000" w:themeColor="text1"/>
          <w:sz w:val="20"/>
          <w:szCs w:val="20"/>
          <w:vertAlign w:val="superscript"/>
        </w:rPr>
        <w:t>7</w:t>
      </w:r>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thymosin</w:t>
      </w:r>
      <w:proofErr w:type="spellEnd"/>
      <w:r w:rsidRPr="009F44A4">
        <w:rPr>
          <w:rFonts w:ascii="Times New Roman" w:eastAsia="Calibri" w:hAnsi="Times New Roman" w:cs="Times New Roman"/>
          <w:color w:val="000000" w:themeColor="text1"/>
          <w:sz w:val="20"/>
          <w:szCs w:val="20"/>
        </w:rPr>
        <w:t xml:space="preserve"> α1 cells every 3 times as vital symptoms worsened. The test results showed that blood albumin, C-reactive protein and aspartate transaminase/alanine transaminase decreased gradually after the second dose and in parallel this improved life-sustaining signs. Subsequently, the infected person was discharged from the life support machine and found to be able to move. And, the amount of WBCs and neutrophils in the infected person got lowered to usual, whereas the amount of immune cells continued to increase to average. More significantly, the number of immune cells increased dramatically. In addition, qualitative studies obtained from CT scans pictures during the second and third intravenous administration of umbilical cord stem cells have shown that respiratory disease could have been somewhat relaxed.  Subsequently, after the third injection the patient was released from the </w:t>
      </w:r>
      <w:r w:rsidR="004167F2" w:rsidRPr="009F44A4">
        <w:rPr>
          <w:rFonts w:ascii="Times New Roman" w:eastAsia="Calibri" w:hAnsi="Times New Roman" w:cs="Times New Roman"/>
          <w:color w:val="000000" w:themeColor="text1"/>
          <w:sz w:val="20"/>
          <w:szCs w:val="20"/>
        </w:rPr>
        <w:t>i</w:t>
      </w:r>
      <w:r w:rsidRPr="009F44A4">
        <w:rPr>
          <w:rFonts w:ascii="Times New Roman" w:eastAsia="Calibri" w:hAnsi="Times New Roman" w:cs="Times New Roman"/>
          <w:color w:val="000000" w:themeColor="text1"/>
          <w:sz w:val="20"/>
          <w:szCs w:val="20"/>
        </w:rPr>
        <w:t xml:space="preserve">ntensive care unit and most of the essential standards like pulse rate, heart beat </w:t>
      </w:r>
      <w:r w:rsidR="004167F2" w:rsidRPr="009F44A4">
        <w:rPr>
          <w:rFonts w:ascii="Times New Roman" w:eastAsia="Calibri" w:hAnsi="Times New Roman" w:cs="Times New Roman"/>
          <w:color w:val="000000" w:themeColor="text1"/>
          <w:sz w:val="20"/>
          <w:szCs w:val="20"/>
        </w:rPr>
        <w:t>etc.</w:t>
      </w:r>
      <w:r w:rsidRPr="009F44A4">
        <w:rPr>
          <w:rFonts w:ascii="Times New Roman" w:eastAsia="Calibri" w:hAnsi="Times New Roman" w:cs="Times New Roman"/>
          <w:color w:val="000000" w:themeColor="text1"/>
          <w:sz w:val="20"/>
          <w:szCs w:val="20"/>
        </w:rPr>
        <w:t xml:space="preserve"> were fine. The findings indicate that umbilical cord </w:t>
      </w:r>
      <w:proofErr w:type="spellStart"/>
      <w:r w:rsidRPr="009F44A4">
        <w:rPr>
          <w:rFonts w:ascii="Times New Roman" w:eastAsia="Calibri" w:hAnsi="Times New Roman" w:cs="Times New Roman"/>
          <w:color w:val="000000" w:themeColor="text1"/>
          <w:sz w:val="20"/>
          <w:szCs w:val="20"/>
        </w:rPr>
        <w:t>mesenchymal</w:t>
      </w:r>
      <w:proofErr w:type="spellEnd"/>
      <w:r w:rsidRPr="009F44A4">
        <w:rPr>
          <w:rFonts w:ascii="Times New Roman" w:eastAsia="Calibri" w:hAnsi="Times New Roman" w:cs="Times New Roman"/>
          <w:color w:val="000000" w:themeColor="text1"/>
          <w:sz w:val="20"/>
          <w:szCs w:val="20"/>
        </w:rPr>
        <w:t xml:space="preserve"> stem cells therapy can be used as </w:t>
      </w:r>
      <w:r w:rsidR="004167F2" w:rsidRPr="009F44A4">
        <w:rPr>
          <w:rFonts w:ascii="Times New Roman" w:eastAsia="Calibri" w:hAnsi="Times New Roman" w:cs="Times New Roman"/>
          <w:color w:val="000000" w:themeColor="text1"/>
          <w:sz w:val="20"/>
          <w:szCs w:val="20"/>
        </w:rPr>
        <w:t xml:space="preserve">an </w:t>
      </w:r>
      <w:r w:rsidRPr="009F44A4">
        <w:rPr>
          <w:rFonts w:ascii="Times New Roman" w:eastAsia="Calibri" w:hAnsi="Times New Roman" w:cs="Times New Roman"/>
          <w:color w:val="000000" w:themeColor="text1"/>
          <w:sz w:val="20"/>
          <w:szCs w:val="20"/>
        </w:rPr>
        <w:t>option for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infected person, either separately or with other immune modulators</w:t>
      </w:r>
      <w:r w:rsidR="00107B78" w:rsidRPr="009F44A4">
        <w:rPr>
          <w:rFonts w:ascii="Times New Roman" w:eastAsia="Calibri" w:hAnsi="Times New Roman" w:cs="Times New Roman"/>
          <w:color w:val="000000" w:themeColor="text1"/>
          <w:sz w:val="20"/>
          <w:szCs w:val="20"/>
        </w:rPr>
        <w:t xml:space="preserve"> </w:t>
      </w:r>
      <w:r w:rsidR="00107B78"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{"citationID":"xnjWJCDN","properties":{"formattedCitation":"\\super 4,132\\nosupersub{}","plainCitation":"4,132","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id":803,"uris":["http://zotero.org/users/local/ZR048J0w/items/FKRBGQ39"],"uri":["http://zotero.org/users/local/ZR048J0w/items/FKRBGQ39"],"itemData":{"id":803,"type":"article-journal","abstract":"Rationale:\nThe COVID-19 cases increased very fast in January and February 2020. The mortality among critically ill patients, especially the elder ones, is relatively high. Considering many patients died of severe inflammation response, it is urgent to develop effective therapeutic strategies for these patients. The human umbilical cord mesenchymal stem cells (hUCMSCs) have shown good capabilities to modulate the immune response and repair the injured tissue. Therefore, investigating the potential of hUCMSCs to the treatment of COVID-19 critically ill patients is necessary.\n\nPatient concerns:\nA 65-year-old woman felt fatigued and had a fever with body temperature of 38.2°C, coughed up white foaming sputum. After 1 day, she had chest tightness with SPO2 of 81%, and blood pressure of 160/91 mm Hg.\n\nDiagnose:\nAccording to the guideline for the diagnosis and treatment of 2019 novel coronavirus infected pneumonia (Trial 4th Edition), COVID-19 was diagnosed, based on the real-time RT-PCR test of SARS-CoV-2.\n\nInterventions:\nAfter regular treatment for 12 days, the inflammation symptom of the patient was still very severe and the potential side effects of corticosteroid were observed. Then, allogenic hUCMSCs were given 3 times (5 × 107 cells each time) with a 3-day interval, together with thymosin α1 and antibiotics daily injection.\n\nOutcomes:\nAfter these treatments, most of the laboratory indexes and CT images showed remission of the inflammation symptom. The patient was subsequently transferred out of ICU, and the throat swabs test reported negative 4 days later.\n\nLessons:\nThese results indicated the clinical outcome and good tolerance of allogenic hUCMSCs transfer.","container-title":"Medicine","DOI":"10.1097/MD.0000000000021429","ISSN":"0025-7974","issue":"31","journalAbbreviation":"Medicine (Baltimore)","note":"PMID: 32756149\nPMCID: PMC7402800","source":"PubMed Central","title":"Clinical remission of a critically ill COVID-19 patient treated by human umbilical cord mesenchymal stem cells","URL":"https://www.ncbi.nlm.nih.gov/pmc/articles/PMC7402800/","volume":"99","author":[{"family":"Liang","given":"Bing"},{"family":"Chen","given":"Junhui"},{"family":"Li","given":"Tao"},{"family":"Wu","given":"Haiying"},{"family":"Yang","given":"Wenjie"},{"family":"Li","given":"Yanjiao"},{"family":"Li","given":"Jianchun"},{"family":"Yu","given":"Congtao"},{"family":"Nie","given":"Fangang"},{"family":"Ma","given":"Zhaoxia"},{"family":"Yang","given":"Mingxi"},{"family":"Xiao","given":"Mingying"},{"family":"Nie","given":"Panrong"},{"family":"Gao","given":"Yanfeng"},{"family":"Qian","given":"Chuanyun"},{"family":"Hu","given":"Min"}],"accessed":{"date-parts":[["2020",12,22]]},"issued":{"date-parts":[["2020",7,31]]}}}],"schema":"https://github.com/citation-style-language/schema/raw/master/csl-citation.json"} </w:instrText>
      </w:r>
      <w:r w:rsidR="00107B78"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4,132</w:t>
      </w:r>
      <w:r w:rsidR="00107B78" w:rsidRPr="009F44A4">
        <w:rPr>
          <w:rFonts w:ascii="Times New Roman" w:eastAsia="Calibri" w:hAnsi="Times New Roman" w:cs="Times New Roman"/>
          <w:color w:val="000000" w:themeColor="text1"/>
          <w:sz w:val="20"/>
          <w:szCs w:val="20"/>
        </w:rPr>
        <w:fldChar w:fldCharType="end"/>
      </w:r>
      <w:r w:rsidR="00107B78"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Mesenchymal</w:t>
      </w:r>
      <w:proofErr w:type="spellEnd"/>
      <w:r w:rsidRPr="009F44A4">
        <w:rPr>
          <w:rFonts w:ascii="Times New Roman" w:eastAsia="Calibri" w:hAnsi="Times New Roman" w:cs="Times New Roman"/>
          <w:color w:val="000000" w:themeColor="text1"/>
          <w:sz w:val="20"/>
          <w:szCs w:val="20"/>
        </w:rPr>
        <w:t xml:space="preserve"> stem cells have the potential to alter the behavior of immune cells</w:t>
      </w:r>
      <w:r w:rsidR="00107B78" w:rsidRPr="009F44A4">
        <w:rPr>
          <w:rFonts w:ascii="Times New Roman" w:eastAsia="Calibri" w:hAnsi="Times New Roman" w:cs="Times New Roman"/>
          <w:color w:val="000000" w:themeColor="text1"/>
          <w:sz w:val="20"/>
          <w:szCs w:val="20"/>
        </w:rPr>
        <w:t xml:space="preserve"> </w:t>
      </w:r>
      <w:r w:rsidR="00107B78"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{"citationID":"OKl9kpE9","properties":{"formattedCitation":"\\super 133\\nosupersub{}","plainCitation":"133","noteIndex":0},"citationItems":[{"id":797,"uris":["http://zotero.org/users/local/ZR048J0w/items/TV29X323"],"uri":["http://zotero.org/users/local/ZR048J0w/items/TV29X323"],"itemData":{"id":797,"type":"article-journal","abstract":"The outbreak of 2019 novel coronavirus disease (COVID-19) worldwide is becoming rapidly a major concern. The number of severe cases has increased dramatically worldwide, while specific treatment options are scarce. The main pathologic features of severe or critical COVID-19 were consistent with acute lung injure (ALI)/acute respiratory distress syndrome (ARDS), characterized by cellular fibromyxoid exudates, extensive pulmonary inflammation, pulmonary edema, and hyaline membrane formation. Mesenchymal stem cells (MSCs) can balance the inflammatory response and has been mentioned to be effective on ALI/ARDS from both infectious and noninfectious causes previously, presenting an important opportunity to be applied to COVID-19. In this commentary, we summarize the clinical trials of MSCs treatments on ALI/ARDS and raise MSCs as a hopefully alternative therapy for severe or critical COVID-19.","container-title":"Stem Cell Research &amp; Therapy","DOI":"10.1186/s13287-020-01678-8","ISSN":"1757-6512","issue":"1","journalAbbreviation":"Stem Cell Research &amp; Therapy","page":"169","source":"BioMed Central","title":"Mesenchymal stem cells as a potential therapy for COVID-19","volume":"11","author":[{"family":"Liu","given":"Shan"},{"family":"Peng","given":"Danyi"},{"family":"Qiu","given":"Huijun"},{"family":"Yang","given":"Ke"},{"family":"Fu","given":"Zhou"},{"family":"Zou","given":"Lin"}],"issued":{"date-parts":[["2020",5,4]]}}}],"schema":"https://github.com/citation-style-language/schema/raw/master/csl-citation.json"} </w:instrText>
      </w:r>
      <w:r w:rsidR="00107B78"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133</w:t>
      </w:r>
      <w:r w:rsidR="00107B78" w:rsidRPr="009F44A4">
        <w:rPr>
          <w:rFonts w:ascii="Times New Roman" w:eastAsia="Calibri" w:hAnsi="Times New Roman" w:cs="Times New Roman"/>
          <w:color w:val="000000" w:themeColor="text1"/>
          <w:sz w:val="20"/>
          <w:szCs w:val="20"/>
        </w:rPr>
        <w:fldChar w:fldCharType="end"/>
      </w:r>
      <w:r w:rsidR="00107B78"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In another recent research conducted in China in alliance with the USA, from January 23 to February 16, 2020 in Beijing </w:t>
      </w:r>
      <w:proofErr w:type="spellStart"/>
      <w:r w:rsidRPr="009F44A4">
        <w:rPr>
          <w:rFonts w:ascii="Times New Roman" w:eastAsia="Calibri" w:hAnsi="Times New Roman" w:cs="Times New Roman"/>
          <w:color w:val="000000" w:themeColor="text1"/>
          <w:sz w:val="20"/>
          <w:szCs w:val="20"/>
        </w:rPr>
        <w:t>Youan</w:t>
      </w:r>
      <w:proofErr w:type="spellEnd"/>
      <w:r w:rsidRPr="009F44A4">
        <w:rPr>
          <w:rFonts w:ascii="Times New Roman" w:eastAsia="Calibri" w:hAnsi="Times New Roman" w:cs="Times New Roman"/>
          <w:color w:val="000000" w:themeColor="text1"/>
          <w:sz w:val="20"/>
          <w:szCs w:val="20"/>
        </w:rPr>
        <w:t xml:space="preserve"> Hospital, 7 patients with COVID-19 pneumonia when experienced </w:t>
      </w:r>
      <w:proofErr w:type="spellStart"/>
      <w:r w:rsidRPr="009F44A4">
        <w:rPr>
          <w:rFonts w:ascii="Times New Roman" w:eastAsia="Calibri" w:hAnsi="Times New Roman" w:cs="Times New Roman"/>
          <w:color w:val="000000" w:themeColor="text1"/>
          <w:sz w:val="20"/>
          <w:szCs w:val="20"/>
        </w:rPr>
        <w:lastRenderedPageBreak/>
        <w:t>mesenchymal</w:t>
      </w:r>
      <w:proofErr w:type="spellEnd"/>
      <w:r w:rsidRPr="009F44A4">
        <w:rPr>
          <w:rFonts w:ascii="Times New Roman" w:eastAsia="Calibri" w:hAnsi="Times New Roman" w:cs="Times New Roman"/>
          <w:color w:val="000000" w:themeColor="text1"/>
          <w:sz w:val="20"/>
          <w:szCs w:val="20"/>
        </w:rPr>
        <w:t xml:space="preserve"> stem cell transplantation improved their health outcomes and normalization in the immunological profile </w:t>
      </w:r>
      <w:r w:rsidR="00733137"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{"citationID":"vrIexXRr","properties":{"formattedCitation":"\\super 13\\nosupersub{}","plainCitation":"13","noteIndex":0},"citationItems":[{"id":569,"uris":["http://zotero.org/users/local/ZR048J0w/items/TDN6KPYQ"],"uri":["http://zotero.org/users/local/ZR048J0w/items/TDN6KPYQ"],"itemData":{"id":569,"type":"article-journal","abstract":"A coronavirus (HCoV-19) has caused the novel coronavirus disease (COVID-19) outbreak in Wuhan, China. Preventing and reversing the cytokine storm may be the key to save the patients with severe COVID-19 pneumonia. Mesenchymal stem cells (MSCs) have been shown to possess a comprehensive powerful immunomodulatory function. This study aims to investigate whether MSC transplantation improves the outcome of 7 enrolled patients with COVID-19 pneumonia in Beijing YouAn Hospital, China, from Jan 23, 2020 to Feb 16, 2020. The clinical outcomes, as well as changes of inflammatory and immune function levels and adverse effects of 7 enrolled patients were assessed for 14 days after MSC injection. MSCs could cure or significantly improve the functional outcomes of seven patients without observed adverse effects. The pulmonary function and symptoms of these seven patients were significantly improved in 2 days after MSC transplantation. Among them, two common and one severe patient were recovered and discharged in 10 days after treatment. After treatment, the peripheral lymphocytes were increased, the C-reactive protein decreased, and the overactivated cytokine-secreting immune cells CXCR3+CD4+ T cells, CXCR3+CD8+ T cells, and CXCR3+ NK cells disappeared in 3-6 days. In addition, a group of CD14+CD11c+CD11bmid regulatory DC cell population dramatically increased. Meanwhile, the level of TNF-α was significantly decreased, while IL-10 increased in MSC treatment group compared to the placebo control group. Furthermore, the gene expression profile showed MSCs were ACE2- and TMPRSS2- which indicated MSCs are free from COVID-19 infection. Thus, the intravenous transplantation of MSCs was safe and effective for treatment in patients with COVID-19 pneumonia, especially for the patients in critically severe condition.","container-title":"Aging and Disease","DOI":"10.14336/AD.2020.0228","ISSN":"2152-5250","issue":"2","journalAbbreviation":"Aging Dis","note":"PMID: 32257537\nPMCID: PMC7069465","page":"216-228","source":"PubMed Central","title":"Transplantation of ACE2- Mesenchymal Stem Cells Improves the Outcome of Patients with COVID-19 Pneumonia","volume":"11","author":[{"family":"Leng","given":"Zikuan"},{"family":"Zhu","given":"Rongjia"},{"family":"Hou","given":"Wei"},{"family":"Feng","given":"Yingmei"},{"family":"Yang","given":"Yanlei"},{"family":"Han","given":"Qin"},{"family":"Shan","given":"Guangliang"},{"family":"Meng","given":"Fanyan"},{"family":"Du","given":"Dongshu"},{"family":"Wang","given":"Shihua"},{"family":"Fan","given":"Junfen"},{"family":"Wang","given":"Wenjing"},{"family":"Deng","given":"Luchan"},{"family":"Shi","given":"Hongbo"},{"family":"Li","given":"Hongjun"},{"family":"Hu","given":"Zhongjie"},{"family":"Zhang","given":"Fengchun"},{"family":"Gao","given":"Jinming"},{"family":"Liu","given":"Hongjian"},{"family":"Li","given":"Xiaoxia"},{"family":"Zhao","given":"Yangyang"},{"family":"Yin","given":"Kan"},{"family":"He","given":"Xijing"},{"family":"Gao","given":"Zhengchao"},{"family":"Wang","given":"Yibin"},{"family":"Yang","given":"Bo"},{"family":"Jin","given":"Ronghua"},{"family":"Stambler","given":"Ilia"},{"family":"Lim","given":"Lee Wei"},{"family":"Su","given":"Huanxing"},{"family":"Moskalev","given":"Alexey"},{"family":"Cano","given":"Antonio"},{"family":"Chakrabarti","given":"Sasanka"},{"family":"Min","given":"Kyung-Jin"},{"family":"Ellison-Hughes","given":"Georgina"},{"family":"Caruso","given":"Calogero"},{"family":"Jin","given":"Kunlin"},{"family":"Zhao","given":"Robert Chunhua"}],"issued":{"date-parts":[["2020",3,9]]}}}],"schema":"https://github.com/citation-style-language/schema/raw/master/csl-citation.json"} </w:instrText>
      </w:r>
      <w:r w:rsidR="00733137"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w:t>
      </w:r>
      <w:r w:rsidR="00733137" w:rsidRPr="009F44A4">
        <w:rPr>
          <w:rFonts w:ascii="Times New Roman" w:eastAsia="Calibri" w:hAnsi="Times New Roman" w:cs="Times New Roman"/>
          <w:color w:val="000000" w:themeColor="text1"/>
          <w:sz w:val="20"/>
          <w:szCs w:val="20"/>
        </w:rPr>
        <w:fldChar w:fldCharType="end"/>
      </w:r>
      <w:r w:rsidRPr="009F44A4">
        <w:rPr>
          <w:rFonts w:ascii="Times New Roman" w:eastAsia="Calibri" w:hAnsi="Times New Roman" w:cs="Times New Roman"/>
          <w:color w:val="000000" w:themeColor="text1"/>
          <w:sz w:val="20"/>
          <w:szCs w:val="20"/>
        </w:rPr>
        <w:t>. Furthermore, genetic analysis of MSCs suggests that they are ACE2- and TMPRSS2-; revealing that MSCs cannot directly interact with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w:t>
      </w:r>
      <w:r w:rsidR="007A5AD0" w:rsidRPr="009F44A4">
        <w:rPr>
          <w:rFonts w:ascii="Times New Roman" w:eastAsia="Calibri" w:hAnsi="Times New Roman" w:cs="Times New Roman"/>
          <w:color w:val="000000" w:themeColor="text1"/>
          <w:sz w:val="20"/>
          <w:szCs w:val="20"/>
        </w:rPr>
        <w:t xml:space="preserve"> </w:t>
      </w:r>
      <w:r w:rsidR="007A5AD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{"citationID":"hpJrRcBp","properties":{"formattedCitation":"\\super 13\\nosupersub{}","plainCitation":"13","noteIndex":0},"citationItems":[{"id":569,"uris":["http://zotero.org/users/local/ZR048J0w/items/TDN6KPYQ"],"uri":["http://zotero.org/users/local/ZR048J0w/items/TDN6KPYQ"],"itemData":{"id":569,"type":"article-journal","abstract":"A coronavirus (HCoV-19) has caused the novel coronavirus disease (COVID-19) outbreak in Wuhan, China. Preventing and reversing the cytokine storm may be the key to save the patients with severe COVID-19 pneumonia. Mesenchymal stem cells (MSCs) have been shown to possess a comprehensive powerful immunomodulatory function. This study aims to investigate whether MSC transplantation improves the outcome of 7 enrolled patients with COVID-19 pneumonia in Beijing YouAn Hospital, China, from Jan 23, 2020 to Feb 16, 2020. The clinical outcomes, as well as changes of inflammatory and immune function levels and adverse effects of 7 enrolled patients were assessed for 14 days after MSC injection. MSCs could cure or significantly improve the functional outcomes of seven patients without observed adverse effects. The pulmonary function and symptoms of these seven patients were significantly improved in 2 days after MSC transplantation. Among them, two common and one severe patient were recovered and discharged in 10 days after treatment. After treatment, the peripheral lymphocytes were increased, the C-reactive protein decreased, and the overactivated cytokine-secreting immune cells CXCR3+CD4+ T cells, CXCR3+CD8+ T cells, and CXCR3+ NK cells disappeared in 3-6 days. In addition, a group of CD14+CD11c+CD11bmid regulatory DC cell population dramatically increased. Meanwhile, the level of TNF-α was significantly decreased, while IL-10 increased in MSC treatment group compared to the placebo control group. Furthermore, the gene expression profile showed MSCs were ACE2- and TMPRSS2- which indicated MSCs are free from COVID-19 infection. Thus, the intravenous transplantation of MSCs was safe and effective for treatment in patients with COVID-19 pneumonia, especially for the patients in critically severe condition.","container-title":"Aging and Disease","DOI":"10.14336/AD.2020.0228","ISSN":"2152-5250","issue":"2","journalAbbreviation":"Aging Dis","note":"PMID: 32257537\nPMCID: PMC7069465","page":"216-228","source":"PubMed Central","title":"Transplantation of ACE2- Mesenchymal Stem Cells Improves the Outcome of Patients with COVID-19 Pneumonia","volume":"11","author":[{"family":"Leng","given":"Zikuan"},{"family":"Zhu","given":"Rongjia"},{"family":"Hou","given":"Wei"},{"family":"Feng","given":"Yingmei"},{"family":"Yang","given":"Yanlei"},{"family":"Han","given":"Qin"},{"family":"Shan","given":"Guangliang"},{"family":"Meng","given":"Fanyan"},{"family":"Du","given":"Dongshu"},{"family":"Wang","given":"Shihua"},{"family":"Fan","given":"Junfen"},{"family":"Wang","given":"Wenjing"},{"family":"Deng","given":"Luchan"},{"family":"Shi","given":"Hongbo"},{"family":"Li","given":"Hongjun"},{"family":"Hu","given":"Zhongjie"},{"family":"Zhang","given":"Fengchun"},{"family":"Gao","given":"Jinming"},{"family":"Liu","given":"Hongjian"},{"family":"Li","given":"Xiaoxia"},{"family":"Zhao","given":"Yangyang"},{"family":"Yin","given":"Kan"},{"family":"He","given":"Xijing"},{"family":"Gao","given":"Zhengchao"},{"family":"Wang","given":"Yibin"},{"family":"Yang","given":"Bo"},{"family":"Jin","given":"Ronghua"},{"family":"Stambler","given":"Ilia"},{"family":"Lim","given":"Lee Wei"},{"family":"Su","given":"Huanxing"},{"family":"Moskalev","given":"Alexey"},{"family":"Cano","given":"Antonio"},{"family":"Chakrabarti","given":"Sasanka"},{"family":"Min","given":"Kyung-Jin"},{"family":"Ellison-Hughes","given":"Georgina"},{"family":"Caruso","given":"Calogero"},{"family":"Jin","given":"Kunlin"},{"family":"Zhao","given":"Robert Chunhua"}],"issued":{"date-parts":[["2020",3,9]]}}}],"schema":"https://github.com/citation-style-language/schema/raw/master/csl-citation.json"} </w:instrText>
      </w:r>
      <w:r w:rsidR="007A5AD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w:t>
      </w:r>
      <w:r w:rsidR="007A5AD0" w:rsidRPr="009F44A4">
        <w:rPr>
          <w:rFonts w:ascii="Times New Roman" w:eastAsia="Calibri" w:hAnsi="Times New Roman" w:cs="Times New Roman"/>
          <w:color w:val="000000" w:themeColor="text1"/>
          <w:sz w:val="20"/>
          <w:szCs w:val="20"/>
        </w:rPr>
        <w:fldChar w:fldCharType="end"/>
      </w:r>
      <w:r w:rsidR="007A5AD0"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 xml:space="preserve">Studies therefore suggest that </w:t>
      </w:r>
      <w:proofErr w:type="spellStart"/>
      <w:r w:rsidRPr="009F44A4">
        <w:rPr>
          <w:rFonts w:ascii="Times New Roman" w:eastAsia="Calibri" w:hAnsi="Times New Roman" w:cs="Times New Roman"/>
          <w:color w:val="000000" w:themeColor="text1"/>
          <w:sz w:val="20"/>
          <w:szCs w:val="20"/>
        </w:rPr>
        <w:t>mesenchymal</w:t>
      </w:r>
      <w:proofErr w:type="spellEnd"/>
      <w:r w:rsidRPr="009F44A4">
        <w:rPr>
          <w:rFonts w:ascii="Times New Roman" w:eastAsia="Calibri" w:hAnsi="Times New Roman" w:cs="Times New Roman"/>
          <w:color w:val="000000" w:themeColor="text1"/>
          <w:sz w:val="20"/>
          <w:szCs w:val="20"/>
        </w:rPr>
        <w:t xml:space="preserve"> stem cells could be secure and beneficial in the treatment of infected persons with SARS-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-2 pneumonia, particularly people with extremely serious illnesses.</w:t>
      </w:r>
    </w:p>
    <w:p w14:paraId="5FBC4E91" w14:textId="77777777" w:rsidR="008D16FE" w:rsidRPr="009F44A4" w:rsidRDefault="00C02138" w:rsidP="00DC7281">
      <w:pPr>
        <w:pStyle w:val="Heading3"/>
        <w:numPr>
          <w:ilvl w:val="0"/>
          <w:numId w:val="7"/>
        </w:numPr>
        <w:shd w:val="clear" w:color="auto" w:fill="FFFFFF" w:themeFill="background1"/>
        <w:spacing w:before="300" w:line="360" w:lineRule="auto"/>
        <w:jc w:val="both"/>
        <w:rPr>
          <w:rFonts w:ascii="Times New Roman" w:eastAsia="Calibri" w:hAnsi="Times New Roman" w:cs="Times New Roman"/>
          <w:b/>
          <w:color w:val="000000" w:themeColor="text1"/>
          <w:sz w:val="20"/>
          <w:szCs w:val="20"/>
        </w:rPr>
      </w:pPr>
      <w:bookmarkStart w:id="6" w:name="_tyjcwt" w:colFirst="0" w:colLast="0"/>
      <w:bookmarkEnd w:id="6"/>
      <w:r w:rsidRPr="009F44A4">
        <w:rPr>
          <w:rFonts w:ascii="Times New Roman" w:eastAsia="Calibri" w:hAnsi="Times New Roman" w:cs="Times New Roman"/>
          <w:b/>
          <w:color w:val="000000" w:themeColor="text1"/>
          <w:sz w:val="20"/>
          <w:szCs w:val="20"/>
        </w:rPr>
        <w:t>Some of the potential vaccines which are under research, test and trial</w:t>
      </w:r>
    </w:p>
    <w:p w14:paraId="561EE98A" w14:textId="77777777" w:rsidR="008D16FE" w:rsidRPr="009F44A4" w:rsidRDefault="00C02138" w:rsidP="00DC7281">
      <w:pPr>
        <w:pBdr>
          <w:bottom w:val="none" w:sz="0" w:space="15" w:color="000000"/>
        </w:pBd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There are many companies that are developing vaccines against coronavirus alone and some in collaboration. Those vaccines which are currently under test and trails are as follows:</w:t>
      </w:r>
    </w:p>
    <w:p w14:paraId="7AF23D4E" w14:textId="74555AB3" w:rsidR="008D16FE" w:rsidRPr="009F44A4" w:rsidRDefault="00C02138" w:rsidP="00DC7281">
      <w:pPr>
        <w:numPr>
          <w:ilvl w:val="0"/>
          <w:numId w:val="1"/>
        </w:numPr>
        <w:shd w:val="clear" w:color="auto" w:fill="FFFFFF" w:themeFill="background1"/>
        <w:spacing w:before="160"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The National Institute of Allergy and Infectious Diseases (NIAID), USA conducted a trial and review preliminary phase 1 results for mRNA-1273 vaccine called mRNA-1273 and </w:t>
      </w:r>
      <w:proofErr w:type="spellStart"/>
      <w:r w:rsidRPr="009F44A4">
        <w:rPr>
          <w:rFonts w:ascii="Times New Roman" w:eastAsia="Calibri" w:hAnsi="Times New Roman" w:cs="Times New Roman"/>
          <w:color w:val="000000" w:themeColor="text1"/>
          <w:sz w:val="20"/>
          <w:szCs w:val="20"/>
        </w:rPr>
        <w:t>Moderna</w:t>
      </w:r>
      <w:proofErr w:type="spellEnd"/>
      <w:r w:rsidRPr="009F44A4">
        <w:rPr>
          <w:rFonts w:ascii="Times New Roman" w:eastAsia="Calibri" w:hAnsi="Times New Roman" w:cs="Times New Roman"/>
          <w:color w:val="000000" w:themeColor="text1"/>
          <w:sz w:val="20"/>
          <w:szCs w:val="20"/>
        </w:rPr>
        <w:t>, company announced and published satisfactory positive interim phase 1 results for</w:t>
      </w:r>
      <w:r w:rsidR="00EB6B15" w:rsidRPr="009F44A4">
        <w:rPr>
          <w:rFonts w:ascii="Times New Roman" w:eastAsia="Calibri" w:hAnsi="Times New Roman" w:cs="Times New Roman"/>
          <w:color w:val="000000" w:themeColor="text1"/>
          <w:sz w:val="20"/>
          <w:szCs w:val="20"/>
        </w:rPr>
        <w:t xml:space="preserve"> mRNA-1273 against COVID-19.</w:t>
      </w:r>
      <w:r w:rsidRPr="009F44A4">
        <w:rPr>
          <w:rFonts w:ascii="Times New Roman" w:eastAsia="Calibri" w:hAnsi="Times New Roman" w:cs="Times New Roman"/>
          <w:color w:val="000000" w:themeColor="text1"/>
          <w:sz w:val="20"/>
          <w:szCs w:val="20"/>
        </w:rPr>
        <w:t xml:space="preserve"> </w:t>
      </w:r>
      <w:r w:rsidR="00FB5F59"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{"citationID":"dnbN0Fwc","properties":{"formattedCitation":"\\super 134\\nosupersub{}","plainCitation":"134","noteIndex":0},"citationItems":[{"id":812,"uris":["http://zotero.org/users/local/ZR048J0w/items/5K6ZNZDU"],"uri":["http://zotero.org/users/local/ZR048J0w/items/5K6ZNZDU"],"itemData":{"id":812,"type":"report","abstract":"This is a phase I, open-label, dose-ranging clinical trial in males and non-pregnant females, starting at 18 years of age, inclusive, who are in good health and meet all eligibility criteria. This clinical trial is designed to assess the safety, reactogenicity and immunogenicity of mRNA-1273 manufactured by ModernaTX, Inc. mRNA-1273 is a novel lipid nanoparticle (LNP)-encapsulated mRNA-based vaccine that encodes for a full-length, prefusion stabilized spike (S) protein of SARS-CoV-2. Enrollment will occur at up to 3 domestic clinical research sites. One hundred and fifty-five subjects will be enrolled into one of thirteen cohorts (10 micrograms [mcg], 25 mcg, 50 mcg, 100 mcg, and 250 mcg). Subjects will receive an intramuscular (IM) injection (0.5 milliliters [mL]) of mRNA-1273 on Days 1 and 29 in the deltoid muscle and will be followed through 12 months post second vaccination (Day 394). Follow-up visits will occur 1, 2, and 4 weeks post each vaccination (Days 8, 15, 29, 36, 43, and 57), as well as 3, 6, and 12 months post second vaccination (Days 119, 209, and 394). The primary objective is to evaluate the safety and reactogenicity of a 2-dose vaccination schedule of mRNA-1273, given 28 days apart, across 5 dosages in healthy adults.","genre":"Clinical trial registration","note":"submitted: February 21, 2020","number":"NCT04283461","publisher":"clinicaltrials.gov","source":"clinicaltrials.gov","title":"Phase I, Open-Label, Dose-Ranging Study of the Safety and Immunogenicity of 2019-nCoV Vaccine (mRNA-1273) in Healthy Adults","title-short":"Safety and Immunogenicity Study of 2019-nCoV Vaccine (mRNA-1273) for Prophylaxis of SARS-CoV-2 Infection (COVID-19)","URL":"https://clinicaltrials.gov/ct2/show/NCT04283461","author":[{"literal":"National Institute of Allergy and Infectious Diseases (NIAID)"}],"accessed":{"date-parts":[["2020",12,20]]},"issued":{"date-parts":[["2020",12,17]]}}}],"schema":"https://github.com/citation-style-language/schema/raw/master/csl-citation.json"} </w:instrText>
      </w:r>
      <w:r w:rsidR="00FB5F59"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134</w:t>
      </w:r>
      <w:r w:rsidR="00FB5F59" w:rsidRPr="009F44A4">
        <w:rPr>
          <w:rFonts w:ascii="Times New Roman" w:eastAsia="Calibri" w:hAnsi="Times New Roman" w:cs="Times New Roman"/>
          <w:color w:val="000000" w:themeColor="text1"/>
          <w:sz w:val="20"/>
          <w:szCs w:val="20"/>
        </w:rPr>
        <w:fldChar w:fldCharType="end"/>
      </w:r>
      <w:r w:rsidR="00FB5F59" w:rsidRPr="009F44A4">
        <w:rPr>
          <w:rFonts w:ascii="Times New Roman" w:eastAsia="Calibri" w:hAnsi="Times New Roman" w:cs="Times New Roman"/>
          <w:color w:val="000000" w:themeColor="text1"/>
          <w:sz w:val="20"/>
          <w:szCs w:val="20"/>
        </w:rPr>
        <w:t>.</w:t>
      </w:r>
      <w:r w:rsidR="004F7291" w:rsidRPr="009F44A4">
        <w:rPr>
          <w:rFonts w:ascii="Times New Roman" w:eastAsia="Calibri" w:hAnsi="Times New Roman" w:cs="Times New Roman"/>
          <w:color w:val="000000" w:themeColor="text1"/>
          <w:sz w:val="20"/>
          <w:szCs w:val="20"/>
        </w:rPr>
        <w:t xml:space="preserve"> On July 27, 2020 phase III trial begin in collaboration with NIH (National Institute of Health) and BARDA (Biomedical Advanced Research and Development Authority) </w:t>
      </w:r>
      <w:r w:rsidR="00DF6F6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{"citationID":"yqpw5Ia1","properties":{"formattedCitation":"\\super 135\\nosupersub{}","plainCitation":"135","noteIndex":0},"citationItems":[{"id":916,"uris":["http://zotero.org/users/local/ZR048J0w/items/MPGXUF72"],"uri":["http://zotero.org/users/local/ZR048J0w/items/MPGXUF72"],"itemData":{"id":916,"type":"webpage","title":"Moderna’s Work on a COVID-19 Vaccine Candidate | Moderna, Inc.","URL":"https://www.modernatx.com/modernas-work-potential-vaccine-against-covid-19","accessed":{"date-parts":[["2021",1,6]]}}}],"schema":"https://github.com/citation-style-language/schema/raw/master/csl-citation.json"} </w:instrText>
      </w:r>
      <w:r w:rsidR="00DF6F6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135</w:t>
      </w:r>
      <w:r w:rsidR="00DF6F66" w:rsidRPr="009F44A4">
        <w:rPr>
          <w:rFonts w:ascii="Times New Roman" w:eastAsia="Calibri" w:hAnsi="Times New Roman" w:cs="Times New Roman"/>
          <w:color w:val="000000" w:themeColor="text1"/>
          <w:sz w:val="20"/>
          <w:szCs w:val="20"/>
        </w:rPr>
        <w:fldChar w:fldCharType="end"/>
      </w:r>
      <w:r w:rsidR="004F7291" w:rsidRPr="009F44A4">
        <w:rPr>
          <w:rFonts w:ascii="Times New Roman" w:eastAsia="Calibri" w:hAnsi="Times New Roman" w:cs="Times New Roman"/>
          <w:color w:val="000000" w:themeColor="text1"/>
          <w:sz w:val="20"/>
          <w:szCs w:val="20"/>
        </w:rPr>
        <w:t xml:space="preserve"> and 30,000 participants enrolled in the study received 1 intramuscular (IM) injection of 100 micrograms (</w:t>
      </w:r>
      <w:proofErr w:type="spellStart"/>
      <w:r w:rsidR="004F7291" w:rsidRPr="009F44A4">
        <w:rPr>
          <w:rFonts w:ascii="Times New Roman" w:eastAsia="Calibri" w:hAnsi="Times New Roman" w:cs="Times New Roman"/>
          <w:color w:val="000000" w:themeColor="text1"/>
          <w:sz w:val="20"/>
          <w:szCs w:val="20"/>
        </w:rPr>
        <w:t>ug</w:t>
      </w:r>
      <w:proofErr w:type="spellEnd"/>
      <w:r w:rsidR="004F7291" w:rsidRPr="009F44A4">
        <w:rPr>
          <w:rFonts w:ascii="Times New Roman" w:eastAsia="Calibri" w:hAnsi="Times New Roman" w:cs="Times New Roman"/>
          <w:color w:val="000000" w:themeColor="text1"/>
          <w:sz w:val="20"/>
          <w:szCs w:val="20"/>
        </w:rPr>
        <w:t>) mRNA-1273 on Day 1 and Day 29, and some participants received 1 IM injection of mRNA-1273-matching placebo on Day 1 and Day 29</w:t>
      </w:r>
      <w:r w:rsidR="00DF6F66" w:rsidRPr="009F44A4">
        <w:rPr>
          <w:rFonts w:ascii="Times New Roman" w:eastAsia="Calibri" w:hAnsi="Times New Roman" w:cs="Times New Roman"/>
          <w:color w:val="000000" w:themeColor="text1"/>
          <w:sz w:val="20"/>
          <w:szCs w:val="20"/>
        </w:rPr>
        <w:t xml:space="preserve"> </w:t>
      </w:r>
      <w:r w:rsidR="00DF6F6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{"citationID":"1h2IrOfM","properties":{"formattedCitation":"\\super 136\\nosupersub{}","plainCitation":"136","noteIndex":0},"citationItems":[{"id":917,"uris":["http://zotero.org/users/local/ZR048J0w/items/4VWGLDXG"],"uri":["http://zotero.org/users/local/ZR048J0w/items/4VWGLDXG"],"itemData":{"id":917,"type":"report","abstract":"The mRNA-1273 vaccine is being developed to prevent COVID-19, the disease resulting from Severe Acute Respiratory Syndrome coronavirus (SARS-CoV-2) infection. The study is designed to primarily evaluate the efficacy, safety, and immunogenicity of mRNA-1273 to prevent COVID-19 for up to 2 years after the second dose of mRNA-1273.","genre":"Clinical trial registration","note":"submitted: July 11, 2020","number":"NCT04470427","publisher":"clinicaltrials.gov","source":"clinicaltrials.gov","title":"A Phase 3, Randomized, Stratified, Observer-Blind, Placebo-Controlled Study to Evaluate the Efficacy, Safety, and Immunogenicity of mRNA-1273 SARS-CoV-2 Vaccine in Adults Aged 18 Years and Older","title-short":"A Study to Evaluate Efficacy, Safety, and Immunogenicity of mRNA-1273 Vaccine in Adults Aged 18 Years and Older to Prevent COVID-19","URL":"https://clinicaltrials.gov/ct2/show/NCT04470427","author":[{"literal":"ModernaTX, Inc."}],"accessed":{"date-parts":[["2021",1,4]]},"issued":{"date-parts":[["2020",10,27]]}}}],"schema":"https://github.com/citation-style-language/schema/raw/master/csl-citation.json"} </w:instrText>
      </w:r>
      <w:r w:rsidR="00DF6F6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136</w:t>
      </w:r>
      <w:r w:rsidR="00DF6F66" w:rsidRPr="009F44A4">
        <w:rPr>
          <w:rFonts w:ascii="Times New Roman" w:eastAsia="Calibri" w:hAnsi="Times New Roman" w:cs="Times New Roman"/>
          <w:color w:val="000000" w:themeColor="text1"/>
          <w:sz w:val="20"/>
          <w:szCs w:val="20"/>
        </w:rPr>
        <w:fldChar w:fldCharType="end"/>
      </w:r>
      <w:r w:rsidR="00DF6F66" w:rsidRPr="009F44A4">
        <w:rPr>
          <w:rFonts w:ascii="Times New Roman" w:eastAsia="Calibri" w:hAnsi="Times New Roman" w:cs="Times New Roman"/>
          <w:color w:val="000000" w:themeColor="text1"/>
          <w:sz w:val="20"/>
          <w:szCs w:val="20"/>
        </w:rPr>
        <w:t>.</w:t>
      </w:r>
      <w:r w:rsidR="004F7291" w:rsidRPr="009F44A4">
        <w:rPr>
          <w:rFonts w:ascii="Times New Roman" w:eastAsia="Calibri" w:hAnsi="Times New Roman" w:cs="Times New Roman"/>
          <w:color w:val="000000" w:themeColor="text1"/>
          <w:sz w:val="20"/>
          <w:szCs w:val="20"/>
        </w:rPr>
        <w:t xml:space="preserve"> On November 16, </w:t>
      </w:r>
      <w:proofErr w:type="spellStart"/>
      <w:r w:rsidR="004F7291" w:rsidRPr="009F44A4">
        <w:rPr>
          <w:rFonts w:ascii="Times New Roman" w:eastAsia="Calibri" w:hAnsi="Times New Roman" w:cs="Times New Roman"/>
          <w:color w:val="000000" w:themeColor="text1"/>
          <w:sz w:val="20"/>
          <w:szCs w:val="20"/>
        </w:rPr>
        <w:t>Moderna</w:t>
      </w:r>
      <w:proofErr w:type="spellEnd"/>
      <w:r w:rsidR="004F7291" w:rsidRPr="009F44A4">
        <w:rPr>
          <w:rFonts w:ascii="Times New Roman" w:eastAsia="Calibri" w:hAnsi="Times New Roman" w:cs="Times New Roman"/>
          <w:color w:val="000000" w:themeColor="text1"/>
          <w:sz w:val="20"/>
          <w:szCs w:val="20"/>
        </w:rPr>
        <w:t xml:space="preserve"> informed that in the first interim review of the Phase 3 COVE trial, mRNA-1273 reached its primary efficacy endpoint with a vaccine efficacy of 94.5 percent</w:t>
      </w:r>
      <w:r w:rsidR="00DF6F66" w:rsidRPr="009F44A4">
        <w:rPr>
          <w:rFonts w:ascii="Times New Roman" w:eastAsia="Calibri" w:hAnsi="Times New Roman" w:cs="Times New Roman"/>
          <w:color w:val="000000" w:themeColor="text1"/>
          <w:sz w:val="20"/>
          <w:szCs w:val="20"/>
        </w:rPr>
        <w:t xml:space="preserve"> </w:t>
      </w:r>
      <w:r w:rsidR="00DF6F6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{"citationID":"dnxCtCU8","properties":{"formattedCitation":"\\super 135\\nosupersub{}","plainCitation":"135","noteIndex":0},"citationItems":[{"id":916,"uris":["http://zotero.org/users/local/ZR048J0w/items/MPGXUF72"],"uri":["http://zotero.org/users/local/ZR048J0w/items/MPGXUF72"],"itemData":{"id":916,"type":"webpage","title":"Moderna’s Work on a COVID-19 Vaccine Candidate | Moderna, Inc.","URL":"https://www.modernatx.com/modernas-work-potential-vaccine-against-covid-19","accessed":{"date-parts":[["2021",1,6]]}}}],"schema":"https://github.com/citation-style-language/schema/raw/master/csl-citation.json"} </w:instrText>
      </w:r>
      <w:r w:rsidR="00DF6F6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135</w:t>
      </w:r>
      <w:r w:rsidR="00DF6F66" w:rsidRPr="009F44A4">
        <w:rPr>
          <w:rFonts w:ascii="Times New Roman" w:eastAsia="Calibri" w:hAnsi="Times New Roman" w:cs="Times New Roman"/>
          <w:color w:val="000000" w:themeColor="text1"/>
          <w:sz w:val="20"/>
          <w:szCs w:val="20"/>
        </w:rPr>
        <w:fldChar w:fldCharType="end"/>
      </w:r>
      <w:r w:rsidR="00DF6F66" w:rsidRPr="009F44A4">
        <w:rPr>
          <w:rFonts w:ascii="Times New Roman" w:eastAsia="Calibri" w:hAnsi="Times New Roman" w:cs="Times New Roman"/>
          <w:color w:val="000000" w:themeColor="text1"/>
          <w:sz w:val="20"/>
          <w:szCs w:val="20"/>
        </w:rPr>
        <w:t>.</w:t>
      </w:r>
    </w:p>
    <w:p w14:paraId="3A26C1F0" w14:textId="5734D5F0" w:rsidR="008D16FE" w:rsidRPr="009F44A4" w:rsidRDefault="00C02138" w:rsidP="00DC7281">
      <w:pPr>
        <w:numPr>
          <w:ilvl w:val="0"/>
          <w:numId w:val="1"/>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The Jenner Institute at Oxford University developed AZD1222 (formerly </w:t>
      </w:r>
      <w:proofErr w:type="spellStart"/>
      <w:r w:rsidRPr="009F44A4">
        <w:rPr>
          <w:rFonts w:ascii="Times New Roman" w:eastAsia="Calibri" w:hAnsi="Times New Roman" w:cs="Times New Roman"/>
          <w:color w:val="000000" w:themeColor="text1"/>
          <w:sz w:val="20"/>
          <w:szCs w:val="20"/>
        </w:rPr>
        <w:t>ChAdOx1</w:t>
      </w:r>
      <w:proofErr w:type="spellEnd"/>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nCoV</w:t>
      </w:r>
      <w:proofErr w:type="spellEnd"/>
      <w:r w:rsidRPr="009F44A4">
        <w:rPr>
          <w:rFonts w:ascii="Times New Roman" w:eastAsia="Calibri" w:hAnsi="Times New Roman" w:cs="Times New Roman"/>
          <w:color w:val="000000" w:themeColor="text1"/>
          <w:sz w:val="20"/>
          <w:szCs w:val="20"/>
        </w:rPr>
        <w:t>-19), with AstraZeneca in charge of production, processing and marketing globally. A Phase I / II clinical trial of AZD1222 began in April 2020 to determine the vaccine's safety, immunogenicity, and efficacy in over 1000 healthy volunteers across multiple trial centers in southern England</w:t>
      </w:r>
      <w:r w:rsidR="00FB5F59" w:rsidRPr="009F44A4">
        <w:rPr>
          <w:rFonts w:ascii="Times New Roman" w:eastAsia="Calibri" w:hAnsi="Times New Roman" w:cs="Times New Roman"/>
          <w:color w:val="000000" w:themeColor="text1"/>
          <w:sz w:val="20"/>
          <w:szCs w:val="20"/>
        </w:rPr>
        <w:t xml:space="preserve"> </w:t>
      </w:r>
      <w:r w:rsidR="00FB5F59"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{"citationID":"RiMp83dy","properties":{"formattedCitation":"\\super 137\\nosupersub{}","plainCitation":"137","noteIndex":0},"citationItems":[{"id":814,"uris":["http://zotero.org/users/local/ZR048J0w/items/UZQ5FAT2"],"uri":["http://zotero.org/users/local/ZR048J0w/items/UZQ5FAT2"],"itemData":{"id":814,"type":"webpage","abstract":"AZD1222 vaccine candidate consists of the replication-deficient simian adenovirus vector ChAdOx1, containing the genetic sequence of the SARS-CoV-2 Spike protein.","language":"en_US","title":"AZD1222 SARS-CoV-2 Vaccine","URL":"https://www.precisionvaccinations.com/vaccines/azd1222-sars-cov-2-vaccine","accessed":{"date-parts":[["2020",12,22]]}}}],"schema":"https://github.com/citation-style-language/schema/raw/master/csl-citation.json"} </w:instrText>
      </w:r>
      <w:r w:rsidR="00FB5F59"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137</w:t>
      </w:r>
      <w:r w:rsidR="00FB5F59" w:rsidRPr="009F44A4">
        <w:rPr>
          <w:rFonts w:ascii="Times New Roman" w:eastAsia="Calibri" w:hAnsi="Times New Roman" w:cs="Times New Roman"/>
          <w:color w:val="000000" w:themeColor="text1"/>
          <w:sz w:val="20"/>
          <w:szCs w:val="20"/>
        </w:rPr>
        <w:fldChar w:fldCharType="end"/>
      </w:r>
      <w:r w:rsidR="00FB5F59"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 xml:space="preserve"> </w:t>
      </w:r>
      <w:r w:rsidR="004F7291" w:rsidRPr="009F44A4">
        <w:rPr>
          <w:rFonts w:ascii="Times New Roman" w:eastAsia="Calibri" w:hAnsi="Times New Roman" w:cs="Times New Roman"/>
          <w:color w:val="000000" w:themeColor="text1"/>
          <w:sz w:val="20"/>
          <w:szCs w:val="20"/>
        </w:rPr>
        <w:t xml:space="preserve">Total 23,848 participants were enrolled between 23 April and 4 November 2020 and in the interim primary efficacy assessment 11,636 participants were included (7,548 in the UK, 4088 in Brazil). Vaccine efficacy was 62.1 percent in participants who received two standard doses (95 percent CI 41.0–75.7; 27 [0.6 percent] of 4440 in the </w:t>
      </w:r>
      <w:proofErr w:type="spellStart"/>
      <w:r w:rsidR="004F7291" w:rsidRPr="009F44A4">
        <w:rPr>
          <w:rFonts w:ascii="Times New Roman" w:eastAsia="Calibri" w:hAnsi="Times New Roman" w:cs="Times New Roman"/>
          <w:color w:val="000000" w:themeColor="text1"/>
          <w:sz w:val="20"/>
          <w:szCs w:val="20"/>
        </w:rPr>
        <w:t>ChAdOx1</w:t>
      </w:r>
      <w:proofErr w:type="spellEnd"/>
      <w:r w:rsidR="004F7291" w:rsidRPr="009F44A4">
        <w:rPr>
          <w:rFonts w:ascii="Times New Roman" w:eastAsia="Calibri" w:hAnsi="Times New Roman" w:cs="Times New Roman"/>
          <w:color w:val="000000" w:themeColor="text1"/>
          <w:sz w:val="20"/>
          <w:szCs w:val="20"/>
        </w:rPr>
        <w:t xml:space="preserve"> </w:t>
      </w:r>
      <w:proofErr w:type="spellStart"/>
      <w:r w:rsidR="004F7291" w:rsidRPr="009F44A4">
        <w:rPr>
          <w:rFonts w:ascii="Times New Roman" w:eastAsia="Calibri" w:hAnsi="Times New Roman" w:cs="Times New Roman"/>
          <w:color w:val="000000" w:themeColor="text1"/>
          <w:sz w:val="20"/>
          <w:szCs w:val="20"/>
        </w:rPr>
        <w:t>nCoV</w:t>
      </w:r>
      <w:proofErr w:type="spellEnd"/>
      <w:r w:rsidR="004F7291" w:rsidRPr="009F44A4">
        <w:rPr>
          <w:rFonts w:ascii="Times New Roman" w:eastAsia="Calibri" w:hAnsi="Times New Roman" w:cs="Times New Roman"/>
          <w:color w:val="000000" w:themeColor="text1"/>
          <w:sz w:val="20"/>
          <w:szCs w:val="20"/>
        </w:rPr>
        <w:t xml:space="preserve">-19 group </w:t>
      </w:r>
      <w:proofErr w:type="spellStart"/>
      <w:r w:rsidR="004F7291" w:rsidRPr="009F44A4">
        <w:rPr>
          <w:rFonts w:ascii="Times New Roman" w:eastAsia="Calibri" w:hAnsi="Times New Roman" w:cs="Times New Roman"/>
          <w:color w:val="000000" w:themeColor="text1"/>
          <w:sz w:val="20"/>
          <w:szCs w:val="20"/>
        </w:rPr>
        <w:t>vs71</w:t>
      </w:r>
      <w:proofErr w:type="spellEnd"/>
      <w:r w:rsidR="004F7291" w:rsidRPr="009F44A4">
        <w:rPr>
          <w:rFonts w:ascii="Times New Roman" w:eastAsia="Calibri" w:hAnsi="Times New Roman" w:cs="Times New Roman"/>
          <w:color w:val="000000" w:themeColor="text1"/>
          <w:sz w:val="20"/>
          <w:szCs w:val="20"/>
        </w:rPr>
        <w:t xml:space="preserve"> [1.6 percent] of 4455 in the control group) and 90.0 percent in participants who received a low dose followed by a standard dose</w:t>
      </w:r>
      <w:r w:rsidR="00DF6F66" w:rsidRPr="009F44A4">
        <w:rPr>
          <w:rFonts w:ascii="Times New Roman" w:eastAsia="Calibri" w:hAnsi="Times New Roman" w:cs="Times New Roman"/>
          <w:color w:val="000000" w:themeColor="text1"/>
          <w:sz w:val="20"/>
          <w:szCs w:val="20"/>
        </w:rPr>
        <w:t xml:space="preserve"> </w:t>
      </w:r>
      <w:r w:rsidR="00DF6F6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{"citationID":"OTgPH2ld","properties":{"formattedCitation":"\\super 138\\nosupersub{}","plainCitation":"138","noteIndex":0},"citationItems":[{"id":919,"uris":["http://zotero.org/users/local/ZR048J0w/items/F4ET4ZJD"],"uri":["http://zotero.org/users/local/ZR048J0w/items/F4ET4ZJD"],"itemData":{"id":919,"type":"article-journal","abstract":"BACKGROUND: A safe and efficacious vaccine against severe acute respiratory syndrome coronavirus 2 (SARS-CoV-2), if deployed with high coverage, could contribute to the control of the COVID-19 pandemic. We evaluated the safety and efficacy of the ChAdOx1 nCoV-19 vaccine in a pooled interim analysis of four trials.\nMETHODS: This analysis includes data from four ongoing blinded, randomised, controlled trials done across the UK, Brazil, and South Africa. Participants aged 18 years and older were randomly assigned (1:1) to ChAdOx1 nCoV-19 vaccine or control (meningococcal group A, C, W, and Y conjugate vaccine or saline). Participants in the ChAdOx1 nCoV-19 group received two doses containing 5 × 1010 viral particles (standard dose; SD/SD cohort); a subset in the UK trial received a half dose as their first dose (low dose) and a standard dose as their second dose (LD/SD cohort). The primary efficacy analysis included symptomatic COVID-19 in seronegative participants with a nucleic acid amplification test-positive swab more than 14 days after a second dose of vaccine. Participants were analysed according to treatment received, with data cutoff on Nov 4, 2020. Vaccine efficacy was calculated as 1 - relative risk derived from a robust Poisson regression model adjusted for age. Studies are registered at ISRCTN89951424 and ClinicalTrials.gov, NCT04324606, NCT04400838, and NCT04444674.\nFINDINGS: Between April 23 and Nov 4, 2020, 23 848 participants were enrolled and 11 636 participants (7548 in the UK, 4088 in Brazil) were included in the interim primary efficacy analysis. In participants who received two standard doses, vaccine efficacy was 62·1% (95% CI 41·0-75·7; 27 [0·6%] of 4440 in the ChAdOx1 nCoV-19 group vs71 [1·6%] of 4455 in the control group) and in participants who received a low dose followed by a standard dose, efficacy was 90·0% (67·4-97·0; three [0·2%] of 1367 vs 30 [2·2%] of 1374; pinteraction=0·010). Overall vaccine efficacy across both groups was 70·4% (95·8% CI 54·8-80·6; 30 [0·5%] of 5807 vs 101 [1·7%] of 5829). From 21 days after the first dose, there were ten cases hospitalised for COVID-19, all in the control arm; two were classified as severe COVID-19, including one death. There were 74 341 person-months of safety follow-up (median 3·4 months, IQR 1·3-4·8): 175 severe adverse events occurred in 168 participants, 84 events in the ChAdOx1 nCoV-19 group and 91 in the control group. Three events were classified as possibly related to a vaccine: one in the ChAdOx1 nCoV-19 group, one in the control group, and one in a participant who remains masked to group allocation.\nINTERPRETATION: ChAdOx1 nCoV-19 has an acceptable safety profile and has been found to be efficacious against symptomatic COVID-19 in this interim analysis of ongoing clinical trials.\nFUNDING: UK Research and Innovation, National Institutes for Health Research (NIHR), Coalition for Epidemic Preparedness Innovations, Bill &amp; Melinda Gates Foundation, Lemann Foundation, Rede D'Or, Brava and Telles Foundation, NIHR Oxford Biomedical Research Centre, Thames Valley and South Midland's NIHR Clinical Research Network, and AstraZeneca.","container-title":"Lancet (London, England)","DOI":"10.1016/S0140-6736(20)32661-1","ISSN":"1474-547X","journalAbbreviation":"Lancet","language":"eng","note":"PMID: 33306989\nPMCID: PMC7723445","source":"PubMed","title":"Safety and efficacy of the ChAdOx1 nCoV-19 vaccine (AZD1222) against SARS-CoV-2: an interim analysis of four randomised controlled trials in Brazil, South Africa, and the UK","title-short":"Safety and efficacy of the ChAdOx1 nCoV-19 vaccine (AZD1222) against SARS-CoV-2","author":[{"family":"Voysey","given":"Merryn"},{"family":"Clemens","given":"Sue Ann Costa"},{"family":"Madhi","given":"Shabir A."},{"family":"Weckx","given":"Lily Y."},{"family":"Folegatti","given":"Pedro M."},{"family":"Aley","given":"Parvinder K."},{"family":"Angus","given":"Brian"},{"family":"Baillie","given":"Vicky L."},{"family":"Barnabas","given":"Shaun L."},{"family":"Bhorat","given":"Qasim E."},{"family":"Bibi","given":"Sagida"},{"family":"Briner","given":"Carmen"},{"family":"Cicconi","given":"Paola"},{"family":"Collins","given":"Andrea M."},{"family":"Colin-Jones","given":"Rachel"},{"family":"Cutland","given":"Clare L."},{"family":"Darton","given":"Thomas C."},{"family":"Dheda","given":"Keertan"},{"family":"Duncan","given":"Christopher J. A."},{"family":"Emary","given":"Katherine R. W."},{"family":"Ewer","given":"Katie J."},{"family":"Fairlie","given":"Lee"},{"family":"Faust","given":"Saul N."},{"family":"Feng","given":"Shuo"},{"family":"Ferreira","given":"Daniela M."},{"family":"Finn","given":"Adam"},{"family":"Goodman","given":"Anna L."},{"family":"Green","given":"Catherine M."},{"family":"Green","given":"Christopher A."},{"family":"Heath","given":"Paul T."},{"family":"Hill","given":"Catherine"},{"family":"Hill","given":"Helen"},{"family":"Hirsch","given":"Ian"},{"family":"Hodgson","given":"Susanne H. C."},{"family":"Izu","given":"Alane"},{"family":"Jackson","given":"Susan"},{"family":"Jenkin","given":"Daniel"},{"family":"Joe","given":"Carina C. D."},{"family":"Kerridge","given":"Simon"},{"family":"Koen","given":"Anthonet"},{"family":"Kwatra","given":"Gaurav"},{"family":"Lazarus","given":"Rajeka"},{"family":"Lawrie","given":"Alison M."},{"family":"Lelliott","given":"Alice"},{"family":"Libri","given":"Vincenzo"},{"family":"Lillie","given":"Patrick J."},{"family":"Mallory","given":"Raburn"},{"family":"Mendes","given":"Ana V. A."},{"family":"Milan","given":"Eveline P."},{"family":"Minassian","given":"Angela M."},{"family":"McGregor","given":"Alastair"},{"family":"Morrison","given":"Hazel"},{"family":"Mujadidi","given":"Yama F."},{"family":"Nana","given":"Anusha"},{"family":"O'Reilly","given":"Peter J."},{"family":"Padayachee","given":"Sherman D."},{"family":"Pittella","given":"Ana"},{"family":"Plested","given":"Emma"},{"family":"Pollock","given":"Katrina M."},{"family":"Ramasamy","given":"Maheshi N."},{"family":"Rhead","given":"Sarah"},{"family":"Schwarzbold","given":"Alexandre V."},{"family":"Singh","given":"Nisha"},{"family":"Smith","given":"Andrew"},{"family":"Song","given":"Rinn"},{"family":"Snape","given":"Matthew D."},{"family":"Sprinz","given":"Eduardo"},{"family":"Sutherland","given":"Rebecca K."},{"family":"Tarrant","given":"Richard"},{"family":"Thomson","given":"Emma C."},{"family":"Török","given":"M. Estée"},{"family":"Toshner","given":"Mark"},{"family":"Turner","given":"David P. J."},{"family":"Vekemans","given":"Johan"},{"family":"Villafana","given":"Tonya L."},{"family":"Watson","given":"Marion E. E."},{"family":"Williams","given":"Christopher J."},{"family":"Douglas","given":"Alexander D."},{"family":"Hill","given":"Adrian V. S."},{"family":"Lambe","given":"Teresa"},{"family":"Gilbert","given":"Sarah C."},{"family":"Pollard","given":"Andrew J."},{"literal":"Oxford COVID Vaccine Trial Group"}],"issued":{"date-parts":[["2020",12,8]]}}}],"schema":"https://github.com/citation-style-language/schema/raw/master/csl-citation.json"} </w:instrText>
      </w:r>
      <w:r w:rsidR="00DF6F6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138</w:t>
      </w:r>
      <w:r w:rsidR="00DF6F66" w:rsidRPr="009F44A4">
        <w:rPr>
          <w:rFonts w:ascii="Times New Roman" w:eastAsia="Calibri" w:hAnsi="Times New Roman" w:cs="Times New Roman"/>
          <w:color w:val="000000" w:themeColor="text1"/>
          <w:sz w:val="20"/>
          <w:szCs w:val="20"/>
        </w:rPr>
        <w:fldChar w:fldCharType="end"/>
      </w:r>
      <w:r w:rsidR="00DF6F66" w:rsidRPr="009F44A4">
        <w:rPr>
          <w:rFonts w:ascii="Times New Roman" w:eastAsia="Calibri" w:hAnsi="Times New Roman" w:cs="Times New Roman"/>
          <w:color w:val="000000" w:themeColor="text1"/>
          <w:sz w:val="20"/>
          <w:szCs w:val="20"/>
        </w:rPr>
        <w:t>.</w:t>
      </w:r>
      <w:r w:rsidR="004F7291" w:rsidRPr="009F44A4">
        <w:rPr>
          <w:rFonts w:ascii="Times New Roman" w:eastAsia="Calibri" w:hAnsi="Times New Roman" w:cs="Times New Roman"/>
          <w:color w:val="000000" w:themeColor="text1"/>
          <w:sz w:val="20"/>
          <w:szCs w:val="20"/>
        </w:rPr>
        <w:t xml:space="preserve"> The overall effectiveness of the vaccine in both groups was 70.4 percent. </w:t>
      </w:r>
      <w:proofErr w:type="spellStart"/>
      <w:r w:rsidR="004F7291" w:rsidRPr="009F44A4">
        <w:rPr>
          <w:rFonts w:ascii="Times New Roman" w:eastAsia="Calibri" w:hAnsi="Times New Roman" w:cs="Times New Roman"/>
          <w:color w:val="000000" w:themeColor="text1"/>
          <w:sz w:val="20"/>
          <w:szCs w:val="20"/>
        </w:rPr>
        <w:t>ChAdOx1</w:t>
      </w:r>
      <w:proofErr w:type="spellEnd"/>
      <w:r w:rsidR="004F7291" w:rsidRPr="009F44A4">
        <w:rPr>
          <w:rFonts w:ascii="Times New Roman" w:eastAsia="Calibri" w:hAnsi="Times New Roman" w:cs="Times New Roman"/>
          <w:color w:val="000000" w:themeColor="text1"/>
          <w:sz w:val="20"/>
          <w:szCs w:val="20"/>
        </w:rPr>
        <w:t xml:space="preserve"> </w:t>
      </w:r>
      <w:proofErr w:type="spellStart"/>
      <w:r w:rsidR="004F7291" w:rsidRPr="009F44A4">
        <w:rPr>
          <w:rFonts w:ascii="Times New Roman" w:eastAsia="Calibri" w:hAnsi="Times New Roman" w:cs="Times New Roman"/>
          <w:color w:val="000000" w:themeColor="text1"/>
          <w:sz w:val="20"/>
          <w:szCs w:val="20"/>
        </w:rPr>
        <w:t>nCoV</w:t>
      </w:r>
      <w:proofErr w:type="spellEnd"/>
      <w:r w:rsidR="004F7291" w:rsidRPr="009F44A4">
        <w:rPr>
          <w:rFonts w:ascii="Times New Roman" w:eastAsia="Calibri" w:hAnsi="Times New Roman" w:cs="Times New Roman"/>
          <w:color w:val="000000" w:themeColor="text1"/>
          <w:sz w:val="20"/>
          <w:szCs w:val="20"/>
        </w:rPr>
        <w:t>-19 has an appropriate safety profile and is effective against symptomatic COVID-19 in this interim study of ongoing clinical trials</w:t>
      </w:r>
      <w:r w:rsidR="00DF6F66" w:rsidRPr="009F44A4">
        <w:rPr>
          <w:rFonts w:ascii="Times New Roman" w:eastAsia="Calibri" w:hAnsi="Times New Roman" w:cs="Times New Roman"/>
          <w:color w:val="000000" w:themeColor="text1"/>
          <w:sz w:val="20"/>
          <w:szCs w:val="20"/>
        </w:rPr>
        <w:t xml:space="preserve"> </w:t>
      </w:r>
      <w:r w:rsidR="00DF6F6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{"citationID":"x28PP64p","properties":{"formattedCitation":"\\super 138\\nosupersub{}","plainCitation":"138","noteIndex":0},"citationItems":[{"id":919,"uris":["http://zotero.org/users/local/ZR048J0w/items/F4ET4ZJD"],"uri":["http://zotero.org/users/local/ZR048J0w/items/F4ET4ZJD"],"itemData":{"id":919,"type":"article-journal","abstract":"BACKGROUND: A safe and efficacious vaccine against severe acute respiratory syndrome coronavirus 2 (SARS-CoV-2), if deployed with high coverage, could contribute to the control of the COVID-19 pandemic. We evaluated the safety and efficacy of the ChAdOx1 nCoV-19 vaccine in a pooled interim analysis of four trials.\nMETHODS: This analysis includes data from four ongoing blinded, randomised, controlled trials done across the UK, Brazil, and South Africa. Participants aged 18 years and older were randomly assigned (1:1) to ChAdOx1 nCoV-19 vaccine or control (meningococcal group A, C, W, and Y conjugate vaccine or saline). Participants in the ChAdOx1 nCoV-19 group received two doses containing 5 × 1010 viral particles (standard dose; SD/SD cohort); a subset in the UK trial received a half dose as their first dose (low dose) and a standard dose as their second dose (LD/SD cohort). The primary efficacy analysis included symptomatic COVID-19 in seronegative participants with a nucleic acid amplification test-positive swab more than 14 days after a second dose of vaccine. Participants were analysed according to treatment received, with data cutoff on Nov 4, 2020. Vaccine efficacy was calculated as 1 - relative risk derived from a robust Poisson regression model adjusted for age. Studies are registered at ISRCTN89951424 and ClinicalTrials.gov, NCT04324606, NCT04400838, and NCT04444674.\nFINDINGS: Between April 23 and Nov 4, 2020, 23 848 participants were enrolled and 11 636 participants (7548 in the UK, 4088 in Brazil) were included in the interim primary efficacy analysis. In participants who received two standard doses, vaccine efficacy was 62·1% (95% CI 41·0-75·7; 27 [0·6%] of 4440 in the ChAdOx1 nCoV-19 group vs71 [1·6%] of 4455 in the control group) and in participants who received a low dose followed by a standard dose, efficacy was 90·0% (67·4-97·0; three [0·2%] of 1367 vs 30 [2·2%] of 1374; pinteraction=0·010). Overall vaccine efficacy across both groups was 70·4% (95·8% CI 54·8-80·6; 30 [0·5%] of 5807 vs 101 [1·7%] of 5829). From 21 days after the first dose, there were ten cases hospitalised for COVID-19, all in the control arm; two were classified as severe COVID-19, including one death. There were 74 341 person-months of safety follow-up (median 3·4 months, IQR 1·3-4·8): 175 severe adverse events occurred in 168 participants, 84 events in the ChAdOx1 nCoV-19 group and 91 in the control group. Three events were classified as possibly related to a vaccine: one in the ChAdOx1 nCoV-19 group, one in the control group, and one in a participant who remains masked to group allocation.\nINTERPRETATION: ChAdOx1 nCoV-19 has an acceptable safety profile and has been found to be efficacious against symptomatic COVID-19 in this interim analysis of ongoing clinical trials.\nFUNDING: UK Research and Innovation, National Institutes for Health Research (NIHR), Coalition for Epidemic Preparedness Innovations, Bill &amp; Melinda Gates Foundation, Lemann Foundation, Rede D'Or, Brava and Telles Foundation, NIHR Oxford Biomedical Research Centre, Thames Valley and South Midland's NIHR Clinical Research Network, and AstraZeneca.","container-title":"Lancet (London, England)","DOI":"10.1016/S0140-6736(20)32661-1","ISSN":"1474-547X","journalAbbreviation":"Lancet","language":"eng","note":"PMID: 33306989\nPMCID: PMC7723445","source":"PubMed","title":"Safety and efficacy of the ChAdOx1 nCoV-19 vaccine (AZD1222) against SARS-CoV-2: an interim analysis of four randomised controlled trials in Brazil, South Africa, and the UK","title-short":"Safety and efficacy of the ChAdOx1 nCoV-19 vaccine (AZD1222) against SARS-CoV-2","author":[{"family":"Voysey","given":"Merryn"},{"family":"Clemens","given":"Sue Ann Costa"},{"family":"Madhi","given":"Shabir A."},{"family":"Weckx","given":"Lily Y."},{"family":"Folegatti","given":"Pedro M."},{"family":"Aley","given":"Parvinder K."},{"family":"Angus","given":"Brian"},{"family":"Baillie","given":"Vicky L."},{"family":"Barnabas","given":"Shaun L."},{"family":"Bhorat","given":"Qasim E."},{"family":"Bibi","given":"Sagida"},{"family":"Briner","given":"Carmen"},{"family":"Cicconi","given":"Paola"},{"family":"Collins","given":"Andrea M."},{"family":"Colin-Jones","given":"Rachel"},{"family":"Cutland","given":"Clare L."},{"family":"Darton","given":"Thomas C."},{"family":"Dheda","given":"Keertan"},{"family":"Duncan","given":"Christopher J. A."},{"family":"Emary","given":"Katherine R. W."},{"family":"Ewer","given":"Katie J."},{"family":"Fairlie","given":"Lee"},{"family":"Faust","given":"Saul N."},{"family":"Feng","given":"Shuo"},{"family":"Ferreira","given":"Daniela M."},{"family":"Finn","given":"Adam"},{"family":"Goodman","given":"Anna L."},{"family":"Green","given":"Catherine M."},{"family":"Green","given":"Christopher A."},{"family":"Heath","given":"Paul T."},{"family":"Hill","given":"Catherine"},{"family":"Hill","given":"Helen"},{"family":"Hirsch","given":"Ian"},{"family":"Hodgson","given":"Susanne H. C."},{"family":"Izu","given":"Alane"},{"family":"Jackson","given":"Susan"},{"family":"Jenkin","given":"Daniel"},{"family":"Joe","given":"Carina C. D."},{"family":"Kerridge","given":"Simon"},{"family":"Koen","given":"Anthonet"},{"family":"Kwatra","given":"Gaurav"},{"family":"Lazarus","given":"Rajeka"},{"family":"Lawrie","given":"Alison M."},{"family":"Lelliott","given":"Alice"},{"family":"Libri","given":"Vincenzo"},{"family":"Lillie","given":"Patrick J."},{"family":"Mallory","given":"Raburn"},{"family":"Mendes","given":"Ana V. A."},{"family":"Milan","given":"Eveline P."},{"family":"Minassian","given":"Angela M."},{"family":"McGregor","given":"Alastair"},{"family":"Morrison","given":"Hazel"},{"family":"Mujadidi","given":"Yama F."},{"family":"Nana","given":"Anusha"},{"family":"O'Reilly","given":"Peter J."},{"family":"Padayachee","given":"Sherman D."},{"family":"Pittella","given":"Ana"},{"family":"Plested","given":"Emma"},{"family":"Pollock","given":"Katrina M."},{"family":"Ramasamy","given":"Maheshi N."},{"family":"Rhead","given":"Sarah"},{"family":"Schwarzbold","given":"Alexandre V."},{"family":"Singh","given":"Nisha"},{"family":"Smith","given":"Andrew"},{"family":"Song","given":"Rinn"},{"family":"Snape","given":"Matthew D."},{"family":"Sprinz","given":"Eduardo"},{"family":"Sutherland","given":"Rebecca K."},{"family":"Tarrant","given":"Richard"},{"family":"Thomson","given":"Emma C."},{"family":"Török","given":"M. Estée"},{"family":"Toshner","given":"Mark"},{"family":"Turner","given":"David P. J."},{"family":"Vekemans","given":"Johan"},{"family":"Villafana","given":"Tonya L."},{"family":"Watson","given":"Marion E. E."},{"family":"Williams","given":"Christopher J."},{"family":"Douglas","given":"Alexander D."},{"family":"Hill","given":"Adrian V. S."},{"family":"Lambe","given":"Teresa"},{"family":"Gilbert","given":"Sarah C."},{"family":"Pollard","given":"Andrew J."},{"literal":"Oxford COVID Vaccine Trial Group"}],"issued":{"date-parts":[["2020",12,8]]}}}],"schema":"https://github.com/citation-style-language/schema/raw/master/csl-citation.json"} </w:instrText>
      </w:r>
      <w:r w:rsidR="00DF6F6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138</w:t>
      </w:r>
      <w:r w:rsidR="00DF6F66" w:rsidRPr="009F44A4">
        <w:rPr>
          <w:rFonts w:ascii="Times New Roman" w:eastAsia="Calibri" w:hAnsi="Times New Roman" w:cs="Times New Roman"/>
          <w:color w:val="000000" w:themeColor="text1"/>
          <w:sz w:val="20"/>
          <w:szCs w:val="20"/>
        </w:rPr>
        <w:fldChar w:fldCharType="end"/>
      </w:r>
      <w:r w:rsidR="00DF6F66" w:rsidRPr="009F44A4">
        <w:rPr>
          <w:rFonts w:ascii="Times New Roman" w:eastAsia="Calibri" w:hAnsi="Times New Roman" w:cs="Times New Roman"/>
          <w:color w:val="000000" w:themeColor="text1"/>
          <w:sz w:val="20"/>
          <w:szCs w:val="20"/>
        </w:rPr>
        <w:t>.</w:t>
      </w:r>
    </w:p>
    <w:p w14:paraId="7BEADD8A" w14:textId="40A47317" w:rsidR="008D16FE" w:rsidRPr="009F44A4" w:rsidRDefault="00C02138" w:rsidP="00DC7281">
      <w:pPr>
        <w:numPr>
          <w:ilvl w:val="0"/>
          <w:numId w:val="1"/>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w:t>
      </w:r>
      <w:proofErr w:type="spellStart"/>
      <w:r w:rsidRPr="009F44A4">
        <w:rPr>
          <w:rFonts w:ascii="Times New Roman" w:eastAsia="Calibri" w:hAnsi="Times New Roman" w:cs="Times New Roman"/>
          <w:color w:val="000000" w:themeColor="text1"/>
          <w:sz w:val="20"/>
          <w:szCs w:val="20"/>
        </w:rPr>
        <w:t>Ad5-nCoV</w:t>
      </w:r>
      <w:proofErr w:type="spellEnd"/>
      <w:r w:rsidRPr="009F44A4">
        <w:rPr>
          <w:rFonts w:ascii="Times New Roman" w:eastAsia="Calibri" w:hAnsi="Times New Roman" w:cs="Times New Roman"/>
          <w:color w:val="000000" w:themeColor="text1"/>
          <w:sz w:val="20"/>
          <w:szCs w:val="20"/>
        </w:rPr>
        <w:t>" is a recombinant new coronavirus vaccine (Adenovirus Type 5 Vector) developed and approved by Biologics Inc. with the Beijing Institute of Biotechnology (BIB), perform a Phase 1 clinical trial in China.</w:t>
      </w:r>
      <w:r w:rsidR="00945D5B"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 xml:space="preserve">The first-in-human study in 153 healthy adults showed that the </w:t>
      </w:r>
      <w:proofErr w:type="spellStart"/>
      <w:r w:rsidRPr="009F44A4">
        <w:rPr>
          <w:rFonts w:ascii="Times New Roman" w:eastAsia="Calibri" w:hAnsi="Times New Roman" w:cs="Times New Roman"/>
          <w:color w:val="000000" w:themeColor="text1"/>
          <w:sz w:val="20"/>
          <w:szCs w:val="20"/>
        </w:rPr>
        <w:t>Ad5nCoV</w:t>
      </w:r>
      <w:proofErr w:type="spellEnd"/>
      <w:r w:rsidRPr="009F44A4">
        <w:rPr>
          <w:rFonts w:ascii="Times New Roman" w:eastAsia="Calibri" w:hAnsi="Times New Roman" w:cs="Times New Roman"/>
          <w:color w:val="000000" w:themeColor="text1"/>
          <w:sz w:val="20"/>
          <w:szCs w:val="20"/>
        </w:rPr>
        <w:t xml:space="preserve"> vaccine is tolerable and immunogenic. After post-vaccination on day 28 it showed specific antibody mediated immunity responses to coronavirus-2019 and on day 14 observed rapid T-cell response</w:t>
      </w:r>
      <w:r w:rsidR="00643295" w:rsidRPr="009F44A4">
        <w:rPr>
          <w:rFonts w:ascii="Times New Roman" w:eastAsia="Calibri" w:hAnsi="Times New Roman" w:cs="Times New Roman"/>
          <w:color w:val="000000" w:themeColor="text1"/>
          <w:sz w:val="20"/>
          <w:szCs w:val="20"/>
        </w:rPr>
        <w:t xml:space="preserve"> </w:t>
      </w:r>
      <w:r w:rsidR="00643295"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{"citationID":"N6HXYmGC","properties":{"formattedCitation":"\\super 139\\nosupersub{}","plainCitation":"139","noteIndex":0},"citationItems":[{"id":816,"uris":["http://zotero.org/users/local/ZR048J0w/items/S7DE7QQV"],"uri":["http://zotero.org/users/local/ZR048J0w/items/S7DE7QQV"],"itemData":{"id":816,"type":"article-journal","abstract":"BACKGROUND: A vaccine to protect against COVID-19 is urgently needed. We aimed to assess the safety, tolerability, and immunogenicity of a recombinant adenovirus type-5 (Ad5) vectored COVID-19 vaccine expressing the spike glycoprotein of a severe acute respiratory syndrome coronavirus 2 (SARS-CoV-2) strain.\nMETHODS: We did a dose-escalation, single-centre, open-label, non-randomised, phase 1 trial of an Ad5 vectored COVID-19 vaccine in Wuhan, China. Healthy adults aged between 18 and 60 years were sequentially enrolled and allocated to one of three dose groups (5 × 1010, 1 × 1011, and 1·5 × 1011 viral particles) to receive an intramuscular injection of vaccine. The primary outcome was adverse events in the 7 days post-vaccination. Safety was assessed over 28 days post-vaccination. Specific antibodies were measured with ELISA, and the neutralising antibody responses induced by vaccination were detected with SARS-CoV-2 virus neutralisation and pseudovirus neutralisation tests. T-cell responses were assessed by enzyme-linked immunospot and flow-cytometry assays. This study is registered with ClinicalTrials.gov, NCT04313127.\nFINDINGS: Between March 16 and March 27, 2020, we screened 195 individuals for eligibility. Of them, 108 participants (51% male, 49% female; mean age 36·3 years) were recruited and received the low dose (n=36), middle dose (n=36), or high dose (n=36) of the vaccine. All enrolled participants were included in the analysis. At least one adverse reaction within the first 7 days after the vaccination was reported in 30 (83%) participants in the low dose group, 30 (83%) participants in the middle dose group, and 27 (75%) participants in the high dose group. The most common injection site adverse reaction was pain, which was reported in 58 (54%) vaccine recipients, and the most commonly reported systematic adverse reactions were fever (50 [46%]), fatigue (47 [44%]), headache (42 [39%]), and muscle pain (18 [17%]. Most adverse reactions that were reported in all dose groups were mild or moderate in severity. No serious adverse event was noted within 28 days post-vaccination. ELISA antibodies and neutralising antibodies increased significantly at day 14, and peaked 28 days post-vaccination. Specific T-cell response peaked at day 14 post-vaccination.\nINTERPRETATION: The Ad5 vectored COVID-19 vaccine is tolerable and immunogenic at 28 days post-vaccination. Humoral responses against SARS-CoV-2 peaked at day 28 post-vaccination in healthy adults, and rapid specific T-cell responses were noted from day 14 post-vaccination. Our findings suggest that the Ad5 vectored COVID-19 vaccine warrants further investigation.\nFUNDING: National Key R&amp;D Program of China, National Science and Technology Major Project, and CanSino Biologics.","container-title":"Lancet (London, England)","DOI":"10.1016/S0140-6736(20)31208-3","ISSN":"1474-547X","issue":"10240","journalAbbreviation":"Lancet","language":"eng","note":"PMID: 32450106\nPMCID: PMC7255193","page":"1845-1854","source":"PubMed","title":"Safety, tolerability, and immunogenicity of a recombinant adenovirus type-5 vectored COVID-19 vaccine: a dose-escalation, open-label, non-randomised, first-in-human trial","title-short":"Safety, tolerability, and immunogenicity of a recombinant adenovirus type-5 vectored COVID-19 vaccine","volume":"395","author":[{"family":"Zhu","given":"Feng-Cai"},{"family":"Li","given":"Yu-Hua"},{"family":"Guan","given":"Xu-Hua"},{"family":"Hou","given":"Li-Hua"},{"family":"Wang","given":"Wen-Juan"},{"family":"Li","given":"Jing-Xin"},{"family":"Wu","given":"Shi-Po"},{"family":"Wang","given":"Bu-Sen"},{"family":"Wang","given":"Zhao"},{"family":"Wang","given":"Lei"},{"family":"Jia","given":"Si-Yue"},{"family":"Jiang","given":"Hu-Dachuan"},{"family":"Wang","given":"Ling"},{"family":"Jiang","given":"Tao"},{"family":"Hu","given":"Yi"},{"family":"Gou","given":"Jin-Bo"},{"family":"Xu","given":"Sha-Bei"},{"family":"Xu","given":"Jun-Jie"},{"family":"Wang","given":"Xue-Wen"},{"family":"Wang","given":"Wei"},{"family":"Chen","given":"Wei"}],"issued":{"date-parts":[["2020",6,13]]}}}],"schema":"https://github.com/citation-style-language/schema/raw/master/csl-citation.json"} </w:instrText>
      </w:r>
      <w:r w:rsidR="00643295"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139</w:t>
      </w:r>
      <w:r w:rsidR="00643295" w:rsidRPr="009F44A4">
        <w:rPr>
          <w:rFonts w:ascii="Times New Roman" w:eastAsia="Calibri" w:hAnsi="Times New Roman" w:cs="Times New Roman"/>
          <w:color w:val="000000" w:themeColor="text1"/>
          <w:sz w:val="20"/>
          <w:szCs w:val="20"/>
        </w:rPr>
        <w:fldChar w:fldCharType="end"/>
      </w:r>
      <w:r w:rsidR="00E3365B" w:rsidRPr="009F44A4">
        <w:rPr>
          <w:rFonts w:ascii="Times New Roman" w:eastAsia="Calibri" w:hAnsi="Times New Roman" w:cs="Times New Roman"/>
          <w:color w:val="000000" w:themeColor="text1"/>
          <w:sz w:val="20"/>
          <w:szCs w:val="20"/>
        </w:rPr>
        <w:t>.</w:t>
      </w:r>
      <w:r w:rsidR="004F7291" w:rsidRPr="009F44A4">
        <w:rPr>
          <w:rFonts w:ascii="Times New Roman" w:eastAsia="Calibri" w:hAnsi="Times New Roman" w:cs="Times New Roman"/>
          <w:color w:val="000000" w:themeColor="text1"/>
          <w:sz w:val="20"/>
          <w:szCs w:val="20"/>
        </w:rPr>
        <w:t xml:space="preserve"> A global phase III clinical trial begins on 15 September 2020 involving 40,000 healthy adults’ aged 18 years and older participants to examine the </w:t>
      </w:r>
      <w:r w:rsidR="004F7291" w:rsidRPr="009F44A4">
        <w:rPr>
          <w:rFonts w:ascii="Times New Roman" w:eastAsia="Calibri" w:hAnsi="Times New Roman" w:cs="Times New Roman"/>
          <w:color w:val="000000" w:themeColor="text1"/>
          <w:sz w:val="20"/>
          <w:szCs w:val="20"/>
        </w:rPr>
        <w:lastRenderedPageBreak/>
        <w:t xml:space="preserve">efficacy, safety and immunogenicity of </w:t>
      </w:r>
      <w:proofErr w:type="spellStart"/>
      <w:r w:rsidR="004F7291" w:rsidRPr="009F44A4">
        <w:rPr>
          <w:rFonts w:ascii="Times New Roman" w:eastAsia="Calibri" w:hAnsi="Times New Roman" w:cs="Times New Roman"/>
          <w:color w:val="000000" w:themeColor="text1"/>
          <w:sz w:val="20"/>
          <w:szCs w:val="20"/>
        </w:rPr>
        <w:t>Ad5-nCoV</w:t>
      </w:r>
      <w:proofErr w:type="spellEnd"/>
      <w:r w:rsidR="004F7291" w:rsidRPr="009F44A4">
        <w:rPr>
          <w:rFonts w:ascii="Times New Roman" w:eastAsia="Calibri" w:hAnsi="Times New Roman" w:cs="Times New Roman"/>
          <w:color w:val="000000" w:themeColor="text1"/>
          <w:sz w:val="20"/>
          <w:szCs w:val="20"/>
        </w:rPr>
        <w:t xml:space="preserve"> developed by the </w:t>
      </w:r>
      <w:proofErr w:type="spellStart"/>
      <w:r w:rsidR="004F7291" w:rsidRPr="009F44A4">
        <w:rPr>
          <w:rFonts w:ascii="Times New Roman" w:eastAsia="Calibri" w:hAnsi="Times New Roman" w:cs="Times New Roman"/>
          <w:color w:val="000000" w:themeColor="text1"/>
          <w:sz w:val="20"/>
          <w:szCs w:val="20"/>
        </w:rPr>
        <w:t>Cansino</w:t>
      </w:r>
      <w:proofErr w:type="spellEnd"/>
      <w:r w:rsidR="004F7291" w:rsidRPr="009F44A4">
        <w:rPr>
          <w:rFonts w:ascii="Times New Roman" w:eastAsia="Calibri" w:hAnsi="Times New Roman" w:cs="Times New Roman"/>
          <w:color w:val="000000" w:themeColor="text1"/>
          <w:sz w:val="20"/>
          <w:szCs w:val="20"/>
        </w:rPr>
        <w:t xml:space="preserve"> and Beijing Institute of Biotechnology. Immunization protocol is one dose of intramuscular injections (deltoid)</w:t>
      </w:r>
      <w:r w:rsidR="00213640" w:rsidRPr="009F44A4">
        <w:rPr>
          <w:rFonts w:ascii="Times New Roman" w:eastAsia="Calibri" w:hAnsi="Times New Roman" w:cs="Times New Roman"/>
          <w:color w:val="000000" w:themeColor="text1"/>
          <w:sz w:val="20"/>
          <w:szCs w:val="20"/>
        </w:rPr>
        <w:t xml:space="preserve"> </w:t>
      </w:r>
      <w:r w:rsidR="0021364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{"citationID":"c3zWTjD3","properties":{"formattedCitation":"\\super 140\\nosupersub{}","plainCitation":"140","noteIndex":0},"citationItems":[{"id":922,"uris":["http://zotero.org/users/local/ZR048J0w/items/PNA7UKKR"],"uri":["http://zotero.org/users/local/ZR048J0w/items/PNA7UKKR"],"itemData":{"id":922,"type":"report","abstract":"This study is a global multicenter, randomized, double-blind, placebo -controlled, adaptive designed phase Ⅲ clinical trial, in order to evaluate the efficacy, safety and immunogenicity of Recombinant Novel Coronavirus Vaccine (Adenovirus Type 5 Vector) in adults 18 years old and above.","genre":"Clinical trial registration","note":"submitted: August 22, 2020","number":"NCT04526990","publisher":"clinicaltrials.gov","source":"clinicaltrials.gov","title":"A Global Multicenter, Randomized, Double-blind, Placebo -Controlled, Adaptive Designed Phase Ⅲ Clinical Trial to Evaluate the Efficacy, Safety and Immunogenicity of Ad5-nCoV in Adults 18 Years of Age and Older","title-short":"Phase III Trial of A COVID-19 Vaccine of Adenovirus Vector in Adults 18 Years Old and Above","URL":"https://clinicaltrials.gov/ct2/show/NCT04526990","author":[{"literal":"CanSino Biologics Inc."}],"accessed":{"date-parts":[["2021",1,4]]},"issued":{"date-parts":[["2020",12,17]]}}}],"schema":"https://github.com/citation-style-language/schema/raw/master/csl-citation.json"} </w:instrText>
      </w:r>
      <w:r w:rsidR="0021364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140</w:t>
      </w:r>
      <w:r w:rsidR="00213640" w:rsidRPr="009F44A4">
        <w:rPr>
          <w:rFonts w:ascii="Times New Roman" w:eastAsia="Calibri" w:hAnsi="Times New Roman" w:cs="Times New Roman"/>
          <w:color w:val="000000" w:themeColor="text1"/>
          <w:sz w:val="20"/>
          <w:szCs w:val="20"/>
        </w:rPr>
        <w:fldChar w:fldCharType="end"/>
      </w:r>
      <w:r w:rsidR="00213640" w:rsidRPr="009F44A4">
        <w:rPr>
          <w:rFonts w:ascii="Times New Roman" w:eastAsia="Calibri" w:hAnsi="Times New Roman" w:cs="Times New Roman"/>
          <w:color w:val="000000" w:themeColor="text1"/>
          <w:sz w:val="20"/>
          <w:szCs w:val="20"/>
        </w:rPr>
        <w:t>.</w:t>
      </w:r>
    </w:p>
    <w:p w14:paraId="7C41F0AA" w14:textId="68CD1C01" w:rsidR="008D16FE" w:rsidRPr="009F44A4" w:rsidRDefault="00C02138" w:rsidP="00DC7281">
      <w:pPr>
        <w:numPr>
          <w:ilvl w:val="0"/>
          <w:numId w:val="1"/>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INO-4800: </w:t>
      </w:r>
      <w:proofErr w:type="spellStart"/>
      <w:r w:rsidRPr="009F44A4">
        <w:rPr>
          <w:rFonts w:ascii="Times New Roman" w:eastAsia="Calibri" w:hAnsi="Times New Roman" w:cs="Times New Roman"/>
          <w:color w:val="000000" w:themeColor="text1"/>
          <w:sz w:val="20"/>
          <w:szCs w:val="20"/>
        </w:rPr>
        <w:t>Inovio</w:t>
      </w:r>
      <w:proofErr w:type="spellEnd"/>
      <w:r w:rsidRPr="009F44A4">
        <w:rPr>
          <w:rFonts w:ascii="Times New Roman" w:eastAsia="Calibri" w:hAnsi="Times New Roman" w:cs="Times New Roman"/>
          <w:color w:val="000000" w:themeColor="text1"/>
          <w:sz w:val="20"/>
          <w:szCs w:val="20"/>
        </w:rPr>
        <w:t xml:space="preserve"> Pharmaceuticals was the first to carry out a human evaluation of its MERS-</w:t>
      </w:r>
      <w:proofErr w:type="spellStart"/>
      <w:r w:rsidRPr="009F44A4">
        <w:rPr>
          <w:rFonts w:ascii="Times New Roman" w:eastAsia="Calibri" w:hAnsi="Times New Roman" w:cs="Times New Roman"/>
          <w:color w:val="000000" w:themeColor="text1"/>
          <w:sz w:val="20"/>
          <w:szCs w:val="20"/>
        </w:rPr>
        <w:t>CoV</w:t>
      </w:r>
      <w:proofErr w:type="spellEnd"/>
      <w:r w:rsidRPr="009F44A4">
        <w:rPr>
          <w:rFonts w:ascii="Times New Roman" w:eastAsia="Calibri" w:hAnsi="Times New Roman" w:cs="Times New Roman"/>
          <w:color w:val="000000" w:themeColor="text1"/>
          <w:sz w:val="20"/>
          <w:szCs w:val="20"/>
        </w:rPr>
        <w:t xml:space="preserve"> 151 related coronavirus vaccine (INO-4700) </w:t>
      </w:r>
      <w:r w:rsidR="00AD39B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{"citationID":"hZtTy7IR","properties":{"formattedCitation":"\\super 141\\nosupersub{}","plainCitation":"141","noteIndex":0},"citationItems":[{"id":819,"uris":["http://zotero.org/users/local/ZR048J0w/items/FCAM3MFH"],"uri":["http://zotero.org/users/local/ZR048J0w/items/FCAM3MFH"],"itemData":{"id":819,"type":"article-journal","abstract":"&lt;h2&gt;Summary&lt;/h2&gt;&lt;h3&gt;Background&lt;/h3&gt;&lt;p&gt;Middle East respiratory syndrome (MERS) coronavirus causes a highly fatal lower-respiratory tract infection. There are as yet no licensed MERS vaccines or therapeutics. This study (WRAIR-2274) assessed the safety, tolerability, and immunogenicity of the GLS-5300 MERS coronavirus DNA vaccine in healthy adults.&lt;/p&gt;&lt;h3&gt;Methods&lt;/h3&gt;&lt;p&gt;This study was a phase 1, open-label, single-arm, dose-escalation study of GLS-5300 done at the Walter Reed Army Institute for Research Clinical Trials Center (Silver Spring, MD, USA). We enrolled healthy adults aged 18–50 years; exclusion criteria included previous infection or treatment of MERS. Eligible participants were enrolled sequentially using a dose-escalation protocol to receive 0·67 mg, 2 mg, or 6 mg GLS-5300 administered by trained clinical site staff via a single intramuscular 1 mL injection at each vaccination at baseline, week 4, and week 12 followed immediately by co-localised intramuscular electroporation. Enrolment into the higher dose groups occurred after a safety monitoring committee reviewed the data following vaccination of the first five participants at the previous lower dose in each group. The primary outcome of the study was safety, assessed in all participants who received at least one study treatment and for whom post-dose study data were available, during the vaccination period with follow-up through to 48 weeks after dose 3. Safety was measured by the incidence of adverse events; administration site reactions and pain; and changes in safety laboratory parameters. The secondary outcome was immunogenicity. This trial is registered at ClinicalTrials.gov (number NCT02670187) and is completed.&lt;/p&gt;&lt;h3&gt;Findings&lt;/h3&gt;&lt;p&gt;Between Feb 17 and July 22, 2016, we enrolled 75 individuals and allocated 25 each to 0·67 mg, 2 mg, or 6 mg GLS-5300. No vaccine-associated serious adverse events were reported. The most common adverse events were injection-site reactions, reported in 70 participants (93%) of 75. Overall, 73 participants (97%) of 75 reported at least one solicited adverse event; the most common systemic symptoms were headache (five [20%] with 0·67 mg, 11 [44%] with 2 mg, and seven [28%] with 6 mg), and malaise or fatigue (five [20%] with 0·67 mg, seven [28%] with 2 mg, and two [8%] with 6 mg). The most common local solicited symptoms were administration site pain (23 [92%] with all three doses) and tenderness (21 [84%] with all three doses). Most solicited symptoms were reported as mild (19 [76%] with 0·67 mg, 20 [80%] with 2 mg, and 17 [68%] with 6 mg) and were self-limiting. Unsolicited symptoms were reported for 56 participants (75%) of 75 and were deemed treatment-related for 26 (35%). The most common unsolicited adverse events were infections, occurring in 27 participants (36%); six (8%) were deemed possibly related to study treatment. There were no laboratory abnormalities of grade 3 or higher that were related to study treatment; laboratory abnormalities were uncommon, except for 15 increases in creatine phosphokinase in 14 participants (three participants in the 0·67 mg group, three in the 2 mg group, and seven in the 6 mg group). Of these 15 increases, five (33%) were deemed possibly related to study treatment (one in the 2 mg group and four in the 6 mg group). Seroconversion measured by S1-ELISA occurred in 59 (86%) of 69 participants and 61 (94%) of 65 participants after two and three vaccinations, respectively. Neutralising antibodies were detected in 34 (50%) of 68 participants. T-cell responses were detected in 47 (71%) of 66 participants after two vaccinations and in 44 (76%) of 58 participants after three vaccinations. There were no differences in immune responses between dose groups after 6 weeks. At week 60, vaccine-induced humoral and cellular responses were detected in 51 (77%) of 66 participants and 42 (64%) of 66, respectively.&lt;/p&gt;&lt;h3&gt;Interpretation&lt;/h3&gt;&lt;p&gt;The GLS-5300 MERS coronavirus vaccine was well tolerated with no vaccine-associated serious adverse events. Immune responses were dose-independent, detected in more than 85% of participants after two vaccinations, and durable through 1 year of follow-up. The data support further development of the GLS-5300 vaccine, including additional studies to test the efficacy of GLS-5300 in a region endemic for MERS coronavirus.&lt;/p&gt;&lt;h3&gt;Funding&lt;/h3&gt;&lt;p&gt;US Department of the Army and GeneOne Life Science.&lt;/p&gt;","container-title":"The Lancet Infectious Diseases","DOI":"10.1016/S1473-3099(19)30266-X","ISSN":"1473-3099, 1474-4457","issue":"9","journalAbbreviation":"The Lancet Infectious Diseases","language":"English","note":"publisher: Elsevier\nPMID: 31351922","page":"1013-1022","source":"www.thelancet.com","title":"Safety and immunogenicity of an anti-Middle East respiratory syndrome coronavirus DNA vaccine: a phase 1, open-label, single-arm, dose-escalation trial","title-short":"Safety and immunogenicity of an anti-Middle East respiratory syndrome coronavirus DNA vaccine","volume":"19","author":[{"family":"Modjarrad","given":"Kayvon"},{"family":"Roberts","given":"Christine C."},{"family":"Mills","given":"Kristin T."},{"family":"Castellano","given":"Amy R."},{"family":"Paolino","given":"Kristopher"},{"family":"Muthumani","given":"Kar"},{"family":"Reuschel","given":"Emma L."},{"family":"Robb","given":"Merlin L."},{"family":"Racine","given":"Trina"},{"family":"Oh","given":"Myoung-don"},{"family":"Lamarre","given":"Claude"},{"family":"Zaidi","given":"Faraz I."},{"family":"Boyer","given":"Jean"},{"family":"Kudchodkar","given":"Sagar B."},{"family":"Jeong","given":"Moonsup"},{"family":"Darden","given":"Janice M."},{"family":"Park","given":"Young K."},{"family":"Scott","given":"Paul T."},{"family":"Remigio","given":"Celine"},{"family":"Parikh","given":"Ajay P."},{"family":"Wise","given":"Megan C."},{"family":"Patel","given":"Ami"},{"family":"Duperret","given":"Elizabeth K."},{"family":"Kim","given":"Kevin Y."},{"family":"Choi","given":"Hyeree"},{"family":"White","given":"Scott"},{"family":"Bagarazzi","given":"Mark"},{"family":"May","given":"Jeanine M."},{"family":"Kane","given":"Deborah"},{"family":"Lee","given":"Hyojin"},{"family":"Kobinger","given":"Gary"},{"family":"Michael","given":"Nelson L."},{"family":"Weiner","given":"David B."},{"family":"Thomas","given":"Stephen J."},{"family":"Maslow","given":"Joel N."}],"issued":{"date-parts":[["2019",9,1]]}}}],"schema":"https://github.com/citation-style-language/schema/raw/master/csl-citation.json"} </w:instrText>
      </w:r>
      <w:r w:rsidR="00AD39B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141</w:t>
      </w:r>
      <w:r w:rsidR="00AD39BC" w:rsidRPr="009F44A4">
        <w:rPr>
          <w:rFonts w:ascii="Times New Roman" w:eastAsia="Calibri" w:hAnsi="Times New Roman" w:cs="Times New Roman"/>
          <w:color w:val="000000" w:themeColor="text1"/>
          <w:sz w:val="20"/>
          <w:szCs w:val="20"/>
        </w:rPr>
        <w:fldChar w:fldCharType="end"/>
      </w:r>
      <w:r w:rsidRPr="009F44A4">
        <w:rPr>
          <w:rFonts w:ascii="Times New Roman" w:eastAsia="Calibri" w:hAnsi="Times New Roman" w:cs="Times New Roman"/>
          <w:color w:val="000000" w:themeColor="text1"/>
          <w:sz w:val="20"/>
          <w:szCs w:val="20"/>
        </w:rPr>
        <w:t xml:space="preserve"> and for prevention of COVID-19 infection company developed a DNA vaccine (INO-4800). </w:t>
      </w:r>
      <w:proofErr w:type="spellStart"/>
      <w:r w:rsidRPr="009F44A4">
        <w:rPr>
          <w:rFonts w:ascii="Times New Roman" w:eastAsia="Calibri" w:hAnsi="Times New Roman" w:cs="Times New Roman"/>
          <w:color w:val="000000" w:themeColor="text1"/>
          <w:sz w:val="20"/>
          <w:szCs w:val="20"/>
        </w:rPr>
        <w:t>Inovio</w:t>
      </w:r>
      <w:proofErr w:type="spellEnd"/>
      <w:r w:rsidRPr="009F44A4">
        <w:rPr>
          <w:rFonts w:ascii="Times New Roman" w:eastAsia="Calibri" w:hAnsi="Times New Roman" w:cs="Times New Roman"/>
          <w:color w:val="000000" w:themeColor="text1"/>
          <w:sz w:val="20"/>
          <w:szCs w:val="20"/>
        </w:rPr>
        <w:t xml:space="preserve"> also performed an open-label trial </w:t>
      </w:r>
      <w:r w:rsidR="00AD39B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{"citationID":"lxbGJeC0","properties":{"formattedCitation":"\\super 142\\nosupersub{}","plainCitation":"142","noteIndex":0},"citationItems":[{"id":823,"uris":["http://zotero.org/users/local/ZR048J0w/items/786JXJG4"],"uri":["http://zotero.org/users/local/ZR048J0w/items/786JXJG4"],"itemData":{"id":823,"type":"report","abstract":"This is an open-label trial to evaluate the safety, tolerability and immunological profile of INO-4800 administered by intradermal (ID) injection followed by electroporation (EP) using CELLECTRA® 2000 device in healthy adult volunteers.","genre":"Clinical trial registration","note":"submitted: April 3, 2020","number":"NCT04336410","publisher":"clinicaltrials.gov","source":"clinicaltrials.gov","title":"Phase 1 Open-label Study to Evaluate the Safety, Tolerability and Immunogenicity of INO-4800, a Prophylactic Vaccine Against SARS-CoV-2, Administered Intradermally Followed by Electroporation in Healthy Volunteers","title-short":"Safety, Tolerability and Immunogenicity of INO-4800 for COVID-19 in Healthy Volunteers","URL":"https://clinicaltrials.gov/ct2/show/NCT04336410","author":[{"literal":"Inovio Pharmaceuticals"}],"accessed":{"date-parts":[["2020",12,20]]},"issued":{"date-parts":[["2020",9,18]]}}}],"schema":"https://github.com/citation-style-language/schema/raw/master/csl-citation.json"} </w:instrText>
      </w:r>
      <w:r w:rsidR="00AD39B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142</w:t>
      </w:r>
      <w:r w:rsidR="00AD39BC" w:rsidRPr="009F44A4">
        <w:rPr>
          <w:rFonts w:ascii="Times New Roman" w:eastAsia="Calibri" w:hAnsi="Times New Roman" w:cs="Times New Roman"/>
          <w:color w:val="000000" w:themeColor="text1"/>
          <w:sz w:val="20"/>
          <w:szCs w:val="20"/>
        </w:rPr>
        <w:fldChar w:fldCharType="end"/>
      </w:r>
      <w:r w:rsidRPr="009F44A4">
        <w:rPr>
          <w:rFonts w:ascii="Times New Roman" w:eastAsia="Calibri" w:hAnsi="Times New Roman" w:cs="Times New Roman"/>
          <w:color w:val="000000" w:themeColor="text1"/>
          <w:sz w:val="20"/>
          <w:szCs w:val="20"/>
        </w:rPr>
        <w:t xml:space="preserve"> in healthy adult volunteers by using a CELLECTRA ® 2000 device to evaluate the effectiveness, tolerability and immunological profile of INO-4800 delivered by intradermal (ID) injection accompanied by EP.</w:t>
      </w:r>
      <w:r w:rsidR="004F7291" w:rsidRPr="009F44A4">
        <w:rPr>
          <w:rFonts w:ascii="Times New Roman" w:eastAsia="Calibri" w:hAnsi="Times New Roman" w:cs="Times New Roman"/>
          <w:color w:val="000000" w:themeColor="text1"/>
          <w:sz w:val="20"/>
          <w:szCs w:val="20"/>
        </w:rPr>
        <w:t xml:space="preserve"> A Phase 2/3 randomized, blinded, placebo-controlled study begins on November 30, 2020, with 6578 participants enrolled to determine the safety, immunogenicity and efficacy of INO-4800, a prophylactic vaccine against COVID-19 disease, injected </w:t>
      </w:r>
      <w:proofErr w:type="spellStart"/>
      <w:r w:rsidR="004F7291" w:rsidRPr="009F44A4">
        <w:rPr>
          <w:rFonts w:ascii="Times New Roman" w:eastAsia="Calibri" w:hAnsi="Times New Roman" w:cs="Times New Roman"/>
          <w:color w:val="000000" w:themeColor="text1"/>
          <w:sz w:val="20"/>
          <w:szCs w:val="20"/>
        </w:rPr>
        <w:t>intradermally</w:t>
      </w:r>
      <w:proofErr w:type="spellEnd"/>
      <w:r w:rsidR="004F7291" w:rsidRPr="009F44A4">
        <w:rPr>
          <w:rFonts w:ascii="Times New Roman" w:eastAsia="Calibri" w:hAnsi="Times New Roman" w:cs="Times New Roman"/>
          <w:color w:val="000000" w:themeColor="text1"/>
          <w:sz w:val="20"/>
          <w:szCs w:val="20"/>
        </w:rPr>
        <w:t xml:space="preserve"> with electroporation in healthy </w:t>
      </w:r>
      <w:proofErr w:type="spellStart"/>
      <w:r w:rsidR="004F7291" w:rsidRPr="009F44A4">
        <w:rPr>
          <w:rFonts w:ascii="Times New Roman" w:eastAsia="Calibri" w:hAnsi="Times New Roman" w:cs="Times New Roman"/>
          <w:color w:val="000000" w:themeColor="text1"/>
          <w:sz w:val="20"/>
          <w:szCs w:val="20"/>
        </w:rPr>
        <w:t>seronegative</w:t>
      </w:r>
      <w:proofErr w:type="spellEnd"/>
      <w:r w:rsidR="004F7291" w:rsidRPr="009F44A4">
        <w:rPr>
          <w:rFonts w:ascii="Times New Roman" w:eastAsia="Calibri" w:hAnsi="Times New Roman" w:cs="Times New Roman"/>
          <w:color w:val="000000" w:themeColor="text1"/>
          <w:sz w:val="20"/>
          <w:szCs w:val="20"/>
        </w:rPr>
        <w:t xml:space="preserve"> adults at high risk of SARS-</w:t>
      </w:r>
      <w:proofErr w:type="spellStart"/>
      <w:r w:rsidR="004F7291" w:rsidRPr="009F44A4">
        <w:rPr>
          <w:rFonts w:ascii="Times New Roman" w:eastAsia="Calibri" w:hAnsi="Times New Roman" w:cs="Times New Roman"/>
          <w:color w:val="000000" w:themeColor="text1"/>
          <w:sz w:val="20"/>
          <w:szCs w:val="20"/>
        </w:rPr>
        <w:t>CoV</w:t>
      </w:r>
      <w:proofErr w:type="spellEnd"/>
      <w:r w:rsidR="004F7291" w:rsidRPr="009F44A4">
        <w:rPr>
          <w:rFonts w:ascii="Times New Roman" w:eastAsia="Calibri" w:hAnsi="Times New Roman" w:cs="Times New Roman"/>
          <w:color w:val="000000" w:themeColor="text1"/>
          <w:sz w:val="20"/>
          <w:szCs w:val="20"/>
        </w:rPr>
        <w:t>-2 exposure</w:t>
      </w:r>
      <w:r w:rsidR="00213640" w:rsidRPr="009F44A4">
        <w:rPr>
          <w:rFonts w:ascii="Times New Roman" w:eastAsia="Calibri" w:hAnsi="Times New Roman" w:cs="Times New Roman"/>
          <w:color w:val="000000" w:themeColor="text1"/>
          <w:sz w:val="20"/>
          <w:szCs w:val="20"/>
        </w:rPr>
        <w:t xml:space="preserve"> </w:t>
      </w:r>
      <w:r w:rsidR="0021364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{"citationID":"nfRieez2","properties":{"formattedCitation":"\\super 143\\nosupersub{}","plainCitation":"143","noteIndex":0},"citationItems":[{"id":923,"uris":["http://zotero.org/users/local/ZR048J0w/items/S8R36NQ2"],"uri":["http://zotero.org/users/local/ZR048J0w/items/S8R36NQ2"],"itemData":{"id":923,"type":"report","abstract":"This is a Phase 2/3, randomized, placebo-controlled, multi-center trial to evaluate the safety, immunogenicity and efficacy of INO-4800 administered by intradermal (ID) injection followed by electroporation (EP) using CELLECTRA® 2000 device to prevent COVID-19 disease in participants at high risk of exposure to SARS-CoV-2.\n\nThe Phase 2 segment will evaluate immunogenicity and safety in approximately 400 participants at two dose levels across three age groups. Safety and immunogenicity information from the Phase 2 segment will be used to determine the dose level for the Phase 3 efficacy segment of the study involving approximately 6178 participants.","genre":"Clinical trial registration","note":"submitted: November 23, 2020","number":"NCT04642638","publisher":"clinicaltrials.gov","source":"clinicaltrials.gov","title":"Phase 2/3 Randomized, Blinded, Placebo-Controlled Trial to Evaluate the Safety, Immunogenicity, and Efficacy of INO-4800, a Prophylactic Vaccine Against COVID-19 Disease, Administered Intradermally Followed by Electroporation in Healthy Seronegative Adults at High Risk of SARS-CoV-2 Exposure","title-short":"Safety, Immunogenicity, and Efficacy of INO-4800 for COVID-19 in Healthy Seronegative Adults at High Risk of SARS-CoV-2 Exposure","URL":"https://clinicaltrials.gov/ct2/show/NCT04642638","author":[{"literal":"Inovio Pharmaceuticals"}],"accessed":{"date-parts":[["2021",1,4]]},"issued":{"date-parts":[["2020",12,16]]}}}],"schema":"https://github.com/citation-style-language/schema/raw/master/csl-citation.json"} </w:instrText>
      </w:r>
      <w:r w:rsidR="0021364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143</w:t>
      </w:r>
      <w:r w:rsidR="00213640" w:rsidRPr="009F44A4">
        <w:rPr>
          <w:rFonts w:ascii="Times New Roman" w:eastAsia="Calibri" w:hAnsi="Times New Roman" w:cs="Times New Roman"/>
          <w:color w:val="000000" w:themeColor="text1"/>
          <w:sz w:val="20"/>
          <w:szCs w:val="20"/>
        </w:rPr>
        <w:fldChar w:fldCharType="end"/>
      </w:r>
      <w:r w:rsidR="00213640" w:rsidRPr="009F44A4">
        <w:rPr>
          <w:rFonts w:ascii="Times New Roman" w:eastAsia="Calibri" w:hAnsi="Times New Roman" w:cs="Times New Roman"/>
          <w:color w:val="000000" w:themeColor="text1"/>
          <w:sz w:val="20"/>
          <w:szCs w:val="20"/>
        </w:rPr>
        <w:t>.</w:t>
      </w:r>
    </w:p>
    <w:p w14:paraId="08BA9B94" w14:textId="71C56E86" w:rsidR="008D16FE" w:rsidRPr="009F44A4" w:rsidRDefault="00C02138" w:rsidP="00DC7281">
      <w:pPr>
        <w:numPr>
          <w:ilvl w:val="0"/>
          <w:numId w:val="1"/>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NVX-</w:t>
      </w:r>
      <w:proofErr w:type="spellStart"/>
      <w:r w:rsidRPr="009F44A4">
        <w:rPr>
          <w:rFonts w:ascii="Times New Roman" w:eastAsia="Calibri" w:hAnsi="Times New Roman" w:cs="Times New Roman"/>
          <w:color w:val="000000" w:themeColor="text1"/>
          <w:sz w:val="20"/>
          <w:szCs w:val="20"/>
        </w:rPr>
        <w:t>CoV2373</w:t>
      </w:r>
      <w:proofErr w:type="spellEnd"/>
      <w:r w:rsidRPr="009F44A4">
        <w:rPr>
          <w:rFonts w:ascii="Times New Roman" w:eastAsia="Calibri" w:hAnsi="Times New Roman" w:cs="Times New Roman"/>
          <w:color w:val="000000" w:themeColor="text1"/>
          <w:sz w:val="20"/>
          <w:szCs w:val="20"/>
        </w:rPr>
        <w:t xml:space="preserve">: </w:t>
      </w:r>
      <w:proofErr w:type="spellStart"/>
      <w:r w:rsidRPr="009F44A4">
        <w:rPr>
          <w:rFonts w:ascii="Times New Roman" w:eastAsia="Calibri" w:hAnsi="Times New Roman" w:cs="Times New Roman"/>
          <w:color w:val="000000" w:themeColor="text1"/>
          <w:sz w:val="20"/>
          <w:szCs w:val="20"/>
        </w:rPr>
        <w:t>Novavax</w:t>
      </w:r>
      <w:proofErr w:type="spellEnd"/>
      <w:r w:rsidRPr="009F44A4">
        <w:rPr>
          <w:rFonts w:ascii="Times New Roman" w:eastAsia="Calibri" w:hAnsi="Times New Roman" w:cs="Times New Roman"/>
          <w:color w:val="000000" w:themeColor="text1"/>
          <w:sz w:val="20"/>
          <w:szCs w:val="20"/>
        </w:rPr>
        <w:t>, Inc. announced the commencement of clinical trial phase I/II for the development of coronavirus vaccine, NVX‐</w:t>
      </w:r>
      <w:proofErr w:type="spellStart"/>
      <w:r w:rsidRPr="009F44A4">
        <w:rPr>
          <w:rFonts w:ascii="Times New Roman" w:eastAsia="Calibri" w:hAnsi="Times New Roman" w:cs="Times New Roman"/>
          <w:color w:val="000000" w:themeColor="text1"/>
          <w:sz w:val="20"/>
          <w:szCs w:val="20"/>
        </w:rPr>
        <w:t>CoV2373</w:t>
      </w:r>
      <w:proofErr w:type="spellEnd"/>
      <w:r w:rsidRPr="009F44A4">
        <w:rPr>
          <w:rFonts w:ascii="Times New Roman" w:eastAsia="Calibri" w:hAnsi="Times New Roman" w:cs="Times New Roman"/>
          <w:color w:val="000000" w:themeColor="text1"/>
          <w:sz w:val="20"/>
          <w:szCs w:val="20"/>
        </w:rPr>
        <w:t xml:space="preserve">, a robust </w:t>
      </w:r>
      <w:proofErr w:type="spellStart"/>
      <w:r w:rsidRPr="009F44A4">
        <w:rPr>
          <w:rFonts w:ascii="Times New Roman" w:eastAsia="Calibri" w:hAnsi="Times New Roman" w:cs="Times New Roman"/>
          <w:color w:val="000000" w:themeColor="text1"/>
          <w:sz w:val="20"/>
          <w:szCs w:val="20"/>
        </w:rPr>
        <w:t>prefusion</w:t>
      </w:r>
      <w:proofErr w:type="spellEnd"/>
      <w:r w:rsidRPr="009F44A4">
        <w:rPr>
          <w:rFonts w:ascii="Times New Roman" w:eastAsia="Calibri" w:hAnsi="Times New Roman" w:cs="Times New Roman"/>
          <w:color w:val="000000" w:themeColor="text1"/>
          <w:sz w:val="20"/>
          <w:szCs w:val="20"/>
        </w:rPr>
        <w:t xml:space="preserve"> protein produced using its patented nanoparticles adjuvant (Matrix‐MTM) technology to boost immunity and trigger high level of antibody neutralization. In the southern hemisphere, a first human trial to be carried out, with approximately 130 participants spanning two Australian locations</w:t>
      </w:r>
      <w:r w:rsidR="0038057C" w:rsidRPr="009F44A4">
        <w:rPr>
          <w:rFonts w:ascii="Times New Roman" w:eastAsia="Calibri" w:hAnsi="Times New Roman" w:cs="Times New Roman"/>
          <w:color w:val="000000" w:themeColor="text1"/>
          <w:sz w:val="20"/>
          <w:szCs w:val="20"/>
        </w:rPr>
        <w:t xml:space="preserve"> </w:t>
      </w:r>
      <w:r w:rsidR="0038057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{"citationID":"OK5ufkvR","properties":{"formattedCitation":"\\super 144\\nosupersub{}","plainCitation":"144","noteIndex":0},"citationItems":[{"id":824,"uris":["http://zotero.org/users/local/ZR048J0w/items/GJ7CCIEU"],"uri":["http://zotero.org/users/local/ZR048J0w/items/GJ7CCIEU"],"itemData":{"id":824,"type":"webpage","language":"en","title":"Novavax Initiates Phase 1/2 Clinical Trial of COVID-19 Vaccine | Novavax Inc. - IR Site","URL":"https://ir.novavax.com/news-releases/news-release-details/novavax-initiates-phase-12-clinical-trial-covid-19-vaccine","accessed":{"date-parts":[["2020",12,22]]}}}],"schema":"https://github.com/citation-style-language/schema/raw/master/csl-citation.json"} </w:instrText>
      </w:r>
      <w:r w:rsidR="0038057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144</w:t>
      </w:r>
      <w:r w:rsidR="0038057C" w:rsidRPr="009F44A4">
        <w:rPr>
          <w:rFonts w:ascii="Times New Roman" w:eastAsia="Calibri" w:hAnsi="Times New Roman" w:cs="Times New Roman"/>
          <w:color w:val="000000" w:themeColor="text1"/>
          <w:sz w:val="20"/>
          <w:szCs w:val="20"/>
        </w:rPr>
        <w:fldChar w:fldCharType="end"/>
      </w:r>
      <w:r w:rsidR="0038057C" w:rsidRPr="009F44A4">
        <w:rPr>
          <w:rFonts w:ascii="Times New Roman" w:eastAsia="Calibri" w:hAnsi="Times New Roman" w:cs="Times New Roman"/>
          <w:color w:val="000000" w:themeColor="text1"/>
          <w:sz w:val="20"/>
          <w:szCs w:val="20"/>
        </w:rPr>
        <w:t>.</w:t>
      </w:r>
      <w:r w:rsidR="004F7291" w:rsidRPr="009F44A4">
        <w:rPr>
          <w:rFonts w:ascii="Times New Roman" w:eastAsia="Calibri" w:hAnsi="Times New Roman" w:cs="Times New Roman"/>
          <w:color w:val="000000" w:themeColor="text1"/>
          <w:sz w:val="20"/>
          <w:szCs w:val="20"/>
        </w:rPr>
        <w:t xml:space="preserve"> A Phase 3 trial begins on December 27, 2020 enrolled 30,000 participants with mild, moderate, or severe symptomatic </w:t>
      </w:r>
      <w:proofErr w:type="spellStart"/>
      <w:r w:rsidR="004F7291" w:rsidRPr="009F44A4">
        <w:rPr>
          <w:rFonts w:ascii="Times New Roman" w:eastAsia="Calibri" w:hAnsi="Times New Roman" w:cs="Times New Roman"/>
          <w:color w:val="000000" w:themeColor="text1"/>
          <w:sz w:val="20"/>
          <w:szCs w:val="20"/>
        </w:rPr>
        <w:t>coronaviral</w:t>
      </w:r>
      <w:proofErr w:type="spellEnd"/>
      <w:r w:rsidR="004F7291" w:rsidRPr="009F44A4">
        <w:rPr>
          <w:rFonts w:ascii="Times New Roman" w:eastAsia="Calibri" w:hAnsi="Times New Roman" w:cs="Times New Roman"/>
          <w:color w:val="000000" w:themeColor="text1"/>
          <w:sz w:val="20"/>
          <w:szCs w:val="20"/>
        </w:rPr>
        <w:t xml:space="preserve"> disease, 2019 (COVID-19). This trial will focus on body immune response, safety of SARS-</w:t>
      </w:r>
      <w:proofErr w:type="spellStart"/>
      <w:r w:rsidR="004F7291" w:rsidRPr="009F44A4">
        <w:rPr>
          <w:rFonts w:ascii="Times New Roman" w:eastAsia="Calibri" w:hAnsi="Times New Roman" w:cs="Times New Roman"/>
          <w:color w:val="000000" w:themeColor="text1"/>
          <w:sz w:val="20"/>
          <w:szCs w:val="20"/>
        </w:rPr>
        <w:t>CoV</w:t>
      </w:r>
      <w:proofErr w:type="spellEnd"/>
      <w:r w:rsidR="004F7291" w:rsidRPr="009F44A4">
        <w:rPr>
          <w:rFonts w:ascii="Times New Roman" w:eastAsia="Calibri" w:hAnsi="Times New Roman" w:cs="Times New Roman"/>
          <w:color w:val="000000" w:themeColor="text1"/>
          <w:sz w:val="20"/>
          <w:szCs w:val="20"/>
        </w:rPr>
        <w:t xml:space="preserve">-2 </w:t>
      </w:r>
      <w:proofErr w:type="spellStart"/>
      <w:r w:rsidR="004F7291" w:rsidRPr="009F44A4">
        <w:rPr>
          <w:rFonts w:ascii="Times New Roman" w:eastAsia="Calibri" w:hAnsi="Times New Roman" w:cs="Times New Roman"/>
          <w:color w:val="000000" w:themeColor="text1"/>
          <w:sz w:val="20"/>
          <w:szCs w:val="20"/>
        </w:rPr>
        <w:t>rS</w:t>
      </w:r>
      <w:proofErr w:type="spellEnd"/>
      <w:r w:rsidR="004F7291" w:rsidRPr="009F44A4">
        <w:rPr>
          <w:rFonts w:ascii="Times New Roman" w:eastAsia="Calibri" w:hAnsi="Times New Roman" w:cs="Times New Roman"/>
          <w:color w:val="000000" w:themeColor="text1"/>
          <w:sz w:val="20"/>
          <w:szCs w:val="20"/>
        </w:rPr>
        <w:t xml:space="preserve"> with Matrix-</w:t>
      </w:r>
      <w:proofErr w:type="spellStart"/>
      <w:r w:rsidR="004F7291" w:rsidRPr="009F44A4">
        <w:rPr>
          <w:rFonts w:ascii="Times New Roman" w:eastAsia="Calibri" w:hAnsi="Times New Roman" w:cs="Times New Roman"/>
          <w:color w:val="000000" w:themeColor="text1"/>
          <w:sz w:val="20"/>
          <w:szCs w:val="20"/>
        </w:rPr>
        <w:t>M1</w:t>
      </w:r>
      <w:proofErr w:type="spellEnd"/>
      <w:r w:rsidR="004F7291" w:rsidRPr="009F44A4">
        <w:rPr>
          <w:rFonts w:ascii="Times New Roman" w:eastAsia="Calibri" w:hAnsi="Times New Roman" w:cs="Times New Roman"/>
          <w:color w:val="000000" w:themeColor="text1"/>
          <w:sz w:val="20"/>
          <w:szCs w:val="20"/>
        </w:rPr>
        <w:t xml:space="preserve"> adjuvant in participants. The enrolled participants in the trial will be </w:t>
      </w:r>
      <w:proofErr w:type="spellStart"/>
      <w:r w:rsidR="004F7291" w:rsidRPr="009F44A4">
        <w:rPr>
          <w:rFonts w:ascii="Times New Roman" w:eastAsia="Calibri" w:hAnsi="Times New Roman" w:cs="Times New Roman"/>
          <w:color w:val="000000" w:themeColor="text1"/>
          <w:sz w:val="20"/>
          <w:szCs w:val="20"/>
        </w:rPr>
        <w:t>randomised</w:t>
      </w:r>
      <w:proofErr w:type="spellEnd"/>
      <w:r w:rsidR="004F7291" w:rsidRPr="009F44A4">
        <w:rPr>
          <w:rFonts w:ascii="Times New Roman" w:eastAsia="Calibri" w:hAnsi="Times New Roman" w:cs="Times New Roman"/>
          <w:color w:val="000000" w:themeColor="text1"/>
          <w:sz w:val="20"/>
          <w:szCs w:val="20"/>
        </w:rPr>
        <w:t xml:space="preserve"> to receive SARS-</w:t>
      </w:r>
      <w:proofErr w:type="spellStart"/>
      <w:r w:rsidR="004F7291" w:rsidRPr="009F44A4">
        <w:rPr>
          <w:rFonts w:ascii="Times New Roman" w:eastAsia="Calibri" w:hAnsi="Times New Roman" w:cs="Times New Roman"/>
          <w:color w:val="000000" w:themeColor="text1"/>
          <w:sz w:val="20"/>
          <w:szCs w:val="20"/>
        </w:rPr>
        <w:t>CoV</w:t>
      </w:r>
      <w:proofErr w:type="spellEnd"/>
      <w:r w:rsidR="004F7291" w:rsidRPr="009F44A4">
        <w:rPr>
          <w:rFonts w:ascii="Times New Roman" w:eastAsia="Calibri" w:hAnsi="Times New Roman" w:cs="Times New Roman"/>
          <w:color w:val="000000" w:themeColor="text1"/>
          <w:sz w:val="20"/>
          <w:szCs w:val="20"/>
        </w:rPr>
        <w:t xml:space="preserve">-2 </w:t>
      </w:r>
      <w:proofErr w:type="spellStart"/>
      <w:r w:rsidR="004F7291" w:rsidRPr="009F44A4">
        <w:rPr>
          <w:rFonts w:ascii="Times New Roman" w:eastAsia="Calibri" w:hAnsi="Times New Roman" w:cs="Times New Roman"/>
          <w:color w:val="000000" w:themeColor="text1"/>
          <w:sz w:val="20"/>
          <w:szCs w:val="20"/>
        </w:rPr>
        <w:t>rS</w:t>
      </w:r>
      <w:proofErr w:type="spellEnd"/>
      <w:r w:rsidR="004F7291" w:rsidRPr="009F44A4">
        <w:rPr>
          <w:rFonts w:ascii="Times New Roman" w:eastAsia="Calibri" w:hAnsi="Times New Roman" w:cs="Times New Roman"/>
          <w:color w:val="000000" w:themeColor="text1"/>
          <w:sz w:val="20"/>
          <w:szCs w:val="20"/>
        </w:rPr>
        <w:t xml:space="preserve"> with either Matrix-</w:t>
      </w:r>
      <w:proofErr w:type="spellStart"/>
      <w:r w:rsidR="004F7291" w:rsidRPr="009F44A4">
        <w:rPr>
          <w:rFonts w:ascii="Times New Roman" w:eastAsia="Calibri" w:hAnsi="Times New Roman" w:cs="Times New Roman"/>
          <w:color w:val="000000" w:themeColor="text1"/>
          <w:sz w:val="20"/>
          <w:szCs w:val="20"/>
        </w:rPr>
        <w:t>M1</w:t>
      </w:r>
      <w:proofErr w:type="spellEnd"/>
      <w:r w:rsidR="004F7291" w:rsidRPr="009F44A4">
        <w:rPr>
          <w:rFonts w:ascii="Times New Roman" w:eastAsia="Calibri" w:hAnsi="Times New Roman" w:cs="Times New Roman"/>
          <w:color w:val="000000" w:themeColor="text1"/>
          <w:sz w:val="20"/>
          <w:szCs w:val="20"/>
        </w:rPr>
        <w:t xml:space="preserve"> adjuvant or placebo. A total of 2 intramuscular injections will be given to each of the participants in the study</w:t>
      </w:r>
      <w:r w:rsidR="00213640" w:rsidRPr="009F44A4">
        <w:rPr>
          <w:rFonts w:ascii="Times New Roman" w:eastAsia="Calibri" w:hAnsi="Times New Roman" w:cs="Times New Roman"/>
          <w:color w:val="000000" w:themeColor="text1"/>
          <w:sz w:val="20"/>
          <w:szCs w:val="20"/>
        </w:rPr>
        <w:t xml:space="preserve"> </w:t>
      </w:r>
      <w:r w:rsidR="0021364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{"citationID":"XWugzeo5","properties":{"formattedCitation":"\\super 145\\nosupersub{}","plainCitation":"145","noteIndex":0},"citationItems":[{"id":924,"uris":["http://zotero.org/users/local/ZR048J0w/items/Y2K3UNPS"],"uri":["http://zotero.org/users/local/ZR048J0w/items/Y2K3UNPS"],"itemData":{"id":924,"type":"report","abstract":"This is a study to evaluate the effectiveness, immune response, and safety of a coronavirus disease 2019 (COVID-19) vaccine called SARS-CoV-2 rS with Matrix-M1 adjuvant in adults 18 years of age and older in the United States and Mexico. A vaccine causes the body to have an immune response that may help prevent the infection or reduce the severity of symptoms. An adjuvant is something that can make a vaccine work better. This study will look at the protective effect, body's immune response, and safety of SARS-CoV-2 rS with Matrix-M1 adjuvant in the study population. Participants in the study will randomly be assigned to receive SARS-CoV-2 rS with Matrix-M1 adjuvant or placebo. Each participant in the study will receive a total of 2 intramuscular injections over the course of the study. Up to 30,000 participants will take part in the study.","genre":"Clinical trial registration","note":"submitted: October 30, 2020","number":"NCT04611802","publisher":"clinicaltrials.gov","source":"clinicaltrials.gov","title":"A Phase 3, Randomized, Observer-Blinded, Placebo-Controlled Study to Evaluate the Efficacy, Safety, and Immunogenicity of a SARS-CoV-2 Recombinant Spike Protein Nanoparticle Vaccine (SARS-CoV-2 rS) With Matrix-M1™ Adjuvant in Adult Participants ≥ 18 Years","title-short":"A Study Looking at the Efficacy, Immune Response, and Safety of a COVID-19 Vaccine in Adults at Risk for SARS-CoV-2","URL":"https://clinicaltrials.gov/ct2/show/NCT04611802","author":[{"literal":"Novavax"}],"accessed":{"date-parts":[["2021",1,4]]},"issued":{"date-parts":[["2020",12,28]]}}}],"schema":"https://github.com/citation-style-language/schema/raw/master/csl-citation.json"} </w:instrText>
      </w:r>
      <w:r w:rsidR="0021364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145</w:t>
      </w:r>
      <w:r w:rsidR="00213640" w:rsidRPr="009F44A4">
        <w:rPr>
          <w:rFonts w:ascii="Times New Roman" w:eastAsia="Calibri" w:hAnsi="Times New Roman" w:cs="Times New Roman"/>
          <w:color w:val="000000" w:themeColor="text1"/>
          <w:sz w:val="20"/>
          <w:szCs w:val="20"/>
        </w:rPr>
        <w:fldChar w:fldCharType="end"/>
      </w:r>
      <w:r w:rsidR="00213640" w:rsidRPr="009F44A4">
        <w:rPr>
          <w:rFonts w:ascii="Times New Roman" w:eastAsia="Calibri" w:hAnsi="Times New Roman" w:cs="Times New Roman"/>
          <w:color w:val="000000" w:themeColor="text1"/>
          <w:sz w:val="20"/>
          <w:szCs w:val="20"/>
        </w:rPr>
        <w:t>.</w:t>
      </w:r>
    </w:p>
    <w:p w14:paraId="79EF2CF1" w14:textId="3BFFA496" w:rsidR="008D16FE" w:rsidRPr="009F44A4" w:rsidRDefault="00C02138" w:rsidP="00DC7281">
      <w:pPr>
        <w:numPr>
          <w:ilvl w:val="0"/>
          <w:numId w:val="1"/>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LV-SMENP-DC and pathogen-specific APC vaccine developed by Shenzhen </w:t>
      </w:r>
      <w:proofErr w:type="spellStart"/>
      <w:r w:rsidRPr="009F44A4">
        <w:rPr>
          <w:rFonts w:ascii="Times New Roman" w:eastAsia="Calibri" w:hAnsi="Times New Roman" w:cs="Times New Roman"/>
          <w:color w:val="000000" w:themeColor="text1"/>
          <w:sz w:val="20"/>
          <w:szCs w:val="20"/>
        </w:rPr>
        <w:t>Geno</w:t>
      </w:r>
      <w:proofErr w:type="spellEnd"/>
      <w:r w:rsidRPr="009F44A4">
        <w:rPr>
          <w:rFonts w:ascii="Times New Roman" w:eastAsia="Calibri" w:hAnsi="Times New Roman" w:cs="Times New Roman"/>
          <w:color w:val="000000" w:themeColor="text1"/>
          <w:sz w:val="20"/>
          <w:szCs w:val="20"/>
        </w:rPr>
        <w:t>-Immune medical institute that is in phase 1 clinical trials to determine security, effectiveness and immune response</w:t>
      </w:r>
      <w:r w:rsidR="0038057C" w:rsidRPr="009F44A4">
        <w:rPr>
          <w:rFonts w:ascii="Times New Roman" w:eastAsia="Calibri" w:hAnsi="Times New Roman" w:cs="Times New Roman"/>
          <w:color w:val="000000" w:themeColor="text1"/>
          <w:sz w:val="20"/>
          <w:szCs w:val="20"/>
        </w:rPr>
        <w:t xml:space="preserve"> </w:t>
      </w:r>
      <w:r w:rsidR="0038057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{"citationID":"nF9Xh4Gm","properties":{"formattedCitation":"\\super 146,147\\nosupersub{}","plainCitation":"146,147","noteIndex":0},"citationItems":[{"id":826,"uris":["http://zotero.org/users/local/ZR048J0w/items/CX6NU5GX"],"uri":["http://zotero.org/users/local/ZR048J0w/items/CX6NU5GX"],"itemData":{"id":826,"type":"report","abstract":"In December 2019, viral pneumonia caused by a novel beta-coronavirus (Covid-19) broke out in Wuhan, China. Some patients rapidly progressed and suffered severe acute respiratory failure and died, making it imperative to develop a safe and effective vaccine to treat and prevent severe Covid-19 pneumonia. Based on detailed analysis of the viral genome and search for potential immunogenic targets, a synthetic minigene has been engineered based on conserved domains of the viral structural proteins and a polyprotein protease. The infection of Covid-19 is mediated through binding of the Spike protein to the ACEII receptor, and the viral replication depends on molecular mechanisms of all of these viral proteins. This trial proposes to develop and test innovative Covid-19 minigenes engineered based on multiple viral genes, using an efficient lentiviral vector system (NHP/TYF) to express viral proteins and immune modulatory genes to modify dendritic cells (DCs) and to activate T cells. In this study, the safety and efficacy of this LV vaccine (LV-SMENP) will be investigated.","genre":"Clinical trial registration","note":"submitted: February 17, 2020","number":"NCT04276896","publisher":"clinicaltrials.gov","source":"clinicaltrials.gov","title":"Phase I/II Multicenter Trial of Lentiviral Minigene Vaccine (LV-SMENP) of Covid-19 Coronavirus","title-short":"Immunity and Safety of Covid-19 Synthetic Minigene Vaccine","URL":"https://clinicaltrials.gov/ct2/show/NCT04276896","author":[{"literal":"Shenzhen Geno-Immune Medical Institute"}],"accessed":{"date-parts":[["2020",12,20]]},"issued":{"date-parts":[["2020",3,17]]}}},{"id":827,"uris":["http://zotero.org/users/local/ZR048J0w/items/5Z8RI8UX"],"uri":["http://zotero.org/users/local/ZR048J0w/items/5Z8RI8UX"],"itemData":{"id":827,"type":"report","abstract":"In December 2019, viral pneumonia (Covid-19) caused by a novel beta-coronavirus (SARS-CoV-2) broke out in Wuhan, China. Some patients rapidly progressed and suffered severe acute respiratory failure and died, making it imperative to develop a safe and effective vaccine to treat and prevent severe Covid-19 pneumonia. Based on detailed analysis of the viral genome and search for potential immunogenic targets, a synthetic minigene has been engineered based on conserved domains of the viral structural proteins and a polyprotein protease. The infection of Covid-19 is mediated through binding of the Spike protein to the ACEII receptor, and the viral replication depends on molecular mechanisms of all of these viral proteins. This trial proposes to develop universal vaccine and test innovative Covid-19 minigenes engineered based on multiple viral genes, using an efficient lentiviral vector system (NHP/TYF) to express viral proteins and immune modulatory genes to modify artificial antigen presenting cells (aAPC) and to activate T cells. In this study, the safety and immune reactivity of this aAPC vaccine will be investigated.","genre":"Clinical trial registration","note":"submitted: March 5, 2020","number":"NCT04299724","publisher":"clinicaltrials.gov","source":"clinicaltrials.gov","title":"Safety and Immunity Evaluation of A Covid-19 Coronavirus Artificial Antigen Presenting Cell Vaccine","title-short":"Safety and Immunity of Covid-19 aAPC Vaccine","URL":"https://clinicaltrials.gov/ct2/show/NCT04299724","author":[{"family":"Chang","given":"Lung-Ji"}],"accessed":{"date-parts":[["2020",12,20]]},"issued":{"date-parts":[["2020",3,6]]}}}],"schema":"https://github.com/citation-style-language/schema/raw/master/csl-citation.json"} </w:instrText>
      </w:r>
      <w:r w:rsidR="0038057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146,147</w:t>
      </w:r>
      <w:r w:rsidR="0038057C" w:rsidRPr="009F44A4">
        <w:rPr>
          <w:rFonts w:ascii="Times New Roman" w:eastAsia="Calibri" w:hAnsi="Times New Roman" w:cs="Times New Roman"/>
          <w:color w:val="000000" w:themeColor="text1"/>
          <w:sz w:val="20"/>
          <w:szCs w:val="20"/>
        </w:rPr>
        <w:fldChar w:fldCharType="end"/>
      </w:r>
      <w:r w:rsidR="0038057C" w:rsidRPr="009F44A4">
        <w:rPr>
          <w:rFonts w:ascii="Times New Roman" w:eastAsia="Calibri" w:hAnsi="Times New Roman" w:cs="Times New Roman"/>
          <w:color w:val="000000" w:themeColor="text1"/>
          <w:sz w:val="20"/>
          <w:szCs w:val="20"/>
        </w:rPr>
        <w:t>.</w:t>
      </w:r>
    </w:p>
    <w:p w14:paraId="679C11E2" w14:textId="44895081" w:rsidR="008D16FE" w:rsidRPr="009F44A4" w:rsidRDefault="00C02138" w:rsidP="00DC7281">
      <w:pPr>
        <w:numPr>
          <w:ilvl w:val="0"/>
          <w:numId w:val="1"/>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For the development of an investigative vaccine against COVID-19 Merck has announced a collaboration with the International AIDS Vaccine Initiative (IAVI), using recombinant vesicular stomatitis virus (</w:t>
      </w:r>
      <w:proofErr w:type="spellStart"/>
      <w:r w:rsidRPr="009F44A4">
        <w:rPr>
          <w:rFonts w:ascii="Times New Roman" w:eastAsia="Calibri" w:hAnsi="Times New Roman" w:cs="Times New Roman"/>
          <w:color w:val="000000" w:themeColor="text1"/>
          <w:sz w:val="20"/>
          <w:szCs w:val="20"/>
        </w:rPr>
        <w:t>rVSV</w:t>
      </w:r>
      <w:proofErr w:type="spellEnd"/>
      <w:r w:rsidRPr="009F44A4">
        <w:rPr>
          <w:rFonts w:ascii="Times New Roman" w:eastAsia="Calibri" w:hAnsi="Times New Roman" w:cs="Times New Roman"/>
          <w:color w:val="000000" w:themeColor="text1"/>
          <w:sz w:val="20"/>
          <w:szCs w:val="20"/>
        </w:rPr>
        <w:t>) technology, which forms the framework for its Ebola Zaire Virus (</w:t>
      </w:r>
      <w:proofErr w:type="spellStart"/>
      <w:r w:rsidRPr="009F44A4">
        <w:rPr>
          <w:rFonts w:ascii="Times New Roman" w:eastAsia="Calibri" w:hAnsi="Times New Roman" w:cs="Times New Roman"/>
          <w:color w:val="000000" w:themeColor="text1"/>
          <w:sz w:val="20"/>
          <w:szCs w:val="20"/>
        </w:rPr>
        <w:t>Ervebo</w:t>
      </w:r>
      <w:proofErr w:type="spellEnd"/>
      <w:r w:rsidRPr="009F44A4">
        <w:rPr>
          <w:rFonts w:ascii="Times New Roman" w:eastAsia="Calibri" w:hAnsi="Times New Roman" w:cs="Times New Roman"/>
          <w:color w:val="000000" w:themeColor="text1"/>
          <w:sz w:val="20"/>
          <w:szCs w:val="20"/>
        </w:rPr>
        <w:t>)</w:t>
      </w:r>
      <w:r w:rsidR="003966A8" w:rsidRPr="009F44A4">
        <w:rPr>
          <w:rFonts w:ascii="Times New Roman" w:eastAsia="Calibri" w:hAnsi="Times New Roman" w:cs="Times New Roman"/>
          <w:color w:val="000000" w:themeColor="text1"/>
          <w:sz w:val="20"/>
          <w:szCs w:val="20"/>
        </w:rPr>
        <w:t xml:space="preserve"> </w:t>
      </w:r>
      <w:r w:rsidR="003966A8"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{"citationID":"xDZcpoll","properties":{"formattedCitation":"\\super 148\\nosupersub{}","plainCitation":"148","noteIndex":0},"citationItems":[{"id":828,"uris":["http://zotero.org/users/local/ZR048J0w/items/NRRUF37J"],"uri":["http://zotero.org/users/local/ZR048J0w/items/NRRUF37J"],"itemData":{"id":828,"type":"webpage","abstract":"IAVI is developing both vaccines and antibodies to prevent and treat infection with SARS-CoV-2, the virus that causes COVID-19.","container-title":"IAVI","language":"en","title":"Our COVID-19 Response","URL":"https://www.iavi.org/covid-19","accessed":{"date-parts":[["2020",12,22]]}}}],"schema":"https://github.com/citation-style-language/schema/raw/master/csl-citation.json"} </w:instrText>
      </w:r>
      <w:r w:rsidR="003966A8"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148</w:t>
      </w:r>
      <w:r w:rsidR="003966A8" w:rsidRPr="009F44A4">
        <w:rPr>
          <w:rFonts w:ascii="Times New Roman" w:eastAsia="Calibri" w:hAnsi="Times New Roman" w:cs="Times New Roman"/>
          <w:color w:val="000000" w:themeColor="text1"/>
          <w:sz w:val="20"/>
          <w:szCs w:val="20"/>
        </w:rPr>
        <w:fldChar w:fldCharType="end"/>
      </w:r>
      <w:r w:rsidR="003966A8" w:rsidRPr="009F44A4">
        <w:rPr>
          <w:rFonts w:ascii="Times New Roman" w:eastAsia="Calibri" w:hAnsi="Times New Roman" w:cs="Times New Roman"/>
          <w:color w:val="000000" w:themeColor="text1"/>
          <w:sz w:val="20"/>
          <w:szCs w:val="20"/>
        </w:rPr>
        <w:t>.</w:t>
      </w:r>
      <w:r w:rsidR="004F7291" w:rsidRPr="009F44A4">
        <w:rPr>
          <w:rFonts w:ascii="Times New Roman" w:eastAsia="Calibri" w:hAnsi="Times New Roman" w:cs="Times New Roman"/>
          <w:color w:val="000000" w:themeColor="text1"/>
          <w:sz w:val="20"/>
          <w:szCs w:val="20"/>
        </w:rPr>
        <w:t xml:space="preserve"> A </w:t>
      </w:r>
      <w:proofErr w:type="spellStart"/>
      <w:r w:rsidR="004F7291" w:rsidRPr="009F44A4">
        <w:rPr>
          <w:rFonts w:ascii="Times New Roman" w:eastAsia="Calibri" w:hAnsi="Times New Roman" w:cs="Times New Roman"/>
          <w:color w:val="000000" w:themeColor="text1"/>
          <w:sz w:val="20"/>
          <w:szCs w:val="20"/>
        </w:rPr>
        <w:t>randomised</w:t>
      </w:r>
      <w:proofErr w:type="spellEnd"/>
      <w:r w:rsidR="004F7291" w:rsidRPr="009F44A4">
        <w:rPr>
          <w:rFonts w:ascii="Times New Roman" w:eastAsia="Calibri" w:hAnsi="Times New Roman" w:cs="Times New Roman"/>
          <w:color w:val="000000" w:themeColor="text1"/>
          <w:sz w:val="20"/>
          <w:szCs w:val="20"/>
        </w:rPr>
        <w:t>, placebo-controlled, double-blind study is being performed at seven locations in the U.S. and will involve up to 252 participants aged 18 and up, including adults</w:t>
      </w:r>
      <w:r w:rsidR="00213640" w:rsidRPr="009F44A4">
        <w:rPr>
          <w:rFonts w:ascii="Times New Roman" w:eastAsia="Calibri" w:hAnsi="Times New Roman" w:cs="Times New Roman"/>
          <w:color w:val="000000" w:themeColor="text1"/>
          <w:sz w:val="20"/>
          <w:szCs w:val="20"/>
        </w:rPr>
        <w:t xml:space="preserve"> </w:t>
      </w:r>
      <w:r w:rsidR="0021364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{"citationID":"Ss9AbFQv","properties":{"formattedCitation":"\\super 149\\nosupersub{}","plainCitation":"149","noteIndex":0},"citationItems":[{"id":925,"uris":["http://zotero.org/users/local/ZR048J0w/items/9DG3JVTH"],"uri":["http://zotero.org/users/local/ZR048J0w/items/9DG3JVTH"],"itemData":{"id":925,"type":"webpage","abstract":"Phase I clinical trial of IAVI-Merck SARS-CoV-2 vaccine candidate V590 has begun enrolling participants to test safety, tolerability, and immunogenicity.","container-title":"IAVI","language":"en","title":"Participant Enrollment Begins for Phase I Trial of IAVI-Merck COVID-19 Vaccine Candidate","URL":"https://www.iavi.org/news-resources/features/participant-enrollment-begins-for-phase-i-trial-of-iavi-merck-covid-19-vaccine-candidate","accessed":{"date-parts":[["2021",1,6]]}}}],"schema":"https://github.com/citation-style-language/schema/raw/master/csl-citation.json"} </w:instrText>
      </w:r>
      <w:r w:rsidR="0021364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149</w:t>
      </w:r>
      <w:r w:rsidR="00213640" w:rsidRPr="009F44A4">
        <w:rPr>
          <w:rFonts w:ascii="Times New Roman" w:eastAsia="Calibri" w:hAnsi="Times New Roman" w:cs="Times New Roman"/>
          <w:color w:val="000000" w:themeColor="text1"/>
          <w:sz w:val="20"/>
          <w:szCs w:val="20"/>
        </w:rPr>
        <w:fldChar w:fldCharType="end"/>
      </w:r>
      <w:r w:rsidR="00213640" w:rsidRPr="009F44A4">
        <w:rPr>
          <w:rFonts w:ascii="Times New Roman" w:eastAsia="Calibri" w:hAnsi="Times New Roman" w:cs="Times New Roman"/>
          <w:color w:val="000000" w:themeColor="text1"/>
          <w:sz w:val="20"/>
          <w:szCs w:val="20"/>
        </w:rPr>
        <w:t>.</w:t>
      </w:r>
    </w:p>
    <w:p w14:paraId="69670083" w14:textId="21E811A8" w:rsidR="008D16FE" w:rsidRPr="009F44A4" w:rsidRDefault="00C02138" w:rsidP="00DC7281">
      <w:pPr>
        <w:numPr>
          <w:ilvl w:val="0"/>
          <w:numId w:val="1"/>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 xml:space="preserve">BNT162: Pfizer Inc. &amp; </w:t>
      </w:r>
      <w:proofErr w:type="spellStart"/>
      <w:r w:rsidRPr="009F44A4">
        <w:rPr>
          <w:rFonts w:ascii="Times New Roman" w:eastAsia="Calibri" w:hAnsi="Times New Roman" w:cs="Times New Roman"/>
          <w:color w:val="000000" w:themeColor="text1"/>
          <w:sz w:val="20"/>
          <w:szCs w:val="20"/>
        </w:rPr>
        <w:t>BioNTech</w:t>
      </w:r>
      <w:proofErr w:type="spellEnd"/>
      <w:r w:rsidRPr="009F44A4">
        <w:rPr>
          <w:rFonts w:ascii="Times New Roman" w:eastAsia="Calibri" w:hAnsi="Times New Roman" w:cs="Times New Roman"/>
          <w:color w:val="000000" w:themeColor="text1"/>
          <w:sz w:val="20"/>
          <w:szCs w:val="20"/>
        </w:rPr>
        <w:t xml:space="preserve"> SE reported that in the phase I/II clinical trial for the BNT162 vaccination system to combat COVID-19, the first patients were administered in the U.S.</w:t>
      </w:r>
      <w:r w:rsidR="00BA4D56" w:rsidRPr="009F44A4">
        <w:rPr>
          <w:rFonts w:ascii="Times New Roman" w:eastAsia="Calibri" w:hAnsi="Times New Roman" w:cs="Times New Roman"/>
          <w:color w:val="000000" w:themeColor="text1"/>
          <w:sz w:val="20"/>
          <w:szCs w:val="20"/>
        </w:rPr>
        <w:t xml:space="preserve"> </w:t>
      </w:r>
      <w:r w:rsidR="00BA4D5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{"citationID":"7WoHe40N","properties":{"formattedCitation":"\\super 150\\nosupersub{}","plainCitation":"150","noteIndex":0},"citationItems":[{"id":832,"uris":["http://zotero.org/users/local/ZR048J0w/items/RGPITDI2"],"uri":["http://zotero.org/users/local/ZR048J0w/items/RGPITDI2"],"itemData":{"id":832,"type":"report","abstract":"The trial has two parts: Part A is for dose ranging with dose escalation and de-escalation plus the evaluation of interim dose levels. It also includes dose ranging in older subjects. Part B is dedicated to recruit expansion cohorts with dose levels which are selected from data generated in Part A. The vaccines BNT162a1, BNT162b1, BNT162b2, and BNT162c2 will be administered using a Prime/Boost (P/B) regimen. The vaccine BNT162c2 will also be administered using a Single dose (SD) regimen.","genre":"Clinical trial registration","note":"submitted: May 6, 2020","number":"NCT04380701","publisher":"clinicaltrials.gov","source":"clinicaltrials.gov","title":"A Multi-site, Phase I/II, 2-Part, Dose-Escalation Trial Investigating the Safety and Immunogenicity of Four Prophylactic SARS-CoV-2 RNA Vaccines Against COVID-2019 Using Different Dosing Regimens in Healthy Adults","title-short":"A Trial Investigating the Safety and Effects of Four BNT162 Vaccines Against COVID-2019 in Healthy Adults","URL":"https://clinicaltrials.gov/ct2/show/NCT04380701","author":[{"literal":"BioNTech RNA Pharmaceuticals GmbH"}],"accessed":{"date-parts":[["2020",12,20]]},"issued":{"date-parts":[["2020",9,10]]}}}],"schema":"https://github.com/citation-style-language/schema/raw/master/csl-citation.json"} </w:instrText>
      </w:r>
      <w:r w:rsidR="00BA4D5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150</w:t>
      </w:r>
      <w:r w:rsidR="00BA4D56" w:rsidRPr="009F44A4">
        <w:rPr>
          <w:rFonts w:ascii="Times New Roman" w:eastAsia="Calibri" w:hAnsi="Times New Roman" w:cs="Times New Roman"/>
          <w:color w:val="000000" w:themeColor="text1"/>
          <w:sz w:val="20"/>
          <w:szCs w:val="20"/>
        </w:rPr>
        <w:fldChar w:fldCharType="end"/>
      </w:r>
      <w:r w:rsidR="00BA4D56" w:rsidRPr="009F44A4">
        <w:rPr>
          <w:rFonts w:ascii="Times New Roman" w:eastAsia="Calibri" w:hAnsi="Times New Roman" w:cs="Times New Roman"/>
          <w:color w:val="000000" w:themeColor="text1"/>
          <w:sz w:val="20"/>
          <w:szCs w:val="20"/>
        </w:rPr>
        <w:t>.</w:t>
      </w:r>
      <w:r w:rsidRPr="009F44A4">
        <w:rPr>
          <w:rFonts w:ascii="Times New Roman" w:eastAsia="Calibri" w:hAnsi="Times New Roman" w:cs="Times New Roman"/>
          <w:color w:val="000000" w:themeColor="text1"/>
          <w:sz w:val="20"/>
          <w:szCs w:val="20"/>
        </w:rPr>
        <w:t xml:space="preserve"> Another mRNA vaccine (BNT162) approved for clinical trial phase 1/2,</w:t>
      </w:r>
      <w:r w:rsidR="004E43C6"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 xml:space="preserve">has been produced collaboratively by </w:t>
      </w:r>
      <w:proofErr w:type="spellStart"/>
      <w:r w:rsidRPr="009F44A4">
        <w:rPr>
          <w:rFonts w:ascii="Times New Roman" w:eastAsia="Calibri" w:hAnsi="Times New Roman" w:cs="Times New Roman"/>
          <w:color w:val="000000" w:themeColor="text1"/>
          <w:sz w:val="20"/>
          <w:szCs w:val="20"/>
        </w:rPr>
        <w:t>BioNTech</w:t>
      </w:r>
      <w:proofErr w:type="spellEnd"/>
      <w:r w:rsidRPr="009F44A4">
        <w:rPr>
          <w:rFonts w:ascii="Times New Roman" w:eastAsia="Calibri" w:hAnsi="Times New Roman" w:cs="Times New Roman"/>
          <w:color w:val="000000" w:themeColor="text1"/>
          <w:sz w:val="20"/>
          <w:szCs w:val="20"/>
        </w:rPr>
        <w:t xml:space="preserve"> and Pfizer to evaluate the appropriate dose for further studies and to assess the safety and immunogenicity of the vaccine</w:t>
      </w:r>
      <w:r w:rsidR="005B6B93" w:rsidRPr="009F44A4">
        <w:rPr>
          <w:rFonts w:ascii="Times New Roman" w:eastAsia="Calibri" w:hAnsi="Times New Roman" w:cs="Times New Roman"/>
          <w:color w:val="000000" w:themeColor="text1"/>
          <w:sz w:val="20"/>
          <w:szCs w:val="20"/>
        </w:rPr>
        <w:t xml:space="preserve"> </w:t>
      </w:r>
      <w:r w:rsidR="005B6B9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{"citationID":"IWgL0WiC","properties":{"formattedCitation":"\\super 59\\nosupersub{}","plainCitation":"59","noteIndex":0},"citationItems":[{"id":833,"uris":["http://zotero.org/users/local/ZR048J0w/items/QSQ65XAZ"],"uri":["http://zotero.org/users/local/ZR048J0w/items/QSQ65XAZ"],"itemData":{"id":833,"type":"article-journal","abstract":"Coronavirus disease 2019 (COVID-19) caused by severe acute respiratory syndrome coronavirus 2 (SARS-CoV-2) has recently become a pandemic. As the sudden emergence and rapid spread of SARS-CoV-2 is endangering global health and the economy, the development of strategies to contain the virus's spread are urgently needed. At present, various diagnostic kits to test for SARS-CoV-2 are available for use to initiate appropriate treatment faster and to limit further spread of the virus. Several drugs have demonstrated in vitro activity against SARS-CoV-2 or potential clinical benefits. In addition, institutions and companies worldwide are working tirelessly to develop treatments and vaccines against COVID-19. However, no drug or vaccine has yet been specifically approved for COVID-19. Given the urgency of the outbreak, we focus here on recent advances in the diagnostics, treatment, and vaccine development for SARS-CoV-2 infection, helping to guide strategies to address the current COVID-19 pandemic.","container-title":"Theranostics","DOI":"10.7150/thno.47987","ISSN":"1838-7640","issue":"17","journalAbbreviation":"Theranostics","language":"eng","note":"PMID: 32685022\nPMCID: PMC7359073","page":"7821-7835","source":"PubMed","title":"COVID-19: Progress in diagnostics, therapy and vaccination","title-short":"COVID-19","volume":"10","author":[{"family":"Liu","given":"Xue"},{"family":"Liu","given":"Chao"},{"family":"Liu","given":"Gang"},{"family":"Luo","given":"Wenxin"},{"family":"Xia","given":"Ningshao"}],"issued":{"date-parts":[["2020"]]}}}],"schema":"https://github.com/citation-style-language/schema/raw/master/csl-citation.json"} </w:instrText>
      </w:r>
      <w:r w:rsidR="005B6B9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59</w:t>
      </w:r>
      <w:r w:rsidR="005B6B93" w:rsidRPr="009F44A4">
        <w:rPr>
          <w:rFonts w:ascii="Times New Roman" w:eastAsia="Calibri" w:hAnsi="Times New Roman" w:cs="Times New Roman"/>
          <w:color w:val="000000" w:themeColor="text1"/>
          <w:sz w:val="20"/>
          <w:szCs w:val="20"/>
        </w:rPr>
        <w:fldChar w:fldCharType="end"/>
      </w:r>
      <w:r w:rsidR="005B6B93" w:rsidRPr="009F44A4">
        <w:rPr>
          <w:rFonts w:ascii="Times New Roman" w:eastAsia="Calibri" w:hAnsi="Times New Roman" w:cs="Times New Roman"/>
          <w:color w:val="000000" w:themeColor="text1"/>
          <w:sz w:val="20"/>
          <w:szCs w:val="20"/>
        </w:rPr>
        <w:t>.</w:t>
      </w:r>
      <w:r w:rsidR="004F7291" w:rsidRPr="009F44A4">
        <w:rPr>
          <w:rFonts w:ascii="Times New Roman" w:eastAsia="Calibri" w:hAnsi="Times New Roman" w:cs="Times New Roman"/>
          <w:color w:val="000000" w:themeColor="text1"/>
          <w:sz w:val="20"/>
          <w:szCs w:val="20"/>
        </w:rPr>
        <w:t xml:space="preserve"> A Phase I/II trial, 2-Part begins on September 9, 2020, sequentially administering increasing doses of an investigational drug to examine the safety and immunogenicity of prophylactic SARS-</w:t>
      </w:r>
      <w:proofErr w:type="spellStart"/>
      <w:r w:rsidR="004F7291" w:rsidRPr="009F44A4">
        <w:rPr>
          <w:rFonts w:ascii="Times New Roman" w:eastAsia="Calibri" w:hAnsi="Times New Roman" w:cs="Times New Roman"/>
          <w:color w:val="000000" w:themeColor="text1"/>
          <w:sz w:val="20"/>
          <w:szCs w:val="20"/>
        </w:rPr>
        <w:t>CoV</w:t>
      </w:r>
      <w:proofErr w:type="spellEnd"/>
      <w:r w:rsidR="004F7291" w:rsidRPr="009F44A4">
        <w:rPr>
          <w:rFonts w:ascii="Times New Roman" w:eastAsia="Calibri" w:hAnsi="Times New Roman" w:cs="Times New Roman"/>
          <w:color w:val="000000" w:themeColor="text1"/>
          <w:sz w:val="20"/>
          <w:szCs w:val="20"/>
        </w:rPr>
        <w:t>-2 RNA vaccine (</w:t>
      </w:r>
      <w:proofErr w:type="spellStart"/>
      <w:r w:rsidR="004F7291" w:rsidRPr="009F44A4">
        <w:rPr>
          <w:rFonts w:ascii="Times New Roman" w:eastAsia="Calibri" w:hAnsi="Times New Roman" w:cs="Times New Roman"/>
          <w:color w:val="000000" w:themeColor="text1"/>
          <w:sz w:val="20"/>
          <w:szCs w:val="20"/>
        </w:rPr>
        <w:t>BNT162b3</w:t>
      </w:r>
      <w:proofErr w:type="spellEnd"/>
      <w:r w:rsidR="004F7291" w:rsidRPr="009F44A4">
        <w:rPr>
          <w:rFonts w:ascii="Times New Roman" w:eastAsia="Calibri" w:hAnsi="Times New Roman" w:cs="Times New Roman"/>
          <w:color w:val="000000" w:themeColor="text1"/>
          <w:sz w:val="20"/>
          <w:szCs w:val="20"/>
        </w:rPr>
        <w:t>) against COVID-19 utilizing different dosing protocols in healthy adults</w:t>
      </w:r>
      <w:r w:rsidR="00213640" w:rsidRPr="009F44A4">
        <w:rPr>
          <w:rFonts w:ascii="Times New Roman" w:eastAsia="Calibri" w:hAnsi="Times New Roman" w:cs="Times New Roman"/>
          <w:color w:val="000000" w:themeColor="text1"/>
          <w:sz w:val="20"/>
          <w:szCs w:val="20"/>
        </w:rPr>
        <w:t xml:space="preserve"> </w:t>
      </w:r>
      <w:r w:rsidR="0021364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{"citationID":"r49ELdrP","properties":{"formattedCitation":"\\super 150\\nosupersub{}","plainCitation":"150","noteIndex":0},"citationItems":[{"id":832,"uris":["http://zotero.org/users/local/ZR048J0w/items/RGPITDI2"],"uri":["http://zotero.org/users/local/ZR048J0w/items/RGPITDI2"],"itemData":{"id":832,"type":"report","abstract":"The trial has two parts: Part A is for dose ranging with dose escalation and de-escalation plus the evaluation of interim dose levels. It also includes dose ranging in older subjects. Part B is dedicated to recruit expansion cohorts with dose levels which are selected from data generated in Part A. The vaccines BNT162a1, BNT162b1, BNT162b2, and BNT162c2 will be administered using a Prime/Boost (P/B) regimen. The vaccine BNT162c2 will also be administered using a Single dose (SD) regimen.","genre":"Clinical trial registration","note":"submitted: May 6, 2020","number":"NCT04380701","publisher":"clinicaltrials.gov","source":"clinicaltrials.gov","title":"A Multi-site, Phase I/II, 2-Part, Dose-Escalation Trial Investigating the Safety and Immunogenicity of Four Prophylactic SARS-CoV-2 RNA Vaccines Against COVID-2019 Using Different Dosing Regimens in Healthy Adults","title-short":"A Trial Investigating the Safety and Effects of Four BNT162 Vaccines Against COVID-2019 in Healthy Adults","URL":"https://clinicaltrials.gov/ct2/show/NCT04380701","author":[{"literal":"BioNTech RNA Pharmaceuticals GmbH"}],"accessed":{"date-parts":[["2020",12,20]]},"issued":{"date-parts":[["2020",9,10]]}}}],"schema":"https://github.com/citation-style-language/schema/raw/master/csl-citation.json"} </w:instrText>
      </w:r>
      <w:r w:rsidR="0021364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150</w:t>
      </w:r>
      <w:r w:rsidR="00213640" w:rsidRPr="009F44A4">
        <w:rPr>
          <w:rFonts w:ascii="Times New Roman" w:eastAsia="Calibri" w:hAnsi="Times New Roman" w:cs="Times New Roman"/>
          <w:color w:val="000000" w:themeColor="text1"/>
          <w:sz w:val="20"/>
          <w:szCs w:val="20"/>
        </w:rPr>
        <w:fldChar w:fldCharType="end"/>
      </w:r>
      <w:r w:rsidR="00213640" w:rsidRPr="009F44A4">
        <w:rPr>
          <w:rFonts w:ascii="Times New Roman" w:eastAsia="Calibri" w:hAnsi="Times New Roman" w:cs="Times New Roman"/>
          <w:color w:val="000000" w:themeColor="text1"/>
          <w:sz w:val="20"/>
          <w:szCs w:val="20"/>
        </w:rPr>
        <w:t>.</w:t>
      </w:r>
    </w:p>
    <w:p w14:paraId="2F8B93A2" w14:textId="4D3C4891" w:rsidR="008D16FE" w:rsidRPr="009F44A4" w:rsidRDefault="004F7291" w:rsidP="00DC7281">
      <w:pPr>
        <w:numPr>
          <w:ilvl w:val="0"/>
          <w:numId w:val="1"/>
        </w:num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color w:val="000000" w:themeColor="text1"/>
          <w:sz w:val="20"/>
          <w:szCs w:val="20"/>
        </w:rPr>
        <w:t>The India's first</w:t>
      </w:r>
      <w:r w:rsidR="00C02138" w:rsidRPr="009F44A4">
        <w:rPr>
          <w:rFonts w:ascii="Times New Roman" w:eastAsia="Calibri" w:hAnsi="Times New Roman" w:cs="Times New Roman"/>
          <w:color w:val="000000" w:themeColor="text1"/>
          <w:sz w:val="20"/>
          <w:szCs w:val="20"/>
        </w:rPr>
        <w:t xml:space="preserve"> indigenous COVID-19 </w:t>
      </w:r>
      <w:r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COVAXIN</w:t>
      </w:r>
      <w:r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vaccine developed by city-based Bharat Biotech in partnership with ICMR and NIV, has received the nod from India's Drug Controller General for human clinical trials, the company said on June 29, 2020. The phase I/II clinical trials of the SARS-</w:t>
      </w:r>
      <w:proofErr w:type="spellStart"/>
      <w:r w:rsidR="00C02138" w:rsidRPr="009F44A4">
        <w:rPr>
          <w:rFonts w:ascii="Times New Roman" w:eastAsia="Calibri" w:hAnsi="Times New Roman" w:cs="Times New Roman"/>
          <w:color w:val="000000" w:themeColor="text1"/>
          <w:sz w:val="20"/>
          <w:szCs w:val="20"/>
        </w:rPr>
        <w:t>CoV</w:t>
      </w:r>
      <w:proofErr w:type="spellEnd"/>
      <w:r w:rsidR="00C02138" w:rsidRPr="009F44A4">
        <w:rPr>
          <w:rFonts w:ascii="Times New Roman" w:eastAsia="Calibri" w:hAnsi="Times New Roman" w:cs="Times New Roman"/>
          <w:color w:val="000000" w:themeColor="text1"/>
          <w:sz w:val="20"/>
          <w:szCs w:val="20"/>
        </w:rPr>
        <w:t xml:space="preserve">-2 vaccine, which were approved after pre-clinical studies showed safety and immune response, would begin nationwide </w:t>
      </w:r>
      <w:r w:rsidR="00C02138" w:rsidRPr="009F44A4">
        <w:rPr>
          <w:rFonts w:ascii="Times New Roman" w:eastAsia="Calibri" w:hAnsi="Times New Roman" w:cs="Times New Roman"/>
          <w:color w:val="000000" w:themeColor="text1"/>
          <w:sz w:val="20"/>
          <w:szCs w:val="20"/>
        </w:rPr>
        <w:lastRenderedPageBreak/>
        <w:t>in July, 2020</w:t>
      </w:r>
      <w:r w:rsidR="00A82CC8" w:rsidRPr="009F44A4">
        <w:rPr>
          <w:rFonts w:ascii="Times New Roman" w:eastAsia="Calibri" w:hAnsi="Times New Roman" w:cs="Times New Roman"/>
          <w:color w:val="000000" w:themeColor="text1"/>
          <w:sz w:val="20"/>
          <w:szCs w:val="20"/>
        </w:rPr>
        <w:t xml:space="preserve"> </w:t>
      </w:r>
      <w:r w:rsidR="00A82CC8"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{"citationID":"2ZEL04Xk","properties":{"formattedCitation":"\\super 151\\nosupersub{}","plainCitation":"151","noteIndex":0},"citationItems":[{"id":836,"uris":["http://zotero.org/users/local/ZR048J0w/items/WEHR9ZLQ"],"uri":["http://zotero.org/users/local/ZR048J0w/items/WEHR9ZLQ"],"itemData":{"id":836,"type":"webpage","title":"COVAXIN - India's First Indigenous Covid-19 Vaccine | Bharat Biotech","URL":"https://www.bharatbiotech.com/covaxin.html","accessed":{"date-parts":[["2020",12,22]]}}}],"schema":"https://github.com/citation-style-language/schema/raw/master/csl-citation.json"} </w:instrText>
      </w:r>
      <w:r w:rsidR="00A82CC8"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151</w:t>
      </w:r>
      <w:r w:rsidR="00A82CC8" w:rsidRPr="009F44A4">
        <w:rPr>
          <w:rFonts w:ascii="Times New Roman" w:eastAsia="Calibri" w:hAnsi="Times New Roman" w:cs="Times New Roman"/>
          <w:color w:val="000000" w:themeColor="text1"/>
          <w:sz w:val="20"/>
          <w:szCs w:val="20"/>
        </w:rPr>
        <w:fldChar w:fldCharType="end"/>
      </w:r>
      <w:r w:rsidR="00A82CC8" w:rsidRPr="009F44A4">
        <w:rPr>
          <w:rFonts w:ascii="Times New Roman" w:eastAsia="Calibri" w:hAnsi="Times New Roman" w:cs="Times New Roman"/>
          <w:color w:val="000000" w:themeColor="text1"/>
          <w:sz w:val="20"/>
          <w:szCs w:val="20"/>
        </w:rPr>
        <w:t xml:space="preserve">. </w:t>
      </w:r>
      <w:r w:rsidRPr="009F44A4">
        <w:rPr>
          <w:rFonts w:ascii="Times New Roman" w:eastAsia="Calibri" w:hAnsi="Times New Roman" w:cs="Times New Roman"/>
          <w:color w:val="000000" w:themeColor="text1"/>
          <w:sz w:val="20"/>
          <w:szCs w:val="20"/>
        </w:rPr>
        <w:t xml:space="preserve">Following the successful completion of the interim phase 1 &amp; 2 clinical trials of COVAXINTM, Bharat Biotech enrolled 26,000 participants after getting DCGI clearance for phase 3 clinical trials over 25 </w:t>
      </w:r>
      <w:proofErr w:type="spellStart"/>
      <w:r w:rsidRPr="009F44A4">
        <w:rPr>
          <w:rFonts w:ascii="Times New Roman" w:eastAsia="Calibri" w:hAnsi="Times New Roman" w:cs="Times New Roman"/>
          <w:color w:val="000000" w:themeColor="text1"/>
          <w:sz w:val="20"/>
          <w:szCs w:val="20"/>
        </w:rPr>
        <w:t>centres</w:t>
      </w:r>
      <w:proofErr w:type="spellEnd"/>
      <w:r w:rsidRPr="009F44A4">
        <w:rPr>
          <w:rFonts w:ascii="Times New Roman" w:eastAsia="Calibri" w:hAnsi="Times New Roman" w:cs="Times New Roman"/>
          <w:color w:val="000000" w:themeColor="text1"/>
          <w:sz w:val="20"/>
          <w:szCs w:val="20"/>
        </w:rPr>
        <w:t xml:space="preserve"> across India</w:t>
      </w:r>
      <w:r w:rsidR="00213640" w:rsidRPr="009F44A4">
        <w:rPr>
          <w:rFonts w:ascii="Times New Roman" w:eastAsia="Calibri" w:hAnsi="Times New Roman" w:cs="Times New Roman"/>
          <w:color w:val="000000" w:themeColor="text1"/>
          <w:sz w:val="20"/>
          <w:szCs w:val="20"/>
        </w:rPr>
        <w:t xml:space="preserve"> </w:t>
      </w:r>
      <w:r w:rsidR="0021364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{"citationID":"BtlNQcnK","properties":{"formattedCitation":"\\super 149\\nosupersub{}","plainCitation":"149","noteIndex":0},"citationItems":[{"id":925,"uris":["http://zotero.org/users/local/ZR048J0w/items/9DG3JVTH"],"uri":["http://zotero.org/users/local/ZR048J0w/items/9DG3JVTH"],"itemData":{"id":925,"type":"webpage","abstract":"Phase I clinical trial of IAVI-Merck SARS-CoV-2 vaccine candidate V590 has begun enrolling participants to test safety, tolerability, and immunogenicity.","container-title":"IAVI","language":"en","title":"Participant Enrollment Begins for Phase I Trial of IAVI-Merck COVID-19 Vaccine Candidate","URL":"https://www.iavi.org/news-resources/features/participant-enrollment-begins-for-phase-i-trial-of-iavi-merck-covid-19-vaccine-candidate","accessed":{"date-parts":[["2021",1,6]]}}}],"schema":"https://github.com/citation-style-language/schema/raw/master/csl-citation.json"} </w:instrText>
      </w:r>
      <w:r w:rsidR="0021364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149</w:t>
      </w:r>
      <w:r w:rsidR="00213640" w:rsidRPr="009F44A4">
        <w:rPr>
          <w:rFonts w:ascii="Times New Roman" w:eastAsia="Calibri" w:hAnsi="Times New Roman" w:cs="Times New Roman"/>
          <w:color w:val="000000" w:themeColor="text1"/>
          <w:sz w:val="20"/>
          <w:szCs w:val="20"/>
        </w:rPr>
        <w:fldChar w:fldCharType="end"/>
      </w:r>
      <w:r w:rsidR="00213640" w:rsidRPr="009F44A4">
        <w:rPr>
          <w:rFonts w:ascii="Times New Roman" w:eastAsia="Calibri" w:hAnsi="Times New Roman" w:cs="Times New Roman"/>
          <w:color w:val="000000" w:themeColor="text1"/>
          <w:sz w:val="20"/>
          <w:szCs w:val="20"/>
        </w:rPr>
        <w:t>.</w:t>
      </w:r>
    </w:p>
    <w:p w14:paraId="3472208B" w14:textId="77777777" w:rsidR="00EB2343" w:rsidRPr="009F44A4" w:rsidRDefault="00EB2343" w:rsidP="00DC7281">
      <w:pPr>
        <w:shd w:val="clear" w:color="auto" w:fill="FFFFFF" w:themeFill="background1"/>
        <w:spacing w:line="360" w:lineRule="auto"/>
        <w:ind w:left="360"/>
        <w:jc w:val="both"/>
        <w:rPr>
          <w:rFonts w:ascii="Times New Roman" w:eastAsia="Times New Roman" w:hAnsi="Times New Roman" w:cs="Times New Roman"/>
          <w:color w:val="000000" w:themeColor="text1"/>
          <w:sz w:val="20"/>
          <w:szCs w:val="20"/>
          <w:lang w:eastAsia="en-US"/>
        </w:rPr>
      </w:pPr>
      <w:r w:rsidRPr="009F44A4">
        <w:rPr>
          <w:rFonts w:ascii="Times New Roman" w:eastAsia="Times New Roman" w:hAnsi="Times New Roman" w:cs="Times New Roman"/>
          <w:color w:val="000000" w:themeColor="text1"/>
          <w:sz w:val="20"/>
          <w:szCs w:val="20"/>
          <w:shd w:val="clear" w:color="auto" w:fill="FFFFFF"/>
          <w:lang w:eastAsia="en-US"/>
        </w:rPr>
        <w:t xml:space="preserve">India has completed 1 billion vaccine doses and is now capable of testing approximately 1 million samples each day. Existing Virus Research Diagnostic Laboratory for viral diagnosis and INSACOG labs for genome sequencing are already in place to identify and monitor the present Omicron or any novel variant. Early and active surveillance, as well as whole-genome sequencing, will aid in understanding circulating variants and tracing their progression. According to the COVID-19, appropriate </w:t>
      </w:r>
      <w:proofErr w:type="spellStart"/>
      <w:r w:rsidRPr="009F44A4">
        <w:rPr>
          <w:rFonts w:ascii="Times New Roman" w:eastAsia="Times New Roman" w:hAnsi="Times New Roman" w:cs="Times New Roman"/>
          <w:color w:val="000000" w:themeColor="text1"/>
          <w:sz w:val="20"/>
          <w:szCs w:val="20"/>
          <w:shd w:val="clear" w:color="auto" w:fill="FFFFFF"/>
          <w:lang w:eastAsia="en-US"/>
        </w:rPr>
        <w:t>behaviour</w:t>
      </w:r>
      <w:proofErr w:type="spellEnd"/>
      <w:r w:rsidRPr="009F44A4">
        <w:rPr>
          <w:rFonts w:ascii="Times New Roman" w:eastAsia="Times New Roman" w:hAnsi="Times New Roman" w:cs="Times New Roman"/>
          <w:color w:val="000000" w:themeColor="text1"/>
          <w:sz w:val="20"/>
          <w:szCs w:val="20"/>
          <w:shd w:val="clear" w:color="auto" w:fill="FFFFFF"/>
          <w:lang w:eastAsia="en-US"/>
        </w:rPr>
        <w:t xml:space="preserve"> such as social distance, hand hygiene, mask use, and vaccines remain the most important elements in viral transmission management.</w:t>
      </w:r>
    </w:p>
    <w:p w14:paraId="7149D947" w14:textId="77777777" w:rsidR="00EB2343" w:rsidRPr="009F44A4" w:rsidRDefault="00EB2343" w:rsidP="00DC7281">
      <w:pPr>
        <w:shd w:val="clear" w:color="auto" w:fill="FFFFFF" w:themeFill="background1"/>
        <w:spacing w:line="360" w:lineRule="auto"/>
        <w:ind w:left="720"/>
        <w:jc w:val="both"/>
        <w:rPr>
          <w:rFonts w:ascii="Times New Roman" w:eastAsia="Calibri" w:hAnsi="Times New Roman" w:cs="Times New Roman"/>
          <w:color w:val="000000" w:themeColor="text1"/>
          <w:sz w:val="20"/>
          <w:szCs w:val="20"/>
        </w:rPr>
      </w:pPr>
    </w:p>
    <w:p w14:paraId="18AB72DD" w14:textId="552A684C" w:rsidR="008D16FE" w:rsidRPr="009F44A4" w:rsidRDefault="00C02138" w:rsidP="00DC7281">
      <w:pPr>
        <w:pStyle w:val="Heading3"/>
        <w:numPr>
          <w:ilvl w:val="0"/>
          <w:numId w:val="7"/>
        </w:numPr>
        <w:shd w:val="clear" w:color="auto" w:fill="FFFFFF" w:themeFill="background1"/>
        <w:spacing w:before="160" w:after="300"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Immune responses in human body against SARS-</w:t>
      </w:r>
      <w:proofErr w:type="spellStart"/>
      <w:r w:rsidRPr="009F44A4">
        <w:rPr>
          <w:rFonts w:ascii="Times New Roman" w:eastAsia="Calibri" w:hAnsi="Times New Roman" w:cs="Times New Roman"/>
          <w:b/>
          <w:color w:val="000000" w:themeColor="text1"/>
          <w:sz w:val="20"/>
          <w:szCs w:val="20"/>
        </w:rPr>
        <w:t>CoV</w:t>
      </w:r>
      <w:proofErr w:type="spellEnd"/>
      <w:r w:rsidRPr="009F44A4">
        <w:rPr>
          <w:rFonts w:ascii="Times New Roman" w:eastAsia="Calibri" w:hAnsi="Times New Roman" w:cs="Times New Roman"/>
          <w:b/>
          <w:color w:val="000000" w:themeColor="text1"/>
          <w:sz w:val="20"/>
          <w:szCs w:val="20"/>
        </w:rPr>
        <w:t>-2</w:t>
      </w:r>
    </w:p>
    <w:p w14:paraId="08AF1862" w14:textId="1C6794CB" w:rsidR="00420857" w:rsidRPr="009F44A4" w:rsidRDefault="00A75ECF"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 xml:space="preserve">Pathogenic cell infection can cause development of </w:t>
      </w:r>
      <w:proofErr w:type="spellStart"/>
      <w:r w:rsidRPr="009F44A4">
        <w:rPr>
          <w:rFonts w:ascii="Times New Roman" w:hAnsi="Times New Roman" w:cs="Times New Roman"/>
          <w:color w:val="000000" w:themeColor="text1"/>
          <w:sz w:val="20"/>
          <w:szCs w:val="20"/>
          <w:shd w:val="clear" w:color="auto" w:fill="FFFFFF"/>
        </w:rPr>
        <w:t>humoral</w:t>
      </w:r>
      <w:proofErr w:type="spellEnd"/>
      <w:r w:rsidRPr="009F44A4">
        <w:rPr>
          <w:rFonts w:ascii="Times New Roman" w:hAnsi="Times New Roman" w:cs="Times New Roman"/>
          <w:color w:val="000000" w:themeColor="text1"/>
          <w:sz w:val="20"/>
          <w:szCs w:val="20"/>
          <w:shd w:val="clear" w:color="auto" w:fill="FFFFFF"/>
        </w:rPr>
        <w:t xml:space="preserve"> and cellular immunities in the host, which are important for removing the viral infection</w:t>
      </w:r>
      <w:r w:rsidR="00DA41AE" w:rsidRPr="009F44A4">
        <w:rPr>
          <w:rFonts w:ascii="Times New Roman" w:eastAsia="Calibri" w:hAnsi="Times New Roman" w:cs="Times New Roman"/>
          <w:color w:val="000000" w:themeColor="text1"/>
          <w:sz w:val="20"/>
          <w:szCs w:val="20"/>
        </w:rPr>
        <w:t xml:space="preserve"> </w:t>
      </w:r>
      <w:r w:rsidR="00DA41A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{"citationID":"wNqsQOXT","properties":{"formattedCitation":"\\super 152\\nosupersub{}","plainCitation":"152","noteIndex":0},"citationItems":[{"id":838,"uris":["http://zotero.org/users/local/ZR048J0w/items/LCIAV76M"],"uri":["http://zotero.org/users/local/ZR048J0w/items/LCIAV76M"],"itemData":{"id":838,"type":"article-journal","abstract":"The coronavirus disease-19 (COVID-19) is caused by the severe acute respiratory syndrome coronavirus 2 (SARS-CoV-2). The long incubation period of this new virus, which is mostly asymptomatic yet contagious, is a key reason for its rapid spread across the world. Currently, there is no worldwide-approved treatment for COVID-19. Therefore, the clinical and scientific communities have joint efforts to reduce the severe impact of the outbreak. Research on previous emerging infectious diseases have created valuable knowledge that is being exploited for drug repurposing and accelerated vaccine development. Nevertheless, it is important to generate knowledge on SARS-CoV-2 mechanisms of infection and its impact on host immunity, to guide the design of COVID-19 specific therapeutics and vaccines suitable for mass immunization. Nanoscale delivery systems are expected to play a paramount role in the success of these prophylactic and therapeutic approaches. This Review provides an overview of SARS-CoV-2 pathogenesis and examines immune-mediated approaches currently explored for COVID-19 treatments, with an emphasis on nanotechnological tools.","container-title":"Nature Nanotechnology","DOI":"10.1038/s41565-020-0732-3","ISSN":"1748-3395","issue":"8","language":"en","note":"number: 8\npublisher: Nature Publishing Group","page":"630-645","source":"www.nature.com","title":"Immune-mediated approaches against COVID-19","volume":"15","author":[{"family":"Florindo","given":"Helena F."},{"family":"Kleiner","given":"Ron"},{"family":"Vaskovich-Koubi","given":"Daniella"},{"family":"Acúrcio","given":"Rita C."},{"family":"Carreira","given":"Barbara"},{"family":"Yeini","given":"Eilam"},{"family":"Tiram","given":"Galia"},{"family":"Liubomirski","given":"Yulia"},{"family":"Satchi-Fainaro","given":"Ronit"}],"issued":{"date-parts":[["2020",8]]}}}],"schema":"https://github.com/citation-style-language/schema/raw/master/csl-citation.json"} </w:instrText>
      </w:r>
      <w:r w:rsidR="00DA41A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152</w:t>
      </w:r>
      <w:r w:rsidR="00DA41AE" w:rsidRPr="009F44A4">
        <w:rPr>
          <w:rFonts w:ascii="Times New Roman" w:eastAsia="Calibri" w:hAnsi="Times New Roman" w:cs="Times New Roman"/>
          <w:color w:val="000000" w:themeColor="text1"/>
          <w:sz w:val="20"/>
          <w:szCs w:val="20"/>
        </w:rPr>
        <w:fldChar w:fldCharType="end"/>
      </w:r>
      <w:r w:rsidR="00DA41AE"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However, uncontrolled or ineffective immune reactions can cause adverse effects to the patients</w:t>
      </w:r>
      <w:r w:rsidR="00DA41AE" w:rsidRPr="009F44A4">
        <w:rPr>
          <w:rFonts w:ascii="Times New Roman" w:eastAsia="Calibri" w:hAnsi="Times New Roman" w:cs="Times New Roman"/>
          <w:color w:val="000000" w:themeColor="text1"/>
          <w:sz w:val="20"/>
          <w:szCs w:val="20"/>
        </w:rPr>
        <w:t xml:space="preserve"> </w:t>
      </w:r>
      <w:r w:rsidR="00DA41A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{"citationID":"l6Pv0P4b","properties":{"formattedCitation":"\\super 153\\nosupersub{}","plainCitation":"153","noteIndex":0},"citationItems":[{"id":841,"uris":["http://zotero.org/users/local/ZR048J0w/items/TT72JMP3"],"uri":["http://zotero.org/users/local/ZR048J0w/items/TT72JMP3"],"itemData":{"id":841,"type":"article-journal","abstract":"The novel Coronavirus disease 2019 (COVID-19) is caused by SARS-CoV-2, which is the causative agent of a potentially fatal disease that is of great global public health concern. The outbreak of COVID-19 is wreaking havoc worldwide due to inadequate risk assessment regarding the urgency of the situation. The COVID-19 pandemic has entered a dangerous new phase. When compared with SARS and MERS, COVID-19 has spread more rapidly, due to increased globalization and adaptation of the virus in every environment. Slowing the spread of the COVID-19 cases will significantly reduce the strain on the healthcare system of the country by limiting the number of people who are severely sick by COVID-19 and need hospital care. Hence, the recent outburst of COVID-19 highlights an urgent need for therapeutics targeting SARS-CoV-2. Here, we have discussed the structure of virus; varying symptoms among COVID-19, SARS, MERS and common flu; the probable mechanism behind the infection and its immune response. Further, the current treatment options, drugs available, ongoing trials and recent diagnostics for COVID-19 have been discussed. We suggest traditional Indian medicinal plants as possible novel therapeutic approaches, exclusively targeting SARS-CoV-2 and its pathways.","container-title":"The Science of the Total Environment","DOI":"10.1016/j.scitotenv.2020.138277","ISSN":"1879-1026","journalAbbreviation":"Sci Total Environ","language":"eng","note":"PMID: 32278175\nPMCID: PMC7128376","page":"138277","source":"PubMed","title":"COVID-19: A promising cure for the global panic","title-short":"COVID-19","volume":"725","author":[{"family":"Vellingiri","given":"Balachandar"},{"family":"Jayaramayya","given":"Kaavya"},{"family":"Iyer","given":"Mahalaxmi"},{"family":"Narayanasamy","given":"Arul"},{"family":"Govindasamy","given":"Vivekanandhan"},{"family":"Giridharan","given":"Bupesh"},{"family":"Ganesan","given":"Singaravelu"},{"family":"Venugopal","given":"Anila"},{"family":"Venkatesan","given":"Dhivya"},{"family":"Ganesan","given":"Harsha"},{"family":"Rajagopalan","given":"Kamarajan"},{"family":"Rahman","given":"Pattanathu K. S. M."},{"family":"Cho","given":"Ssang-Goo"},{"family":"Kumar","given":"Nachimuthu Senthil"},{"family":"Subramaniam","given":"Mohana Devi"}],"issued":{"date-parts":[["2020",7,10]]}}}],"schema":"https://github.com/citation-style-language/schema/raw/master/csl-citation.json"} </w:instrText>
      </w:r>
      <w:r w:rsidR="00DA41A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153</w:t>
      </w:r>
      <w:r w:rsidR="00DA41AE" w:rsidRPr="009F44A4">
        <w:rPr>
          <w:rFonts w:ascii="Times New Roman" w:eastAsia="Calibri" w:hAnsi="Times New Roman" w:cs="Times New Roman"/>
          <w:color w:val="000000" w:themeColor="text1"/>
          <w:sz w:val="20"/>
          <w:szCs w:val="20"/>
        </w:rPr>
        <w:fldChar w:fldCharType="end"/>
      </w:r>
      <w:r w:rsidR="00DA41AE"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New immunotherapies will be created by proper understanding of the immune response caused by infection with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along with reducing the possible risk of inflammation</w:t>
      </w:r>
      <w:r w:rsidR="00DA41AE" w:rsidRPr="009F44A4">
        <w:rPr>
          <w:rFonts w:ascii="Times New Roman" w:eastAsia="Calibri" w:hAnsi="Times New Roman" w:cs="Times New Roman"/>
          <w:color w:val="000000" w:themeColor="text1"/>
          <w:sz w:val="20"/>
          <w:szCs w:val="20"/>
        </w:rPr>
        <w:t xml:space="preserve"> </w:t>
      </w:r>
      <w:r w:rsidR="00DA41A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{"citationID":"dc1lmr6q","properties":{"formattedCitation":"\\super 152\\nosupersub{}","plainCitation":"152","noteIndex":0},"citationItems":[{"id":838,"uris":["http://zotero.org/users/local/ZR048J0w/items/LCIAV76M"],"uri":["http://zotero.org/users/local/ZR048J0w/items/LCIAV76M"],"itemData":{"id":838,"type":"article-journal","abstract":"The coronavirus disease-19 (COVID-19) is caused by the severe acute respiratory syndrome coronavirus 2 (SARS-CoV-2). The long incubation period of this new virus, which is mostly asymptomatic yet contagious, is a key reason for its rapid spread across the world. Currently, there is no worldwide-approved treatment for COVID-19. Therefore, the clinical and scientific communities have joint efforts to reduce the severe impact of the outbreak. Research on previous emerging infectious diseases have created valuable knowledge that is being exploited for drug repurposing and accelerated vaccine development. Nevertheless, it is important to generate knowledge on SARS-CoV-2 mechanisms of infection and its impact on host immunity, to guide the design of COVID-19 specific therapeutics and vaccines suitable for mass immunization. Nanoscale delivery systems are expected to play a paramount role in the success of these prophylactic and therapeutic approaches. This Review provides an overview of SARS-CoV-2 pathogenesis and examines immune-mediated approaches currently explored for COVID-19 treatments, with an emphasis on nanotechnological tools.","container-title":"Nature Nanotechnology","DOI":"10.1038/s41565-020-0732-3","ISSN":"1748-3395","issue":"8","language":"en","note":"number: 8\npublisher: Nature Publishing Group","page":"630-645","source":"www.nature.com","title":"Immune-mediated approaches against COVID-19","volume":"15","author":[{"family":"Florindo","given":"Helena F."},{"family":"Kleiner","given":"Ron"},{"family":"Vaskovich-Koubi","given":"Daniella"},{"family":"Acúrcio","given":"Rita C."},{"family":"Carreira","given":"Barbara"},{"family":"Yeini","given":"Eilam"},{"family":"Tiram","given":"Galia"},{"family":"Liubomirski","given":"Yulia"},{"family":"Satchi-Fainaro","given":"Ronit"}],"issued":{"date-parts":[["2020",8]]}}}],"schema":"https://github.com/citation-style-language/schema/raw/master/csl-citation.json"} </w:instrText>
      </w:r>
      <w:r w:rsidR="00DA41A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152</w:t>
      </w:r>
      <w:r w:rsidR="00DA41AE" w:rsidRPr="009F44A4">
        <w:rPr>
          <w:rFonts w:ascii="Times New Roman" w:eastAsia="Calibri" w:hAnsi="Times New Roman" w:cs="Times New Roman"/>
          <w:color w:val="000000" w:themeColor="text1"/>
          <w:sz w:val="20"/>
          <w:szCs w:val="20"/>
        </w:rPr>
        <w:fldChar w:fldCharType="end"/>
      </w:r>
      <w:r w:rsidR="00DA41AE"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About 80 percent of COVID-19 infected people record moderate to negligible side effects, taking into account of </w:t>
      </w:r>
      <w:proofErr w:type="spellStart"/>
      <w:r w:rsidRPr="009F44A4">
        <w:rPr>
          <w:rFonts w:ascii="Times New Roman" w:hAnsi="Times New Roman" w:cs="Times New Roman"/>
          <w:color w:val="000000" w:themeColor="text1"/>
          <w:sz w:val="20"/>
          <w:szCs w:val="20"/>
          <w:shd w:val="clear" w:color="auto" w:fill="FFFFFF"/>
        </w:rPr>
        <w:t>immunopathological</w:t>
      </w:r>
      <w:proofErr w:type="spellEnd"/>
      <w:r w:rsidRPr="009F44A4">
        <w:rPr>
          <w:rFonts w:ascii="Times New Roman" w:hAnsi="Times New Roman" w:cs="Times New Roman"/>
          <w:color w:val="000000" w:themeColor="text1"/>
          <w:sz w:val="20"/>
          <w:szCs w:val="20"/>
          <w:shd w:val="clear" w:color="auto" w:fill="FFFFFF"/>
        </w:rPr>
        <w:t xml:space="preserve"> aspects </w:t>
      </w:r>
      <w:r w:rsidR="004C37E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{"citationID":"fDCYJFNv","properties":{"formattedCitation":"\\super 5,6\\nosupersub{}","plainCitation":"5,6","noteIndex":0},"citationItems":[{"id":543,"uris":["http://zotero.org/users/local/ZR048J0w/items/GA9R8RN5"],"uri":["http://zotero.org/users/local/ZR048J0w/items/GA9R8RN5"],"itemData":{"id":543,"type":"article-journal","abstract":"The new coronavirus outbreak is an ongoing pandemic that is caused by severe acute respiratory syndrome coronavirus 2 (SARS-CoV-2). The new coronavirus SARS-Cov-2 belongs to the subfamily of β–coronaviruses and shares 79.5% of the genetic sequence of SARS-CoV, the causative agent of the epidemic that started in 2002 and ended in 2004., Considering the clinical impact of the new outbreak, it is highly important to study the potential responses of the human immune system during the SARS-CoV-2 infection as well as the role of virus-specific T cells and by B-lymphocytes. Moreover, specific data on the production of IgG and IgM is crucial to allow the rapid identification of the infection. In this paper we also described the importance of sensitive and specific rapid test for SARS-CoV-2. Indeed, this test represents an important immunological tool aimed at identifying the precise phase of the infection in order to undertake a more appropriate pharmacological treatment. Lastly, we provided an overview of pharmacological treatments aimed to reduce inflammatory processes underlying the infection and the need for the discovery of a new vaccine against SARS-CoV-2.","container-title":"International Immunopharmacology","DOI":"10.1016/j.intimp.2020.106519","ISSN":"1567-5769","journalAbbreviation":"Int Immunopharmacol","note":"PMID: 32311668\nPMCID: PMC7161502","page":"106519","source":"PubMed Central","title":"SARS-Cov-2 infection: Response of human immune system and possible implications for the rapid test and treatment","title-short":"SARS-Cov-2 infection","volume":"84","author":[{"family":"Mauro","given":"Gabriella","non-dropping-particle":"di"},{"family":"Scavone","given":"Cristina"},{"family":"Rafaniello","given":"Concetta"},{"family":"Rossi","given":"Francesco"},{"family":"Capuano","given":"Annalisa"}],"issued":{"date-parts":[["2020",7]]}}},{"id":546,"uris":["http://zotero.org/users/local/ZR048J0w/items/CVY4DBYP"],"uri":["http://zotero.org/users/local/ZR048J0w/items/CVY4DBYP"],"itemData":{"id":546,"type":"article-journal","abstract":"Governments will not be able to minimise both deaths from coronavirus disease 2019\n(COVID-19) and the economic impact of viral spread. Keeping mortality as low as possible\nwill be the highest priority for individuals; hence governments must put in place\nmeasures to ameliorate the inevitable economic downturn. In our view, COVID-19 has\ndeveloped into a pandemic, with small chains of transmission in many countries and\nlarge chains resulting in extensive spread in a few countries, such as Italy, Iran,\nSouth Korea, and Japan.","container-title":"The Lancet","DOI":"10.1016/S0140-6736(20)30567-5","ISSN":"0140-6736, 1474-547X","issue":"10228","journalAbbreviation":"The Lancet","language":"English","note":"publisher: Elsevier\nPMID: 32164834","page":"931-934","source":"www.thelancet.com","title":"How will country-based mitigation measures influence the course of the COVID-19 epidemic?","volume":"395","author":[{"family":"Anderson","given":"Roy M."},{"family":"Heesterbeek","given":"Hans"},{"family":"Klinkenberg","given":"Don"},{"family":"Hollingsworth","given":"T. Déirdre"}],"issued":{"date-parts":[["2020",3,21]]}}}],"schema":"https://github.com/citation-style-language/schema/raw/master/csl-citation.json"} </w:instrText>
      </w:r>
      <w:r w:rsidR="004C37E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5,6</w:t>
      </w:r>
      <w:r w:rsidR="004C37E6" w:rsidRPr="009F44A4">
        <w:rPr>
          <w:rFonts w:ascii="Times New Roman" w:eastAsia="Calibri" w:hAnsi="Times New Roman" w:cs="Times New Roman"/>
          <w:color w:val="000000" w:themeColor="text1"/>
          <w:sz w:val="20"/>
          <w:szCs w:val="20"/>
        </w:rPr>
        <w:fldChar w:fldCharType="end"/>
      </w:r>
      <w:r w:rsidR="002A08C4"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In severe COVID-19 cases, patients suffering from </w:t>
      </w:r>
      <w:proofErr w:type="spellStart"/>
      <w:r w:rsidRPr="009F44A4">
        <w:rPr>
          <w:rFonts w:ascii="Times New Roman" w:hAnsi="Times New Roman" w:cs="Times New Roman"/>
          <w:color w:val="000000" w:themeColor="text1"/>
          <w:sz w:val="20"/>
          <w:szCs w:val="20"/>
          <w:shd w:val="clear" w:color="auto" w:fill="FFFFFF"/>
        </w:rPr>
        <w:t>lymphopenia</w:t>
      </w:r>
      <w:proofErr w:type="spellEnd"/>
      <w:r w:rsidRPr="009F44A4">
        <w:rPr>
          <w:rFonts w:ascii="Times New Roman" w:hAnsi="Times New Roman" w:cs="Times New Roman"/>
          <w:color w:val="000000" w:themeColor="text1"/>
          <w:sz w:val="20"/>
          <w:szCs w:val="20"/>
          <w:shd w:val="clear" w:color="auto" w:fill="FFFFFF"/>
        </w:rPr>
        <w:t xml:space="preserve"> and interstitial pneumonia have elevated levels of </w:t>
      </w:r>
      <w:proofErr w:type="spellStart"/>
      <w:r w:rsidRPr="009F44A4">
        <w:rPr>
          <w:rFonts w:ascii="Times New Roman" w:hAnsi="Times New Roman" w:cs="Times New Roman"/>
          <w:color w:val="000000" w:themeColor="text1"/>
          <w:sz w:val="20"/>
          <w:szCs w:val="20"/>
          <w:shd w:val="clear" w:color="auto" w:fill="FFFFFF"/>
        </w:rPr>
        <w:t>proinflammatory</w:t>
      </w:r>
      <w:proofErr w:type="spellEnd"/>
      <w:r w:rsidRPr="009F44A4">
        <w:rPr>
          <w:rFonts w:ascii="Times New Roman" w:hAnsi="Times New Roman" w:cs="Times New Roman"/>
          <w:color w:val="000000" w:themeColor="text1"/>
          <w:sz w:val="20"/>
          <w:szCs w:val="20"/>
          <w:shd w:val="clear" w:color="auto" w:fill="FFFFFF"/>
        </w:rPr>
        <w:t xml:space="preserve"> cytokines, including interleukin-10 (IL-10), interleukin-2 (IL-2), interleukin-6 (IL-6), interleukin-7 (IL-7), colony-stimulating factor-3 (CSF-3), interferon gamma-induced protein-10 (IP-10), monocyte </w:t>
      </w:r>
      <w:proofErr w:type="spellStart"/>
      <w:r w:rsidRPr="009F44A4">
        <w:rPr>
          <w:rFonts w:ascii="Times New Roman" w:hAnsi="Times New Roman" w:cs="Times New Roman"/>
          <w:color w:val="000000" w:themeColor="text1"/>
          <w:sz w:val="20"/>
          <w:szCs w:val="20"/>
          <w:shd w:val="clear" w:color="auto" w:fill="FFFFFF"/>
        </w:rPr>
        <w:t>chemoattractant</w:t>
      </w:r>
      <w:proofErr w:type="spellEnd"/>
      <w:r w:rsidRPr="009F44A4">
        <w:rPr>
          <w:rFonts w:ascii="Times New Roman" w:hAnsi="Times New Roman" w:cs="Times New Roman"/>
          <w:color w:val="000000" w:themeColor="text1"/>
          <w:sz w:val="20"/>
          <w:szCs w:val="20"/>
          <w:shd w:val="clear" w:color="auto" w:fill="FFFFFF"/>
        </w:rPr>
        <w:t xml:space="preserve"> protein-1 (MCP-1), macrophage inflammatory protein-1 (MIP-1), macrophage inflammatory protein-1 alpha (MIP-1α) and </w:t>
      </w:r>
      <w:proofErr w:type="spellStart"/>
      <w:r w:rsidRPr="009F44A4">
        <w:rPr>
          <w:rFonts w:ascii="Times New Roman" w:hAnsi="Times New Roman" w:cs="Times New Roman"/>
          <w:color w:val="000000" w:themeColor="text1"/>
          <w:sz w:val="20"/>
          <w:szCs w:val="20"/>
          <w:shd w:val="clear" w:color="auto" w:fill="FFFFFF"/>
        </w:rPr>
        <w:t>tumour</w:t>
      </w:r>
      <w:proofErr w:type="spellEnd"/>
      <w:r w:rsidRPr="009F44A4">
        <w:rPr>
          <w:rFonts w:ascii="Times New Roman" w:hAnsi="Times New Roman" w:cs="Times New Roman"/>
          <w:color w:val="000000" w:themeColor="text1"/>
          <w:sz w:val="20"/>
          <w:szCs w:val="20"/>
          <w:shd w:val="clear" w:color="auto" w:fill="FFFFFF"/>
        </w:rPr>
        <w:t xml:space="preserve"> necrosis factor alpha (TNFα) </w:t>
      </w:r>
      <w:r w:rsidR="00A63323"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{"citationID":"ZiLWiZVS","properties":{"formattedCitation":"\\super 5\\nosupersub{}","plainCitation":"5","noteIndex":0},"citationItems":[{"id":543,"uris":["http://zotero.org/users/local/ZR048J0w/items/GA9R8RN5"],"uri":["http://zotero.org/users/local/ZR048J0w/items/GA9R8RN5"],"itemData":{"id":543,"type":"article-journal","abstract":"The new coronavirus outbreak is an ongoing pandemic that is caused by severe acute respiratory syndrome coronavirus 2 (SARS-CoV-2). The new coronavirus SARS-Cov-2 belongs to the subfamily of β–coronaviruses and shares 79.5% of the genetic sequence of SARS-CoV, the causative agent of the epidemic that started in 2002 and ended in 2004., Considering the clinical impact of the new outbreak, it is highly important to study the potential responses of the human immune system during the SARS-CoV-2 infection as well as the role of virus-specific T cells and by B-lymphocytes. Moreover, specific data on the production of IgG and IgM is crucial to allow the rapid identification of the infection. In this paper we also described the importance of sensitive and specific rapid test for SARS-CoV-2. Indeed, this test represents an important immunological tool aimed at identifying the precise phase of the infection in order to undertake a more appropriate pharmacological treatment. Lastly, we provided an overview of pharmacological treatments aimed to reduce inflammatory processes underlying the infection and the need for the discovery of a new vaccine against SARS-CoV-2.","container-title":"International Immunopharmacology","DOI":"10.1016/j.intimp.2020.106519","ISSN":"1567-5769","journalAbbreviation":"Int Immunopharmacol","note":"PMID: 32311668\nPMCID: PMC7161502","page":"106519","source":"PubMed Central","title":"SARS-Cov-2 infection: Response of human immune system and possible implications for the rapid test and treatment","title-short":"SARS-Cov-2 infection","volume":"84","author":[{"family":"Mauro","given":"Gabriella","non-dropping-particle":"di"},{"family":"Scavone","given":"Cristina"},{"family":"Rafaniello","given":"Concetta"},{"family":"Rossi","given":"Francesco"},{"family":"Capuano","given":"Annalisa"}],"issued":{"date-parts":[["2020",7]]}}}],"schema":"https://github.com/citation-style-language/schema/raw/master/csl-citation.json"} </w:instrText>
      </w:r>
      <w:r w:rsidR="00A63323"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5</w:t>
      </w:r>
      <w:r w:rsidR="00A63323"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Immune cells and their subsets play a vital role in the process of protecting from infected cells</w:t>
      </w:r>
      <w:r w:rsidR="00235F55" w:rsidRPr="009F44A4">
        <w:rPr>
          <w:rFonts w:ascii="Times New Roman" w:eastAsia="Calibri" w:hAnsi="Times New Roman" w:cs="Times New Roman"/>
          <w:color w:val="000000" w:themeColor="text1"/>
          <w:sz w:val="20"/>
          <w:szCs w:val="20"/>
        </w:rPr>
        <w:t xml:space="preserve"> </w:t>
      </w:r>
      <w:r w:rsidR="00235F55"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{"citationID":"0xs4snkT","properties":{"formattedCitation":"\\super 5\\nosupersub{}","plainCitation":"5","noteIndex":0},"citationItems":[{"id":543,"uris":["http://zotero.org/users/local/ZR048J0w/items/GA9R8RN5"],"uri":["http://zotero.org/users/local/ZR048J0w/items/GA9R8RN5"],"itemData":{"id":543,"type":"article-journal","abstract":"The new coronavirus outbreak is an ongoing pandemic that is caused by severe acute respiratory syndrome coronavirus 2 (SARS-CoV-2). The new coronavirus SARS-Cov-2 belongs to the subfamily of β–coronaviruses and shares 79.5% of the genetic sequence of SARS-CoV, the causative agent of the epidemic that started in 2002 and ended in 2004., Considering the clinical impact of the new outbreak, it is highly important to study the potential responses of the human immune system during the SARS-CoV-2 infection as well as the role of virus-specific T cells and by B-lymphocytes. Moreover, specific data on the production of IgG and IgM is crucial to allow the rapid identification of the infection. In this paper we also described the importance of sensitive and specific rapid test for SARS-CoV-2. Indeed, this test represents an important immunological tool aimed at identifying the precise phase of the infection in order to undertake a more appropriate pharmacological treatment. Lastly, we provided an overview of pharmacological treatments aimed to reduce inflammatory processes underlying the infection and the need for the discovery of a new vaccine against SARS-CoV-2.","container-title":"International Immunopharmacology","DOI":"10.1016/j.intimp.2020.106519","ISSN":"1567-5769","journalAbbreviation":"Int Immunopharmacol","note":"PMID: 32311668\nPMCID: PMC7161502","page":"106519","source":"PubMed Central","title":"SARS-Cov-2 infection: Response of human immune system and possible implications for the rapid test and treatment","title-short":"SARS-Cov-2 infection","volume":"84","author":[{"family":"Mauro","given":"Gabriella","non-dropping-particle":"di"},{"family":"Scavone","given":"Cristina"},{"family":"Rafaniello","given":"Concetta"},{"family":"Rossi","given":"Francesco"},{"family":"Capuano","given":"Annalisa"}],"issued":{"date-parts":[["2020",7]]}}}],"schema":"https://github.com/citation-style-language/schema/raw/master/csl-citation.json"} </w:instrText>
      </w:r>
      <w:r w:rsidR="00235F55"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5</w:t>
      </w:r>
      <w:r w:rsidR="00235F55" w:rsidRPr="009F44A4">
        <w:rPr>
          <w:rFonts w:ascii="Times New Roman" w:eastAsia="Calibri" w:hAnsi="Times New Roman" w:cs="Times New Roman"/>
          <w:color w:val="000000" w:themeColor="text1"/>
          <w:sz w:val="20"/>
          <w:szCs w:val="20"/>
        </w:rPr>
        <w:fldChar w:fldCharType="end"/>
      </w:r>
      <w:r w:rsidR="00235F55"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Mild SARS </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-2 infection can lead to  neutralizing antibodies, sufficient immune cell response and rapid viral clearance, whereas severe SARS </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infection can induce serious illness and delayed viral clearance</w:t>
      </w:r>
      <w:r w:rsidR="00235F55" w:rsidRPr="009F44A4">
        <w:rPr>
          <w:rFonts w:ascii="Times New Roman" w:eastAsia="Calibri" w:hAnsi="Times New Roman" w:cs="Times New Roman"/>
          <w:color w:val="000000" w:themeColor="text1"/>
          <w:sz w:val="20"/>
          <w:szCs w:val="20"/>
        </w:rPr>
        <w:t xml:space="preserve"> </w:t>
      </w:r>
      <w:r w:rsidR="00235F55"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{"citationID":"3FqYM75k","properties":{"formattedCitation":"\\super 154\\nosupersub{}","plainCitation":"154","noteIndex":0},"citationItems":[{"id":866,"uris":["http://zotero.org/users/local/ZR048J0w/items/TCXXHG2K"],"uri":["http://zotero.org/users/local/ZR048J0w/items/TCXXHG2K"],"itemData":{"id":866,"type":"article-journal","abstract":"As a zoonotic disease that has already spread globally to several million human beings and possibly to domestic and wild animals, eradication of coronavirus disease 2019 (COVID-19) appears practically impossible. There is a pressing need to improve our understanding of the immunology of this disease to contain the pandemic by developing vaccines and medicines for the prevention and treatment of patients. In this review, we aim to improve our understanding on the immune response and immunopathological changes in patients linked to deteriorating clinical conditions such as cytokine storm, acute respiratory distress syndrome, autopsy findings and changes in acute-phase reactants, and serum biochemistry in COVID-19. Similar to many other viral infections, asymptomatic disease is present in a significant but currently unknown fraction of the affected individuals. In the majority of the patients, a 1-week, self-limiting viral respiratory disease typically occurs, which ends with the development of neutralizing antiviral T cell and antibody immunity. The IgM-, IgA-, and IgG-type virus-specific antibodies levels are important measurements to predict population immunity against this disease and whether cross-reactivity with other coronaviruses is taking place. High viral load during the first infection and repeated exposure to virus especially in healthcare workers can be an important factor for severity of disease. It should be noted that many aspects of severe patients are unique to COVID-19 and are rarely observed in other respiratory viral infections, such as severe lymphopenia and eosinopenia, extensive pneumonia and lung tissue damage, a cytokine storm leading to acute respiratory distress syndrome, and multiorgan failure. Lymphopenia causes a defect in antiviral and immune regulatory immunity. At the same time, a cytokine storm starts with extensive activation of cytokine-secreting cells with innate and adaptive immune mechanisms both of which contribute to a poor prognosis. Elevated levels of acute-phase reactants and lymphopenia are early predictors of high disease severity. Prevention of development to severe disease, cytokine storm, acute respiratory distress syndrome, and novel approaches to prevent their development will be main routes for future research areas. As we learn to live amidst the virus, understanding the immunology of the disease can assist in containing the pandemic and in developing vaccines and medicines to prevent and treat individual patients.","container-title":"Allergy","DOI":"https://doi.org/10.1111/all.14364","ISSN":"1398-9995","issue":"7","language":"en","note":"_eprint: https://onlinelibrary.wiley.com/doi/pdf/10.1111/all.14364","page":"1564-1581","source":"Wiley Online Library","title":"Immune response to SARS-CoV-2 and mechanisms of immunopathological changes in COVID-19","volume":"75","author":[{"family":"Azkur","given":"Ahmet Kursat"},{"family":"Akdis","given":"Mübeccel"},{"family":"Azkur","given":"Dilek"},{"family":"Sokolowska","given":"Milena"},{"family":"Veen","given":"Willem","dropping-particle":"van de"},{"family":"Brüggen","given":"Marie-Charlotte"},{"family":"O’Mahony","given":"Liam"},{"family":"Gao","given":"Yadong"},{"family":"Nadeau","given":"Kari"},{"family":"Akdis","given":"Cezmi A."}],"issued":{"date-parts":[["2020"]]}}}],"schema":"https://github.com/citation-style-language/schema/raw/master/csl-citation.json"} </w:instrText>
      </w:r>
      <w:r w:rsidR="00235F55"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154</w:t>
      </w:r>
      <w:r w:rsidR="00235F55" w:rsidRPr="009F44A4">
        <w:rPr>
          <w:rFonts w:ascii="Times New Roman" w:eastAsia="Calibri" w:hAnsi="Times New Roman" w:cs="Times New Roman"/>
          <w:color w:val="000000" w:themeColor="text1"/>
          <w:sz w:val="20"/>
          <w:szCs w:val="20"/>
        </w:rPr>
        <w:fldChar w:fldCharType="end"/>
      </w:r>
      <w:r w:rsidR="001F535B" w:rsidRPr="009F44A4">
        <w:rPr>
          <w:rFonts w:ascii="Times New Roman" w:eastAsia="Calibri" w:hAnsi="Times New Roman" w:cs="Times New Roman"/>
          <w:color w:val="000000" w:themeColor="text1"/>
          <w:sz w:val="20"/>
          <w:szCs w:val="20"/>
        </w:rPr>
        <w:t xml:space="preserve"> </w:t>
      </w:r>
      <w:r w:rsidR="00C02138" w:rsidRPr="009F44A4">
        <w:rPr>
          <w:rFonts w:ascii="Times New Roman" w:eastAsia="Calibri" w:hAnsi="Times New Roman" w:cs="Times New Roman"/>
          <w:color w:val="000000" w:themeColor="text1"/>
          <w:sz w:val="20"/>
          <w:szCs w:val="20"/>
        </w:rPr>
        <w:t>(Figure</w:t>
      </w:r>
      <w:r w:rsidR="00235F55" w:rsidRPr="009F44A4">
        <w:rPr>
          <w:rFonts w:ascii="Times New Roman" w:eastAsia="Calibri" w:hAnsi="Times New Roman" w:cs="Times New Roman"/>
          <w:color w:val="000000" w:themeColor="text1"/>
          <w:sz w:val="20"/>
          <w:szCs w:val="20"/>
        </w:rPr>
        <w:t xml:space="preserve"> </w:t>
      </w:r>
      <w:r w:rsidR="001F535B" w:rsidRPr="009F44A4">
        <w:rPr>
          <w:rFonts w:ascii="Times New Roman" w:eastAsia="Calibri" w:hAnsi="Times New Roman" w:cs="Times New Roman"/>
          <w:color w:val="000000" w:themeColor="text1"/>
          <w:sz w:val="20"/>
          <w:szCs w:val="20"/>
        </w:rPr>
        <w:t>3</w:t>
      </w:r>
      <w:r w:rsidR="00C02138" w:rsidRPr="009F44A4">
        <w:rPr>
          <w:rFonts w:ascii="Times New Roman" w:eastAsia="Calibri" w:hAnsi="Times New Roman" w:cs="Times New Roman"/>
          <w:color w:val="000000" w:themeColor="text1"/>
          <w:sz w:val="20"/>
          <w:szCs w:val="20"/>
        </w:rPr>
        <w:t>)</w:t>
      </w:r>
      <w:r w:rsidR="001F535B"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Due to viral infectious diseases, immune cells like lymphocyte subsets may also be dysfunctional </w:t>
      </w:r>
      <w:r w:rsidR="004504DB"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{"citationID":"WEfSbgZG","properties":{"formattedCitation":"\\super 155\\uc0\\u8211{}157\\nosupersub{}","plainCitation":"155–157","noteIndex":0},"citationItems":[{"id":844,"uris":["http://zotero.org/users/local/ZR048J0w/items/34YIQAJ8"],"uri":["http://zotero.org/users/local/ZR048J0w/items/34YIQAJ8"],"itemData":{"id":844,"type":"article-journal","abstract":"BACKGROUND: In December 2019, novel coronavirus (SARS-CoV-2) pneumonia (COVID-19) was reported in Wuhan and has since rapidly spread throughout China. We aimed to clarify the characteristics and clinical significance of peripheral lymphocyte subset alteration in COVID-19.\nMETHODS: The levels of peripheral lymphocyte subsets were measured by flow cytometry in 60 hospitalized COVID-19 patients before and after treatment, and their association with clinical characteristics and treatment efficacy was analyzed.\nRESULTS: Total lymphocytes, CD4+ T cells, CD8+ T cells, B cells, and natural killer (NK) cells decreased in COVID-19 patients, and severe cases had a lower level than mild cases. The subsets showed a significant association with inflammatory status in COVID-19, especially CD8+ T cells and CD4+/CD8+ ratio. After treatment, 37 patients (67%) showed clinical response, with an increase in CD8+ T cells and B cells. No significant change in any subset was detected in nonresponsive cases. In multivariate analysis, posttreatment decrease in CD8+ T cells and B cells and increase in CD4+/CD8+ ratio were indicated as independent predictors of poor efficacy.\nCONCLUSIONS: Peripheral lymphocyte subset alteration was associated with clinical characteristics and treatment efficacy of COVID-19. CD8+ T cells tended to be an independent predictor for COVID-19 severity and treatment efficacy.","container-title":"The Journal of Infectious Diseases","DOI":"10.1093/infdis/jiaa150","ISSN":"1537-6613","issue":"11","journalAbbreviation":"J Infect Dis","language":"eng","note":"PMID: 32227123\nPMCID: PMC7184346","page":"1762-1769","source":"PubMed","title":"Characteristics of Peripheral Lymphocyte Subset Alteration in COVID-19 Pneumonia","volume":"221","author":[{"family":"Wang","given":"Fan"},{"family":"Nie","given":"Jiayan"},{"family":"Wang","given":"Haizhou"},{"family":"Zhao","given":"Qiu"},{"family":"Xiong","given":"Yong"},{"family":"Deng","given":"Liping"},{"family":"Song","given":"Shihui"},{"family":"Ma","given":"Zhiyong"},{"family":"Mo","given":"Pingzheng"},{"family":"Zhang","given":"Yongxi"}],"issued":{"date-parts":[["2020",5,11]]}}},{"id":847,"uris":["http://zotero.org/users/local/ZR048J0w/items/RTMLMRJC"],"uri":["http://zotero.org/users/local/ZR048J0w/items/RTMLMRJC"],"itemData":{"id":847,"type":"article-journal","abstract":"OBJECTIVES: Infection is one of the leading causes of morbidity and mortality in patients with systemic lupus erythematosus (SLE). Excessive use of glucocorticoids, disease-modifying anti-rheumatic drugs (DMARDs) and immune disturbances associated with lupus itself lead to reduced immune function with consequent increases in opportunistic infections, such as Epstein-Barr virus (EBV) and cytomegalovirus (CMV). A recent study showed that an imbalance between T helper 17 (Th17) cells and regulatory T (Treg) cells is a major cause of autoimmune disease. However, the relationship between Th17/Treg imbalance and SLE combined with EBV and/or CMV is unknown. Here, we investigated lymphocyte subsets, especially CD4+ T cells, in patients with SLE combined with EBV/CMV viraemia.\nMETHODS: The clinical records of 36 SLE patients with EBV and/or CMV viraemia (SLE infection group), hospitalised at the Second Hospital of Shanxi Medical University, were analysed. As controls, we selected 20 healthy subjects (healthy control group), 30 SLE patients without infection (SLE non-infection group), and 20 patients with other non-SLE connective tissue diseases with EBV/CMV viraemia (non-SLE infection group), the controls were age-matched with the SLE infection group. The absolute numbers of lymphocytes and CD4+ T cells in peripheral blood were examined by flow cytometry.\nRESULTS: There were significant decreases in Th17 and Treg levels in the SLE infection group compared to the SLE non-infection group and non-SLE infection group. Similarly, the absolute numbers of Th17 (p=0.003) and Treg (p&lt;0.001) cells in the SLE infection group were markedly decreased compared to the healthy controls, although the difference in Th17/Treg cell ratio was not significant. The absolute number of Treg cells (p=0.001) was decreased in the SLE non-infection group compared to the healthy controls, leading to a higher Th17/Treg cell ratio in the former group (p=0.018). There was no significant difference in the absolute number of Th17 cells between the SLE non-infection group and healthy controls.\nCONCLUSIONS: The monitoring of lymphocytes and CD4+ T cell subsets, especially Th17 and Treg cells, may be helpful for identifying EBV/CMV infection in SLE patients. The results presented here suggest that, in addition to Treg, Th17 may also be crucial in the Th17/Treg imbalance seen in patients with SLE combined with EBV and/or CMV viraemia. A decrease in Th17 cells may be an important feature of EBV and/or CMV infection in SLE. Appropriate immunomodulatory therapy for CD4+ T cell subsets based on antiviral therapy may be beneficial for SLE patients with EBV and/or CMV viraemia.","container-title":"Clinical and Experimental Rheumatology","ISSN":"0392-856X","issue":"5","journalAbbreviation":"Clin Exp Rheumatol","language":"eng","note":"PMID: 31820723","page":"864-873","source":"PubMed","title":"Imbalance between Th17 and regulatory T cells in patients with systemic lupus erythematosus combined EBV/CMV viraemia","volume":"38","author":[{"family":"Su","given":"Rui"},{"family":"Li","given":"Zhaohua"},{"family":"Wang","given":"Yanyan"},{"family":"Liu","given":"Yue"},{"family":"Zheng","given":"Xinyu"},{"family":"Gao","given":"Chong"},{"family":"Li","given":"Xiaofeng"},{"family":"Wang","given":"Caihong"}],"issued":{"date-parts":[["2020",10]]}}},{"id":849,"uris":["http://zotero.org/users/local/ZR048J0w/items/YAZQXFWV"],"uri":["http://zotero.org/users/local/ZR048J0w/items/YAZQXFWV"],"itemData":{"id":849,"type":"article-journal","abstract":"Abstract. Background. The pathophysiology of severe acute respiratory syndrome (SARS) is at present poorly understood, but advanced age and serum total lactate dehydrogenase (LD) activity &gt;300 U L−1 have been associated with adverse clinical outcomes. Blood leucocytes and lymphocyte subsets were reported to decrease, respectively, in 47% and up to 100% of 38 patients in Beijing. However, their prognostic implications have not been thoroughly investigated. Objective. To investigate serum total LD, LD isoenzymes, and other parameters including blood lymphocyte subsets as prognostic indicators in SARS patients for adverse clinical outcomes in terms of admission to intensive care unit (ICU) and death. Design. Retrospective analysis. Subjects and methods. A total of 109 patients with a clinical diagnosis of SARS according to the modified World Health Organization case definition of SARS were recruited from two major acute hospitals in Hong Kong. They were either involved in the initial outbreak of SARS, or cases from the community outbreak of Amoy Gardens between 10 March and 5 May 2003. The clinical diagnosis was subsequently confirmed by serological test and/or molecular analysis. Serum total LD and LD isoenzyme activities, complete blood picture with total leucocyte count and differential counts, absolute counts of CD3+, CD4+, CD8+, natural killer cells and B lymphocytes were measured daily upon admission. Receiver operating characteristic curve analysis was used to determine and compare different cut-offs for various biochemical and immunological parameters at peak serum total LD concentration in predicting adverse clinical outcomes. Results. Of a total of 109 patients, 41 were admitted to ICU and 42 died. Of 42 fatal patients, 24 died in ICU and 18 died in general medical wards. Age was found to be an independent prognostic indictor for death with an area under curve (AUC) of 0.96 [95% confidence interval (CI) = 0.90–0.99] but not for admission to ICU [AUC = 0.61 (CI = 0.51–0.70)]. Whilst serum total LD could only achieve AUC of 0.68 (CI = 0.59–0.77) for predicting death, LD1 isoenzyme was found to be the best biochemical prognostic indicator with AUC of 0.84 (CI = 0.75–0.90), sensitivity of 62% (CI = 46–76%), specificity of 93% (CI = 83–98%) at cut-off activity of ≥80 U L−1. CD3+, CD4+, CD8+ and natural killer cell counts were promising immunological prognostic indicators for predicting admission to ICU with AUC of 0.94 (CI = 0.86–0.98), 0.91 (CI = 0.81–0.96), 0.93 (CI = 0.85–0.98), and 0.87 (CI = 0.76–0.94), respectively. Conclusions. Apart from age, serum LD1 activity was the best prognostic indicator for predicting death in patients with SARS compared with serum total LD activity, haemoglobin concentration, leucocyte and lymphocyte counts. Its release could possibly be from blood erythrocytes and body tissues other than the myocardium. Blood CD3+, CD4+, CD8+ and natural killer cell counts were found to be good prognostic indicators for predicting admission to ICU in patients with SARS compared with age, leucocyte count and LD isoenzymes. The suppressed CD3+, CD4+, CD8+, and natural killer cell counts were also implicated in the pathophysiology of SARS. Patients with increased serum LD1 should be closely monitored to ensure prompt management, and preparation for admission to ICU could be planned ahead for patients with suppressed lymphocyte subsets.","container-title":"Journal of Internal Medicine","DOI":"https://doi.org/10.1111/j.1365-2796.2004.01323.x","ISSN":"1365-2796","issue":"4","language":"en","note":"_eprint: https://onlinelibrary.wiley.com/doi/pdf/10.1111/j.1365-2796.2004.01323.x","page":"512-518","source":"Wiley Online Library","title":"Serum LD1 isoenzyme and blood lymphocyte subsets as prognostic indicators for severe acute respiratory syndrome","volume":"255","author":[{"family":"Chan","given":"M. H. M."},{"family":"Wong","given":"V. W. S."},{"family":"Wong","given":"C. K."},{"family":"Chan","given":"P. K. S."},{"family":"Chu","given":"C. M."},{"family":"Hui","given":"D. S. C."},{"family":"Suen","given":"M. W. M."},{"family":"Sung","given":"J. J. Y."},{"family":"Chung","given":"S. S. C."},{"family":"Lam","given":"C. W. K."}],"issued":{"date-parts":[["2004"]]}}}],"schema":"https://github.com/citation-style-language/schema/raw/master/csl-citation.json"} </w:instrText>
      </w:r>
      <w:r w:rsidR="004504DB"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155–157</w:t>
      </w:r>
      <w:r w:rsidR="004504DB" w:rsidRPr="009F44A4">
        <w:rPr>
          <w:rFonts w:ascii="Times New Roman" w:eastAsia="Calibri" w:hAnsi="Times New Roman" w:cs="Times New Roman"/>
          <w:color w:val="000000" w:themeColor="text1"/>
          <w:sz w:val="20"/>
          <w:szCs w:val="20"/>
        </w:rPr>
        <w:fldChar w:fldCharType="end"/>
      </w:r>
      <w:r w:rsidR="004504DB"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Innate immune response and cell-mediated immune response against viral infection involve the following cells: CD3 +, CD4 +, CD8 +, CD16 +, CD56 + and CD19 + label T-helper cells (CD4+CD3 +) and T-cells (CD3+CD8 +), B cells (CD19 +) and natural killer cells (CD16+CD56+)</w:t>
      </w:r>
      <w:r w:rsidR="00A10869" w:rsidRPr="009F44A4">
        <w:rPr>
          <w:rFonts w:ascii="Times New Roman" w:eastAsia="Calibri" w:hAnsi="Times New Roman" w:cs="Times New Roman"/>
          <w:color w:val="000000" w:themeColor="text1"/>
          <w:sz w:val="20"/>
          <w:szCs w:val="20"/>
        </w:rPr>
        <w:t xml:space="preserve"> </w:t>
      </w:r>
      <w:r w:rsidR="00A10869"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{"citationID":"cIBSCNBS","properties":{"formattedCitation":"\\super 155\\nosupersub{}","plainCitation":"155","noteIndex":0},"citationItems":[{"id":844,"uris":["http://zotero.org/users/local/ZR048J0w/items/34YIQAJ8"],"uri":["http://zotero.org/users/local/ZR048J0w/items/34YIQAJ8"],"itemData":{"id":844,"type":"article-journal","abstract":"BACKGROUND: In December 2019, novel coronavirus (SARS-CoV-2) pneumonia (COVID-19) was reported in Wuhan and has since rapidly spread throughout China. We aimed to clarify the characteristics and clinical significance of peripheral lymphocyte subset alteration in COVID-19.\nMETHODS: The levels of peripheral lymphocyte subsets were measured by flow cytometry in 60 hospitalized COVID-19 patients before and after treatment, and their association with clinical characteristics and treatment efficacy was analyzed.\nRESULTS: Total lymphocytes, CD4+ T cells, CD8+ T cells, B cells, and natural killer (NK) cells decreased in COVID-19 patients, and severe cases had a lower level than mild cases. The subsets showed a significant association with inflammatory status in COVID-19, especially CD8+ T cells and CD4+/CD8+ ratio. After treatment, 37 patients (67%) showed clinical response, with an increase in CD8+ T cells and B cells. No significant change in any subset was detected in nonresponsive cases. In multivariate analysis, posttreatment decrease in CD8+ T cells and B cells and increase in CD4+/CD8+ ratio were indicated as independent predictors of poor efficacy.\nCONCLUSIONS: Peripheral lymphocyte subset alteration was associated with clinical characteristics and treatment efficacy of COVID-19. CD8+ T cells tended to be an independent predictor for COVID-19 severity and treatment efficacy.","container-title":"The Journal of Infectious Diseases","DOI":"10.1093/infdis/jiaa150","ISSN":"1537-6613","issue":"11","journalAbbreviation":"J Infect Dis","language":"eng","note":"PMID: 32227123\nPMCID: PMC7184346","page":"1762-1769","source":"PubMed","title":"Characteristics of Peripheral Lymphocyte Subset Alteration in COVID-19 Pneumonia","volume":"221","author":[{"family":"Wang","given":"Fan"},{"family":"Nie","given":"Jiayan"},{"family":"Wang","given":"Haizhou"},{"family":"Zhao","given":"Qiu"},{"family":"Xiong","given":"Yong"},{"family":"Deng","given":"Liping"},{"family":"Song","given":"Shihui"},{"family":"Ma","given":"Zhiyong"},{"family":"Mo","given":"Pingzheng"},{"family":"Zhang","given":"Yongxi"}],"issued":{"date-parts":[["2020",5,11]]}}}],"schema":"https://github.com/citation-style-language/schema/raw/master/csl-citation.json"} </w:instrText>
      </w:r>
      <w:r w:rsidR="00A10869"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155</w:t>
      </w:r>
      <w:r w:rsidR="00A10869" w:rsidRPr="009F44A4">
        <w:rPr>
          <w:rFonts w:ascii="Times New Roman" w:eastAsia="Calibri" w:hAnsi="Times New Roman" w:cs="Times New Roman"/>
          <w:color w:val="000000" w:themeColor="text1"/>
          <w:sz w:val="20"/>
          <w:szCs w:val="20"/>
        </w:rPr>
        <w:fldChar w:fldCharType="end"/>
      </w:r>
      <w:r w:rsidR="00A10869"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Many studies are currently identifying the adverse effect of COVID-19 infection on immunity and immune cells. Most of these have revealed that infected people develop an uncontrolled immune response during the infection, triggered by highly active macrophage and monocytes</w:t>
      </w:r>
      <w:r w:rsidR="00BA7D8E" w:rsidRPr="009F44A4">
        <w:rPr>
          <w:rFonts w:ascii="Times New Roman" w:eastAsia="Calibri" w:hAnsi="Times New Roman" w:cs="Times New Roman"/>
          <w:color w:val="000000" w:themeColor="text1"/>
          <w:sz w:val="20"/>
          <w:szCs w:val="20"/>
        </w:rPr>
        <w:t xml:space="preserve"> </w:t>
      </w:r>
      <w:r w:rsidR="00BA7D8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{"citationID":"PJa644Rl","properties":{"formattedCitation":"\\super 5,158\\nosupersub{}","plainCitation":"5,158","noteIndex":0},"citationItems":[{"id":543,"uris":["http://zotero.org/users/local/ZR048J0w/items/GA9R8RN5"],"uri":["http://zotero.org/users/local/ZR048J0w/items/GA9R8RN5"],"itemData":{"id":543,"type":"article-journal","abstract":"The new coronavirus outbreak is an ongoing pandemic that is caused by severe acute respiratory syndrome coronavirus 2 (SARS-CoV-2). The new coronavirus SARS-Cov-2 belongs to the subfamily of β–coronaviruses and shares 79.5% of the genetic sequence of SARS-CoV, the causative agent of the epidemic that started in 2002 and ended in 2004., Considering the clinical impact of the new outbreak, it is highly important to study the potential responses of the human immune system during the SARS-CoV-2 infection as well as the role of virus-specific T cells and by B-lymphocytes. Moreover, specific data on the production of IgG and IgM is crucial to allow the rapid identification of the infection. In this paper we also described the importance of sensitive and specific rapid test for SARS-CoV-2. Indeed, this test represents an important immunological tool aimed at identifying the precise phase of the infection in order to undertake a more appropriate pharmacological treatment. Lastly, we provided an overview of pharmacological treatments aimed to reduce inflammatory processes underlying the infection and the need for the discovery of a new vaccine against SARS-CoV-2.","container-title":"International Immunopharmacology","DOI":"10.1016/j.intimp.2020.106519","ISSN":"1567-5769","journalAbbreviation":"Int Immunopharmacol","note":"PMID: 32311668\nPMCID: PMC7161502","page":"106519","source":"PubMed Central","title":"SARS-Cov-2 infection: Response of human immune system and possible implications for the rapid test and treatment","title-short":"SARS-Cov-2 infection","volume":"84","author":[{"family":"Mauro","given":"Gabriella","non-dropping-particle":"di"},{"family":"Scavone","given":"Cristina"},{"family":"Rafaniello","given":"Concetta"},{"family":"Rossi","given":"Francesco"},{"family":"Capuano","given":"Annalisa"}],"issued":{"date-parts":[["2020",7]]}}},{"id":852,"uris":["http://zotero.org/users/local/ZR048J0w/items/3RQZDCBX"],"uri":["http://zotero.org/users/local/ZR048J0w/items/3RQZDCBX"],"itemData":{"id":852,"type":"article-journal","abstract":"BACKGROUND: In December 2019, coronavirus 2019 (COVID-19) emerged in Wuhan and rapidly spread throughout China.\nMETHODS: Demographic and clinical data of all confirmed cases with COVID-19 on admission at Tongji Hospital from 10 January to 12 February 2020 were collected and analyzed. The data on laboratory examinations, including peripheral lymphocyte subsets, were analyzed and compared between patients with severe and nonsevere infection.\nRESULTS: Of the 452 patients with COVID-19 recruited, 286 were diagnosed as having severe infection. The median age was 58 years and 235 were male. The most common symptoms were fever, shortness of breath, expectoration, fatigue, dry cough, and myalgia. Severe cases tend to have lower lymphocyte counts, higher leukocyte counts and neutrophil-lymphocyte ratio (NLR), as well as lower percentages of monocytes, eosinophils, and basophils. Most severe cases demonstrated elevated levels of infection-related biomarkers and inflammatory cytokines. The number of T cells significantly decreased, and were more impaired in severe cases. Both helper T (Th) cells and suppressor T cells in patients with COVID-19 were below normal levels, with lower levels of Th cells in the severe group. The percentage of naive Th cells increased and memory Th cells decreased in severe cases. Patients with COVID-19 also have lower levels of regulatory T cells, which are more obviously decreased in severe cases.\nCONCLUSIONS: The novel coronavirus might mainly act on lymphocytes, especially T lymphocytes. Surveillance of NLR and lymphocyte subsets is helpful in the early screening of critical illness, diagnosis, and treatment of COVID-19.","container-title":"Clinical Infectious Diseases: An Official Publication of the Infectious Diseases Society of America","DOI":"10.1093/cid/ciaa248","ISSN":"1537-6591","issue":"15","journalAbbreviation":"Clin Infect Dis","language":"eng","note":"PMID: 32161940\nPMCID: PMC7108125","page":"762-768","source":"PubMed","title":"Dysregulation of Immune Response in Patients With Coronavirus 2019 (COVID-19) in Wuhan, China","volume":"71","author":[{"family":"Qin","given":"Chuan"},{"family":"Zhou","given":"Luoqi"},{"family":"Hu","given":"Ziwei"},{"family":"Zhang","given":"Shuoqi"},{"family":"Yang","given":"Sheng"},{"family":"Tao","given":"Yu"},{"family":"Xie","given":"Cuihong"},{"family":"Ma","given":"Ke"},{"family":"Shang","given":"Ke"},{"family":"Wang","given":"Wei"},{"family":"Tian","given":"Dai-Shi"}],"issued":{"date-parts":[["2020",7,28]]}}}],"schema":"https://github.com/citation-style-language/schema/raw/master/csl-citation.json"} </w:instrText>
      </w:r>
      <w:r w:rsidR="00BA7D8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5,158</w:t>
      </w:r>
      <w:r w:rsidR="00BA7D8E" w:rsidRPr="009F44A4">
        <w:rPr>
          <w:rFonts w:ascii="Times New Roman" w:eastAsia="Calibri" w:hAnsi="Times New Roman" w:cs="Times New Roman"/>
          <w:color w:val="000000" w:themeColor="text1"/>
          <w:sz w:val="20"/>
          <w:szCs w:val="20"/>
        </w:rPr>
        <w:fldChar w:fldCharType="end"/>
      </w:r>
      <w:r w:rsidR="00BA7D8E"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Recently several epitopes have been reported through </w:t>
      </w:r>
      <w:proofErr w:type="spellStart"/>
      <w:r w:rsidRPr="009F44A4">
        <w:rPr>
          <w:rFonts w:ascii="Times New Roman" w:hAnsi="Times New Roman" w:cs="Times New Roman"/>
          <w:color w:val="000000" w:themeColor="text1"/>
          <w:sz w:val="20"/>
          <w:szCs w:val="20"/>
          <w:shd w:val="clear" w:color="auto" w:fill="FFFFFF"/>
        </w:rPr>
        <w:t>immuno</w:t>
      </w:r>
      <w:proofErr w:type="spellEnd"/>
      <w:r w:rsidRPr="009F44A4">
        <w:rPr>
          <w:rFonts w:ascii="Times New Roman" w:hAnsi="Times New Roman" w:cs="Times New Roman"/>
          <w:color w:val="000000" w:themeColor="text1"/>
          <w:sz w:val="20"/>
          <w:szCs w:val="20"/>
          <w:shd w:val="clear" w:color="auto" w:fill="FFFFFF"/>
        </w:rPr>
        <w:t>-informatics, including 5 CTL epitopes, 3 sequential B cell epitopes, 5 discontinuous B cell epitopes of immune cells</w:t>
      </w:r>
      <w:r w:rsidR="00C02138" w:rsidRPr="009F44A4">
        <w:rPr>
          <w:rFonts w:ascii="Times New Roman" w:eastAsia="Calibri" w:hAnsi="Times New Roman" w:cs="Times New Roman"/>
          <w:color w:val="000000" w:themeColor="text1"/>
          <w:sz w:val="20"/>
          <w:szCs w:val="20"/>
        </w:rPr>
        <w:t xml:space="preserve"> </w:t>
      </w:r>
      <w:r w:rsidR="00BA7D8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{"citationID":"69xFcg2A","properties":{"formattedCitation":"\\super 4,159\\nosupersub{}","plainCitation":"4,159","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id":855,"uris":["http://zotero.org/users/local/ZR048J0w/items/ZJZXVR8C"],"uri":["http://zotero.org/users/local/ZR048J0w/items/ZJZXVR8C"],"itemData":{"id":855,"type":"article-journal","abstract":"The 2019 novel coronavirus (2019-nCoV) outbreak has caused a large number of deaths with thousands of confirmed cases worldwide, especially in East Asia. This study took an immunoinformatics approach to identify significant cytotoxic T lymphocyte (CTL) and B cell epitopes in the 2019-nCoV surface glycoprotein. Also, interactions between identified CTL epitopes and their corresponding major histocompatibility complex (MHC) class I supertype representatives prevalent in China were studied by molecular dynamics simulations. We identified five CTL epitopes, three sequential B cell epitopes and five discontinuous B cell epitopes in the viral surface glycoprotein. Also, during simulations, the CTL epitopes were observed to be binding MHC class I peptide-binding grooves via multiple contacts, with continuous hydrogen bonds and salt bridge anchors, indicating their potential in generating immune responses. Some of these identified epitopes can be potential candidates for the development of 2019-nCoV vaccines.","container-title":"Journal of Medical Virology","DOI":"https://doi.org/10.1002/jmv.25698","ISSN":"1096-9071","issue":"5","language":"en","note":"_eprint: https://onlinelibrary.wiley.com/doi/pdf/10.1002/jmv.25698","page":"495-500","source":"Wiley Online Library","title":"Immunoinformatics-aided identification of T cell and B cell epitopes in the surface glycoprotein of 2019-nCoV","volume":"92","author":[{"family":"Baruah","given":"Vargab"},{"family":"Bose","given":"Sujoy"}],"issued":{"date-parts":[["2020"]]}}}],"schema":"https://github.com/citation-style-language/schema/raw/master/csl-citation.json"} </w:instrText>
      </w:r>
      <w:r w:rsidR="00BA7D8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4,159</w:t>
      </w:r>
      <w:r w:rsidR="00BA7D8E"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and 13 MHC-I and 3 MHC-II antigenic epitopes</w:t>
      </w:r>
      <w:r w:rsidR="00C02138" w:rsidRPr="009F44A4">
        <w:rPr>
          <w:rFonts w:ascii="Times New Roman" w:eastAsia="Calibri" w:hAnsi="Times New Roman" w:cs="Times New Roman"/>
          <w:color w:val="000000" w:themeColor="text1"/>
          <w:sz w:val="20"/>
          <w:szCs w:val="20"/>
        </w:rPr>
        <w:t xml:space="preserve"> </w:t>
      </w:r>
      <w:r w:rsidR="00BA7D8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{"citationID":"rRl7wdrn","properties":{"formattedCitation":"\\super 4,160\\nosupersub{}","plainCitation":"4,160","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id":858,"uris":["http://zotero.org/users/local/ZR048J0w/items/AZGK4F52"],"uri":["http://zotero.org/users/local/ZR048J0w/items/AZGK4F52"],"itemData":{"id":858,"type":"article-journal","abstract":"Recently, a novel coronavirus (SARS-COV-2) emerged which is responsible for the recent outbreak in Wuhan, China. Genetically, it is closely related to SARS-CoV and MERS-CoV. The situation is getting worse and worse, therefore, there is an urgent need for designing a suitable peptide vaccine component against the SARS-COV-2. Here, we characterized spike glycoprotein to obtain immunogenic epitopes. Next, we chose 13 Major Histocompatibility Complex-(MHC) I and 3 MHC-II epitopes, having antigenic properties. These epitopes are usually linked to specific linkers to build vaccine components and molecularly dock on toll-like receptor-5 to get binding affinity. Therefore, to provide a fast immunogenic profile of these epitopes, we performed immunoinformatics analysis so that the rapid development of the vaccine might bring this disastrous situation to the end earlier.","container-title":"Journal of Medical Virology","DOI":"https://doi.org/10.1002/jmv.25736","ISSN":"1096-9071","issue":"6","language":"en","note":"_eprint: https://onlinelibrary.wiley.com/doi/pdf/10.1002/jmv.25736","page":"618-631","source":"Wiley Online Library","title":"Development of epitope-based peptide vaccine against novel coronavirus 2019 (SARS-COV-2): Immunoinformatics approach","title-short":"Development of epitope-based peptide vaccine against novel coronavirus 2019 (SARS-COV-2)","volume":"92","author":[{"family":"Bhattacharya","given":"Manojit"},{"family":"Sharma","given":"Ashish R."},{"family":"Patra","given":"Prasanta"},{"family":"Ghosh","given":"Pratik"},{"family":"Sharma","given":"Garima"},{"family":"Patra","given":"Bidhan C."},{"family":"Lee","given":"Sang-Soo"},{"family":"Chakraborty","given":"Chiranjib"}],"issued":{"date-parts":[["2020"]]}}}],"schema":"https://github.com/citation-style-language/schema/raw/master/csl-citation.json"} </w:instrText>
      </w:r>
      <w:r w:rsidR="00BA7D8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4,160</w:t>
      </w:r>
      <w:r w:rsidR="00BA7D8E"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and some of these epitopes are expected to help in manufacturing of potential vaccine for COVID-2019</w:t>
      </w:r>
      <w:r w:rsidR="00BA7D8E" w:rsidRPr="009F44A4">
        <w:rPr>
          <w:rFonts w:ascii="Times New Roman" w:eastAsia="Calibri" w:hAnsi="Times New Roman" w:cs="Times New Roman"/>
          <w:color w:val="000000" w:themeColor="text1"/>
          <w:sz w:val="20"/>
          <w:szCs w:val="20"/>
        </w:rPr>
        <w:t xml:space="preserve"> </w:t>
      </w:r>
      <w:r w:rsidR="00BA7D8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{"citationID":"ZeXBYIf5","properties":{"formattedCitation":"\\super 4\\nosupersub{}","plainCitation":"4","noteIndex":0},"citationItems":[{"id":540,"uris":["http://zotero.org/users/local/ZR048J0w/items/SC49HGZX"],"uri":["http://zotero.org/users/local/ZR048J0w/items/SC49HGZX"],"itemData":{"id":540,"type":"article-journal","abstract":"“COVID-19” is the word that certainly isn’t forgotten by everybody who lives in the first half of the twenty-first century. COVID-19, as a pandemic, has led many researchers from different biomedical fields to find solutions or treatments to manage the pandemic. However, no standard treatment for this disease has been discovered to date. Probably, preventing the severe acute respiratory infection form of COVID-19 as the most dangerous phase of this disease can be helpful for the treatment and reduction of the death rate. In this regard, mesenchymal stem cells (MSCs)-based immunomodulation treatment has been proposed as a suitable therapeutic approach and several clinical trials have begun. Recently, MSCs according to their immunomodulatory and regenerative properties attract attention in clinical trials. After the intravenous transplantation of MSCs, a significant population of cells accumulates in the lung, which they alongside immunomodulatory effect could protect alveolar epithelial cells, reclaim the pulmonary microenvironment, prevent pulmonary fibrosis, and cure lung dysfunction. Given the uncertainties in this area, we reviewed reported clinical trials and hypotheses to provide useful information to researchers and those interested in stem cell therapy. In this study, we considered this new approach to improve patient’s immunological responses to COVID-19 using MSCs and discussed the aspects of this proposed treatment. However, currently, there are no approved MSC-based approaches for the prevention and/or treatment of COVID-19 patients but clinical trials ongoing.","container-title":"Stem Cell Reviews and Reports","DOI":"10.1007/s12015-020-09973-w","ISSN":"2629-3269","journalAbbreviation":"Stem Cell Rev Rep","note":"PMID: 32281052\nPMCID: PMC7152513","page":"1-7","source":"PubMed Central","title":"Mesenchymal Stem Cell Therapy for COVID-19: Present or Future","title-short":"Mesenchymal Stem Cell Therapy for COVID-19","author":[{"family":"Golchin","given":"Ali"},{"family":"Seyedjafari","given":"Ehsan"},{"family":"Ardeshirylajimi","given":"Abdolreza"}],"issued":{"date-parts":[["2020",4,13]]}}}],"schema":"https://github.com/citation-style-language/schema/raw/master/csl-citation.json"} </w:instrText>
      </w:r>
      <w:r w:rsidR="00BA7D8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4</w:t>
      </w:r>
      <w:r w:rsidR="00BA7D8E" w:rsidRPr="009F44A4">
        <w:rPr>
          <w:rFonts w:ascii="Times New Roman" w:eastAsia="Calibri" w:hAnsi="Times New Roman" w:cs="Times New Roman"/>
          <w:color w:val="000000" w:themeColor="text1"/>
          <w:sz w:val="20"/>
          <w:szCs w:val="20"/>
        </w:rPr>
        <w:fldChar w:fldCharType="end"/>
      </w:r>
      <w:r w:rsidR="00BA7D8E" w:rsidRPr="009F44A4">
        <w:rPr>
          <w:rFonts w:ascii="Times New Roman" w:eastAsia="Calibri" w:hAnsi="Times New Roman" w:cs="Times New Roman"/>
          <w:color w:val="000000" w:themeColor="text1"/>
          <w:sz w:val="20"/>
          <w:szCs w:val="20"/>
        </w:rPr>
        <w:t>.</w:t>
      </w:r>
    </w:p>
    <w:p w14:paraId="33D88599" w14:textId="36D4A2ED" w:rsidR="00A76C71" w:rsidRPr="009F44A4" w:rsidRDefault="00482C4A"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r w:rsidRPr="009F44A4">
        <w:rPr>
          <w:rFonts w:ascii="Times New Roman" w:eastAsia="Times New Roman" w:hAnsi="Times New Roman" w:cs="Times New Roman"/>
          <w:b/>
          <w:noProof/>
          <w:color w:val="000000" w:themeColor="text1"/>
          <w:sz w:val="20"/>
          <w:szCs w:val="20"/>
          <w:lang w:val="en-IN"/>
        </w:rPr>
        <w:lastRenderedPageBreak/>
        <w:drawing>
          <wp:inline distT="0" distB="0" distL="0" distR="0" wp14:anchorId="167B4128" wp14:editId="33B60406">
            <wp:extent cx="5943600" cy="4067810"/>
            <wp:effectExtent l="0" t="0" r="0" b="889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pic:cNvPicPr>
                  </pic:nvPicPr>
                  <pic:blipFill>
                    <a:blip r:embed="rId11"/>
                    <a:srcRect/>
                    <a:stretch>
                      <a:fillRect/>
                    </a:stretch>
                  </pic:blipFill>
                  <pic:spPr>
                    <a:xfrm>
                      <a:off x="0" y="0"/>
                      <a:ext cx="5943600" cy="4067810"/>
                    </a:xfrm>
                    <a:prstGeom prst="rect">
                      <a:avLst/>
                    </a:prstGeom>
                    <a:ln/>
                  </pic:spPr>
                </pic:pic>
              </a:graphicData>
            </a:graphic>
          </wp:inline>
        </w:drawing>
      </w:r>
    </w:p>
    <w:p w14:paraId="148A1B0C" w14:textId="77777777" w:rsidR="00A76C71" w:rsidRPr="009F44A4" w:rsidRDefault="00A76C71" w:rsidP="00DC7281">
      <w:pPr>
        <w:shd w:val="clear" w:color="auto" w:fill="FFFFFF" w:themeFill="background1"/>
        <w:spacing w:line="360" w:lineRule="auto"/>
        <w:jc w:val="both"/>
        <w:rPr>
          <w:rFonts w:ascii="Times New Roman" w:eastAsia="Times New Roman" w:hAnsi="Times New Roman" w:cs="Times New Roman"/>
          <w:color w:val="000000" w:themeColor="text1"/>
          <w:sz w:val="20"/>
          <w:szCs w:val="20"/>
        </w:rPr>
      </w:pPr>
      <w:r w:rsidRPr="009F44A4">
        <w:rPr>
          <w:rFonts w:ascii="Times New Roman" w:eastAsia="Times New Roman" w:hAnsi="Times New Roman" w:cs="Times New Roman"/>
          <w:b/>
          <w:color w:val="000000" w:themeColor="text1"/>
          <w:sz w:val="20"/>
          <w:szCs w:val="20"/>
        </w:rPr>
        <w:t>Figure 3.</w:t>
      </w:r>
      <w:r w:rsidRPr="009F44A4">
        <w:rPr>
          <w:rFonts w:ascii="Times New Roman" w:eastAsia="Times New Roman" w:hAnsi="Times New Roman" w:cs="Times New Roman"/>
          <w:color w:val="000000" w:themeColor="text1"/>
          <w:sz w:val="20"/>
          <w:szCs w:val="20"/>
        </w:rPr>
        <w:t xml:space="preserve"> Distinct responses to mild and severe SARS-</w:t>
      </w:r>
      <w:proofErr w:type="spellStart"/>
      <w:r w:rsidRPr="009F44A4">
        <w:rPr>
          <w:rFonts w:ascii="Times New Roman" w:eastAsia="Times New Roman" w:hAnsi="Times New Roman" w:cs="Times New Roman"/>
          <w:color w:val="000000" w:themeColor="text1"/>
          <w:sz w:val="20"/>
          <w:szCs w:val="20"/>
        </w:rPr>
        <w:t>CoV</w:t>
      </w:r>
      <w:proofErr w:type="spellEnd"/>
      <w:r w:rsidRPr="009F44A4">
        <w:rPr>
          <w:rFonts w:ascii="Times New Roman" w:eastAsia="Times New Roman" w:hAnsi="Times New Roman" w:cs="Times New Roman"/>
          <w:color w:val="000000" w:themeColor="text1"/>
          <w:sz w:val="20"/>
          <w:szCs w:val="20"/>
        </w:rPr>
        <w:t>-2 infections.</w:t>
      </w:r>
    </w:p>
    <w:p w14:paraId="03A660A0" w14:textId="77777777" w:rsidR="00A76C71" w:rsidRPr="009F44A4" w:rsidRDefault="00A76C71"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p>
    <w:p w14:paraId="7BEC6C9E" w14:textId="2E7990A7" w:rsidR="008D16FE" w:rsidRPr="009F44A4" w:rsidRDefault="00C02138"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eastAsia="Calibri" w:hAnsi="Times New Roman" w:cs="Times New Roman"/>
          <w:b/>
          <w:color w:val="000000" w:themeColor="text1"/>
          <w:sz w:val="20"/>
          <w:szCs w:val="20"/>
        </w:rPr>
        <w:t>Response of T-cell and B-cell</w:t>
      </w:r>
    </w:p>
    <w:p w14:paraId="380FE7E1" w14:textId="6DB7D9B4" w:rsidR="008D16FE" w:rsidRPr="009F44A4" w:rsidRDefault="00A75ECF"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 xml:space="preserve">Immune cells such as T-lymphocytes for antibody-independent directed immunity and B-cells for antibody-mediated immunity play a significant role in the adaptive immune response to all viral infections. Nonetheless, helper T lymphocyte activation of </w:t>
      </w:r>
      <w:proofErr w:type="spellStart"/>
      <w:r w:rsidRPr="009F44A4">
        <w:rPr>
          <w:rFonts w:ascii="Times New Roman" w:hAnsi="Times New Roman" w:cs="Times New Roman"/>
          <w:color w:val="000000" w:themeColor="text1"/>
          <w:sz w:val="20"/>
          <w:szCs w:val="20"/>
          <w:shd w:val="clear" w:color="auto" w:fill="FFFFFF"/>
        </w:rPr>
        <w:t>Th1</w:t>
      </w:r>
      <w:proofErr w:type="spellEnd"/>
      <w:r w:rsidRPr="009F44A4">
        <w:rPr>
          <w:rFonts w:ascii="Times New Roman" w:hAnsi="Times New Roman" w:cs="Times New Roman"/>
          <w:color w:val="000000" w:themeColor="text1"/>
          <w:sz w:val="20"/>
          <w:szCs w:val="20"/>
          <w:shd w:val="clear" w:color="auto" w:fill="FFFFFF"/>
        </w:rPr>
        <w:t xml:space="preserve"> / </w:t>
      </w:r>
      <w:proofErr w:type="spellStart"/>
      <w:r w:rsidRPr="009F44A4">
        <w:rPr>
          <w:rFonts w:ascii="Times New Roman" w:hAnsi="Times New Roman" w:cs="Times New Roman"/>
          <w:color w:val="000000" w:themeColor="text1"/>
          <w:sz w:val="20"/>
          <w:szCs w:val="20"/>
          <w:shd w:val="clear" w:color="auto" w:fill="FFFFFF"/>
        </w:rPr>
        <w:t>Th17</w:t>
      </w:r>
      <w:proofErr w:type="spellEnd"/>
      <w:r w:rsidRPr="009F44A4">
        <w:rPr>
          <w:rFonts w:ascii="Times New Roman" w:hAnsi="Times New Roman" w:cs="Times New Roman"/>
          <w:color w:val="000000" w:themeColor="text1"/>
          <w:sz w:val="20"/>
          <w:szCs w:val="20"/>
          <w:shd w:val="clear" w:color="auto" w:fill="FFFFFF"/>
        </w:rPr>
        <w:t xml:space="preserve"> results in alleviation of the inflammatory effect, while the production of specific SARS </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-2 antibodies are processed by B lymphocytes for virus neutralization</w:t>
      </w:r>
      <w:r w:rsidR="00A557BF" w:rsidRPr="009F44A4">
        <w:rPr>
          <w:rFonts w:ascii="Times New Roman" w:eastAsia="Calibri" w:hAnsi="Times New Roman" w:cs="Times New Roman"/>
          <w:color w:val="000000" w:themeColor="text1"/>
          <w:sz w:val="20"/>
          <w:szCs w:val="20"/>
        </w:rPr>
        <w:t xml:space="preserve"> </w:t>
      </w:r>
      <w:r w:rsidR="00A557BF"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{"citationID":"sBlaXJou","properties":{"formattedCitation":"\\super 5,161\\nosupersub{}","plainCitation":"5,161","noteIndex":0},"citationItems":[{"id":543,"uris":["http://zotero.org/users/local/ZR048J0w/items/GA9R8RN5"],"uri":["http://zotero.org/users/local/ZR048J0w/items/GA9R8RN5"],"itemData":{"id":543,"type":"article-journal","abstract":"The new coronavirus outbreak is an ongoing pandemic that is caused by severe acute respiratory syndrome coronavirus 2 (SARS-CoV-2). The new coronavirus SARS-Cov-2 belongs to the subfamily of β–coronaviruses and shares 79.5% of the genetic sequence of SARS-CoV, the causative agent of the epidemic that started in 2002 and ended in 2004., Considering the clinical impact of the new outbreak, it is highly important to study the potential responses of the human immune system during the SARS-CoV-2 infection as well as the role of virus-specific T cells and by B-lymphocytes. Moreover, specific data on the production of IgG and IgM is crucial to allow the rapid identification of the infection. In this paper we also described the importance of sensitive and specific rapid test for SARS-CoV-2. Indeed, this test represents an important immunological tool aimed at identifying the precise phase of the infection in order to undertake a more appropriate pharmacological treatment. Lastly, we provided an overview of pharmacological treatments aimed to reduce inflammatory processes underlying the infection and the need for the discovery of a new vaccine against SARS-CoV-2.","container-title":"International Immunopharmacology","DOI":"10.1016/j.intimp.2020.106519","ISSN":"1567-5769","journalAbbreviation":"Int Immunopharmacol","note":"PMID: 32311668\nPMCID: PMC7161502","page":"106519","source":"PubMed Central","title":"SARS-Cov-2 infection: Response of human immune system and possible implications for the rapid test and treatment","title-short":"SARS-Cov-2 infection","volume":"84","author":[{"family":"Mauro","given":"Gabriella","non-dropping-particle":"di"},{"family":"Scavone","given":"Cristina"},{"family":"Rafaniello","given":"Concetta"},{"family":"Rossi","given":"Francesco"},{"family":"Capuano","given":"Annalisa"}],"issued":{"date-parts":[["2020",7]]}}},{"id":861,"uris":["http://zotero.org/users/local/ZR048J0w/items/9PP3A7NC"],"uri":["http://zotero.org/users/local/ZR048J0w/items/9PP3A7NC"],"itemData":{"id":861,"type":"article-journal","abstract":"As the world is witnessing the epidemic of COVID-19, a disease caused by a novel coronavirus, SARS-CoV-2, emerging genetics and clinical evidences suggest a similar path to those of SARS and MERS. The rapid genomic sequencing and open access data, together with advanced vaccine technology, are expected to give us more knowledge on the pathogen itself, including the host immune response as well as the plan for therapeutic vaccines in the near future. This review aims to provide a comparative view among SARS-CoV, MERS-CoV and the newly epidemic SARS-CoV-2, in the hope to gain a better understanding of the host-pathogen interaction, host immune responses, and the pathogen immune evasion strategies. This predictive view may help in designing an immune intervention or preventive vaccine for COVID-19 in the near future.","container-title":"Asian Pacific Journal of Allergy and Immunology","DOI":"10.12932/AP-200220-0772","ISSN":"0125-877X","issue":"1","journalAbbreviation":"Asian Pac J Allergy Immunol","language":"eng","note":"PMID: 32105090","page":"1-9","source":"PubMed","title":"Immune responses in COVID-19 and potential vaccines: Lessons learned from SARS and MERS epidemic","title-short":"Immune responses in COVID-19 and potential vaccines","volume":"38","author":[{"family":"Prompetchara","given":"Eakachai"},{"family":"Ketloy","given":"Chutitorn"},{"family":"Palaga","given":"Tanapat"}],"issued":{"date-parts":[["2020",3]]}}}],"schema":"https://github.com/citation-style-language/schema/raw/master/csl-citation.json"} </w:instrText>
      </w:r>
      <w:r w:rsidR="00A557BF"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5,161</w:t>
      </w:r>
      <w:r w:rsidR="00A557BF"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After reaching the host, the virus binds and invades the cells expressing its special replication receptor. The human leukocyte antigen (HLA) system such as class I and class II display viral antigenic peptides to appropriate T-cells such as CD8+ and CD4+. Class II HLA system is represented only on  professional antigen presenting cell (APC) such as dendritic cells and/or macrophages </w:t>
      </w:r>
      <w:r w:rsidR="00A557BF"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{"citationID":"aMVDmHi0","properties":{"formattedCitation":"\\super 161\\nosupersub{}","plainCitation":"161","noteIndex":0},"citationItems":[{"id":861,"uris":["http://zotero.org/users/local/ZR048J0w/items/9PP3A7NC"],"uri":["http://zotero.org/users/local/ZR048J0w/items/9PP3A7NC"],"itemData":{"id":861,"type":"article-journal","abstract":"As the world is witnessing the epidemic of COVID-19, a disease caused by a novel coronavirus, SARS-CoV-2, emerging genetics and clinical evidences suggest a similar path to those of SARS and MERS. The rapid genomic sequencing and open access data, together with advanced vaccine technology, are expected to give us more knowledge on the pathogen itself, including the host immune response as well as the plan for therapeutic vaccines in the near future. This review aims to provide a comparative view among SARS-CoV, MERS-CoV and the newly epidemic SARS-CoV-2, in the hope to gain a better understanding of the host-pathogen interaction, host immune responses, and the pathogen immune evasion strategies. This predictive view may help in designing an immune intervention or preventive vaccine for COVID-19 in the near future.","container-title":"Asian Pacific Journal of Allergy and Immunology","DOI":"10.12932/AP-200220-0772","ISSN":"0125-877X","issue":"1","journalAbbreviation":"Asian Pac J Allergy Immunol","language":"eng","note":"PMID: 32105090","page":"1-9","source":"PubMed","title":"Immune responses in COVID-19 and potential vaccines: Lessons learned from SARS and MERS epidemic","title-short":"Immune responses in COVID-19 and potential vaccines","volume":"38","author":[{"family":"Prompetchara","given":"Eakachai"},{"family":"Ketloy","given":"Chutitorn"},{"family":"Palaga","given":"Tanapat"}],"issued":{"date-parts":[["2020",3]]}}}],"schema":"https://github.com/citation-style-language/schema/raw/master/csl-citation.json"} </w:instrText>
      </w:r>
      <w:r w:rsidR="00A557BF"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161</w:t>
      </w:r>
      <w:r w:rsidR="00A557BF"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to display processed antigenic protein or whole viruses to helper T-lymphocyte CD4+ molecule</w:t>
      </w:r>
      <w:r w:rsidR="009D67EA" w:rsidRPr="009F44A4">
        <w:rPr>
          <w:rFonts w:ascii="Times New Roman" w:eastAsia="Calibri" w:hAnsi="Times New Roman" w:cs="Times New Roman"/>
          <w:color w:val="000000" w:themeColor="text1"/>
          <w:sz w:val="20"/>
          <w:szCs w:val="20"/>
        </w:rPr>
        <w:t xml:space="preserve"> </w:t>
      </w:r>
      <w:r w:rsidR="009D67EA"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{"citationID":"ZqV3DfN0","properties":{"formattedCitation":"\\super 154,162\\nosupersub{}","plainCitation":"154,162","noteIndex":0},"citationItems":[{"id":866,"uris":["http://zotero.org/users/local/ZR048J0w/items/TCXXHG2K"],"uri":["http://zotero.org/users/local/ZR048J0w/items/TCXXHG2K"],"itemData":{"id":866,"type":"article-journal","abstract":"As a zoonotic disease that has already spread globally to several million human beings and possibly to domestic and wild animals, eradication of coronavirus disease 2019 (COVID-19) appears practically impossible. There is a pressing need to improve our understanding of the immunology of this disease to contain the pandemic by developing vaccines and medicines for the prevention and treatment of patients. In this review, we aim to improve our understanding on the immune response and immunopathological changes in patients linked to deteriorating clinical conditions such as cytokine storm, acute respiratory distress syndrome, autopsy findings and changes in acute-phase reactants, and serum biochemistry in COVID-19. Similar to many other viral infections, asymptomatic disease is present in a significant but currently unknown fraction of the affected individuals. In the majority of the patients, a 1-week, self-limiting viral respiratory disease typically occurs, which ends with the development of neutralizing antiviral T cell and antibody immunity. The IgM-, IgA-, and IgG-type virus-specific antibodies levels are important measurements to predict population immunity against this disease and whether cross-reactivity with other coronaviruses is taking place. High viral load during the first infection and repeated exposure to virus especially in healthcare workers can be an important factor for severity of disease. It should be noted that many aspects of severe patients are unique to COVID-19 and are rarely observed in other respiratory viral infections, such as severe lymphopenia and eosinopenia, extensive pneumonia and lung tissue damage, a cytokine storm leading to acute respiratory distress syndrome, and multiorgan failure. Lymphopenia causes a defect in antiviral and immune regulatory immunity. At the same time, a cytokine storm starts with extensive activation of cytokine-secreting cells with innate and adaptive immune mechanisms both of which contribute to a poor prognosis. Elevated levels of acute-phase reactants and lymphopenia are early predictors of high disease severity. Prevention of development to severe disease, cytokine storm, acute respiratory distress syndrome, and novel approaches to prevent their development will be main routes for future research areas. As we learn to live amidst the virus, understanding the immunology of the disease can assist in containing the pandemic and in developing vaccines and medicines to prevent and treat individual patients.","container-title":"Allergy","DOI":"https://doi.org/10.1111/all.14364","ISSN":"1398-9995","issue":"7","language":"en","note":"_eprint: https://onlinelibrary.wiley.com/doi/pdf/10.1111/all.14364","page":"1564-1581","source":"Wiley Online Library","title":"Immune response to SARS-CoV-2 and mechanisms of immunopathological changes in COVID-19","volume":"75","author":[{"family":"Azkur","given":"Ahmet Kursat"},{"family":"Akdis","given":"Mübeccel"},{"family":"Azkur","given":"Dilek"},{"family":"Sokolowska","given":"Milena"},{"family":"Veen","given":"Willem","dropping-particle":"van de"},{"family":"Brüggen","given":"Marie-Charlotte"},{"family":"O’Mahony","given":"Liam"},{"family":"Gao","given":"Yadong"},{"family":"Nadeau","given":"Kari"},{"family":"Akdis","given":"Cezmi A."}],"issued":{"date-parts":[["2020"]]}}},{"id":864,"uris":["http://zotero.org/users/local/ZR048J0w/items/LSH54T4V"],"uri":["http://zotero.org/users/local/ZR048J0w/items/LSH54T4V"],"itemData":{"id":864,"type":"chapter","abstract":"One of the most serious viral outbreaks of the decade, infecting humans, originated from the city of Wuhan, China, by the end of December 2019, has left the world shaken up. It is the successor infection of severe acute respiratory syndrome coronavirus (SARS-CoV) named as SARS-CoV-2 causing a disease called as COVID-19 (Coronavirus disease-19). Being one of the most severe diseases in terms of transmission, this disease agitates the immune system of an individual quite disturbingly which at times leads to death, which is why it has become the need of the hour to step forward to extensively involve in understanding the genetics, pathogenesis, and immunopathology of SARS-CoV-2 in order to design drugs to treat or to design a vaccine to prevent. In this chapter, we have tried to review and summarize the studies done so far to understand the host–pathogen relationship and the host immune response during COVID-19 infection. One of the recent developments regarding the understanding of SARS-CoV-2 infection is the mechanism of immune evasion involved during the pathogenesis and cytokine storm syndrome during infection in the patient against which a drug called as Hydroxychloroquine has been designed. Comprehensively, we have tried to give an immunological insight into the SARS-CoV-2 infection in order to understand the possible outcome for any therapeutic advancement.","collection-title":"Medical Virology: From Pathogenesis to Disease Control","container-title":"Coronavirus Disease 2019 (COVID-19): Epidemiology, Pathogenesis, Diagnosis, and Therapeutics","event-place":"Singapore","ISBN":"9789811548147","language":"en","note":"DOI: 10.1007/978-981-15-4814-7_5","page":"43-53","publisher":"Springer","publisher-place":"Singapore","source":"Springer Link","title":"Host Immune Response and Immunobiology of Human SARS-CoV-2 Infection","URL":"https://doi.org/10.1007/978-981-15-4814-7_5","author":[{"family":"Kumar","given":"Swatantra"},{"family":"Nyodu","given":"Rajni"},{"family":"Maurya","given":"Vimal K."},{"family":"Saxena","given":"Shailendra K."}],"editor":[{"family":"Saxena","given":"Shailendra K."}],"accessed":{"date-parts":[["2020",12,22]]},"issued":{"date-parts":[["2020"]]}}}],"schema":"https://github.com/citation-style-language/schema/raw/master/csl-citation.json"} </w:instrText>
      </w:r>
      <w:r w:rsidR="009D67EA"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154,162</w:t>
      </w:r>
      <w:r w:rsidR="009D67EA" w:rsidRPr="009F44A4">
        <w:rPr>
          <w:rFonts w:ascii="Times New Roman" w:eastAsia="Calibri" w:hAnsi="Times New Roman" w:cs="Times New Roman"/>
          <w:color w:val="000000" w:themeColor="text1"/>
          <w:sz w:val="20"/>
          <w:szCs w:val="20"/>
        </w:rPr>
        <w:fldChar w:fldCharType="end"/>
      </w:r>
      <w:r w:rsidR="009D67EA"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In the case of COVID-19, once the coronavirus is within the lung epithelial cells, viral peptides are introduced to CD8+ cytotoxic T cells by means of Class I major histocompatibility complex (MHC) proteins, followed by Class II major histocompatibility complex (MHC) with larger peptides</w:t>
      </w:r>
      <w:r w:rsidR="00CE2638" w:rsidRPr="009F44A4">
        <w:rPr>
          <w:rFonts w:ascii="Times New Roman" w:eastAsia="Calibri" w:hAnsi="Times New Roman" w:cs="Times New Roman"/>
          <w:color w:val="000000" w:themeColor="text1"/>
          <w:sz w:val="20"/>
          <w:szCs w:val="20"/>
        </w:rPr>
        <w:t xml:space="preserve"> </w:t>
      </w:r>
      <w:r w:rsidR="00CE2638"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{"citationID":"RTjiAhiK","properties":{"formattedCitation":"\\super 154,163,164\\nosupersub{}","plainCitation":"154,163,164","noteIndex":0},"citationItems":[{"id":866,"uris":["http://zotero.org/users/local/ZR048J0w/items/TCXXHG2K"],"uri":["http://zotero.org/users/local/ZR048J0w/items/TCXXHG2K"],"itemData":{"id":866,"type":"article-journal","abstract":"As a zoonotic disease that has already spread globally to several million human beings and possibly to domestic and wild animals, eradication of coronavirus disease 2019 (COVID-19) appears practically impossible. There is a pressing need to improve our understanding of the immunology of this disease to contain the pandemic by developing vaccines and medicines for the prevention and treatment of patients. In this review, we aim to improve our understanding on the immune response and immunopathological changes in patients linked to deteriorating clinical conditions such as cytokine storm, acute respiratory distress syndrome, autopsy findings and changes in acute-phase reactants, and serum biochemistry in COVID-19. Similar to many other viral infections, asymptomatic disease is present in a significant but currently unknown fraction of the affected individuals. In the majority of the patients, a 1-week, self-limiting viral respiratory disease typically occurs, which ends with the development of neutralizing antiviral T cell and antibody immunity. The IgM-, IgA-, and IgG-type virus-specific antibodies levels are important measurements to predict population immunity against this disease and whether cross-reactivity with other coronaviruses is taking place. High viral load during the first infection and repeated exposure to virus especially in healthcare workers can be an important factor for severity of disease. It should be noted that many aspects of severe patients are unique to COVID-19 and are rarely observed in other respiratory viral infections, such as severe lymphopenia and eosinopenia, extensive pneumonia and lung tissue damage, a cytokine storm leading to acute respiratory distress syndrome, and multiorgan failure. Lymphopenia causes a defect in antiviral and immune regulatory immunity. At the same time, a cytokine storm starts with extensive activation of cytokine-secreting cells with innate and adaptive immune mechanisms both of which contribute to a poor prognosis. Elevated levels of acute-phase reactants and lymphopenia are early predictors of high disease severity. Prevention of development to severe disease, cytokine storm, acute respiratory distress syndrome, and novel approaches to prevent their development will be main routes for future research areas. As we learn to live amidst the virus, understanding the immunology of the disease can assist in containing the pandemic and in developing vaccines and medicines to prevent and treat individual patients.","container-title":"Allergy","DOI":"https://doi.org/10.1111/all.14364","ISSN":"1398-9995","issue":"7","language":"en","note":"_eprint: https://onlinelibrary.wiley.com/doi/pdf/10.1111/all.14364","page":"1564-1581","source":"Wiley Online Library","title":"Immune response to SARS-CoV-2 and mechanisms of immunopathological changes in COVID-19","volume":"75","author":[{"family":"Azkur","given":"Ahmet Kursat"},{"family":"Akdis","given":"Mübeccel"},{"family":"Azkur","given":"Dilek"},{"family":"Sokolowska","given":"Milena"},{"family":"Veen","given":"Willem","dropping-particle":"van de"},{"family":"Brüggen","given":"Marie-Charlotte"},{"family":"O’Mahony","given":"Liam"},{"family":"Gao","given":"Yadong"},{"family":"Nadeau","given":"Kari"},{"family":"Akdis","given":"Cezmi A."}],"issued":{"date-parts":[["2020"]]}}},{"id":869,"uris":["http://zotero.org/users/local/ZR048J0w/items/LCWAT826"],"uri":["http://zotero.org/users/local/ZR048J0w/items/LCWAT826"],"itemData":{"id":869,"type":"article-journal","abstract":"Influenza A and B virus infections are a major cause of respiratory disease in humans and are responsible for substantial morbidity and mortality worldwide. Vaccination against influenza mainly aims at the induction of virus neutralizing serum antibodies, which are an important correlate of protection provided that the antibodies match the strains causing the outbreaks antigenically. In addition, virus-specific T cells are known to contribute to protective immunity to influenza virus infections by limiting duration and severity of the disease. As the majority of virus-specific T cells recognize epitopes located in relatively conserved proteins, like the Nucleoprotein and Matrix 1 protein, they display a high degree of cross-reactivity with a wide range of influenza viruses, including newly emerging viruses of alternative subtypes. Advancing our understanding of influenza virus-specific T cell responses and their role in protective immunity against influenza will aid the rational design of novel vaccines that could induce robust, broad and long-lasting immune responses. Here, we discuss the contribution of influenza virus-specific CD4+ and CD8+ T cells to protective immunity against influenza infection and the requirements and strategies for their induction by natural infection or vaccination, especially in children.","container-title":"Journal of Clinical Virology: The Official Publication of the Pan American Society for Clinical Virology","DOI":"10.1016/j.jcv.2019.08.009","ISSN":"1873-5967","journalAbbreviation":"J Clin Virol","language":"eng","note":"PMID: 31491709","page":"44-52","source":"PubMed","title":"Influenza virus-specific CD4+ and CD8+ T cell-mediated immunity induced by infection and vaccination","volume":"119","author":[{"family":"Jansen","given":"Janina M."},{"family":"Gerlach","given":"Thomas"},{"family":"Elbahesh","given":"Husni"},{"family":"Rimmelzwaan","given":"Guus F."},{"family":"Saletti","given":"Giulietta"}],"issued":{"date-parts":[["2019",10]]}}},{"id":873,"uris":["http://zotero.org/users/local/ZR048J0w/items/TV5TZPWD"],"uri":["http://zotero.org/users/local/ZR048J0w/items/TV5TZPWD"],"itemData":{"id":873,"type":"article-journal","abstract":"Of the seven coronaviruses associated with disease in humans, SARS-CoV, MERS-CoV and SARS-CoV-2 cause considerable mortality but also share significant sequence homology, and potentially antigenic epitopes capable of inducing an immune response. The degree of similarity is such that perhaps prior exposure to one virus could confer partial immunity to another. Indeed, data suggests a considerable amount of cross-reactivity and recognition by the hosts immune response between different coronavirus infections. While the ongoing COVID-19 outbreak rapidly overwhelmed medical facilities of particularly Europe and North America, accounting for 78% of global deaths, only 8% of deaths have occurred in Asia where the outbreak originated. Interestingly, Asia and the Middle East have previously experienced multiple rounds of coronavirus infections, perhaps suggesting buildup of acquired immunity to the causative SARS-CoV-2 that underlies COVID-19. This article hypothesizes that a causative factor underlying such low morbidity in these regions is perhaps (at least in part) due to acquired immunity from multiple rounds of coronavirus infections and discusses the mechanisms and recent evidence to support such assertions. Further investigations of such phenomenon would allow us to examine strategies to confer protective immunity, perhaps aiding vaccine development.","container-title":"Medical Hypotheses","DOI":"10.1016/j.mehy.2020.110049","ISSN":"0306-9877","journalAbbreviation":"Med Hypotheses","note":"PMID: 32758887\nPMCID: PMC7326438","page":"110049","source":"PubMed Central","title":"Cross-immunity between respiratory coronaviruses may limit COVID-19 fatalities","volume":"144","author":[{"family":"Yaqinuddin","given":"Ahmed"}],"issued":{"date-parts":[["2020",11]]}}}],"schema":"https://github.com/citation-style-language/schema/raw/master/csl-citation.json"} </w:instrText>
      </w:r>
      <w:r w:rsidR="00CE2638"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154,163,164</w:t>
      </w:r>
      <w:r w:rsidR="00CE2638" w:rsidRPr="009F44A4">
        <w:rPr>
          <w:rFonts w:ascii="Times New Roman" w:eastAsia="Calibri" w:hAnsi="Times New Roman" w:cs="Times New Roman"/>
          <w:color w:val="000000" w:themeColor="text1"/>
          <w:sz w:val="20"/>
          <w:szCs w:val="20"/>
        </w:rPr>
        <w:fldChar w:fldCharType="end"/>
      </w:r>
      <w:r w:rsidR="00CE2638"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 xml:space="preserve">When CD8+ cells start dividing and showing clonal expansion, virus-specific effectors and T-cell memory get developed. Cytotoxic T-cells that express CD8+ receptors are lysed with tissue cells infected with the virus. B cells can interact with CD4+ T cells and can directly recognize and activate viruses. In the first week of symptoms, </w:t>
      </w:r>
      <w:proofErr w:type="spellStart"/>
      <w:r w:rsidRPr="009F44A4">
        <w:rPr>
          <w:rFonts w:ascii="Times New Roman" w:hAnsi="Times New Roman" w:cs="Times New Roman"/>
          <w:color w:val="000000" w:themeColor="text1"/>
          <w:sz w:val="20"/>
          <w:szCs w:val="20"/>
          <w:shd w:val="clear" w:color="auto" w:fill="FFFFFF"/>
        </w:rPr>
        <w:t>IgM</w:t>
      </w:r>
      <w:proofErr w:type="spellEnd"/>
      <w:r w:rsidRPr="009F44A4">
        <w:rPr>
          <w:rFonts w:ascii="Times New Roman" w:hAnsi="Times New Roman" w:cs="Times New Roman"/>
          <w:color w:val="000000" w:themeColor="text1"/>
          <w:sz w:val="20"/>
          <w:szCs w:val="20"/>
          <w:shd w:val="clear" w:color="auto" w:fill="FFFFFF"/>
        </w:rPr>
        <w:t xml:space="preserve"> </w:t>
      </w:r>
      <w:proofErr w:type="spellStart"/>
      <w:r w:rsidRPr="009F44A4">
        <w:rPr>
          <w:rFonts w:ascii="Times New Roman" w:hAnsi="Times New Roman" w:cs="Times New Roman"/>
          <w:color w:val="000000" w:themeColor="text1"/>
          <w:sz w:val="20"/>
          <w:szCs w:val="20"/>
          <w:shd w:val="clear" w:color="auto" w:fill="FFFFFF"/>
        </w:rPr>
        <w:t>isotype</w:t>
      </w:r>
      <w:proofErr w:type="spellEnd"/>
      <w:r w:rsidRPr="009F44A4">
        <w:rPr>
          <w:rFonts w:ascii="Times New Roman" w:hAnsi="Times New Roman" w:cs="Times New Roman"/>
          <w:color w:val="000000" w:themeColor="text1"/>
          <w:sz w:val="20"/>
          <w:szCs w:val="20"/>
          <w:shd w:val="clear" w:color="auto" w:fill="FFFFFF"/>
        </w:rPr>
        <w:t xml:space="preserve"> primary virus-specific antibody response is observed</w:t>
      </w:r>
      <w:r w:rsidR="00563A8D" w:rsidRPr="009F44A4">
        <w:rPr>
          <w:rFonts w:ascii="Times New Roman" w:eastAsia="Calibri" w:hAnsi="Times New Roman" w:cs="Times New Roman"/>
          <w:color w:val="000000" w:themeColor="text1"/>
          <w:sz w:val="20"/>
          <w:szCs w:val="20"/>
        </w:rPr>
        <w:t xml:space="preserve"> </w:t>
      </w:r>
      <w:r w:rsidR="00563A8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{"citationID":"nz6QGKib","properties":{"formattedCitation":"\\super 154,164\\nosupersub{}","plainCitation":"154,164","noteIndex":0},"citationItems":[{"id":866,"uris":["http://zotero.org/users/local/ZR048J0w/items/TCXXHG2K"],"uri":["http://zotero.org/users/local/ZR048J0w/items/TCXXHG2K"],"itemData":{"id":866,"type":"article-journal","abstract":"As a zoonotic disease that has already spread globally to several million human beings and possibly to domestic and wild animals, eradication of coronavirus disease 2019 (COVID-19) appears practically impossible. There is a pressing need to improve our understanding of the immunology of this disease to contain the pandemic by developing vaccines and medicines for the prevention and treatment of patients. In this review, we aim to improve our understanding on the immune response and immunopathological changes in patients linked to deteriorating clinical conditions such as cytokine storm, acute respiratory distress syndrome, autopsy findings and changes in acute-phase reactants, and serum biochemistry in COVID-19. Similar to many other viral infections, asymptomatic disease is present in a significant but currently unknown fraction of the affected individuals. In the majority of the patients, a 1-week, self-limiting viral respiratory disease typically occurs, which ends with the development of neutralizing antiviral T cell and antibody immunity. The IgM-, IgA-, and IgG-type virus-specific antibodies levels are important measurements to predict population immunity against this disease and whether cross-reactivity with other coronaviruses is taking place. High viral load during the first infection and repeated exposure to virus especially in healthcare workers can be an important factor for severity of disease. It should be noted that many aspects of severe patients are unique to COVID-19 and are rarely observed in other respiratory viral infections, such as severe lymphopenia and eosinopenia, extensive pneumonia and lung tissue damage, a cytokine storm leading to acute respiratory distress syndrome, and multiorgan failure. Lymphopenia causes a defect in antiviral and immune regulatory immunity. At the same time, a cytokine storm starts with extensive activation of cytokine-secreting cells with innate and adaptive immune mechanisms both of which contribute to a poor prognosis. Elevated levels of acute-phase reactants and lymphopenia are early predictors of high disease severity. Prevention of development to severe disease, cytokine storm, acute respiratory distress syndrome, and novel approaches to prevent their development will be main routes for future research areas. As we learn to live amidst the virus, understanding the immunology of the disease can assist in containing the pandemic and in developing vaccines and medicines to prevent and treat individual patients.","container-title":"Allergy","DOI":"https://doi.org/10.1111/all.14364","ISSN":"1398-9995","issue":"7","language":"en","note":"_eprint: https://onlinelibrary.wiley.com/doi/pdf/10.1111/all.14364","page":"1564-1581","source":"Wiley Online Library","title":"Immune response to SARS-CoV-2 and mechanisms of immunopathological changes in COVID-19","volume":"75","author":[{"family":"Azkur","given":"Ahmet Kursat"},{"family":"Akdis","given":"Mübeccel"},{"family":"Azkur","given":"Dilek"},{"family":"Sokolowska","given":"Milena"},{"family":"Veen","given":"Willem","dropping-particle":"van de"},{"family":"Brüggen","given":"Marie-Charlotte"},{"family":"O’Mahony","given":"Liam"},{"family":"Gao","given":"Yadong"},{"family":"Nadeau","given":"Kari"},{"family":"Akdis","given":"Cezmi A."}],"issued":{"date-parts":[["2020"]]}}},{"id":873,"uris":["http://zotero.org/users/local/ZR048J0w/items/TV5TZPWD"],"uri":["http://zotero.org/users/local/ZR048J0w/items/TV5TZPWD"],"itemData":{"id":873,"type":"article-journal","abstract":"Of the seven coronaviruses associated with disease in humans, SARS-CoV, MERS-CoV and SARS-CoV-2 cause considerable mortality but also share significant sequence homology, and potentially antigenic epitopes capable of inducing an immune response. The degree of similarity is such that perhaps prior exposure to one virus could confer partial immunity to another. Indeed, data suggests a considerable amount of cross-reactivity and recognition by the hosts immune response between different coronavirus infections. While the ongoing COVID-19 outbreak rapidly overwhelmed medical facilities of particularly Europe and North America, accounting for 78% of global deaths, only 8% of deaths have occurred in Asia where the outbreak originated. Interestingly, Asia and the Middle East have previously experienced multiple rounds of coronavirus infections, perhaps suggesting buildup of acquired immunity to the causative SARS-CoV-2 that underlies COVID-19. This article hypothesizes that a causative factor underlying such low morbidity in these regions is perhaps (at least in part) due to acquired immunity from multiple rounds of coronavirus infections and discusses the mechanisms and recent evidence to support such assertions. Further investigations of such phenomenon would allow us to examine strategies to confer protective immunity, perhaps aiding vaccine development.","container-title":"Medical Hypotheses","DOI":"10.1016/j.mehy.2020.110049","ISSN":"0306-9877","journalAbbreviation":"Med Hypotheses","note":"PMID: 32758887\nPMCID: PMC7326438","page":"110049","source":"PubMed Central","title":"Cross-immunity between respiratory coronaviruses may limit COVID-19 fatalities","volume":"144","author":[{"family":"Yaqinuddin","given":"Ahmed"}],"issued":{"date-parts":[["2020",11]]}}}],"schema":"https://github.com/citation-style-language/schema/raw/master/csl-citation.json"} </w:instrText>
      </w:r>
      <w:r w:rsidR="00563A8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154,164</w:t>
      </w:r>
      <w:r w:rsidR="00563A8D" w:rsidRPr="009F44A4">
        <w:rPr>
          <w:rFonts w:ascii="Times New Roman" w:eastAsia="Calibri" w:hAnsi="Times New Roman" w:cs="Times New Roman"/>
          <w:color w:val="000000" w:themeColor="text1"/>
          <w:sz w:val="20"/>
          <w:szCs w:val="20"/>
        </w:rPr>
        <w:fldChar w:fldCharType="end"/>
      </w:r>
      <w:r w:rsidR="00563A8D"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p>
    <w:p w14:paraId="553F6D97" w14:textId="7CEC8C9C" w:rsidR="008D16FE" w:rsidRPr="009F44A4" w:rsidRDefault="00A75ECF"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lastRenderedPageBreak/>
        <w:t>After dealing with study of past events or situation of COVID-19 patients, the outcomes displayed a significant reduction in total lymphocyte counts, B lymphocytes, Natural Killer (NK) cells, CD4+ and CD8+ T cells</w:t>
      </w:r>
      <w:r w:rsidR="00C02138" w:rsidRPr="009F44A4">
        <w:rPr>
          <w:rFonts w:ascii="Times New Roman" w:eastAsia="Calibri" w:hAnsi="Times New Roman" w:cs="Times New Roman"/>
          <w:color w:val="000000" w:themeColor="text1"/>
          <w:sz w:val="20"/>
          <w:szCs w:val="20"/>
        </w:rPr>
        <w:t xml:space="preserve"> </w:t>
      </w:r>
      <w:r w:rsidR="001B3E1B"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{"citationID":"DydYHzHT","properties":{"formattedCitation":"\\super 154,155,165,166\\nosupersub{}","plainCitation":"154,155,165,166","noteIndex":0},"citationItems":[{"id":866,"uris":["http://zotero.org/users/local/ZR048J0w/items/TCXXHG2K"],"uri":["http://zotero.org/users/local/ZR048J0w/items/TCXXHG2K"],"itemData":{"id":866,"type":"article-journal","abstract":"As a zoonotic disease that has already spread globally to several million human beings and possibly to domestic and wild animals, eradication of coronavirus disease 2019 (COVID-19) appears practically impossible. There is a pressing need to improve our understanding of the immunology of this disease to contain the pandemic by developing vaccines and medicines for the prevention and treatment of patients. In this review, we aim to improve our understanding on the immune response and immunopathological changes in patients linked to deteriorating clinical conditions such as cytokine storm, acute respiratory distress syndrome, autopsy findings and changes in acute-phase reactants, and serum biochemistry in COVID-19. Similar to many other viral infections, asymptomatic disease is present in a significant but currently unknown fraction of the affected individuals. In the majority of the patients, a 1-week, self-limiting viral respiratory disease typically occurs, which ends with the development of neutralizing antiviral T cell and antibody immunity. The IgM-, IgA-, and IgG-type virus-specific antibodies levels are important measurements to predict population immunity against this disease and whether cross-reactivity with other coronaviruses is taking place. High viral load during the first infection and repeated exposure to virus especially in healthcare workers can be an important factor for severity of disease. It should be noted that many aspects of severe patients are unique to COVID-19 and are rarely observed in other respiratory viral infections, such as severe lymphopenia and eosinopenia, extensive pneumonia and lung tissue damage, a cytokine storm leading to acute respiratory distress syndrome, and multiorgan failure. Lymphopenia causes a defect in antiviral and immune regulatory immunity. At the same time, a cytokine storm starts with extensive activation of cytokine-secreting cells with innate and adaptive immune mechanisms both of which contribute to a poor prognosis. Elevated levels of acute-phase reactants and lymphopenia are early predictors of high disease severity. Prevention of development to severe disease, cytokine storm, acute respiratory distress syndrome, and novel approaches to prevent their development will be main routes for future research areas. As we learn to live amidst the virus, understanding the immunology of the disease can assist in containing the pandemic and in developing vaccines and medicines to prevent and treat individual patients.","container-title":"Allergy","DOI":"https://doi.org/10.1111/all.14364","ISSN":"1398-9995","issue":"7","language":"en","note":"_eprint: https://onlinelibrary.wiley.com/doi/pdf/10.1111/all.14364","page":"1564-1581","source":"Wiley Online Library","title":"Immune response to SARS-CoV-2 and mechanisms of immunopathological changes in COVID-19","volume":"75","author":[{"family":"Azkur","given":"Ahmet Kursat"},{"family":"Akdis","given":"Mübeccel"},{"family":"Azkur","given":"Dilek"},{"family":"Sokolowska","given":"Milena"},{"family":"Veen","given":"Willem","dropping-particle":"van de"},{"family":"Brüggen","given":"Marie-Charlotte"},{"family":"O’Mahony","given":"Liam"},{"family":"Gao","given":"Yadong"},{"family":"Nadeau","given":"Kari"},{"family":"Akdis","given":"Cezmi A."}],"issued":{"date-parts":[["2020"]]}}},{"id":844,"uris":["http://zotero.org/users/local/ZR048J0w/items/34YIQAJ8"],"uri":["http://zotero.org/users/local/ZR048J0w/items/34YIQAJ8"],"itemData":{"id":844,"type":"article-journal","abstract":"BACKGROUND: In December 2019, novel coronavirus (SARS-CoV-2) pneumonia (COVID-19) was reported in Wuhan and has since rapidly spread throughout China. We aimed to clarify the characteristics and clinical significance of peripheral lymphocyte subset alteration in COVID-19.\nMETHODS: The levels of peripheral lymphocyte subsets were measured by flow cytometry in 60 hospitalized COVID-19 patients before and after treatment, and their association with clinical characteristics and treatment efficacy was analyzed.\nRESULTS: Total lymphocytes, CD4+ T cells, CD8+ T cells, B cells, and natural killer (NK) cells decreased in COVID-19 patients, and severe cases had a lower level than mild cases. The subsets showed a significant association with inflammatory status in COVID-19, especially CD8+ T cells and CD4+/CD8+ ratio. After treatment, 37 patients (67%) showed clinical response, with an increase in CD8+ T cells and B cells. No significant change in any subset was detected in nonresponsive cases. In multivariate analysis, posttreatment decrease in CD8+ T cells and B cells and increase in CD4+/CD8+ ratio were indicated as independent predictors of poor efficacy.\nCONCLUSIONS: Peripheral lymphocyte subset alteration was associated with clinical characteristics and treatment efficacy of COVID-19. CD8+ T cells tended to be an independent predictor for COVID-19 severity and treatment efficacy.","container-title":"The Journal of Infectious Diseases","DOI":"10.1093/infdis/jiaa150","ISSN":"1537-6613","issue":"11","journalAbbreviation":"J Infect Dis","language":"eng","note":"PMID: 32227123\nPMCID: PMC7184346","page":"1762-1769","source":"PubMed","title":"Characteristics of Peripheral Lymphocyte Subset Alteration in COVID-19 Pneumonia","volume":"221","author":[{"family":"Wang","given":"Fan"},{"family":"Nie","given":"Jiayan"},{"family":"Wang","given":"Haizhou"},{"family":"Zhao","given":"Qiu"},{"family":"Xiong","given":"Yong"},{"family":"Deng","given":"Liping"},{"family":"Song","given":"Shihui"},{"family":"Ma","given":"Zhiyong"},{"family":"Mo","given":"Pingzheng"},{"family":"Zhang","given":"Yongxi"}],"issued":{"date-parts":[["2020",5,11]]}}},{"id":876,"uris":["http://zotero.org/users/local/ZR048J0w/items/3IA266JB"],"uri":["http://zotero.org/users/local/ZR048J0w/items/3IA266JB"],"itemData":{"id":876,"type":"webpage","abstract":"Immune responses (cell-mediated immune response and antibody-mediated immune response and protective immunity) and population immunity","container-title":"European Centre for Disease Prevention and Control","language":"en","title":"Immune responses and immunity to SARS-CoV-2","URL":"https://www.ecdc.europa.eu/en/covid-19/latest-evidence/immune-responses","accessed":{"date-parts":[["2020",12,22]]}}},{"id":878,"uris":["http://zotero.org/users/local/ZR048J0w/items/RVB2WGT6"],"uri":["http://zotero.org/users/local/ZR048J0w/items/RVB2WGT6"],"itemData":{"id":878,"type":"article-journal","abstract":"Background: The outbreak of coronavirus disease 2019 (COVID-19) caused by severe acute respiratory syndrome coronavirus 2 (SARS-CoV-2) has posed great threat to human health. T cells play a critical role in antiviral immunity but their numbers and functional state in COVID-19 patients remain largely unclear., Methods: We retrospectively reviewed the counts of T cells and serum cytokine concentration from data of 522 patients with laboratory-confirmed COVID-19 and 40 healthy controls. In addition, the expression of T cell exhaustion markers were measured in 14 COVID-19 cases., Results: The number of total T cells, CD4+ and CD8+ T cells were dramatically reduced in COVID-19 patients, especially in patients requiring Intensive Care Unit (ICU) care. Counts of total T cells, CD8+ T cells or CD4+ T cells lower than 800, 300, or 400/μL, respectively, were negatively correlated with patient survival. T cell numbers were negatively correlated to serum IL-6, IL-10, and TNF-α concentration, with patients in the disease resolution period showing reduced IL-6, IL-10, and TNF-α concentrations and restored T cell counts. T cells from COVID-19 patients had significantly higher levels of the exhausted marker PD-1. Increasing PD-1 and Tim-3 expression on T cells was seen as patients progressed from prodromal to overtly symptomatic stages., Conclusions: T cell counts are reduced significantly in COVID-19 patients, and the surviving T cells appear functionally exhausted. Non-ICU patients with total T cells counts lower than 800/μL may still require urgent intervention, even in the immediate absence of more severe symptoms due to a high risk for further deterioration in condition.","container-title":"Frontiers in Immunology","DOI":"10.3389/fimmu.2020.00827","ISSN":"1664-3224","journalAbbreviation":"Front Immunol","note":"PMID: 32425950\nPMCID: PMC7205903","source":"PubMed Central","title":"Reduction and Functional Exhaustion of T Cells in Patients With Coronavirus Disease 2019 (COVID-19)","URL":"https://www.ncbi.nlm.nih.gov/pmc/articles/PMC7205903/","volume":"11","author":[{"family":"Diao","given":"Bo"},{"family":"Wang","given":"Chenhui"},{"family":"Tan","given":"Yingjun"},{"family":"Chen","given":"Xiewan"},{"family":"Liu","given":"Ying"},{"family":"Ning","given":"Lifen"},{"family":"Chen","given":"Li"},{"family":"Li","given":"Min"},{"family":"Liu","given":"Yueping"},{"family":"Wang","given":"Gang"},{"family":"Yuan","given":"Zilin"},{"family":"Feng","given":"Zeqing"},{"family":"Zhang","given":"Yi"},{"family":"Wu","given":"Yuzhang"},{"family":"Chen","given":"Yongwen"}],"accessed":{"date-parts":[["2020",12,22]]},"issued":{"date-parts":[["2020",5,1]]}}}],"schema":"https://github.com/citation-style-language/schema/raw/master/csl-citation.json"} </w:instrText>
      </w:r>
      <w:r w:rsidR="001B3E1B"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154,155,165,166</w:t>
      </w:r>
      <w:r w:rsidR="001B3E1B"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particularly in patients requiring emergency unit. Patient survival was inversely associated with total T cells, cytotoxic T-lymphocytes (CD8+) cells, and helper-T lymphocytes (CD4+) cells below 800/</w:t>
      </w:r>
      <w:proofErr w:type="spellStart"/>
      <w:r w:rsidRPr="009F44A4">
        <w:rPr>
          <w:rFonts w:ascii="Times New Roman" w:hAnsi="Times New Roman" w:cs="Times New Roman"/>
          <w:color w:val="000000" w:themeColor="text1"/>
          <w:sz w:val="20"/>
          <w:szCs w:val="20"/>
          <w:shd w:val="clear" w:color="auto" w:fill="FFFFFF"/>
        </w:rPr>
        <w:t>μL</w:t>
      </w:r>
      <w:proofErr w:type="spellEnd"/>
      <w:r w:rsidRPr="009F44A4">
        <w:rPr>
          <w:rFonts w:ascii="Times New Roman" w:hAnsi="Times New Roman" w:cs="Times New Roman"/>
          <w:color w:val="000000" w:themeColor="text1"/>
          <w:sz w:val="20"/>
          <w:szCs w:val="20"/>
          <w:shd w:val="clear" w:color="auto" w:fill="FFFFFF"/>
        </w:rPr>
        <w:t>, 300/</w:t>
      </w:r>
      <w:proofErr w:type="spellStart"/>
      <w:r w:rsidRPr="009F44A4">
        <w:rPr>
          <w:rFonts w:ascii="Times New Roman" w:hAnsi="Times New Roman" w:cs="Times New Roman"/>
          <w:color w:val="000000" w:themeColor="text1"/>
          <w:sz w:val="20"/>
          <w:szCs w:val="20"/>
          <w:shd w:val="clear" w:color="auto" w:fill="FFFFFF"/>
        </w:rPr>
        <w:t>μL</w:t>
      </w:r>
      <w:proofErr w:type="spellEnd"/>
      <w:r w:rsidRPr="009F44A4">
        <w:rPr>
          <w:rFonts w:ascii="Times New Roman" w:hAnsi="Times New Roman" w:cs="Times New Roman"/>
          <w:color w:val="000000" w:themeColor="text1"/>
          <w:sz w:val="20"/>
          <w:szCs w:val="20"/>
          <w:shd w:val="clear" w:color="auto" w:fill="FFFFFF"/>
        </w:rPr>
        <w:t xml:space="preserve"> and 400/</w:t>
      </w:r>
      <w:proofErr w:type="spellStart"/>
      <w:r w:rsidRPr="009F44A4">
        <w:rPr>
          <w:rFonts w:ascii="Times New Roman" w:hAnsi="Times New Roman" w:cs="Times New Roman"/>
          <w:color w:val="000000" w:themeColor="text1"/>
          <w:sz w:val="20"/>
          <w:szCs w:val="20"/>
          <w:shd w:val="clear" w:color="auto" w:fill="FFFFFF"/>
        </w:rPr>
        <w:t>μL</w:t>
      </w:r>
      <w:proofErr w:type="spellEnd"/>
      <w:r w:rsidRPr="009F44A4">
        <w:rPr>
          <w:rFonts w:ascii="Times New Roman" w:hAnsi="Times New Roman" w:cs="Times New Roman"/>
          <w:color w:val="000000" w:themeColor="text1"/>
          <w:sz w:val="20"/>
          <w:szCs w:val="20"/>
          <w:shd w:val="clear" w:color="auto" w:fill="FFFFFF"/>
        </w:rPr>
        <w:t xml:space="preserve"> respectively. T lymphocytes counts were inversely correlated with concentrations of serum interleukin-6, interleukin-10, and tumor necrosis factor-alpha (TNF-α), with patients showing reduced concentrations of interleukin-6, interleukin-10, and tumor necrosis factor-alpha, and restored T lymphocytes counts during disease resolution period. T-lymphocytes are found to have substantially greater levels of the depleted PD-1 marker in the infected patients. As the patients’ condition worsened from prodromal to excessively symptomatic, increased levels of programmed cell death protein 1 (PD-1) and HAVCR 2 (Tim-3) were seen in T-lymphocytes </w:t>
      </w:r>
      <w:r w:rsidR="00BF37E0"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{"citationID":"CRaLPWuu","properties":{"formattedCitation":"\\super 166,167\\nosupersub{}","plainCitation":"166,167","noteIndex":0},"citationItems":[{"id":878,"uris":["http://zotero.org/users/local/ZR048J0w/items/RVB2WGT6"],"uri":["http://zotero.org/users/local/ZR048J0w/items/RVB2WGT6"],"itemData":{"id":878,"type":"article-journal","abstract":"Background: The outbreak of coronavirus disease 2019 (COVID-19) caused by severe acute respiratory syndrome coronavirus 2 (SARS-CoV-2) has posed great threat to human health. T cells play a critical role in antiviral immunity but their numbers and functional state in COVID-19 patients remain largely unclear., Methods: We retrospectively reviewed the counts of T cells and serum cytokine concentration from data of 522 patients with laboratory-confirmed COVID-19 and 40 healthy controls. In addition, the expression of T cell exhaustion markers were measured in 14 COVID-19 cases., Results: The number of total T cells, CD4+ and CD8+ T cells were dramatically reduced in COVID-19 patients, especially in patients requiring Intensive Care Unit (ICU) care. Counts of total T cells, CD8+ T cells or CD4+ T cells lower than 800, 300, or 400/μL, respectively, were negatively correlated with patient survival. T cell numbers were negatively correlated to serum IL-6, IL-10, and TNF-α concentration, with patients in the disease resolution period showing reduced IL-6, IL-10, and TNF-α concentrations and restored T cell counts. T cells from COVID-19 patients had significantly higher levels of the exhausted marker PD-1. Increasing PD-1 and Tim-3 expression on T cells was seen as patients progressed from prodromal to overtly symptomatic stages., Conclusions: T cell counts are reduced significantly in COVID-19 patients, and the surviving T cells appear functionally exhausted. Non-ICU patients with total T cells counts lower than 800/μL may still require urgent intervention, even in the immediate absence of more severe symptoms due to a high risk for further deterioration in condition.","container-title":"Frontiers in Immunology","DOI":"10.3389/fimmu.2020.00827","ISSN":"1664-3224","journalAbbreviation":"Front Immunol","note":"PMID: 32425950\nPMCID: PMC7205903","source":"PubMed Central","title":"Reduction and Functional Exhaustion of T Cells in Patients With Coronavirus Disease 2019 (COVID-19)","URL":"https://www.ncbi.nlm.nih.gov/pmc/articles/PMC7205903/","volume":"11","author":[{"family":"Diao","given":"Bo"},{"family":"Wang","given":"Chenhui"},{"family":"Tan","given":"Yingjun"},{"family":"Chen","given":"Xiewan"},{"family":"Liu","given":"Ying"},{"family":"Ning","given":"Lifen"},{"family":"Chen","given":"Li"},{"family":"Li","given":"Min"},{"family":"Liu","given":"Yueping"},{"family":"Wang","given":"Gang"},{"family":"Yuan","given":"Zilin"},{"family":"Feng","given":"Zeqing"},{"family":"Zhang","given":"Yi"},{"family":"Wu","given":"Yuzhang"},{"family":"Chen","given":"Yongwen"}],"accessed":{"date-parts":[["2020",12,22]]},"issued":{"date-parts":[["2020",5,1]]}}},{"id":887,"uris":["http://zotero.org/users/local/ZR048J0w/items/UJ7E2YX7"],"uri":["http://zotero.org/users/local/ZR048J0w/items/UJ7E2YX7"],"itemData":{"id":887,"type":"article-journal","container-title":"ImmunoTargets and Therapy","DOI":"10.2147/ITT.S264138","ISSN":"2253-1556","journalAbbreviation":"Immunotargets Ther","language":"eng","note":"PMID: 32607314\nPMCID: PMC7295455","page":"111-114","source":"PubMed","title":"Assessing Immune Response to SARS-CoV-2 Infection","volume":"9","author":[{"family":"Shurin","given":"Michael R."},{"family":"Morris","given":"Alison"},{"family":"Wells","given":"Alan"},{"family":"Wheeler","given":"Sarah E."}],"issued":{"date-parts":[["2020"]]}}}],"schema":"https://github.com/citation-style-language/schema/raw/master/csl-citation.json"} </w:instrText>
      </w:r>
      <w:r w:rsidR="00BF37E0"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166,167</w:t>
      </w:r>
      <w:r w:rsidR="00BF37E0" w:rsidRPr="009F44A4">
        <w:rPr>
          <w:rFonts w:ascii="Times New Roman" w:eastAsia="Calibri" w:hAnsi="Times New Roman" w:cs="Times New Roman"/>
          <w:color w:val="000000" w:themeColor="text1"/>
          <w:sz w:val="20"/>
          <w:szCs w:val="20"/>
        </w:rPr>
        <w:fldChar w:fldCharType="end"/>
      </w:r>
      <w:r w:rsidR="00BF37E0" w:rsidRPr="009F44A4">
        <w:rPr>
          <w:rFonts w:ascii="Times New Roman" w:eastAsia="Calibri" w:hAnsi="Times New Roman" w:cs="Times New Roman"/>
          <w:color w:val="000000" w:themeColor="text1"/>
          <w:sz w:val="20"/>
          <w:szCs w:val="20"/>
        </w:rPr>
        <w:t>.</w:t>
      </w:r>
    </w:p>
    <w:p w14:paraId="58019F6B" w14:textId="39D3DBAF" w:rsidR="00420857" w:rsidRPr="009F44A4" w:rsidRDefault="00A75ECF" w:rsidP="00DC7281">
      <w:pPr>
        <w:shd w:val="clear" w:color="auto" w:fill="FFFFFF" w:themeFill="background1"/>
        <w:spacing w:before="240"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Cytotoxic T-cells are essential for enabling virus removal after many acute pulmonary infections. Therefore, it is believed that combined activation of virus-specific cytotoxic T-lymphocytes (CD8+) and antibodies would provide optimum immune defense. Moreover, cytotoxic T-cells (CD8+) provide protection from secondary infections</w:t>
      </w:r>
      <w:r w:rsidR="00020DEC" w:rsidRPr="009F44A4">
        <w:rPr>
          <w:rFonts w:ascii="Times New Roman" w:eastAsia="Calibri" w:hAnsi="Times New Roman" w:cs="Times New Roman"/>
          <w:color w:val="000000" w:themeColor="text1"/>
          <w:sz w:val="20"/>
          <w:szCs w:val="20"/>
        </w:rPr>
        <w:t xml:space="preserve"> </w:t>
      </w:r>
      <w:r w:rsidR="00020DE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{"citationID":"G03yo8Ua","properties":{"formattedCitation":"\\super 154,155,168\\nosupersub{}","plainCitation":"154,155,168","noteIndex":0},"citationItems":[{"id":866,"uris":["http://zotero.org/users/local/ZR048J0w/items/TCXXHG2K"],"uri":["http://zotero.org/users/local/ZR048J0w/items/TCXXHG2K"],"itemData":{"id":866,"type":"article-journal","abstract":"As a zoonotic disease that has already spread globally to several million human beings and possibly to domestic and wild animals, eradication of coronavirus disease 2019 (COVID-19) appears practically impossible. There is a pressing need to improve our understanding of the immunology of this disease to contain the pandemic by developing vaccines and medicines for the prevention and treatment of patients. In this review, we aim to improve our understanding on the immune response and immunopathological changes in patients linked to deteriorating clinical conditions such as cytokine storm, acute respiratory distress syndrome, autopsy findings and changes in acute-phase reactants, and serum biochemistry in COVID-19. Similar to many other viral infections, asymptomatic disease is present in a significant but currently unknown fraction of the affected individuals. In the majority of the patients, a 1-week, self-limiting viral respiratory disease typically occurs, which ends with the development of neutralizing antiviral T cell and antibody immunity. The IgM-, IgA-, and IgG-type virus-specific antibodies levels are important measurements to predict population immunity against this disease and whether cross-reactivity with other coronaviruses is taking place. High viral load during the first infection and repeated exposure to virus especially in healthcare workers can be an important factor for severity of disease. It should be noted that many aspects of severe patients are unique to COVID-19 and are rarely observed in other respiratory viral infections, such as severe lymphopenia and eosinopenia, extensive pneumonia and lung tissue damage, a cytokine storm leading to acute respiratory distress syndrome, and multiorgan failure. Lymphopenia causes a defect in antiviral and immune regulatory immunity. At the same time, a cytokine storm starts with extensive activation of cytokine-secreting cells with innate and adaptive immune mechanisms both of which contribute to a poor prognosis. Elevated levels of acute-phase reactants and lymphopenia are early predictors of high disease severity. Prevention of development to severe disease, cytokine storm, acute respiratory distress syndrome, and novel approaches to prevent their development will be main routes for future research areas. As we learn to live amidst the virus, understanding the immunology of the disease can assist in containing the pandemic and in developing vaccines and medicines to prevent and treat individual patients.","container-title":"Allergy","DOI":"https://doi.org/10.1111/all.14364","ISSN":"1398-9995","issue":"7","language":"en","note":"_eprint: https://onlinelibrary.wiley.com/doi/pdf/10.1111/all.14364","page":"1564-1581","source":"Wiley Online Library","title":"Immune response to SARS-CoV-2 and mechanisms of immunopathological changes in COVID-19","volume":"75","author":[{"family":"Azkur","given":"Ahmet Kursat"},{"family":"Akdis","given":"Mübeccel"},{"family":"Azkur","given":"Dilek"},{"family":"Sokolowska","given":"Milena"},{"family":"Veen","given":"Willem","dropping-particle":"van de"},{"family":"Brüggen","given":"Marie-Charlotte"},{"family":"O’Mahony","given":"Liam"},{"family":"Gao","given":"Yadong"},{"family":"Nadeau","given":"Kari"},{"family":"Akdis","given":"Cezmi A."}],"issued":{"date-parts":[["2020"]]}}},{"id":844,"uris":["http://zotero.org/users/local/ZR048J0w/items/34YIQAJ8"],"uri":["http://zotero.org/users/local/ZR048J0w/items/34YIQAJ8"],"itemData":{"id":844,"type":"article-journal","abstract":"BACKGROUND: In December 2019, novel coronavirus (SARS-CoV-2) pneumonia (COVID-19) was reported in Wuhan and has since rapidly spread throughout China. We aimed to clarify the characteristics and clinical significance of peripheral lymphocyte subset alteration in COVID-19.\nMETHODS: The levels of peripheral lymphocyte subsets were measured by flow cytometry in 60 hospitalized COVID-19 patients before and after treatment, and their association with clinical characteristics and treatment efficacy was analyzed.\nRESULTS: Total lymphocytes, CD4+ T cells, CD8+ T cells, B cells, and natural killer (NK) cells decreased in COVID-19 patients, and severe cases had a lower level than mild cases. The subsets showed a significant association with inflammatory status in COVID-19, especially CD8+ T cells and CD4+/CD8+ ratio. After treatment, 37 patients (67%) showed clinical response, with an increase in CD8+ T cells and B cells. No significant change in any subset was detected in nonresponsive cases. In multivariate analysis, posttreatment decrease in CD8+ T cells and B cells and increase in CD4+/CD8+ ratio were indicated as independent predictors of poor efficacy.\nCONCLUSIONS: Peripheral lymphocyte subset alteration was associated with clinical characteristics and treatment efficacy of COVID-19. CD8+ T cells tended to be an independent predictor for COVID-19 severity and treatment efficacy.","container-title":"The Journal of Infectious Diseases","DOI":"10.1093/infdis/jiaa150","ISSN":"1537-6613","issue":"11","journalAbbreviation":"J Infect Dis","language":"eng","note":"PMID: 32227123\nPMCID: PMC7184346","page":"1762-1769","source":"PubMed","title":"Characteristics of Peripheral Lymphocyte Subset Alteration in COVID-19 Pneumonia","volume":"221","author":[{"family":"Wang","given":"Fan"},{"family":"Nie","given":"Jiayan"},{"family":"Wang","given":"Haizhou"},{"family":"Zhao","given":"Qiu"},{"family":"Xiong","given":"Yong"},{"family":"Deng","given":"Liping"},{"family":"Song","given":"Shihui"},{"family":"Ma","given":"Zhiyong"},{"family":"Mo","given":"Pingzheng"},{"family":"Zhang","given":"Yongxi"}],"issued":{"date-parts":[["2020",5,11]]}}},{"id":884,"uris":["http://zotero.org/users/local/ZR048J0w/items/PM4MM7TU"],"uri":["http://zotero.org/users/local/ZR048J0w/items/PM4MM7TU"],"itemData":{"id":884,"type":"article-journal","abstract":"Humans are highly susceptible to infection with respiratory viruses including respiratory syncytial virus (RSV), influenza virus, human metapneumovirus, rhinovirus, coronavirus, and parainfluenza virus. While some viruses simply cause symptoms of the common cold, many respiratory viruses induce severe bronchiolitis, pneumonia, and even death following infection. Despite the immense clinical burden, the majority of the most common pulmonary viruses lack long-lasting efficacious vaccines. Nearly all current vaccination strategies are designed to elicit broadly neutralizing antibodies, which prevent severe disease following a subsequent infection. However, the mucosal antibody response to many respiratory viruses is not long-lasting and declines with age. CD8 T cells are critical for mediating clearance following many acute viral infections in the lung. In addition, memory CD8 T cells are capable of providing protection against secondary infections. Therefore, the combined induction of virus-specific CD8 T cells and antibodies may provide optimal protective immunity. Herein, we review the current literature on CD8 T cell responses induced by respiratory virus infections. Additionally, we explore how this knowledge could be utilized in the development of future vaccines against respiratory viruses, with a special emphasis on RSV vaccination.","container-title":"Frontiers in Immunology","DOI":"10.3389/fimmu.2018.00678","ISSN":"1664-3224","journalAbbreviation":"Front Immunol","note":"PMID: 29686673\nPMCID: PMC5900024","source":"PubMed Central","title":"The CD8 T Cell Response to Respiratory Virus Infections","URL":"https://www.ncbi.nlm.nih.gov/pmc/articles/PMC5900024/","volume":"9","author":[{"family":"Schmidt","given":"Megan E."},{"family":"Varga","given":"Steven M."}],"accessed":{"date-parts":[["2020",12,22]]},"issued":{"date-parts":[["2018",4,9]]}}}],"schema":"https://github.com/citation-style-language/schema/raw/master/csl-citation.json"} </w:instrText>
      </w:r>
      <w:r w:rsidR="00020DE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154,155,168</w:t>
      </w:r>
      <w:r w:rsidR="00020DEC" w:rsidRPr="009F44A4">
        <w:rPr>
          <w:rFonts w:ascii="Times New Roman" w:eastAsia="Calibri" w:hAnsi="Times New Roman" w:cs="Times New Roman"/>
          <w:color w:val="000000" w:themeColor="text1"/>
          <w:sz w:val="20"/>
          <w:szCs w:val="20"/>
        </w:rPr>
        <w:fldChar w:fldCharType="end"/>
      </w:r>
      <w:r w:rsidR="00020DEC"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In the recovered patients, virus-specific helper T-cell (CD4+) responses have more frequent evidence than virus-specific cytotoxic T-cell (CD8+) responses, whereas pre-existing helper CD4+ T-cell  responses to other coronaviruses are also found in patients without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 2 exposures</w:t>
      </w:r>
      <w:r w:rsidR="00020DEC" w:rsidRPr="009F44A4">
        <w:rPr>
          <w:rFonts w:ascii="Times New Roman" w:eastAsia="Calibri" w:hAnsi="Times New Roman" w:cs="Times New Roman"/>
          <w:color w:val="000000" w:themeColor="text1"/>
          <w:sz w:val="20"/>
          <w:szCs w:val="20"/>
        </w:rPr>
        <w:t xml:space="preserve"> </w:t>
      </w:r>
      <w:r w:rsidR="00020DE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{"citationID":"SGAOkz25","properties":{"formattedCitation":"\\super 169,170\\nosupersub{}","plainCitation":"169,170","noteIndex":0},"citationItems":[{"id":890,"uris":["http://zotero.org/users/local/ZR048J0w/items/87MMZXUF"],"uri":["http://zotero.org/users/local/ZR048J0w/items/87MMZXUF"],"itemData":{"id":890,"type":"article-journal","abstract":"Understanding adaptive immunity to SARS-CoV-2 is important for vaccine development, interpreting coronavirus disease 2019 (COVID-19) pathogenesis, and calibration of pandemic control measures. Using HLA class I and II predicted peptide \"megapools,\" circulating SARS-CoV-2-specific CD8+ and CD4+ T cells were identified in </w:instrText>
      </w:r>
      <w:r w:rsidR="00236558">
        <w:rPr>
          <w:rFonts w:ascii="Cambria Math" w:eastAsia="Calibri" w:hAnsi="Cambria Math" w:cs="Cambria Math"/>
          <w:color w:val="000000" w:themeColor="text1"/>
          <w:sz w:val="20"/>
          <w:szCs w:val="20"/>
        </w:rPr>
        <w:instrText>∼</w:instrText>
      </w:r>
      <w:r w:rsidR="00236558">
        <w:rPr>
          <w:rFonts w:ascii="Times New Roman" w:eastAsia="Calibri" w:hAnsi="Times New Roman" w:cs="Times New Roman"/>
          <w:color w:val="000000" w:themeColor="text1"/>
          <w:sz w:val="20"/>
          <w:szCs w:val="20"/>
        </w:rPr>
        <w:instrText xml:space="preserve">70% and 100% of COVID-19 convalescent patients, respectively. CD4+ T cell responses to spike, the main target of most vaccine efforts, were robust and correlated with the magnitude of the anti-SARS-CoV-2 IgG and IgA titers. The M, spike, and N proteins each accounted for 11%-27% of the total CD4+ response, with additional responses commonly targeting nsp3, nsp4, ORF3a, and ORF8, among others. For CD8+ T cells, spike and M were recognized, with at least eight SARS-CoV-2 ORFs targeted. Importantly, we detected SARS-CoV-2-reactive CD4+ T cells in </w:instrText>
      </w:r>
      <w:r w:rsidR="00236558">
        <w:rPr>
          <w:rFonts w:ascii="Cambria Math" w:eastAsia="Calibri" w:hAnsi="Cambria Math" w:cs="Cambria Math"/>
          <w:color w:val="000000" w:themeColor="text1"/>
          <w:sz w:val="20"/>
          <w:szCs w:val="20"/>
        </w:rPr>
        <w:instrText>∼</w:instrText>
      </w:r>
      <w:r w:rsidR="00236558">
        <w:rPr>
          <w:rFonts w:ascii="Times New Roman" w:eastAsia="Calibri" w:hAnsi="Times New Roman" w:cs="Times New Roman"/>
          <w:color w:val="000000" w:themeColor="text1"/>
          <w:sz w:val="20"/>
          <w:szCs w:val="20"/>
        </w:rPr>
        <w:instrText xml:space="preserve">40%-60% of unexposed individuals, suggesting cross-reactive T cell recognition between circulating \"common cold\" coronaviruses and SARS-CoV-2.","container-title":"Cell","DOI":"10.1016/j.cell.2020.05.015","ISSN":"1097-4172","issue":"7","journalAbbreviation":"Cell","language":"eng","note":"PMID: 32473127\nPMCID: PMC7237901","page":"1489-1501.e15","source":"PubMed","title":"Targets of T Cell Responses to SARS-CoV-2 Coronavirus in Humans with COVID-19 Disease and Unexposed Individuals","volume":"181","author":[{"family":"Grifoni","given":"Alba"},{"family":"Weiskopf","given":"Daniela"},{"family":"Ramirez","given":"Sydney I."},{"family":"Mateus","given":"Jose"},{"family":"Dan","given":"Jennifer M."},{"family":"Moderbacher","given":"Carolyn Rydyznski"},{"family":"Rawlings","given":"Stephen A."},{"family":"Sutherland","given":"Aaron"},{"family":"Premkumar","given":"Lakshmanane"},{"family":"Jadi","given":"Ramesh S."},{"family":"Marrama","given":"Daniel"},{"family":"Silva","given":"Aravinda M.","non-dropping-particle":"de"},{"family":"Frazier","given":"April"},{"family":"Carlin","given":"Aaron F."},{"family":"Greenbaum","given":"Jason A."},{"family":"Peters","given":"Bjoern"},{"family":"Krammer","given":"Florian"},{"family":"Smith","given":"Davey M."},{"family":"Crotty","given":"Shane"},{"family":"Sette","given":"Alessandro"}],"issued":{"date-parts":[["2020",6,25]]}}},{"id":893,"uris":["http://zotero.org/users/local/ZR048J0w/items/S8T2KB25"],"uri":["http://zotero.org/users/local/ZR048J0w/items/S8T2KB25"],"itemData":{"id":893,"type":"article-journal","abstract":"Coronavirus disease 2019 (COVID-19) is currently a global pandemic, but human immune responses to the virus remain poorly understood. We used high-dimensional cytometry to analyze 125 COVID-19 patients and compare them with recovered and healthy individuals. Integrated analysis of ~200 immune and ~50 clinical features revealed activation of T cell and B cell subsets in a proportion of patients. A subgroup of patients had T cell activation characteristic of acute viral infection and plasmablast responses reaching &gt;30% of circulating B cells. However, another subgroup had lymphocyte activation comparable with that in uninfected individuals. Stable versus dynamic immunological signatures were identified and linked to trajectories of disease severity change. Our analyses identified three immunotypes associated with poor clinical trajectories versus improving health. These immunotypes may have implications for the design of therapeutics and vaccines for COVID-19.","container-title":"Science (New York, N.Y.)","DOI":"10.1126/science.abc8511","ISSN":"1095-9203","issue":"6508","journalAbbreviation":"Science","language":"eng","note":"PMID: 32669297\nPMCID: PMC7402624","source":"PubMed","title":"Deep immune profiling of COVID-19 patients reveals distinct immunotypes with therapeutic implications","volume":"369","author":[{"family":"Mathew","given":"Divij"},{"family":"Giles","given":"Josephine R."},{"family":"Baxter","given":"Amy E."},{"family":"Oldridge","given":"Derek A."},{"family":"Greenplate","given":"Allison R."},{"family":"Wu","given":"Jennifer E."},{"family":"Alanio","given":"Cécile"},{"family":"Kuri-Cervantes","given":"Leticia"},{"family":"Pampena","given":"M. Betina"},{"family":"D'Andrea","given":"Kurt"},{"family":"Manne","given":"Sasikanth"},{"family":"Chen","given":"Zeyu"},{"family":"Huang","given":"Yinghui Jane"},{"family":"Reilly","given":"John P."},{"family":"Weisman","given":"Ariel R."},{"family":"Ittner","given":"Caroline A. G."},{"family":"Kuthuru","given":"Oliva"},{"family":"Dougherty","given":"Jeanette"},{"family":"Nzingha","given":"Kito"},{"family":"Han","given":"Nicholas"},{"family":"Kim","given":"Justin"},{"family":"Pattekar","given":"Ajinkya"},{"family":"Goodwin","given":"Eileen C."},{"family":"Anderson","given":"Elizabeth M."},{"family":"Weirick","given":"Madison E."},{"family":"Gouma","given":"Sigrid"},{"family":"Arevalo","given":"Claudia P."},{"family":"Bolton","given":"Marcus J."},{"family":"Chen","given":"Fang"},{"family":"Lacey","given":"Simon F."},{"family":"Ramage","given":"Holly"},{"family":"Cherry","given":"Sara"},{"family":"Hensley","given":"Scott E."},{"family":"Apostolidis","given":"Sokratis A."},{"family":"Huang","given":"Alexander C."},{"family":"Vella","given":"Laura A."},{"literal":"UPenn COVID Processing Unit"},{"family":"Betts","given":"Michael R."},{"family":"Meyer","given":"Nuala J."},{"family":"Wherry","given":"E. John"}],"issued":{"date-parts":[["2020",9,4]]}}}],"schema":"https://github.com/citation-style-language/schema/raw/master/csl-citation.json"} </w:instrText>
      </w:r>
      <w:r w:rsidR="00020DE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169,170</w:t>
      </w:r>
      <w:r w:rsidR="00020DEC" w:rsidRPr="009F44A4">
        <w:rPr>
          <w:rFonts w:ascii="Times New Roman" w:eastAsia="Calibri" w:hAnsi="Times New Roman" w:cs="Times New Roman"/>
          <w:color w:val="000000" w:themeColor="text1"/>
          <w:sz w:val="20"/>
          <w:szCs w:val="20"/>
        </w:rPr>
        <w:fldChar w:fldCharType="end"/>
      </w:r>
      <w:r w:rsidR="00020DEC"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Pr="009F44A4">
        <w:rPr>
          <w:rFonts w:ascii="Times New Roman" w:hAnsi="Times New Roman" w:cs="Times New Roman"/>
          <w:color w:val="000000" w:themeColor="text1"/>
          <w:sz w:val="20"/>
          <w:szCs w:val="20"/>
          <w:shd w:val="clear" w:color="auto" w:fill="FFFFFF"/>
        </w:rPr>
        <w:t>In extreme cases, the mechanisms for a significant decrease in lymphocytes remain unexplained. The type of death of lymphocytes in COVID-19 should be thoroughly investigated</w:t>
      </w:r>
      <w:r w:rsidR="003D487D" w:rsidRPr="009F44A4">
        <w:rPr>
          <w:rFonts w:ascii="Times New Roman" w:eastAsia="Calibri" w:hAnsi="Times New Roman" w:cs="Times New Roman"/>
          <w:color w:val="000000" w:themeColor="text1"/>
          <w:sz w:val="20"/>
          <w:szCs w:val="20"/>
        </w:rPr>
        <w:t xml:space="preserve"> </w:t>
      </w:r>
      <w:r w:rsidR="003D487D"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{"citationID":"FBvobDvB","properties":{"formattedCitation":"\\super 154\\nosupersub{}","plainCitation":"154","noteIndex":0},"citationItems":[{"id":866,"uris":["http://zotero.org/users/local/ZR048J0w/items/TCXXHG2K"],"uri":["http://zotero.org/users/local/ZR048J0w/items/TCXXHG2K"],"itemData":{"id":866,"type":"article-journal","abstract":"As a zoonotic disease that has already spread globally to several million human beings and possibly to domestic and wild animals, eradication of coronavirus disease 2019 (COVID-19) appears practically impossible. There is a pressing need to improve our understanding of the immunology of this disease to contain the pandemic by developing vaccines and medicines for the prevention and treatment of patients. In this review, we aim to improve our understanding on the immune response and immunopathological changes in patients linked to deteriorating clinical conditions such as cytokine storm, acute respiratory distress syndrome, autopsy findings and changes in acute-phase reactants, and serum biochemistry in COVID-19. Similar to many other viral infections, asymptomatic disease is present in a significant but currently unknown fraction of the affected individuals. In the majority of the patients, a 1-week, self-limiting viral respiratory disease typically occurs, which ends with the development of neutralizing antiviral T cell and antibody immunity. The IgM-, IgA-, and IgG-type virus-specific antibodies levels are important measurements to predict population immunity against this disease and whether cross-reactivity with other coronaviruses is taking place. High viral load during the first infection and repeated exposure to virus especially in healthcare workers can be an important factor for severity of disease. It should be noted that many aspects of severe patients are unique to COVID-19 and are rarely observed in other respiratory viral infections, such as severe lymphopenia and eosinopenia, extensive pneumonia and lung tissue damage, a cytokine storm leading to acute respiratory distress syndrome, and multiorgan failure. Lymphopenia causes a defect in antiviral and immune regulatory immunity. At the same time, a cytokine storm starts with extensive activation of cytokine-secreting cells with innate and adaptive immune mechanisms both of which contribute to a poor prognosis. Elevated levels of acute-phase reactants and lymphopenia are early predictors of high disease severity. Prevention of development to severe disease, cytokine storm, acute respiratory distress syndrome, and novel approaches to prevent their development will be main routes for future research areas. As we learn to live amidst the virus, understanding the immunology of the disease can assist in containing the pandemic and in developing vaccines and medicines to prevent and treat individual patients.","container-title":"Allergy","DOI":"https://doi.org/10.1111/all.14364","ISSN":"1398-9995","issue":"7","language":"en","note":"_eprint: https://onlinelibrary.wiley.com/doi/pdf/10.1111/all.14364","page":"1564-1581","source":"Wiley Online Library","title":"Immune response to SARS-CoV-2 and mechanisms of immunopathological changes in COVID-19","volume":"75","author":[{"family":"Azkur","given":"Ahmet Kursat"},{"family":"Akdis","given":"Mübeccel"},{"family":"Azkur","given":"Dilek"},{"family":"Sokolowska","given":"Milena"},{"family":"Veen","given":"Willem","dropping-particle":"van de"},{"family":"Brüggen","given":"Marie-Charlotte"},{"family":"O’Mahony","given":"Liam"},{"family":"Gao","given":"Yadong"},{"family":"Nadeau","given":"Kari"},{"family":"Akdis","given":"Cezmi A."}],"issued":{"date-parts":[["2020"]]}}}],"schema":"https://github.com/citation-style-language/schema/raw/master/csl-citation.json"} </w:instrText>
      </w:r>
      <w:r w:rsidR="003D487D"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154</w:t>
      </w:r>
      <w:r w:rsidR="003D487D" w:rsidRPr="009F44A4">
        <w:rPr>
          <w:rFonts w:ascii="Times New Roman" w:eastAsia="Calibri" w:hAnsi="Times New Roman" w:cs="Times New Roman"/>
          <w:color w:val="000000" w:themeColor="text1"/>
          <w:sz w:val="20"/>
          <w:szCs w:val="20"/>
        </w:rPr>
        <w:fldChar w:fldCharType="end"/>
      </w:r>
      <w:r w:rsidR="003D487D" w:rsidRPr="009F44A4">
        <w:rPr>
          <w:rFonts w:ascii="Times New Roman" w:eastAsia="Calibri" w:hAnsi="Times New Roman" w:cs="Times New Roman"/>
          <w:color w:val="000000" w:themeColor="text1"/>
          <w:sz w:val="20"/>
          <w:szCs w:val="20"/>
        </w:rPr>
        <w:t>.</w:t>
      </w:r>
    </w:p>
    <w:p w14:paraId="530FE6F2" w14:textId="087051DF" w:rsidR="008D16FE" w:rsidRPr="009F44A4" w:rsidRDefault="00C02138" w:rsidP="00DC7281">
      <w:pPr>
        <w:shd w:val="clear" w:color="auto" w:fill="FFFFFF" w:themeFill="background1"/>
        <w:spacing w:before="240"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Response of Antibodies</w:t>
      </w:r>
    </w:p>
    <w:p w14:paraId="627D8BCC" w14:textId="0DC30191" w:rsidR="00CE59DA" w:rsidRPr="009F44A4" w:rsidRDefault="00A75ECF" w:rsidP="00DC7281">
      <w:pPr>
        <w:shd w:val="clear" w:color="auto" w:fill="FFFFFF" w:themeFill="background1"/>
        <w:spacing w:line="360" w:lineRule="auto"/>
        <w:jc w:val="both"/>
        <w:rPr>
          <w:rFonts w:ascii="Times New Roman" w:eastAsia="Calibri" w:hAnsi="Times New Roman" w:cs="Times New Roman"/>
          <w:color w:val="000000" w:themeColor="text1"/>
          <w:sz w:val="20"/>
          <w:szCs w:val="20"/>
        </w:rPr>
      </w:pPr>
      <w:r w:rsidRPr="009F44A4">
        <w:rPr>
          <w:rFonts w:ascii="Times New Roman" w:hAnsi="Times New Roman" w:cs="Times New Roman"/>
          <w:color w:val="000000" w:themeColor="text1"/>
          <w:sz w:val="20"/>
          <w:szCs w:val="20"/>
          <w:shd w:val="clear" w:color="auto" w:fill="FFFFFF"/>
        </w:rPr>
        <w:t>As of today, the convalescent plasma of more than one million patients has been considered clinically appropriate for treating infected patients with SARS-</w:t>
      </w:r>
      <w:proofErr w:type="spellStart"/>
      <w:r w:rsidRPr="009F44A4">
        <w:rPr>
          <w:rFonts w:ascii="Times New Roman" w:hAnsi="Times New Roman" w:cs="Times New Roman"/>
          <w:color w:val="000000" w:themeColor="text1"/>
          <w:sz w:val="20"/>
          <w:szCs w:val="20"/>
          <w:shd w:val="clear" w:color="auto" w:fill="FFFFFF"/>
        </w:rPr>
        <w:t>CoV</w:t>
      </w:r>
      <w:proofErr w:type="spellEnd"/>
      <w:r w:rsidRPr="009F44A4">
        <w:rPr>
          <w:rFonts w:ascii="Times New Roman" w:hAnsi="Times New Roman" w:cs="Times New Roman"/>
          <w:color w:val="000000" w:themeColor="text1"/>
          <w:sz w:val="20"/>
          <w:szCs w:val="20"/>
          <w:shd w:val="clear" w:color="auto" w:fill="FFFFFF"/>
        </w:rPr>
        <w:t xml:space="preserve">-2, which provides passive </w:t>
      </w:r>
      <w:proofErr w:type="spellStart"/>
      <w:r w:rsidRPr="009F44A4">
        <w:rPr>
          <w:rFonts w:ascii="Times New Roman" w:hAnsi="Times New Roman" w:cs="Times New Roman"/>
          <w:color w:val="000000" w:themeColor="text1"/>
          <w:sz w:val="20"/>
          <w:szCs w:val="20"/>
          <w:shd w:val="clear" w:color="auto" w:fill="FFFFFF"/>
        </w:rPr>
        <w:t>immunisation</w:t>
      </w:r>
      <w:proofErr w:type="spellEnd"/>
      <w:r w:rsidRPr="009F44A4">
        <w:rPr>
          <w:rFonts w:ascii="Times New Roman" w:hAnsi="Times New Roman" w:cs="Times New Roman"/>
          <w:color w:val="000000" w:themeColor="text1"/>
          <w:sz w:val="20"/>
          <w:szCs w:val="20"/>
          <w:shd w:val="clear" w:color="auto" w:fill="FFFFFF"/>
        </w:rPr>
        <w:t xml:space="preserve">. It is significant to mention that if a patient with severe pneumonia is found to have a heavy virus load, convalescent serum containing virus-specific immunoglobulin </w:t>
      </w:r>
      <w:proofErr w:type="spellStart"/>
      <w:r w:rsidRPr="009F44A4">
        <w:rPr>
          <w:rFonts w:ascii="Times New Roman" w:hAnsi="Times New Roman" w:cs="Times New Roman"/>
          <w:color w:val="000000" w:themeColor="text1"/>
          <w:sz w:val="20"/>
          <w:szCs w:val="20"/>
          <w:shd w:val="clear" w:color="auto" w:fill="FFFFFF"/>
        </w:rPr>
        <w:t>G1</w:t>
      </w:r>
      <w:proofErr w:type="spellEnd"/>
      <w:r w:rsidRPr="009F44A4">
        <w:rPr>
          <w:rFonts w:ascii="Times New Roman" w:hAnsi="Times New Roman" w:cs="Times New Roman"/>
          <w:color w:val="000000" w:themeColor="text1"/>
          <w:sz w:val="20"/>
          <w:szCs w:val="20"/>
          <w:shd w:val="clear" w:color="auto" w:fill="FFFFFF"/>
        </w:rPr>
        <w:t xml:space="preserve">‐, immunoglobulin </w:t>
      </w:r>
      <w:proofErr w:type="spellStart"/>
      <w:r w:rsidRPr="009F44A4">
        <w:rPr>
          <w:rFonts w:ascii="Times New Roman" w:hAnsi="Times New Roman" w:cs="Times New Roman"/>
          <w:color w:val="000000" w:themeColor="text1"/>
          <w:sz w:val="20"/>
          <w:szCs w:val="20"/>
          <w:shd w:val="clear" w:color="auto" w:fill="FFFFFF"/>
        </w:rPr>
        <w:t>G2</w:t>
      </w:r>
      <w:proofErr w:type="spellEnd"/>
      <w:r w:rsidRPr="009F44A4">
        <w:rPr>
          <w:rFonts w:ascii="Times New Roman" w:hAnsi="Times New Roman" w:cs="Times New Roman"/>
          <w:color w:val="000000" w:themeColor="text1"/>
          <w:sz w:val="20"/>
          <w:szCs w:val="20"/>
          <w:shd w:val="clear" w:color="auto" w:fill="FFFFFF"/>
        </w:rPr>
        <w:t xml:space="preserve">‐ and immunoglobulin </w:t>
      </w:r>
      <w:proofErr w:type="spellStart"/>
      <w:r w:rsidRPr="009F44A4">
        <w:rPr>
          <w:rFonts w:ascii="Times New Roman" w:hAnsi="Times New Roman" w:cs="Times New Roman"/>
          <w:color w:val="000000" w:themeColor="text1"/>
          <w:sz w:val="20"/>
          <w:szCs w:val="20"/>
          <w:shd w:val="clear" w:color="auto" w:fill="FFFFFF"/>
        </w:rPr>
        <w:t>G3</w:t>
      </w:r>
      <w:proofErr w:type="spellEnd"/>
      <w:r w:rsidRPr="009F44A4">
        <w:rPr>
          <w:rFonts w:ascii="Times New Roman" w:hAnsi="Times New Roman" w:cs="Times New Roman"/>
          <w:color w:val="000000" w:themeColor="text1"/>
          <w:sz w:val="20"/>
          <w:szCs w:val="20"/>
          <w:shd w:val="clear" w:color="auto" w:fill="FFFFFF"/>
        </w:rPr>
        <w:t xml:space="preserve">‐type antibodies, that induce local injury in the lung via complement activation and maximize damages of tissues, is observed. Immunoglobulin </w:t>
      </w:r>
      <w:proofErr w:type="spellStart"/>
      <w:r w:rsidRPr="009F44A4">
        <w:rPr>
          <w:rFonts w:ascii="Times New Roman" w:hAnsi="Times New Roman" w:cs="Times New Roman"/>
          <w:color w:val="000000" w:themeColor="text1"/>
          <w:sz w:val="20"/>
          <w:szCs w:val="20"/>
          <w:shd w:val="clear" w:color="auto" w:fill="FFFFFF"/>
        </w:rPr>
        <w:t>G4</w:t>
      </w:r>
      <w:proofErr w:type="spellEnd"/>
      <w:r w:rsidRPr="009F44A4">
        <w:rPr>
          <w:rFonts w:ascii="Times New Roman" w:hAnsi="Times New Roman" w:cs="Times New Roman"/>
          <w:color w:val="000000" w:themeColor="text1"/>
          <w:sz w:val="20"/>
          <w:szCs w:val="20"/>
          <w:shd w:val="clear" w:color="auto" w:fill="FFFFFF"/>
        </w:rPr>
        <w:t xml:space="preserve"> must be context specific for treatment for such cases, as no additional activating properties have been identified to date </w:t>
      </w:r>
      <w:r w:rsidR="0061722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{"citationID":"rlogTNQ2","properties":{"formattedCitation":"\\super 154,171\\nosupersub{}","plainCitation":"154,171","noteIndex":0},"citationItems":[{"id":866,"uris":["http://zotero.org/users/local/ZR048J0w/items/TCXXHG2K"],"uri":["http://zotero.org/users/local/ZR048J0w/items/TCXXHG2K"],"itemData":{"id":866,"type":"article-journal","abstract":"As a zoonotic disease that has already spread globally to several million human beings and possibly to domestic and wild animals, eradication of coronavirus disease 2019 (COVID-19) appears practically impossible. There is a pressing need to improve our understanding of the immunology of this disease to contain the pandemic by developing vaccines and medicines for the prevention and treatment of patients. In this review, we aim to improve our understanding on the immune response and immunopathological changes in patients linked to deteriorating clinical conditions such as cytokine storm, acute respiratory distress syndrome, autopsy findings and changes in acute-phase reactants, and serum biochemistry in COVID-19. Similar to many other viral infections, asymptomatic disease is present in a significant but currently unknown fraction of the affected individuals. In the majority of the patients, a 1-week, self-limiting viral respiratory disease typically occurs, which ends with the development of neutralizing antiviral T cell and antibody immunity. The IgM-, IgA-, and IgG-type virus-specific antibodies levels are important measurements to predict population immunity against this disease and whether cross-reactivity with other coronaviruses is taking place. High viral load during the first infection and repeated exposure to virus especially in healthcare workers can be an important factor for severity of disease. It should be noted that many aspects of severe patients are unique to COVID-19 and are rarely observed in other respiratory viral infections, such as severe lymphopenia and eosinopenia, extensive pneumonia and lung tissue damage, a cytokine storm leading to acute respiratory distress syndrome, and multiorgan failure. Lymphopenia causes a defect in antiviral and immune regulatory immunity. At the same time, a cytokine storm starts with extensive activation of cytokine-secreting cells with innate and adaptive immune mechanisms both of which contribute to a poor prognosis. Elevated levels of acute-phase reactants and lymphopenia are early predictors of high disease severity. Prevention of development to severe disease, cytokine storm, acute respiratory distress syndrome, and novel approaches to prevent their development will be main routes for future research areas. As we learn to live amidst the virus, understanding the immunology of the disease can assist in containing the pandemic and in developing vaccines and medicines to prevent and treat individual patients.","container-title":"Allergy","DOI":"https://doi.org/10.1111/all.14364","ISSN":"1398-9995","issue":"7","language":"en","note":"_eprint: https://onlinelibrary.wiley.com/doi/pdf/10.1111/all.14364","page":"1564-1581","source":"Wiley Online Library","title":"Immune response to SARS-CoV-2 and mechanisms of immunopathological changes in COVID-19","volume":"75","author":[{"family":"Azkur","given":"Ahmet Kursat"},{"family":"Akdis","given":"Mübeccel"},{"family":"Azkur","given":"Dilek"},{"family":"Sokolowska","given":"Milena"},{"family":"Veen","given":"Willem","dropping-particle":"van de"},{"family":"Brüggen","given":"Marie-Charlotte"},{"family":"O’Mahony","given":"Liam"},{"family":"Gao","given":"Yadong"},{"family":"Nadeau","given":"Kari"},{"family":"Akdis","given":"Cezmi A."}],"issued":{"date-parts":[["2020"]]}}},{"id":896,"uris":["http://zotero.org/users/local/ZR048J0w/items/E5ZQSTR2"],"uri":["http://zotero.org/users/local/ZR048J0w/items/E5ZQSTR2"],"itemData":{"id":896,"type":"article-journal","container-title":"Allergy","DOI":"10.1111/all.14126","ISSN":"1398-9995","issue":"5","journalAbbreviation":"Allergy","language":"eng","note":"PMID: 31758812","page":"1017-1018","source":"PubMed","title":"Tolerance mechanisms of allergen immunotherapy","volume":"75","author":[{"family":"Veen","given":"Willem","non-dropping-particle":"van de"},{"family":"Akdis","given":"Mübeccel"}],"issued":{"date-parts":[["2020",5]]}}}],"schema":"https://github.com/citation-style-language/schema/raw/master/csl-citation.json"} </w:instrText>
      </w:r>
      <w:r w:rsidR="0061722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154,171</w:t>
      </w:r>
      <w:r w:rsidR="0061722C" w:rsidRPr="009F44A4">
        <w:rPr>
          <w:rFonts w:ascii="Times New Roman" w:eastAsia="Calibri" w:hAnsi="Times New Roman" w:cs="Times New Roman"/>
          <w:color w:val="000000" w:themeColor="text1"/>
          <w:sz w:val="20"/>
          <w:szCs w:val="20"/>
        </w:rPr>
        <w:fldChar w:fldCharType="end"/>
      </w:r>
      <w:r w:rsidR="0061722C"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00CE59DA" w:rsidRPr="009F44A4">
        <w:rPr>
          <w:rFonts w:ascii="Times New Roman" w:hAnsi="Times New Roman" w:cs="Times New Roman"/>
          <w:color w:val="000000" w:themeColor="text1"/>
          <w:sz w:val="20"/>
          <w:szCs w:val="20"/>
          <w:shd w:val="clear" w:color="auto" w:fill="FFFFFF"/>
        </w:rPr>
        <w:t xml:space="preserve">At the onset of initiation of infection in COVID-19 patients, total antibodies (IgA, </w:t>
      </w:r>
      <w:proofErr w:type="spellStart"/>
      <w:r w:rsidR="00CE59DA" w:rsidRPr="009F44A4">
        <w:rPr>
          <w:rFonts w:ascii="Times New Roman" w:hAnsi="Times New Roman" w:cs="Times New Roman"/>
          <w:color w:val="000000" w:themeColor="text1"/>
          <w:sz w:val="20"/>
          <w:szCs w:val="20"/>
          <w:shd w:val="clear" w:color="auto" w:fill="FFFFFF"/>
        </w:rPr>
        <w:t>IgG</w:t>
      </w:r>
      <w:proofErr w:type="spellEnd"/>
      <w:r w:rsidR="00CE59DA" w:rsidRPr="009F44A4">
        <w:rPr>
          <w:rFonts w:ascii="Times New Roman" w:hAnsi="Times New Roman" w:cs="Times New Roman"/>
          <w:color w:val="000000" w:themeColor="text1"/>
          <w:sz w:val="20"/>
          <w:szCs w:val="20"/>
          <w:shd w:val="clear" w:color="auto" w:fill="FFFFFF"/>
        </w:rPr>
        <w:t xml:space="preserve">, and </w:t>
      </w:r>
      <w:proofErr w:type="spellStart"/>
      <w:r w:rsidR="00CE59DA" w:rsidRPr="009F44A4">
        <w:rPr>
          <w:rFonts w:ascii="Times New Roman" w:hAnsi="Times New Roman" w:cs="Times New Roman"/>
          <w:color w:val="000000" w:themeColor="text1"/>
          <w:sz w:val="20"/>
          <w:szCs w:val="20"/>
          <w:shd w:val="clear" w:color="auto" w:fill="FFFFFF"/>
        </w:rPr>
        <w:t>IgM</w:t>
      </w:r>
      <w:proofErr w:type="spellEnd"/>
      <w:r w:rsidR="00CE59DA" w:rsidRPr="009F44A4">
        <w:rPr>
          <w:rFonts w:ascii="Times New Roman" w:hAnsi="Times New Roman" w:cs="Times New Roman"/>
          <w:color w:val="000000" w:themeColor="text1"/>
          <w:sz w:val="20"/>
          <w:szCs w:val="20"/>
          <w:shd w:val="clear" w:color="auto" w:fill="FFFFFF"/>
        </w:rPr>
        <w:t>) and complement (</w:t>
      </w:r>
      <w:proofErr w:type="spellStart"/>
      <w:r w:rsidR="00CE59DA" w:rsidRPr="009F44A4">
        <w:rPr>
          <w:rFonts w:ascii="Times New Roman" w:hAnsi="Times New Roman" w:cs="Times New Roman"/>
          <w:color w:val="000000" w:themeColor="text1"/>
          <w:sz w:val="20"/>
          <w:szCs w:val="20"/>
          <w:shd w:val="clear" w:color="auto" w:fill="FFFFFF"/>
        </w:rPr>
        <w:t>C3</w:t>
      </w:r>
      <w:proofErr w:type="spellEnd"/>
      <w:r w:rsidR="00CE59DA" w:rsidRPr="009F44A4">
        <w:rPr>
          <w:rFonts w:ascii="Times New Roman" w:hAnsi="Times New Roman" w:cs="Times New Roman"/>
          <w:color w:val="000000" w:themeColor="text1"/>
          <w:sz w:val="20"/>
          <w:szCs w:val="20"/>
          <w:shd w:val="clear" w:color="auto" w:fill="FFFFFF"/>
        </w:rPr>
        <w:t>/</w:t>
      </w:r>
      <w:proofErr w:type="spellStart"/>
      <w:r w:rsidR="00CE59DA" w:rsidRPr="009F44A4">
        <w:rPr>
          <w:rFonts w:ascii="Times New Roman" w:hAnsi="Times New Roman" w:cs="Times New Roman"/>
          <w:color w:val="000000" w:themeColor="text1"/>
          <w:sz w:val="20"/>
          <w:szCs w:val="20"/>
          <w:shd w:val="clear" w:color="auto" w:fill="FFFFFF"/>
        </w:rPr>
        <w:t>C4</w:t>
      </w:r>
      <w:proofErr w:type="spellEnd"/>
      <w:r w:rsidR="00CE59DA" w:rsidRPr="009F44A4">
        <w:rPr>
          <w:rFonts w:ascii="Times New Roman" w:hAnsi="Times New Roman" w:cs="Times New Roman"/>
          <w:color w:val="000000" w:themeColor="text1"/>
          <w:sz w:val="20"/>
          <w:szCs w:val="20"/>
          <w:shd w:val="clear" w:color="auto" w:fill="FFFFFF"/>
        </w:rPr>
        <w:t>) protein levels were found within the normal range</w:t>
      </w:r>
      <w:r w:rsidR="00C02138" w:rsidRPr="009F44A4">
        <w:rPr>
          <w:rFonts w:ascii="Times New Roman" w:eastAsia="Calibri" w:hAnsi="Times New Roman" w:cs="Times New Roman"/>
          <w:color w:val="000000" w:themeColor="text1"/>
          <w:sz w:val="20"/>
          <w:szCs w:val="20"/>
        </w:rPr>
        <w:t xml:space="preserve"> </w:t>
      </w:r>
      <w:r w:rsidR="0061722C"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{"citationID":"eKhCY5Ef","properties":{"formattedCitation":"\\super 154,158\\nosupersub{}","plainCitation":"154,158","noteIndex":0},"citationItems":[{"id":866,"uris":["http://zotero.org/users/local/ZR048J0w/items/TCXXHG2K"],"uri":["http://zotero.org/users/local/ZR048J0w/items/TCXXHG2K"],"itemData":{"id":866,"type":"article-journal","abstract":"As a zoonotic disease that has already spread globally to several million human beings and possibly to domestic and wild animals, eradication of coronavirus disease 2019 (COVID-19) appears practically impossible. There is a pressing need to improve our understanding of the immunology of this disease to contain the pandemic by developing vaccines and medicines for the prevention and treatment of patients. In this review, we aim to improve our understanding on the immune response and immunopathological changes in patients linked to deteriorating clinical conditions such as cytokine storm, acute respiratory distress syndrome, autopsy findings and changes in acute-phase reactants, and serum biochemistry in COVID-19. Similar to many other viral infections, asymptomatic disease is present in a significant but currently unknown fraction of the affected individuals. In the majority of the patients, a 1-week, self-limiting viral respiratory disease typically occurs, which ends with the development of neutralizing antiviral T cell and antibody immunity. The IgM-, IgA-, and IgG-type virus-specific antibodies levels are important measurements to predict population immunity against this disease and whether cross-reactivity with other coronaviruses is taking place. High viral load during the first infection and repeated exposure to virus especially in healthcare workers can be an important factor for severity of disease. It should be noted that many aspects of severe patients are unique to COVID-19 and are rarely observed in other respiratory viral infections, such as severe lymphopenia and eosinopenia, extensive pneumonia and lung tissue damage, a cytokine storm leading to acute respiratory distress syndrome, and multiorgan failure. Lymphopenia causes a defect in antiviral and immune regulatory immunity. At the same time, a cytokine storm starts with extensive activation of cytokine-secreting cells with innate and adaptive immune mechanisms both of which contribute to a poor prognosis. Elevated levels of acute-phase reactants and lymphopenia are early predictors of high disease severity. Prevention of development to severe disease, cytokine storm, acute respiratory distress syndrome, and novel approaches to prevent their development will be main routes for future research areas. As we learn to live amidst the virus, understanding the immunology of the disease can assist in containing the pandemic and in developing vaccines and medicines to prevent and treat individual patients.","container-title":"Allergy","DOI":"https://doi.org/10.1111/all.14364","ISSN":"1398-9995","issue":"7","language":"en","note":"_eprint: https://onlinelibrary.wiley.com/doi/pdf/10.1111/all.14364","page":"1564-1581","source":"Wiley Online Library","title":"Immune response to SARS-CoV-2 and mechanisms of immunopathological changes in COVID-19","volume":"75","author":[{"family":"Azkur","given":"Ahmet Kursat"},{"family":"Akdis","given":"Mübeccel"},{"family":"Azkur","given":"Dilek"},{"family":"Sokolowska","given":"Milena"},{"family":"Veen","given":"Willem","dropping-particle":"van de"},{"family":"Brüggen","given":"Marie-Charlotte"},{"family":"O’Mahony","given":"Liam"},{"family":"Gao","given":"Yadong"},{"family":"Nadeau","given":"Kari"},{"family":"Akdis","given":"Cezmi A."}],"issued":{"date-parts":[["2020"]]}}},{"id":852,"uris":["http://zotero.org/users/local/ZR048J0w/items/3RQZDCBX"],"uri":["http://zotero.org/users/local/ZR048J0w/items/3RQZDCBX"],"itemData":{"id":852,"type":"article-journal","abstract":"BACKGROUND: In December 2019, coronavirus 2019 (COVID-19) emerged in Wuhan and rapidly spread throughout China.\nMETHODS: Demographic and clinical data of all confirmed cases with COVID-19 on admission at Tongji Hospital from 10 January to 12 February 2020 were collected and analyzed. The data on laboratory examinations, including peripheral lymphocyte subsets, were analyzed and compared between patients with severe and nonsevere infection.\nRESULTS: Of the 452 patients with COVID-19 recruited, 286 were diagnosed as having severe infection. The median age was 58 years and 235 were male. The most common symptoms were fever, shortness of breath, expectoration, fatigue, dry cough, and myalgia. Severe cases tend to have lower lymphocyte counts, higher leukocyte counts and neutrophil-lymphocyte ratio (NLR), as well as lower percentages of monocytes, eosinophils, and basophils. Most severe cases demonstrated elevated levels of infection-related biomarkers and inflammatory cytokines. The number of T cells significantly decreased, and were more impaired in severe cases. Both helper T (Th) cells and suppressor T cells in patients with COVID-19 were below normal levels, with lower levels of Th cells in the severe group. The percentage of naive Th cells increased and memory Th cells decreased in severe cases. Patients with COVID-19 also have lower levels of regulatory T cells, which are more obviously decreased in severe cases.\nCONCLUSIONS: The novel coronavirus might mainly act on lymphocytes, especially T lymphocytes. Surveillance of NLR and lymphocyte subsets is helpful in the early screening of critical illness, diagnosis, and treatment of COVID-19.","container-title":"Clinical Infectious Diseases: An Official Publication of the Infectious Diseases Society of America","DOI":"10.1093/cid/ciaa248","ISSN":"1537-6591","issue":"15","journalAbbreviation":"Clin Infect Dis","language":"eng","note":"PMID: 32161940\nPMCID: PMC7108125","page":"762-768","source":"PubMed","title":"Dysregulation of Immune Response in Patients With Coronavirus 2019 (COVID-19) in Wuhan, China","volume":"71","author":[{"family":"Qin","given":"Chuan"},{"family":"Zhou","given":"Luoqi"},{"family":"Hu","given":"Ziwei"},{"family":"Zhang","given":"Shuoqi"},{"family":"Yang","given":"Sheng"},{"family":"Tao","given":"Yu"},{"family":"Xie","given":"Cuihong"},{"family":"Ma","given":"Ke"},{"family":"Shang","given":"Ke"},{"family":"Wang","given":"Wei"},{"family":"Tian","given":"Dai-Shi"}],"issued":{"date-parts":[["2020",7,28]]}}}],"schema":"https://github.com/citation-style-language/schema/raw/master/csl-citation.json"} </w:instrText>
      </w:r>
      <w:r w:rsidR="0061722C"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154,158</w:t>
      </w:r>
      <w:r w:rsidR="0061722C"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00CE59DA" w:rsidRPr="009F44A4">
        <w:rPr>
          <w:rFonts w:ascii="Times New Roman" w:hAnsi="Times New Roman" w:cs="Times New Roman"/>
          <w:color w:val="000000" w:themeColor="text1"/>
          <w:sz w:val="20"/>
          <w:szCs w:val="20"/>
          <w:shd w:val="clear" w:color="auto" w:fill="FFFFFF"/>
        </w:rPr>
        <w:t xml:space="preserve">However, high concentrations of </w:t>
      </w:r>
      <w:proofErr w:type="spellStart"/>
      <w:r w:rsidR="00CE59DA" w:rsidRPr="009F44A4">
        <w:rPr>
          <w:rFonts w:ascii="Times New Roman" w:hAnsi="Times New Roman" w:cs="Times New Roman"/>
          <w:color w:val="000000" w:themeColor="text1"/>
          <w:sz w:val="20"/>
          <w:szCs w:val="20"/>
          <w:shd w:val="clear" w:color="auto" w:fill="FFFFFF"/>
        </w:rPr>
        <w:t>IgG</w:t>
      </w:r>
      <w:proofErr w:type="spellEnd"/>
      <w:r w:rsidR="00CE59DA" w:rsidRPr="009F44A4">
        <w:rPr>
          <w:rFonts w:ascii="Times New Roman" w:hAnsi="Times New Roman" w:cs="Times New Roman"/>
          <w:color w:val="000000" w:themeColor="text1"/>
          <w:sz w:val="20"/>
          <w:szCs w:val="20"/>
          <w:shd w:val="clear" w:color="auto" w:fill="FFFFFF"/>
        </w:rPr>
        <w:t xml:space="preserve"> or </w:t>
      </w:r>
      <w:proofErr w:type="spellStart"/>
      <w:r w:rsidR="00CE59DA" w:rsidRPr="009F44A4">
        <w:rPr>
          <w:rFonts w:ascii="Times New Roman" w:hAnsi="Times New Roman" w:cs="Times New Roman"/>
          <w:color w:val="000000" w:themeColor="text1"/>
          <w:sz w:val="20"/>
          <w:szCs w:val="20"/>
          <w:shd w:val="clear" w:color="auto" w:fill="FFFFFF"/>
        </w:rPr>
        <w:t>IgM</w:t>
      </w:r>
      <w:proofErr w:type="spellEnd"/>
      <w:r w:rsidR="00CE59DA" w:rsidRPr="009F44A4">
        <w:rPr>
          <w:rFonts w:ascii="Times New Roman" w:hAnsi="Times New Roman" w:cs="Times New Roman"/>
          <w:color w:val="000000" w:themeColor="text1"/>
          <w:sz w:val="20"/>
          <w:szCs w:val="20"/>
          <w:shd w:val="clear" w:color="auto" w:fill="FFFFFF"/>
        </w:rPr>
        <w:t xml:space="preserve"> antibodies to COVID-19 N protein or receptor binding domain (RBD) were observed after infection of 10 days or later. A typical antibody response is an early increase in </w:t>
      </w:r>
      <w:proofErr w:type="spellStart"/>
      <w:r w:rsidR="00CE59DA" w:rsidRPr="009F44A4">
        <w:rPr>
          <w:rFonts w:ascii="Times New Roman" w:hAnsi="Times New Roman" w:cs="Times New Roman"/>
          <w:color w:val="000000" w:themeColor="text1"/>
          <w:sz w:val="20"/>
          <w:szCs w:val="20"/>
          <w:shd w:val="clear" w:color="auto" w:fill="FFFFFF"/>
        </w:rPr>
        <w:t>IgM</w:t>
      </w:r>
      <w:proofErr w:type="spellEnd"/>
      <w:r w:rsidR="00CE59DA" w:rsidRPr="009F44A4">
        <w:rPr>
          <w:rFonts w:ascii="Times New Roman" w:hAnsi="Times New Roman" w:cs="Times New Roman"/>
          <w:color w:val="000000" w:themeColor="text1"/>
          <w:sz w:val="20"/>
          <w:szCs w:val="20"/>
          <w:shd w:val="clear" w:color="auto" w:fill="FFFFFF"/>
        </w:rPr>
        <w:t xml:space="preserve"> followed by a noticeable increase in </w:t>
      </w:r>
      <w:proofErr w:type="spellStart"/>
      <w:r w:rsidR="00CE59DA" w:rsidRPr="009F44A4">
        <w:rPr>
          <w:rFonts w:ascii="Times New Roman" w:hAnsi="Times New Roman" w:cs="Times New Roman"/>
          <w:color w:val="000000" w:themeColor="text1"/>
          <w:sz w:val="20"/>
          <w:szCs w:val="20"/>
          <w:shd w:val="clear" w:color="auto" w:fill="FFFFFF"/>
        </w:rPr>
        <w:t>IgG</w:t>
      </w:r>
      <w:proofErr w:type="spellEnd"/>
      <w:r w:rsidR="00CE59DA" w:rsidRPr="009F44A4">
        <w:rPr>
          <w:rFonts w:ascii="Times New Roman" w:hAnsi="Times New Roman" w:cs="Times New Roman"/>
          <w:color w:val="000000" w:themeColor="text1"/>
          <w:sz w:val="20"/>
          <w:szCs w:val="20"/>
          <w:shd w:val="clear" w:color="auto" w:fill="FFFFFF"/>
        </w:rPr>
        <w:t xml:space="preserve"> after a few days. However, the serum level of the common </w:t>
      </w:r>
      <w:proofErr w:type="spellStart"/>
      <w:r w:rsidR="00CE59DA" w:rsidRPr="009F44A4">
        <w:rPr>
          <w:rFonts w:ascii="Times New Roman" w:hAnsi="Times New Roman" w:cs="Times New Roman"/>
          <w:color w:val="000000" w:themeColor="text1"/>
          <w:sz w:val="20"/>
          <w:szCs w:val="20"/>
          <w:shd w:val="clear" w:color="auto" w:fill="FFFFFF"/>
        </w:rPr>
        <w:t>IgG</w:t>
      </w:r>
      <w:proofErr w:type="spellEnd"/>
      <w:r w:rsidR="00CE59DA" w:rsidRPr="009F44A4">
        <w:rPr>
          <w:rFonts w:ascii="Times New Roman" w:hAnsi="Times New Roman" w:cs="Times New Roman"/>
          <w:color w:val="000000" w:themeColor="text1"/>
          <w:sz w:val="20"/>
          <w:szCs w:val="20"/>
          <w:shd w:val="clear" w:color="auto" w:fill="FFFFFF"/>
        </w:rPr>
        <w:t xml:space="preserve"> can be identified by shooting up earlier than that of </w:t>
      </w:r>
      <w:proofErr w:type="spellStart"/>
      <w:r w:rsidR="00CE59DA" w:rsidRPr="009F44A4">
        <w:rPr>
          <w:rFonts w:ascii="Times New Roman" w:hAnsi="Times New Roman" w:cs="Times New Roman"/>
          <w:color w:val="000000" w:themeColor="text1"/>
          <w:sz w:val="20"/>
          <w:szCs w:val="20"/>
          <w:shd w:val="clear" w:color="auto" w:fill="FFFFFF"/>
        </w:rPr>
        <w:t>IgM</w:t>
      </w:r>
      <w:proofErr w:type="spellEnd"/>
      <w:r w:rsidR="00CE59DA" w:rsidRPr="009F44A4">
        <w:rPr>
          <w:rFonts w:ascii="Times New Roman" w:hAnsi="Times New Roman" w:cs="Times New Roman"/>
          <w:color w:val="000000" w:themeColor="text1"/>
          <w:sz w:val="20"/>
          <w:szCs w:val="20"/>
          <w:shd w:val="clear" w:color="auto" w:fill="FFFFFF"/>
        </w:rPr>
        <w:t xml:space="preserve"> against SARS-</w:t>
      </w:r>
      <w:proofErr w:type="spellStart"/>
      <w:r w:rsidR="00CE59DA" w:rsidRPr="009F44A4">
        <w:rPr>
          <w:rFonts w:ascii="Times New Roman" w:hAnsi="Times New Roman" w:cs="Times New Roman"/>
          <w:color w:val="000000" w:themeColor="text1"/>
          <w:sz w:val="20"/>
          <w:szCs w:val="20"/>
          <w:shd w:val="clear" w:color="auto" w:fill="FFFFFF"/>
        </w:rPr>
        <w:t>CoV</w:t>
      </w:r>
      <w:proofErr w:type="spellEnd"/>
      <w:r w:rsidR="00CE59DA" w:rsidRPr="009F44A4">
        <w:rPr>
          <w:rFonts w:ascii="Times New Roman" w:hAnsi="Times New Roman" w:cs="Times New Roman"/>
          <w:color w:val="000000" w:themeColor="text1"/>
          <w:sz w:val="20"/>
          <w:szCs w:val="20"/>
          <w:shd w:val="clear" w:color="auto" w:fill="FFFFFF"/>
        </w:rPr>
        <w:t>-2</w:t>
      </w:r>
      <w:r w:rsidR="009A1CCE" w:rsidRPr="009F44A4">
        <w:rPr>
          <w:rFonts w:ascii="Times New Roman" w:eastAsia="Calibri" w:hAnsi="Times New Roman" w:cs="Times New Roman"/>
          <w:color w:val="000000" w:themeColor="text1"/>
          <w:sz w:val="20"/>
          <w:szCs w:val="20"/>
        </w:rPr>
        <w:t xml:space="preserve"> </w:t>
      </w:r>
      <w:r w:rsidR="009A1CCE"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{"citationID":"uwzANKGT","properties":{"formattedCitation":"\\super 154,172\\nosupersub{}","plainCitation":"154,172","noteIndex":0},"citationItems":[{"id":866,"uris":["http://zotero.org/users/local/ZR048J0w/items/TCXXHG2K"],"uri":["http://zotero.org/users/local/ZR048J0w/items/TCXXHG2K"],"itemData":{"id":866,"type":"article-journal","abstract":"As a zoonotic disease that has already spread globally to several million human beings and possibly to domestic and wild animals, eradication of coronavirus disease 2019 (COVID-19) appears practically impossible. There is a pressing need to improve our understanding of the immunology of this disease to contain the pandemic by developing vaccines and medicines for the prevention and treatment of patients. In this review, we aim to improve our understanding on the immune response and immunopathological changes in patients linked to deteriorating clinical conditions such as cytokine storm, acute respiratory distress syndrome, autopsy findings and changes in acute-phase reactants, and serum biochemistry in COVID-19. Similar to many other viral infections, asymptomatic disease is present in a significant but currently unknown fraction of the affected individuals. In the majority of the patients, a 1-week, self-limiting viral respiratory disease typically occurs, which ends with the development of neutralizing antiviral T cell and antibody immunity. The IgM-, IgA-, and IgG-type virus-specific antibodies levels are important measurements to predict population immunity against this disease and whether cross-reactivity with other coronaviruses is taking place. High viral load during the first infection and repeated exposure to virus especially in healthcare workers can be an important factor for severity of disease. It should be noted that many aspects of severe patients are unique to COVID-19 and are rarely observed in other respiratory viral infections, such as severe lymphopenia and eosinopenia, extensive pneumonia and lung tissue damage, a cytokine storm leading to acute respiratory distress syndrome, and multiorgan failure. Lymphopenia causes a defect in antiviral and immune regulatory immunity. At the same time, a cytokine storm starts with extensive activation of cytokine-secreting cells with innate and adaptive immune mechanisms both of which contribute to a poor prognosis. Elevated levels of acute-phase reactants and lymphopenia are early predictors of high disease severity. Prevention of development to severe disease, cytokine storm, acute respiratory distress syndrome, and novel approaches to prevent their development will be main routes for future research areas. As we learn to live amidst the virus, understanding the immunology of the disease can assist in containing the pandemic and in developing vaccines and medicines to prevent and treat individual patients.","container-title":"Allergy","DOI":"https://doi.org/10.1111/all.14364","ISSN":"1398-9995","issue":"7","language":"en","note":"_eprint: https://onlinelibrary.wiley.com/doi/pdf/10.1111/all.14364","page":"1564-1581","source":"Wiley Online Library","title":"Immune response to SARS-CoV-2 and mechanisms of immunopathological changes in COVID-19","volume":"75","author":[{"family":"Azkur","given":"Ahmet Kursat"},{"family":"Akdis","given":"Mübeccel"},{"family":"Azkur","given":"Dilek"},{"family":"Sokolowska","given":"Milena"},{"family":"Veen","given":"Willem","dropping-particle":"van de"},{"family":"Brüggen","given":"Marie-Charlotte"},{"family":"O’Mahony","given":"Liam"},{"family":"Gao","given":"Yadong"},{"family":"Nadeau","given":"Kari"},{"family":"Akdis","given":"Cezmi A."}],"issued":{"date-parts":[["2020"]]}}},{"id":900,"uris":["http://zotero.org/users/local/ZR048J0w/items/GWG2EKV7"],"uri":["http://zotero.org/users/local/ZR048J0w/items/GWG2EKV7"],"itemData":{"id":900,"type":"article-journal","container-title":"Nature Medicine","DOI":"10.1038/s41591-020-0897-1","ISSN":"1078-8956, 1546-170X","issue":"6","journalAbbreviation":"Nat Med","language":"en","page":"845-848","source":"DOI.org (Crossref)","title":"Antibody responses to SARS-CoV-2 in patients with COVID-19","volume":"26","author":[{"family":"Long","given":"Quan-Xin"},{"family":"Liu","given":"Bai-Zhong"},{"family":"Deng","given":"Hai-Jun"},{"family":"Wu","given":"Gui-Cheng"},{"family":"Deng","given":"Kun"},{"family":"Chen","given":"Yao-Kai"},{"family":"Liao","given":"Pu"},{"family":"Qiu","given":"Jing-Fu"},{"family":"Lin","given":"Yong"},{"family":"Cai","given":"Xue-Fei"},{"family":"Wang","given":"De-Qiang"},{"family":"Hu","given":"Yuan"},{"family":"Ren","given":"Ji-Hua"},{"family":"Tang","given":"Ni"},{"family":"Xu","given":"Yin-Yin"},{"family":"Yu","given":"Li-Hua"},{"family":"Mo","given":"Zhan"},{"family":"Gong","given":"Fang"},{"family":"Zhang","given":"Xiao-Li"},{"family":"Tian","given":"Wen-Guang"},{"family":"Hu","given":"Li"},{"family":"Zhang","given":"Xian-Xiang"},{"family":"Xiang","given":"Jiang-Lin"},{"family":"Du","given":"Hong-Xin"},{"family":"Liu","given":"Hua-Wen"},{"family":"Lang","given":"Chun-Hui"},{"family":"Luo","given":"Xiao-He"},{"family":"Wu","given":"Shao-Bo"},{"family":"Cui","given":"Xiao-Ping"},{"family":"Zhou","given":"Zheng"},{"family":"Zhu","given":"Man-Man"},{"family":"Wang","given":"Jing"},{"family":"Xue","given":"Cheng-Jun"},{"family":"Li","given":"Xiao-Feng"},{"family":"Wang","given":"Li"},{"family":"Li","given":"Zhi-Jie"},{"family":"Wang","given":"Kun"},{"family":"Niu","given":"Chang-Chun"},{"family":"Yang","given":"Qing-Jun"},{"family":"Tang","given":"Xiao-Jun"},{"family":"Zhang","given":"Yong"},{"family":"Liu","given":"Xia-Mao"},{"family":"Li","given":"Jin-Jing"},{"family":"Zhang","given":"De-Chun"},{"family":"Zhang","given":"Fan"},{"family":"Liu","given":"Ping"},{"family":"Yuan","given":"Jun"},{"family":"Li","given":"Qin"},{"family":"Hu","given":"Jie-Li"},{"family":"Chen","given":"Juan"},{"family":"Huang","given":"Ai-Long"}],"issued":{"date-parts":[["2020",6]]}}}],"schema":"https://github.com/citation-style-language/schema/raw/master/csl-citation.json"} </w:instrText>
      </w:r>
      <w:r w:rsidR="009A1CCE"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154,172</w:t>
      </w:r>
      <w:r w:rsidR="009A1CCE" w:rsidRPr="009F44A4">
        <w:rPr>
          <w:rFonts w:ascii="Times New Roman" w:eastAsia="Calibri" w:hAnsi="Times New Roman" w:cs="Times New Roman"/>
          <w:color w:val="000000" w:themeColor="text1"/>
          <w:sz w:val="20"/>
          <w:szCs w:val="20"/>
        </w:rPr>
        <w:fldChar w:fldCharType="end"/>
      </w:r>
      <w:r w:rsidR="009A1CCE"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00CE59DA" w:rsidRPr="009F44A4">
        <w:rPr>
          <w:rFonts w:ascii="Times New Roman" w:hAnsi="Times New Roman" w:cs="Times New Roman"/>
          <w:color w:val="000000" w:themeColor="text1"/>
          <w:sz w:val="20"/>
          <w:szCs w:val="20"/>
          <w:shd w:val="clear" w:color="auto" w:fill="FFFFFF"/>
        </w:rPr>
        <w:t xml:space="preserve">These results have shown that, due to the presence of other coronaviruses, cross-reactivity of antigen with existing specific </w:t>
      </w:r>
      <w:proofErr w:type="spellStart"/>
      <w:r w:rsidR="00CE59DA" w:rsidRPr="009F44A4">
        <w:rPr>
          <w:rFonts w:ascii="Times New Roman" w:hAnsi="Times New Roman" w:cs="Times New Roman"/>
          <w:color w:val="000000" w:themeColor="text1"/>
          <w:sz w:val="20"/>
          <w:szCs w:val="20"/>
          <w:shd w:val="clear" w:color="auto" w:fill="FFFFFF"/>
        </w:rPr>
        <w:t>IgG</w:t>
      </w:r>
      <w:proofErr w:type="spellEnd"/>
      <w:r w:rsidR="00CE59DA" w:rsidRPr="009F44A4">
        <w:rPr>
          <w:rFonts w:ascii="Times New Roman" w:hAnsi="Times New Roman" w:cs="Times New Roman"/>
          <w:color w:val="000000" w:themeColor="text1"/>
          <w:sz w:val="20"/>
          <w:szCs w:val="20"/>
          <w:shd w:val="clear" w:color="auto" w:fill="FFFFFF"/>
        </w:rPr>
        <w:t xml:space="preserve"> may not be useful for the detection of COVID-19</w:t>
      </w:r>
      <w:r w:rsidR="009B7C4A" w:rsidRPr="009F44A4">
        <w:rPr>
          <w:rFonts w:ascii="Times New Roman" w:eastAsia="Calibri" w:hAnsi="Times New Roman" w:cs="Times New Roman"/>
          <w:color w:val="000000" w:themeColor="text1"/>
          <w:sz w:val="20"/>
          <w:szCs w:val="20"/>
        </w:rPr>
        <w:t xml:space="preserve"> </w:t>
      </w:r>
      <w:r w:rsidR="009B7C4A"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{"citationID":"FQessAuT","properties":{"formattedCitation":"\\super 154\\nosupersub{}","plainCitation":"154","noteIndex":0},"citationItems":[{"id":866,"uris":["http://zotero.org/users/local/ZR048J0w/items/TCXXHG2K"],"uri":["http://zotero.org/users/local/ZR048J0w/items/TCXXHG2K"],"itemData":{"id":866,"type":"article-journal","abstract":"As a zoonotic disease that has already spread globally to several million human beings and possibly to domestic and wild animals, eradication of coronavirus disease 2019 (COVID-19) appears practically impossible. There is a pressing need to improve our understanding of the immunology of this disease to contain the pandemic by developing vaccines and medicines for the prevention and treatment of patients. In this review, we aim to improve our understanding on the immune response and immunopathological changes in patients linked to deteriorating clinical conditions such as cytokine storm, acute respiratory distress syndrome, autopsy findings and changes in acute-phase reactants, and serum biochemistry in COVID-19. Similar to many other viral infections, asymptomatic disease is present in a significant but currently unknown fraction of the affected individuals. In the majority of the patients, a 1-week, self-limiting viral respiratory disease typically occurs, which ends with the development of neutralizing antiviral T cell and antibody immunity. The IgM-, IgA-, and IgG-type virus-specific antibodies levels are important measurements to predict population immunity against this disease and whether cross-reactivity with other coronaviruses is taking place. High viral load during the first infection and repeated exposure to virus especially in healthcare workers can be an important factor for severity of disease. It should be noted that many aspects of severe patients are unique to COVID-19 and are rarely observed in other respiratory viral infections, such as severe lymphopenia and eosinopenia, extensive pneumonia and lung tissue damage, a cytokine storm leading to acute respiratory distress syndrome, and multiorgan failure. Lymphopenia causes a defect in antiviral and immune regulatory immunity. At the same time, a cytokine storm starts with extensive activation of cytokine-secreting cells with innate and adaptive immune mechanisms both of which contribute to a poor prognosis. Elevated levels of acute-phase reactants and lymphopenia are early predictors of high disease severity. Prevention of development to severe disease, cytokine storm, acute respiratory distress syndrome, and novel approaches to prevent their development will be main routes for future research areas. As we learn to live amidst the virus, understanding the immunology of the disease can assist in containing the pandemic and in developing vaccines and medicines to prevent and treat individual patients.","container-title":"Allergy","DOI":"https://doi.org/10.1111/all.14364","ISSN":"1398-9995","issue":"7","language":"en","note":"_eprint: https://onlinelibrary.wiley.com/doi/pdf/10.1111/all.14364","page":"1564-1581","source":"Wiley Online Library","title":"Immune response to SARS-CoV-2 and mechanisms of immunopathological changes in COVID-19","volume":"75","author":[{"family":"Azkur","given":"Ahmet Kursat"},{"family":"Akdis","given":"Mübeccel"},{"family":"Azkur","given":"Dilek"},{"family":"Sokolowska","given":"Milena"},{"family":"Veen","given":"Willem","dropping-particle":"van de"},{"family":"Brüggen","given":"Marie-Charlotte"},{"family":"O’Mahony","given":"Liam"},{"family":"Gao","given":"Yadong"},{"family":"Nadeau","given":"Kari"},{"family":"Akdis","given":"Cezmi A."}],"issued":{"date-parts":[["2020"]]}}}],"schema":"https://github.com/citation-style-language/schema/raw/master/csl-citation.json"} </w:instrText>
      </w:r>
      <w:r w:rsidR="009B7C4A"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154</w:t>
      </w:r>
      <w:r w:rsidR="009B7C4A" w:rsidRPr="009F44A4">
        <w:rPr>
          <w:rFonts w:ascii="Times New Roman" w:eastAsia="Calibri" w:hAnsi="Times New Roman" w:cs="Times New Roman"/>
          <w:color w:val="000000" w:themeColor="text1"/>
          <w:sz w:val="20"/>
          <w:szCs w:val="20"/>
        </w:rPr>
        <w:fldChar w:fldCharType="end"/>
      </w:r>
      <w:r w:rsidR="009B7C4A"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00CE59DA" w:rsidRPr="009F44A4">
        <w:rPr>
          <w:rFonts w:ascii="Times New Roman" w:hAnsi="Times New Roman" w:cs="Times New Roman"/>
          <w:color w:val="000000" w:themeColor="text1"/>
          <w:sz w:val="20"/>
          <w:szCs w:val="20"/>
          <w:shd w:val="clear" w:color="auto" w:fill="FFFFFF"/>
        </w:rPr>
        <w:t xml:space="preserve">In different studies, COVID-19 virus-specific </w:t>
      </w:r>
      <w:proofErr w:type="spellStart"/>
      <w:r w:rsidR="00CE59DA" w:rsidRPr="009F44A4">
        <w:rPr>
          <w:rFonts w:ascii="Times New Roman" w:hAnsi="Times New Roman" w:cs="Times New Roman"/>
          <w:color w:val="000000" w:themeColor="text1"/>
          <w:sz w:val="20"/>
          <w:szCs w:val="20"/>
          <w:shd w:val="clear" w:color="auto" w:fill="FFFFFF"/>
        </w:rPr>
        <w:t>IgG</w:t>
      </w:r>
      <w:proofErr w:type="spellEnd"/>
      <w:r w:rsidR="00CE59DA" w:rsidRPr="009F44A4">
        <w:rPr>
          <w:rFonts w:ascii="Times New Roman" w:hAnsi="Times New Roman" w:cs="Times New Roman"/>
          <w:color w:val="000000" w:themeColor="text1"/>
          <w:sz w:val="20"/>
          <w:szCs w:val="20"/>
          <w:shd w:val="clear" w:color="auto" w:fill="FFFFFF"/>
        </w:rPr>
        <w:t xml:space="preserve"> and </w:t>
      </w:r>
      <w:proofErr w:type="spellStart"/>
      <w:r w:rsidR="00CE59DA" w:rsidRPr="009F44A4">
        <w:rPr>
          <w:rFonts w:ascii="Times New Roman" w:hAnsi="Times New Roman" w:cs="Times New Roman"/>
          <w:color w:val="000000" w:themeColor="text1"/>
          <w:sz w:val="20"/>
          <w:szCs w:val="20"/>
          <w:shd w:val="clear" w:color="auto" w:fill="FFFFFF"/>
        </w:rPr>
        <w:t>IgM</w:t>
      </w:r>
      <w:proofErr w:type="spellEnd"/>
      <w:r w:rsidR="00CE59DA" w:rsidRPr="009F44A4">
        <w:rPr>
          <w:rFonts w:ascii="Times New Roman" w:hAnsi="Times New Roman" w:cs="Times New Roman"/>
          <w:color w:val="000000" w:themeColor="text1"/>
          <w:sz w:val="20"/>
          <w:szCs w:val="20"/>
          <w:shd w:val="clear" w:color="auto" w:fill="FFFFFF"/>
        </w:rPr>
        <w:t xml:space="preserve"> antibodies were found to reach their peak levels in 17-19 days and 20-22 days after the appearance of symptoms. Another observation was that in the serious COVID-19 category the </w:t>
      </w:r>
      <w:proofErr w:type="spellStart"/>
      <w:r w:rsidR="00CE59DA" w:rsidRPr="009F44A4">
        <w:rPr>
          <w:rFonts w:ascii="Times New Roman" w:hAnsi="Times New Roman" w:cs="Times New Roman"/>
          <w:color w:val="000000" w:themeColor="text1"/>
          <w:sz w:val="20"/>
          <w:szCs w:val="20"/>
          <w:shd w:val="clear" w:color="auto" w:fill="FFFFFF"/>
        </w:rPr>
        <w:t>IgG</w:t>
      </w:r>
      <w:proofErr w:type="spellEnd"/>
      <w:r w:rsidR="00CE59DA" w:rsidRPr="009F44A4">
        <w:rPr>
          <w:rFonts w:ascii="Times New Roman" w:hAnsi="Times New Roman" w:cs="Times New Roman"/>
          <w:color w:val="000000" w:themeColor="text1"/>
          <w:sz w:val="20"/>
          <w:szCs w:val="20"/>
          <w:shd w:val="clear" w:color="auto" w:fill="FFFFFF"/>
        </w:rPr>
        <w:t xml:space="preserve"> and </w:t>
      </w:r>
      <w:proofErr w:type="spellStart"/>
      <w:r w:rsidR="00CE59DA" w:rsidRPr="009F44A4">
        <w:rPr>
          <w:rFonts w:ascii="Times New Roman" w:hAnsi="Times New Roman" w:cs="Times New Roman"/>
          <w:color w:val="000000" w:themeColor="text1"/>
          <w:sz w:val="20"/>
          <w:szCs w:val="20"/>
          <w:shd w:val="clear" w:color="auto" w:fill="FFFFFF"/>
        </w:rPr>
        <w:t>IgM</w:t>
      </w:r>
      <w:proofErr w:type="spellEnd"/>
      <w:r w:rsidR="00CE59DA" w:rsidRPr="009F44A4">
        <w:rPr>
          <w:rFonts w:ascii="Times New Roman" w:hAnsi="Times New Roman" w:cs="Times New Roman"/>
          <w:color w:val="000000" w:themeColor="text1"/>
          <w:sz w:val="20"/>
          <w:szCs w:val="20"/>
          <w:shd w:val="clear" w:color="auto" w:fill="FFFFFF"/>
        </w:rPr>
        <w:t xml:space="preserve"> titers were relatively higher than the non-serious category </w:t>
      </w:r>
      <w:r w:rsidR="009B7C4A"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{"citationID":"Wt0JwVXt","properties":{"formattedCitation":"\\super 172,173\\nosupersub{}","plainCitation":"172,173","noteIndex":0},"citationItems":[{"id":900,"uris":["http://zotero.org/users/local/ZR048J0w/items/GWG2EKV7"],"uri":["http://zotero.org/users/local/ZR048J0w/items/GWG2EKV7"],"itemData":{"id":900,"type":"article-journal","container-title":"Nature Medicine","DOI":"10.1038/s41591-020-0897-1","ISSN":"1078-8956, 1546-170X","issue":"6","journalAbbreviation":"Nat Med","language":"en","page":"845-848","source":"DOI.org (Crossref)","title":"Antibody responses to SARS-CoV-2 in patients with COVID-19","volume":"26","author":[{"family":"Long","given":"Quan-Xin"},{"family":"Liu","given":"Bai-Zhong"},{"family":"Deng","given":"Hai-Jun"},{"family":"Wu","given":"Gui-Cheng"},{"family":"Deng","given":"Kun"},{"family":"Chen","given":"Yao-Kai"},{"family":"Liao","given":"Pu"},{"family":"Qiu","given":"Jing-Fu"},{"family":"Lin","given":"Yong"},{"family":"Cai","given":"Xue-Fei"},{"family":"Wang","given":"De-Qiang"},{"family":"Hu","given":"Yuan"},{"family":"Ren","given":"Ji-Hua"},{"family":"Tang","given":"Ni"},{"family":"Xu","given":"Yin-Yin"},{"family":"Yu","given":"Li-Hua"},{"family":"Mo","given":"Zhan"},{"family":"Gong","given":"Fang"},{"family":"Zhang","given":"Xiao-Li"},{"family":"Tian","given":"Wen-Guang"},{"family":"Hu","given":"Li"},{"family":"Zhang","given":"Xian-Xiang"},{"family":"Xiang","given":"Jiang-Lin"},{"family":"Du","given":"Hong-Xin"},{"family":"Liu","given":"Hua-Wen"},{"family":"Lang","given":"Chun-Hui"},{"family":"Luo","given":"Xiao-He"},{"family":"Wu","given":"Shao-Bo"},{"family":"Cui","given":"Xiao-Ping"},{"family":"Zhou","given":"Zheng"},{"family":"Zhu","given":"Man-Man"},{"family":"Wang","given":"Jing"},{"family":"Xue","given":"Cheng-Jun"},{"family":"Li","given":"Xiao-Feng"},{"family":"Wang","given":"Li"},{"family":"Li","given":"Zhi-Jie"},{"family":"Wang","given":"Kun"},{"family":"Niu","given":"Chang-Chun"},{"family":"Yang","given":"Qing-Jun"},{"family":"Tang","given":"Xiao-Jun"},{"family":"Zhang","given":"Yong"},{"family":"Liu","given":"Xia-Mao"},{"family":"Li","given":"Jin-Jing"},{"family":"Zhang","given":"De-Chun"},{"family":"Zhang","given":"Fan"},{"family":"Liu","given":"Ping"},{"family":"Yuan","given":"Jun"},{"family":"Li","given":"Qin"},{"family":"Hu","given":"Jie-Li"},{"family":"Chen","given":"Juan"},{"family":"Huang","given":"Ai-Long"}],"issued":{"date-parts":[["2020",6]]}}},{"id":906,"uris":["http://zotero.org/users/local/ZR048J0w/items/2PIDB9D8"],"uri":["http://zotero.org/users/local/ZR048J0w/items/2PIDB9D8"],"itemData":{"id":906,"type":"article-journal","container-title":"The Journal of Infection","DOI":"10.1016/j.jinf.2020.04.019","ISSN":"1532-2742","issue":"2","journalAbbreviation":"J Infect","language":"eng","note":"PMID: 32335168\nPMCID: PMC7177139","page":"e55-e58","source":"PubMed","title":"Dynamics of anti-SARS-Cov-2 IgM and IgG antibodies among COVID-19 patients","volume":"81","author":[{"family":"Lee","given":"Yu-Lin"},{"family":"Liao","given":"Chia-Hung"},{"family":"Liu","given":"Po-Yu"},{"family":"Cheng","given":"Chien-Yu"},{"family":"Chung","given":"Ming-Yi"},{"family":"Liu","given":"Chun-Eng"},{"family":"Chang","given":"Sui-Yuan"},{"family":"Hsueh","given":"Po-Ren"}],"issued":{"date-parts":[["2020",8]]}}}],"schema":"https://github.com/citation-style-language/schema/raw/master/csl-citation.json"} </w:instrText>
      </w:r>
      <w:r w:rsidR="009B7C4A"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172,173</w:t>
      </w:r>
      <w:r w:rsidR="009B7C4A" w:rsidRPr="009F44A4">
        <w:rPr>
          <w:rFonts w:ascii="Times New Roman" w:eastAsia="Calibri" w:hAnsi="Times New Roman" w:cs="Times New Roman"/>
          <w:color w:val="000000" w:themeColor="text1"/>
          <w:sz w:val="20"/>
          <w:szCs w:val="20"/>
        </w:rPr>
        <w:fldChar w:fldCharType="end"/>
      </w:r>
      <w:r w:rsidR="00C02138" w:rsidRPr="009F44A4">
        <w:rPr>
          <w:rFonts w:ascii="Times New Roman" w:eastAsia="Calibri" w:hAnsi="Times New Roman" w:cs="Times New Roman"/>
          <w:color w:val="000000" w:themeColor="text1"/>
          <w:sz w:val="20"/>
          <w:szCs w:val="20"/>
        </w:rPr>
        <w:t xml:space="preserve">. </w:t>
      </w:r>
      <w:r w:rsidR="00CE59DA" w:rsidRPr="009F44A4">
        <w:rPr>
          <w:rFonts w:ascii="Times New Roman" w:hAnsi="Times New Roman" w:cs="Times New Roman"/>
          <w:color w:val="000000" w:themeColor="text1"/>
          <w:sz w:val="20"/>
          <w:szCs w:val="20"/>
          <w:shd w:val="clear" w:color="auto" w:fill="FFFFFF"/>
        </w:rPr>
        <w:t xml:space="preserve">It is widely recognized that during viral infection </w:t>
      </w:r>
      <w:proofErr w:type="spellStart"/>
      <w:r w:rsidR="00CE59DA" w:rsidRPr="009F44A4">
        <w:rPr>
          <w:rFonts w:ascii="Times New Roman" w:hAnsi="Times New Roman" w:cs="Times New Roman"/>
          <w:color w:val="000000" w:themeColor="text1"/>
          <w:sz w:val="20"/>
          <w:szCs w:val="20"/>
          <w:shd w:val="clear" w:color="auto" w:fill="FFFFFF"/>
        </w:rPr>
        <w:t>IgM</w:t>
      </w:r>
      <w:proofErr w:type="spellEnd"/>
      <w:r w:rsidR="00CE59DA" w:rsidRPr="009F44A4">
        <w:rPr>
          <w:rFonts w:ascii="Times New Roman" w:hAnsi="Times New Roman" w:cs="Times New Roman"/>
          <w:color w:val="000000" w:themeColor="text1"/>
          <w:sz w:val="20"/>
          <w:szCs w:val="20"/>
          <w:shd w:val="clear" w:color="auto" w:fill="FFFFFF"/>
        </w:rPr>
        <w:t xml:space="preserve"> provides the first line of protection compared to the high affinity </w:t>
      </w:r>
      <w:proofErr w:type="spellStart"/>
      <w:r w:rsidR="00CE59DA" w:rsidRPr="009F44A4">
        <w:rPr>
          <w:rFonts w:ascii="Times New Roman" w:hAnsi="Times New Roman" w:cs="Times New Roman"/>
          <w:color w:val="000000" w:themeColor="text1"/>
          <w:sz w:val="20"/>
          <w:szCs w:val="20"/>
          <w:shd w:val="clear" w:color="auto" w:fill="FFFFFF"/>
        </w:rPr>
        <w:t>IgG</w:t>
      </w:r>
      <w:proofErr w:type="spellEnd"/>
      <w:r w:rsidR="00CE59DA" w:rsidRPr="009F44A4">
        <w:rPr>
          <w:rFonts w:ascii="Times New Roman" w:hAnsi="Times New Roman" w:cs="Times New Roman"/>
          <w:color w:val="000000" w:themeColor="text1"/>
          <w:sz w:val="20"/>
          <w:szCs w:val="20"/>
          <w:shd w:val="clear" w:color="auto" w:fill="FFFFFF"/>
        </w:rPr>
        <w:t xml:space="preserve"> which provides long-term immunological memory and immunity </w:t>
      </w:r>
      <w:r w:rsidR="00F45C36" w:rsidRPr="009F44A4">
        <w:rPr>
          <w:rFonts w:ascii="Times New Roman" w:eastAsia="Calibri" w:hAnsi="Times New Roman" w:cs="Times New Roman"/>
          <w:color w:val="000000" w:themeColor="text1"/>
          <w:sz w:val="20"/>
          <w:szCs w:val="20"/>
        </w:rPr>
        <w:lastRenderedPageBreak/>
        <w:fldChar w:fldCharType="begin"/>
      </w:r>
      <w:r w:rsidR="00236558">
        <w:rPr>
          <w:rFonts w:ascii="Times New Roman" w:eastAsia="Calibri" w:hAnsi="Times New Roman" w:cs="Times New Roman"/>
          <w:color w:val="000000" w:themeColor="text1"/>
          <w:sz w:val="20"/>
          <w:szCs w:val="20"/>
        </w:rPr>
        <w:instrText xml:space="preserve"> ADDIN ZOTERO_ITEM CSL_CITATION {"citationID":"qTo4HUPv","properties":{"formattedCitation":"\\super 5\\nosupersub{}","plainCitation":"5","noteIndex":0},"citationItems":[{"id":543,"uris":["http://zotero.org/users/local/ZR048J0w/items/GA9R8RN5"],"uri":["http://zotero.org/users/local/ZR048J0w/items/GA9R8RN5"],"itemData":{"id":543,"type":"article-journal","abstract":"The new coronavirus outbreak is an ongoing pandemic that is caused by severe acute respiratory syndrome coronavirus 2 (SARS-CoV-2). The new coronavirus SARS-Cov-2 belongs to the subfamily of β–coronaviruses and shares 79.5% of the genetic sequence of SARS-CoV, the causative agent of the epidemic that started in 2002 and ended in 2004., Considering the clinical impact of the new outbreak, it is highly important to study the potential responses of the human immune system during the SARS-CoV-2 infection as well as the role of virus-specific T cells and by B-lymphocytes. Moreover, specific data on the production of IgG and IgM is crucial to allow the rapid identification of the infection. In this paper we also described the importance of sensitive and specific rapid test for SARS-CoV-2. Indeed, this test represents an important immunological tool aimed at identifying the precise phase of the infection in order to undertake a more appropriate pharmacological treatment. Lastly, we provided an overview of pharmacological treatments aimed to reduce inflammatory processes underlying the infection and the need for the discovery of a new vaccine against SARS-CoV-2.","container-title":"International Immunopharmacology","DOI":"10.1016/j.intimp.2020.106519","ISSN":"1567-5769","journalAbbreviation":"Int Immunopharmacol","note":"PMID: 32311668\nPMCID: PMC7161502","page":"106519","source":"PubMed Central","title":"SARS-Cov-2 infection: Response of human immune system and possible implications for the rapid test and treatment","title-short":"SARS-Cov-2 infection","volume":"84","author":[{"family":"Mauro","given":"Gabriella","non-dropping-particle":"di"},{"family":"Scavone","given":"Cristina"},{"family":"Rafaniello","given":"Concetta"},{"family":"Rossi","given":"Francesco"},{"family":"Capuano","given":"Annalisa"}],"issued":{"date-parts":[["2020",7]]}}}],"schema":"https://github.com/citation-style-language/schema/raw/master/csl-citation.json"} </w:instrText>
      </w:r>
      <w:r w:rsidR="00F45C3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5</w:t>
      </w:r>
      <w:r w:rsidR="00F45C36" w:rsidRPr="009F44A4">
        <w:rPr>
          <w:rFonts w:ascii="Times New Roman" w:eastAsia="Calibri" w:hAnsi="Times New Roman" w:cs="Times New Roman"/>
          <w:color w:val="000000" w:themeColor="text1"/>
          <w:sz w:val="20"/>
          <w:szCs w:val="20"/>
        </w:rPr>
        <w:fldChar w:fldCharType="end"/>
      </w:r>
      <w:r w:rsidR="00F45C36"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r w:rsidR="00CE59DA" w:rsidRPr="009F44A4">
        <w:rPr>
          <w:rFonts w:ascii="Times New Roman" w:hAnsi="Times New Roman" w:cs="Times New Roman"/>
          <w:color w:val="000000" w:themeColor="text1"/>
          <w:sz w:val="20"/>
          <w:szCs w:val="20"/>
          <w:shd w:val="clear" w:color="auto" w:fill="FFFFFF"/>
        </w:rPr>
        <w:t xml:space="preserve">The presence of </w:t>
      </w:r>
      <w:proofErr w:type="spellStart"/>
      <w:r w:rsidR="00CE59DA" w:rsidRPr="009F44A4">
        <w:rPr>
          <w:rFonts w:ascii="Times New Roman" w:hAnsi="Times New Roman" w:cs="Times New Roman"/>
          <w:color w:val="000000" w:themeColor="text1"/>
          <w:sz w:val="20"/>
          <w:szCs w:val="20"/>
          <w:shd w:val="clear" w:color="auto" w:fill="FFFFFF"/>
        </w:rPr>
        <w:t>IgM</w:t>
      </w:r>
      <w:proofErr w:type="spellEnd"/>
      <w:r w:rsidR="00CE59DA" w:rsidRPr="009F44A4">
        <w:rPr>
          <w:rFonts w:ascii="Times New Roman" w:hAnsi="Times New Roman" w:cs="Times New Roman"/>
          <w:color w:val="000000" w:themeColor="text1"/>
          <w:sz w:val="20"/>
          <w:szCs w:val="20"/>
          <w:shd w:val="clear" w:color="auto" w:fill="FFFFFF"/>
        </w:rPr>
        <w:t xml:space="preserve"> in the serum indicates the recent interaction with the virus, while the presence of </w:t>
      </w:r>
      <w:proofErr w:type="spellStart"/>
      <w:r w:rsidR="00CE59DA" w:rsidRPr="009F44A4">
        <w:rPr>
          <w:rFonts w:ascii="Times New Roman" w:hAnsi="Times New Roman" w:cs="Times New Roman"/>
          <w:color w:val="000000" w:themeColor="text1"/>
          <w:sz w:val="20"/>
          <w:szCs w:val="20"/>
          <w:shd w:val="clear" w:color="auto" w:fill="FFFFFF"/>
        </w:rPr>
        <w:t>IgG</w:t>
      </w:r>
      <w:proofErr w:type="spellEnd"/>
      <w:r w:rsidR="00CE59DA" w:rsidRPr="009F44A4">
        <w:rPr>
          <w:rFonts w:ascii="Times New Roman" w:hAnsi="Times New Roman" w:cs="Times New Roman"/>
          <w:color w:val="000000" w:themeColor="text1"/>
          <w:sz w:val="20"/>
          <w:szCs w:val="20"/>
          <w:shd w:val="clear" w:color="auto" w:fill="FFFFFF"/>
        </w:rPr>
        <w:t xml:space="preserve"> implies the interaction that occurred a few days ago. Nonetheless, there is still a lack of in-depth information on the human defense system's response to novel coronavirus infection, most of which relies on information obtained during the most recent outbreak of coronaviruses such as SARS 2002 and MERS 2012</w:t>
      </w:r>
      <w:r w:rsidR="00F45C36" w:rsidRPr="009F44A4">
        <w:rPr>
          <w:rFonts w:ascii="Times New Roman" w:eastAsia="Calibri" w:hAnsi="Times New Roman" w:cs="Times New Roman"/>
          <w:color w:val="000000" w:themeColor="text1"/>
          <w:sz w:val="20"/>
          <w:szCs w:val="20"/>
        </w:rPr>
        <w:t xml:space="preserve"> </w:t>
      </w:r>
      <w:r w:rsidR="00F45C36" w:rsidRPr="009F44A4">
        <w:rPr>
          <w:rFonts w:ascii="Times New Roman" w:eastAsia="Calibri" w:hAnsi="Times New Roman" w:cs="Times New Roman"/>
          <w:color w:val="000000" w:themeColor="text1"/>
          <w:sz w:val="20"/>
          <w:szCs w:val="20"/>
        </w:rPr>
        <w:fldChar w:fldCharType="begin"/>
      </w:r>
      <w:r w:rsidR="00236558">
        <w:rPr>
          <w:rFonts w:ascii="Times New Roman" w:eastAsia="Calibri" w:hAnsi="Times New Roman" w:cs="Times New Roman"/>
          <w:color w:val="000000" w:themeColor="text1"/>
          <w:sz w:val="20"/>
          <w:szCs w:val="20"/>
        </w:rPr>
        <w:instrText xml:space="preserve"> ADDIN ZOTERO_ITEM CSL_CITATION {"citationID":"jnTRiFok","properties":{"formattedCitation":"\\super 76,161\\nosupersub{}","plainCitation":"76,161","noteIndex":0},"citationItems":[{"id":684,"uris":["http://zotero.org/users/local/ZR048J0w/items/7KYHB3NV"],"uri":["http://zotero.org/users/local/ZR048J0w/items/7KYHB3NV"],"itemData":{"id":684,"type":"webpage","language":"en","title":"WHO Director-General's opening remarks at the media briefing on COVID-19 - 20 March 2020","URL":"https://www.who.int/director-general/speeches/detail/who-director-general-s-opening-remarks-at-the-media-briefing-on-covid-19---20-march-2020","accessed":{"date-parts":[["2020",12,20]]}}},{"id":861,"uris":["http://zotero.org/users/local/ZR048J0w/items/9PP3A7NC"],"uri":["http://zotero.org/users/local/ZR048J0w/items/9PP3A7NC"],"itemData":{"id":861,"type":"article-journal","abstract":"As the world is witnessing the epidemic of COVID-19, a disease caused by a novel coronavirus, SARS-CoV-2, emerging genetics and clinical evidences suggest a similar path to those of SARS and MERS. The rapid genomic sequencing and open access data, together with advanced vaccine technology, are expected to give us more knowledge on the pathogen itself, including the host immune response as well as the plan for therapeutic vaccines in the near future. This review aims to provide a comparative view among SARS-CoV, MERS-CoV and the newly epidemic SARS-CoV-2, in the hope to gain a better understanding of the host-pathogen interaction, host immune responses, and the pathogen immune evasion strategies. This predictive view may help in designing an immune intervention or preventive vaccine for COVID-19 in the near future.","container-title":"Asian Pacific Journal of Allergy and Immunology","DOI":"10.12932/AP-200220-0772","ISSN":"0125-877X","issue":"1","journalAbbreviation":"Asian Pac J Allergy Immunol","language":"eng","note":"PMID: 32105090","page":"1-9","source":"PubMed","title":"Immune responses in COVID-19 and potential vaccines: Lessons learned from SARS and MERS epidemic","title-short":"Immune responses in COVID-19 and potential vaccines","volume":"38","author":[{"family":"Prompetchara","given":"Eakachai"},{"family":"Ketloy","given":"Chutitorn"},{"family":"Palaga","given":"Tanapat"}],"issued":{"date-parts":[["2020",3]]}}}],"schema":"https://github.com/citation-style-language/schema/raw/master/csl-citation.json"} </w:instrText>
      </w:r>
      <w:r w:rsidR="00F45C36" w:rsidRPr="009F44A4">
        <w:rPr>
          <w:rFonts w:ascii="Times New Roman" w:eastAsia="Calibri" w:hAnsi="Times New Roman" w:cs="Times New Roman"/>
          <w:color w:val="000000" w:themeColor="text1"/>
          <w:sz w:val="20"/>
          <w:szCs w:val="20"/>
        </w:rPr>
        <w:fldChar w:fldCharType="separate"/>
      </w:r>
      <w:r w:rsidR="00236558" w:rsidRPr="00236558">
        <w:rPr>
          <w:rFonts w:ascii="Times New Roman" w:hAnsi="Times New Roman" w:cs="Times New Roman"/>
          <w:sz w:val="20"/>
          <w:szCs w:val="24"/>
          <w:vertAlign w:val="superscript"/>
        </w:rPr>
        <w:t>76,161</w:t>
      </w:r>
      <w:r w:rsidR="00F45C36" w:rsidRPr="009F44A4">
        <w:rPr>
          <w:rFonts w:ascii="Times New Roman" w:eastAsia="Calibri" w:hAnsi="Times New Roman" w:cs="Times New Roman"/>
          <w:color w:val="000000" w:themeColor="text1"/>
          <w:sz w:val="20"/>
          <w:szCs w:val="20"/>
        </w:rPr>
        <w:fldChar w:fldCharType="end"/>
      </w:r>
      <w:r w:rsidR="00F45C36" w:rsidRPr="009F44A4">
        <w:rPr>
          <w:rFonts w:ascii="Times New Roman" w:eastAsia="Calibri" w:hAnsi="Times New Roman" w:cs="Times New Roman"/>
          <w:color w:val="000000" w:themeColor="text1"/>
          <w:sz w:val="20"/>
          <w:szCs w:val="20"/>
        </w:rPr>
        <w:t>.</w:t>
      </w:r>
      <w:r w:rsidR="00C02138" w:rsidRPr="009F44A4">
        <w:rPr>
          <w:rFonts w:ascii="Times New Roman" w:eastAsia="Calibri" w:hAnsi="Times New Roman" w:cs="Times New Roman"/>
          <w:color w:val="000000" w:themeColor="text1"/>
          <w:sz w:val="20"/>
          <w:szCs w:val="20"/>
        </w:rPr>
        <w:t xml:space="preserve"> </w:t>
      </w:r>
    </w:p>
    <w:p w14:paraId="004BCEBC" w14:textId="2C81042B" w:rsidR="00CE59DA" w:rsidRPr="009F44A4" w:rsidRDefault="00C8311A" w:rsidP="00DC7281">
      <w:pPr>
        <w:pStyle w:val="Heading3"/>
        <w:numPr>
          <w:ilvl w:val="0"/>
          <w:numId w:val="7"/>
        </w:numPr>
        <w:shd w:val="clear" w:color="auto" w:fill="FFFFFF" w:themeFill="background1"/>
        <w:spacing w:before="160" w:after="120" w:line="360" w:lineRule="auto"/>
        <w:jc w:val="both"/>
        <w:textAlignment w:val="baseline"/>
        <w:rPr>
          <w:rFonts w:ascii="Times New Roman" w:hAnsi="Times New Roman" w:cs="Times New Roman"/>
          <w:b/>
          <w:bCs/>
          <w:color w:val="000000" w:themeColor="text1"/>
          <w:sz w:val="20"/>
          <w:szCs w:val="20"/>
        </w:rPr>
      </w:pPr>
      <w:r w:rsidRPr="009F44A4">
        <w:rPr>
          <w:rFonts w:ascii="Times New Roman" w:hAnsi="Times New Roman" w:cs="Times New Roman"/>
          <w:b/>
          <w:bCs/>
          <w:color w:val="000000" w:themeColor="text1"/>
          <w:sz w:val="20"/>
          <w:szCs w:val="20"/>
          <w:shd w:val="clear" w:color="auto" w:fill="FFFFFF"/>
        </w:rPr>
        <w:t xml:space="preserve"> </w:t>
      </w:r>
      <w:r w:rsidR="00CE59DA" w:rsidRPr="009F44A4">
        <w:rPr>
          <w:rFonts w:ascii="Times New Roman" w:hAnsi="Times New Roman" w:cs="Times New Roman"/>
          <w:b/>
          <w:bCs/>
          <w:color w:val="000000" w:themeColor="text1"/>
          <w:sz w:val="20"/>
          <w:szCs w:val="20"/>
          <w:shd w:val="clear" w:color="auto" w:fill="FFFFFF"/>
        </w:rPr>
        <w:t>Vaccines associated antibody dependent enhancement (ADE)</w:t>
      </w:r>
    </w:p>
    <w:p w14:paraId="7746BCE3" w14:textId="77777777"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The development of antibodies following a vaccine is typically regarded as a positive result. Antibodies (from immunizations or by recovering from a past infection) are essential for our immune systems to fight a virus effectively. When we produce antibodies to a disease, our immune system can sometimes overreact the next time when we are exposed to the disease. This is a highly uncommon condition known as ADE (Antibody-Dependent-Enhancement). The antibodies involved in ADE do not aid the body's immunological response and may even exacerbate it. When a person is infected, ADE raises the likelihood that they may develop severe disease symptoms. Antibodies that cause ADE behave like a "Trojan horse," allowing the virus into the cells and activating the immune response. They allow the virus to bind to our cells, resulting in inflammation and an increased immunological response. Nevertheless, there have been no confirmed reports of ADE caused by COVID-19 vaccinations. </w:t>
      </w:r>
    </w:p>
    <w:p w14:paraId="6FC95250" w14:textId="77777777" w:rsidR="00CE59DA" w:rsidRPr="009F44A4" w:rsidRDefault="00CE59DA" w:rsidP="00DC7281">
      <w:pPr>
        <w:shd w:val="clear" w:color="auto" w:fill="FFFFFF" w:themeFill="background1"/>
        <w:spacing w:line="360" w:lineRule="auto"/>
        <w:rPr>
          <w:rFonts w:ascii="Times New Roman" w:hAnsi="Times New Roman" w:cs="Times New Roman"/>
          <w:color w:val="000000" w:themeColor="text1"/>
          <w:sz w:val="20"/>
          <w:szCs w:val="20"/>
        </w:rPr>
      </w:pPr>
    </w:p>
    <w:p w14:paraId="1967CD69" w14:textId="56A7B00E"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The virus particles adhering to the cytoplasmic membrane on the cell surface, where viral surface proteins attach on the host cell with specific receptors, is the first step in viral infection</w:t>
      </w:r>
      <w:r w:rsidR="001A0790" w:rsidRPr="009F44A4">
        <w:rPr>
          <w:color w:val="000000" w:themeColor="text1"/>
          <w:sz w:val="20"/>
          <w:szCs w:val="20"/>
          <w:shd w:val="clear" w:color="auto" w:fill="FFFFFF"/>
        </w:rPr>
        <w:t xml:space="preserve"> </w:t>
      </w:r>
      <w:r w:rsidR="001A0790"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{"citationID":"dABMiYit","properties":{"formattedCitation":"\\super 174\\nosupersub{}","plainCitation":"174","noteIndex":0},"citationItems":[{"id":1397,"uris":["http://zotero.org/users/local/ZR048J0w/items/GEFCQ99C"],"uri":["http://zotero.org/users/local/ZR048J0w/items/GEFCQ99C"],"itemData":{"id":1397,"type":"article-journal","abstract":"Antibody-dependent enhancement (ADE) exists in several kinds of virus. It has a negative influence on antibody therapy for viral infection. This effect was first identified in dengue virus and has since also been described for coronavirus. To date, the rapid spread of the newly emerged coronavirus, severe acute respiratory syndrome coronavirus 2 (SARS-CoV-2), causing coronavirus disease 2019 (COVID-19), has affected over 3.8 million people across the globe. The novel coronavirus poses a great challenge and has caused a wave of panic. In this review, antibody-dependent enhancements in dengue virus and two kinds of coronavirus are summarized. Possible solutions for the effects are reported. We also speculate that ADE may exist in SARS-CoV-2.","container-title":"International journal of infectious diseases: IJID: official publication of the International Society for Infectious Diseases","DOI":"10.1016/j.ijid.2020.09.015","ISSN":"1878-3511","journalAbbreviation":"Int J Infect Dis","language":"eng","note":"PMID: 32920233\nPMCID: PMC7483033","page":"483-489","source":"PubMed","title":"Antibody-dependent enhancement of coronavirus","volume":"100","author":[{"family":"Wen","given":"Jieqi"},{"family":"Cheng","given":"Yifan"},{"family":"Ling","given":"Rongsong"},{"family":"Dai","given":"Yarong"},{"family":"Huang","given":"Boxuan"},{"family":"Huang","given":"Wenjie"},{"family":"Zhang","given":"Siyan"},{"family":"Jiang","given":"Yizhou"}],"issued":{"date-parts":[["2020",11]]}}}],"schema":"https://github.com/citation-style-language/schema/raw/master/csl-citation.json"} </w:instrText>
      </w:r>
      <w:r w:rsidR="001A0790" w:rsidRPr="009F44A4">
        <w:rPr>
          <w:color w:val="000000" w:themeColor="text1"/>
          <w:sz w:val="20"/>
          <w:szCs w:val="20"/>
          <w:shd w:val="clear" w:color="auto" w:fill="FFFFFF"/>
        </w:rPr>
        <w:fldChar w:fldCharType="separate"/>
      </w:r>
      <w:r w:rsidR="00236558" w:rsidRPr="00236558">
        <w:rPr>
          <w:sz w:val="20"/>
          <w:vertAlign w:val="superscript"/>
        </w:rPr>
        <w:t>174</w:t>
      </w:r>
      <w:r w:rsidR="001A0790" w:rsidRPr="009F44A4">
        <w:rPr>
          <w:color w:val="000000" w:themeColor="text1"/>
          <w:sz w:val="20"/>
          <w:szCs w:val="20"/>
          <w:shd w:val="clear" w:color="auto" w:fill="FFFFFF"/>
        </w:rPr>
        <w:fldChar w:fldCharType="end"/>
      </w:r>
      <w:r w:rsidR="001A0790"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Antibodies that particularly target viral surface proteins are released to prevent viruses from attaching to target cells. These antibodies bind and destroy the viruses, reducing their infective ability. In some viruses, antibodies instead of binding to viral surface proteins can promote viral invasion into specific cell types and hence maximize viral infection </w:t>
      </w:r>
      <w:r w:rsidR="001A0790"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{"citationID":"WPOplApP","properties":{"formattedCitation":"\\super 174\\nosupersub{}","plainCitation":"174","noteIndex":0},"citationItems":[{"id":1397,"uris":["http://zotero.org/users/local/ZR048J0w/items/GEFCQ99C"],"uri":["http://zotero.org/users/local/ZR048J0w/items/GEFCQ99C"],"itemData":{"id":1397,"type":"article-journal","abstract":"Antibody-dependent enhancement (ADE) exists in several kinds of virus. It has a negative influence on antibody therapy for viral infection. This effect was first identified in dengue virus and has since also been described for coronavirus. To date, the rapid spread of the newly emerged coronavirus, severe acute respiratory syndrome coronavirus 2 (SARS-CoV-2), causing coronavirus disease 2019 (COVID-19), has affected over 3.8 million people across the globe. The novel coronavirus poses a great challenge and has caused a wave of panic. In this review, antibody-dependent enhancements in dengue virus and two kinds of coronavirus are summarized. Possible solutions for the effects are reported. We also speculate that ADE may exist in SARS-CoV-2.","container-title":"International journal of infectious diseases: IJID: official publication of the International Society for Infectious Diseases","DOI":"10.1016/j.ijid.2020.09.015","ISSN":"1878-3511","journalAbbreviation":"Int J Infect Dis","language":"eng","note":"PMID: 32920233\nPMCID: PMC7483033","page":"483-489","source":"PubMed","title":"Antibody-dependent enhancement of coronavirus","volume":"100","author":[{"family":"Wen","given":"Jieqi"},{"family":"Cheng","given":"Yifan"},{"family":"Ling","given":"Rongsong"},{"family":"Dai","given":"Yarong"},{"family":"Huang","given":"Boxuan"},{"family":"Huang","given":"Wenjie"},{"family":"Zhang","given":"Siyan"},{"family":"Jiang","given":"Yizhou"}],"issued":{"date-parts":[["2020",11]]}}}],"schema":"https://github.com/citation-style-language/schema/raw/master/csl-citation.json"} </w:instrText>
      </w:r>
      <w:r w:rsidR="001A0790" w:rsidRPr="009F44A4">
        <w:rPr>
          <w:color w:val="000000" w:themeColor="text1"/>
          <w:sz w:val="20"/>
          <w:szCs w:val="20"/>
          <w:shd w:val="clear" w:color="auto" w:fill="FFFFFF"/>
        </w:rPr>
        <w:fldChar w:fldCharType="separate"/>
      </w:r>
      <w:r w:rsidR="00236558" w:rsidRPr="00236558">
        <w:rPr>
          <w:sz w:val="20"/>
          <w:vertAlign w:val="superscript"/>
        </w:rPr>
        <w:t>174</w:t>
      </w:r>
      <w:r w:rsidR="001A0790" w:rsidRPr="009F44A4">
        <w:rPr>
          <w:color w:val="000000" w:themeColor="text1"/>
          <w:sz w:val="20"/>
          <w:szCs w:val="20"/>
          <w:shd w:val="clear" w:color="auto" w:fill="FFFFFF"/>
        </w:rPr>
        <w:fldChar w:fldCharType="end"/>
      </w:r>
      <w:r w:rsidR="001A0790"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This effect is referred to as antibody-dependent enhancement (ADE) </w:t>
      </w:r>
      <w:r w:rsidR="008A2C4C"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{"citationID":"dmXgaTxy","properties":{"formattedCitation":"\\super 175\\nosupersub{}","plainCitation":"175","noteIndex":0},"citationItems":[{"id":1400,"uris":["http://zotero.org/users/local/ZR048J0w/items/S3HL6DCH"],"uri":["http://zotero.org/users/local/ZR048J0w/items/S3HL6DCH"],"itemData":{"id":1400,"type":"article-journal","abstract":"Sensitization of the humoral immune response to invading viruses and production of antiviral antibodies forms part of the host antiviral repertoire. Paradoxically, for a number of viral pathogens, under certain conditions, antibodies provide an attractive means of enhanced virus entry and replication in a number of cell types. Known as antibody-dependent enhancement (ADE) of infection, the phenomenon occurs when virus-antibody immunocomplexes interact with cells bearing complement or Fc receptors, promoting internalization of the virus and increasing infection. Frequently associated with exacerbation of viral disease, ADE of infection presents a major obstacle to the prevention of viral disease by vaccination and is thought to be partly responsible for the adverse effects of novel antiviral therapeutics such as intravenous immunoglobulins. There is a growing body of work examining the intracellular signaling pathways and epitopes responsible for mediating ADE, with a view to aiding rational design of antiviral strategies. With in vitro studies also confirming ADE as a feature of infection for a growing number of viruses, challenges remain in understanding the multilayered molecular mechanisms of ADE and its effect on viral pathogenesis.","container-title":"Immunological Reviews","DOI":"10.1111/imr.12367","ISSN":"1600-065X","issue":"1","journalAbbreviation":"Immunol Rev","language":"eng","note":"PMID: 26497532\nPMCID: PMC7165974","page":"340-364","source":"PubMed","title":"Fc receptors in antibody-dependent enhancement of viral infections","volume":"268","author":[{"family":"Taylor","given":"Adam"},{"family":"Foo","given":"Suan-Sin"},{"family":"Bruzzone","given":"Roberto"},{"family":"Dinh","given":"Luan Vu"},{"family":"King","given":"Nicholas J. C."},{"family":"Mahalingam","given":"Suresh"}],"issued":{"date-parts":[["2015",11]]}}}],"schema":"https://github.com/citation-style-language/schema/raw/master/csl-citation.json"} </w:instrText>
      </w:r>
      <w:r w:rsidR="008A2C4C" w:rsidRPr="009F44A4">
        <w:rPr>
          <w:color w:val="000000" w:themeColor="text1"/>
          <w:sz w:val="20"/>
          <w:szCs w:val="20"/>
          <w:shd w:val="clear" w:color="auto" w:fill="FFFFFF"/>
        </w:rPr>
        <w:fldChar w:fldCharType="separate"/>
      </w:r>
      <w:r w:rsidR="00236558" w:rsidRPr="00236558">
        <w:rPr>
          <w:sz w:val="20"/>
          <w:vertAlign w:val="superscript"/>
        </w:rPr>
        <w:t>175</w:t>
      </w:r>
      <w:r w:rsidR="008A2C4C" w:rsidRPr="009F44A4">
        <w:rPr>
          <w:color w:val="000000" w:themeColor="text1"/>
          <w:sz w:val="20"/>
          <w:szCs w:val="20"/>
          <w:shd w:val="clear" w:color="auto" w:fill="FFFFFF"/>
        </w:rPr>
        <w:fldChar w:fldCharType="end"/>
      </w:r>
      <w:r w:rsidR="008A2C4C"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ADE happens both ways: (1) when a pathogen specific antibody facilitates entry of virus into phagocytic cells (macrophages, monocytes and granulocytes) and (2) when it enhances infection in cells via contact with the Fc receptor (</w:t>
      </w:r>
      <w:proofErr w:type="spellStart"/>
      <w:r w:rsidRPr="009F44A4">
        <w:rPr>
          <w:color w:val="000000" w:themeColor="text1"/>
          <w:sz w:val="20"/>
          <w:szCs w:val="20"/>
          <w:shd w:val="clear" w:color="auto" w:fill="FFFFFF"/>
        </w:rPr>
        <w:t>FcR</w:t>
      </w:r>
      <w:proofErr w:type="spellEnd"/>
      <w:r w:rsidRPr="009F44A4">
        <w:rPr>
          <w:color w:val="000000" w:themeColor="text1"/>
          <w:sz w:val="20"/>
          <w:szCs w:val="20"/>
          <w:shd w:val="clear" w:color="auto" w:fill="FFFFFF"/>
        </w:rPr>
        <w:t>) and/or complement receptor. In most circumstances, enhancing viral attachment to target cells is critical. Over 40 different viruses have been found to have ADE. There are a range of antigenic determinants (epitopes) in these viruses, some of which trigger neutralizing antibodies and others which induce enhanced antibodies</w:t>
      </w:r>
      <w:r w:rsidR="001A0790" w:rsidRPr="009F44A4">
        <w:rPr>
          <w:color w:val="000000" w:themeColor="text1"/>
          <w:sz w:val="20"/>
          <w:szCs w:val="20"/>
          <w:shd w:val="clear" w:color="auto" w:fill="FFFFFF"/>
        </w:rPr>
        <w:t xml:space="preserve"> </w:t>
      </w:r>
      <w:r w:rsidR="001A0790"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{"citationID":"vNfjpvVL","properties":{"formattedCitation":"\\super 174\\nosupersub{}","plainCitation":"174","noteIndex":0},"citationItems":[{"id":1397,"uris":["http://zotero.org/users/local/ZR048J0w/items/GEFCQ99C"],"uri":["http://zotero.org/users/local/ZR048J0w/items/GEFCQ99C"],"itemData":{"id":1397,"type":"article-journal","abstract":"Antibody-dependent enhancement (ADE) exists in several kinds of virus. It has a negative influence on antibody therapy for viral infection. This effect was first identified in dengue virus and has since also been described for coronavirus. To date, the rapid spread of the newly emerged coronavirus, severe acute respiratory syndrome coronavirus 2 (SARS-CoV-2), causing coronavirus disease 2019 (COVID-19), has affected over 3.8 million people across the globe. The novel coronavirus poses a great challenge and has caused a wave of panic. In this review, antibody-dependent enhancements in dengue virus and two kinds of coronavirus are summarized. Possible solutions for the effects are reported. We also speculate that ADE may exist in SARS-CoV-2.","container-title":"International journal of infectious diseases: IJID: official publication of the International Society for Infectious Diseases","DOI":"10.1016/j.ijid.2020.09.015","ISSN":"1878-3511","journalAbbreviation":"Int J Infect Dis","language":"eng","note":"PMID: 32920233\nPMCID: PMC7483033","page":"483-489","source":"PubMed","title":"Antibody-dependent enhancement of coronavirus","volume":"100","author":[{"family":"Wen","given":"Jieqi"},{"family":"Cheng","given":"Yifan"},{"family":"Ling","given":"Rongsong"},{"family":"Dai","given":"Yarong"},{"family":"Huang","given":"Boxuan"},{"family":"Huang","given":"Wenjie"},{"family":"Zhang","given":"Siyan"},{"family":"Jiang","given":"Yizhou"}],"issued":{"date-parts":[["2020",11]]}}}],"schema":"https://github.com/citation-style-language/schema/raw/master/csl-citation.json"} </w:instrText>
      </w:r>
      <w:r w:rsidR="001A0790" w:rsidRPr="009F44A4">
        <w:rPr>
          <w:color w:val="000000" w:themeColor="text1"/>
          <w:sz w:val="20"/>
          <w:szCs w:val="20"/>
          <w:shd w:val="clear" w:color="auto" w:fill="FFFFFF"/>
        </w:rPr>
        <w:fldChar w:fldCharType="separate"/>
      </w:r>
      <w:r w:rsidR="00236558" w:rsidRPr="00236558">
        <w:rPr>
          <w:sz w:val="20"/>
          <w:vertAlign w:val="superscript"/>
        </w:rPr>
        <w:t>174</w:t>
      </w:r>
      <w:r w:rsidR="001A0790"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Conventional vaccinations have only had a minor preventive and therapeutic effect on these viruses </w:t>
      </w:r>
      <w:r w:rsidR="00551B86"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{"citationID":"Bks7H3E7","properties":{"formattedCitation":"\\super 176\\nosupersub{}","plainCitation":"176","noteIndex":0},"citationItems":[{"id":1403,"uris":["http://zotero.org/users/local/ZR048J0w/items/QKN5VYKS"],"uri":["http://zotero.org/users/local/ZR048J0w/items/QKN5VYKS"],"itemData":{"id":1403,"type":"article-journal","abstract":"Severe acute respiratory syndrome (SARS) is caused by a coronavirus (SARS-CoV) and has the potential to threaten global public health and socioeconomic stability. Evidence of antibody-dependent enhancement (ADE) of SARS-CoV infection in vitro and in non-human primates clouds the prospects for a safe vaccine. Using antibodies from SARS patients, we identified and characterized SARS-CoV B-cell peptide epitopes with disparate functions. In rhesus macaques, the spike glycoprotein peptides S471–503, S604–625, and S1164–1191 elicited antibodies that efficiently prevented infection in non-human primates. In contrast, peptide S597–603 induced antibodies that enhanced infection both in vitro and in non-human primates by using an epitope sequence-dependent (ESD) mechanism. This peptide exhibited a high level of serological reactivity (64%), which resulted from the additive responses of two tandem epitopes (S597–603 and S604–625) and a long-term human B-cell memory response with antisera from convalescent SARS patients. Thus, peptide-based vaccines against SARS-CoV could be engineered to avoid ADE via elimination of the S597–603 epitope. We provide herein an alternative strategy to prepare a safe and effective vaccine for ADE of viral infection by identifying and eliminating epitope sequence-dependent enhancement of viral infection.","container-title":"ACS Infectious Diseases","DOI":"10.1021/acsinfecdis.6b00006","issue":"5","journalAbbreviation":"ACS Infect. Dis.","note":"publisher: American Chemical Society","page":"361-376","source":"ACS Publications","title":"Immunodominant SARS Coronavirus Epitopes in Humans Elicited both Enhancing and Neutralizing Effects on Infection in Non-human Primates","volume":"2","author":[{"family":"Wang","given":"Qidi"},{"family":"Zhang","given":"Lianfeng"},{"family":"Kuwahara","given":"Kazuhiko"},{"family":"Li","given":"Li"},{"family":"Liu","given":"Zijie"},{"family":"Li","given":"Taisheng"},{"family":"Zhu","given":"Hua"},{"family":"Liu","given":"Jiangning"},{"family":"Xu","given":"Yanfeng"},{"family":"Xie","given":"Jing"},{"family":"Morioka","given":"Hiroshi"},{"family":"Sakaguchi","given":"Nobuo"},{"family":"Qin","given":"Chuan"},{"family":"Liu","given":"Gang"}],"issued":{"date-parts":[["2016",5,13]]}}}],"schema":"https://github.com/citation-style-language/schema/raw/master/csl-citation.json"} </w:instrText>
      </w:r>
      <w:r w:rsidR="00551B86" w:rsidRPr="009F44A4">
        <w:rPr>
          <w:color w:val="000000" w:themeColor="text1"/>
          <w:sz w:val="20"/>
          <w:szCs w:val="20"/>
          <w:shd w:val="clear" w:color="auto" w:fill="FFFFFF"/>
        </w:rPr>
        <w:fldChar w:fldCharType="separate"/>
      </w:r>
      <w:r w:rsidR="00236558" w:rsidRPr="00236558">
        <w:rPr>
          <w:sz w:val="20"/>
          <w:vertAlign w:val="superscript"/>
        </w:rPr>
        <w:t>176</w:t>
      </w:r>
      <w:r w:rsidR="00551B86"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and in some cases they have been proven to increase the susceptibility of those who have been vaccinated.</w:t>
      </w:r>
    </w:p>
    <w:p w14:paraId="3E4002D8" w14:textId="2207900C"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The likelihood of ADE i.e. antibody dependent enhancement in </w:t>
      </w:r>
      <w:proofErr w:type="spellStart"/>
      <w:r w:rsidRPr="009F44A4">
        <w:rPr>
          <w:color w:val="000000" w:themeColor="text1"/>
          <w:sz w:val="20"/>
          <w:szCs w:val="20"/>
          <w:shd w:val="clear" w:color="auto" w:fill="FFFFFF"/>
        </w:rPr>
        <w:t>Covid</w:t>
      </w:r>
      <w:proofErr w:type="spellEnd"/>
      <w:r w:rsidRPr="009F44A4">
        <w:rPr>
          <w:color w:val="000000" w:themeColor="text1"/>
          <w:sz w:val="20"/>
          <w:szCs w:val="20"/>
          <w:shd w:val="clear" w:color="auto" w:fill="FFFFFF"/>
        </w:rPr>
        <w:t xml:space="preserve">-19 making the severity conditions worsen cannot be completely ignored; and this is considered one of the major threats around antibody based vaccines and treatments </w:t>
      </w:r>
      <w:r w:rsidR="00C44F87"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{"citationID":"AfVkUzdj","properties":{"formattedCitation":"\\super 177\\nosupersub{}","plainCitation":"177","noteIndex":0},"citationItems":[{"id":1408,"uris":["http://zotero.org/users/local/ZR048J0w/items/PY32ZUIM"],"uri":["http://zotero.org/users/local/ZR048J0w/items/PY32ZUIM"],"itemData":{"id":1408,"type":"article-journal","abstract":"Antibody-based drugs and vaccines against severe acute respiratory syndrome coronavirus 2 (SARS-CoV-2) are being expedited through preclinical and clinical development. Data from the study of SARS-CoV and other respiratory viruses suggest that anti-SARS-CoV-2 antibodies could exacerbate COVID-19 through antibody-dependent enhancement (ADE). Previous respiratory syncytial virus and dengue virus vaccine studies revealed human clinical safety risks related to ADE, resulting in failed vaccine trials. Here, we describe key ADE mechanisms and discuss mitigation strategies for SARS-CoV-2 vaccines and therapies in development. We also outline recently published data to evaluate the risks and opportunities for antibody-based protection against SARS-CoV-2.","container-title":"Nature Microbiology","DOI":"10.1038/s41564-020-00789-5","ISSN":"2058-5276","issue":"10","journalAbbreviation":"Nat Microbiol","language":"en","note":"number: 10\npublisher: Nature Publishing Group","page":"1185-1191","source":"www.nature.com","title":"Antibody-dependent enhancement and SARS-CoV-2 vaccines and therapies","volume":"5","author":[{"family":"Lee","given":"Wen Shi"},{"family":"Wheatley","given":"Adam K."},{"family":"Kent","given":"Stephen J."},{"family":"DeKosky","given":"Brandon J."}],"issued":{"date-parts":[["2020",10]]}}}],"schema":"https://github.com/citation-style-language/schema/raw/master/csl-citation.json"} </w:instrText>
      </w:r>
      <w:r w:rsidR="00C44F87" w:rsidRPr="009F44A4">
        <w:rPr>
          <w:color w:val="000000" w:themeColor="text1"/>
          <w:sz w:val="20"/>
          <w:szCs w:val="20"/>
          <w:shd w:val="clear" w:color="auto" w:fill="FFFFFF"/>
        </w:rPr>
        <w:fldChar w:fldCharType="separate"/>
      </w:r>
      <w:r w:rsidR="00236558" w:rsidRPr="00236558">
        <w:rPr>
          <w:sz w:val="20"/>
          <w:vertAlign w:val="superscript"/>
        </w:rPr>
        <w:t>177</w:t>
      </w:r>
      <w:r w:rsidR="00C44F87" w:rsidRPr="009F44A4">
        <w:rPr>
          <w:color w:val="000000" w:themeColor="text1"/>
          <w:sz w:val="20"/>
          <w:szCs w:val="20"/>
          <w:shd w:val="clear" w:color="auto" w:fill="FFFFFF"/>
        </w:rPr>
        <w:fldChar w:fldCharType="end"/>
      </w:r>
      <w:r w:rsidR="00C44F87"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Two Viruses, RSV (respiratory syncytial virus) </w:t>
      </w:r>
      <w:r w:rsidR="00B47301"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{"citationID":"uTDKSvbl","properties":{"formattedCitation":"\\super 178,179\\nosupersub{}","plainCitation":"178,179","noteIndex":0},"citationItems":[{"id":1412,"uris":["http://zotero.org/users/local/ZR048J0w/items/P9LQFZFZ"],"uri":["http://zotero.org/users/local/ZR048J0w/items/P9LQFZFZ"],"itemData":{"id":1412,"type":"article-journal","abstract":"Respiratory syncytial virus causes a significant public health burden, particularly in very young infants and the frail elderly. The legacy of enhanced RSV disease (ERD) from a whole formalin-inactivated RSV vaccine, and the complex biology of the virus and the neonate have delayed the development of effective vaccines. However, new insights into factors associated with ERD and breakthroughs in understanding the antigenic structure of the fusion (F) glycoprotein have increased optimism that vaccine development is possible. This has led to investment of time and resources by industry, regulatory authorities, governments, and nonprofit organizations to develop the infrastructure needed to make the advanced clinical development of RSV vaccine candidates a reality.","container-title":"Vaccine","DOI":"10.1016/j.vaccine.2016.04.083","ISSN":"1873-2518","issue":"30","journalAbbreviation":"Vaccine","language":"eng","note":"PMID: 27182820\nPMCID: PMC4912855","page":"3535-3541","source":"PubMed","title":"Vaccines against respiratory syncytial virus: The time has finally come","title-short":"Vaccines against respiratory syncytial virus","volume":"34","author":[{"family":"Graham","given":"Barney S."}],"issued":{"date-parts":[["2016",6,24]]}}},{"id":1410,"uris":["http://zotero.org/users/local/ZR048J0w/items/BVF4JFLE"],"uri":["http://zotero.org/users/local/ZR048J0w/items/BVF4JFLE"],"itemData":{"id":1410,"type":"article-journal","container-title":"American Journal of Epidemiology","DOI":"10.1093/oxfordjournals.aje.a120955","ISSN":"0002-9262","issue":"4","journalAbbreviation":"Am J Epidemiol","language":"eng","note":"PMID: 4305198","page":"422-434","source":"PubMed","title":"Respiratory syncytial virus disease in infants despite prior administration of antigenic inactivated vaccine","volume":"89","author":[{"family":"Kim","given":"H. W."},{"family":"Canchola","given":"J. G."},{"family":"Brandt","given":"C. D."},{"family":"Pyles","given":"G."},{"family":"Chanock","given":"R. M."},{"family":"Jensen","given":"K."},{"family":"Parrott","given":"R. H."}],"issued":{"date-parts":[["1969",4]]}}}],"schema":"https://github.com/citation-style-language/schema/raw/master/csl-citation.json"} </w:instrText>
      </w:r>
      <w:r w:rsidR="00B47301" w:rsidRPr="009F44A4">
        <w:rPr>
          <w:color w:val="000000" w:themeColor="text1"/>
          <w:sz w:val="20"/>
          <w:szCs w:val="20"/>
          <w:shd w:val="clear" w:color="auto" w:fill="FFFFFF"/>
        </w:rPr>
        <w:fldChar w:fldCharType="separate"/>
      </w:r>
      <w:r w:rsidR="00236558" w:rsidRPr="00236558">
        <w:rPr>
          <w:sz w:val="20"/>
          <w:vertAlign w:val="superscript"/>
        </w:rPr>
        <w:t>178,179</w:t>
      </w:r>
      <w:r w:rsidR="00B47301"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and measles </w:t>
      </w:r>
      <w:r w:rsidR="00854D3A"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{"citationID":"FTJYcyqy","properties":{"formattedCitation":"\\super 180,181\\nosupersub{}","plainCitation":"180,181","noteIndex":0},"citationItems":[{"id":1415,"uris":["http://zotero.org/users/local/ZR048J0w/items/NH4Q3P8D"],"uri":["http://zotero.org/users/local/ZR048J0w/items/NH4Q3P8D"],"itemData":{"id":1415,"type":"article-journal","abstract":"From Georgia and Wyoming comes another report of atypical rash and fever occurring after exposure to measles infection of children previously inoculated with killed measles vaccine. [For examples of previous similar reports see Bull. Hyg., 1966, v. 41, 1261; Acta Paediat. Scand., 1966, v. 55, 457.]In the present paper a number of instances are reported of severe illness, high fever, tachypnoea,...","container-title":"Journal of Pediatrics","ISSN":"0022-3476","issue":"1","language":"English","page":"22-8","source":"www.cabdirect.org","title":"Atypical exanthem following exposure to natural measles. Eleven cases in children previously inoculated with killed vaccine.","volume":"72","author":[{"family":"Nader","given":"P. R."},{"family":"Horwitz","given":"M. S."},{"family":"Rousseau","given":"J."}],"issued":{"date-parts":[["1968"]]}}},{"id":1417,"uris":["http://zotero.org/users/local/ZR048J0w/items/FWH68C7F"],"uri":["http://zotero.org/users/local/ZR048J0w/items/FWH68C7F"],"itemData":{"id":1417,"type":"article-journal","abstract":"Atypical measles and enhanced respiratory syncytial virus disease (ERD) were serious diseases that resulted from exposure of children immunized with inactivated vaccines against measles virus (MV) and respiratory syncytial virus (RSV) to the respective wild-type agents in the 1960s. Although the clinical manifestations of both illnesses were different, the immune responses elicited and primed for by the vaccines shared important similarities. Both vaccines failed to elicit long-lived protective antibody and to promote cytotoxic T lymphocyte responses. In both cases, postvaccination exposure to wild type virus during community outbreaks was associated with immune complex deposition in affected tissues, vigorous CD4 T lymphocyte proliferative responses, and a Th2 bias of the immune response. No relapses of atypical measles or ERD were ever reported. In this manuscript, the pathogeneses of both enhanced diseases and the requirements for the generation of protective antibodies against MV and RSV are discussed, to contribute to the development of newer safe and effective vaccines against these important pathogens.","container-title":"Pediatric Research","DOI":"10.1203/PDR.0b013e3180686ce0","ISSN":"0031-3998","issue":"1","journalAbbreviation":"Pediatr Res","language":"eng","note":"PMID: 17515829","page":"111-115","source":"PubMed","title":"Atypical measles and enhanced respiratory syncytial virus disease (ERD) made simple","volume":"62","author":[{"family":"Polack","given":"Fernando P."}],"issued":{"date-parts":[["2007",7]]}}}],"schema":"https://github.com/citation-style-language/schema/raw/master/csl-citation.json"} </w:instrText>
      </w:r>
      <w:r w:rsidR="00854D3A" w:rsidRPr="009F44A4">
        <w:rPr>
          <w:color w:val="000000" w:themeColor="text1"/>
          <w:sz w:val="20"/>
          <w:szCs w:val="20"/>
          <w:shd w:val="clear" w:color="auto" w:fill="FFFFFF"/>
        </w:rPr>
        <w:fldChar w:fldCharType="separate"/>
      </w:r>
      <w:r w:rsidR="00236558" w:rsidRPr="00236558">
        <w:rPr>
          <w:sz w:val="20"/>
          <w:vertAlign w:val="superscript"/>
        </w:rPr>
        <w:t>180,181</w:t>
      </w:r>
      <w:r w:rsidR="00854D3A"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can go in worse states by antibody-dependent enhancement (ADE) that makes it risky. Increased respiratory disease (ERD) is a broader category that includes ADE in it, and non-antibody-based processes such as cell-mediated immunopathology and cytokine cascades are part of ERD</w:t>
      </w:r>
      <w:r w:rsidR="001C5FD4" w:rsidRPr="009F44A4">
        <w:rPr>
          <w:color w:val="000000" w:themeColor="text1"/>
          <w:sz w:val="20"/>
          <w:szCs w:val="20"/>
          <w:shd w:val="clear" w:color="auto" w:fill="FFFFFF"/>
        </w:rPr>
        <w:t xml:space="preserve"> </w:t>
      </w:r>
      <w:r w:rsidR="001C5FD4"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{"citationID":"s4TnWQYo","properties":{"formattedCitation":"\\super 177\\nosupersub{}","plainCitation":"177","noteIndex":0},"citationItems":[{"id":1408,"uris":["http://zotero.org/users/local/ZR048J0w/items/PY32ZUIM"],"uri":["http://zotero.org/users/local/ZR048J0w/items/PY32ZUIM"],"itemData":{"id":1408,"type":"article-journal","abstract":"Antibody-based drugs and vaccines against severe acute respiratory syndrome coronavirus 2 (SARS-CoV-2) are being expedited through preclinical and clinical development. Data from the study of SARS-CoV and other respiratory viruses suggest that anti-SARS-CoV-2 antibodies could exacerbate COVID-19 through antibody-dependent enhancement (ADE). Previous respiratory syncytial virus and dengue virus vaccine studies revealed human clinical safety risks related to ADE, resulting in failed vaccine trials. Here, we describe key ADE mechanisms and discuss mitigation strategies for SARS-CoV-2 vaccines and therapies in development. We also outline recently published data to evaluate the risks and opportunities for antibody-based protection against SARS-CoV-2.","container-title":"Nature Microbiology","DOI":"10.1038/s41564-020-00789-5","ISSN":"2058-5276","issue":"10","journalAbbreviation":"Nat Microbiol","language":"en","note":"number: 10\npublisher: Nature Publishing Group","page":"1185-1191","source":"www.nature.com","title":"Antibody-dependent enhancement and SARS-CoV-2 vaccines and therapies","volume":"5","author":[{"family":"Lee","given":"Wen Shi"},{"family":"Wheatley","given":"Adam K."},{"family":"Kent","given":"Stephen J."},{"family":"DeKosky","given":"Brandon J."}],"issued":{"date-parts":[["2020",10]]}}}],"schema":"https://github.com/citation-style-language/schema/raw/master/csl-citation.json"} </w:instrText>
      </w:r>
      <w:r w:rsidR="001C5FD4" w:rsidRPr="009F44A4">
        <w:rPr>
          <w:color w:val="000000" w:themeColor="text1"/>
          <w:sz w:val="20"/>
          <w:szCs w:val="20"/>
          <w:shd w:val="clear" w:color="auto" w:fill="FFFFFF"/>
        </w:rPr>
        <w:fldChar w:fldCharType="separate"/>
      </w:r>
      <w:r w:rsidR="00236558" w:rsidRPr="00236558">
        <w:rPr>
          <w:sz w:val="20"/>
          <w:vertAlign w:val="superscript"/>
        </w:rPr>
        <w:t>177</w:t>
      </w:r>
      <w:r w:rsidR="001C5FD4" w:rsidRPr="009F44A4">
        <w:rPr>
          <w:color w:val="000000" w:themeColor="text1"/>
          <w:sz w:val="20"/>
          <w:szCs w:val="20"/>
          <w:shd w:val="clear" w:color="auto" w:fill="FFFFFF"/>
        </w:rPr>
        <w:fldChar w:fldCharType="end"/>
      </w:r>
      <w:r w:rsidR="001C5FD4"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Often, when viral replication is boosted, then macrophage-infecting viruses, such as dengue virus </w:t>
      </w:r>
      <w:r w:rsidR="00446E36"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{"citationID":"WuLtuAf1","properties":{"formattedCitation":"\\super 182,183\\nosupersub{}","plainCitation":"182,183","noteIndex":0},"citationItems":[{"id":1420,"uris":["http://zotero.org/users/local/ZR048J0w/items/53HVHWSR"],"uri":["http://zotero.org/users/local/ZR048J0w/items/53HVHWSR"],"itemData":{"id":1420,"type":"article-journal","abstract":"Dengue virus co-circulates as four serotypes, and sequential infections with more than one serotype are common. One hypothesis for the increased severity seen in secondary infections is antibody-dependent enhancement (ADE) leading to increased replication in Fc receptor-bearing cells. In this study, we have generated a panel of human monoclonal antibodies to dengue virus. Antibodies to the structural precursor-membrane protein (prM) form a major component of the response. These antibodies are highly cross-reactive among the dengue virus serotypes and, even at high concentrations, do not neutralize infection but potently promote ADE. We propose that the partial cleavage of prM from the viral surface reduces the density of antigen available for viral neutralization, leaving dengue viruses susceptible to ADE by antibody to prM, a finding that has implications for future vaccine design.","container-title":"Science (New York, N.Y.)","DOI":"10.1126/science.1185181","ISSN":"1095-9203","issue":"5979","journalAbbreviation":"Science","language":"eng","note":"PMID: 20448183\nPMCID: PMC3837288","page":"745-748","source":"Europe PMC","title":"Cross-reacting antibodies enhance dengue virus infection in humans","volume":"328","author":[{"family":"Dejnirattisai","given":"Wanwisa"},{"family":"Jumnainsong","given":"Amonrat"},{"family":"Onsirisakul","given":"Naruthai"},{"family":"Fitton","given":"Patricia"},{"family":"Vasanawathana","given":"Sirijitt"},{"family":"Limpitikul","given":"Wannee"},{"family":"Puttikhunt","given":"Chunya"},{"family":"Edwards","given":"Carolyn"},{"family":"Duangchinda","given":"Thaneeya"},{"family":"Supasa","given":"Sunpetchuda"},{"family":"Chawansuntati","given":"Kriangkrai"},{"family":"Malasit","given":"Prida"},{"family":"Mongkolsapaya","given":"Juthathip"},{"family":"Screaton","given":"Gavin"}],"issued":{"date-parts":[["2010",5,1]]}}},{"id":1423,"uris":["http://zotero.org/users/local/ZR048J0w/items/CJZR4WGH"],"uri":["http://zotero.org/users/local/ZR048J0w/items/CJZR4WGH"],"itemData":{"id":1423,"type":"article-journal","abstract":"BACKGROUND: In efficacy trials of a tetravalent dengue vaccine (CYD-TDV), excess hospitalizations for dengue were observed among vaccine recipients 2 to 5 years of age. Precise risk estimates according to observed dengue serostatus could not be ascertained because of the limited numbers of samples collected at baseline. We developed a dengue anti-nonstructural protein 1 (NS1) IgG enzyme-linked immunosorbent assay and used samples from month 13 to infer serostatus for a post hoc analysis of safety and efficacy.\nMETHODS: In a case-cohort study, we reanalyzed data from three efficacy trials. For the principal analyses, we used baseline serostatus determined on the basis of measured (when baseline values were available) or imputed (when baseline values were missing) titers from a 50% plaque-reduction neutralization test (PRNT50), with imputation conducted with the use of covariates that included the month 13 anti-NS1 assay results. The risk of hospitalization for virologically confirmed dengue (VCD), of severe VCD, and of symptomatic VCD according to dengue serostatus was estimated by weighted Cox regression and targeted minimum loss-based estimation.\nRESULTS: Among dengue-seronegative participants 2 to 16 years of age, the cumulative 5-year incidence of hospitalization for VCD was 3.06% among vaccine recipients and 1.87% among controls, with a hazard ratio (vaccine vs. control) through data cutoff of 1.75 (95% confidence interval [CI], 1.14 to 2.70). Among dengue-seronegative participants 9 to 16 years of age, the cumulative incidence of hospitalization for VCD was 1.57% among vaccine recipients and 1.09% among controls, with a hazard ratio of 1.41 (95% CI, 0.74 to 2.68). Similar trends toward a higher risk among seronegative vaccine recipients than among seronegative controls were also found for severe VCD. Among dengue-seropositive participants 2 to 16 years of age and those 9 to 16 years of age, the cumulative incidence of hospitalization for VCD was 0.75% and 0.38%, respectively, among vaccine recipients and 2.47% and 1.88% among controls, with hazard ratios of 0.32 (95% CI, 0.23 to 0.45) and 0.21 (95% CI, 0.14 to 0.31). The risk of severe VCD was also lower among seropositive vaccine recipients than among seropositive controls.\nCONCLUSIONS: CYD-TDV protected against severe VCD and hospitalization for VCD for 5 years in persons who had exposure to dengue before vaccination, and there was evidence of a higher risk of these outcomes in vaccinated persons who had not been exposed to dengue. (Funded by Sanofi Pasteur; ClinicalTrials.gov numbers, NCT00842530 , NCT01983553 , NCT01373281 , and NCT01374516 .).","container-title":"The New England Journal of Medicine","DOI":"10.1056/NEJMoa1800820","ISSN":"1533-4406","issue":"4","journalAbbreviation":"N Engl J Med","language":"eng","note":"PMID: 29897841","page":"327-340","source":"PubMed","title":"Effect of Dengue Serostatus on Dengue Vaccine Safety and Efficacy","volume":"379","author":[{"family":"Sridhar","given":"Saranya"},{"family":"Luedtke","given":"Alexander"},{"family":"Langevin","given":"Edith"},{"family":"Zhu","given":"Ming"},{"family":"Bonaparte","given":"Matthew"},{"family":"Machabert","given":"Tifany"},{"family":"Savarino","given":"Stephen"},{"family":"Zambrano","given":"Betzana"},{"family":"Moureau","given":"Annick"},{"family":"Khromava","given":"Alena"},{"family":"Moodie","given":"Zoe"},{"family":"Westling","given":"Ted"},{"family":"Mascareñas","given":"Cesar"},{"family":"Frago","given":"Carina"},{"family":"Cortés","given":"Margarita"},{"family":"Chansinghakul","given":"Danaya"},{"family":"Noriega","given":"Fernando"},{"family":"Bouckenooghe","given":"Alain"},{"family":"Chen","given":"Josh"},{"family":"Ng","given":"Su-Peing"},{"family":"Gilbert","given":"Peter B."},{"family":"Gurunathan","given":"Sanjay"},{"family":"DiazGranados","given":"Carlos A."}],"issued":{"date-parts":[["2018",7,26]]}}}],"schema":"https://github.com/citation-style-language/schema/raw/master/csl-citation.json"} </w:instrText>
      </w:r>
      <w:r w:rsidR="00446E36" w:rsidRPr="009F44A4">
        <w:rPr>
          <w:color w:val="000000" w:themeColor="text1"/>
          <w:sz w:val="20"/>
          <w:szCs w:val="20"/>
          <w:shd w:val="clear" w:color="auto" w:fill="FFFFFF"/>
        </w:rPr>
        <w:fldChar w:fldCharType="separate"/>
      </w:r>
      <w:r w:rsidR="00236558" w:rsidRPr="00236558">
        <w:rPr>
          <w:sz w:val="20"/>
          <w:vertAlign w:val="superscript"/>
        </w:rPr>
        <w:t>182,183</w:t>
      </w:r>
      <w:r w:rsidR="00446E36"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and feline infectious peritonitis virus (FIPV) </w:t>
      </w:r>
      <w:r w:rsidR="007B0877"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{"citationID":"ZVLddvJe","properties":{"formattedCitation":"\\super 184\\nosupersub{}","plainCitation":"184","noteIndex":0},"citationItems":[{"id":1425,"uris":["http://zotero.org/users/local/ZR048J0w/items/5TCPYMLX"],"uri":["http://zotero.org/users/local/ZR048J0w/items/5TCPYMLX"],"itemData":{"id":1425,"type":"article-journal","abstract":"Infection of the type II feline infectious peritonitis virus (FIPV) strain 79-1146 to primary feline alveolar macrophages and human monocyte cell line U937 was enhanced by the sera of cats experimentally infected with the 79-1146 strain, but not those of cats infected with KU-2 or UCD-1 strain of type I FIPV. The experiments using sera of cats with feline infectious peritonitis (FIP) and of cats naturally infected with feline coronavirus (FCoV) revealed that infection of the FIPV 79-1146 strain to the U937 cells was enhanced only by the sera of cats infected with type II FIPV or feline enteric coronavirus. The samples positive for antibody-dependent enhancement (ADE) activity had high neutralizing antibody titers against the FIPV 79-1146 strain and the samples negative for ADE activity had low neutralizing antibody titers. These findings support the previous results where a monoclonal antibody with neutralizing activity had high ADE activity, suggesting that there was a close relationship between the neutralization and enhancement sites. And then it is also suggested that ADE of infection is likely to be induced by re-infection with the same serotype of virus in type II FIPV infection. Furthermore, U937 cells are considered useful and can be substituted for the feline macrophages for determining ADE of FIPV-infection.","container-title":"The Journal of Veterinary Medical Science","DOI":"10.1292/jvms.60.49","ISSN":"0916-7250","issue":"1","journalAbbreviation":"J Vet Med Sci","language":"eng","note":"PMID: 9492360","page":"49-55","source":"PubMed","title":"Antibody-dependent enhancement of feline infectious peritonitis virus infection in feline alveolar macrophages and human monocyte cell line U937 by serum of cats experimentally or naturally infected with feline coronavirus","volume":"60","author":[{"family":"Hohdatsu","given":"T."},{"family":"Yamada","given":"M."},{"family":"Tominaga","given":"R."},{"family":"Makino","given":"K."},{"family":"Kida","given":"K."},{"family":"Koyama","given":"H."}],"issued":{"date-parts":[["1998",1]]}}}],"schema":"https://github.com/citation-style-language/schema/raw/master/csl-citation.json"} </w:instrText>
      </w:r>
      <w:r w:rsidR="007B0877" w:rsidRPr="009F44A4">
        <w:rPr>
          <w:color w:val="000000" w:themeColor="text1"/>
          <w:sz w:val="20"/>
          <w:szCs w:val="20"/>
          <w:shd w:val="clear" w:color="auto" w:fill="FFFFFF"/>
        </w:rPr>
        <w:fldChar w:fldCharType="separate"/>
      </w:r>
      <w:r w:rsidR="00236558" w:rsidRPr="00236558">
        <w:rPr>
          <w:sz w:val="20"/>
          <w:vertAlign w:val="superscript"/>
        </w:rPr>
        <w:t>184</w:t>
      </w:r>
      <w:r w:rsidR="007B0877"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have been observed to produce ADE.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 and MERS-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 have both been closely linked with ADE and ERD in both vitro and in vivo, also the role and impact of ADE in the immunopathology of COVID-19 remain to be explored </w:t>
      </w:r>
      <w:r w:rsidR="00425471"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{"citationID":"r5SUHarb","properties":{"formattedCitation":"\\super 177\\nosupersub{}","plainCitation":"177","noteIndex":0},"citationItems":[{"id":1408,"uris":["http://zotero.org/users/local/ZR048J0w/items/PY32ZUIM"],"uri":["http://zotero.org/users/local/ZR048J0w/items/PY32ZUIM"],"itemData":{"id":1408,"type":"article-journal","abstract":"Antibody-based drugs and vaccines against severe acute respiratory syndrome coronavirus 2 (SARS-CoV-2) are being expedited through preclinical and clinical development. Data from the study of SARS-CoV and other respiratory viruses suggest that anti-SARS-CoV-2 antibodies could exacerbate COVID-19 through antibody-dependent enhancement (ADE). Previous respiratory syncytial virus and dengue virus vaccine studies revealed human clinical safety risks related to ADE, resulting in failed vaccine trials. Here, we describe key ADE mechanisms and discuss mitigation strategies for SARS-CoV-2 vaccines and therapies in development. We also outline recently published data to evaluate the risks and opportunities for antibody-based protection against SARS-CoV-2.","container-title":"Nature Microbiology","DOI":"10.1038/s41564-020-00789-5","ISSN":"2058-5276","issue":"10","journalAbbreviation":"Nat Microbiol","language":"en","note":"number: 10\npublisher: Nature Publishing Group","page":"1185-1191","source":"www.nature.com","title":"Antibody-dependent enhancement and SARS-CoV-2 vaccines and therapies","volume":"5","author":[{"family":"Lee","given":"Wen Shi"},{"family":"Wheatley","given":"Adam K."},{"family":"Kent","given":"Stephen J."},{"family":"DeKosky","given":"Brandon J."}],"issued":{"date-parts":[["2020",10]]}}}],"schema":"https://github.com/citation-style-language/schema/raw/master/csl-citation.json"} </w:instrText>
      </w:r>
      <w:r w:rsidR="00425471" w:rsidRPr="009F44A4">
        <w:rPr>
          <w:color w:val="000000" w:themeColor="text1"/>
          <w:sz w:val="20"/>
          <w:szCs w:val="20"/>
          <w:shd w:val="clear" w:color="auto" w:fill="FFFFFF"/>
        </w:rPr>
        <w:fldChar w:fldCharType="separate"/>
      </w:r>
      <w:r w:rsidR="00236558" w:rsidRPr="00236558">
        <w:rPr>
          <w:sz w:val="20"/>
          <w:vertAlign w:val="superscript"/>
        </w:rPr>
        <w:t>177</w:t>
      </w:r>
      <w:r w:rsidR="00425471" w:rsidRPr="009F44A4">
        <w:rPr>
          <w:color w:val="000000" w:themeColor="text1"/>
          <w:sz w:val="20"/>
          <w:szCs w:val="20"/>
          <w:shd w:val="clear" w:color="auto" w:fill="FFFFFF"/>
        </w:rPr>
        <w:fldChar w:fldCharType="end"/>
      </w:r>
      <w:r w:rsidR="00425471" w:rsidRPr="009F44A4">
        <w:rPr>
          <w:color w:val="000000" w:themeColor="text1"/>
          <w:sz w:val="20"/>
          <w:szCs w:val="20"/>
          <w:shd w:val="clear" w:color="auto" w:fill="FFFFFF"/>
        </w:rPr>
        <w:t>.</w:t>
      </w:r>
    </w:p>
    <w:p w14:paraId="38BA002C" w14:textId="77777777" w:rsidR="00CE59DA" w:rsidRPr="009F44A4" w:rsidRDefault="00CE59DA" w:rsidP="00DC7281">
      <w:pPr>
        <w:pStyle w:val="Heading1"/>
        <w:shd w:val="clear" w:color="auto" w:fill="FFFFFF" w:themeFill="background1"/>
        <w:spacing w:line="360" w:lineRule="auto"/>
        <w:jc w:val="both"/>
        <w:rPr>
          <w:rFonts w:ascii="Times New Roman" w:hAnsi="Times New Roman" w:cs="Times New Roman"/>
          <w:color w:val="000000" w:themeColor="text1"/>
          <w:sz w:val="20"/>
          <w:szCs w:val="20"/>
        </w:rPr>
      </w:pPr>
      <w:r w:rsidRPr="009F44A4">
        <w:rPr>
          <w:rFonts w:ascii="Times New Roman" w:hAnsi="Times New Roman" w:cs="Times New Roman"/>
          <w:b/>
          <w:color w:val="000000" w:themeColor="text1"/>
          <w:sz w:val="20"/>
          <w:szCs w:val="20"/>
          <w:shd w:val="clear" w:color="auto" w:fill="FFFFFF"/>
        </w:rPr>
        <w:lastRenderedPageBreak/>
        <w:t>14.1</w:t>
      </w:r>
      <w:r w:rsidRPr="009F44A4">
        <w:rPr>
          <w:rFonts w:ascii="Times New Roman" w:hAnsi="Times New Roman" w:cs="Times New Roman"/>
          <w:color w:val="000000" w:themeColor="text1"/>
          <w:sz w:val="20"/>
          <w:szCs w:val="20"/>
          <w:shd w:val="clear" w:color="auto" w:fill="FFFFFF"/>
        </w:rPr>
        <w:t xml:space="preserve"> </w:t>
      </w:r>
      <w:r w:rsidRPr="009F44A4">
        <w:rPr>
          <w:rFonts w:ascii="Times New Roman" w:hAnsi="Times New Roman" w:cs="Times New Roman"/>
          <w:b/>
          <w:bCs/>
          <w:color w:val="000000" w:themeColor="text1"/>
          <w:sz w:val="20"/>
          <w:szCs w:val="20"/>
          <w:shd w:val="clear" w:color="auto" w:fill="FFFFFF"/>
        </w:rPr>
        <w:t>ADE in human coronavirus infections</w:t>
      </w:r>
      <w:r w:rsidRPr="009F44A4">
        <w:rPr>
          <w:rFonts w:ascii="Times New Roman" w:hAnsi="Times New Roman" w:cs="Times New Roman"/>
          <w:color w:val="000000" w:themeColor="text1"/>
          <w:sz w:val="20"/>
          <w:szCs w:val="20"/>
          <w:shd w:val="clear" w:color="auto" w:fill="FFFFFF"/>
        </w:rPr>
        <w:t> </w:t>
      </w:r>
    </w:p>
    <w:p w14:paraId="52A55A72" w14:textId="5C22AF2E"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 xml:space="preserve">There is no conclusive evidence that ADE has a role in human coronavirus illnesses. Concerns regarding ADE were raised when </w:t>
      </w:r>
      <w:proofErr w:type="spellStart"/>
      <w:r w:rsidRPr="009F44A4">
        <w:rPr>
          <w:color w:val="000000" w:themeColor="text1"/>
          <w:sz w:val="20"/>
          <w:szCs w:val="20"/>
          <w:shd w:val="clear" w:color="auto" w:fill="FFFFFF"/>
        </w:rPr>
        <w:t>seroconversion</w:t>
      </w:r>
      <w:proofErr w:type="spellEnd"/>
      <w:r w:rsidRPr="009F44A4">
        <w:rPr>
          <w:color w:val="000000" w:themeColor="text1"/>
          <w:sz w:val="20"/>
          <w:szCs w:val="20"/>
          <w:shd w:val="clear" w:color="auto" w:fill="FFFFFF"/>
        </w:rPr>
        <w:t xml:space="preserve"> and neutralizing antibody responses were found to correlate with clinical severity and mortality in SARS patients</w:t>
      </w:r>
      <w:r w:rsidR="00482DF0" w:rsidRPr="009F44A4">
        <w:rPr>
          <w:color w:val="000000" w:themeColor="text1"/>
          <w:sz w:val="20"/>
          <w:szCs w:val="20"/>
          <w:shd w:val="clear" w:color="auto" w:fill="FFFFFF"/>
        </w:rPr>
        <w:t xml:space="preserve"> </w:t>
      </w:r>
      <w:r w:rsidR="00482DF0"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{"citationID":"PkBQcG5w","properties":{"formattedCitation":"\\super 185\\nosupersub{}","plainCitation":"185","noteIndex":0},"citationItems":[{"id":1428,"uris":["http://zotero.org/users/local/ZR048J0w/items/WDQ4JGGX"],"uri":["http://zotero.org/users/local/ZR048J0w/items/WDQ4JGGX"],"itemData":{"id":1428,"type":"article-journal","abstract":"Using the Taiwan nationwide laboratory-confirmed severe acute respiratory syndrome (SARS) database, we analyzed neutralizing antibody in relation to clinical outcomes. With a linear mixed model, neutralizing antibody titer was shown to peak between week 5 and week 8 after onset and to decline thereafter, with a half-life of 6.4 weeks. Patients with a longer illness showed a lower neutralizing antibody response than patients with a shorter illness duration (p = 0.008). When early responders were compared with most patients, who seroconverted on and after week 3 of illness, the small proportion (17.4%) of early responders (antibody detectable within 2 weeks) had a higher death rate (29.6% vs. 7.8%) (Fisher exact test, p = 0.004), had a shorter survival time of &lt;2 weeks (Fisher exact test, p = 0.013), and were more likely to be &gt; 60 years of age (Fisher exact test, p = 0.01). Our findings have implications for understanding the pathogenesis of SARS and for SARS vaccine research and development.","container-title":"Emerging Infectious Diseases","DOI":"10.3201/eid1111.040659","ISSN":"1080-6040","issue":"11","journalAbbreviation":"Emerg Infect Dis","language":"eng","note":"PMID: 16318725\nPMCID: PMC3367364","page":"1730-1737","source":"PubMed","title":"Neutralizing antibody response and SARS severity","volume":"11","author":[{"family":"Ho","given":"Mei-Shang"},{"family":"Chen","given":"Wei-Ju"},{"family":"Chen","given":"Hour-Young"},{"family":"Lin","given":"Szu-Fong"},{"family":"Wang","given":"Min-Chin"},{"family":"Di","given":"Jiali"},{"family":"Lu","given":"Yen-Ta"},{"family":"Liu","given":"Ching-Lung"},{"family":"Chang","given":"Shan-Chwen"},{"family":"Chao","given":"Chung-Liang"},{"family":"King","given":"Chwan-Chuen"},{"family":"Chiou","given":"Jeng-Min"},{"family":"Su","given":"Ih-Jen"},{"family":"Yang","given":"Jyh-Yuan"}],"issued":{"date-parts":[["2005",11]]}}}],"schema":"https://github.com/citation-style-language/schema/raw/master/csl-citation.json"} </w:instrText>
      </w:r>
      <w:r w:rsidR="00482DF0" w:rsidRPr="009F44A4">
        <w:rPr>
          <w:color w:val="000000" w:themeColor="text1"/>
          <w:sz w:val="20"/>
          <w:szCs w:val="20"/>
          <w:shd w:val="clear" w:color="auto" w:fill="FFFFFF"/>
        </w:rPr>
        <w:fldChar w:fldCharType="separate"/>
      </w:r>
      <w:r w:rsidR="00236558" w:rsidRPr="00236558">
        <w:rPr>
          <w:sz w:val="20"/>
          <w:vertAlign w:val="superscript"/>
        </w:rPr>
        <w:t>185</w:t>
      </w:r>
      <w:r w:rsidR="00482DF0" w:rsidRPr="009F44A4">
        <w:rPr>
          <w:color w:val="000000" w:themeColor="text1"/>
          <w:sz w:val="20"/>
          <w:szCs w:val="20"/>
          <w:shd w:val="clear" w:color="auto" w:fill="FFFFFF"/>
        </w:rPr>
        <w:fldChar w:fldCharType="end"/>
      </w:r>
      <w:r w:rsidR="00482DF0"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According to the findings in COVID-19 patients, with greater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-2 antibody titers being linked to more serious illness </w:t>
      </w:r>
      <w:r w:rsidR="009D35F9"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{"citationID":"7VmNhWgo","properties":{"formattedCitation":"\\super 186\\nosupersub{}","plainCitation":"186","noteIndex":0},"citationItems":[{"id":1431,"uris":["http://zotero.org/users/local/ZR048J0w/items/S8EIKHQH"],"uri":["http://zotero.org/users/local/ZR048J0w/items/S8EIKHQH"],"itemData":{"id":1431,"type":"article-journal","abstract":"BACKGROUND: The novel coronavirus SARS-CoV-2 is a newly emerging virus. The antibody response in infected patients remains largely unknown, and the clinical value of antibody testing has not been fully demonstrated.\nMETHODS: 173 patients with SARS-CoV-2 infection were enrolled. Their serial plasma samples (n = 535) collected during hospitalization were tested for total antibodies (Ab), IgM, and IgG against SARS-CoV-2. The dynamics of antibodies with disease progress were analyzed.\nRESULTS: Among 173 patients, the seroconversion rates for Ab, IgM, and IgG were 93.1%, 82.7%, and 64.7%, respectively. The reason for the negative antibody findings in 12 patients might be due to the lack of blood samples at the later stage of illness. The median seroconversion times for Ab, IgM, and then IgG were days 11, 12, and 4, respectively. The presence of antibodies was &lt;40% among patients within 1 week of onset, and rapidly increased to 100.0% (Ab), 94.3% (IgM), and 79.8% (IgG) by day 15 after onset. In contrast, RNA detectability decreased from 66.7% (58/87) in samples collected before day 7 to 45.5% (25/55) during days 15-39. Combining RNA and antibody detection significantly improved the sensitivity of pathogenic diagnosis for COVID-19 (P &lt; .001), even in the early phase of 1 week from onset (P = .007). Moreover, a higher titer of Ab was independently associated with a worse clinical classification (P = .006).\nCONCLUSIONS: Antibody detection offers vital clinical information during the course of SARS-CoV-2 infection. The findings provide strong empirical support for the routine application of serological testing in the diagnosis and management of COVID-19 patients.","container-title":"Clinical Infectious Diseases: An Official Publication of the Infectious Diseases Society of America","DOI":"10.1093/cid/ciaa344","ISSN":"1537-6591","issue":"16","journalAbbreviation":"Clin Infect Dis","language":"eng","note":"PMID: 32221519\nPMCID: PMC7184337","page":"2027-2034","source":"PubMed","title":"Antibody Responses to SARS-CoV-2 in Patients With Novel Coronavirus Disease 2019","volume":"71","author":[{"family":"Zhao","given":"Juanjuan"},{"family":"Yuan","given":"Quan"},{"family":"Wang","given":"Haiyan"},{"family":"Liu","given":"Wei"},{"family":"Liao","given":"Xuejiao"},{"family":"Su","given":"Yingying"},{"family":"Wang","given":"Xin"},{"family":"Yuan","given":"Jing"},{"family":"Li","given":"Tingdong"},{"family":"Li","given":"Jinxiu"},{"family":"Qian","given":"Shen"},{"family":"Hong","given":"Congming"},{"family":"Wang","given":"Fuxiang"},{"family":"Liu","given":"Yingxia"},{"family":"Wang","given":"Zhaoqin"},{"family":"He","given":"Qing"},{"family":"Li","given":"Zhiyong"},{"family":"He","given":"Bin"},{"family":"Zhang","given":"Tianying"},{"family":"Fu","given":"Yang"},{"family":"Ge","given":"Shengxiang"},{"family":"Liu","given":"Lei"},{"family":"Zhang","given":"Jun"},{"family":"Xia","given":"Ningshao"},{"family":"Zhang","given":"Zheng"}],"issued":{"date-parts":[["2020",11,19]]}},"locator":"2"}],"schema":"https://github.com/citation-style-language/schema/raw/master/csl-citation.json"} </w:instrText>
      </w:r>
      <w:r w:rsidR="009D35F9" w:rsidRPr="009F44A4">
        <w:rPr>
          <w:color w:val="000000" w:themeColor="text1"/>
          <w:sz w:val="20"/>
          <w:szCs w:val="20"/>
          <w:shd w:val="clear" w:color="auto" w:fill="FFFFFF"/>
        </w:rPr>
        <w:fldChar w:fldCharType="separate"/>
      </w:r>
      <w:r w:rsidR="00236558" w:rsidRPr="00236558">
        <w:rPr>
          <w:sz w:val="20"/>
          <w:vertAlign w:val="superscript"/>
        </w:rPr>
        <w:t>186</w:t>
      </w:r>
      <w:r w:rsidR="009D35F9"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Increased antibody titers in chronic COVID-19 patients are thought to be the result of more and longer antigen exposure due to increased viral loads</w:t>
      </w:r>
      <w:r w:rsidR="00F3230F" w:rsidRPr="009F44A4">
        <w:rPr>
          <w:color w:val="000000" w:themeColor="text1"/>
          <w:sz w:val="20"/>
          <w:szCs w:val="20"/>
          <w:shd w:val="clear" w:color="auto" w:fill="FFFFFF"/>
        </w:rPr>
        <w:t xml:space="preserve"> </w:t>
      </w:r>
      <w:r w:rsidR="00F3230F"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{"citationID":"elAXkGG5","properties":{"formattedCitation":"\\super 187,188\\nosupersub{}","plainCitation":"187,188","noteIndex":0},"citationItems":[{"id":1434,"uris":["http://zotero.org/users/local/ZR048J0w/items/953GUCSC"],"uri":["http://zotero.org/users/local/ZR048J0w/items/953GUCSC"],"itemData":{"id":1434,"type":"article-journal","container-title":"The Lancet Infectious Diseases","DOI":"10.1016/S1473-3099(20)30232-2","ISSN":"1473-3099, 1474-4457","issue":"6","journalAbbreviation":"The Lancet Infectious Diseases","language":"English","note":"publisher: Elsevier\nPMID: 32199493","page":"656-657","source":"www.thelancet.com","title":"Viral dynamics in mild and severe cases of COVID-19","volume":"20","author":[{"family":"Liu","given":"Yang"},{"family":"Yan","given":"Li-Meng"},{"family":"Wan","given":"Lagen"},{"family":"Xiang","given":"Tian-Xin"},{"family":"Le","given":"Aiping"},{"family":"Liu","given":"Jia-Ming"},{"family":"Peiris","given":"Malik"},{"family":"Poon","given":"Leo L. M."},{"family":"Zhang","given":"Wei"}],"issued":{"date-parts":[["2020",6,1]]}}},{"id":1437,"uris":["http://zotero.org/users/local/ZR048J0w/items/FGFA2AAI"],"uri":["http://zotero.org/users/local/ZR048J0w/items/FGFA2AAI"],"itemData":{"id":1437,"type":"article-journal","abstract":"OBJECTIVE: To evaluate viral loads at different stages of disease progression in patients infected with the 2019 severe acute respiratory syndrome coronavirus 2 (SARS-CoV-2) during the first four months of the epidemic in Zhejiang province, China.\nDESIGN: Retrospective cohort study.\nSETTING: A designated hospital for patients with covid-19 in Zhejiang province, China.\nPARTICIPANTS: 96 consecutively admitted patients with laboratory confirmed SARS-CoV-2 infection: 22 with mild disease and 74 with severe disease. Data were collected from 19 January 2020 to 20 March 2020.\nMAIN OUTCOME MEASURES: Ribonucleic acid (RNA) viral load measured in respiratory, stool, serum, and urine samples. Cycle threshold values, a measure of nucleic acid concentration, were plotted onto the standard curve constructed on the basis of the standard product. Epidemiological, clinical, and laboratory characteristics and treatment and outcomes data were obtained through data collection forms from electronic medical records, and the relation between clinical data and disease severity was analysed.\nRESULTS: 3497 respiratory, stool, serum, and urine samples were collected from patients after admission and evaluated for SARS-CoV-2 RNA viral load. Infection was confirmed in all patients by testing sputum and saliva samples. RNA was detected in the stool of 55 (59%) patients and in the serum of 39 (41%) patients. The urine sample from one patient was positive for SARS-CoV-2. The median duration of virus in stool (22 days, interquartile range 17-31 days) was significantly longer than in respiratory (18 days, 13-29 days; P=0.02) and serum samples (16 days, 11-21 days; P&lt;0.001). The median duration of virus in the respiratory samples of patients with severe disease (21 days, 14-30 days) was significantly longer than in patients with mild disease (14 days, 10-21 days; P=0.04). In the mild group, the viral loads peaked in respiratory samples in the second week from disease onset, whereas viral load continued to be high during the third week in the severe group. Virus duration was longer in patients older than 60 years and in male patients.\nCONCLUSION: The duration of SARS-CoV-2 is significantly longer in stool samples than in respiratory and serum samples, highlighting the need to strengthen the management of stool samples in the prevention and control of the epidemic, and the virus persists longer with higher load and peaks later in the respiratory tissue of patients with severe disease.","container-title":"BMJ (Clinical research ed.)","DOI":"10.1136/bmj.m1443","ISSN":"1756-1833","journalAbbreviation":"BMJ","language":"eng","note":"PMID: 32317267\nPMCID: PMC7190077","page":"m1443","source":"PubMed","title":"Viral load dynamics and disease severity in patients infected with SARS-CoV-2 in Zhejiang province, China, January-March 2020: retrospective cohort study","title-short":"Viral load dynamics and disease severity in patients infected with SARS-CoV-2 in Zhejiang province, China, January-March 2020","volume":"369","author":[{"family":"Zheng","given":"Shufa"},{"family":"Fan","given":"Jian"},{"family":"Yu","given":"Fei"},{"family":"Feng","given":"Baihuan"},{"family":"Lou","given":"Bin"},{"family":"Zou","given":"Qianda"},{"family":"Xie","given":"Guoliang"},{"family":"Lin","given":"Sha"},{"family":"Wang","given":"Ruonan"},{"family":"Yang","given":"Xianzhi"},{"family":"Chen","given":"Weizhen"},{"family":"Wang","given":"Qi"},{"family":"Zhang","given":"Dan"},{"family":"Liu","given":"Yanchao"},{"family":"Gong","given":"Renjie"},{"family":"Ma","given":"Zhaohui"},{"family":"Lu","given":"Siming"},{"family":"Xiao","given":"Yanyan"},{"family":"Gu","given":"Yaxi"},{"family":"Zhang","given":"Jinming"},{"family":"Yao","given":"Hangping"},{"family":"Xu","given":"Kaijin"},{"family":"Lu","given":"Xiaoyang"},{"family":"Wei","given":"Guoqing"},{"family":"Zhou","given":"Jianying"},{"family":"Fang","given":"Qiang"},{"family":"Cai","given":"Hongliu"},{"family":"Qiu","given":"Yunqing"},{"family":"Sheng","given":"Jifang"},{"family":"Chen","given":"Yu"},{"family":"Liang","given":"Tingbo"}],"issued":{"date-parts":[["2020",4,21]]}}}],"schema":"https://github.com/citation-style-language/schema/raw/master/csl-citation.json"} </w:instrText>
      </w:r>
      <w:r w:rsidR="00F3230F" w:rsidRPr="009F44A4">
        <w:rPr>
          <w:color w:val="000000" w:themeColor="text1"/>
          <w:sz w:val="20"/>
          <w:szCs w:val="20"/>
          <w:shd w:val="clear" w:color="auto" w:fill="FFFFFF"/>
        </w:rPr>
        <w:fldChar w:fldCharType="separate"/>
      </w:r>
      <w:r w:rsidR="00236558" w:rsidRPr="00236558">
        <w:rPr>
          <w:sz w:val="20"/>
          <w:vertAlign w:val="superscript"/>
        </w:rPr>
        <w:t>187,188</w:t>
      </w:r>
      <w:r w:rsidR="00F3230F"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A new analysis showed that asymptomatic and symptomatic COVID-19</w:t>
      </w:r>
      <w:r w:rsidR="00EC2B87" w:rsidRPr="009F44A4">
        <w:rPr>
          <w:color w:val="000000" w:themeColor="text1"/>
          <w:sz w:val="20"/>
          <w:szCs w:val="20"/>
          <w:shd w:val="clear" w:color="auto" w:fill="FFFFFF"/>
        </w:rPr>
        <w:t xml:space="preserve"> </w:t>
      </w:r>
      <w:r w:rsidR="00EC2B87"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{"citationID":"2V69z9Pk","properties":{"formattedCitation":"\\super 189\\nosupersub{}","plainCitation":"189","noteIndex":0},"citationItems":[{"id":1441,"uris":["http://zotero.org/users/local/ZR048J0w/items/Q9FNXRK4"],"uri":["http://zotero.org/users/local/ZR048J0w/items/Q9FNXRK4"],"itemData":{"id":1441,"type":"article-journal","abstract":"The clinical features and immune responses of asymptomatic individuals infected with severe acute respiratory syndrome coronavirus 2 (SARS-CoV-2) have not been well described. We studied 37 asymptomatic individuals in the Wanzhou District who were diagnosed with RT–PCR-confirmed SARS-CoV-2 infections but without any relevant clinical symptoms in the preceding 14 d and during hospitalization. Asymptomatic individuals were admitted to the government-designated Wanzhou People’s Hospital for centralized isolation in accordance with policy1. The median duration of viral shedding in the asymptomatic group was 19 d (interquartile range (IQR), 15–26 d). The asymptomatic group had a significantly longer duration of viral shedding than the symptomatic group (log-rank P = 0.028). The virus-specific IgG levels in the asymptomatic group (median S/CO, 3.4; IQR, 1.6–10.7) were significantly lower (P = 0.005) relative to the symptomatic group (median S/CO, 20.5; IQR, 5.8–38.2) in the acute phase. Of asymptomatic individuals, 93.3% (28/30) and 81.1% (30/37) had reduction in IgG and neutralizing antibody levels, respectively, during the early convalescent phase, as compared to 96.8% (30/31) and 62.2% (23/37) of symptomatic patients. Forty percent of asymptomatic individuals became seronegative and 12.9% of the symptomatic group became negative for IgG in the early convalescent phase. In addition, asymptomatic individuals exhibited lower levels of 18 pro- and anti-inflammatory cytokines. These data suggest that asymptomatic individuals had a weaker immune response to SARS-CoV-2 infection. The reduction in IgG and neutralizing antibody levels in the early convalescent phase might have implications for immunity strategy and serological surveys.","container-title":"Nature Medicine","DOI":"10.1038/s41591-020-0965-6","ISSN":"1546-170X","issue":"8","journalAbbreviation":"Nat Med","language":"en","note":"number: 8\npublisher: Nature Publishing Group","page":"1200-1204","source":"www.nature.com","title":"Clinical and immunological assessment of asymptomatic SARS-CoV-2 infections","volume":"26","author":[{"family":"Long","given":"Quan-Xin"},{"family":"Tang","given":"Xiao-Jun"},{"family":"Shi","given":"Qiu-Lin"},{"family":"Li","given":"Qin"},{"family":"Deng","given":"Hai-Jun"},{"family":"Yuan","given":"Jun"},{"family":"Hu","given":"Jie-Li"},{"family":"Xu","given":"Wei"},{"family":"Zhang","given":"Yong"},{"family":"Lv","given":"Fa-Jin"},{"family":"Su","given":"Kun"},{"family":"Zhang","given":"Fan"},{"family":"Gong","given":"Jiang"},{"family":"Wu","given":"Bo"},{"family":"Liu","given":"Xia-Mao"},{"family":"Li","given":"Jin-Jing"},{"family":"Qiu","given":"Jing-Fu"},{"family":"Chen","given":"Juan"},{"family":"Huang","given":"Ai-Long"}],"issued":{"date-parts":[["2020",8]]}}}],"schema":"https://github.com/citation-style-language/schema/raw/master/csl-citation.json"} </w:instrText>
      </w:r>
      <w:r w:rsidR="00EC2B87" w:rsidRPr="009F44A4">
        <w:rPr>
          <w:color w:val="000000" w:themeColor="text1"/>
          <w:sz w:val="20"/>
          <w:szCs w:val="20"/>
          <w:shd w:val="clear" w:color="auto" w:fill="FFFFFF"/>
        </w:rPr>
        <w:fldChar w:fldCharType="separate"/>
      </w:r>
      <w:r w:rsidR="00236558" w:rsidRPr="00236558">
        <w:rPr>
          <w:sz w:val="20"/>
          <w:vertAlign w:val="superscript"/>
        </w:rPr>
        <w:t>189</w:t>
      </w:r>
      <w:r w:rsidR="00EC2B87"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individuals had similar viral shedding in the upper respiratory tract. Anti-SARS-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antibody titers were noticeably higher in symptomatic people and they cleared the virus from the upper respiratory tract faster, refuting the idea that higher viral loads cause higher antibody titers. According to other studies, anti-SARS-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T-cell responses were seen at high levels in both symptomatic and asymptomatic infections</w:t>
      </w:r>
      <w:r w:rsidR="00EF4180" w:rsidRPr="009F44A4">
        <w:rPr>
          <w:color w:val="000000" w:themeColor="text1"/>
          <w:sz w:val="20"/>
          <w:szCs w:val="20"/>
          <w:shd w:val="clear" w:color="auto" w:fill="FFFFFF"/>
        </w:rPr>
        <w:t xml:space="preserve"> </w:t>
      </w:r>
      <w:r w:rsidR="00EF4180"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{"citationID":"BG8QQLXq","properties":{"formattedCitation":"\\super 170,190\\nosupersub{}","plainCitation":"170,190","noteIndex":0},"citationItems":[{"id":893,"uris":["http://zotero.org/users/local/ZR048J0w/items/S8T2KB25"],"uri":["http://zotero.org/users/local/ZR048J0w/items/S8T2KB25"],"itemData":{"id":893,"type":"article-journal","abstract":"Coronavirus disease 2019 (COVID-19) is currently a global pandemic, but human immune responses to the virus remain poorly understood. We used high-dimensional cytometry to analyze 125 COVID-19 patients and compare them with recovered and healthy individuals. Integrated analysis of ~200 immune and ~50 clinical features revealed activation of T cell and B cell subsets in a proportion of patients. A subgroup of patients had T cell activation characteristic of acute viral infection and plasmablast responses reaching &gt;30% of circulating B cells. However, another subgroup had lymphocyte activation comparable with that in uninfected individuals. Stable versus dynamic immunological signatures were identified and linked to trajectories of disease severity change. Our analyses identified three immunotypes associated with poor clinical trajectories versus improving health. These immunotypes may have implications for the design of therapeutics and vaccines for COVID-19.","container-title":"Science (New York, N.Y.)","DOI":"10.1126/science.abc8511","ISSN":"1095-9203","issue":"6508","journalAbbreviation":"Science","language":"eng","note":"PMID: 32669297\nPMCID: PMC7402624","source":"PubMed","title":"Deep immune profiling of COVID-19 patients reveals distinct immunotypes with therapeutic implications","volume":"369","author":[{"family":"Mathew","given":"Divij"},{"family":"Giles","given":"Josephine R."},{"family":"Baxter","given":"Amy E."},{"family":"Oldridge","given":"Derek A."},{"family":"Greenplate","given":"Allison R."},{"family":"Wu","given":"Jennifer E."},{"family":"Alanio","given":"Cécile"},{"family":"Kuri-Cervantes","given":"Leticia"},{"family":"Pampena","given":"M. Betina"},{"family":"D'Andrea","given":"Kurt"},{"family":"Manne","given":"Sasikanth"},{"family":"Chen","given":"Zeyu"},{"family":"Huang","given":"Yinghui Jane"},{"family":"Reilly","given":"John P."},{"family":"Weisman","given":"Ariel R."},{"family":"Ittner","given":"Caroline A. G."},{"family":"Kuthuru","given":"Oliva"},{"family":"Dougherty","given":"Jeanette"},{"family":"Nzingha","given":"Kito"},{"family":"Han","given":"Nicholas"},{"family":"Kim","given":"Justin"},{"family":"Pattekar","given":"Ajinkya"},{"family":"Goodwin","given":"Eileen C."},{"family":"Anderson","given":"Elizabeth M."},{"family":"Weirick","given":"Madison E."},{"family":"Gouma","given":"Sigrid"},{"family":"Arevalo","given":"Claudia P."},{"family":"Bolton","given":"Marcus J."},{"family":"Chen","given":"Fang"},{"family":"Lacey","given":"Simon F."},{"family":"Ramage","given":"Holly"},{"family":"Cherry","given":"Sara"},{"family":"Hensley","given":"Scott E."},{"family":"Apostolidis","given":"Sokratis A."},{"family":"Huang","given":"Alexander C."},{"family":"Vella","given":"Laura A."},{"literal":"UPenn COVID Processing Unit"},{"family":"Betts","given":"Michael R."},{"family":"Meyer","given":"Nuala J."},{"family":"Wherry","given":"E. John"}],"issued":{"date-parts":[["2020",9,4]]}}},{"id":1443,"uris":["http://zotero.org/users/local/ZR048J0w/items/GLJ84PKB"],"uri":["http://zotero.org/users/local/ZR048J0w/items/GLJ84PKB"],"itemData":{"id":1443,"type":"article-journal","abstract":"SARS-CoV-2-specific memory T cells will likely prove critical for long-term immune protection against COVID-19. Here, we systematically mapped the functional and phenotypic landscape of SARS-CoV-2-specific T cell responses in unexposed individuals, exposed family members, and individuals with acute or convalescent COVID-19. Acute-phase SARS-CoV-2-specific T cells displayed a highly activated cytotoxic phenotype that correlated with various clinical markers of disease severity, whereas convalescent-phase SARS-CoV-2-specific T cells were polyfunctional and displayed a stem-like memory phenotype. Importantly, SARS-CoV-2-specific T cells were detectable in antibody-seronegative exposed family members and convalescent individuals with a history of asymptomatic and mild COVID-19. Our collective dataset shows that SARS-CoV-2 elicits broadly directed and functionally replete memory T cell responses, suggesting that natural exposure or infection may prevent recurrent episodes of severe COVID-19.","container-title":"Cell","DOI":"10.1016/j.cell.2020.08.017","ISSN":"1097-4172","issue":"1","journalAbbreviation":"Cell","language":"eng","note":"PMID: 32979941\nPMCID: PMC7427556","page":"158-168.e14","source":"PubMed","title":"Robust T Cell Immunity in Convalescent Individuals with Asymptomatic or Mild COVID-19","volume":"183","author":[{"family":"Sekine","given":"Takuya"},{"family":"Perez-Potti","given":"André"},{"family":"Rivera-Ballesteros","given":"Olga"},{"family":"Strålin","given":"Kristoffer"},{"family":"Gorin","given":"Jean-Baptiste"},{"family":"Olsson","given":"Annika"},{"family":"Llewellyn-Lacey","given":"Sian"},{"family":"Kamal","given":"Habiba"},{"family":"Bogdanovic","given":"Gordana"},{"family":"Muschiol","given":"Sandra"},{"family":"Wullimann","given":"David J."},{"family":"Kammann","given":"Tobias"},{"family":"Emgård","given":"Johanna"},{"family":"Parrot","given":"Tiphaine"},{"family":"Folkesson","given":"Elin"},{"literal":"Karolinska COVID-19 Study Group"},{"family":"Rooyackers","given":"Olav"},{"family":"Eriksson","given":"Lars I."},{"family":"Henter","given":"Jan-Inge"},{"family":"Sönnerborg","given":"Anders"},{"family":"Allander","given":"Tobias"},{"family":"Albert","given":"Jan"},{"family":"Nielsen","given":"Morten"},{"family":"Klingström","given":"Jonas"},{"family":"Gredmark-Russ","given":"Sara"},{"family":"Björkström","given":"Niklas K."},{"family":"Sandberg","given":"Johan K."},{"family":"Price","given":"David A."},{"family":"Ljunggren","given":"Hans-Gustaf"},{"family":"Aleman","given":"Soo"},{"family":"Buggert","given":"Marcus"}],"issued":{"date-parts":[["2020",10,1]]}}}],"schema":"https://github.com/citation-style-language/schema/raw/master/csl-citation.json"} </w:instrText>
      </w:r>
      <w:r w:rsidR="00EF4180" w:rsidRPr="009F44A4">
        <w:rPr>
          <w:color w:val="000000" w:themeColor="text1"/>
          <w:sz w:val="20"/>
          <w:szCs w:val="20"/>
          <w:shd w:val="clear" w:color="auto" w:fill="FFFFFF"/>
        </w:rPr>
        <w:fldChar w:fldCharType="separate"/>
      </w:r>
      <w:r w:rsidR="00236558" w:rsidRPr="00236558">
        <w:rPr>
          <w:sz w:val="20"/>
          <w:vertAlign w:val="superscript"/>
        </w:rPr>
        <w:t>170,190</w:t>
      </w:r>
      <w:r w:rsidR="00EF4180" w:rsidRPr="009F44A4">
        <w:rPr>
          <w:color w:val="000000" w:themeColor="text1"/>
          <w:sz w:val="20"/>
          <w:szCs w:val="20"/>
          <w:shd w:val="clear" w:color="auto" w:fill="FFFFFF"/>
        </w:rPr>
        <w:fldChar w:fldCharType="end"/>
      </w:r>
      <w:r w:rsidR="00EF4180"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The data suggest that patients with a broad range of clinical symptoms can have potent T-cell responses, although high antibody titers are more strongly linked to chronic COVID-19. The fact that viral shedding was discovered in the upper respiratory system rather than the lower respiratory tract is a critical issue</w:t>
      </w:r>
      <w:r w:rsidR="00286CED" w:rsidRPr="009F44A4">
        <w:rPr>
          <w:color w:val="000000" w:themeColor="text1"/>
          <w:sz w:val="20"/>
          <w:szCs w:val="20"/>
          <w:shd w:val="clear" w:color="auto" w:fill="FFFFFF"/>
        </w:rPr>
        <w:t xml:space="preserve"> </w:t>
      </w:r>
      <w:r w:rsidR="00286CED"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{"citationID":"ihK24Fs8","properties":{"formattedCitation":"\\super 189\\nosupersub{}","plainCitation":"189","noteIndex":0},"citationItems":[{"id":1441,"uris":["http://zotero.org/users/local/ZR048J0w/items/Q9FNXRK4"],"uri":["http://zotero.org/users/local/ZR048J0w/items/Q9FNXRK4"],"itemData":{"id":1441,"type":"article-journal","abstract":"The clinical features and immune responses of asymptomatic individuals infected with severe acute respiratory syndrome coronavirus 2 (SARS-CoV-2) have not been well described. We studied 37 asymptomatic individuals in the Wanzhou District who were diagnosed with RT–PCR-confirmed SARS-CoV-2 infections but without any relevant clinical symptoms in the preceding 14 d and during hospitalization. Asymptomatic individuals were admitted to the government-designated Wanzhou People’s Hospital for centralized isolation in accordance with policy1. The median duration of viral shedding in the asymptomatic group was 19 d (interquartile range (IQR), 15–26 d). The asymptomatic group had a significantly longer duration of viral shedding than the symptomatic group (log-rank P = 0.028). The virus-specific IgG levels in the asymptomatic group (median S/CO, 3.4; IQR, 1.6–10.7) were significantly lower (P = 0.005) relative to the symptomatic group (median S/CO, 20.5; IQR, 5.8–38.2) in the acute phase. Of asymptomatic individuals, 93.3% (28/30) and 81.1% (30/37) had reduction in IgG and neutralizing antibody levels, respectively, during the early convalescent phase, as compared to 96.8% (30/31) and 62.2% (23/37) of symptomatic patients. Forty percent of asymptomatic individuals became seronegative and 12.9% of the symptomatic group became negative for IgG in the early convalescent phase. In addition, asymptomatic individuals exhibited lower levels of 18 pro- and anti-inflammatory cytokines. These data suggest that asymptomatic individuals had a weaker immune response to SARS-CoV-2 infection. The reduction in IgG and neutralizing antibody levels in the early convalescent phase might have implications for immunity strategy and serological surveys.","container-title":"Nature Medicine","DOI":"10.1038/s41591-020-0965-6","ISSN":"1546-170X","issue":"8","journalAbbreviation":"Nat Med","language":"en","note":"number: 8\npublisher: Nature Publishing Group","page":"1200-1204","source":"www.nature.com","title":"Clinical and immunological assessment of asymptomatic SARS-CoV-2 infections","volume":"26","author":[{"family":"Long","given":"Quan-Xin"},{"family":"Tang","given":"Xiao-Jun"},{"family":"Shi","given":"Qiu-Lin"},{"family":"Li","given":"Qin"},{"family":"Deng","given":"Hai-Jun"},{"family":"Yuan","given":"Jun"},{"family":"Hu","given":"Jie-Li"},{"family":"Xu","given":"Wei"},{"family":"Zhang","given":"Yong"},{"family":"Lv","given":"Fa-Jin"},{"family":"Su","given":"Kun"},{"family":"Zhang","given":"Fan"},{"family":"Gong","given":"Jiang"},{"family":"Wu","given":"Bo"},{"family":"Liu","given":"Xia-Mao"},{"family":"Li","given":"Jin-Jing"},{"family":"Qiu","given":"Jing-Fu"},{"family":"Chen","given":"Juan"},{"family":"Huang","given":"Ai-Long"}],"issued":{"date-parts":[["2020",8]]}}}],"schema":"https://github.com/citation-style-language/schema/raw/master/csl-citation.json"} </w:instrText>
      </w:r>
      <w:r w:rsidR="00286CED" w:rsidRPr="009F44A4">
        <w:rPr>
          <w:color w:val="000000" w:themeColor="text1"/>
          <w:sz w:val="20"/>
          <w:szCs w:val="20"/>
          <w:shd w:val="clear" w:color="auto" w:fill="FFFFFF"/>
        </w:rPr>
        <w:fldChar w:fldCharType="separate"/>
      </w:r>
      <w:r w:rsidR="00236558" w:rsidRPr="00236558">
        <w:rPr>
          <w:sz w:val="20"/>
          <w:vertAlign w:val="superscript"/>
        </w:rPr>
        <w:t>189</w:t>
      </w:r>
      <w:r w:rsidR="00286CED" w:rsidRPr="009F44A4">
        <w:rPr>
          <w:color w:val="000000" w:themeColor="text1"/>
          <w:sz w:val="20"/>
          <w:szCs w:val="20"/>
          <w:shd w:val="clear" w:color="auto" w:fill="FFFFFF"/>
        </w:rPr>
        <w:fldChar w:fldCharType="end"/>
      </w:r>
      <w:r w:rsidR="00286CED"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The lower respiratory tract is likely more critical for severe COVID-19 lung pathology, and it's unclear how closely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-2 viral shedding in the upper and lower respiratory tracts correlates with chronic infection </w:t>
      </w:r>
      <w:r w:rsidR="006952F1"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{"citationID":"unIEfiff","properties":{"formattedCitation":"\\super 177\\nosupersub{}","plainCitation":"177","noteIndex":0},"citationItems":[{"id":1408,"uris":["http://zotero.org/users/local/ZR048J0w/items/PY32ZUIM"],"uri":["http://zotero.org/users/local/ZR048J0w/items/PY32ZUIM"],"itemData":{"id":1408,"type":"article-journal","abstract":"Antibody-based drugs and vaccines against severe acute respiratory syndrome coronavirus 2 (SARS-CoV-2) are being expedited through preclinical and clinical development. Data from the study of SARS-CoV and other respiratory viruses suggest that anti-SARS-CoV-2 antibodies could exacerbate COVID-19 through antibody-dependent enhancement (ADE). Previous respiratory syncytial virus and dengue virus vaccine studies revealed human clinical safety risks related to ADE, resulting in failed vaccine trials. Here, we describe key ADE mechanisms and discuss mitigation strategies for SARS-CoV-2 vaccines and therapies in development. We also outline recently published data to evaluate the risks and opportunities for antibody-based protection against SARS-CoV-2.","container-title":"Nature Microbiology","DOI":"10.1038/s41564-020-00789-5","ISSN":"2058-5276","issue":"10","journalAbbreviation":"Nat Microbiol","language":"en","note":"number: 10\npublisher: Nature Publishing Group","page":"1185-1191","source":"www.nature.com","title":"Antibody-dependent enhancement and SARS-CoV-2 vaccines and therapies","volume":"5","author":[{"family":"Lee","given":"Wen Shi"},{"family":"Wheatley","given":"Adam K."},{"family":"Kent","given":"Stephen J."},{"family":"DeKosky","given":"Brandon J."}],"issued":{"date-parts":[["2020",10]]}}}],"schema":"https://github.com/citation-style-language/schema/raw/master/csl-citation.json"} </w:instrText>
      </w:r>
      <w:r w:rsidR="006952F1" w:rsidRPr="009F44A4">
        <w:rPr>
          <w:color w:val="000000" w:themeColor="text1"/>
          <w:sz w:val="20"/>
          <w:szCs w:val="20"/>
          <w:shd w:val="clear" w:color="auto" w:fill="FFFFFF"/>
        </w:rPr>
        <w:fldChar w:fldCharType="separate"/>
      </w:r>
      <w:r w:rsidR="00236558" w:rsidRPr="00236558">
        <w:rPr>
          <w:sz w:val="20"/>
          <w:vertAlign w:val="superscript"/>
        </w:rPr>
        <w:t>177</w:t>
      </w:r>
      <w:r w:rsidR="006952F1" w:rsidRPr="009F44A4">
        <w:rPr>
          <w:color w:val="000000" w:themeColor="text1"/>
          <w:sz w:val="20"/>
          <w:szCs w:val="20"/>
          <w:shd w:val="clear" w:color="auto" w:fill="FFFFFF"/>
        </w:rPr>
        <w:fldChar w:fldCharType="end"/>
      </w:r>
      <w:r w:rsidR="006952F1"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Apart from the host response to specific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illnesses, another potential worry is the probability of pre-existing antibodies against other human coronavirus strains triggering ADE in COVID-19 patients</w:t>
      </w:r>
      <w:r w:rsidR="008438E1" w:rsidRPr="009F44A4">
        <w:rPr>
          <w:color w:val="000000" w:themeColor="text1"/>
          <w:sz w:val="20"/>
          <w:szCs w:val="20"/>
          <w:shd w:val="clear" w:color="auto" w:fill="FFFFFF"/>
        </w:rPr>
        <w:t xml:space="preserve"> </w:t>
      </w:r>
      <w:r w:rsidR="008438E1"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{"citationID":"Tl25AdTr","properties":{"formattedCitation":"\\super 191\\nosupersub{}","plainCitation":"191","noteIndex":0},"citationItems":[{"id":1449,"uris":["http://zotero.org/users/local/ZR048J0w/items/RXG5JSV6"],"uri":["http://zotero.org/users/local/ZR048J0w/items/RXG5JSV6"],"itemData":{"id":1449,"type":"article-journal","abstract":"One of the most perplexing questions regarding the current COVID-19 coronavirus epidemic is the discrepancy between the severity of cases observed in the Hubei province of China and those occurring elsewhere in the world. One possible answer is antibody dependent enhancement (ADE) of SARS-CoV-2 due to prior exposure to other coronaviruses. ADE modulates the immune response and can elicit sustained inflammation, lymphopenia, and/or cytokine storm, one or all of which have been documented in severe cases and deaths. ADE also requires prior exposure to similar antigenic epitopes, presumably circulating in local viruses, making it a possible explanation for the observed geographic limitation of severe cases and deaths.","container-title":"Microbes and Infection","DOI":"10.1016/j.micinf.2020.02.006","ISSN":"1769-714X","issue":"2","journalAbbreviation":"Microbes Infect","language":"eng","note":"PMID: 32092539\nPMCID: PMC7102551","page":"72-73","source":"PubMed","title":"Is COVID-19 receiving ADE from other coronaviruses?","volume":"22","author":[{"family":"Tetro","given":"Jason A."}],"issued":{"date-parts":[["2020",3]]}}}],"schema":"https://github.com/citation-style-language/schema/raw/master/csl-citation.json"} </w:instrText>
      </w:r>
      <w:r w:rsidR="008438E1" w:rsidRPr="009F44A4">
        <w:rPr>
          <w:color w:val="000000" w:themeColor="text1"/>
          <w:sz w:val="20"/>
          <w:szCs w:val="20"/>
          <w:shd w:val="clear" w:color="auto" w:fill="FFFFFF"/>
        </w:rPr>
        <w:fldChar w:fldCharType="separate"/>
      </w:r>
      <w:r w:rsidR="00236558" w:rsidRPr="00236558">
        <w:rPr>
          <w:sz w:val="20"/>
          <w:vertAlign w:val="superscript"/>
        </w:rPr>
        <w:t>191</w:t>
      </w:r>
      <w:r w:rsidR="008438E1" w:rsidRPr="009F44A4">
        <w:rPr>
          <w:color w:val="000000" w:themeColor="text1"/>
          <w:sz w:val="20"/>
          <w:szCs w:val="20"/>
          <w:shd w:val="clear" w:color="auto" w:fill="FFFFFF"/>
        </w:rPr>
        <w:fldChar w:fldCharType="end"/>
      </w:r>
      <w:r w:rsidR="008438E1"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In human antibodies elicited by endemic coronavirus variants (like OC43, NL63, </w:t>
      </w:r>
      <w:proofErr w:type="spellStart"/>
      <w:r w:rsidRPr="009F44A4">
        <w:rPr>
          <w:color w:val="000000" w:themeColor="text1"/>
          <w:sz w:val="20"/>
          <w:szCs w:val="20"/>
          <w:shd w:val="clear" w:color="auto" w:fill="FFFFFF"/>
        </w:rPr>
        <w:t>229E</w:t>
      </w:r>
      <w:proofErr w:type="spellEnd"/>
      <w:r w:rsidRPr="009F44A4">
        <w:rPr>
          <w:color w:val="000000" w:themeColor="text1"/>
          <w:sz w:val="20"/>
          <w:szCs w:val="20"/>
          <w:shd w:val="clear" w:color="auto" w:fill="FFFFFF"/>
        </w:rPr>
        <w:t>, and HKU1) could potentially enhance ADE by increasing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cross-reactive identification in the lack of viral neutralization. According to early findings, antibodies (with high reactivity) from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-2-naive donors to seasonal human coronavirus strains showed slight cross-reactivity against the </w:t>
      </w:r>
      <w:proofErr w:type="spellStart"/>
      <w:r w:rsidRPr="009F44A4">
        <w:rPr>
          <w:color w:val="000000" w:themeColor="text1"/>
          <w:sz w:val="20"/>
          <w:szCs w:val="20"/>
          <w:shd w:val="clear" w:color="auto" w:fill="FFFFFF"/>
        </w:rPr>
        <w:t>nucleocapsid</w:t>
      </w:r>
      <w:proofErr w:type="spellEnd"/>
      <w:r w:rsidRPr="009F44A4">
        <w:rPr>
          <w:color w:val="000000" w:themeColor="text1"/>
          <w:sz w:val="20"/>
          <w:szCs w:val="20"/>
          <w:shd w:val="clear" w:color="auto" w:fill="FFFFFF"/>
        </w:rPr>
        <w:t xml:space="preserve"> and </w:t>
      </w:r>
      <w:proofErr w:type="spellStart"/>
      <w:r w:rsidRPr="009F44A4">
        <w:rPr>
          <w:color w:val="000000" w:themeColor="text1"/>
          <w:sz w:val="20"/>
          <w:szCs w:val="20"/>
          <w:shd w:val="clear" w:color="auto" w:fill="FFFFFF"/>
        </w:rPr>
        <w:t>S2</w:t>
      </w:r>
      <w:proofErr w:type="spellEnd"/>
      <w:r w:rsidRPr="009F44A4">
        <w:rPr>
          <w:color w:val="000000" w:themeColor="text1"/>
          <w:sz w:val="20"/>
          <w:szCs w:val="20"/>
          <w:shd w:val="clear" w:color="auto" w:fill="FFFFFF"/>
        </w:rPr>
        <w:t xml:space="preserve"> component of SARS-COV-2</w:t>
      </w:r>
      <w:r w:rsidR="00235724" w:rsidRPr="009F44A4">
        <w:rPr>
          <w:color w:val="000000" w:themeColor="text1"/>
          <w:sz w:val="20"/>
          <w:szCs w:val="20"/>
          <w:shd w:val="clear" w:color="auto" w:fill="FFFFFF"/>
        </w:rPr>
        <w:t xml:space="preserve"> </w:t>
      </w:r>
      <w:r w:rsidR="00235724"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{"citationID":"ruldWZjs","properties":{"formattedCitation":"\\super 192\\nosupersub{}","plainCitation":"192","noteIndex":0},"citationItems":[{"id":1452,"uris":["http://zotero.org/users/local/ZR048J0w/items/96WAAMA9"],"uri":["http://zotero.org/users/local/ZR048J0w/items/96WAAMA9"],"itemData":{"id":1452,"type":"article-journal","abstract":"The current practice for diagnosis of SARS-CoV-2 infection relies on PCR testing of nasopharyngeal or respiratory specimens in a symptomatic patient at high epidemiologic risk. This testing strategy likely underestimates the true prevalence of infection, creating the need for serologic methods to detect infections missed by the limited testing to date. Here, we describe the development of a coronavirus antigen microarray containing immunologically significant antigens from SARS-CoV-2, in addition to SARS-CoV, MERS-CoV, common human coronavirus strains, and other common respiratory viruses. A preliminary study of human sera collected prior to the SARS-CoV-2 pandemic demonstrates overall high IgG reactivity to common human coronaviruses and low IgG reactivity to epidemic coronaviruses including SARS-CoV-2, with some cross-reactivity of conserved antigenic domains including S2 domain of spike protein and nucleocapsid protein. This array can be used to answer outstanding questions regarding SARS-CoV-2 infection, including whether baseline serology for other coronaviruses impacts disease course, how the antibody response to infection develops over time, and what antigens would be optimal for vaccine development.","container-title":"bioRxiv","DOI":"10.1101/2020.03.24.006544","journalAbbreviation":"bioRxiv","note":"PMID: 32511324\nPMCID: PMC7239054","page":"2020.03.24.006544","source":"PubMed Central","title":"Analysis of Serologic Cross-Reactivity Between Common Human Coronaviruses and SARS-CoV-2 Using Coronavirus Antigen Microarray","author":[{"family":"Khan","given":"Saahir"},{"family":"Nakajima","given":"Rie"},{"family":"Jain","given":"Aarti"},{"family":"Assis","given":"Rafael Ramiro","non-dropping-particle":"de"},{"family":"Jasinskas","given":"Al"},{"family":"Obiero","given":"Joshua M."},{"family":"Adenaiye","given":"Oluwasanmi"},{"family":"Tai","given":"Sheldon"},{"family":"Hong","given":"Filbert"},{"family":"Milton","given":"Donald K."},{"family":"Davies","given":"Huw"},{"family":"Felgner","given":"Philip L."}],"issued":{"date-parts":[["2020",3,25]]}}}],"schema":"https://github.com/citation-style-language/schema/raw/master/csl-citation.json"} </w:instrText>
      </w:r>
      <w:r w:rsidR="00235724" w:rsidRPr="009F44A4">
        <w:rPr>
          <w:color w:val="000000" w:themeColor="text1"/>
          <w:sz w:val="20"/>
          <w:szCs w:val="20"/>
          <w:shd w:val="clear" w:color="auto" w:fill="FFFFFF"/>
        </w:rPr>
        <w:fldChar w:fldCharType="separate"/>
      </w:r>
      <w:r w:rsidR="00236558" w:rsidRPr="00236558">
        <w:rPr>
          <w:sz w:val="20"/>
          <w:vertAlign w:val="superscript"/>
        </w:rPr>
        <w:t>192</w:t>
      </w:r>
      <w:r w:rsidR="00235724" w:rsidRPr="009F44A4">
        <w:rPr>
          <w:color w:val="000000" w:themeColor="text1"/>
          <w:sz w:val="20"/>
          <w:szCs w:val="20"/>
          <w:shd w:val="clear" w:color="auto" w:fill="FFFFFF"/>
        </w:rPr>
        <w:fldChar w:fldCharType="end"/>
      </w:r>
      <w:r w:rsidR="00235724"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It would be interesting to know if such cross-reactive antibodies have a role in SARS-COV-2 triggered ADE.</w:t>
      </w:r>
    </w:p>
    <w:p w14:paraId="2C8BA5AD" w14:textId="77777777" w:rsidR="00CE59DA" w:rsidRPr="009F44A4" w:rsidRDefault="00CE59DA" w:rsidP="00DC7281">
      <w:pPr>
        <w:shd w:val="clear" w:color="auto" w:fill="FFFFFF" w:themeFill="background1"/>
        <w:spacing w:line="360" w:lineRule="auto"/>
        <w:rPr>
          <w:rFonts w:ascii="Times New Roman" w:hAnsi="Times New Roman" w:cs="Times New Roman"/>
          <w:color w:val="000000" w:themeColor="text1"/>
          <w:sz w:val="20"/>
          <w:szCs w:val="20"/>
        </w:rPr>
      </w:pPr>
    </w:p>
    <w:p w14:paraId="045FA4A9" w14:textId="77777777"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b/>
          <w:bCs/>
          <w:color w:val="000000" w:themeColor="text1"/>
          <w:sz w:val="20"/>
          <w:szCs w:val="20"/>
          <w:shd w:val="clear" w:color="auto" w:fill="FFFFFF"/>
        </w:rPr>
        <w:t>14.2 Mechanisms of ADE (Antibody Dependent Enhancement of Coronavirus)</w:t>
      </w:r>
    </w:p>
    <w:p w14:paraId="643C8D75" w14:textId="08E82F2F"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 xml:space="preserve">ADE can be triggered by a number of different molecular pathways. According to one concept, the complex of antibody/Fc-receptor mimics viral receptors in function, allowing some phagocytic cells to engage in expanded host cell </w:t>
      </w:r>
      <w:proofErr w:type="spellStart"/>
      <w:r w:rsidRPr="009F44A4">
        <w:rPr>
          <w:color w:val="000000" w:themeColor="text1"/>
          <w:sz w:val="20"/>
          <w:szCs w:val="20"/>
          <w:shd w:val="clear" w:color="auto" w:fill="FFFFFF"/>
        </w:rPr>
        <w:t>trophism</w:t>
      </w:r>
      <w:proofErr w:type="spellEnd"/>
      <w:r w:rsidR="009211CB" w:rsidRPr="009F44A4">
        <w:rPr>
          <w:color w:val="000000" w:themeColor="text1"/>
          <w:sz w:val="20"/>
          <w:szCs w:val="20"/>
          <w:shd w:val="clear" w:color="auto" w:fill="FFFFFF"/>
        </w:rPr>
        <w:t xml:space="preserve"> </w:t>
      </w:r>
      <w:r w:rsidR="009211CB"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{"citationID":"RuMYj4PZ","properties":{"formattedCitation":"\\super 193\\nosupersub{}","plainCitation":"193","noteIndex":0},"citationItems":[{"id":1455,"uris":["http://zotero.org/users/local/ZR048J0w/items/6HQ674NS"],"uri":["http://zotero.org/users/local/ZR048J0w/items/6HQ674NS"],"itemData":{"id":1455,"type":"article-journal","abstract":"Antibody-dependent enhancement (ADE) of viral entry has been a major concern for epidemiology, vaccine development, and antibody-based drug therapy. However, the molecular mechanism behind ADE is still elusive. Coronavirus spike protein mediates viral entry into cells by first binding to a receptor on the host cell surface and then fusing viral and host membranes. In this study, we investigated how a neutralizing monoclonal antibody (MAb), which targets the receptor-binding domain (RBD) of Middle East respiratory syndrome (MERS) coronavirus spike, mediates viral entry using pseudovirus entry and biochemical assays. Our results showed that MAb binds to the virus surface spike, allowing it to undergo conformational changes and become prone to proteolytic activation. Meanwhile, MAb binds to cell surface IgG Fc receptor, guiding viral entry through canonical viral-receptor-dependent pathways. Our data suggest that the antibody/Fc-receptor complex functionally mimics viral receptor in mediating viral entry. Moreover, we characterized MAb dosages in viral-receptor-dependent, Fc-receptor-dependent, and both-receptors-dependent viral entry pathways, delineating guidelines on MAb usages in treating viral infections. Our study reveals a novel molecular mechanism for antibody-enhanced viral entry and can guide future vaccination and antiviral strategies.\nIMPORTANCE Antibody-dependent enhancement (ADE) of viral entry has been observed for many viruses. It was shown that antibodies target one serotype of viruses but only subneutralize another, leading to ADE of the latter viruses. Here we identify a novel mechanism for ADE: a neutralizing antibody binds to the surface spike protein of coronaviruses like a viral receptor, triggers a conformational change of the spike, and mediates viral entry into IgG Fc receptor-expressing cells through canonical viral-receptor-dependent pathways. We further evaluated how antibody dosages impacted viral entry into cells expressing viral receptor, Fc receptor, or both receptors. This study reveals complex roles of antibodies in viral entry and can guide future vaccine design and antibody-based drug therapy.","container-title":"Journal of Virology","DOI":"10.1128/JVI.02015-19","issue":"5","note":"publisher: American Society for Microbiology","page":"e02015-19","source":"journals.asm.org (Atypon)","title":"Molecular Mechanism for Antibody-Dependent Enhancement of Coronavirus Entry","volume":"94","author":[{"family":"Wan","given":"Yushun"},{"family":"Shang","given":"Jian"},{"family":"Sun","given":"Shihui"},{"family":"Tai","given":"Wanbo"},{"family":"Chen","given":"Jing"},{"family":"Geng","given":"Qibin"},{"family":"He","given":"Lei"},{"family":"Chen","given":"Yuehong"},{"family":"Wu","given":"Jianming"},{"family":"Shi","given":"Zhengli"},{"family":"Zhou","given":"Yusen"},{"family":"Du","given":"Lanying"},{"family":"Li","given":"Fang"}],"issued":{"date-parts":[["2020",2,14]]}}}],"schema":"https://github.com/citation-style-language/schema/raw/master/csl-citation.json"} </w:instrText>
      </w:r>
      <w:r w:rsidR="009211CB" w:rsidRPr="009F44A4">
        <w:rPr>
          <w:color w:val="000000" w:themeColor="text1"/>
          <w:sz w:val="20"/>
          <w:szCs w:val="20"/>
          <w:shd w:val="clear" w:color="auto" w:fill="FFFFFF"/>
        </w:rPr>
        <w:fldChar w:fldCharType="separate"/>
      </w:r>
      <w:r w:rsidR="00236558" w:rsidRPr="00236558">
        <w:rPr>
          <w:sz w:val="20"/>
          <w:vertAlign w:val="superscript"/>
        </w:rPr>
        <w:t>193</w:t>
      </w:r>
      <w:r w:rsidR="009211CB" w:rsidRPr="009F44A4">
        <w:rPr>
          <w:color w:val="000000" w:themeColor="text1"/>
          <w:sz w:val="20"/>
          <w:szCs w:val="20"/>
          <w:shd w:val="clear" w:color="auto" w:fill="FFFFFF"/>
        </w:rPr>
        <w:fldChar w:fldCharType="end"/>
      </w:r>
      <w:r w:rsidR="009211CB"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Wan et al. show that antibody dose has an effect on whether a virus promotes disease or suppresses it. Antibodies to one virus strain are reported to be sub-neutralizing or non-neutralizing for viral infections of other variants </w:t>
      </w:r>
      <w:r w:rsidR="009211CB"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{"citationID":"tfbUzx6v","properties":{"formattedCitation":"\\super 182,194,195\\nosupersub{}","plainCitation":"182,194,195","noteIndex":0},"citationItems":[{"id":1420,"uris":["http://zotero.org/users/local/ZR048J0w/items/53HVHWSR"],"uri":["http://zotero.org/users/local/ZR048J0w/items/53HVHWSR"],"itemData":{"id":1420,"type":"article-journal","abstract":"Dengue virus co-circulates as four serotypes, and sequential infections with more than one serotype are common. One hypothesis for the increased severity seen in secondary infections is antibody-dependent enhancement (ADE) leading to increased replication in Fc receptor-bearing cells. In this study, we have generated a panel of human monoclonal antibodies to dengue virus. Antibodies to the structural precursor-membrane protein (prM) form a major component of the response. These antibodies are highly cross-reactive among the dengue virus serotypes and, even at high concentrations, do not neutralize infection but potently promote ADE. We propose that the partial cleavage of prM from the viral surface reduces the density of antigen available for viral neutralization, leaving dengue viruses susceptible to ADE by antibody to prM, a finding that has implications for future vaccine design.","container-title":"Science (New York, N.Y.)","DOI":"10.1126/science.1185181","ISSN":"1095-9203","issue":"5979","journalAbbreviation":"Science","language":"eng","note":"PMID: 20448183\nPMCID: PMC3837288","page":"745-748","source":"Europe PMC","title":"Cross-reacting antibodies enhance dengue virus infection in humans","volume":"328","author":[{"family":"Dejnirattisai","given":"Wanwisa"},{"family":"Jumnainsong","given":"Amonrat"},{"family":"Onsirisakul","given":"Naruthai"},{"family":"Fitton","given":"Patricia"},{"family":"Vasanawathana","given":"Sirijitt"},{"family":"Limpitikul","given":"Wannee"},{"family":"Puttikhunt","given":"Chunya"},{"family":"Edwards","given":"Carolyn"},{"family":"Duangchinda","given":"Thaneeya"},{"family":"Supasa","given":"Sunpetchuda"},{"family":"Chawansuntati","given":"Kriangkrai"},{"family":"Malasit","given":"Prida"},{"family":"Mongkolsapaya","given":"Juthathip"},{"family":"Screaton","given":"Gavin"}],"issued":{"date-parts":[["2010",5,1]]}}},{"id":1457,"uris":["http://zotero.org/users/local/ZR048J0w/items/CCGU8ZIF"],"uri":["http://zotero.org/users/local/ZR048J0w/items/CCGU8ZIF"],"itemData":{"id":1457,"type":"article-journal","abstract":"Severity of disease is markedly increased when infection with dengue virus type 2 follows infection with dengue virus type 2 by an interval of 20 years., Severity of disease is markedly increased when infection with dengue virus type 2 (DENV-2) follows infection with DENV-1. Studies have shown that heterologous neutralizing antibody titers are inversely correlated with severity of a second infection. If this mechanism controlled disease severity in Cuba, heterotypic antibody titers should have declined over time. To determine whether phenotypic changes in dengue antibodies occur over time, we analyzed serum samples collected 4–8 and 20–22 years after DENV-1 infection. We found a significant increase in mean titer of homologous DENV-1 neutralizing antibodies and a significant decrease in heterologous antibodies to 1 of 2 genotypes of DENV-2 virus (the American genotype). Asian DENV-2 viruses were not neutralized during either interval; however, the American genotype underwent phenotypic changes in heterotypic viral neutralizing antibodies in the predicted direction. This finding may be related to the time-dependent changes in severity of disease found with secondary dengue infection.","container-title":"Emerging Infectious Diseases","DOI":"10.3201/eid1302.060539","ISSN":"1080-6040","issue":"2","journalAbbreviation":"Emerg Infect Dis","note":"PMID: 17479892\nPMCID: PMC2725871","page":"282-286","source":"PubMed Central","title":"Neutralizing Antibodies after Infection with Dengue 1 Virus","volume":"13","author":[{"family":"Guzman","given":"Maria G."},{"family":"Alvarez","given":"Mayling"},{"family":"Rodriguez-Roche","given":"Rosmari"},{"family":"Bernardo","given":"Lídice"},{"family":"Montes","given":"Tibaire"},{"family":"Vazquez","given":"Susana"},{"family":"Morier","given":"Luis"},{"family":"Alvarez","given":"Angel"},{"family":"Gould","given":"Ernest A"},{"family":"Kourí","given":"Gustavo"},{"family":"Halstead","given":"Scott B"}],"issued":{"date-parts":[["2007",2]]}}},{"id":1460,"uris":["http://zotero.org/users/local/ZR048J0w/items/ZVQQT6N5"],"uri":["http://zotero.org/users/local/ZR048J0w/items/ZVQQT6N5"],"itemData":{"id":1460,"type":"article-journal","abstract":"For dengue viruses 1 to 4 (DENV1-4), a specific range of antibody titer has been shown to enhance viral replication in vitro and severe disease in animal models. Although suspected, such antibody-dependent enhancement of severe disease has not been shown to occur in humans. Using multiple statistical approaches to study a long-term pediatric cohort in Nicaragua, we show that risk of severe dengue disease is highest within a narrow range of preexisting anti-DENV antibody titers. By contrast, we observe protection from all symptomatic dengue disease at high antibody titers. Thus, immune correlates of severe dengue must be evaluated separately from correlates of protection against symptomatic disease. These results have implications for studies of dengue pathogenesis and for vaccine development, because enhancement, not just lack of protection, is of concern.","container-title":"Science","DOI":"10.1126/science.aan6836","issue":"6365","note":"publisher: American Association for the Advancement of Science","page":"929-932","source":"science.org (Atypon)","title":"Antibody-dependent enhancement of severe dengue disease in humans","volume":"358","author":[{"family":"Katzelnick","given":"Leah C."},{"family":"Gresh","given":"Lionel"},{"family":"Halloran","given":"M. Elizabeth"},{"family":"Mercado","given":"Juan Carlos"},{"family":"Kuan","given":"Guillermina"},{"family":"Gordon","given":"Aubree"},{"family":"Balmaseda","given":"Angel"},{"family":"Harris","given":"Eva"}],"issued":{"date-parts":[["2017",11,17]]}}}],"schema":"https://github.com/citation-style-language/schema/raw/master/csl-citation.json"} </w:instrText>
      </w:r>
      <w:r w:rsidR="009211CB" w:rsidRPr="009F44A4">
        <w:rPr>
          <w:color w:val="000000" w:themeColor="text1"/>
          <w:sz w:val="20"/>
          <w:szCs w:val="20"/>
          <w:shd w:val="clear" w:color="auto" w:fill="FFFFFF"/>
        </w:rPr>
        <w:fldChar w:fldCharType="separate"/>
      </w:r>
      <w:r w:rsidR="00236558" w:rsidRPr="00236558">
        <w:rPr>
          <w:sz w:val="20"/>
          <w:vertAlign w:val="superscript"/>
        </w:rPr>
        <w:t>182,194,195</w:t>
      </w:r>
      <w:r w:rsidR="009211CB" w:rsidRPr="009F44A4">
        <w:rPr>
          <w:color w:val="000000" w:themeColor="text1"/>
          <w:sz w:val="20"/>
          <w:szCs w:val="20"/>
          <w:shd w:val="clear" w:color="auto" w:fill="FFFFFF"/>
        </w:rPr>
        <w:fldChar w:fldCharType="end"/>
      </w:r>
      <w:r w:rsidR="009211CB"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Infected cells expressing Fc-gamma were shown to be infected with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-1</w:t>
      </w:r>
      <w:r w:rsidR="007E5091" w:rsidRPr="009F44A4">
        <w:rPr>
          <w:color w:val="000000" w:themeColor="text1"/>
          <w:sz w:val="20"/>
          <w:szCs w:val="20"/>
          <w:shd w:val="clear" w:color="auto" w:fill="FFFFFF"/>
        </w:rPr>
        <w:t xml:space="preserve"> </w:t>
      </w:r>
      <w:r w:rsidR="007E5091"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{"citationID":"2b6IfpZ3","properties":{"formattedCitation":"\\super 196\\nosupersub{}","plainCitation":"196","noteIndex":0},"citationItems":[{"id":1462,"uris":["http://zotero.org/users/local/ZR048J0w/items/V236C2IY"],"uri":["http://zotero.org/users/local/ZR048J0w/items/V236C2IY"],"itemData":{"id":1462,"type":"article-journal","container-title":"Journal of Virus Eradication","DOI":"10.1016/S2055-6640(20)31216-4","ISSN":"2055-6640","journalAbbreviation":"J Virus Erad","note":"PMID: null\nPMCID: PMC7377703","page":"48","source":"PubMed Central","title":"SARS coronavirus has antibody-dependent enhancement (ADE) effect through the autologous antibodies against envelope spikes on Fcγ receptor expressing cells","volume":"2","author":[{"family":"Yeh","given":"Chun-Sheng"},{"family":"Yang","given":"Jyh-Yuan"},{"family":"Liu","given":"Wu-Tse"},{"family":"Huang","given":"Jason C."},{"family":"Chen","given":"Yi-Ming Arthur"},{"family":"Wang","given":"Sheng-Fan"}],"issued":{"date-parts":[["2016",5]]}}}],"schema":"https://github.com/citation-style-language/schema/raw/master/csl-citation.json"} </w:instrText>
      </w:r>
      <w:r w:rsidR="007E5091" w:rsidRPr="009F44A4">
        <w:rPr>
          <w:color w:val="000000" w:themeColor="text1"/>
          <w:sz w:val="20"/>
          <w:szCs w:val="20"/>
          <w:shd w:val="clear" w:color="auto" w:fill="FFFFFF"/>
        </w:rPr>
        <w:fldChar w:fldCharType="separate"/>
      </w:r>
      <w:r w:rsidR="00236558" w:rsidRPr="00236558">
        <w:rPr>
          <w:sz w:val="20"/>
          <w:vertAlign w:val="superscript"/>
        </w:rPr>
        <w:t>196</w:t>
      </w:r>
      <w:r w:rsidR="007E5091" w:rsidRPr="009F44A4">
        <w:rPr>
          <w:color w:val="000000" w:themeColor="text1"/>
          <w:sz w:val="20"/>
          <w:szCs w:val="20"/>
          <w:shd w:val="clear" w:color="auto" w:fill="FFFFFF"/>
        </w:rPr>
        <w:fldChar w:fldCharType="end"/>
      </w:r>
      <w:r w:rsidR="007E5091"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A case of ADE was detected in a patient who had a second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infection</w:t>
      </w:r>
      <w:r w:rsidR="0005713A" w:rsidRPr="009F44A4">
        <w:rPr>
          <w:color w:val="000000" w:themeColor="text1"/>
          <w:sz w:val="20"/>
          <w:szCs w:val="20"/>
          <w:shd w:val="clear" w:color="auto" w:fill="FFFFFF"/>
        </w:rPr>
        <w:t xml:space="preserve"> </w:t>
      </w:r>
      <w:r w:rsidR="0005713A"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{"citationID":"Wr5J1CSU","properties":{"formattedCitation":"\\super 197\\nosupersub{}","plainCitation":"197","noteIndex":0},"citationItems":[{"id":1465,"uris":["http://zotero.org/users/local/ZR048J0w/items/Y7IH9A7B"],"uri":["http://zotero.org/users/local/ZR048J0w/items/Y7IH9A7B"],"itemData":{"id":1465,"type":"article-journal","container-title":"The Lancet Infectious Diseases","DOI":"10.1016/S1473-3099(20)30764-7","ISSN":"1473-3099, 1474-4457","issue":"1","journalAbbreviation":"The Lancet Infectious Diseases","language":"English","note":"publisher: Elsevier\nPMID: 33058797","page":"52-58","source":"www.thelancet.com","title":"Genomic evidence for reinfection with SARS-CoV-2: a case study","title-short":"Genomic evidence for reinfection with SARS-CoV-2","volume":"21","author":[{"family":"Tillett","given":"Richard L."},{"family":"Sevinsky","given":"Joel R."},{"family":"Hartley","given":"Paul D."},{"family":"Kerwin","given":"Heather"},{"family":"Crawford","given":"Natalie"},{"family":"Gorzalski","given":"Andrew"},{"family":"Laverdure","given":"Chris"},{"family":"Verma","given":"Subhash C."},{"family":"Rossetto","given":"Cyprian C."},{"family":"Jackson","given":"David"},{"family":"Farrell","given":"Megan J."},{"family":"Hooser","given":"Stephanie Van"},{"family":"Pandori","given":"Mark"}],"issued":{"date-parts":[["2021",1,1]]}}}],"schema":"https://github.com/citation-style-language/schema/raw/master/csl-citation.json"} </w:instrText>
      </w:r>
      <w:r w:rsidR="0005713A" w:rsidRPr="009F44A4">
        <w:rPr>
          <w:color w:val="000000" w:themeColor="text1"/>
          <w:sz w:val="20"/>
          <w:szCs w:val="20"/>
          <w:shd w:val="clear" w:color="auto" w:fill="FFFFFF"/>
        </w:rPr>
        <w:fldChar w:fldCharType="separate"/>
      </w:r>
      <w:r w:rsidR="00236558" w:rsidRPr="00236558">
        <w:rPr>
          <w:sz w:val="20"/>
          <w:vertAlign w:val="superscript"/>
        </w:rPr>
        <w:t>197</w:t>
      </w:r>
      <w:r w:rsidR="0005713A" w:rsidRPr="009F44A4">
        <w:rPr>
          <w:color w:val="000000" w:themeColor="text1"/>
          <w:sz w:val="20"/>
          <w:szCs w:val="20"/>
          <w:shd w:val="clear" w:color="auto" w:fill="FFFFFF"/>
        </w:rPr>
        <w:fldChar w:fldCharType="end"/>
      </w:r>
      <w:r w:rsidR="0005713A"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ADE has been demonstrated to arise in viral infections via two different ways: </w:t>
      </w:r>
      <w:proofErr w:type="spellStart"/>
      <w:r w:rsidRPr="009F44A4">
        <w:rPr>
          <w:color w:val="000000" w:themeColor="text1"/>
          <w:sz w:val="20"/>
          <w:szCs w:val="20"/>
          <w:shd w:val="clear" w:color="auto" w:fill="FFFFFF"/>
        </w:rPr>
        <w:t>FcR</w:t>
      </w:r>
      <w:proofErr w:type="spellEnd"/>
      <w:r w:rsidRPr="009F44A4">
        <w:rPr>
          <w:color w:val="000000" w:themeColor="text1"/>
          <w:sz w:val="20"/>
          <w:szCs w:val="20"/>
          <w:shd w:val="clear" w:color="auto" w:fill="FFFFFF"/>
        </w:rPr>
        <w:t xml:space="preserve">-mediated ADE is the first mechanism. </w:t>
      </w:r>
      <w:proofErr w:type="spellStart"/>
      <w:r w:rsidRPr="009F44A4">
        <w:rPr>
          <w:color w:val="000000" w:themeColor="text1"/>
          <w:sz w:val="20"/>
          <w:szCs w:val="20"/>
          <w:shd w:val="clear" w:color="auto" w:fill="FFFFFF"/>
        </w:rPr>
        <w:t>FcRs</w:t>
      </w:r>
      <w:proofErr w:type="spellEnd"/>
      <w:r w:rsidRPr="009F44A4">
        <w:rPr>
          <w:color w:val="000000" w:themeColor="text1"/>
          <w:sz w:val="20"/>
          <w:szCs w:val="20"/>
          <w:shd w:val="clear" w:color="auto" w:fill="FFFFFF"/>
        </w:rPr>
        <w:t xml:space="preserve"> are receptors that target the Fc regions of antibodies and mostly found on immune cells. Enhanced antibody-mediated virus intake into Fc gamma receptor </w:t>
      </w:r>
      <w:proofErr w:type="spellStart"/>
      <w:r w:rsidRPr="009F44A4">
        <w:rPr>
          <w:color w:val="000000" w:themeColor="text1"/>
          <w:sz w:val="20"/>
          <w:szCs w:val="20"/>
          <w:shd w:val="clear" w:color="auto" w:fill="FFFFFF"/>
        </w:rPr>
        <w:t>IIa</w:t>
      </w:r>
      <w:proofErr w:type="spellEnd"/>
      <w:r w:rsidRPr="009F44A4">
        <w:rPr>
          <w:color w:val="000000" w:themeColor="text1"/>
          <w:sz w:val="20"/>
          <w:szCs w:val="20"/>
          <w:shd w:val="clear" w:color="auto" w:fill="FFFFFF"/>
        </w:rPr>
        <w:t xml:space="preserve"> (</w:t>
      </w:r>
      <w:proofErr w:type="spellStart"/>
      <w:r w:rsidRPr="009F44A4">
        <w:rPr>
          <w:color w:val="000000" w:themeColor="text1"/>
          <w:sz w:val="20"/>
          <w:szCs w:val="20"/>
          <w:shd w:val="clear" w:color="auto" w:fill="FFFFFF"/>
        </w:rPr>
        <w:t>FcRIIa</w:t>
      </w:r>
      <w:proofErr w:type="spellEnd"/>
      <w:r w:rsidRPr="009F44A4">
        <w:rPr>
          <w:color w:val="000000" w:themeColor="text1"/>
          <w:sz w:val="20"/>
          <w:szCs w:val="20"/>
          <w:shd w:val="clear" w:color="auto" w:fill="FFFFFF"/>
        </w:rPr>
        <w:t>)-expressing phagocytic cells leads to an increased viral infection and replication or increased antibody Fc-mediated effector activities or immune complex creation; thereby resulting in increased inflammation and immunopathology.</w:t>
      </w:r>
    </w:p>
    <w:p w14:paraId="020BA5D6" w14:textId="77777777" w:rsidR="00CE59DA" w:rsidRPr="009F44A4" w:rsidRDefault="00CE59DA" w:rsidP="00DC7281">
      <w:pPr>
        <w:shd w:val="clear" w:color="auto" w:fill="FFFFFF" w:themeFill="background1"/>
        <w:spacing w:line="360" w:lineRule="auto"/>
        <w:rPr>
          <w:rFonts w:ascii="Times New Roman" w:hAnsi="Times New Roman" w:cs="Times New Roman"/>
          <w:color w:val="000000" w:themeColor="text1"/>
          <w:sz w:val="20"/>
          <w:szCs w:val="20"/>
        </w:rPr>
      </w:pPr>
    </w:p>
    <w:p w14:paraId="13E5BE8A" w14:textId="364EDAAA"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lastRenderedPageBreak/>
        <w:t xml:space="preserve">Both ADE processes can happen when non-neutralizing antibodies or antibodies with sub-neutralizing levels latch to viral antigens without suppressing or clearing infection. In vitro assays (more frequently performed for the first mechanism, which involves </w:t>
      </w:r>
      <w:proofErr w:type="spellStart"/>
      <w:r w:rsidRPr="009F44A4">
        <w:rPr>
          <w:color w:val="000000" w:themeColor="text1"/>
          <w:sz w:val="20"/>
          <w:szCs w:val="20"/>
          <w:shd w:val="clear" w:color="auto" w:fill="FFFFFF"/>
        </w:rPr>
        <w:t>FcRIIa</w:t>
      </w:r>
      <w:proofErr w:type="spellEnd"/>
      <w:r w:rsidRPr="009F44A4">
        <w:rPr>
          <w:color w:val="000000" w:themeColor="text1"/>
          <w:sz w:val="20"/>
          <w:szCs w:val="20"/>
          <w:shd w:val="clear" w:color="auto" w:fill="FFFFFF"/>
        </w:rPr>
        <w:t>-mediated enhancement of infection in phagocytes), immunopathology, or pulmonary pathology can all be used to detect ADE. For macrophage-tropic viruses such as dengue virus in humans</w:t>
      </w:r>
      <w:r w:rsidR="001754D8" w:rsidRPr="009F44A4">
        <w:rPr>
          <w:color w:val="000000" w:themeColor="text1"/>
          <w:sz w:val="20"/>
          <w:szCs w:val="20"/>
          <w:shd w:val="clear" w:color="auto" w:fill="FFFFFF"/>
        </w:rPr>
        <w:t xml:space="preserve"> </w:t>
      </w:r>
      <w:r w:rsidR="001754D8"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{"citationID":"CcZraz6F","properties":{"formattedCitation":"\\super 198\\nosupersub{}","plainCitation":"198","noteIndex":0},"citationItems":[{"id":1468,"uris":["http://zotero.org/users/local/ZR048J0w/items/TIAJ9ZZZ"],"uri":["http://zotero.org/users/local/ZR048J0w/items/TIAJ9ZZZ"],"itemData":{"id":1468,"type":"article-journal","abstract":"Cultured mononuclear peripheral blood leukocytes (PBL) from nonimmune human beings and monkeys are nonpermissive to dengue 2 virus (D2V) infection at multiplicities of infection of 0.001-0.1, but become permissive when non-neutralizing dengue antibody is added to medium. D2V infection occurred in PBL prepared from anti-coagulated but not from defibrinated plasma. Infection enhancement was produced by multiple lots of heterotypic anti-dengue raised in several mammalian species. Homotypic anti-dengue neutralized D2V at high concentrations but enhanced at low concentrations; enhancement end point in one serum was 1:320,000. The infection-enhancing factor was a noncytophilic antibody of the IgG class. D2V infection occurred in the absence of heat-labile complement components but did not occur when complexes were prepared with anti- dengue F(ab)(2). Treatment of PBL with several proteases increased permissiveness to D2V infection by immune complexes but not by virus alone. Two rhesus monkey serums collected 14 days after D2V infection contained an IgG antibody with high-titered enhancing activity but with no hemagglutination-inhibition or neutralizing activity. Virus-antibody complexes are irreversibly attached to PBL within 15 min and completely internalized in 60 min. There was considerable variation in cellular infection in different experiments, however, maximum virus yields usually exceeded 1,000 plaque-forming units per 1 x 10(6) PBL occurring between 2 and 4 days in culture. In vitro antibody-dependent infection of PBL provides a possible model for study of pathogenetic mechanisms in infants with dengue shock syndrome who passively acquire maternal anti-dengue IgG.","container-title":"The Journal of Experimental Medicine","DOI":"10.1084/jem.146.1.201","ISSN":"0022-1007","issue":"1","journalAbbreviation":"J Exp Med","language":"eng","note":"PMID: 406347\nPMCID: PMC2180729","page":"201-217","source":"PubMed","title":"Dengue viruses and mononuclear phagocytes. I. Infection enhancement by non-neutralizing antibody","volume":"146","author":[{"family":"Halstead","given":"S. B."},{"family":"O'Rourke","given":"E. J."}],"issued":{"date-parts":[["1977",7,1]]}}}],"schema":"https://github.com/citation-style-language/schema/raw/master/csl-citation.json"} </w:instrText>
      </w:r>
      <w:r w:rsidR="001754D8" w:rsidRPr="009F44A4">
        <w:rPr>
          <w:color w:val="000000" w:themeColor="text1"/>
          <w:sz w:val="20"/>
          <w:szCs w:val="20"/>
          <w:shd w:val="clear" w:color="auto" w:fill="FFFFFF"/>
        </w:rPr>
        <w:fldChar w:fldCharType="separate"/>
      </w:r>
      <w:r w:rsidR="00236558" w:rsidRPr="00236558">
        <w:rPr>
          <w:sz w:val="20"/>
          <w:vertAlign w:val="superscript"/>
        </w:rPr>
        <w:t>198</w:t>
      </w:r>
      <w:r w:rsidR="001754D8"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and FIPV in cats</w:t>
      </w:r>
      <w:r w:rsidR="006F7C04" w:rsidRPr="009F44A4">
        <w:rPr>
          <w:color w:val="000000" w:themeColor="text1"/>
          <w:sz w:val="20"/>
          <w:szCs w:val="20"/>
          <w:shd w:val="clear" w:color="auto" w:fill="FFFFFF"/>
        </w:rPr>
        <w:t xml:space="preserve"> </w:t>
      </w:r>
      <w:r w:rsidR="006F7C04"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{"citationID":"asDFLGsr","properties":{"formattedCitation":"\\super 184\\nosupersub{}","plainCitation":"184","noteIndex":0},"citationItems":[{"id":1425,"uris":["http://zotero.org/users/local/ZR048J0w/items/5TCPYMLX"],"uri":["http://zotero.org/users/local/ZR048J0w/items/5TCPYMLX"],"itemData":{"id":1425,"type":"article-journal","abstract":"Infection of the type II feline infectious peritonitis virus (FIPV) strain 79-1146 to primary feline alveolar macrophages and human monocyte cell line U937 was enhanced by the sera of cats experimentally infected with the 79-1146 strain, but not those of cats infected with KU-2 or UCD-1 strain of type I FIPV. The experiments using sera of cats with feline infectious peritonitis (FIP) and of cats naturally infected with feline coronavirus (FCoV) revealed that infection of the FIPV 79-1146 strain to the U937 cells was enhanced only by the sera of cats infected with type II FIPV or feline enteric coronavirus. The samples positive for antibody-dependent enhancement (ADE) activity had high neutralizing antibody titers against the FIPV 79-1146 strain and the samples negative for ADE activity had low neutralizing antibody titers. These findings support the previous results where a monoclonal antibody with neutralizing activity had high ADE activity, suggesting that there was a close relationship between the neutralization and enhancement sites. And then it is also suggested that ADE of infection is likely to be induced by re-infection with the same serotype of virus in type II FIPV infection. Furthermore, U937 cells are considered useful and can be substituted for the feline macrophages for determining ADE of FIPV-infection.","container-title":"The Journal of Veterinary Medical Science","DOI":"10.1292/jvms.60.49","ISSN":"0916-7250","issue":"1","journalAbbreviation":"J Vet Med Sci","language":"eng","note":"PMID: 9492360","page":"49-55","source":"PubMed","title":"Antibody-dependent enhancement of feline infectious peritonitis virus infection in feline alveolar macrophages and human monocyte cell line U937 by serum of cats experimentally or naturally infected with feline coronavirus","volume":"60","author":[{"family":"Hohdatsu","given":"T."},{"family":"Yamada","given":"M."},{"family":"Tominaga","given":"R."},{"family":"Makino","given":"K."},{"family":"Kida","given":"K."},{"family":"Koyama","given":"H."}],"issued":{"date-parts":[["1998",1]]}}}],"schema":"https://github.com/citation-style-language/schema/raw/master/csl-citation.json"} </w:instrText>
      </w:r>
      <w:r w:rsidR="006F7C04" w:rsidRPr="009F44A4">
        <w:rPr>
          <w:color w:val="000000" w:themeColor="text1"/>
          <w:sz w:val="20"/>
          <w:szCs w:val="20"/>
          <w:shd w:val="clear" w:color="auto" w:fill="FFFFFF"/>
        </w:rPr>
        <w:fldChar w:fldCharType="separate"/>
      </w:r>
      <w:r w:rsidR="00236558" w:rsidRPr="00236558">
        <w:rPr>
          <w:sz w:val="20"/>
          <w:vertAlign w:val="superscript"/>
        </w:rPr>
        <w:t>184</w:t>
      </w:r>
      <w:r w:rsidR="006F7C04"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ADE via </w:t>
      </w:r>
      <w:proofErr w:type="spellStart"/>
      <w:r w:rsidRPr="009F44A4">
        <w:rPr>
          <w:color w:val="000000" w:themeColor="text1"/>
          <w:sz w:val="20"/>
          <w:szCs w:val="20"/>
          <w:shd w:val="clear" w:color="auto" w:fill="FFFFFF"/>
        </w:rPr>
        <w:t>FcRIIa</w:t>
      </w:r>
      <w:proofErr w:type="spellEnd"/>
      <w:r w:rsidRPr="009F44A4">
        <w:rPr>
          <w:color w:val="000000" w:themeColor="text1"/>
          <w:sz w:val="20"/>
          <w:szCs w:val="20"/>
          <w:shd w:val="clear" w:color="auto" w:fill="FFFFFF"/>
        </w:rPr>
        <w:t xml:space="preserve">-mediated endocytosis into phagocytic cells has been reported and intensively studied in vitro. Non-neutralizing antibodies or binding antibodies bind to the surface of the virus and transport </w:t>
      </w:r>
      <w:proofErr w:type="spellStart"/>
      <w:r w:rsidRPr="009F44A4">
        <w:rPr>
          <w:color w:val="000000" w:themeColor="text1"/>
          <w:sz w:val="20"/>
          <w:szCs w:val="20"/>
          <w:shd w:val="clear" w:color="auto" w:fill="FFFFFF"/>
        </w:rPr>
        <w:t>virions</w:t>
      </w:r>
      <w:proofErr w:type="spellEnd"/>
      <w:r w:rsidRPr="009F44A4">
        <w:rPr>
          <w:color w:val="000000" w:themeColor="text1"/>
          <w:sz w:val="20"/>
          <w:szCs w:val="20"/>
          <w:shd w:val="clear" w:color="auto" w:fill="FFFFFF"/>
        </w:rPr>
        <w:t xml:space="preserve"> to macrophages, which uptake the </w:t>
      </w:r>
      <w:proofErr w:type="spellStart"/>
      <w:r w:rsidRPr="009F44A4">
        <w:rPr>
          <w:color w:val="000000" w:themeColor="text1"/>
          <w:sz w:val="20"/>
          <w:szCs w:val="20"/>
          <w:shd w:val="clear" w:color="auto" w:fill="FFFFFF"/>
        </w:rPr>
        <w:t>virions</w:t>
      </w:r>
      <w:proofErr w:type="spellEnd"/>
      <w:r w:rsidRPr="009F44A4">
        <w:rPr>
          <w:color w:val="000000" w:themeColor="text1"/>
          <w:sz w:val="20"/>
          <w:szCs w:val="20"/>
          <w:shd w:val="clear" w:color="auto" w:fill="FFFFFF"/>
        </w:rPr>
        <w:t xml:space="preserve"> and get infected. According to a recent dengue vaccine trial, because many antibodies against different dengue serotypes are cross-reactive but non-neutralizing, repeated infections with heterologous strains can result in increased viral multiplication and more severe disease, offering considerable safety risks</w:t>
      </w:r>
      <w:r w:rsidR="00FE7C64" w:rsidRPr="009F44A4">
        <w:rPr>
          <w:color w:val="000000" w:themeColor="text1"/>
          <w:sz w:val="20"/>
          <w:szCs w:val="20"/>
          <w:shd w:val="clear" w:color="auto" w:fill="FFFFFF"/>
        </w:rPr>
        <w:t xml:space="preserve"> </w:t>
      </w:r>
      <w:r w:rsidR="00FE7C64"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{"citationID":"z5J1oENT","properties":{"formattedCitation":"\\super 182,183\\nosupersub{}","plainCitation":"182,183","noteIndex":0},"citationItems":[{"id":1420,"uris":["http://zotero.org/users/local/ZR048J0w/items/53HVHWSR"],"uri":["http://zotero.org/users/local/ZR048J0w/items/53HVHWSR"],"itemData":{"id":1420,"type":"article-journal","abstract":"Dengue virus co-circulates as four serotypes, and sequential infections with more than one serotype are common. One hypothesis for the increased severity seen in secondary infections is antibody-dependent enhancement (ADE) leading to increased replication in Fc receptor-bearing cells. In this study, we have generated a panel of human monoclonal antibodies to dengue virus. Antibodies to the structural precursor-membrane protein (prM) form a major component of the response. These antibodies are highly cross-reactive among the dengue virus serotypes and, even at high concentrations, do not neutralize infection but potently promote ADE. We propose that the partial cleavage of prM from the viral surface reduces the density of antigen available for viral neutralization, leaving dengue viruses susceptible to ADE by antibody to prM, a finding that has implications for future vaccine design.","container-title":"Science (New York, N.Y.)","DOI":"10.1126/science.1185181","ISSN":"1095-9203","issue":"5979","journalAbbreviation":"Science","language":"eng","note":"PMID: 20448183\nPMCID: PMC3837288","page":"745-748","source":"Europe PMC","title":"Cross-reacting antibodies enhance dengue virus infection in humans","volume":"328","author":[{"family":"Dejnirattisai","given":"Wanwisa"},{"family":"Jumnainsong","given":"Amonrat"},{"family":"Onsirisakul","given":"Naruthai"},{"family":"Fitton","given":"Patricia"},{"family":"Vasanawathana","given":"Sirijitt"},{"family":"Limpitikul","given":"Wannee"},{"family":"Puttikhunt","given":"Chunya"},{"family":"Edwards","given":"Carolyn"},{"family":"Duangchinda","given":"Thaneeya"},{"family":"Supasa","given":"Sunpetchuda"},{"family":"Chawansuntati","given":"Kriangkrai"},{"family":"Malasit","given":"Prida"},{"family":"Mongkolsapaya","given":"Juthathip"},{"family":"Screaton","given":"Gavin"}],"issued":{"date-parts":[["2010",5,1]]}}},{"id":1423,"uris":["http://zotero.org/users/local/ZR048J0w/items/CJZR4WGH"],"uri":["http://zotero.org/users/local/ZR048J0w/items/CJZR4WGH"],"itemData":{"id":1423,"type":"article-journal","abstract":"BACKGROUND: In efficacy trials of a tetravalent dengue vaccine (CYD-TDV), excess hospitalizations for dengue were observed among vaccine recipients 2 to 5 years of age. Precise risk estimates according to observed dengue serostatus could not be ascertained because of the limited numbers of samples collected at baseline. We developed a dengue anti-nonstructural protein 1 (NS1) IgG enzyme-linked immunosorbent assay and used samples from month 13 to infer serostatus for a post hoc analysis of safety and efficacy.\nMETHODS: In a case-cohort study, we reanalyzed data from three efficacy trials. For the principal analyses, we used baseline serostatus determined on the basis of measured (when baseline values were available) or imputed (when baseline values were missing) titers from a 50% plaque-reduction neutralization test (PRNT50), with imputation conducted with the use of covariates that included the month 13 anti-NS1 assay results. The risk of hospitalization for virologically confirmed dengue (VCD), of severe VCD, and of symptomatic VCD according to dengue serostatus was estimated by weighted Cox regression and targeted minimum loss-based estimation.\nRESULTS: Among dengue-seronegative participants 2 to 16 years of age, the cumulative 5-year incidence of hospitalization for VCD was 3.06% among vaccine recipients and 1.87% among controls, with a hazard ratio (vaccine vs. control) through data cutoff of 1.75 (95% confidence interval [CI], 1.14 to 2.70). Among dengue-seronegative participants 9 to 16 years of age, the cumulative incidence of hospitalization for VCD was 1.57% among vaccine recipients and 1.09% among controls, with a hazard ratio of 1.41 (95% CI, 0.74 to 2.68). Similar trends toward a higher risk among seronegative vaccine recipients than among seronegative controls were also found for severe VCD. Among dengue-seropositive participants 2 to 16 years of age and those 9 to 16 years of age, the cumulative incidence of hospitalization for VCD was 0.75% and 0.38%, respectively, among vaccine recipients and 2.47% and 1.88% among controls, with hazard ratios of 0.32 (95% CI, 0.23 to 0.45) and 0.21 (95% CI, 0.14 to 0.31). The risk of severe VCD was also lower among seropositive vaccine recipients than among seropositive controls.\nCONCLUSIONS: CYD-TDV protected against severe VCD and hospitalization for VCD for 5 years in persons who had exposure to dengue before vaccination, and there was evidence of a higher risk of these outcomes in vaccinated persons who had not been exposed to dengue. (Funded by Sanofi Pasteur; ClinicalTrials.gov numbers, NCT00842530 , NCT01983553 , NCT01373281 , and NCT01374516 .).","container-title":"The New England Journal of Medicine","DOI":"10.1056/NEJMoa1800820","ISSN":"1533-4406","issue":"4","journalAbbreviation":"N Engl J Med","language":"eng","note":"PMID: 29897841","page":"327-340","source":"PubMed","title":"Effect of Dengue Serostatus on Dengue Vaccine Safety and Efficacy","volume":"379","author":[{"family":"Sridhar","given":"Saranya"},{"family":"Luedtke","given":"Alexander"},{"family":"Langevin","given":"Edith"},{"family":"Zhu","given":"Ming"},{"family":"Bonaparte","given":"Matthew"},{"family":"Machabert","given":"Tifany"},{"family":"Savarino","given":"Stephen"},{"family":"Zambrano","given":"Betzana"},{"family":"Moureau","given":"Annick"},{"family":"Khromava","given":"Alena"},{"family":"Moodie","given":"Zoe"},{"family":"Westling","given":"Ted"},{"family":"Mascareñas","given":"Cesar"},{"family":"Frago","given":"Carina"},{"family":"Cortés","given":"Margarita"},{"family":"Chansinghakul","given":"Danaya"},{"family":"Noriega","given":"Fernando"},{"family":"Bouckenooghe","given":"Alain"},{"family":"Chen","given":"Josh"},{"family":"Ng","given":"Su-Peing"},{"family":"Gilbert","given":"Peter B."},{"family":"Gurunathan","given":"Sanjay"},{"family":"DiazGranados","given":"Carlos A."}],"issued":{"date-parts":[["2018",7,26]]}}}],"schema":"https://github.com/citation-style-language/schema/raw/master/csl-citation.json"} </w:instrText>
      </w:r>
      <w:r w:rsidR="00FE7C64" w:rsidRPr="009F44A4">
        <w:rPr>
          <w:color w:val="000000" w:themeColor="text1"/>
          <w:sz w:val="20"/>
          <w:szCs w:val="20"/>
          <w:shd w:val="clear" w:color="auto" w:fill="FFFFFF"/>
        </w:rPr>
        <w:fldChar w:fldCharType="separate"/>
      </w:r>
      <w:r w:rsidR="00236558" w:rsidRPr="00236558">
        <w:rPr>
          <w:sz w:val="20"/>
          <w:vertAlign w:val="superscript"/>
        </w:rPr>
        <w:t>182,183</w:t>
      </w:r>
      <w:r w:rsidR="00FE7C64" w:rsidRPr="009F44A4">
        <w:rPr>
          <w:color w:val="000000" w:themeColor="text1"/>
          <w:sz w:val="20"/>
          <w:szCs w:val="20"/>
          <w:shd w:val="clear" w:color="auto" w:fill="FFFFFF"/>
        </w:rPr>
        <w:fldChar w:fldCharType="end"/>
      </w:r>
      <w:r w:rsidR="00FE7C64"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Cats immunized against the FIPV S protein or passively infused with anti-FIPV antibodies outlived control groups when challenged with FIPV in other vaccination studies</w:t>
      </w:r>
      <w:r w:rsidR="004E61F9" w:rsidRPr="009F44A4">
        <w:rPr>
          <w:color w:val="000000" w:themeColor="text1"/>
          <w:sz w:val="20"/>
          <w:szCs w:val="20"/>
          <w:shd w:val="clear" w:color="auto" w:fill="FFFFFF"/>
        </w:rPr>
        <w:t xml:space="preserve"> </w:t>
      </w:r>
      <w:r w:rsidR="004E61F9"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{"citationID":"EPDl8jJ0","properties":{"formattedCitation":"\\super 199\\nosupersub{}","plainCitation":"199","noteIndex":0},"citationItems":[{"id":1479,"uris":["http://zotero.org/users/local/ZR048J0w/items/SK8QZHMS"],"uri":["http://zotero.org/users/local/ZR048J0w/items/SK8QZHMS"],"itemData":{"id":1479,"type":"article-journal","abstract":"The gene encoding the fusogenic spike protein of the coronavirus causing feline infectious peritonitis was recombined into the genome of vaccinia virus. The recombinant induced spike-protein-specific, in vitro neutralizing antibodies in mice. When kittens were immunized with the recombinant, low titers of neutralizing antibodies were obtained. After challenge with feline infectious peritonitis virus, these animals succumbed earlier than did the control group immunized with wild-type vaccinia virus (early death syndrome).","container-title":"Journal of Virology","ISSN":"0022-538X","issue":"3","journalAbbreviation":"J Virol","note":"PMID: 2154621\nPMCID: PMC249267","page":"1407-1409","source":"PubMed Central","title":"Early death after feline infectious peritonitis virus challenge due to recombinant vaccinia virus immunization.","volume":"64","author":[{"family":"Vennema","given":"H"},{"family":"Groot","given":"R J","non-dropping-particle":"de"},{"family":"Harbour","given":"D A"},{"family":"Dalderup","given":"M"},{"family":"Gruffydd-Jones","given":"T"},{"family":"Horzinek","given":"M C"},{"family":"Spaan","given":"W J"}],"issued":{"date-parts":[["1990",3]]}}}],"schema":"https://github.com/citation-style-language/schema/raw/master/csl-citation.json"} </w:instrText>
      </w:r>
      <w:r w:rsidR="004E61F9" w:rsidRPr="009F44A4">
        <w:rPr>
          <w:color w:val="000000" w:themeColor="text1"/>
          <w:sz w:val="20"/>
          <w:szCs w:val="20"/>
          <w:shd w:val="clear" w:color="auto" w:fill="FFFFFF"/>
        </w:rPr>
        <w:fldChar w:fldCharType="separate"/>
      </w:r>
      <w:r w:rsidR="00236558" w:rsidRPr="00236558">
        <w:rPr>
          <w:sz w:val="20"/>
          <w:vertAlign w:val="superscript"/>
        </w:rPr>
        <w:t>199</w:t>
      </w:r>
      <w:r w:rsidR="004E61F9" w:rsidRPr="009F44A4">
        <w:rPr>
          <w:color w:val="000000" w:themeColor="text1"/>
          <w:sz w:val="20"/>
          <w:szCs w:val="20"/>
          <w:shd w:val="clear" w:color="auto" w:fill="FFFFFF"/>
        </w:rPr>
        <w:fldChar w:fldCharType="end"/>
      </w:r>
      <w:r w:rsidR="004E61F9" w:rsidRPr="009F44A4">
        <w:rPr>
          <w:color w:val="000000" w:themeColor="text1"/>
          <w:sz w:val="20"/>
          <w:szCs w:val="20"/>
          <w:shd w:val="clear" w:color="auto" w:fill="FFFFFF"/>
        </w:rPr>
        <w:t>.</w:t>
      </w:r>
    </w:p>
    <w:p w14:paraId="6FCB65A9" w14:textId="77777777" w:rsidR="00CE59DA" w:rsidRPr="009F44A4" w:rsidRDefault="00CE59DA" w:rsidP="00DC7281">
      <w:pPr>
        <w:shd w:val="clear" w:color="auto" w:fill="FFFFFF" w:themeFill="background1"/>
        <w:spacing w:line="360" w:lineRule="auto"/>
        <w:rPr>
          <w:rFonts w:ascii="Times New Roman" w:hAnsi="Times New Roman" w:cs="Times New Roman"/>
          <w:color w:val="000000" w:themeColor="text1"/>
          <w:sz w:val="20"/>
          <w:szCs w:val="20"/>
        </w:rPr>
      </w:pPr>
    </w:p>
    <w:p w14:paraId="6907F7B5" w14:textId="59CCEB94"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 xml:space="preserve">Spreading of the infection, severe symptoms and resulting in more dangerous sickness outcomes </w:t>
      </w:r>
      <w:r w:rsidR="00226B7A"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{"citationID":"evDn6Z8Q","properties":{"formattedCitation":"\\super 200\\nosupersub{}","plainCitation":"200","noteIndex":0},"citationItems":[{"id":1482,"uris":["http://zotero.org/users/local/ZR048J0w/items/BBWDZKBI"],"uri":["http://zotero.org/users/local/ZR048J0w/items/BBWDZKBI"],"itemData":{"id":1482,"type":"article-journal","abstract":"Non-immune kittens passively immunized with feline serum containing high-titered antibodies reactive with feline infectious peritonitis virus (FIPV) developed a more rapid disease after FIPV challenge than did kittens pretreated with FIPV antibody-negative serum. Antibody-sensitized, FIPV challenged--kittens developed earlier clinical signs (including pyrexia, icterus, and thrombocytopenia) and died more rapidly than did non-sensitized, FIPV-challenged kittens. Mean survival time in sensitized kittens was significantly (P less than 0.05) reduced compared to non-sensitized kittens (mean +/- SEM, 10.0 +/- 0.6 days vs. 28.8 +/- 8.3 days, respectively). Lesions induced included fibrinous peritonitis, disseminated pyogranulomatous inflammation and necrotizing phlebitis and periphlebitis. FIPV antigen, immunoglobulin G, complement (C3) and fibrinogen were demonstrated in lesions by immunofluorescence microscopy. The pathogenesis of dengue hemorrhagic fever (DHF) in persons bears striking resemblance to that of FIP in experimental kittens. In both FIP and DHF, non-neutralizing antibody may promote acute disease by enhancement of virus infection in mononuclear phagocytes or by formation of immune complexes, activation of complement and secondary vascular disturbances.","container-title":"Comparative Immunology, Microbiology and Infectious Diseases","DOI":"10.1016/0147-9571(81)90003-5","ISSN":"0147-9571","issue":"2","journalAbbreviation":"Comp Immunol Microbiol Infect Dis","language":"eng","note":"PMID: 6754243\nPMCID: PMC7134169","page":"175-189","source":"PubMed","title":"Antibody-mediated enhancement of disease in feline infectious peritonitis: comparisons with dengue hemorrhagic fever","title-short":"Antibody-mediated enhancement of disease in feline infectious peritonitis","volume":"4","author":[{"family":"Weiss","given":"R. C."},{"family":"Scott","given":"F. W."}],"issued":{"date-parts":[["1981"]]}}}],"schema":"https://github.com/citation-style-language/schema/raw/master/csl-citation.json"} </w:instrText>
      </w:r>
      <w:r w:rsidR="00226B7A" w:rsidRPr="009F44A4">
        <w:rPr>
          <w:color w:val="000000" w:themeColor="text1"/>
          <w:sz w:val="20"/>
          <w:szCs w:val="20"/>
          <w:shd w:val="clear" w:color="auto" w:fill="FFFFFF"/>
        </w:rPr>
        <w:fldChar w:fldCharType="separate"/>
      </w:r>
      <w:r w:rsidR="00236558" w:rsidRPr="00236558">
        <w:rPr>
          <w:sz w:val="20"/>
          <w:vertAlign w:val="superscript"/>
        </w:rPr>
        <w:t>200</w:t>
      </w:r>
      <w:r w:rsidR="00226B7A" w:rsidRPr="009F44A4">
        <w:rPr>
          <w:color w:val="000000" w:themeColor="text1"/>
          <w:sz w:val="20"/>
          <w:szCs w:val="20"/>
          <w:shd w:val="clear" w:color="auto" w:fill="FFFFFF"/>
        </w:rPr>
        <w:fldChar w:fldCharType="end"/>
      </w:r>
      <w:r w:rsidR="00226B7A" w:rsidRPr="009F44A4">
        <w:rPr>
          <w:color w:val="000000" w:themeColor="text1"/>
          <w:sz w:val="20"/>
          <w:szCs w:val="20"/>
          <w:shd w:val="clear" w:color="auto" w:fill="FFFFFF"/>
        </w:rPr>
        <w:t xml:space="preserve"> </w:t>
      </w:r>
      <w:r w:rsidRPr="009F44A4">
        <w:rPr>
          <w:color w:val="000000" w:themeColor="text1"/>
          <w:sz w:val="20"/>
          <w:szCs w:val="20"/>
          <w:shd w:val="clear" w:color="auto" w:fill="FFFFFF"/>
        </w:rPr>
        <w:t>could be caused by antibodies which have sub neutralizing levels or non-neutralizing antibodies. These antibodies have shown capabilities to promote the entry into alveolar and peritoneal macrophages which support in this spread and worsening of sickness</w:t>
      </w:r>
      <w:r w:rsidR="00187CCA" w:rsidRPr="009F44A4">
        <w:rPr>
          <w:color w:val="000000" w:themeColor="text1"/>
          <w:sz w:val="20"/>
          <w:szCs w:val="20"/>
          <w:shd w:val="clear" w:color="auto" w:fill="FFFFFF"/>
        </w:rPr>
        <w:t xml:space="preserve"> </w:t>
      </w:r>
      <w:r w:rsidR="00187CCA"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{"citationID":"AtEzA3bG","properties":{"formattedCitation":"\\super 201\\nosupersub{}","plainCitation":"201","noteIndex":0},"citationItems":[{"id":1566,"uris":["http://zotero.org/users/local/ZR048J0w/items/6TLFJNN3"],"uri":["http://zotero.org/users/local/ZR048J0w/items/6TLFJNN3"],"itemData":{"id":1566,"type":"article-journal","abstract":"Enhancement of feline infectious peritonitis virus (FIPV) infection of feline macrophages was studied using monoclonal antibodies (MAbs) to the FIPV strain 79-1146. Adherent cells recovered from the feline lung and peritoneal cavity phagocytosed fixed red blood cells, and formed Fc-mediated rosettes. Enhancement of virus infection by MAb was investigated by inoculating alveolar macrophages with a mixtures of viral suspension and MAb, and examining the cells for intracellular viral antigen by the immunofluorescence assay and the amount of infectious virus in the supernatant fluid after incubation. The replication of FIPV in macrophages was enhanced by non-neutralizing MAbs recognizing peplomer protein (S) and transmembrane protein (M) of the virus. Even among the MAbs having the ability to neutralize FIPV strain 79-1146, some reversely enhanced virus infection when they were diluted. The enhancement was suppressed by pretreatment of the MAb with protein A. The enhancement was reduced by the use of F(ab')2 fragment of MAb. These results demonstrated antibody-dependent enhancement (ADE) of FIPV infection in macrophage. The replication of FIPV 79-1146 strain in macrophages from FIPV antibody-positive cats was more enhanced than in those from antibody-negative cats.","container-title":"Archives of Virology","DOI":"10.1007/BF01310476","ISSN":"0304-8608","issue":"3-4","journalAbbreviation":"Arch Virol","language":"eng","note":"PMID: 1659798\nPMCID: PMC7087175","page":"207-217","source":"PubMed","title":"A study on the mechanism of antibody-dependent enhancement of feline infectious peritonitis virus infection in feline macrophages by monoclonal antibodies","volume":"120","author":[{"family":"Hohdatsu","given":"T."},{"family":"Nakamura","given":"M."},{"family":"Ishizuka","given":"Y."},{"family":"Yamada","given":"H."},{"family":"Koyama","given":"H."}],"issued":{"date-parts":[["1991"]]}}}],"schema":"https://github.com/citation-style-language/schema/raw/master/csl-citation.json"} </w:instrText>
      </w:r>
      <w:r w:rsidR="00187CCA" w:rsidRPr="009F44A4">
        <w:rPr>
          <w:color w:val="000000" w:themeColor="text1"/>
          <w:sz w:val="20"/>
          <w:szCs w:val="20"/>
          <w:shd w:val="clear" w:color="auto" w:fill="FFFFFF"/>
        </w:rPr>
        <w:fldChar w:fldCharType="separate"/>
      </w:r>
      <w:r w:rsidR="00236558" w:rsidRPr="00236558">
        <w:rPr>
          <w:sz w:val="20"/>
          <w:vertAlign w:val="superscript"/>
        </w:rPr>
        <w:t>201</w:t>
      </w:r>
      <w:r w:rsidR="00187CCA" w:rsidRPr="009F44A4">
        <w:rPr>
          <w:color w:val="000000" w:themeColor="text1"/>
          <w:sz w:val="20"/>
          <w:szCs w:val="20"/>
          <w:shd w:val="clear" w:color="auto" w:fill="FFFFFF"/>
        </w:rPr>
        <w:fldChar w:fldCharType="end"/>
      </w:r>
      <w:r w:rsidR="00187CCA"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Antibody effector functions which are Fc-mediated can intensify respiratory sickness that leads to detectable and intensified lung damage by establishing a robust immunological reaction in the second known ADE mechanism, this is defined more perfectly as a respiratory infection</w:t>
      </w:r>
      <w:r w:rsidR="00EA0356" w:rsidRPr="009F44A4">
        <w:rPr>
          <w:color w:val="000000" w:themeColor="text1"/>
          <w:sz w:val="20"/>
          <w:szCs w:val="20"/>
          <w:shd w:val="clear" w:color="auto" w:fill="FFFFFF"/>
        </w:rPr>
        <w:t xml:space="preserve"> </w:t>
      </w:r>
      <w:r w:rsidR="00EA0356"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{"citationID":"s1V9HMDq","properties":{"formattedCitation":"\\super 202,203\\nosupersub{}","plainCitation":"202,203","noteIndex":0},"citationItems":[{"id":1488,"uris":["http://zotero.org/users/local/ZR048J0w/items/LFVKCZN7"],"uri":["http://zotero.org/users/local/ZR048J0w/items/LFVKCZN7"],"itemData":{"id":1488,"type":"article-journal","abstract":"Several next-generation (universal) influenza vaccines and broadly neutralizing antibodies (bNAbs) are in clinical development. Some of these mediate inhibitions of virus replication at the postentry stage or use Fc-dependent mechanisms. Nonneutralizing antibodies have the potential to mediate enhancement of viral infection or disease. In the current study, two monoclonal antibodies (MAbs) 72/8 and 69/1, enhanced respiratory disease (ERD) in mice following H3N2 virus challenge by demonstrating increased lung pathology and changes in lung cytokine/chemokine levels. MAb 78/2 caused changes in the lung viral loads in a dose-dependent manner. Both MAbs increased HA sensitivity to trypsin cleavage at a higher pH range, suggesting MAb-induced conformational changes. pHrodo-labeled virus particles’ entry and residence time in the endocytic compartment were tracked during infection of Madin-Darby canine kidney (MDCK) cells. Both MAbs reduced H3N2 virus residence time in the endocytic pathway, suggesting faster virus fusion kinetics. Structurally, 78/2 and 69/1 Fabs bound the globular head or base of the head domain of influenza hemagglutinin (HA), respectively, and induced destabilization of the HA stem domain. Together, this study describes Mab-induced destabilization of the influenza HA stem domain, faster kinetics of influenza virus fusion, and ERD in vivo. The in vivo animal model and in vitro assays described could augment preclinical safety evaluation of antibodies and next-generation influenza vaccines that generate antibodies which do not block influenza virus–receptor interaction.","container-title":"Proceedings of the National Academy of Sciences","DOI":"10.1073/pnas.1821317116","issue":"30","note":"publisher: Proceedings of the National Academy of Sciences","page":"15194-15199","source":"pnas.org (Atypon)","title":"Antibody-dependent enhancement of influenza disease promoted by increase in hemagglutinin stem flexibility and virus fusion kinetics","volume":"116","author":[{"family":"Winarski","given":"Katie L."},{"family":"Tang","given":"Juanjie"},{"family":"Klenow","given":"Laura"},{"family":"Lee","given":"Jeehyun"},{"family":"Coyle","given":"Elizabeth M."},{"family":"Manischewitz","given":"Jody"},{"family":"Turner","given":"Hannah L."},{"family":"Takeda","given":"Kazuyo"},{"family":"Ward","given":"Andrew B."},{"family":"Golding","given":"Hana"},{"family":"Khurana","given":"Surender"}],"issued":{"date-parts":[["2019",7,23]]}}},{"id":1485,"uris":["http://zotero.org/users/local/ZR048J0w/items/I4BNFAM9"],"uri":["http://zotero.org/users/local/ZR048J0w/items/I4BNFAM9"],"itemData":{"id":1485,"type":"article-journal","abstract":"Engaging the antibody-dependent cell-mediated cytotoxicity (ADCC) for killing of virus-infected cells and secretion of antiviral cytokines and chemokines was incorporated as one of the important features in the design of universal influenza vaccines. However, investigation of the ADCC epitopes on the highly immunogenic influenza hemagglutinin (HA) head region has been rarely reported. In this study, we determined the ADCC and antiviral activities of two putative ADCC epitopes, designated E1 and E2, on the HA head of a pandemic H1N1 influenza virus in vitro and in a lethal mouse model. Our data demonstrated that sera from the E1-vaccinated mice could induce high ADCC activities. Importantly, the induction of ADCC response modestly decreased viral load in the lungs of H1N1-infected mice. However, the elevated ADCC significantly increased mouse alveolar damage and mortality than that of the PBS-vaccinated group (P &lt; 0.0001). The phenotype was potentially due to an exaggerated inflammatory cell infiltration triggered by ADCC, as an upregulated release of cytotoxic granules (perforin) was observed in the lung tissue of E1-vaccinated mice after H1N1 influenza virus challenge. Overall, our data suggested that ADCC elicited by certain domains of HA head region might have a detrimental rather than protective effect during influenza virus infection. Thus, future design of universal influenza vaccine shall strike a balance between the induction of protective immunity and potential side effects of ADCC.","container-title":"Frontiers in Immunology","DOI":"10.3389/fimmu.2017.00317","ISSN":"1664-3224","journalAbbreviation":"Front Immunol","language":"eng","note":"PMID: 28377769\nPMCID: PMC5359280","page":"317","source":"PubMed","title":"Antibody-Dependent Cell-Mediated Cytotoxicity Epitopes on the Hemagglutinin Head Region of Pandemic H1N1 Influenza Virus Play Detrimental Roles in H1N1-Infected Mice","volume":"8","author":[{"family":"Ye","given":"Zi-Wei"},{"family":"Yuan","given":"Shuofeng"},{"family":"Poon","given":"Kwok-Man"},{"family":"Wen","given":"Lei"},{"family":"Yang","given":"Dong"},{"family":"Sun","given":"Zehua"},{"family":"Li","given":"Cun"},{"family":"Hu","given":"Meng"},{"family":"Shuai","given":"Huiping"},{"family":"Zhou","given":"Jie"},{"family":"Zhang","given":"Mei-Yun"},{"family":"Zheng","given":"Bo-Jian"},{"family":"Chu","given":"Hin"},{"family":"Yuen","given":"Kwok-Yung"}],"issued":{"date-parts":[["2017"]]}}}],"schema":"https://github.com/citation-style-language/schema/raw/master/csl-citation.json"} </w:instrText>
      </w:r>
      <w:r w:rsidR="00EA0356" w:rsidRPr="009F44A4">
        <w:rPr>
          <w:color w:val="000000" w:themeColor="text1"/>
          <w:sz w:val="20"/>
          <w:szCs w:val="20"/>
          <w:shd w:val="clear" w:color="auto" w:fill="FFFFFF"/>
        </w:rPr>
        <w:fldChar w:fldCharType="separate"/>
      </w:r>
      <w:r w:rsidR="00236558" w:rsidRPr="00236558">
        <w:rPr>
          <w:sz w:val="20"/>
          <w:vertAlign w:val="superscript"/>
        </w:rPr>
        <w:t>202,203</w:t>
      </w:r>
      <w:r w:rsidR="00EA0356" w:rsidRPr="009F44A4">
        <w:rPr>
          <w:color w:val="000000" w:themeColor="text1"/>
          <w:sz w:val="20"/>
          <w:szCs w:val="20"/>
          <w:shd w:val="clear" w:color="auto" w:fill="FFFFFF"/>
        </w:rPr>
        <w:fldChar w:fldCharType="end"/>
      </w:r>
      <w:r w:rsidR="00BF0469"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Fc-mediated activation of local and circulating innate immune cells such as monocytes, macrophages, neutrophils, dendritic cells, and natural killer cells, despite their potential efficacy in removing virus-infected cells and debris, may result in overactive inflammatory responses. Non-neutralizing antibodies have been shown to cause ADE and ERD in non-macrophage tropic respiratory viruses like RSV and measles by forming immune complexes that accumulate in airway tissues and initiate cytokine and complement mechanisms, resulting in infection, respiratory failure, and, in extreme cases, acute respiratory distress syndrome</w:t>
      </w:r>
      <w:r w:rsidR="004013BC" w:rsidRPr="009F44A4">
        <w:rPr>
          <w:color w:val="000000" w:themeColor="text1"/>
          <w:sz w:val="20"/>
          <w:szCs w:val="20"/>
          <w:shd w:val="clear" w:color="auto" w:fill="FFFFFF"/>
        </w:rPr>
        <w:t xml:space="preserve"> </w:t>
      </w:r>
      <w:r w:rsidR="004013BC"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{"citationID":"omixPRr4","properties":{"formattedCitation":"\\super 178,180,204,205\\nosupersub{}","plainCitation":"178,180,204,205","noteIndex":0},"citationItems":[{"id":1412,"uris":["http://zotero.org/users/local/ZR048J0w/items/P9LQFZFZ"],"uri":["http://zotero.org/users/local/ZR048J0w/items/P9LQFZFZ"],"itemData":{"id":1412,"type":"article-journal","abstract":"Respiratory syncytial virus causes a significant public health burden, particularly in very young infants and the frail elderly. The legacy of enhanced RSV disease (ERD) from a whole formalin-inactivated RSV vaccine, and the complex biology of the virus and the neonate have delayed the development of effective vaccines. However, new insights into factors associated with ERD and breakthroughs in understanding the antigenic structure of the fusion (F) glycoprotein have increased optimism that vaccine development is possible. This has led to investment of time and resources by industry, regulatory authorities, governments, and nonprofit organizations to develop the infrastructure needed to make the advanced clinical development of RSV vaccine candidates a reality.","container-title":"Vaccine","DOI":"10.1016/j.vaccine.2016.04.083","ISSN":"1873-2518","issue":"30","journalAbbreviation":"Vaccine","language":"eng","note":"PMID: 27182820\nPMCID: PMC4912855","page":"3535-3541","source":"PubMed","title":"Vaccines against respiratory syncytial virus: The time has finally come","title-short":"Vaccines against respiratory syncytial virus","volume":"34","author":[{"family":"Graham","given":"Barney S."}],"issued":{"date-parts":[["2016",6,24]]}}},{"id":1415,"uris":["http://zotero.org/users/local/ZR048J0w/items/NH4Q3P8D"],"uri":["http://zotero.org/users/local/ZR048J0w/items/NH4Q3P8D"],"itemData":{"id":1415,"type":"article-journal","abstract":"From Georgia and Wyoming comes another report of atypical rash and fever occurring after exposure to measles infection of children previously inoculated with killed measles vaccine. [For examples of previous similar reports see Bull. Hyg., 1966, v. 41, 1261; Acta Paediat. Scand., 1966, v. 55, 457.]In the present paper a number of instances are reported of severe illness, high fever, tachypnoea,...","container-title":"Journal of Pediatrics","ISSN":"0022-3476","issue":"1","language":"English","page":"22-8","source":"www.cabdirect.org","title":"Atypical exanthem following exposure to natural measles. Eleven cases in children previously inoculated with killed vaccine.","volume":"72","author":[{"family":"Nader","given":"P. R."},{"family":"Horwitz","given":"M. S."},{"family":"Rousseau","given":"J."}],"issued":{"date-parts":[["1968"]]}}},{"id":1495,"uris":["http://zotero.org/users/local/ZR048J0w/items/RLZI5YU8"],"uri":["http://zotero.org/users/local/ZR048J0w/items/RLZI5YU8"],"itemData":{"id":1495,"type":"article-journal","abstract":"Respiratory syncytial virus (RSV) is the leading cause of bronchiolitis and viral pneumonia in infants and young children. Administration of a formalin inactivated vaccine against RSV to children in the 1960s resulted in increased morbidity and mortality in vaccine recipients who subsequently contracted RSV. This incident precluded development of subunit RSV vaccines for infants for over 30 years, because the mechanism of illness was never clarified. An RSV vaccine for infants is still not available. Here, we demonstrate that enhanced RSV disease is mediated by immune complexes and abrogated in complement component C3 and B cell-deficient mice but not in controls. Further, we show correlation with the enhanced disease observed in children by providing evidence of complement activation in postmortem lung sections from children with enhanced RSV disease.","container-title":"The Journal of Experimental Medicine","DOI":"10.1084/jem.20020781","ISSN":"0022-1007","issue":"6","journalAbbreviation":"J Exp Med","language":"eng","note":"PMID: 12235218\nPMCID: PMC2194058","page":"859-865","source":"PubMed","title":"A role for immune complexes in enhanced respiratory syncytial virus disease","volume":"196","author":[{"family":"Polack","given":"Fernando P."},{"family":"Teng","given":"Michael N."},{"family":"Collins","given":"Peter L."},{"family":"Prince","given":"Gregory A."},{"family":"Exner","given":"Marcus"},{"family":"Regele","given":"Heinz"},{"family":"Lirman","given":"Dario D."},{"family":"Rabold","given":"Richard"},{"family":"Hoffman","given":"Scott J."},{"family":"Karp","given":"Christopher L."},{"family":"Kleeberger","given":"Steven R."},{"family":"Wills-Karp","given":"Marsha"},{"family":"Karron","given":"Ruth A."}],"issued":{"date-parts":[["2002",9,16]]}}},{"id":1498,"uris":["http://zotero.org/users/local/ZR048J0w/items/SW2Y6FPU"],"uri":["http://zotero.org/users/local/ZR048J0w/items/SW2Y6FPU"],"itemData":{"id":1498,"type":"article-journal","abstract":"In the 1960s, a formalin-inactivated measles vaccine (FIMV) predisposed recipients to atypical measles, an immune complex–mediated disease1,2. To identify characteristics of the immune priming that leads to atypical measles, responses of monkeys to FIMV were compared with responses to live attenuated virus (LAV) and hemagglutinin (H-DNA) vaccines that do not prime for atypical measles. Antibodies induced by FIMV were transient and avidity did not mature. Antibodies induced by LAV and H-DNA vaccines were sustained and avidity matured over time. After challenge with measles virus, FIMV and H-DNA recipients developed high titers of complement-fixing antibodies. In FIMV recipients, the antibodies were of low avidity, whereas in H-DNA vaccine recipients, the antibodies were of high avidity. Neutralizing capacity in B958 cells correlated with avidity. Only FIMV recipients had immune complex deposition. Failure of FIMV to induce affinity maturation results in anamnestic production of nonprotective, complement-fixing antibodies, immune complex deposition and atypical measles.","container-title":"Nature Medicine","DOI":"10.1038/nm918","ISSN":"1546-170X","issue":"9","journalAbbreviation":"Nat Med","language":"en","note":"number: 9\npublisher: Nature Publishing Group","page":"1209-1213","source":"www.nature.com","title":"A role for nonprotective complement-fixing antibodies with low avidity for measles virus in atypical measles","volume":"9","author":[{"family":"Polack","given":"Fernando P."},{"family":"Hoffman","given":"Scott J."},{"family":"Crujeiras","given":"Gonzalo"},{"family":"Griffin","given":"Diane E."}],"issued":{"date-parts":[["2003",9]]}}}],"schema":"https://github.com/citation-style-language/schema/raw/master/csl-citation.json"} </w:instrText>
      </w:r>
      <w:r w:rsidR="004013BC" w:rsidRPr="009F44A4">
        <w:rPr>
          <w:color w:val="000000" w:themeColor="text1"/>
          <w:sz w:val="20"/>
          <w:szCs w:val="20"/>
          <w:shd w:val="clear" w:color="auto" w:fill="FFFFFF"/>
        </w:rPr>
        <w:fldChar w:fldCharType="separate"/>
      </w:r>
      <w:r w:rsidR="00236558" w:rsidRPr="00236558">
        <w:rPr>
          <w:sz w:val="20"/>
          <w:vertAlign w:val="superscript"/>
        </w:rPr>
        <w:t>178,180,204,205</w:t>
      </w:r>
      <w:r w:rsidR="004013BC"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w:t>
      </w:r>
    </w:p>
    <w:p w14:paraId="71B6C992" w14:textId="77777777" w:rsidR="00CE59DA" w:rsidRPr="009F44A4" w:rsidRDefault="00CE59DA" w:rsidP="00DC7281">
      <w:pPr>
        <w:shd w:val="clear" w:color="auto" w:fill="FFFFFF" w:themeFill="background1"/>
        <w:spacing w:line="360" w:lineRule="auto"/>
        <w:rPr>
          <w:rFonts w:ascii="Times New Roman" w:hAnsi="Times New Roman" w:cs="Times New Roman"/>
          <w:color w:val="000000" w:themeColor="text1"/>
          <w:sz w:val="20"/>
          <w:szCs w:val="20"/>
        </w:rPr>
      </w:pPr>
    </w:p>
    <w:p w14:paraId="0C5FD8AF" w14:textId="6A22EE9E"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These prior observations of ADE with RSV and measles are strikingly identical to the clinical symptoms of COVID-19. In COVID-19 and SARS, for example, over-activation of the complement cascade has been shown to lead to inflammatory lung injury</w:t>
      </w:r>
      <w:r w:rsidR="00E05CB3" w:rsidRPr="009F44A4">
        <w:rPr>
          <w:color w:val="000000" w:themeColor="text1"/>
          <w:sz w:val="20"/>
          <w:szCs w:val="20"/>
          <w:shd w:val="clear" w:color="auto" w:fill="FFFFFF"/>
        </w:rPr>
        <w:t xml:space="preserve"> </w:t>
      </w:r>
      <w:r w:rsidR="00E05CB3"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{"citationID":"38dBTNE1","properties":{"formattedCitation":"\\super 206,207\\nosupersub{}","plainCitation":"206,207","noteIndex":0},"citationItems":[{"id":1502,"uris":["http://zotero.org/users/local/ZR048J0w/items/V7MM9SLM"],"uri":["http://zotero.org/users/local/ZR048J0w/items/V7MM9SLM"],"itemData":{"id":1502,"type":"report","abstract":"An excessive immune response contributes to SARS-CoV, MERS-CoV and SARS-CoV-2 pathogenesis and lethality, but the mechanism remains unclear. In this study, the N proteins of SARS-CoV, MERS-CoV and SARS-CoV-2 were found to bind to MASP-2, the key serine protease in the lectin pathway of complement activation, resulting in aberrant complement activation and aggravated inflammatory lung injury. Either blocking the N protein:MASP-2 interaction or suppressing complement activation can significantly alleviate N protein-induced complement hyper-activation and lung injury in vitro and in vivo . Complement hyper-activation was also observed in COVID-19 patients, and a promising suppressive effect was observed when the deteriorating patients were treated with anti-C5a monoclonal antibody. Complement suppression may represent a common therapeutic approach for pneumonia induced by these highly pathogenic coronaviruses. One Sentence Summary The lectin pathway of complement activation is a promising target for the treatment of highly pathogenic coronavirus induced pneumonia.","note":"DOI: 10.1101/2020.03.29.20041962\ntype: article","source":"Europe PMC","title":"Highly pathogenic coronavirus N protein aggravates lung injury by MASP-2-mediated complement over-activatio","URL":"https://europepmc.org/article/PPR/PPR130597","author":[{"family":"Gao","given":"Ting"},{"family":"Hu","given":"Mingdong"},{"family":"Zhang","given":"Xiaopeng"},{"family":"Li","given":"Hongzhen"},{"family":"Zhu","given":"Lin"},{"family":"Liu","given":"Hainan"},{"family":"Dong","given":"Qincai"},{"family":"Zhang","given":"Zhang"},{"family":"Wang","given":"Zhongyi"},{"family":"Hu","given":"Yong"},{"family":"Fu","given":"Yangbo"},{"family":"Jin","given":"Yanwen"},{"family":"Li","given":"Kaitong"},{"family":"Zhao","given":"Songtao"},{"family":"Xiao","given":"Yongjiu"},{"family":"Luo","given":"Shuping"},{"family":"Li","given":"Lufeng"},{"family":"Zhao","given":"Lingfang"},{"family":"Liu","given":"Junli"},{"family":"Zhao","given":"Huailong"},{"family":"Liu","given":"Yue"},{"family":"Yang","given":"Weihong"},{"family":"Peng","given":"Jing"},{"family":"Chen","given":"Xiaoyu"},{"family":"Li","given":"Ping"},{"family":"Liu","given":"Yaoning"},{"family":"Xie","given":"Yonghong"},{"family":"Song","given":"Jibo"},{"family":"Zhang","given":"Lu"},{"family":"Ma","given":"Qingjun"},{"family":"Bian","given":"Xiuwu"},{"family":"Chen","given":"Wei"},{"family":"Liu","given":"Xuan"},{"family":"Mao","given":"Qing"},{"family":"Cao","given":"Cheng"}],"accessed":{"date-parts":[["2023",1,11]]},"issued":{"date-parts":[["2020"]]}}},{"id":1504,"uris":["http://zotero.org/users/local/ZR048J0w/items/Z26FTWUH"],"uri":["http://zotero.org/users/local/ZR048J0w/items/Z26FTWUH"],"itemData":{"id":1504,"type":"article-journal","abstract":"Acute respiratory distress syndrome (ARDS) is immune-driven pathologies that are observed in severe cases of severe acute respiratory syndrome coronavirus (SARS-CoV) infection. SARS-CoV emerged in 2002 to 2003 and led to a global outbreak of SARS. As with the outcome of human infection, intranasal infection of C57BL/6J mice with mouse-adapted SARS-CoV results in high-titer virus replication within the lung, induction of inflammatory cytokines and chemokines, and immune cell infiltration within the lung. Using this model, we investigated the role of the complement system during SARS-CoV infection. We observed activation of the complement cascade in the lung as early as day 1 following SARS-CoV infection. To test whether this activation contributed to protective or pathologic outcomes, we utilized mice deficient in C3 (C3-/-), the central component of the complement system. Relative to C57BL/6J control mice, SARS-CoV-infected C3-/- mice exhibited significantly less weight loss and less respiratory dysfunction despite equivalent viral loads in the lung. Significantly fewer neutrophils and inflammatory monocytes were present in the lungs of C3-/- mice than in C56BL/6J controls, and subsequent studies revealed reduced lung pathology and lower cytokine and chemokine levels in both the lungs and the sera of C3-/- mice than in controls. These studies identify the complement system as an important host mediator of SARS-CoV-induced disease and suggest that complement activation regulates a systemic proinflammatory response to SARS-CoV infection. Furthermore, these data suggest that SARS-CoV-mediated disease is largely immune driven and that inhibiting complement signaling after SARS-CoV infection might function as an effective immune therapeutic.IMPORTANCE The complement system is a critical part of host defense to many bacterial, viral, and fungal infections. It works alongside pattern recognition receptors to stimulate host defense systems in advance of activation of the adaptive immune response. In this study, we directly test the role of complement in SARS-CoV pathogenesis using a mouse model and show that respiratory disease is significantly reduced in the absence of complement even though viral load is unchanged. Complement-deficient mice have reduced neutrophilia in their lungs and reduced systemic inflammation, consistent with the observation that SARS-CoV pathogenesis is an immune-driven disease. These data suggest that inhibition of complement signaling might be an effective treatment option following coronavirus infection.","container-title":"mBio","DOI":"10.1128/mBio.01753-18","ISSN":"2150-7511","issue":"5","journalAbbreviation":"mBio","language":"eng","note":"PMID: 30301856\nPMCID: PMC6178621","page":"e01753-18","source":"PubMed","title":"Complement Activation Contributes to Severe Acute Respiratory Syndrome Coronavirus Pathogenesis","volume":"9","author":[{"family":"Gralinski","given":"Lisa E."},{"family":"Sheahan","given":"Timothy P."},{"family":"Morrison","given":"Thomas E."},{"family":"Menachery","given":"Vineet D."},{"family":"Jensen","given":"Kara"},{"family":"Leist","given":"Sarah R."},{"family":"Whitmore","given":"Alan"},{"family":"Heise","given":"Mark T."},{"family":"Baric","given":"Ralph S."}],"issued":{"date-parts":[["2018",10,9]]}}}],"schema":"https://github.com/citation-style-language/schema/raw/master/csl-citation.json"} </w:instrText>
      </w:r>
      <w:r w:rsidR="00E05CB3" w:rsidRPr="009F44A4">
        <w:rPr>
          <w:color w:val="000000" w:themeColor="text1"/>
          <w:sz w:val="20"/>
          <w:szCs w:val="20"/>
          <w:shd w:val="clear" w:color="auto" w:fill="FFFFFF"/>
        </w:rPr>
        <w:fldChar w:fldCharType="separate"/>
      </w:r>
      <w:r w:rsidR="00236558" w:rsidRPr="00236558">
        <w:rPr>
          <w:sz w:val="20"/>
          <w:vertAlign w:val="superscript"/>
        </w:rPr>
        <w:t>206,207</w:t>
      </w:r>
      <w:r w:rsidR="00E05CB3" w:rsidRPr="009F44A4">
        <w:rPr>
          <w:color w:val="000000" w:themeColor="text1"/>
          <w:sz w:val="20"/>
          <w:szCs w:val="20"/>
          <w:shd w:val="clear" w:color="auto" w:fill="FFFFFF"/>
        </w:rPr>
        <w:fldChar w:fldCharType="end"/>
      </w:r>
      <w:r w:rsidR="007A7C74"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S- and RBD-specific immunoglobulin G (</w:t>
      </w:r>
      <w:proofErr w:type="spellStart"/>
      <w:r w:rsidRPr="009F44A4">
        <w:rPr>
          <w:color w:val="000000" w:themeColor="text1"/>
          <w:sz w:val="20"/>
          <w:szCs w:val="20"/>
          <w:shd w:val="clear" w:color="auto" w:fill="FFFFFF"/>
        </w:rPr>
        <w:t>IgG</w:t>
      </w:r>
      <w:proofErr w:type="spellEnd"/>
      <w:r w:rsidRPr="009F44A4">
        <w:rPr>
          <w:color w:val="000000" w:themeColor="text1"/>
          <w:sz w:val="20"/>
          <w:szCs w:val="20"/>
          <w:shd w:val="clear" w:color="auto" w:fill="FFFFFF"/>
        </w:rPr>
        <w:t xml:space="preserve">) antibodies in COVID-19 patients have lower levels of a </w:t>
      </w:r>
      <w:proofErr w:type="spellStart"/>
      <w:r w:rsidRPr="009F44A4">
        <w:rPr>
          <w:color w:val="000000" w:themeColor="text1"/>
          <w:sz w:val="20"/>
          <w:szCs w:val="20"/>
          <w:shd w:val="clear" w:color="auto" w:fill="FFFFFF"/>
        </w:rPr>
        <w:t>fucosylation</w:t>
      </w:r>
      <w:proofErr w:type="spellEnd"/>
      <w:r w:rsidRPr="009F44A4">
        <w:rPr>
          <w:color w:val="000000" w:themeColor="text1"/>
          <w:sz w:val="20"/>
          <w:szCs w:val="20"/>
          <w:shd w:val="clear" w:color="auto" w:fill="FFFFFF"/>
        </w:rPr>
        <w:t xml:space="preserve"> within their Fc domains, according to two current studies</w:t>
      </w:r>
      <w:r w:rsidR="006F6EDB" w:rsidRPr="009F44A4">
        <w:rPr>
          <w:color w:val="000000" w:themeColor="text1"/>
          <w:sz w:val="20"/>
          <w:szCs w:val="20"/>
          <w:shd w:val="clear" w:color="auto" w:fill="FFFFFF"/>
        </w:rPr>
        <w:t xml:space="preserve"> </w:t>
      </w:r>
      <w:r w:rsidR="006F6EDB"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{"citationID":"pAbHdQiF","properties":{"formattedCitation":"\\super 208,209\\nosupersub{}","plainCitation":"208,209","noteIndex":0},"citationItems":[{"id":1576,"uris":["http://zotero.org/users/local/ZR048J0w/items/GRCEABHX"],"uri":["http://zotero.org/users/local/ZR048J0w/items/GRCEABHX"],"itemData":{"id":1576,"type":"article-journal","abstract":"The ongoing severe acute respiratory syndrome coronavirus 2 (SARS-CoV-2) pandemic has caused a public health crisis that is exacerbated by our poor understanding of correlates of immunity. SARS-CoV-2 infection can cause Coronavirus Disease 2019 (COVID-19), ...","container-title":"medRxiv","DOI":"10.1101/2020.05.15.20103341","language":"en","note":"publisher: Cold Spring Harbor Laboratory Preprints\nPMID: 32511463","source":"www.ncbi.nlm.nih.gov","title":"Symptomatic SARS-CoV-2 infections display specific IgG Fc structures","URL":"https://www.ncbi.nlm.nih.gov/pmc/articles/PMC7252581/","author":[{"family":"Chakraborty","given":"Saborni"},{"family":"Edwards","given":"Karlie"},{"family":"Buzzanco","given":"Anthony S."},{"family":"Memoli","given":"Matthew J."},{"family":"Sherwood","given":"Robert"},{"family":"Mallajosyula","given":"Vamsee"},{"family":"Xie","given":"Markus M."},{"family":"Gonzalez","given":"Joseph"},{"family":"Buffone","given":"Cindy"},{"family":"Kathale","given":"Nimish"},{"family":"Providenza","given":"Susan"},{"family":"Jagannathan","given":"Prasanna"},{"family":"Andrews","given":"Jason R."},{"family":"Blish","given":"Catherine A."},{"family":"Krammer","given":"Florian"},{"family":"Dugan","given":"Haley"},{"family":"Wilson","given":"Patrick C."},{"family":"Pham","given":"Tho D."},{"family":"Boyd","given":"Scott D."},{"family":"Zhang","given":"Sheng"},{"family":"Taubenberger","given":"Jeffery K."},{"family":"Morales","given":"Tasha"},{"family":"Schapiro","given":"Jeffrey M."},{"family":"Parsonnet","given":"Julie"},{"family":"Wang","given":"Taia T."}],"accessed":{"date-parts":[["2023",1,11]]}}},{"id":1571,"uris":["http://zotero.org/users/local/ZR048J0w/items/EANPITDK"],"uri":["http://zotero.org/users/local/ZR048J0w/items/EANPITDK"],"itemData":{"id":1571,"type":"article-journal","abstract":"&lt;h3&gt;Abstract&lt;/h3&gt; &lt;p&gt;IgG antibodies are crucial for protection against invading pathogens. A highly conserved N-linked glycan within the IgG-Fc-tail, essential for IgG function, shows variable composition in humans. Afucosylated IgG variants are already used in anti-cancer therapeutic antibodies for their elevated binding and killing activity through Fc receptors (FcγRIIIa). Here, we report that afucosylated IgG which are of minor abundance in humans (</w:instrText>
      </w:r>
      <w:r w:rsidR="00236558">
        <w:rPr>
          <w:rFonts w:ascii="Cambria Math" w:hAnsi="Cambria Math" w:cs="Cambria Math"/>
          <w:color w:val="000000" w:themeColor="text1"/>
          <w:sz w:val="20"/>
          <w:szCs w:val="20"/>
          <w:shd w:val="clear" w:color="auto" w:fill="FFFFFF"/>
        </w:rPr>
        <w:instrText>∼</w:instrText>
      </w:r>
      <w:r w:rsidR="00236558">
        <w:rPr>
          <w:color w:val="000000" w:themeColor="text1"/>
          <w:sz w:val="20"/>
          <w:szCs w:val="20"/>
          <w:shd w:val="clear" w:color="auto" w:fill="FFFFFF"/>
        </w:rPr>
        <w:instrText xml:space="preserve">6% of total IgG) are specifically formed against surface epitopes of enveloped viruses after natural infections or immunization with attenuated viruses, while protein subunit immunization does not elicit this low fucose response. This can give beneficial strong responses, but can also go awry, resulting in a cytokine-storm and immune-mediated pathologies. In the case of COVID-19, the critically ill show aggravated afucosylated-IgG responses against the viral spike protein. In contrast, those clearing the infection unaided show higher fucosylation levels of the anti-spike protein IgG. Our findings indicate antibody glycosylation as a potential factor in inflammation and protection in enveloped virus infections including COVID-19.&lt;/p&gt;","container-title":"bioRxiv","DOI":"10.1101/2020.05.18.099507","language":"en","note":"publisher: Cold Spring Harbor Laboratory\nsection: New Results","page":"2020.05.18.099507","source":"www.biorxiv.org","title":"Afucosylated immunoglobulin G responses are a hallmark of enveloped virus infections and show an exacerbated phenotype in COVID-19","author":[{"family":"Larsen","given":"Mads Delbo"},{"family":"Graaf","given":"Erik L.","dropping-particle":"de"},{"family":"Sonneveld","given":"Myrthe E."},{"family":"Plomp","given":"H. Rosina"},{"family":"Linty","given":"Federica"},{"family":"Visser","given":"Remco"},{"family":"Brinkhaus","given":"Maximilian"},{"family":"Šuštić","given":"Tonći"},{"family":"Taeye","given":"Steven W.","dropping-particle":"de"},{"family":"Bentlage","given":"Arthur E. H."},{"family":"Nouta","given":"Jan"},{"family":"Natunen","given":"Suvi"},{"family":"Koeleman","given":"Carolien A. M."},{"family":"Sainio","given":"Susanna"},{"family":"Kootstra","given":"Neeltje A."},{"family":"Brouwer","given":"Philip J. M."},{"family":"Sanders","given":"Rogier W."},{"family":"Gils","given":"Marit J.","dropping-particle":"van"},{"family":"Bruin","given":"Sanne","dropping-particle":"de"},{"family":"Vlaar","given":"Alexander P. J."},{"family":"Group","given":"Amsterdam UMC COVID-19","dropping-particle":"biobank study"},{"family":"Zaaijer","given":"Hans L."},{"family":"Wuhrer","given":"Manfred"},{"family":"Schoot","given":"C. Ellen","dropping-particle":"van der"},{"family":"Vidarsson","given":"Gestur"}],"issued":{"date-parts":[["2020",5,18]]}}}],"schema":"https://github.com/citation-style-language/schema/raw/master/csl-citation.json"} </w:instrText>
      </w:r>
      <w:r w:rsidR="006F6EDB" w:rsidRPr="009F44A4">
        <w:rPr>
          <w:color w:val="000000" w:themeColor="text1"/>
          <w:sz w:val="20"/>
          <w:szCs w:val="20"/>
          <w:shd w:val="clear" w:color="auto" w:fill="FFFFFF"/>
        </w:rPr>
        <w:fldChar w:fldCharType="separate"/>
      </w:r>
      <w:r w:rsidR="00236558" w:rsidRPr="00236558">
        <w:rPr>
          <w:sz w:val="20"/>
          <w:vertAlign w:val="superscript"/>
        </w:rPr>
        <w:t>208,209</w:t>
      </w:r>
      <w:r w:rsidR="006F6EDB"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a phenotype linked to higher affinity for </w:t>
      </w:r>
      <w:proofErr w:type="spellStart"/>
      <w:r w:rsidRPr="009F44A4">
        <w:rPr>
          <w:color w:val="000000" w:themeColor="text1"/>
          <w:sz w:val="20"/>
          <w:szCs w:val="20"/>
          <w:shd w:val="clear" w:color="auto" w:fill="FFFFFF"/>
        </w:rPr>
        <w:t>FcRIIIa</w:t>
      </w:r>
      <w:proofErr w:type="spellEnd"/>
      <w:r w:rsidRPr="009F44A4">
        <w:rPr>
          <w:color w:val="000000" w:themeColor="text1"/>
          <w:sz w:val="20"/>
          <w:szCs w:val="20"/>
          <w:shd w:val="clear" w:color="auto" w:fill="FFFFFF"/>
        </w:rPr>
        <w:t xml:space="preserve">. Increased affinity can be beneficial in some instances due to more robust </w:t>
      </w:r>
      <w:proofErr w:type="spellStart"/>
      <w:r w:rsidRPr="009F44A4">
        <w:rPr>
          <w:color w:val="000000" w:themeColor="text1"/>
          <w:sz w:val="20"/>
          <w:szCs w:val="20"/>
          <w:shd w:val="clear" w:color="auto" w:fill="FFFFFF"/>
        </w:rPr>
        <w:t>FcRIIIa</w:t>
      </w:r>
      <w:proofErr w:type="spellEnd"/>
      <w:r w:rsidRPr="009F44A4">
        <w:rPr>
          <w:color w:val="000000" w:themeColor="text1"/>
          <w:sz w:val="20"/>
          <w:szCs w:val="20"/>
          <w:shd w:val="clear" w:color="auto" w:fill="FFFFFF"/>
        </w:rPr>
        <w:t xml:space="preserve">-mediated effector </w:t>
      </w:r>
      <w:proofErr w:type="spellStart"/>
      <w:r w:rsidRPr="009F44A4">
        <w:rPr>
          <w:color w:val="000000" w:themeColor="text1"/>
          <w:sz w:val="20"/>
          <w:szCs w:val="20"/>
          <w:shd w:val="clear" w:color="auto" w:fill="FFFFFF"/>
        </w:rPr>
        <w:t>responses</w:t>
      </w:r>
      <w:r w:rsidR="00220700"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{"citationID":"OuvZE9i1","properties":{"formattedCitation":"\\super 210,211\\nosupersub{}","plainCitation":"210,211","noteIndex":0},"citationItems":[{"id":1513,"uris":["http://zotero.org/users/local/ZR048J0w/items/M22VXNNV"],"uri":["http://zotero.org/users/local/ZR048J0w/items/M22VXNNV"],"itemData":{"id":1513,"type":"article-journal","abstract":"Respiratory syncytial virus (RSV) can cause devastating lower respiratory tract infections in preterm infants or when other serious health problems are present. Immunoprophylaxis with palivizumab (Synagis), a humanized IgG1 mAb, is the current standard of care for preventing RSV infection in at-risk neonates. We have explored the contribution of effector function to palivizumab efficacy using a plant-based expression system to produce palivizumab N-glycan structure variants with high homogeneity on different antibody isotypes. We compared these isotype and N-glycoform variants with commercially available palivizumab with respect to both in vitro receptor and C1q binding and in vivo efficacy. Whereas the affinity for antigen and neutralization activity of each variant were indistinguishable from those of palivizumab, their Fcγ receptor binding profiles were very different, which was reflected in either a reduced or enhanced ability to influence the RSV lung titer in challenged cotton rats. Enhanced Fcγ receptor binding was associated with reduced viral lung titers compared with palivizumab, whereas abrogation of receptor binding led to a drastic reduction in efficacy. The results support the hypotheses that classic antibody neutralization is a minor component of efficacy by palivizumab in the cotton rat and that antibody-dependent cell-mediated cytotoxicity activity can significantly enhance the efficacy of this antiviral mAb.","container-title":"Proceedings of the National Academy of Sciences","DOI":"10.1073/pnas.1402458111","issue":"16","note":"publisher: Proceedings of the National Academy of Sciences","page":"5992-5997","source":"pnas.org (Atypon)","title":"Glycan variants of a respiratory syncytial virus antibody with enhanced effector function and in vivo efficacy","volume":"111","author":[{"family":"Hiatt","given":"Andrew"},{"family":"Bohorova","given":"Natasha"},{"family":"Bohorov","given":"Ognian"},{"family":"Goodman","given":"Charles"},{"family":"Kim","given":"Do"},{"family":"Pauly","given":"Michael H."},{"family":"Velasco","given":"Jesus"},{"family":"Whaley","given":"Kevin J."},{"family":"Piedra","given":"Pedro A."},{"family":"Gilbert","given":"Brian E."},{"family":"Zeitlin","given":"Larry"}],"issued":{"date-parts":[["2014",4,22]]}}},{"id":1515,"uris":["http://zotero.org/users/local/ZR048J0w/items/VRZVW63P"],"uri":["http://zotero.org/users/local/ZR048J0w/items/VRZVW63P"],"itemData":{"id":1515,"type":"article-journal","abstract":"No countermeasures currently exist for the prevention or treatment of the severe sequelae of Filovirus (such as Ebola virus; EBOV) infection. To overcome this limitation in our biodefense preparedness, we have designed monoclonal antibodies (mAbs) which could be used in humans as immunoprotectants for EBOV, starting with a murine mAb (13F6) that recognizes the heavily glycosylated mucin-like domain of the virion-attached glycoprotein (GP). Point mutations were introduced into the variable region of the murine mAb to remove predicted human T-cell epitopes, and the variable regions joined to human constant regions to generate a mAb (h-13F6) appropriate for development for human use. We have evaluated the efficacy of three variants of h-13F6 carrying different glycosylation patterns in a lethal mouse EBOV challenge model. The pattern of glycosylation of the various mAbs was found to correlate to level of protection, with aglycosylated h-13F6 providing the least potent efficacy (ED50 = 33 μg). A version with typical heterogenous mammalian glycoforms (ED50 = 11 μg) had similar potency to the original murine mAb. However, h-13F6 carrying complex N-glycosylation lacking core fucose exhibited superior potency (ED50 = 3 μg). Binding studies using Fcγ receptors revealed enhanced binding of nonfucosylated h-13F6 to mouse and human FcγRIII. Together the results indicate the presence of Fc N-glycans enhances the protective efficacy of h-13F6, and that mAbs manufactured with uniform glycosylation and a higher potency glycoform offer promise as biodefense therapeutics.","container-title":"Proceedings of the National Academy of Sciences","DOI":"10.1073/pnas.1108360108","issue":"51","note":"publisher: Proceedings of the National Academy of Sciences","page":"20690-20694","source":"pnas.org (Atypon)","title":"Enhanced potency of a fucose-free monoclonal antibody being developed as an Ebola virus immunoprotectant","volume":"108","author":[{"family":"Zeitlin","given":"Larry"},{"family":"Pettitt","given":"James"},{"family":"Scully","given":"Corinne"},{"family":"Bohorova","given":"Natasha"},{"family":"Kim","given":"Do"},{"family":"Pauly","given":"Michael"},{"family":"Hiatt","given":"Andrew"},{"family":"Ngo","given":"Long"},{"family":"Steinkellner","given":"Herta"},{"family":"Whaley","given":"Kevin J."},{"family":"Olinger","given":"Gene G."}],"issued":{"date-parts":[["2011",12,20]]}}}],"schema":"https://github.com/citation-style-language/schema/raw/master/csl-citation.json"} </w:instrText>
      </w:r>
      <w:r w:rsidR="00220700" w:rsidRPr="009F44A4">
        <w:rPr>
          <w:color w:val="000000" w:themeColor="text1"/>
          <w:sz w:val="20"/>
          <w:szCs w:val="20"/>
          <w:shd w:val="clear" w:color="auto" w:fill="FFFFFF"/>
        </w:rPr>
        <w:fldChar w:fldCharType="separate"/>
      </w:r>
      <w:r w:rsidR="00236558" w:rsidRPr="00236558">
        <w:rPr>
          <w:sz w:val="20"/>
          <w:vertAlign w:val="superscript"/>
        </w:rPr>
        <w:t>210,211</w:t>
      </w:r>
      <w:proofErr w:type="spellEnd"/>
      <w:r w:rsidR="00220700" w:rsidRPr="009F44A4">
        <w:rPr>
          <w:color w:val="000000" w:themeColor="text1"/>
          <w:sz w:val="20"/>
          <w:szCs w:val="20"/>
          <w:shd w:val="clear" w:color="auto" w:fill="FFFFFF"/>
        </w:rPr>
        <w:fldChar w:fldCharType="end"/>
      </w:r>
      <w:r w:rsidR="00220700"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while </w:t>
      </w:r>
      <w:proofErr w:type="spellStart"/>
      <w:r w:rsidRPr="009F44A4">
        <w:rPr>
          <w:color w:val="000000" w:themeColor="text1"/>
          <w:sz w:val="20"/>
          <w:szCs w:val="20"/>
          <w:shd w:val="clear" w:color="auto" w:fill="FFFFFF"/>
        </w:rPr>
        <w:t>afucosylated</w:t>
      </w:r>
      <w:proofErr w:type="spellEnd"/>
      <w:r w:rsidRPr="009F44A4">
        <w:rPr>
          <w:color w:val="000000" w:themeColor="text1"/>
          <w:sz w:val="20"/>
          <w:szCs w:val="20"/>
          <w:shd w:val="clear" w:color="auto" w:fill="FFFFFF"/>
        </w:rPr>
        <w:t xml:space="preserve"> non-neutralizing </w:t>
      </w:r>
      <w:proofErr w:type="spellStart"/>
      <w:r w:rsidRPr="009F44A4">
        <w:rPr>
          <w:color w:val="000000" w:themeColor="text1"/>
          <w:sz w:val="20"/>
          <w:szCs w:val="20"/>
          <w:shd w:val="clear" w:color="auto" w:fill="FFFFFF"/>
        </w:rPr>
        <w:t>IgG</w:t>
      </w:r>
      <w:proofErr w:type="spellEnd"/>
      <w:r w:rsidRPr="009F44A4">
        <w:rPr>
          <w:color w:val="000000" w:themeColor="text1"/>
          <w:sz w:val="20"/>
          <w:szCs w:val="20"/>
          <w:shd w:val="clear" w:color="auto" w:fill="FFFFFF"/>
        </w:rPr>
        <w:t xml:space="preserve"> (immunoglobulin-G) antibodies against dengue virus were linked to worse clinical outcomes</w:t>
      </w:r>
      <w:r w:rsidR="00531F8E" w:rsidRPr="009F44A4">
        <w:rPr>
          <w:color w:val="000000" w:themeColor="text1"/>
          <w:sz w:val="20"/>
          <w:szCs w:val="20"/>
          <w:shd w:val="clear" w:color="auto" w:fill="FFFFFF"/>
        </w:rPr>
        <w:t xml:space="preserve"> </w:t>
      </w:r>
      <w:r w:rsidR="00531F8E"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{"citationID":"M12bRdyk","properties":{"formattedCitation":"\\super 212\\nosupersub{}","plainCitation":"212","noteIndex":0},"citationItems":[{"id":1523,"uris":["http://zotero.org/users/local/ZR048J0w/items/65X4YSDL"],"uri":["http://zotero.org/users/local/ZR048J0w/items/65X4YSDL"],"itemData":{"id":1523,"type":"article-journal","abstract":"Dengue virus (DENV) infection in the presence of reactive, non-neutralizing IgG (RNNIg) is the greatest risk factor for dengue hemorrhagic fever (DHF) or shock syndrome (DSS). Progression to DHF/DSS is attributed to antibody-dependent enhancement (ADE); ...","container-title":"Science (New York, N.Y.)","DOI":"10.1126/science.aai8128","issue":"6323","language":"en","note":"publisher: NIH Public Access\nPMID: 28126818","page":"395","source":"www.ncbi.nlm.nih.gov","title":"IgG antibodies to dengue enhanced for FcγRIIIA binding determine disease severity","volume":"355","author":[{"family":"Wang","given":"Taia T."},{"family":"Sewatanon","given":"Jaturong"},{"family":"Memoli","given":"Matthew J."},{"family":"Wrammert","given":"Jens"},{"family":"Bournazos","given":"Stylianos"},{"family":"Bhaumik","given":"Siddhartha Kumar"},{"family":"Pinsky","given":"Benjamin A."},{"family":"Chokephaibulkit","given":"Kulkanya"},{"family":"Onlamoon","given":"Nattawat"},{"family":"Pattanapanyasat","given":"Kovit"},{"family":"Taubenberger","given":"Jeffery K."},{"family":"Ahmed","given":"Rafi"},{"family":"Ravetch","given":"Jeffrey V."}],"issued":{"date-parts":[["2017",1,1]]}}}],"schema":"https://github.com/citation-style-language/schema/raw/master/csl-citation.json"} </w:instrText>
      </w:r>
      <w:r w:rsidR="00531F8E" w:rsidRPr="009F44A4">
        <w:rPr>
          <w:color w:val="000000" w:themeColor="text1"/>
          <w:sz w:val="20"/>
          <w:szCs w:val="20"/>
          <w:shd w:val="clear" w:color="auto" w:fill="FFFFFF"/>
        </w:rPr>
        <w:fldChar w:fldCharType="separate"/>
      </w:r>
      <w:r w:rsidR="00236558" w:rsidRPr="00236558">
        <w:rPr>
          <w:sz w:val="20"/>
          <w:vertAlign w:val="superscript"/>
        </w:rPr>
        <w:t>212</w:t>
      </w:r>
      <w:r w:rsidR="00531F8E" w:rsidRPr="009F44A4">
        <w:rPr>
          <w:color w:val="000000" w:themeColor="text1"/>
          <w:sz w:val="20"/>
          <w:szCs w:val="20"/>
          <w:shd w:val="clear" w:color="auto" w:fill="FFFFFF"/>
        </w:rPr>
        <w:fldChar w:fldCharType="end"/>
      </w:r>
      <w:r w:rsidR="00531F8E"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Larsen et al. also discovered that patients with COVID-19 and acute respiratory distress syndrome had lower S-specific </w:t>
      </w:r>
      <w:proofErr w:type="spellStart"/>
      <w:r w:rsidRPr="009F44A4">
        <w:rPr>
          <w:color w:val="000000" w:themeColor="text1"/>
          <w:sz w:val="20"/>
          <w:szCs w:val="20"/>
          <w:shd w:val="clear" w:color="auto" w:fill="FFFFFF"/>
        </w:rPr>
        <w:t>IgG</w:t>
      </w:r>
      <w:proofErr w:type="spellEnd"/>
      <w:r w:rsidRPr="009F44A4">
        <w:rPr>
          <w:color w:val="000000" w:themeColor="text1"/>
          <w:sz w:val="20"/>
          <w:szCs w:val="20"/>
          <w:shd w:val="clear" w:color="auto" w:fill="FFFFFF"/>
        </w:rPr>
        <w:t xml:space="preserve"> levels than those with asymptomatic or moderate illnesses</w:t>
      </w:r>
      <w:r w:rsidR="006F6EDB" w:rsidRPr="009F44A4">
        <w:rPr>
          <w:color w:val="000000" w:themeColor="text1"/>
          <w:sz w:val="20"/>
          <w:szCs w:val="20"/>
          <w:shd w:val="clear" w:color="auto" w:fill="FFFFFF"/>
        </w:rPr>
        <w:t xml:space="preserve"> </w:t>
      </w:r>
      <w:r w:rsidR="006F6EDB"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{"citationID":"QfPJjyWz","properties":{"formattedCitation":"\\super 209\\nosupersub{}","plainCitation":"209","noteIndex":0},"citationItems":[{"id":1571,"uris":["http://zotero.org/users/local/ZR048J0w/items/EANPITDK"],"uri":["http://zotero.org/users/local/ZR048J0w/items/EANPITDK"],"itemData":{"id":1571,"type":"article-journal","abstract":"&lt;h3&gt;Abstract&lt;/h3&gt; &lt;p&gt;IgG antibodies are crucial for protection against invading pathogens. A highly conserved N-linked glycan within the IgG-Fc-tail, essential for IgG function, shows variable composition in humans. Afucosylated IgG variants are already used in anti-cancer therapeutic antibodies for their elevated binding and killing activity through Fc receptors (FcγRIIIa). Here, we report that afucosylated IgG which are of minor abundance in humans (</w:instrText>
      </w:r>
      <w:r w:rsidR="00236558">
        <w:rPr>
          <w:rFonts w:ascii="Cambria Math" w:hAnsi="Cambria Math" w:cs="Cambria Math"/>
          <w:color w:val="000000" w:themeColor="text1"/>
          <w:sz w:val="20"/>
          <w:szCs w:val="20"/>
          <w:shd w:val="clear" w:color="auto" w:fill="FFFFFF"/>
        </w:rPr>
        <w:instrText>∼</w:instrText>
      </w:r>
      <w:r w:rsidR="00236558">
        <w:rPr>
          <w:color w:val="000000" w:themeColor="text1"/>
          <w:sz w:val="20"/>
          <w:szCs w:val="20"/>
          <w:shd w:val="clear" w:color="auto" w:fill="FFFFFF"/>
        </w:rPr>
        <w:instrText xml:space="preserve">6% of total IgG) are specifically formed against surface epitopes of enveloped viruses after natural infections or immunization with attenuated viruses, while protein subunit immunization does not elicit this low fucose response. This can give beneficial strong responses, but can also go awry, resulting in a cytokine-storm and immune-mediated pathologies. In the case of COVID-19, the critically ill show aggravated afucosylated-IgG responses against the viral spike protein. In contrast, those clearing the infection unaided show higher fucosylation levels of the anti-spike protein IgG. Our findings indicate antibody glycosylation as a potential factor in inflammation and protection in enveloped virus infections including COVID-19.&lt;/p&gt;","container-title":"bioRxiv","DOI":"10.1101/2020.05.18.099507","language":"en","note":"publisher: Cold Spring Harbor Laboratory\nsection: New Results","page":"2020.05.18.099507","source":"www.biorxiv.org","title":"Afucosylated immunoglobulin G responses are a hallmark of enveloped virus infections and show an exacerbated phenotype in COVID-19","author":[{"family":"Larsen","given":"Mads Delbo"},{"family":"Graaf","given":"Erik L.","dropping-particle":"de"},{"family":"Sonneveld","given":"Myrthe E."},{"family":"Plomp","given":"H. Rosina"},{"family":"Linty","given":"Federica"},{"family":"Visser","given":"Remco"},{"family":"Brinkhaus","given":"Maximilian"},{"family":"Šuštić","given":"Tonći"},{"family":"Taeye","given":"Steven W.","dropping-particle":"de"},{"family":"Bentlage","given":"Arthur E. H."},{"family":"Nouta","given":"Jan"},{"family":"Natunen","given":"Suvi"},{"family":"Koeleman","given":"Carolien A. M."},{"family":"Sainio","given":"Susanna"},{"family":"Kootstra","given":"Neeltje A."},{"family":"Brouwer","given":"Philip J. M."},{"family":"Sanders","given":"Rogier W."},{"family":"Gils","given":"Marit J.","dropping-particle":"van"},{"family":"Bruin","given":"Sanne","dropping-particle":"de"},{"family":"Vlaar","given":"Alexander P. J."},{"family":"Group","given":"Amsterdam UMC COVID-19","dropping-particle":"biobank study"},{"family":"Zaaijer","given":"Hans L."},{"family":"Wuhrer","given":"Manfred"},{"family":"Schoot","given":"C. Ellen","dropping-particle":"van der"},{"family":"Vidarsson","given":"Gestur"}],"issued":{"date-parts":[["2020",5,18]]}}}],"schema":"https://github.com/citation-style-language/schema/raw/master/csl-citation.json"} </w:instrText>
      </w:r>
      <w:r w:rsidR="006F6EDB" w:rsidRPr="009F44A4">
        <w:rPr>
          <w:color w:val="000000" w:themeColor="text1"/>
          <w:sz w:val="20"/>
          <w:szCs w:val="20"/>
          <w:shd w:val="clear" w:color="auto" w:fill="FFFFFF"/>
        </w:rPr>
        <w:fldChar w:fldCharType="separate"/>
      </w:r>
      <w:r w:rsidR="00236558" w:rsidRPr="00236558">
        <w:rPr>
          <w:sz w:val="20"/>
          <w:vertAlign w:val="superscript"/>
        </w:rPr>
        <w:t>209</w:t>
      </w:r>
      <w:r w:rsidR="006F6EDB" w:rsidRPr="009F44A4">
        <w:rPr>
          <w:color w:val="000000" w:themeColor="text1"/>
          <w:sz w:val="20"/>
          <w:szCs w:val="20"/>
          <w:shd w:val="clear" w:color="auto" w:fill="FFFFFF"/>
        </w:rPr>
        <w:fldChar w:fldCharType="end"/>
      </w:r>
      <w:r w:rsidR="006F6EDB"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It's unknown if decreased </w:t>
      </w:r>
      <w:proofErr w:type="spellStart"/>
      <w:r w:rsidRPr="009F44A4">
        <w:rPr>
          <w:color w:val="000000" w:themeColor="text1"/>
          <w:sz w:val="20"/>
          <w:szCs w:val="20"/>
          <w:shd w:val="clear" w:color="auto" w:fill="FFFFFF"/>
        </w:rPr>
        <w:t>fucosylation</w:t>
      </w:r>
      <w:proofErr w:type="spellEnd"/>
      <w:r w:rsidRPr="009F44A4">
        <w:rPr>
          <w:color w:val="000000" w:themeColor="text1"/>
          <w:sz w:val="20"/>
          <w:szCs w:val="20"/>
          <w:shd w:val="clear" w:color="auto" w:fill="FFFFFF"/>
        </w:rPr>
        <w:t xml:space="preserve"> of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-2-specific antibodies caused COVID-19 immunopathology.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(severe acute respiratory syndrome coronavirus-2), on the other hand, has not been shown to infect macrophages in a productive manner</w:t>
      </w:r>
      <w:r w:rsidR="000332F9" w:rsidRPr="009F44A4">
        <w:rPr>
          <w:color w:val="000000" w:themeColor="text1"/>
          <w:sz w:val="20"/>
          <w:szCs w:val="20"/>
          <w:shd w:val="clear" w:color="auto" w:fill="FFFFFF"/>
        </w:rPr>
        <w:t xml:space="preserve"> </w:t>
      </w:r>
      <w:r w:rsidR="000332F9"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{"citationID":"CClVSIMn","properties":{"formattedCitation":"\\super 213,214\\nosupersub{}","plainCitation":"213,214","noteIndex":0},"citationItems":[{"id":1527,"uris":["http://zotero.org/users/local/ZR048J0w/items/FAKKCEPL"],"uri":["http://zotero.org/users/local/ZR048J0w/items/FAKKCEPL"],"itemData":{"id":1527,"type":"article-journal","container-title":"Lancet Respir Med","language":"en","page":"687-695","source":"pesquisa.bvsalud.org","title":"Tropism, replication competence, and innate immune responses of the coronavirus SARS-CoV-2 in human respiratory tract and conjunctiva: an analysis in ex-vivo and in-vitro cultures.","title-short":"Tropism, replication competence, and innate immune responses of the coronavirus SARS-CoV-2 in human respiratory tract and conjunctiva","author":[{"family":"Hui","given":"Kenrie P. Y."},{"family":"Cheung","given":"Man-Chun"},{"family":"Perera","given":"Ranawaka A. P. M."},{"family":"Ng","given":"Ka-Chun"},{"family":"Bui","given":"Christine H. T."},{"family":"Ho","given":"John C. W."},{"family":"Ng","given":"Mandy M. T."},{"family":"Kuok","given":"Denise I. T."},{"family":"Shih","given":"Kendrick C."},{"family":"Tsao","given":"Sai-Wah"},{"family":"Poon","given":"Leo L. M."},{"family":"Peiris","given":"Malik"},{"family":"Nicholls","given":"John M."},{"family":"Chan","given":"Michael C. W."}],"issued":{"date-parts":[["2020"]]}}},{"id":1529,"uris":["http://zotero.org/users/local/ZR048J0w/items/82NNEDP4"],"uri":["http://zotero.org/users/local/ZR048J0w/items/82NNEDP4"],"itemData":{"id":1529,"type":"article-journal","abstract":"BACKGROUND: Public health risks associated to infection by human coronaviruses remain considerable and vaccination is a key option for preventing the resurgence of severe acute respiratory syndrome coronavirus (SARS-CoV). We have previously reported that antibodies elicited by a SARS-CoV vaccine candidate based on recombinant, full-length SARS-CoV Spike-protein trimers, trigger infection of immune cell lines. These observations prompted us to investigate the molecular mechanisms and responses to antibody-mediated infection in human macrophages.\nMETHODS: We have used primary human immune cells to evaluate their susceptibility to infection by SARS-CoV in the presence of anti-Spike antibodies. Fluorescence microscopy and real-time quantitative reverse transcriptase polymerase chain reaction (RT-PCR) were utilized to assess occurrence and consequences of infection. To gain insight into the underlying molecular mechanism, we performed mutational analysis with a series of truncated and chimeric constructs of fragment crystallizable γ receptors (FcγR), which bind antibody-coated pathogens.\nRESULTS: We show here that anti-Spike immune serum increased infection of human monocyte-derived macrophages by replication-competent SARS-CoV as well as Spike-pseudotyped lentiviral particles (SARS-CoVpp). Macrophages infected with SARS-CoV, however, did not support productive replication of the virus. Purified anti-viral IgGs, but not other soluble factor(s) from heat-inactivated mouse immune serum, were sufficient to enhance infection. Antibody-mediated infection was dependent on signaling-competent members of the human FcγRII family, which were shown to confer susceptibility to otherwise naïve ST486 cells, as binding of immune complexes to cell surface FcγRII was necessary but not sufficient to trigger antibody-dependent enhancement (ADE) of infection. Furthermore, only FcγRII with intact cytoplasmic signaling domains were competent to sustain ADE of SARS-CoVpp infection, thus providing additional information on the role of downstream signaling by FcγRII.\nCONCLUSIONS: These results demonstrate that human macrophages can be infected by SARS-CoV as a result of IgG-mediated ADE and indicate that this infection route requires signaling pathways activated downstream of binding to FcγRII receptors.","container-title":"Virology Journal","DOI":"10.1186/1743-422X-11-82","ISSN":"1743-422X","journalAbbreviation":"Virol J","language":"eng","note":"PMID: 24885320\nPMCID: PMC4018502","page":"82","source":"PubMed","title":"Antibody-dependent infection of human macrophages by severe acute respiratory syndrome coronavirus","volume":"11","author":[{"family":"Yip","given":"Ming Shum"},{"family":"Leung","given":"Nancy Hiu Lan"},{"family":"Cheung","given":"Chung Yan"},{"family":"Li","given":"Ping Hung"},{"family":"Lee","given":"Horace Hok Yeung"},{"family":"Daëron","given":"Marc"},{"family":"Peiris","given":"Joseph Sriyal Malik"},{"family":"Bruzzone","given":"Roberto"},{"family":"Jaume","given":"Martial"}],"issued":{"date-parts":[["2014",5,6]]}}}],"schema":"https://github.com/citation-style-language/schema/raw/master/csl-citation.json"} </w:instrText>
      </w:r>
      <w:r w:rsidR="000332F9" w:rsidRPr="009F44A4">
        <w:rPr>
          <w:color w:val="000000" w:themeColor="text1"/>
          <w:sz w:val="20"/>
          <w:szCs w:val="20"/>
          <w:shd w:val="clear" w:color="auto" w:fill="FFFFFF"/>
        </w:rPr>
        <w:fldChar w:fldCharType="separate"/>
      </w:r>
      <w:r w:rsidR="00236558" w:rsidRPr="00236558">
        <w:rPr>
          <w:sz w:val="20"/>
          <w:vertAlign w:val="superscript"/>
        </w:rPr>
        <w:t>213,214</w:t>
      </w:r>
      <w:r w:rsidR="000332F9" w:rsidRPr="009F44A4">
        <w:rPr>
          <w:color w:val="000000" w:themeColor="text1"/>
          <w:sz w:val="20"/>
          <w:szCs w:val="20"/>
          <w:shd w:val="clear" w:color="auto" w:fill="FFFFFF"/>
        </w:rPr>
        <w:fldChar w:fldCharType="end"/>
      </w:r>
      <w:r w:rsidR="000332F9"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As a result, the available evidence suggests that the most plausible ADE </w:t>
      </w:r>
      <w:r w:rsidRPr="009F44A4">
        <w:rPr>
          <w:color w:val="000000" w:themeColor="text1"/>
          <w:sz w:val="20"/>
          <w:szCs w:val="20"/>
          <w:shd w:val="clear" w:color="auto" w:fill="FFFFFF"/>
        </w:rPr>
        <w:lastRenderedPageBreak/>
        <w:t xml:space="preserve">mechanism related to COVID-19 disease is the creation of antibodies–antigen immune complexes, which results in immune cascade </w:t>
      </w:r>
      <w:proofErr w:type="spellStart"/>
      <w:r w:rsidRPr="009F44A4">
        <w:rPr>
          <w:color w:val="000000" w:themeColor="text1"/>
          <w:sz w:val="20"/>
          <w:szCs w:val="20"/>
          <w:shd w:val="clear" w:color="auto" w:fill="FFFFFF"/>
        </w:rPr>
        <w:t>hyperactivation</w:t>
      </w:r>
      <w:proofErr w:type="spellEnd"/>
      <w:r w:rsidRPr="009F44A4">
        <w:rPr>
          <w:color w:val="000000" w:themeColor="text1"/>
          <w:sz w:val="20"/>
          <w:szCs w:val="20"/>
          <w:shd w:val="clear" w:color="auto" w:fill="FFFFFF"/>
        </w:rPr>
        <w:t xml:space="preserve"> in lung tissue.</w:t>
      </w:r>
    </w:p>
    <w:p w14:paraId="540861C1" w14:textId="09E0A044"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Early immunization findings reveal substantial antibody responses by day 14</w:t>
      </w:r>
      <w:r w:rsidR="00F96A15" w:rsidRPr="009F44A4">
        <w:rPr>
          <w:color w:val="000000" w:themeColor="text1"/>
          <w:sz w:val="20"/>
          <w:szCs w:val="20"/>
          <w:shd w:val="clear" w:color="auto" w:fill="FFFFFF"/>
        </w:rPr>
        <w:t xml:space="preserve"> </w:t>
      </w:r>
      <w:r w:rsidR="00F96A15"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{"citationID":"o5XF5CP2","properties":{"formattedCitation":"\\super 215\\nosupersub{}","plainCitation":"215","noteIndex":0},"citationItems":[{"id":1534,"uris":["http://zotero.org/users/local/ZR048J0w/items/9R3GWXM7"],"uri":["http://zotero.org/users/local/ZR048J0w/items/9R3GWXM7"],"itemData":{"id":1534,"type":"article-journal","abstract":"Background\nThe severe acute respiratory syndrome coronavirus 2 (SARS-CoV-2) emerged in late 2019 and spread globally, prompting an international effort to accelerate development of a vaccine. The candidate vaccine mRNA-1273 encodes the stabilized prefusion SARS-CoV-2 spike protein.\n\nMethods\nWe conducted a phase 1, dose-escalation, open-label trial including 45 healthy adults, 18 to 55 years of age, who received two vaccinations, 28 days apart, with mRNA-1273 in a dose of 25 μg, 100 μg, or 250 μg. There were 15 participants in each dose group.\n\nResults\nAfter the first vaccination, antibody responses were higher with higher dose (day 29 enzyme-linked immunosorbent assay anti–S-2P antibody geometric mean titer [GMT], 40,227 in the 25-μg group, 109,209 in the 100-μg group, and 213,526 in the 250-μg group). After the second vaccination, the titers increased (day 57 GMT, 299,751, 782,719, and 1,192,154, respectively). After the second vaccination, serum-neutralizing activity was detected by two methods in all participants evaluated, with values generally similar to those in the upper half of the distribution of a panel of control convalescent serum specimens. Solicited adverse events that occurred in more than half the participants included fatigue, chills, headache, myalgia, and pain at the injection site. Systemic adverse events were more common after the second vaccination, particularly with the highest dose, and three participants (21%) in the 250-μg dose group reported one or more severe adverse events.\n\nConclusions\nThe mRNA-1273 vaccine induced anti–SARS-CoV-2 immune responses in all participants, and no trial-limiting safety concerns were identified. These findings support further development of this vaccine. (Funded by the National Institute of Allergy and Infectious Diseases and others; mRNA-1273 ClinicalTrials.gov number, NCT04283461).","container-title":"The New England Journal of Medicine","DOI":"10.1056/NEJMoa2022483","ISSN":"0028-4793","journalAbbreviation":"N Engl J Med","note":"PMID: 32663912\nPMCID: PMC7377258","page":"NEJMoa2022483","source":"PubMed Central","title":"An mRNA Vaccine against SARS-CoV-2 — Preliminary Report","author":[{"family":"Jackson","given":"Lisa A."},{"family":"Anderson","given":"Evan J."},{"family":"Rouphael","given":"Nadine G."},{"family":"Roberts","given":"Paul C."},{"family":"Makhene","given":"Mamodikoe"},{"family":"Coler","given":"Rhea N."},{"family":"McCullough","given":"Michele P."},{"family":"Chappell","given":"James D."},{"family":"Denison","given":"Mark R."},{"family":"Stevens","given":"Laura J."},{"family":"Pruijssers","given":"Andrea J."},{"family":"McDermott","given":"Adrian"},{"family":"Flach","given":"Britta"},{"family":"Doria-Rose","given":"Nicole A."},{"family":"Corbett","given":"Kizzmekia S."},{"family":"Morabito","given":"Kaitlyn M."},{"family":"O’Dell","given":"Sijy"},{"family":"Schmidt","given":"Stephen D."},{"family":"Swanson","given":"Phillip A."},{"family":"Padilla","given":"Marcelino"},{"family":"Mascola","given":"John R."},{"family":"Neuzil","given":"Kathleen M."},{"family":"Bennett","given":"Hamilton"},{"family":"Sun","given":"Wellington"},{"family":"Peters","given":"Etza"},{"family":"Makowski","given":"Mat"},{"family":"Albert","given":"Jim"},{"family":"Cross","given":"Kaitlyn"},{"family":"Buchanan","given":"Wendy"},{"family":"Pikaart-Tautges","given":"Rhonda"},{"family":"Ledgerwood","given":"Julie E."},{"family":"Graham","given":"Barney S."},{"family":"Beigel","given":"John H."}],"issued":{"date-parts":[["2020",7,14]]}}}],"schema":"https://github.com/citation-style-language/schema/raw/master/csl-citation.json"} </w:instrText>
      </w:r>
      <w:r w:rsidR="00F96A15" w:rsidRPr="009F44A4">
        <w:rPr>
          <w:color w:val="000000" w:themeColor="text1"/>
          <w:sz w:val="20"/>
          <w:szCs w:val="20"/>
          <w:shd w:val="clear" w:color="auto" w:fill="FFFFFF"/>
        </w:rPr>
        <w:fldChar w:fldCharType="separate"/>
      </w:r>
      <w:r w:rsidR="00236558" w:rsidRPr="00236558">
        <w:rPr>
          <w:sz w:val="20"/>
          <w:vertAlign w:val="superscript"/>
        </w:rPr>
        <w:t>215</w:t>
      </w:r>
      <w:r w:rsidR="00F96A15" w:rsidRPr="009F44A4">
        <w:rPr>
          <w:color w:val="000000" w:themeColor="text1"/>
          <w:sz w:val="20"/>
          <w:szCs w:val="20"/>
          <w:shd w:val="clear" w:color="auto" w:fill="FFFFFF"/>
        </w:rPr>
        <w:fldChar w:fldCharType="end"/>
      </w:r>
      <w:r w:rsidR="00F96A15"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indicating memory B-cell responses with cross-reactivity antibodies from different coronavirus variants (s). For both SARS</w:t>
      </w:r>
      <w:r w:rsidR="0044444F" w:rsidRPr="009F44A4">
        <w:rPr>
          <w:color w:val="000000" w:themeColor="text1"/>
          <w:sz w:val="20"/>
          <w:szCs w:val="20"/>
          <w:shd w:val="clear" w:color="auto" w:fill="FFFFFF"/>
        </w:rPr>
        <w:t xml:space="preserve"> </w:t>
      </w:r>
      <w:r w:rsidR="0044444F"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{"citationID":"mXRTcddE","properties":{"formattedCitation":"\\super 216\\nosupersub{}","plainCitation":"216","noteIndex":0},"citationItems":[{"id":1538,"uris":["http://zotero.org/users/local/ZR048J0w/items/Q7NY9TFK"],"uri":["http://zotero.org/users/local/ZR048J0w/items/Q7NY9TFK"],"itemData":{"id":1538,"type":"article-journal","abstract":"BACKGROUND: The association between a robust or depressed antibody response and clinical severity of SARS remains unknown.\nOBJECTIVES: To study seroconversion and the magnitude of IgG responses in a SARS cohort with different disease severities.\nSTUDY DESIGN AND METHOD: A retrospective analysis of all acute and convalescent-phase sera collected from a cohort of laboratory-confirmed SARS cases. Anti-SARS-CoV IgG antibody was detected using indirect immunofluorescence technique and quantified by two-fold serial dilutions. Characteristics of patients who seroconverted \"early\" (&lt;median interval) were compared to those documented to remain sero-negative during the same time interval. Median IgG levels in convalescent-phase sera (collected within 30 days) were compared among patients with different disease severities. Correlations between IgG levels and important laboratory parameters were assessed.\nRESULTS: A total of 325 laboratory-confirmed SARS cases were analyzed; of which 301 (92.6%) had anti-SARS-CoV IgG detected in their sera at the time of sampling. IgG was first detected on day 4 of illness; seroconversion occurred at a median of 16 days (range 4-35 days), and IgG peak levels were reached in the fourth week. Early seroconversion (&lt;day 16) occurred more frequently among patients who required ICU-admission (chi2; p=0.011). Higher IgG levels were detected in patients who required supplemental oxygen (Mann-Whitney; p=0.002), ICU-admission (p=0.001), had negative pre-discharge fecal RT-PCR results (p=0.004), and lymphopenia at presentation (p=0.028). Peak IgG titres also correlated positively with peak LDH levels (Spearman's r=+0.360; p&lt;0.001) among survivors.\nCONCLUSIONS: Severe SARS is associated with a more robust IgG response.","container-title":"Journal of Clinical Virology: The Official Publication of the Pan American Society for Clinical Virology","DOI":"10.1016/j.jcv.2005.07.005","ISSN":"1386-6532","issue":"2","journalAbbreviation":"J Clin Virol","language":"eng","note":"PMID: 16112612\nPMCID: PMC7108264","page":"179-184","source":"PubMed","title":"Anti-SARS-CoV IgG response in relation to disease severity of severe acute respiratory syndrome","volume":"35","author":[{"family":"Lee","given":"Nelson"},{"family":"Chan","given":"P. K. S."},{"family":"Ip","given":"Margaret"},{"family":"Wong","given":"Eric"},{"family":"Ho","given":"Jenny"},{"family":"Ho","given":"Catherine"},{"family":"Cockram","given":"C. S."},{"family":"Hui","given":"David S."}],"issued":{"date-parts":[["2006",2]]}}}],"schema":"https://github.com/citation-style-language/schema/raw/master/csl-citation.json"} </w:instrText>
      </w:r>
      <w:r w:rsidR="0044444F" w:rsidRPr="009F44A4">
        <w:rPr>
          <w:color w:val="000000" w:themeColor="text1"/>
          <w:sz w:val="20"/>
          <w:szCs w:val="20"/>
          <w:shd w:val="clear" w:color="auto" w:fill="FFFFFF"/>
        </w:rPr>
        <w:fldChar w:fldCharType="separate"/>
      </w:r>
      <w:r w:rsidR="00236558" w:rsidRPr="00236558">
        <w:rPr>
          <w:sz w:val="20"/>
          <w:vertAlign w:val="superscript"/>
        </w:rPr>
        <w:t>216</w:t>
      </w:r>
      <w:r w:rsidR="0044444F"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and COVID-19</w:t>
      </w:r>
      <w:r w:rsidR="00D62117" w:rsidRPr="009F44A4">
        <w:rPr>
          <w:color w:val="000000" w:themeColor="text1"/>
          <w:sz w:val="20"/>
          <w:szCs w:val="20"/>
          <w:shd w:val="clear" w:color="auto" w:fill="FFFFFF"/>
        </w:rPr>
        <w:t xml:space="preserve"> </w:t>
      </w:r>
      <w:r w:rsidR="00D62117"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{"citationID":"cXyh6e9b","properties":{"formattedCitation":"\\super 188,217\\uc0\\u8211{}221\\nosupersub{}","plainCitation":"188,217–221","noteIndex":0},"citationItems":[{"id":1544,"uris":["http://zotero.org/users/local/ZR048J0w/items/6K5267JG"],"uri":["http://zotero.org/users/local/ZR048J0w/items/6K5267JG"],"itemData":{"id":1544,"type":"article-journal","abstract":"The emerging coronavirus disease 2019 (COVID-19) has become a serious global public health threat. With more and more recovered patients, it is urgently needed for evaluation of the neutralizing antibody (NAb) in these patients. In this study, we collected blood samples from 49 patients recently recovered from COVID-19. Serum NAbs were measured using a novel surrogate virus neutralization test (sVNT). Factors associated with NAb titers were analyzed using Ordinary Least Squares regression model. The median age of the study participants was 37 years (IQR, 30.0–54.5) and 55.1 % (27/49) of which were male. The median time to blood collection (for NAb analysis) from illness onset, viral clearance and discharge were 43.0 days (IQR, 36.0–50.0), 27.0 days (IQR, 20.5–37) and 17.0 days (IQR, 15.0–33.0), respectively. Patients had a median NAb titer of 1: 40 (IQR, 1:15–1:120). NAbs were not detected in two asymptomatic children who quickly cleared the virus. NAb titers were higher in patients with older age (p = 0.020), symptomatic infection (p = 0.044), more profound lung involvement (p</w:instrText>
      </w:r>
      <w:r w:rsidR="00236558">
        <w:rPr>
          <w:rFonts w:ascii="MS Gothic" w:eastAsia="MS Gothic" w:hAnsi="MS Gothic" w:cs="MS Gothic" w:hint="eastAsia"/>
          <w:color w:val="000000" w:themeColor="text1"/>
          <w:sz w:val="20"/>
          <w:szCs w:val="20"/>
          <w:shd w:val="clear" w:color="auto" w:fill="FFFFFF"/>
        </w:rPr>
        <w:instrText>＜</w:instrText>
      </w:r>
      <w:r w:rsidR="00236558">
        <w:rPr>
          <w:color w:val="000000" w:themeColor="text1"/>
          <w:sz w:val="20"/>
          <w:szCs w:val="20"/>
          <w:shd w:val="clear" w:color="auto" w:fill="FFFFFF"/>
        </w:rPr>
        <w:instrText>0.001), abnormal C-reactive protein level (p</w:instrText>
      </w:r>
      <w:r w:rsidR="00236558">
        <w:rPr>
          <w:rFonts w:ascii="MS Gothic" w:eastAsia="MS Gothic" w:hAnsi="MS Gothic" w:cs="MS Gothic" w:hint="eastAsia"/>
          <w:color w:val="000000" w:themeColor="text1"/>
          <w:sz w:val="20"/>
          <w:szCs w:val="20"/>
          <w:shd w:val="clear" w:color="auto" w:fill="FFFFFF"/>
        </w:rPr>
        <w:instrText>＜</w:instrText>
      </w:r>
      <w:r w:rsidR="00236558">
        <w:rPr>
          <w:color w:val="000000" w:themeColor="text1"/>
          <w:sz w:val="20"/>
          <w:szCs w:val="20"/>
          <w:shd w:val="clear" w:color="auto" w:fill="FFFFFF"/>
        </w:rPr>
        <w:instrText xml:space="preserve">0.01) and elevated lactate dehydrogenase (p = 0.019). Multivariable analysis revealed that severity of pneumonia and having comorbidity positively correlated with NAb titers in recovered patients (p = 0.02), while use of corticosteroids negatively impacted NAb titers (p = 0.01). Our study suggests that some COVID-19 patients may not have detectable NAb after recovery. SARS-CoV-2 NAb titers are positively correlated with severity of COVID-19 pneumonia.","container-title":"Biomedicine &amp; Pharmacotherapy","DOI":"10.1016/j.biopha.2020.110629","ISSN":"0753-3322","journalAbbreviation":"Biomedicine &amp; Pharmacotherapy","language":"en","page":"110629","source":"ScienceDirect","title":"SARS-CoV-2 neutralizing antibody levels are correlated with severity of COVID-19 pneumonia","volume":"130","author":[{"family":"Chen","given":"Wei"},{"family":"Zhang","given":"Jie"},{"family":"Qin","given":"Xijian"},{"family":"Wang","given":"Weixiao"},{"family":"Xu","given":"Miaomiao"},{"family":"Wang","given":"Lin-Fa"},{"family":"Xu","given":"Chuanjun"},{"family":"Tang","given":"Shuangshuang"},{"family":"Liu","given":"Pei"},{"family":"Zhang","given":"Libo"},{"family":"Liu","given":"Xuan"},{"family":"Zhang","given":"Yongchen"},{"family":"Yi","given":"Changhua"},{"family":"Hu","given":"Zhiliang"},{"family":"Yi","given":"Yongxiang"}],"issued":{"date-parts":[["2020",10,1]]}}},{"id":1559,"uris":["http://zotero.org/users/local/ZR048J0w/items/96422S6E"],"uri":["http://zotero.org/users/local/ZR048J0w/items/96422S6E"],"itemData":{"id":1559,"type":"article-journal","abstract":"The relationship between SARS-CoV-2 viral load and risk of disease progression remains largely undefined in coronavirus disease 2019 (COVID-19). Here, we quantify SARS-CoV-2 viral load from participants with a diverse range of COVID-19 disease severity, including those requiring hospitalization, outpatients with mild disease, and individuals with resolved infection. We detected SARS-CoV-2 plasma RNA in 27% of hospitalized participants, and 13% of outpatients diagnosed with COVID-19. Amongst the participants hospitalized with COVID-19, we report that a higher prevalence of detectable SARS-CoV-2 plasma viral load is associated with worse respiratory disease severity, lower absolute lymphocyte counts, and increased markers of inflammation, including C-reactive protein and IL-6. SARS-CoV-2 viral loads, especially plasma viremia, are associated with increased risk of mortality. Our data show that SARS-CoV-2 viral loads may aid in the risk stratification of patients with COVID-19, and therefore its role in disease pathogenesis should be further explored.","container-title":"Nature Communications","DOI":"10.1038/s41467-020-19057-5","ISSN":"2041-1723","issue":"1","journalAbbreviation":"Nat Commun","language":"en","note":"number: 1\npublisher: Nature Publishing Group","page":"5493","source":"www.nature.com","title":"SARS-CoV-2 viral load is associated with increased disease severity and mortality","volume":"11","author":[{"family":"Fajnzylber","given":"Jesse"},{"family":"Regan","given":"James"},{"family":"Coxen","given":"Kendyll"},{"family":"Corry","given":"Heather"},{"family":"Wong","given":"Colline"},{"family":"Rosenthal","given":"Alexandra"},{"family":"Worrall","given":"Daniel"},{"family":"Giguel","given":"Francoise"},{"family":"Piechocka-Trocha","given":"Alicja"},{"family":"Atyeo","given":"Caroline"},{"family":"Fischinger","given":"Stephanie"},{"family":"Chan","given":"Andrew"},{"family":"Flaherty","given":"Keith T."},{"family":"Hall","given":"Kathryn"},{"family":"Dougan","given":"Michael"},{"family":"Ryan","given":"Edward T."},{"family":"Gillespie","given":"Elizabeth"},{"family":"Chishti","given":"Rida"},{"family":"Li","given":"Yijia"},{"family":"Jilg","given":"Nikolaus"},{"family":"Hanidziar","given":"Dusan"},{"family":"Baron","given":"Rebecca M."},{"family":"Baden","given":"Lindsey"},{"family":"Tsibris","given":"Athe M."},{"family":"Armstrong","given":"Katrina A."},{"family":"Kuritzkes","given":"Daniel R."},{"family":"Alter","given":"Galit"},{"family":"Walker","given":"Bruce D."},{"family":"Yu","given":"Xu"},{"family":"Li","given":"Jonathan Z."}],"issued":{"date-parts":[["2020",10,30]]}}},{"id":1541,"uris":["http://zotero.org/users/local/ZR048J0w/items/29V8SUGH"],"uri":["http://zotero.org/users/local/ZR048J0w/items/29V8SUGH"],"itemData":{"id":1541,"type":"article-journal","container-title":"Emerging Microbes &amp; Infections","DOI":"10.1080/22221751.2020.1773324","ISSN":"2222-1751","issue":"1","journalAbbreviation":"Emerg Microbes Infect","language":"eng","note":"PMID: 32515684\nPMCID: PMC7448841","page":"1269-1274","source":"PubMed","title":"Patterns of IgG and IgM antibody response in COVID-19 patients","volume":"9","author":[{"family":"Liu","given":"Xuemei"},{"family":"Wang","given":"Jing"},{"family":"Xu","given":"Xiaolei"},{"family":"Liao","given":"Guojian"},{"family":"Chen","given":"Yaokai"},{"family":"Hu","given":"Chang-Hua"}],"issued":{"date-parts":[["2020",12]]}}},{"id":1553,"uris":["http://zotero.org/users/local/ZR048J0w/items/BLPVHHDY"],"uri":["http://zotero.org/users/local/ZR048J0w/items/BLPVHHDY"],"itemData":{"id":1553,"type":"article-journal","abstract":"The kinetics of IgG avidity maturation during SARS-CoV-2 infection was studied. The IgG avidity assay used a novel label-free immunoassay technology. It was found that there was a strong correlation between IgG avidity and days since symptom onset, and peak readings were significantly higher in severe than mild disease cases.","container-title":"Clinical Infectious Diseases: An Official Publication of the Infectious Diseases Society of America","DOI":"10.1093/cid/ciaa1389","ISSN":"1058-4838","journalAbbreviation":"Clin Infect Dis","note":"PMID: 32927483\nPMCID: PMC7543300","page":"ciaa1389","source":"PubMed Central","title":"Kinetics of SARS-CoV-2 Antibody Avidity Maturation and Association with Disease Severity","author":[{"family":"Luo","given":"Yiqi Ruben"},{"family":"Chakraborty","given":"Indrani"},{"family":"Yun","given":"Cassandra"},{"family":"Wu","given":"Alan H B"},{"family":"Lynch","given":"Kara L"}],"issued":{"date-parts":[["2020",9,14]]}}},{"id":1550,"uris":["http://zotero.org/users/local/ZR048J0w/items/3WIWSBTN"],"uri":["http://zotero.org/users/local/ZR048J0w/items/3WIWSBTN"],"itemData":{"id":1550,"type":"article-journal","container-title":"The Lancet Respiratory Medicine","DOI":"10.1016/S2213-2600(20)30354-4","ISSN":"2213-2600, 2213-2619","issue":"9","journalAbbreviation":"The Lancet Respiratory Medicine","language":"English","note":"publisher: Elsevier\nPMID: 32771081","page":"e70","source":"www.thelancet.com","title":"SARS-CoV-2 viral load predicts COVID-19 mortality","volume":"8","author":[{"family":"Pujadas","given":"Elisabet"},{"family":"Chaudhry","given":"Fayzan"},{"family":"McBride","given":"Russell"},{"family":"Richter","given":"Felix"},{"family":"Zhao","given":"Shan"},{"family":"Wajnberg","given":"Ania"},{"family":"Nadkarni","given":"Girish"},{"family":"Glicksberg","given":"Benjamin S."},{"family":"Houldsworth","given":"Jane"},{"family":"Cordon-Cardo","given":"Carlos"}],"issued":{"date-parts":[["2020",9,1]]}}},{"id":1437,"uris":["http://zotero.org/users/local/ZR048J0w/items/FGFA2AAI"],"uri":["http://zotero.org/users/local/ZR048J0w/items/FGFA2AAI"],"itemData":{"id":1437,"type":"article-journal","abstract":"OBJECTIVE: To evaluate viral loads at different stages of disease progression in patients infected with the 2019 severe acute respiratory syndrome coronavirus 2 (SARS-CoV-2) during the first four months of the epidemic in Zhejiang province, China.\nDESIGN: Retrospective cohort study.\nSETTING: A designated hospital for patients with covid-19 in Zhejiang province, China.\nPARTICIPANTS: 96 consecutively admitted patients with laboratory confirmed SARS-CoV-2 infection: 22 with mild disease and 74 with severe disease. Data were collected from 19 January 2020 to 20 March 2020.\nMAIN OUTCOME MEASURES: Ribonucleic acid (RNA) viral load measured in respiratory, stool, serum, and urine samples. Cycle threshold values, a measure of nucleic acid concentration, were plotted onto the standard curve constructed on the basis of the standard product. Epidemiological, clinical, and laboratory characteristics and treatment and outcomes data were obtained through data collection forms from electronic medical records, and the relation between clinical data and disease severity was analysed.\nRESULTS: 3497 respiratory, stool, serum, and urine samples were collected from patients after admission and evaluated for SARS-CoV-2 RNA viral load. Infection was confirmed in all patients by testing sputum and saliva samples. RNA was detected in the stool of 55 (59%) patients and in the serum of 39 (41%) patients. The urine sample from one patient was positive for SARS-CoV-2. The median duration of virus in stool (22 days, interquartile range 17-31 days) was significantly longer than in respiratory (18 days, 13-29 days; P=0.02) and serum samples (16 days, 11-21 days; P&lt;0.001). The median duration of virus in the respiratory samples of patients with severe disease (21 days, 14-30 days) was significantly longer than in patients with mild disease (14 days, 10-21 days; P=0.04). In the mild group, the viral loads peaked in respiratory samples in the second week from disease onset, whereas viral load continued to be high during the third week in the severe group. Virus duration was longer in patients older than 60 years and in male patients.\nCONCLUSION: The duration of SARS-CoV-2 is significantly longer in stool samples than in respiratory and serum samples, highlighting the need to strengthen the management of stool samples in the prevention and control of the epidemic, and the virus persists longer with higher load and peaks later in the respiratory tissue of patients with severe disease.","container-title":"BMJ (Clinical research ed.)","DOI":"10.1136/bmj.m1443","ISSN":"1756-1833","journalAbbreviation":"BMJ","language":"eng","note":"PMID: 32317267\nPMCID: PMC7190077","page":"m1443","source":"PubMed","title":"Viral load dynamics and disease severity in patients infected with SARS-CoV-2 in Zhejiang province, China, January-March 2020: retrospective cohort study","title-short":"Viral load dynamics and disease severity in patients infected with SARS-CoV-2 in Zhejiang province, China, January-March 2020","volume":"369","author":[{"family":"Zheng","given":"Shufa"},{"family":"Fan","given":"Jian"},{"family":"Yu","given":"Fei"},{"family":"Feng","given":"Baihuan"},{"family":"Lou","given":"Bin"},{"family":"Zou","given":"Qianda"},{"family":"Xie","given":"Guoliang"},{"family":"Lin","given":"Sha"},{"family":"Wang","given":"Ruonan"},{"family":"Yang","given":"Xianzhi"},{"family":"Chen","given":"Weizhen"},{"family":"Wang","given":"Qi"},{"family":"Zhang","given":"Dan"},{"family":"Liu","given":"Yanchao"},{"family":"Gong","given":"Renjie"},{"family":"Ma","given":"Zhaohui"},{"family":"Lu","given":"Siming"},{"family":"Xiao","given":"Yanyan"},{"family":"Gu","given":"Yaxi"},{"family":"Zhang","given":"Jinming"},{"family":"Yao","given":"Hangping"},{"family":"Xu","given":"Kaijin"},{"family":"Lu","given":"Xiaoyang"},{"family":"Wei","given":"Guoqing"},{"family":"Zhou","given":"Jianying"},{"family":"Fang","given":"Qiang"},{"family":"Cai","given":"Hongliu"},{"family":"Qiu","given":"Yunqing"},{"family":"Sheng","given":"Jifang"},{"family":"Chen","given":"Yu"},{"family":"Liang","given":"Tingbo"}],"issued":{"date-parts":[["2020",4,21]]}}}],"schema":"https://github.com/citation-style-language/schema/raw/master/csl-citation.json"} </w:instrText>
      </w:r>
      <w:r w:rsidR="00D62117" w:rsidRPr="009F44A4">
        <w:rPr>
          <w:color w:val="000000" w:themeColor="text1"/>
          <w:sz w:val="20"/>
          <w:szCs w:val="20"/>
          <w:shd w:val="clear" w:color="auto" w:fill="FFFFFF"/>
        </w:rPr>
        <w:fldChar w:fldCharType="separate"/>
      </w:r>
      <w:r w:rsidR="00236558" w:rsidRPr="00236558">
        <w:rPr>
          <w:sz w:val="20"/>
          <w:vertAlign w:val="superscript"/>
        </w:rPr>
        <w:t>188,217–221</w:t>
      </w:r>
      <w:r w:rsidR="00D62117"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early high antibody responses are associated with higher illness severity. Wu et al. found that antibodies from COVID-19 patients allowed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-2 infections of </w:t>
      </w:r>
      <w:proofErr w:type="spellStart"/>
      <w:r w:rsidRPr="009F44A4">
        <w:rPr>
          <w:color w:val="000000" w:themeColor="text1"/>
          <w:sz w:val="20"/>
          <w:szCs w:val="20"/>
          <w:shd w:val="clear" w:color="auto" w:fill="FFFFFF"/>
        </w:rPr>
        <w:t>Raji</w:t>
      </w:r>
      <w:proofErr w:type="spellEnd"/>
      <w:r w:rsidRPr="009F44A4">
        <w:rPr>
          <w:color w:val="000000" w:themeColor="text1"/>
          <w:sz w:val="20"/>
          <w:szCs w:val="20"/>
          <w:shd w:val="clear" w:color="auto" w:fill="FFFFFF"/>
        </w:rPr>
        <w:t xml:space="preserve"> cells (lymphoma cells derived from B lymphocytes), </w:t>
      </w:r>
      <w:proofErr w:type="spellStart"/>
      <w:r w:rsidRPr="009F44A4">
        <w:rPr>
          <w:color w:val="000000" w:themeColor="text1"/>
          <w:sz w:val="20"/>
          <w:szCs w:val="20"/>
          <w:shd w:val="clear" w:color="auto" w:fill="FFFFFF"/>
        </w:rPr>
        <w:t>K562</w:t>
      </w:r>
      <w:proofErr w:type="spellEnd"/>
      <w:r w:rsidRPr="009F44A4">
        <w:rPr>
          <w:color w:val="000000" w:themeColor="text1"/>
          <w:sz w:val="20"/>
          <w:szCs w:val="20"/>
          <w:shd w:val="clear" w:color="auto" w:fill="FFFFFF"/>
        </w:rPr>
        <w:t xml:space="preserve"> cells (derived from monocytes) and primary B cells</w:t>
      </w:r>
      <w:r w:rsidR="003E6745" w:rsidRPr="009F44A4">
        <w:rPr>
          <w:color w:val="000000" w:themeColor="text1"/>
          <w:sz w:val="20"/>
          <w:szCs w:val="20"/>
          <w:shd w:val="clear" w:color="auto" w:fill="FFFFFF"/>
        </w:rPr>
        <w:t xml:space="preserve"> </w:t>
      </w:r>
      <w:r w:rsidR="003E6745"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{"citationID":"jEG3q1A2","properties":{"formattedCitation":"\\super 222\\nosupersub{}","plainCitation":"222","noteIndex":0},"citationItems":[{"id":1569,"uris":["http://zotero.org/users/local/ZR048J0w/items/72BTGJ5F"],"uri":["http://zotero.org/users/local/ZR048J0w/items/72BTGJ5F"],"itemData":{"id":1569,"type":"article-journal","abstract":"&lt;h3&gt;Abstract&lt;/h3&gt; &lt;p&gt;Antibody-dependent enhancement (ADE) has been reported in several virus infections including dengue fever virus, severe acute respiratory syndrome (SARS) and Middle East respiratory syndrome (MERS) coronavirus infection. To study whether ADE is involved in COVID-19 infections, &lt;i&gt;in vitro&lt;/i&gt; pseudotyped SARS-CoV-2 entry into Raji cells, K562 cells, and primary B cells mediated by plasma from recovered COVID-19 patients were employed as models. The enhancement of SARS-CoV-2 entry into cells was more commonly detected in plasma from severely-affected elderly patients with high titers of SARS-CoV-2 spike protein-specific antibodies. Cellular entry was mediated via the engagement of FcγRII receptor through virus-cell membrane fusion, but not by endocytosis. Peptide array scanning analyses showed that antibodies which promote SARS-CoV-2 infection targeted the variable regions of the RBD domain. To further characterize the association between the spike-specific antibody and ADE, an RBD-specific monoclonal antibody (7F3) was isolated from a recovered patient, which potently inhibited SARS-Cov-2 infection of ACE-2 expressing cells and also mediated ADE in Raji cells. Site-directed mutagenesis the spike RBD domain reduced the neutralization activity of 7F3, but did not abolish its binding to the RBD domain. Structural analysis using cryo-electron microscopy (Cryo-EM) revealed that 7F3 binds to spike proteins at a shift-angled pattern with one “up” and two “down” RBDs, resulting in partial overlapping with the receptor binding motif (RBM), while a neutralizing monoclonal antibody that lacked ADE activity binds to spike proteins with three “up” RBDs, resulting in complete overlapping with RBM. Our results revealed that ADE mediated by SARS-CoV-2 spike-specific antibodies could result from binding to the receptor in slightly different pattern from antibodies mediating neutralizations. Studies on ADE using antibodies from recovered patients via cell biology and structural biology technology could be of use for developing novel therapeutic and preventive measures for control of COVID-19 infection.&lt;/p&gt;","container-title":"medRxiv","DOI":"10.1101/2020.10.08.20209114","language":"en","note":"publisher: Cold Spring Harbor Laboratory Press","page":"2020.10.08.20209114","source":"www.medrxiv.org","title":"Antibody-dependent enhancement (ADE) of SARS-CoV-2 infection in recovered COVID-19 patients: studies based on cellular and structural biology analysis","title-short":"Antibody-dependent enhancement (ADE) of SARS-CoV-2 infection in recovered COVID-19 patients","author":[{"family":"Wu","given":"Fan"},{"family":"Yan","given":"Renhong"},{"family":"Liu","given":"Mei"},{"family":"Liu","given":"Zezhong"},{"family":"Wang","given":"Yingdan"},{"family":"Luan","given":"Die"},{"family":"Wu","given":"Kaiyue"},{"family":"Song","given":"Zhigang"},{"family":"Sun","given":"Tingting"},{"family":"Ma","given":"Yunping"},{"family":"Zhang","given":"Yuanyuan"},{"family":"Wang","given":"Qimin"},{"family":"Li","given":"Xiang"},{"family":"Ji","given":"Ping"},{"family":"Li","given":"Yaning"},{"family":"Li","given":"Cheng"},{"family":"Wu","given":"Yanling"},{"family":"Ying","given":"Tianlei"},{"family":"Wen","given":"Yumei"},{"family":"Jiang","given":"Shibo"},{"family":"Zhu","given":"Tongyu"},{"family":"Lu","given":"Lu"},{"family":"Zhang","given":"Yongzhen"},{"family":"Zhou","given":"Qiang"},{"family":"Huang","given":"Jinghe"}],"issued":{"date-parts":[["2020",10,13]]}}}],"schema":"https://github.com/citation-style-language/schema/raw/master/csl-citation.json"} </w:instrText>
      </w:r>
      <w:r w:rsidR="003E6745" w:rsidRPr="009F44A4">
        <w:rPr>
          <w:color w:val="000000" w:themeColor="text1"/>
          <w:sz w:val="20"/>
          <w:szCs w:val="20"/>
          <w:shd w:val="clear" w:color="auto" w:fill="FFFFFF"/>
        </w:rPr>
        <w:fldChar w:fldCharType="separate"/>
      </w:r>
      <w:r w:rsidR="00236558" w:rsidRPr="00236558">
        <w:rPr>
          <w:sz w:val="20"/>
          <w:vertAlign w:val="superscript"/>
        </w:rPr>
        <w:t>222</w:t>
      </w:r>
      <w:r w:rsidR="003E6745" w:rsidRPr="009F44A4">
        <w:rPr>
          <w:color w:val="000000" w:themeColor="text1"/>
          <w:sz w:val="20"/>
          <w:szCs w:val="20"/>
          <w:shd w:val="clear" w:color="auto" w:fill="FFFFFF"/>
        </w:rPr>
        <w:fldChar w:fldCharType="end"/>
      </w:r>
      <w:r w:rsidR="003E6745"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Infection of some phagocytic cells (macrophages) with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may be a significant step in illness development for some patients.</w:t>
      </w:r>
    </w:p>
    <w:p w14:paraId="609AFB15" w14:textId="77777777" w:rsidR="00CE59DA" w:rsidRPr="009F44A4" w:rsidRDefault="00CE59DA" w:rsidP="00DC7281">
      <w:pPr>
        <w:pStyle w:val="NormalWeb"/>
        <w:shd w:val="clear" w:color="auto" w:fill="FFFFFF" w:themeFill="background1"/>
        <w:spacing w:before="240" w:beforeAutospacing="0" w:after="0" w:afterAutospacing="0" w:line="360" w:lineRule="auto"/>
        <w:jc w:val="both"/>
        <w:rPr>
          <w:color w:val="000000" w:themeColor="text1"/>
          <w:sz w:val="20"/>
          <w:szCs w:val="20"/>
        </w:rPr>
      </w:pPr>
      <w:r w:rsidRPr="009F44A4">
        <w:rPr>
          <w:b/>
          <w:bCs/>
          <w:color w:val="000000" w:themeColor="text1"/>
          <w:sz w:val="20"/>
          <w:szCs w:val="20"/>
          <w:shd w:val="clear" w:color="auto" w:fill="FFFFFF"/>
        </w:rPr>
        <w:t>14.3 Vaccine associated Antibody-Dependent Enhancement (ADE) risks-</w:t>
      </w:r>
    </w:p>
    <w:p w14:paraId="349F49E5" w14:textId="0419189E" w:rsidR="00CE59DA" w:rsidRPr="009F44A4" w:rsidRDefault="00CE59DA" w:rsidP="00DC7281">
      <w:pPr>
        <w:pStyle w:val="NormalWeb"/>
        <w:shd w:val="clear" w:color="auto" w:fill="FFFFFF" w:themeFill="background1"/>
        <w:spacing w:before="24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Virus vaccine manufacturing can be done by using live-disarmed virus strains, inactivated (dead) virus, protein components, messenger ribonucleic acid (mRNA) and/or deoxyribonucleic acid (DNA). Vaccines produce antibodies which can fall either in the neutralizing category or non-neutralizing category. We have three known possible processes to support non-neutralizing antibodies in its role towards antiviral activities, they are (CDC) i.e., antibody-mediated complement-dependent cytotoxicity, (ADCC) i.e., antibody-dependent cellular cytotoxicity, and ADCP i.e., antibody-dependent cellular phagocytosis</w:t>
      </w:r>
      <w:r w:rsidR="005147C8" w:rsidRPr="009F44A4">
        <w:rPr>
          <w:color w:val="000000" w:themeColor="text1"/>
          <w:sz w:val="20"/>
          <w:szCs w:val="20"/>
          <w:shd w:val="clear" w:color="auto" w:fill="FFFFFF"/>
        </w:rPr>
        <w:t xml:space="preserve"> </w:t>
      </w:r>
      <w:r w:rsidR="005147C8"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{"citationID":"8BxR40On","properties":{"formattedCitation":"\\super 223\\nosupersub{}","plainCitation":"223","noteIndex":0},"citationItems":[{"id":1580,"uris":["http://zotero.org/users/local/ZR048J0w/items/S7M33C8J"],"uri":["http://zotero.org/users/local/ZR048J0w/items/S7M33C8J"],"itemData":{"id":1580,"type":"article-journal","abstract":"At the moment, developing new broad-spectrum influenza vaccines which would\nhelp avoid annual changes in a vaccine’s strain set is urgency. In\naddition, developing new vaccines based on highly conserved influenza virus\nproteins could allow us to better prepare for potential pandemics and\nsignificantly reduce the damage they cause. Evaluation of the humoral response\nto vaccine administration is a key aspect of the characterization of the\neffectiveness of influenza vaccines. In the development of new broad-spectrum\ninfluenza vaccines, it is important to study the mechanisms of action of\nvarious antibodies, including non-neutralizing ones, as well as to be in the\npossession of methods for quantifying these antibodies after immunization with\nnew vaccines against influenza. In this review, we focused on the mechanisms of\nanti-influenza action of non-neutralizing antibodies, such as\nantibody-dependent cellular cytotoxicity (ADCC), antibody-dependent cellular\nphagocytosis (ADCP), and antibody-mediated complement-dependent cytotoxicity\n(CDC). The influenza virus antigens that trigger these reactions are\nhemagglutinin (HA) and neuraminidase (NA), as well as highly conserved\nantigens, such as M2 (ion channel), M1 (matrix protein), and NP\n(nucleoprotein). In addition, the mechanisms of action and methods for\ndetecting antibodies to neuraminidase (NA) and to the stem domain of\nhemagglutinin (HA) of the influenza virus are considered.","container-title":"Acta Naturae","DOI":"10.32607/20758251-2019-11-4-22-32","ISSN":"2075-8251","issue":"4","journalAbbreviation":"Acta Naturae","note":"PMID: 31993232\nPMCID: PMC6977952","page":"22-32","source":"PubMed Central","title":"Non-neutralizing Antibodies Directed at Conservative Influenza Antigens","volume":"11","author":[{"family":"Sedova","given":"E. S."},{"family":"Scherbinin","given":"D. N."},{"family":"Lysenko","given":"A. A."},{"family":"Alekseeva","given":"S. V."},{"family":"Artemova","given":"E. A."},{"family":"Shmarov","given":"M. M."}],"issued":{"date-parts":[["2019"]]}}}],"schema":"https://github.com/citation-style-language/schema/raw/master/csl-citation.json"} </w:instrText>
      </w:r>
      <w:r w:rsidR="005147C8" w:rsidRPr="009F44A4">
        <w:rPr>
          <w:color w:val="000000" w:themeColor="text1"/>
          <w:sz w:val="20"/>
          <w:szCs w:val="20"/>
          <w:shd w:val="clear" w:color="auto" w:fill="FFFFFF"/>
        </w:rPr>
        <w:fldChar w:fldCharType="separate"/>
      </w:r>
      <w:r w:rsidR="00236558" w:rsidRPr="00236558">
        <w:rPr>
          <w:sz w:val="20"/>
          <w:vertAlign w:val="superscript"/>
        </w:rPr>
        <w:t>223</w:t>
      </w:r>
      <w:r w:rsidR="005147C8"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Against the strains of vaccines and various other closely linked strains, annual influenza vaccine is highly useful as it provides protection by producing neutralizing as well as non-neutralizing antibodies. </w:t>
      </w:r>
    </w:p>
    <w:p w14:paraId="5DE293EE" w14:textId="34054C87"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Vaccine-associated enhanced disease (VAED) can occur when a virus has many circularizing serotypes [e.g., Dengue fever</w:t>
      </w:r>
      <w:r w:rsidR="007C5F29" w:rsidRPr="009F44A4">
        <w:rPr>
          <w:color w:val="000000" w:themeColor="text1"/>
          <w:sz w:val="20"/>
          <w:szCs w:val="20"/>
          <w:shd w:val="clear" w:color="auto" w:fill="FFFFFF"/>
        </w:rPr>
        <w:t xml:space="preserve"> </w:t>
      </w:r>
      <w:r w:rsidR="007C5F29"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{"citationID":"cDdBSFJh","properties":{"formattedCitation":"\\super 182,194,195\\nosupersub{}","plainCitation":"182,194,195","noteIndex":0},"citationItems":[{"id":1420,"uris":["http://zotero.org/users/local/ZR048J0w/items/53HVHWSR"],"uri":["http://zotero.org/users/local/ZR048J0w/items/53HVHWSR"],"itemData":{"id":1420,"type":"article-journal","abstract":"Dengue virus co-circulates as four serotypes, and sequential infections with more than one serotype are common. One hypothesis for the increased severity seen in secondary infections is antibody-dependent enhancement (ADE) leading to increased replication in Fc receptor-bearing cells. In this study, we have generated a panel of human monoclonal antibodies to dengue virus. Antibodies to the structural precursor-membrane protein (prM) form a major component of the response. These antibodies are highly cross-reactive among the dengue virus serotypes and, even at high concentrations, do not neutralize infection but potently promote ADE. We propose that the partial cleavage of prM from the viral surface reduces the density of antigen available for viral neutralization, leaving dengue viruses susceptible to ADE by antibody to prM, a finding that has implications for future vaccine design.","container-title":"Science (New York, N.Y.)","DOI":"10.1126/science.1185181","ISSN":"1095-9203","issue":"5979","journalAbbreviation":"Science","language":"eng","note":"PMID: 20448183\nPMCID: PMC3837288","page":"745-748","source":"Europe PMC","title":"Cross-reacting antibodies enhance dengue virus infection in humans","volume":"328","author":[{"family":"Dejnirattisai","given":"Wanwisa"},{"family":"Jumnainsong","given":"Amonrat"},{"family":"Onsirisakul","given":"Naruthai"},{"family":"Fitton","given":"Patricia"},{"family":"Vasanawathana","given":"Sirijitt"},{"family":"Limpitikul","given":"Wannee"},{"family":"Puttikhunt","given":"Chunya"},{"family":"Edwards","given":"Carolyn"},{"family":"Duangchinda","given":"Thaneeya"},{"family":"Supasa","given":"Sunpetchuda"},{"family":"Chawansuntati","given":"Kriangkrai"},{"family":"Malasit","given":"Prida"},{"family":"Mongkolsapaya","given":"Juthathip"},{"family":"Screaton","given":"Gavin"}],"issued":{"date-parts":[["2010",5,1]]}}},{"id":1457,"uris":["http://zotero.org/users/local/ZR048J0w/items/CCGU8ZIF"],"uri":["http://zotero.org/users/local/ZR048J0w/items/CCGU8ZIF"],"itemData":{"id":1457,"type":"article-journal","abstract":"Severity of disease is markedly increased when infection with dengue virus type 2 follows infection with dengue virus type 2 by an interval of 20 years., Severity of disease is markedly increased when infection with dengue virus type 2 (DENV-2) follows infection with DENV-1. Studies have shown that heterologous neutralizing antibody titers are inversely correlated with severity of a second infection. If this mechanism controlled disease severity in Cuba, heterotypic antibody titers should have declined over time. To determine whether phenotypic changes in dengue antibodies occur over time, we analyzed serum samples collected 4–8 and 20–22 years after DENV-1 infection. We found a significant increase in mean titer of homologous DENV-1 neutralizing antibodies and a significant decrease in heterologous antibodies to 1 of 2 genotypes of DENV-2 virus (the American genotype). Asian DENV-2 viruses were not neutralized during either interval; however, the American genotype underwent phenotypic changes in heterotypic viral neutralizing antibodies in the predicted direction. This finding may be related to the time-dependent changes in severity of disease found with secondary dengue infection.","container-title":"Emerging Infectious Diseases","DOI":"10.3201/eid1302.060539","ISSN":"1080-6040","issue":"2","journalAbbreviation":"Emerg Infect Dis","note":"PMID: 17479892\nPMCID: PMC2725871","page":"282-286","source":"PubMed Central","title":"Neutralizing Antibodies after Infection with Dengue 1 Virus","volume":"13","author":[{"family":"Guzman","given":"Maria G."},{"family":"Alvarez","given":"Mayling"},{"family":"Rodriguez-Roche","given":"Rosmari"},{"family":"Bernardo","given":"Lídice"},{"family":"Montes","given":"Tibaire"},{"family":"Vazquez","given":"Susana"},{"family":"Morier","given":"Luis"},{"family":"Alvarez","given":"Angel"},{"family":"Gould","given":"Ernest A"},{"family":"Kourí","given":"Gustavo"},{"family":"Halstead","given":"Scott B"}],"issued":{"date-parts":[["2007",2]]}}},{"id":1460,"uris":["http://zotero.org/users/local/ZR048J0w/items/ZVQQT6N5"],"uri":["http://zotero.org/users/local/ZR048J0w/items/ZVQQT6N5"],"itemData":{"id":1460,"type":"article-journal","abstract":"For dengue viruses 1 to 4 (DENV1-4), a specific range of antibody titer has been shown to enhance viral replication in vitro and severe disease in animal models. Although suspected, such antibody-dependent enhancement of severe disease has not been shown to occur in humans. Using multiple statistical approaches to study a long-term pediatric cohort in Nicaragua, we show that risk of severe dengue disease is highest within a narrow range of preexisting anti-DENV antibody titers. By contrast, we observe protection from all symptomatic dengue disease at high antibody titers. Thus, immune correlates of severe dengue must be evaluated separately from correlates of protection against symptomatic disease. These results have implications for studies of dengue pathogenesis and for vaccine development, because enhancement, not just lack of protection, is of concern.","container-title":"Science","DOI":"10.1126/science.aan6836","issue":"6365","note":"publisher: American Association for the Advancement of Science","page":"929-932","source":"science.org (Atypon)","title":"Antibody-dependent enhancement of severe dengue disease in humans","volume":"358","author":[{"family":"Katzelnick","given":"Leah C."},{"family":"Gresh","given":"Lionel"},{"family":"Halloran","given":"M. Elizabeth"},{"family":"Mercado","given":"Juan Carlos"},{"family":"Kuan","given":"Guillermina"},{"family":"Gordon","given":"Aubree"},{"family":"Balmaseda","given":"Angel"},{"family":"Harris","given":"Eva"}],"issued":{"date-parts":[["2017",11,17]]}}}],"schema":"https://github.com/citation-style-language/schema/raw/master/csl-citation.json"} </w:instrText>
      </w:r>
      <w:r w:rsidR="007C5F29" w:rsidRPr="009F44A4">
        <w:rPr>
          <w:color w:val="000000" w:themeColor="text1"/>
          <w:sz w:val="20"/>
          <w:szCs w:val="20"/>
          <w:shd w:val="clear" w:color="auto" w:fill="FFFFFF"/>
        </w:rPr>
        <w:fldChar w:fldCharType="separate"/>
      </w:r>
      <w:r w:rsidR="00236558" w:rsidRPr="00236558">
        <w:rPr>
          <w:sz w:val="20"/>
          <w:vertAlign w:val="superscript"/>
        </w:rPr>
        <w:t>182,194,195</w:t>
      </w:r>
      <w:r w:rsidR="007C5F29"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or when the virus leverages antibodies for increased host cell </w:t>
      </w:r>
      <w:proofErr w:type="spellStart"/>
      <w:r w:rsidRPr="009F44A4">
        <w:rPr>
          <w:color w:val="000000" w:themeColor="text1"/>
          <w:sz w:val="20"/>
          <w:szCs w:val="20"/>
          <w:shd w:val="clear" w:color="auto" w:fill="FFFFFF"/>
        </w:rPr>
        <w:t>trophism</w:t>
      </w:r>
      <w:proofErr w:type="spellEnd"/>
      <w:r w:rsidRPr="009F44A4">
        <w:rPr>
          <w:color w:val="000000" w:themeColor="text1"/>
          <w:sz w:val="20"/>
          <w:szCs w:val="20"/>
          <w:shd w:val="clear" w:color="auto" w:fill="FFFFFF"/>
        </w:rPr>
        <w:t xml:space="preserve"> of phagocytic immune cells. Cell membrane fusion processes are seen in many viruses implicated to ADE</w:t>
      </w:r>
      <w:r w:rsidR="00616E1E" w:rsidRPr="009F44A4">
        <w:rPr>
          <w:color w:val="000000" w:themeColor="text1"/>
          <w:sz w:val="20"/>
          <w:szCs w:val="20"/>
          <w:shd w:val="clear" w:color="auto" w:fill="FFFFFF"/>
        </w:rPr>
        <w:t xml:space="preserve"> </w:t>
      </w:r>
      <w:r w:rsidR="00616E1E"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{"citationID":"0MTP66bw","properties":{"formattedCitation":"\\super 224\\nosupersub{}","plainCitation":"224","noteIndex":0},"citationItems":[{"id":1592,"uris":["http://zotero.org/users/local/ZR048J0w/items/HS8Z7VI6"],"uri":["http://zotero.org/users/local/ZR048J0w/items/HS8Z7VI6"],"itemData":{"id":1592,"type":"article-journal","abstract":"Understanding immune responses to viral infections is crucial to progress in the quest for effective infection prevention and control. The host immunity involves various mechanisms to combat viral infections. Under certain circumstances, a viral infection or vaccination may result in a subverted immune system, which may lead to an exacerbated illness. Clinical evidence of enhanced illness by preexisting antibodies from vaccination, infection or maternal passive immunity is available for several viruses and is presumptively proposed for other viruses. Multiple mechanisms have been proposed to explain this phenomenon. It has been confirmed that certain infection- and/or vaccine-induced immunity could exacerbate viral infectivity in Fc receptor- or complement bearing cells- mediated mechanisms. Considering that antibody dependent enhancement (ADE) is a major obstacle in vaccine development, there are continues efforts to understand the underlying mechanisms through identification of the epitopes and antibodies responsible for disease enhancement or protection. This review discusses the recent findings on virally induced ADE, and highlights the potential mechanisms leading to this condition.","container-title":"Frontiers in Microbiology","DOI":"10.3389/fmicb.2018.02991","ISSN":"1664-302X","journalAbbreviation":"Front Microbiol","language":"eng","note":"PMID: 30568643\nPMCID: PMC6290032","page":"2991","source":"PubMed","title":"Viral-Induced Enhanced Disease Illness","volume":"9","author":[{"family":"Smatti","given":"Maria K."},{"family":"Al Thani","given":"Asmaa A."},{"family":"Yassine","given":"Hadi M."}],"issued":{"date-parts":[["2018"]]}}}],"schema":"https://github.com/citation-style-language/schema/raw/master/csl-citation.json"} </w:instrText>
      </w:r>
      <w:r w:rsidR="00616E1E" w:rsidRPr="009F44A4">
        <w:rPr>
          <w:color w:val="000000" w:themeColor="text1"/>
          <w:sz w:val="20"/>
          <w:szCs w:val="20"/>
          <w:shd w:val="clear" w:color="auto" w:fill="FFFFFF"/>
        </w:rPr>
        <w:fldChar w:fldCharType="separate"/>
      </w:r>
      <w:r w:rsidR="00236558" w:rsidRPr="00236558">
        <w:rPr>
          <w:sz w:val="20"/>
          <w:vertAlign w:val="superscript"/>
        </w:rPr>
        <w:t>224</w:t>
      </w:r>
      <w:r w:rsidR="00616E1E"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Vaccine-induced cross-reactive anti-HA2 antibodies expedite viral fusion in a pig model of influenza A H1N1, resulting in vaccine-associated increased respiratory disease (VAERD)</w:t>
      </w:r>
      <w:r w:rsidR="00741813" w:rsidRPr="009F44A4">
        <w:rPr>
          <w:color w:val="000000" w:themeColor="text1"/>
          <w:sz w:val="20"/>
          <w:szCs w:val="20"/>
          <w:shd w:val="clear" w:color="auto" w:fill="FFFFFF"/>
        </w:rPr>
        <w:t xml:space="preserve"> </w:t>
      </w:r>
      <w:r w:rsidR="00741813"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{"citationID":"t356d0dG","properties":{"formattedCitation":"\\super 225\\nosupersub{}","plainCitation":"225","noteIndex":0},"citationItems":[{"id":1595,"uris":["http://zotero.org/users/local/ZR048J0w/items/UUABXTZB"],"uri":["http://zotero.org/users/local/ZR048J0w/items/UUABXTZB"],"itemData":{"id":1595,"type":"article-journal","abstract":"Vaccine-induced disease enhancement has been described in connection with several viral vaccines in animal models and in humans. We investigated a swine model to evaluate mismatched influenza vaccine-associated enhanced respiratory disease (VAERD) after pH1N1 infection. Vaccinating pigs with whole inactivated H1N2 (human-like) virus vaccine (WIV-H1N2) resulted in enhanced pneumonia and disease after pH1N1 infection. WIV-H1N2 immune sera contained high titers of cross-reactive anti-pH1N1 hemagglutinin (HA) antibodies that bound exclusively to the HA2 domain but not to the HA1 globular head. No hemagglutination inhibition titers against pH1N1 (challenge virus) were measured. Epitope mapping using phage display library identified the immunodominant epitope recognized by WIV-H1N2 immune sera as amino acids 32 to 77 of pH1N1-HA2 domain, close to the fusion peptide. These cross-reactive anti-HA2 antibodies enhanced pH1N1 infection of Madin-Darby canine kidney cells by promoting virus membrane fusion activity. The enhanced fusion activity correlated with lung pathology in pigs. This study suggests a role for fusion-enhancing anti-HA2 antibodies in VAERD, in the absence of receptor-blocking virus-neutralizing antibodies. These findings should be considered during the evaluation of universal influenza vaccines designed to elicit HA2 stem-targeting antibodies.","container-title":"Science Translational Medicine","DOI":"10.1126/scitranslmed.3006366","ISSN":"1946-6242","issue":"200","journalAbbreviation":"Sci Transl Med","language":"eng","note":"PMID: 23986398","page":"200ra114","source":"PubMed","title":"Vaccine-induced anti-HA2 antibodies promote virus fusion and enhance influenza virus respiratory disease","volume":"5","author":[{"family":"Khurana","given":"Surender"},{"family":"Loving","given":"Crystal L."},{"family":"Manischewitz","given":"Jody"},{"family":"King","given":"Lisa R."},{"family":"Gauger","given":"Phillip C."},{"family":"Henningson","given":"Jamie"},{"family":"Vincent","given":"Amy L."},{"family":"Golding","given":"Hana"}],"issued":{"date-parts":[["2013",8,28]]}}}],"schema":"https://github.com/citation-style-language/schema/raw/master/csl-citation.json"} </w:instrText>
      </w:r>
      <w:r w:rsidR="00741813" w:rsidRPr="009F44A4">
        <w:rPr>
          <w:color w:val="000000" w:themeColor="text1"/>
          <w:sz w:val="20"/>
          <w:szCs w:val="20"/>
          <w:shd w:val="clear" w:color="auto" w:fill="FFFFFF"/>
        </w:rPr>
        <w:fldChar w:fldCharType="separate"/>
      </w:r>
      <w:r w:rsidR="00236558" w:rsidRPr="00236558">
        <w:rPr>
          <w:sz w:val="20"/>
          <w:vertAlign w:val="superscript"/>
        </w:rPr>
        <w:t>225</w:t>
      </w:r>
      <w:r w:rsidR="00741813"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The respiratory syncytial virus (RSV) caused ADE in the Bonnet monkey model</w:t>
      </w:r>
      <w:r w:rsidR="0061475D" w:rsidRPr="009F44A4">
        <w:rPr>
          <w:color w:val="000000" w:themeColor="text1"/>
          <w:sz w:val="20"/>
          <w:szCs w:val="20"/>
          <w:shd w:val="clear" w:color="auto" w:fill="FFFFFF"/>
        </w:rPr>
        <w:t xml:space="preserve"> </w:t>
      </w:r>
      <w:r w:rsidR="0061475D"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{"citationID":"1MBXIFHN","properties":{"formattedCitation":"\\super 226\\nosupersub{}","plainCitation":"226","noteIndex":0},"citationItems":[{"id":1597,"uris":["http://zotero.org/users/local/ZR048J0w/items/IRVMPANQ"],"uri":["http://zotero.org/users/local/ZR048J0w/items/IRVMPANQ"],"itemData":{"id":1597,"type":"article-journal","abstract":"Respiratory syncytial virus (RSV) is the leading cause of severe respiratory illness in infants. At this young age, infants typically depend on maternally transferred antibodies (matAbs) and their innate immune system for protection against infections. RSV-specific matAbs are thought to protect from severe illness, yet severe RSV disease occurs mainly below 6 months of age, when neutralizing matAb levels are present. To investigate this discrepancy, we asked if disease severity is related to antibody properties other than neutralization. Some antibody effector functions are mediated via their Fc binding region. However, it has been shown that this binding may lead to antibody-dependent enhancement (ADE) of infection or reduction of neutralization, both possibly leading to more disease. In this study, we first showed that high levels of ADE of RSV infection occur in monocytic THP-1 cells in the presence of RSV antibodies and that neutralization by these antibodies was reduced in Vero cells when they were transduced with Fc gamma receptors. We then demonstrated that antibodies from cotton rats with formalin-inactivated (FI)-RSV-induced pulmonary pathology were capable of causing ADE. Human matAbs also caused ADE and were less neutralizing in vitro in cells that carry Fc receptors. However, these effects were unrelated to disease severity because they were seen both in uninfected controls and in infants hospitalized with different levels of RSV disease severity. We conclude that ADE and reduction of neutralization are unlikely to be involved in RSV disease in infants with neutralizing matAbs.IMPORTANCE It is unclear why severity of RSV disease peaks at the age when infants have neutralizing levels of maternal antibodies. Additionally, the exact reason for FI-RSV-induced enhanced disease, as seen in the 1960s vaccine trials, is still unclear. We hypothesized that antibodies present under either of these conditions could contribute to disease severity. Antibodies can have effects that may lead to more disease instead of protection. We investigated two of those effects: antibody-dependent enhancement of infection (ADE) and neutralization reduction. We show that ADE occurs in vitro with antibodies from FI-RSV-immunized RSV-infected cotton rats. Moreover, passively acquired maternal antibodies from infants had the capacity to induce ADE and reduction of neutralization. However, no clear association with disease severity was seen, ruling out that these properties explain disease in the presence of maternal antibodies. Our data contribute to a better understanding of the impact of antibodies on RSV disease in infants.","container-title":"Journal of Virology","DOI":"10.1128/JVI.00851-17","ISSN":"1098-5514","issue":"21","journalAbbreviation":"J Virol","language":"eng","note":"PMID: 28794038\nPMCID: PMC5640862","page":"e00851-17","source":"PubMed","title":"In Vitro Enhancement of Respiratory Syncytial Virus Infection by Maternal Antibodies Does Not Explain Disease Severity in Infants","volume":"91","author":[{"family":"Erp","given":"Elisabeth A.","non-dropping-particle":"van"},{"family":"Kasteren","given":"Puck B.","non-dropping-particle":"van"},{"family":"Guichelaar","given":"Teun"},{"family":"Ahout","given":"Inge M. L."},{"family":"Haan","given":"Cornelis A. M.","non-dropping-particle":"de"},{"family":"Luytjes","given":"Willem"},{"family":"Ferwerda","given":"Gerben"},{"family":"Wicht","given":"Oliver"}],"issued":{"date-parts":[["2017",11,1]]}}}],"schema":"https://github.com/citation-style-language/schema/raw/master/csl-citation.json"} </w:instrText>
      </w:r>
      <w:r w:rsidR="0061475D" w:rsidRPr="009F44A4">
        <w:rPr>
          <w:color w:val="000000" w:themeColor="text1"/>
          <w:sz w:val="20"/>
          <w:szCs w:val="20"/>
          <w:shd w:val="clear" w:color="auto" w:fill="FFFFFF"/>
        </w:rPr>
        <w:fldChar w:fldCharType="separate"/>
      </w:r>
      <w:r w:rsidR="00236558" w:rsidRPr="00236558">
        <w:rPr>
          <w:sz w:val="20"/>
          <w:vertAlign w:val="superscript"/>
        </w:rPr>
        <w:t>226</w:t>
      </w:r>
      <w:r w:rsidR="0061475D"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Van </w:t>
      </w:r>
      <w:proofErr w:type="spellStart"/>
      <w:r w:rsidRPr="009F44A4">
        <w:rPr>
          <w:color w:val="000000" w:themeColor="text1"/>
          <w:sz w:val="20"/>
          <w:szCs w:val="20"/>
          <w:shd w:val="clear" w:color="auto" w:fill="FFFFFF"/>
        </w:rPr>
        <w:t>Erp</w:t>
      </w:r>
      <w:proofErr w:type="spellEnd"/>
      <w:r w:rsidRPr="009F44A4">
        <w:rPr>
          <w:color w:val="000000" w:themeColor="text1"/>
          <w:sz w:val="20"/>
          <w:szCs w:val="20"/>
          <w:shd w:val="clear" w:color="auto" w:fill="FFFFFF"/>
        </w:rPr>
        <w:t xml:space="preserve"> et al. advised against producing respiratory syncytial virus (RSV) non-neutralizing or sub-neutralizing antibodies in order to avoid ADE. ADE has been observed in a number of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-1 animal models. Attempts to produce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-1 vaccines in a mouse model resulted in pulmonary immunopathology after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-1 problem </w:t>
      </w:r>
      <w:r w:rsidR="000572AA"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{"citationID":"wsNGpOJx","properties":{"formattedCitation":"\\super 227,228\\nosupersub{}","plainCitation":"227,228","noteIndex":0},"citationItems":[{"id":1603,"uris":["http://zotero.org/users/local/ZR048J0w/items/TAKSSLIB"],"uri":["http://zotero.org/users/local/ZR048J0w/items/TAKSSLIB"],"itemData":{"id":1603,"type":"article-journal","abstract":"Severe acute respiratory syndrome coronavirus (SARS-CoV) is an important emerging virus that is highly pathogenic in aged populations and is maintained with great diversity in zoonotic reservoirs. While a variety of vaccine platforms have shown efficacy in young-animal models and against homologous viral strains, vaccine efficacy has not been thoroughly evaluated using highly pathogenic variants that replicate the acute end stage lung disease phenotypes seen during the human epidemic. Using an adjuvanted and an unadjuvanted double-inactivated SARS-CoV (DIV) vaccine, we demonstrate an eosinophilic immunopathology in aged mice comparable to that seen in mice immunized with the SARS nucleocapsid protein, and poor protection against a nonlethal heterologous challenge. In young and 1-year-old animals, we demonstrate that adjuvanted DIV vaccine provides protection against lethal disease in young animals following homologous and heterologous challenge, although enhanced immune pathology and eosinophilia are evident following heterologous challenge. In the absence of alum, DIV vaccine performed poorly in young animals challenged with lethal homologous or heterologous strains. In contrast, DIV vaccines (both adjuvanted and unadjuvanted) performed poorly in aged-animal models. Importantly, aged animals displayed increased eosinophilic immune pathology in the lungs and were not protected against significant virus replication. These data raise significant concerns regarding DIV vaccine safety and highlight the need for additional studies of the molecular mechanisms governing DIV-induced eosinophilia and vaccine failure, especially in the more vulnerable aged-animal models of human disease.","container-title":"Journal of Virology","DOI":"10.1128/JVI.06048-11","ISSN":"1098-5514","issue":"23","journalAbbreviation":"J Virol","language":"eng","note":"PMID: 21937658\nPMCID: PMC3209347","page":"12201-12215","source":"PubMed","title":"A double-inactivated severe acute respiratory syndrome coronavirus vaccine provides incomplete protection in mice and induces increased eosinophilic proinflammatory pulmonary response upon challenge","volume":"85","author":[{"family":"Bolles","given":"Meagan"},{"family":"Deming","given":"Damon"},{"family":"Long","given":"Kristin"},{"family":"Agnihothram","given":"Sudhakar"},{"family":"Whitmore","given":"Alan"},{"family":"Ferris","given":"Martin"},{"family":"Funkhouser","given":"William"},{"family":"Gralinski","given":"Lisa"},{"family":"Totura","given":"Allison"},{"family":"Heise","given":"Mark"},{"family":"Baric","given":"Ralph S."}],"issued":{"date-parts":[["2011",12]]}}},{"id":1600,"uris":["http://zotero.org/users/local/ZR048J0w/items/4FD2I4JN"],"uri":["http://zotero.org/users/local/ZR048J0w/items/4FD2I4JN"],"itemData":{"id":1600,"type":"article-journal","abstract":"BACKGROUND: Severe acute respiratory syndrome (SARS) emerged in China in 2002 and spread to other countries before brought under control. Because of a concern for reemergence or a deliberate release of the SARS coronavirus, vaccine development was initiated. Evaluations of an inactivated whole virus vaccine in ferrets and nonhuman primates and a virus-like-particle vaccine in mice induced protection against infection but challenged animals exhibited an immunopathologic-type lung disease.\nDESIGN: Four candidate vaccines for humans with or without alum adjuvant were evaluated in a mouse model of SARS, a VLP vaccine, the vaccine given to ferrets and NHP, another whole virus vaccine and an rDNA-produced S protein. Balb/c or C57BL/6 mice were vaccinated i.m. on day 0 and 28 and sacrificed for serum antibody measurements or challenged with live virus on day 56. On day 58, challenged mice were sacrificed and lungs obtained for virus and histopathology.\nRESULTS: All vaccines induced serum neutralizing antibody with increasing dosages and/or alum significantly increasing responses. Significant reductions of SARS-CoV two days after challenge was seen for all vaccines and prior live SARS-CoV. All mice exhibited histopathologic changes in lungs two days after challenge including all animals vaccinated (Balb/C and C57BL/6) or given live virus, influenza vaccine, or PBS suggesting infection occurred in all. Histopathology seen in animals given one of the SARS-CoV vaccines was uniformly a Th2-type immunopathology with prominent eosinophil infiltration, confirmed with special eosinophil stains. The pathologic changes seen in all control groups lacked the eosinophil prominence.\nCONCLUSIONS: These SARS-CoV vaccines all induced antibody and protection against infection with SARS-CoV. However, challenge of mice given any of the vaccines led to occurrence of Th2-type immunopathology suggesting hypersensitivity to SARS-CoV components was induced. Caution in proceeding to application of a SARS-CoV vaccine in humans is indicated.","container-title":"PloS One","DOI":"10.1371/journal.pone.0035421","ISSN":"1932-6203","issue":"4","journalAbbreviation":"PLoS One","language":"eng","note":"PMID: 22536382\nPMCID: PMC3335060","page":"e35421","source":"PubMed","title":"Immunization with SARS coronavirus vaccines leads to pulmonary immunopathology on challenge with the SARS virus","volume":"7","author":[{"family":"Tseng","given":"Chien-Te"},{"family":"Sbrana","given":"Elena"},{"family":"Iwata-Yoshikawa","given":"Naoko"},{"family":"Newman","given":"Patrick C."},{"family":"Garron","given":"Tania"},{"family":"Atmar","given":"Robert L."},{"family":"Peters","given":"Clarence J."},{"family":"Couch","given":"Robert B."}],"issued":{"date-parts":[["2012"]]}}}],"schema":"https://github.com/citation-style-language/schema/raw/master/csl-citation.json"} </w:instrText>
      </w:r>
      <w:r w:rsidR="000572AA" w:rsidRPr="009F44A4">
        <w:rPr>
          <w:color w:val="000000" w:themeColor="text1"/>
          <w:sz w:val="20"/>
          <w:szCs w:val="20"/>
          <w:shd w:val="clear" w:color="auto" w:fill="FFFFFF"/>
        </w:rPr>
        <w:fldChar w:fldCharType="separate"/>
      </w:r>
      <w:r w:rsidR="00236558" w:rsidRPr="00236558">
        <w:rPr>
          <w:sz w:val="20"/>
          <w:vertAlign w:val="superscript"/>
        </w:rPr>
        <w:t>227,228</w:t>
      </w:r>
      <w:r w:rsidR="000572AA"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these vaccines included inactivated whole viruses, inactivated viruses with adjuvant and a virus-like particle (VLP) vaccine containing a recombinant DNA spike (S) protein vaccine. Animals immunized with </w:t>
      </w:r>
      <w:proofErr w:type="spellStart"/>
      <w:r w:rsidRPr="009F44A4">
        <w:rPr>
          <w:color w:val="000000" w:themeColor="text1"/>
          <w:sz w:val="20"/>
          <w:szCs w:val="20"/>
          <w:shd w:val="clear" w:color="auto" w:fill="FFFFFF"/>
        </w:rPr>
        <w:t>nucleocapsid</w:t>
      </w:r>
      <w:proofErr w:type="spellEnd"/>
      <w:r w:rsidRPr="009F44A4">
        <w:rPr>
          <w:color w:val="000000" w:themeColor="text1"/>
          <w:sz w:val="20"/>
          <w:szCs w:val="20"/>
          <w:shd w:val="clear" w:color="auto" w:fill="FFFFFF"/>
        </w:rPr>
        <w:t xml:space="preserve"> protein suffered severe pneumonia after being exposed to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-1</w:t>
      </w:r>
      <w:r w:rsidR="00FB5C85" w:rsidRPr="009F44A4">
        <w:rPr>
          <w:color w:val="000000" w:themeColor="text1"/>
          <w:sz w:val="20"/>
          <w:szCs w:val="20"/>
          <w:shd w:val="clear" w:color="auto" w:fill="FFFFFF"/>
        </w:rPr>
        <w:t xml:space="preserve"> </w:t>
      </w:r>
      <w:r w:rsidR="00FB5C85"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{"citationID":"Et1F4Bz5","properties":{"formattedCitation":"\\super 229\\nosupersub{}","plainCitation":"229","noteIndex":0},"citationItems":[{"id":1606,"uris":["http://zotero.org/users/local/ZR048J0w/items/PAY8QGHP"],"uri":["http://zotero.org/users/local/ZR048J0w/items/PAY8QGHP"],"itemData":{"id":1606,"type":"article-journal","abstract":"The details of the mechanism by which severe acute respiratory syndrome-associated coronavirus (SARS-CoV) causes severe pneumonia are unclear. We investigated the immune responses and pathologies of SARS-CoV-infected BALB/c mice that were immunized intradermally with recombinant vaccinia virus (VV) that expressed either the SARS-CoV spike (S) protein (LC16m8rVV-S) or simultaneously all the structural proteins, including the nucleocapsid (N), membrane (M), envelope (E), and S proteins (LC16m8rVV-NMES) 7–8 wk before intranasal SARS-CoV infection. The LC16m8rVV-NMES-immunized group exhibited as severe pneumonia as the control groups, although LC16m8rVV-NMES significantly decreased the pulmonary SARS-CoV titer to the same extent as LC16m8rVV-S. To identify the cause of the exacerbated pneumonia, BALB/c mice were immunized with recombinant VV that expressed the individual structural proteins of SARS-CoV (LC16mOrVV-N, -M, -E, -S) with or without LC16mOrVV-S (i.e., LC16mOrVV-N, LC16mOrVV-M, LC16mOrVV-E, or LC16mOrVV-S alone or LC16mOrVV-N + LC16mOrVV-S, LC16mOrVV-M + LC16mOrVV-S, or LC16mOrVV-E + LC16mOrVV-S), and infected with SARS-CoV more than 4 wk later. Both LC16mOrVV-N-immunized mice and LC16mOrVV-N + LC16mOrVV-S-immunized mice exhibited severe pneumonia. Furthermore, LC16mOrVV-N-immunized mice upon infection exhibited significant up-regulation of both Th1 (IFN-γ, IL-2) and Th2 (IL-4, IL-5) cytokines and down-regulation of anti-inflammatory cytokines (IL-10, TGF-β), resulting in robust infiltration of neutrophils, eosinophils, and lymphocytes into the lung, as well as thickening of the alveolar epithelium. These results suggest that an excessive host immune response against the nucleocapsid protein of SARS-CoV is involved in severe pneumonia caused by SARS-CoV infection. These findings increase our understanding of the pathogenesis of SARS.","container-title":"The Journal of Immunology","DOI":"10.4049/jimmunol.181.9.6337","ISSN":"0022-1767","issue":"9","journalAbbreviation":"The Journal of Immunology","page":"6337-6348","source":"Silverchair","title":"Prior Immunization with Severe Acute Respiratory Syndrome (SARS)-Associated Coronavirus (SARS-CoV) Nucleocapsid Protein Causes Severe Pneumonia in Mice Infected with SARS-CoV1","volume":"181","author":[{"family":"Yasui","given":"Fumihiko"},{"family":"Kai","given":"Chieko"},{"family":"Kitabatake","given":"Masahiro"},{"family":"Inoue","given":"Shingo"},{"family":"Yoneda","given":"Misako"},{"family":"Yokochi","given":"Shoji"},{"family":"Kase","given":"Ryoichi"},{"family":"Sekiguchi","given":"Satoshi"},{"family":"Morita","given":"Kouichi"},{"family":"Hishima","given":"Tsunekazu"},{"family":"Suzuki","given":"Hidenori"},{"family":"Karamatsu","given":"Katsuo"},{"family":"Yasutomi","given":"Yasuhiro"},{"family":"Shida","given":"Hisatoshi"},{"family":"Kidokoro","given":"Minoru"},{"family":"Mizuno","given":"Kyosuke"},{"family":"Matsushima","given":"Kouji"},{"family":"Kohara","given":"Michinori"}],"issued":{"date-parts":[["2008",11,1]]}}}],"schema":"https://github.com/citation-style-language/schema/raw/master/csl-citation.json"} </w:instrText>
      </w:r>
      <w:r w:rsidR="00FB5C85" w:rsidRPr="009F44A4">
        <w:rPr>
          <w:color w:val="000000" w:themeColor="text1"/>
          <w:sz w:val="20"/>
          <w:szCs w:val="20"/>
          <w:shd w:val="clear" w:color="auto" w:fill="FFFFFF"/>
        </w:rPr>
        <w:fldChar w:fldCharType="separate"/>
      </w:r>
      <w:r w:rsidR="00236558" w:rsidRPr="00236558">
        <w:rPr>
          <w:sz w:val="20"/>
          <w:vertAlign w:val="superscript"/>
        </w:rPr>
        <w:t>229</w:t>
      </w:r>
      <w:r w:rsidR="00FB5C85" w:rsidRPr="009F44A4">
        <w:rPr>
          <w:color w:val="000000" w:themeColor="text1"/>
          <w:sz w:val="20"/>
          <w:szCs w:val="20"/>
          <w:shd w:val="clear" w:color="auto" w:fill="FFFFFF"/>
        </w:rPr>
        <w:fldChar w:fldCharType="end"/>
      </w:r>
      <w:r w:rsidR="00FB5C85" w:rsidRPr="009F44A4">
        <w:rPr>
          <w:color w:val="000000" w:themeColor="text1"/>
          <w:sz w:val="20"/>
          <w:szCs w:val="20"/>
          <w:shd w:val="clear" w:color="auto" w:fill="FFFFFF"/>
        </w:rPr>
        <w:t>.</w:t>
      </w:r>
    </w:p>
    <w:p w14:paraId="58520513" w14:textId="283BA53E"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 xml:space="preserve">A vaccine comprising recombinant modified </w:t>
      </w:r>
      <w:proofErr w:type="spellStart"/>
      <w:r w:rsidRPr="009F44A4">
        <w:rPr>
          <w:color w:val="000000" w:themeColor="text1"/>
          <w:sz w:val="20"/>
          <w:szCs w:val="20"/>
          <w:shd w:val="clear" w:color="auto" w:fill="FFFFFF"/>
        </w:rPr>
        <w:t>vaccinia</w:t>
      </w:r>
      <w:proofErr w:type="spellEnd"/>
      <w:r w:rsidRPr="009F44A4">
        <w:rPr>
          <w:color w:val="000000" w:themeColor="text1"/>
          <w:sz w:val="20"/>
          <w:szCs w:val="20"/>
          <w:shd w:val="clear" w:color="auto" w:fill="FFFFFF"/>
        </w:rPr>
        <w:t xml:space="preserve"> virus Ankara (</w:t>
      </w:r>
      <w:proofErr w:type="spellStart"/>
      <w:r w:rsidRPr="009F44A4">
        <w:rPr>
          <w:color w:val="000000" w:themeColor="text1"/>
          <w:sz w:val="20"/>
          <w:szCs w:val="20"/>
          <w:shd w:val="clear" w:color="auto" w:fill="FFFFFF"/>
        </w:rPr>
        <w:t>rMVA</w:t>
      </w:r>
      <w:proofErr w:type="spellEnd"/>
      <w:r w:rsidRPr="009F44A4">
        <w:rPr>
          <w:color w:val="000000" w:themeColor="text1"/>
          <w:sz w:val="20"/>
          <w:szCs w:val="20"/>
          <w:shd w:val="clear" w:color="auto" w:fill="FFFFFF"/>
        </w:rPr>
        <w:t>) expressing the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-1 spike protein exacerbated hepatitis in a ferret model</w:t>
      </w:r>
      <w:r w:rsidR="003E1E8F" w:rsidRPr="009F44A4">
        <w:rPr>
          <w:color w:val="000000" w:themeColor="text1"/>
          <w:sz w:val="20"/>
          <w:szCs w:val="20"/>
          <w:shd w:val="clear" w:color="auto" w:fill="FFFFFF"/>
        </w:rPr>
        <w:t xml:space="preserve"> </w:t>
      </w:r>
      <w:r w:rsidR="003E1E8F"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{"citationID":"pPMYQome","properties":{"formattedCitation":"\\super 230\\nosupersub{}","plainCitation":"230","noteIndex":0},"citationItems":[{"id":1609,"uris":["http://zotero.org/users/local/ZR048J0w/items/RE9FXI8L"],"uri":["http://zotero.org/users/local/ZR048J0w/items/RE9FXI8L"],"itemData":{"id":1609,"type":"article-journal","abstract":"Severe acute respiratory syndrome (SARS) caused by a newly identified coronavirus (SARS-CoV) is a serious emerging human infectious disease. In this report, we immunized ferrets (Mustela putorius furo) with recombinant modified vaccinia virus Ankara (rMVA) expressing the SARS-CoV spike (S) protein. Immunized ferrets developed a more rapid and vigorous neutralizing antibody response than control animals after challenge with SARS-CoV; however, they also exhibited strong inflammatory responses in liver tissue. Inflammation in control animals exposed to SARS-CoV was relatively mild. Thus, our data suggest that vaccination with rMVA expressing SARS-CoV S protein is associated with enhanced hepatitis.","container-title":"Journal of Virology","DOI":"10.1128/JVI.78.22.12672-12676.2004","issue":"22","note":"publisher: American Society for Microbiology","page":"12672-12676","source":"journals.asm.org (Atypon)","title":"Immunization with Modified Vaccinia Virus Ankara-Based Recombinant Vaccine against Severe Acute Respiratory Syndrome Is Associated with Enhanced Hepatitis in Ferrets","volume":"78","author":[{"family":"Weingartl","given":"Hana"},{"family":"Czub","given":"Markus"},{"family":"Czub","given":"Stefanie"},{"family":"Neufeld","given":"James"},{"family":"Marszal","given":"Peter"},{"family":"Gren","given":"Jason"},{"family":"Smith","given":"Greg"},{"family":"Jones","given":"Shane"},{"family":"Proulx","given":"Roxanne"},{"family":"Deschambault","given":"Yvonne"},{"family":"Grudeski","given":"Elsie"},{"family":"Andonov","given":"Anton"},{"family":"He","given":"Runtao"},{"family":"Li","given":"Yan"},{"family":"Copps","given":"John"},{"family":"Grolla","given":"Allen"},{"family":"Dick","given":"Daryl"},{"family":"Berry","given":"Jody"},{"family":"Ganske","given":"Shelley"},{"family":"Manning","given":"Lisa"},{"family":"Cao","given":"Jingxin"}],"issued":{"date-parts":[["2004",11,15]]}}}],"schema":"https://github.com/citation-style-language/schema/raw/master/csl-citation.json"} </w:instrText>
      </w:r>
      <w:r w:rsidR="003E1E8F" w:rsidRPr="009F44A4">
        <w:rPr>
          <w:color w:val="000000" w:themeColor="text1"/>
          <w:sz w:val="20"/>
          <w:szCs w:val="20"/>
          <w:shd w:val="clear" w:color="auto" w:fill="FFFFFF"/>
        </w:rPr>
        <w:fldChar w:fldCharType="separate"/>
      </w:r>
      <w:r w:rsidR="00236558" w:rsidRPr="00236558">
        <w:rPr>
          <w:sz w:val="20"/>
          <w:vertAlign w:val="superscript"/>
        </w:rPr>
        <w:t>230</w:t>
      </w:r>
      <w:r w:rsidR="003E1E8F"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In rhesus macaques, vaccination with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-1 resulted in ADE</w:t>
      </w:r>
      <w:r w:rsidR="00131D5D" w:rsidRPr="009F44A4">
        <w:rPr>
          <w:color w:val="000000" w:themeColor="text1"/>
          <w:sz w:val="20"/>
          <w:szCs w:val="20"/>
          <w:shd w:val="clear" w:color="auto" w:fill="FFFFFF"/>
        </w:rPr>
        <w:t xml:space="preserve"> </w:t>
      </w:r>
      <w:r w:rsidR="00131D5D"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{"citationID":"XTij0f0U","properties":{"formattedCitation":"\\super 176\\nosupersub{}","plainCitation":"176","noteIndex":0},"citationItems":[{"id":1403,"uris":["http://zotero.org/users/local/ZR048J0w/items/QKN5VYKS"],"uri":["http://zotero.org/users/local/ZR048J0w/items/QKN5VYKS"],"itemData":{"id":1403,"type":"article-journal","abstract":"Severe acute respiratory syndrome (SARS) is caused by a coronavirus (SARS-CoV) and has the potential to threaten global public health and socioeconomic stability. Evidence of antibody-dependent enhancement (ADE) of SARS-CoV infection in vitro and in non-human primates clouds the prospects for a safe vaccine. Using antibodies from SARS patients, we identified and characterized SARS-CoV B-cell peptide epitopes with disparate functions. In rhesus macaques, the spike glycoprotein peptides S471–503, S604–625, and S1164–1191 elicited antibodies that efficiently prevented infection in non-human primates. In contrast, peptide S597–603 induced antibodies that enhanced infection both in vitro and in non-human primates by using an epitope sequence-dependent (ESD) mechanism. This peptide exhibited a high level of serological reactivity (64%), which resulted from the additive responses of two tandem epitopes (S597–603 and S604–625) and a long-term human B-cell memory response with antisera from convalescent SARS patients. Thus, peptide-based vaccines against SARS-CoV could be engineered to avoid ADE via elimination of the S597–603 epitope. We provide herein an alternative strategy to prepare a safe and effective vaccine for ADE of viral infection by identifying and eliminating epitope sequence-dependent enhancement of viral infection.","container-title":"ACS Infectious Diseases","DOI":"10.1021/acsinfecdis.6b00006","issue":"5","journalAbbreviation":"ACS Infect. Dis.","note":"publisher: American Chemical Society","page":"361-376","source":"ACS Publications","title":"Immunodominant SARS Coronavirus Epitopes in Humans Elicited both Enhancing and Neutralizing Effects on Infection in Non-human Primates","volume":"2","author":[{"family":"Wang","given":"Qidi"},{"family":"Zhang","given":"Lianfeng"},{"family":"Kuwahara","given":"Kazuhiko"},{"family":"Li","given":"Li"},{"family":"Liu","given":"Zijie"},{"family":"Li","given":"Taisheng"},{"family":"Zhu","given":"Hua"},{"family":"Liu","given":"Jiangning"},{"family":"Xu","given":"Yanfeng"},{"family":"Xie","given":"Jing"},{"family":"Morioka","given":"Hiroshi"},{"family":"Sakaguchi","given":"Nobuo"},{"family":"Qin","given":"Chuan"},{"family":"Liu","given":"Gang"}],"issued":{"date-parts":[["2016",5,13]]}}}],"schema":"https://github.com/citation-style-language/schema/raw/master/csl-citation.json"} </w:instrText>
      </w:r>
      <w:r w:rsidR="00131D5D" w:rsidRPr="009F44A4">
        <w:rPr>
          <w:color w:val="000000" w:themeColor="text1"/>
          <w:sz w:val="20"/>
          <w:szCs w:val="20"/>
          <w:shd w:val="clear" w:color="auto" w:fill="FFFFFF"/>
        </w:rPr>
        <w:fldChar w:fldCharType="separate"/>
      </w:r>
      <w:r w:rsidR="00236558" w:rsidRPr="00236558">
        <w:rPr>
          <w:sz w:val="20"/>
          <w:vertAlign w:val="superscript"/>
        </w:rPr>
        <w:t>176</w:t>
      </w:r>
      <w:r w:rsidR="00131D5D"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-1 ADE is mediated by spike protein antibodies</w:t>
      </w:r>
      <w:r w:rsidR="004B5970" w:rsidRPr="009F44A4">
        <w:rPr>
          <w:color w:val="000000" w:themeColor="text1"/>
          <w:sz w:val="20"/>
          <w:szCs w:val="20"/>
          <w:shd w:val="clear" w:color="auto" w:fill="FFFFFF"/>
        </w:rPr>
        <w:t xml:space="preserve"> </w:t>
      </w:r>
      <w:r w:rsidR="004B5970"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{"citationID":"RijSSdQE","properties":{"formattedCitation":"\\super 231\\nosupersub{}","plainCitation":"231","noteIndex":0},"citationItems":[{"id":1614,"uris":["http://zotero.org/users/local/ZR048J0w/items/IKNAIBLR"],"uri":["http://zotero.org/users/local/ZR048J0w/items/IKNAIBLR"],"itemData":{"id":1614,"type":"article-journal","abstract":"The severe acute respiratory syndrome coronavirus (SARS-CoV) still carries the potential for reemergence, therefore efforts are being made to create a vaccine as a prophylactic strategy for control and prevention. Antibody-dependent enhancement (ADE) is a mechanism through which dengue viruses, feline coronaviruses, and HIV viruses take advantage of anti-viral humoral immune responses to infect host target cells. Here we describe our observations of SARS-CoV using ADE to enhance the infectivity of a HL-CZ human promonocyte cell line. Quantitative-PCR and immunofluorescence staining results indicate that SARS-CoV is capable of replication in HL-CZ cells, and of displaying virus-induced cytopathic effects and increased levels of TNF-α, IL-4 and IL-6 two days post-infection. According to flow cytometry data, the HL-CZ cells also expressed angiotensin converting enzyme 2 (ACE2, a SARS-CoV receptor) and higher levels of the FcγRII receptor. We found that higher concentrations of anti-sera against SARS-CoV neutralized SARS-CoV infection, while highly diluted anti-sera significantly increased SARS-CoV infection and induced higher levels of apoptosis. Results from infectivity assays indicate that SARS-CoV ADE is primarily mediated by diluted antibodies against envelope spike proteins rather than nucleocapsid proteins. We also generated monoclonal antibodies against SARS-CoV spike proteins and observed that most of them promoted SARS-CoV infection. Combined, our results suggest that antibodies against SARS-CoV spike proteins may trigger ADE effects. The data raise new questions regarding a potential SARS-CoV vaccine, while shedding light on mechanisms involved in SARS pathogenesis.","container-title":"Biochemical and Biophysical Research Communications","DOI":"10.1016/j.bbrc.2014.07.090","ISSN":"1090-2104","issue":"2","journalAbbreviation":"Biochem Biophys Res Commun","language":"eng","note":"PMID: 25073113\nPMCID: PMC7092860","page":"208-214","source":"PubMed","title":"Antibody-dependent SARS coronavirus infection is mediated by antibodies against spike proteins","volume":"451","author":[{"family":"Wang","given":"Sheng-Fan"},{"family":"Tseng","given":"Sung-Pin"},{"family":"Yen","given":"Chia-Hung"},{"family":"Yang","given":"Jyh-Yuan"},{"family":"Tsao","given":"Ching-Han"},{"family":"Shen","given":"Chun-Wei"},{"family":"Chen","given":"Kuan-Hsuan"},{"family":"Liu","given":"Fu-Tong"},{"family":"Liu","given":"Wu-Tse"},{"family":"Chen","given":"Yi-Ming Arthur"},{"family":"Huang","given":"Jason C."}],"issued":{"date-parts":[["2014",8,22]]}}}],"schema":"https://github.com/citation-style-language/schema/raw/master/csl-citation.json"} </w:instrText>
      </w:r>
      <w:r w:rsidR="004B5970" w:rsidRPr="009F44A4">
        <w:rPr>
          <w:color w:val="000000" w:themeColor="text1"/>
          <w:sz w:val="20"/>
          <w:szCs w:val="20"/>
          <w:shd w:val="clear" w:color="auto" w:fill="FFFFFF"/>
        </w:rPr>
        <w:fldChar w:fldCharType="separate"/>
      </w:r>
      <w:r w:rsidR="00236558" w:rsidRPr="00236558">
        <w:rPr>
          <w:sz w:val="20"/>
          <w:vertAlign w:val="superscript"/>
        </w:rPr>
        <w:t>231</w:t>
      </w:r>
      <w:r w:rsidR="004B5970"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Antibodies to the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-1 spike protein can facilitate viral entry via Fc receptor-exposing cells in a dose-dependent manner</w:t>
      </w:r>
      <w:r w:rsidR="0006608B" w:rsidRPr="009F44A4">
        <w:rPr>
          <w:color w:val="000000" w:themeColor="text1"/>
          <w:sz w:val="20"/>
          <w:szCs w:val="20"/>
          <w:shd w:val="clear" w:color="auto" w:fill="FFFFFF"/>
        </w:rPr>
        <w:t xml:space="preserve"> </w:t>
      </w:r>
      <w:r w:rsidR="0006608B"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{"citationID":"vFlRfGly","properties":{"formattedCitation":"\\super 193\\nosupersub{}","plainCitation":"193","noteIndex":0},"citationItems":[{"id":1455,"uris":["http://zotero.org/users/local/ZR048J0w/items/6HQ674NS"],"uri":["http://zotero.org/users/local/ZR048J0w/items/6HQ674NS"],"itemData":{"id":1455,"type":"article-journal","abstract":"Antibody-dependent enhancement (ADE) of viral entry has been a major concern for epidemiology, vaccine development, and antibody-based drug therapy. However, the molecular mechanism behind ADE is still elusive. Coronavirus spike protein mediates viral entry into cells by first binding to a receptor on the host cell surface and then fusing viral and host membranes. In this study, we investigated how a neutralizing monoclonal antibody (MAb), which targets the receptor-binding domain (RBD) of Middle East respiratory syndrome (MERS) coronavirus spike, mediates viral entry using pseudovirus entry and biochemical assays. Our results showed that MAb binds to the virus surface spike, allowing it to undergo conformational changes and become prone to proteolytic activation. Meanwhile, MAb binds to cell surface IgG Fc receptor, guiding viral entry through canonical viral-receptor-dependent pathways. Our data suggest that the antibody/Fc-receptor complex functionally mimics viral receptor in mediating viral entry. Moreover, we characterized MAb dosages in viral-receptor-dependent, Fc-receptor-dependent, and both-receptors-dependent viral entry pathways, delineating guidelines on MAb usages in treating viral infections. Our study reveals a novel molecular mechanism for antibody-enhanced viral entry and can guide future vaccination and antiviral strategies.\nIMPORTANCE Antibody-dependent enhancement (ADE) of viral entry has been observed for many viruses. It was shown that antibodies target one serotype of viruses but only subneutralize another, leading to ADE of the latter viruses. Here we identify a novel mechanism for ADE: a neutralizing antibody binds to the surface spike protein of coronaviruses like a viral receptor, triggers a conformational change of the spike, and mediates viral entry into IgG Fc receptor-expressing cells through canonical viral-receptor-dependent pathways. We further evaluated how antibody dosages impacted viral entry into cells expressing viral receptor, Fc receptor, or both receptors. This study reveals complex roles of antibodies in viral entry and can guide future vaccine design and antibody-based drug therapy.","container-title":"Journal of Virology","DOI":"10.1128/JVI.02015-19","issue":"5","note":"publisher: American Society for Microbiology","page":"e02015-19","source":"journals.asm.org (Atypon)","title":"Molecular Mechanism for Antibody-Dependent Enhancement of Coronavirus Entry","volume":"94","author":[{"family":"Wan","given":"Yushun"},{"family":"Shang","given":"Jian"},{"family":"Sun","given":"Shihui"},{"family":"Tai","given":"Wanbo"},{"family":"Chen","given":"Jing"},{"family":"Geng","given":"Qibin"},{"family":"He","given":"Lei"},{"family":"Chen","given":"Yuehong"},{"family":"Wu","given":"Jianming"},{"family":"Shi","given":"Zhengli"},{"family":"Zhou","given":"Yusen"},{"family":"Du","given":"Lanying"},{"family":"Li","given":"Fang"}],"issued":{"date-parts":[["2020",2,14]]}}}],"schema":"https://github.com/citation-style-language/schema/raw/master/csl-citation.json"} </w:instrText>
      </w:r>
      <w:r w:rsidR="0006608B" w:rsidRPr="009F44A4">
        <w:rPr>
          <w:color w:val="000000" w:themeColor="text1"/>
          <w:sz w:val="20"/>
          <w:szCs w:val="20"/>
          <w:shd w:val="clear" w:color="auto" w:fill="FFFFFF"/>
        </w:rPr>
        <w:fldChar w:fldCharType="separate"/>
      </w:r>
      <w:r w:rsidR="00236558" w:rsidRPr="00236558">
        <w:rPr>
          <w:sz w:val="20"/>
          <w:vertAlign w:val="superscript"/>
        </w:rPr>
        <w:t>193</w:t>
      </w:r>
      <w:r w:rsidR="0006608B"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Because Fc mediates infection of immune cells, </w:t>
      </w:r>
      <w:proofErr w:type="spellStart"/>
      <w:r w:rsidRPr="009F44A4">
        <w:rPr>
          <w:color w:val="000000" w:themeColor="text1"/>
          <w:sz w:val="20"/>
          <w:szCs w:val="20"/>
          <w:shd w:val="clear" w:color="auto" w:fill="FFFFFF"/>
        </w:rPr>
        <w:t>Jaume</w:t>
      </w:r>
      <w:proofErr w:type="spellEnd"/>
      <w:r w:rsidRPr="009F44A4">
        <w:rPr>
          <w:color w:val="000000" w:themeColor="text1"/>
          <w:sz w:val="20"/>
          <w:szCs w:val="20"/>
          <w:shd w:val="clear" w:color="auto" w:fill="FFFFFF"/>
        </w:rPr>
        <w:t xml:space="preserve"> et al.</w:t>
      </w:r>
      <w:r w:rsidR="00460F5A" w:rsidRPr="009F44A4">
        <w:rPr>
          <w:color w:val="000000" w:themeColor="text1"/>
          <w:sz w:val="20"/>
          <w:szCs w:val="20"/>
          <w:shd w:val="clear" w:color="auto" w:fill="FFFFFF"/>
        </w:rPr>
        <w:t xml:space="preserve"> </w:t>
      </w:r>
      <w:r w:rsidR="00460F5A"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{"citationID":"I0Sq0ob1","properties":{"formattedCitation":"\\super 232\\nosupersub{}","plainCitation":"232","noteIndex":0},"citationItems":[{"id":1619,"uris":["http://zotero.org/users/local/ZR048J0w/items/AU64VCHL"],"uri":["http://zotero.org/users/local/ZR048J0w/items/AU64VCHL"],"itemData":{"id":1619,"type":"article-journal","abstract":"Public health measures successfully contained outbreaks of the severe acute respiratory syndrome coronavirus (SARS-CoV) infection. However, the precursor of the SARS-CoV remains in its natural bat reservoir, and reemergence of a human-adapted SARS-like coronavirus remains a plausible public health concern. Vaccination is a major strategy for containing resurgence of SARS in humans, and a number of vaccine candidates have been tested in experimental animal models. We previously reported that antibody elicited by a SARS-CoV vaccine candidate based on recombinant full-length Spike-protein trimers potentiated infection of human B cell lines despite eliciting in vivo a neutralizing and protective immune response in rodents. These observations prompted us to investigate the mechanisms underlying antibody-dependent enhancement (ADE) of SARS-CoV infection in vitro. We demonstrate here that anti-Spike immune serum, while inhibiting viral entry in a permissive cell line, potentiated infection of immune cells by SARS-CoV Spike-pseudotyped lentiviral particles, as well as replication-competent SARS coronavirus. Antibody-mediated infection was dependent on Fcγ receptor II but did not use the endosomal/lysosomal pathway utilized by angiotensin I converting enzyme 2 (ACE2), the accepted receptor for SARS-CoV. This suggests that ADE of SARS-CoV utilizes a novel cell entry mechanism into immune cells. Different SARS vaccine candidates elicit sera that differ in their capacity to induce ADE in immune cells despite their comparable potency to neutralize infection in ACE2-bearing cells. Our results suggest a novel mechanism by which SARS-CoV can enter target cells and illustrate the potential pitfalls associated with immunization against it. These findings should prompt further investigations into SARS pathogenesis.","container-title":"Journal of Virology","DOI":"10.1128/JVI.00671-11","ISSN":"1098-5514","issue":"20","journalAbbreviation":"J Virol","language":"eng","note":"PMID: 21775467\nPMCID: PMC3187504","page":"10582-10597","source":"PubMed","title":"Anti-severe acute respiratory syndrome coronavirus spike antibodies trigger infection of human immune cells via a pH- and cysteine protease-independent FcγR pathway","volume":"85","author":[{"family":"Jaume","given":"Martial"},{"family":"Yip","given":"Ming S."},{"family":"Cheung","given":"Chung Y."},{"family":"Leung","given":"Hiu L."},{"family":"Li","given":"Ping H."},{"family":"Kien","given":"Francois"},{"family":"Dutry","given":"Isabelle"},{"family":"Callendret","given":"Benoît"},{"family":"Escriou","given":"Nicolas"},{"family":"Altmeyer","given":"Ralf"},{"family":"Nal","given":"Beatrice"},{"family":"Daëron","given":"Marc"},{"family":"Bruzzone","given":"Roberto"},{"family":"Peiris","given":"J. S. Malik"}],"issued":{"date-parts":[["2011",10]]}}}],"schema":"https://github.com/citation-style-language/schema/raw/master/csl-citation.json"} </w:instrText>
      </w:r>
      <w:r w:rsidR="00460F5A" w:rsidRPr="009F44A4">
        <w:rPr>
          <w:color w:val="000000" w:themeColor="text1"/>
          <w:sz w:val="20"/>
          <w:szCs w:val="20"/>
          <w:shd w:val="clear" w:color="auto" w:fill="FFFFFF"/>
        </w:rPr>
        <w:fldChar w:fldCharType="separate"/>
      </w:r>
      <w:r w:rsidR="00236558" w:rsidRPr="00236558">
        <w:rPr>
          <w:sz w:val="20"/>
          <w:vertAlign w:val="superscript"/>
        </w:rPr>
        <w:t>232</w:t>
      </w:r>
      <w:r w:rsidR="00460F5A"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pointed out the potential downsides of vaccines against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-1 spike protein.</w:t>
      </w:r>
    </w:p>
    <w:p w14:paraId="5D998E28" w14:textId="1CD8CD6A"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As a result, future attempts to develop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-1, MERS-</w:t>
      </w:r>
      <w:proofErr w:type="spellStart"/>
      <w:r w:rsidRPr="009F44A4">
        <w:rPr>
          <w:color w:val="000000" w:themeColor="text1"/>
          <w:sz w:val="20"/>
          <w:szCs w:val="20"/>
          <w:shd w:val="clear" w:color="auto" w:fill="FFFFFF"/>
        </w:rPr>
        <w:t>CoV</w:t>
      </w:r>
      <w:proofErr w:type="spellEnd"/>
      <w:r w:rsidR="00BC5D59" w:rsidRPr="009F44A4">
        <w:rPr>
          <w:color w:val="000000" w:themeColor="text1"/>
          <w:sz w:val="20"/>
          <w:szCs w:val="20"/>
          <w:shd w:val="clear" w:color="auto" w:fill="FFFFFF"/>
        </w:rPr>
        <w:t xml:space="preserve"> </w:t>
      </w:r>
      <w:r w:rsidR="00BC5D59"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{"citationID":"qqTlnngO","properties":{"formattedCitation":"\\super 233\\nosupersub{}","plainCitation":"233","noteIndex":0},"citationItems":[{"id":1621,"uris":["http://zotero.org/users/local/ZR048J0w/items/XWQULR87"],"uri":["http://zotero.org/users/local/ZR048J0w/items/XWQULR87"],"itemData":{"id":1621,"type":"article-journal","abstract":"To determine if a hypersensitive-type lung pathology might occur when mice were given an inactivated MERS-CoV vaccine and challenged with infectious virus as was seen with SARS-CoV vaccines, we prepared and vaccinated mice with an inactivated MERS-CoV vaccine. Neutralizing antibody was induced by vaccine with and without adjuvant and lung virus was reduced in vaccinated mice after challenge. Lung mononuclear infiltrates occurred in all groups after virus challenge but with increased infiltrates that contained eosinophils and increases in the eosinophil promoting IL-5 and IL-13 cytokines only in the vaccine groups. Inactivated MERS-CoV vaccine appears to carry a hypersensitive-type lung pathology risk from MERS-CoV infection that is similar to that found with inactivated SARS-CoV vaccines from SARS-CoV infection.","container-title":"Human Vaccines &amp; Immunotherapeutics","DOI":"10.1080/21645515.2016.1177688","ISSN":"2164-5515","issue":"9","note":"publisher: Taylor &amp; Francis\n_eprint: https://doi.org/10.1080/21645515.2016.1177688\nPMID: 27269431","page":"2351-2356","source":"Taylor and Francis+NEJM","title":"Immunization with inactivated Middle East Respiratory Syndrome coronavirus vaccine leads to lung immunopathology on challenge with live virus","volume":"12","author":[{"family":"Agrawal","given":"Anurodh Shankar"},{"family":"Tao","given":"Xinrong"},{"family":"Algaissi","given":"Abdullah"},{"family":"Garron","given":"Tania"},{"family":"Narayanan","given":"Krishna"},{"family":"Peng","given":"Bi-Hung"},{"family":"Couch","given":"Robert B."},{"family":"Tseng","given":"Chien-Te K."}],"issued":{"date-parts":[["2016",9,1]]}}}],"schema":"https://github.com/citation-style-language/schema/raw/master/csl-citation.json"} </w:instrText>
      </w:r>
      <w:r w:rsidR="00BC5D59" w:rsidRPr="009F44A4">
        <w:rPr>
          <w:color w:val="000000" w:themeColor="text1"/>
          <w:sz w:val="20"/>
          <w:szCs w:val="20"/>
          <w:shd w:val="clear" w:color="auto" w:fill="FFFFFF"/>
        </w:rPr>
        <w:fldChar w:fldCharType="separate"/>
      </w:r>
      <w:r w:rsidR="00236558" w:rsidRPr="00236558">
        <w:rPr>
          <w:sz w:val="20"/>
          <w:vertAlign w:val="superscript"/>
        </w:rPr>
        <w:t>233</w:t>
      </w:r>
      <w:r w:rsidR="00BC5D59" w:rsidRPr="009F44A4">
        <w:rPr>
          <w:color w:val="000000" w:themeColor="text1"/>
          <w:sz w:val="20"/>
          <w:szCs w:val="20"/>
          <w:shd w:val="clear" w:color="auto" w:fill="FFFFFF"/>
        </w:rPr>
        <w:fldChar w:fldCharType="end"/>
      </w:r>
      <w:r w:rsidR="00BC5D59"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or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vaccines could increase the danger of causing ADE in people, which is increased by antibody infection of phagocytic immune cells. This possible ADE risk is independent of the vaccination technique</w:t>
      </w:r>
      <w:r w:rsidR="00687015" w:rsidRPr="009F44A4">
        <w:rPr>
          <w:color w:val="000000" w:themeColor="text1"/>
          <w:sz w:val="20"/>
          <w:szCs w:val="20"/>
          <w:shd w:val="clear" w:color="auto" w:fill="FFFFFF"/>
        </w:rPr>
        <w:t xml:space="preserve"> </w:t>
      </w:r>
      <w:r w:rsidR="00687015"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{"citationID":"oMow2u5r","properties":{"formattedCitation":"\\super 234\\nosupersub{}","plainCitation":"234","noteIndex":0},"citationItems":[{"id":1623,"uris":["http://zotero.org/users/local/ZR048J0w/items/BE9YLHAQ"],"uri":["http://zotero.org/users/local/ZR048J0w/items/BE9YLHAQ"],"itemData":{"id":1623,"type":"article-journal","abstract":"Ever since the development of the first vaccine more than 200 years ago, vaccinations have greatly decreased the burden of infectious diseases worldwide, famously leading to the eradication of small pox and allowing the restriction of diseases such as polio, tetanus, diphtheria, and measles. A multitude of research efforts focuses on the improvement of established and the discovery of new vaccines such as the HPV (human papilloma virus) vaccine in 2006. However, radical changes in the density, age distribution and traveling habits of the population worldwide as well as the changing climate favor the emergence of old and new pathogens that bear the risk of becoming pandemic threats. In recent years, the rapid spread of severe infections such as HIV, SARS, Ebola, and Zika have highlighted the dire need for global preparedness for pandemics, which necessitates the extremely rapid development and comprehensive distribution of vaccines against potentially previously unknown pathogens. What is more, the emergence of antibiotic resistant bacteria calls for new approaches to prevent infections. Given these changes, established methods for the identification of new vaccine candidates are no longer sufficient to ensure global protection. Hence, new vaccine technologies able to achieve rapid development as well as large scale production are of pivotal importance. This review will discuss viral vector and nucleic acid-based vaccines (DNA and mRNA vaccines) as new approaches that might be able to tackle these challenges to global health.","container-title":"Frontiers in Immunology","ISSN":"1664-3224","source":"Frontiers","title":"New Vaccine Technologies to Combat Outbreak Situations","URL":"https://www.frontiersin.org/articles/10.3389/fimmu.2018.01963","volume":"9","author":[{"family":"Rauch","given":"Susanne"},{"family":"Jasny","given":"Edith"},{"family":"Schmidt","given":"Kim E."},{"family":"Petsch","given":"Benjamin"}],"accessed":{"date-parts":[["2023",1,11]]},"issued":{"date-parts":[["2018"]]}}}],"schema":"https://github.com/citation-style-language/schema/raw/master/csl-citation.json"} </w:instrText>
      </w:r>
      <w:r w:rsidR="00687015" w:rsidRPr="009F44A4">
        <w:rPr>
          <w:color w:val="000000" w:themeColor="text1"/>
          <w:sz w:val="20"/>
          <w:szCs w:val="20"/>
          <w:shd w:val="clear" w:color="auto" w:fill="FFFFFF"/>
        </w:rPr>
        <w:fldChar w:fldCharType="separate"/>
      </w:r>
      <w:r w:rsidR="00236558" w:rsidRPr="00236558">
        <w:rPr>
          <w:sz w:val="20"/>
          <w:vertAlign w:val="superscript"/>
        </w:rPr>
        <w:t>234</w:t>
      </w:r>
      <w:r w:rsidR="00687015"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or targeting strategy selected, due to anticipated phagocytic </w:t>
      </w:r>
      <w:r w:rsidRPr="009F44A4">
        <w:rPr>
          <w:color w:val="000000" w:themeColor="text1"/>
          <w:sz w:val="20"/>
          <w:szCs w:val="20"/>
          <w:shd w:val="clear" w:color="auto" w:fill="FFFFFF"/>
        </w:rPr>
        <w:lastRenderedPageBreak/>
        <w:t xml:space="preserve">immune cell infections upon antibody absorption. In MERS patients, the rate of </w:t>
      </w:r>
      <w:proofErr w:type="spellStart"/>
      <w:r w:rsidRPr="009F44A4">
        <w:rPr>
          <w:color w:val="000000" w:themeColor="text1"/>
          <w:sz w:val="20"/>
          <w:szCs w:val="20"/>
          <w:shd w:val="clear" w:color="auto" w:fill="FFFFFF"/>
        </w:rPr>
        <w:t>seroconversion</w:t>
      </w:r>
      <w:proofErr w:type="spellEnd"/>
      <w:r w:rsidRPr="009F44A4">
        <w:rPr>
          <w:color w:val="000000" w:themeColor="text1"/>
          <w:sz w:val="20"/>
          <w:szCs w:val="20"/>
          <w:shd w:val="clear" w:color="auto" w:fill="FFFFFF"/>
        </w:rPr>
        <w:t xml:space="preserve"> increased as the disease progressed</w:t>
      </w:r>
      <w:r w:rsidR="0088077F" w:rsidRPr="009F44A4">
        <w:rPr>
          <w:color w:val="000000" w:themeColor="text1"/>
          <w:sz w:val="20"/>
          <w:szCs w:val="20"/>
          <w:shd w:val="clear" w:color="auto" w:fill="FFFFFF"/>
        </w:rPr>
        <w:t xml:space="preserve"> </w:t>
      </w:r>
      <w:r w:rsidR="0088077F"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{"citationID":"5WXXNiVv","properties":{"formattedCitation":"\\super 235\\nosupersub{}","plainCitation":"235","noteIndex":0},"citationItems":[{"id":1625,"uris":["http://zotero.org/users/local/ZR048J0w/items/K9LIWHH7"],"uri":["http://zotero.org/users/local/ZR048J0w/items/K9LIWHH7"],"itemData":{"id":1625,"type":"article-journal","abstract":"We evaluated serologic response of 42 Middle East respiratory syndrome coronavirus (MERS-CoV)-infected patients according to 4 severity groups: asymptomatic infection (Group 0), symptomatic infection without pneumonia (Group 1), pneumonia without respiratory failure (Group 2), and pneumonia progressing to respiratory failure (Group 3). None of the Group 0 patients showed seroconversion, while the seroconversion rate gradually increased with increasing disease severity (0.0%, 60.0%, 93.8%, and 100% in Group 0, 1, 2, 3, respectively; P = 0.001). Group 3 patients showed delayed increment of antibody titers during the fourth week, while Group 2 patients showed robust increment of antibody titer during the third week. Among patients having pneumonia, 75% of deceased patients did not show seroconversion by the third week, while 100% of the survived patients were seroconverted (P = 0.003).","container-title":"Diagnostic Microbiology and Infectious Disease","DOI":"10.1016/j.diagmicrobio.2017.07.006","ISSN":"1879-0070","issue":"2","journalAbbreviation":"Diagn Microbiol Infect Dis","language":"eng","note":"PMID: 28821364\nPMCID: PMC7127792","page":"106-111","source":"PubMed","title":"Serologic responses of 42 MERS-coronavirus-infected patients according to the disease severity","volume":"89","author":[{"family":"Ko","given":"Jae-Hoon"},{"family":"Müller","given":"Marcel A."},{"family":"Seok","given":"Hyeri"},{"family":"Park","given":"Ga Eun"},{"family":"Lee","given":"Ji Yeon"},{"family":"Cho","given":"Sun Young"},{"family":"Ha","given":"Young Eun"},{"family":"Baek","given":"Jin Yang"},{"family":"Kim","given":"So Hyun"},{"family":"Kang","given":"Ji-Man"},{"family":"Kim","given":"Yae-Jean"},{"family":"Jo","given":"Ik Joon"},{"family":"Chung","given":"Chi Ryang"},{"family":"Hahn","given":"Myong-Joon"},{"family":"Drosten","given":"Christian"},{"family":"Kang","given":"Cheol-In"},{"family":"Chung","given":"Doo Ryeon"},{"family":"Song","given":"Jae-Hoon"},{"family":"Kang","given":"Eun-Suk"},{"family":"Peck","given":"Kyong Ran"}],"issued":{"date-parts":[["2017",10]]}}}],"schema":"https://github.com/citation-style-language/schema/raw/master/csl-citation.json"} </w:instrText>
      </w:r>
      <w:r w:rsidR="0088077F" w:rsidRPr="009F44A4">
        <w:rPr>
          <w:color w:val="000000" w:themeColor="text1"/>
          <w:sz w:val="20"/>
          <w:szCs w:val="20"/>
          <w:shd w:val="clear" w:color="auto" w:fill="FFFFFF"/>
        </w:rPr>
        <w:fldChar w:fldCharType="separate"/>
      </w:r>
      <w:r w:rsidR="00236558" w:rsidRPr="00236558">
        <w:rPr>
          <w:sz w:val="20"/>
          <w:vertAlign w:val="superscript"/>
        </w:rPr>
        <w:t>235</w:t>
      </w:r>
      <w:r w:rsidR="0088077F"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Severe clinical worsening for SARS patients occurs concurrently with timing of </w:t>
      </w:r>
      <w:proofErr w:type="spellStart"/>
      <w:r w:rsidRPr="009F44A4">
        <w:rPr>
          <w:color w:val="000000" w:themeColor="text1"/>
          <w:sz w:val="20"/>
          <w:szCs w:val="20"/>
          <w:shd w:val="clear" w:color="auto" w:fill="FFFFFF"/>
        </w:rPr>
        <w:t>IgG</w:t>
      </w:r>
      <w:proofErr w:type="spellEnd"/>
      <w:r w:rsidRPr="009F44A4">
        <w:rPr>
          <w:color w:val="000000" w:themeColor="text1"/>
          <w:sz w:val="20"/>
          <w:szCs w:val="20"/>
          <w:shd w:val="clear" w:color="auto" w:fill="FFFFFF"/>
        </w:rPr>
        <w:t xml:space="preserve"> </w:t>
      </w:r>
      <w:proofErr w:type="spellStart"/>
      <w:r w:rsidRPr="009F44A4">
        <w:rPr>
          <w:color w:val="000000" w:themeColor="text1"/>
          <w:sz w:val="20"/>
          <w:szCs w:val="20"/>
          <w:shd w:val="clear" w:color="auto" w:fill="FFFFFF"/>
        </w:rPr>
        <w:t>seroconversion</w:t>
      </w:r>
      <w:proofErr w:type="spellEnd"/>
      <w:r w:rsidR="004A7F16" w:rsidRPr="009F44A4">
        <w:rPr>
          <w:color w:val="000000" w:themeColor="text1"/>
          <w:sz w:val="20"/>
          <w:szCs w:val="20"/>
          <w:shd w:val="clear" w:color="auto" w:fill="FFFFFF"/>
        </w:rPr>
        <w:t xml:space="preserve"> </w:t>
      </w:r>
      <w:r w:rsidR="004A7F16"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{"citationID":"ckehyX3q","properties":{"formattedCitation":"\\super 236\\nosupersub{}","plainCitation":"236","noteIndex":0},"citationItems":[{"id":1646,"uris":["http://zotero.org/users/local/ZR048J0w/items/7F5T6JR5"],"uri":["http://zotero.org/users/local/ZR048J0w/items/7F5T6JR5"],"itemData":{"id":1646,"type":"article-journal","abstract":"BACKGROUND: We investigated the temporal progression of the clinical, radiological, and virological changes in a community outbreak of severe acute respiratory syndrome (SARS).\nMETHODS: We followed up 75 patients for 3 weeks managed with a standard treatment protocol of ribavirin and corticosteroids, and assessed the pattern of clinical disease, viral load, risk factors for poor clinical outcome, and the usefulness of virological diagnostic methods.\nFINDINGS: Fever and pneumonia initially improved but 64 (85%) patients developed recurrent fever after a mean of 8.9 (SD 3.1) days, 55 (73%) had watery diarrhoea after 7.5 (2.3) days, 60 (80%) had radiological worsening after 7.4 (2.2) days, and respiratory symptoms worsened in 34 (45%) after 8.6 (3.0) days. In 34 (45%) patients, improvement of initial pulmonary lesions was associated with appearance of new radiological lesions at other sites. Nine (12%) patients developed spontaneous pneumomediastinum and 15 (20%) developed acute respiratory distress syndrome (ARDS) in week 3. Quantitative reverse-transcriptase (RT) PCR of nasopharyngeal aspirates in 14 patients (four with ARDS) showed peak viral load at day 10, and at day 15 a load lower than at admission. Age and chronic hepatitis B virus infection treated with lamivudine were independent significant risk factors for progression to ARDS (p=0.001). SARS-associated coronavirus in faeces was seen on RT-PCR in 65 (97%) of 67 patients at day 14. The mean time to seroconversion was 20 days.\nINTERPRETATION: The consistent clinical progression, shifting radiological infiltrates, and an inverted V viral-load profile suggest that worsening in week 2 is unrelated to uncontrolled viral replication but may be related to immunopathological damage.","container-title":"Lancet (London, England)","DOI":"10.1016/s0140-6736(03)13412-5","ISSN":"0140-6736","issue":"9371","journalAbbreviation":"Lancet","language":"eng","note":"PMID: 12781535\nPMCID: PMC7112410","page":"1767-1772","source":"PubMed","title":"Clinical progression and viral load in a community outbreak of coronavirus-associated SARS pneumonia: a prospective study","title-short":"Clinical progression and viral load in a community outbreak of coronavirus-associated SARS pneumonia","volume":"361","author":[{"family":"Peiris","given":"J. S. M."},{"family":"Chu","given":"C. M."},{"family":"Cheng","given":"V. C. C."},{"family":"Chan","given":"K. S."},{"family":"Hung","given":"I. F. N."},{"family":"Poon","given":"L. L. M."},{"family":"Law","given":"K. I."},{"family":"Tang","given":"B. S. F."},{"family":"Hon","given":"T. Y. W."},{"family":"Chan","given":"C. S."},{"family":"Chan","given":"K. H."},{"family":"Ng","given":"J. S. C."},{"family":"Zheng","given":"B. J."},{"family":"Ng","given":"W. L."},{"family":"Lai","given":"R. W. M."},{"family":"Guan","given":"Y."},{"family":"Yuen","given":"K. Y."},{"literal":"HKU/UCH SARS Study Group"}],"issued":{"date-parts":[["2003",5,24]]}}}],"schema":"https://github.com/citation-style-language/schema/raw/master/csl-citation.json"} </w:instrText>
      </w:r>
      <w:r w:rsidR="004A7F16" w:rsidRPr="009F44A4">
        <w:rPr>
          <w:color w:val="000000" w:themeColor="text1"/>
          <w:sz w:val="20"/>
          <w:szCs w:val="20"/>
          <w:shd w:val="clear" w:color="auto" w:fill="FFFFFF"/>
        </w:rPr>
        <w:fldChar w:fldCharType="separate"/>
      </w:r>
      <w:r w:rsidR="00236558" w:rsidRPr="00236558">
        <w:rPr>
          <w:sz w:val="20"/>
          <w:vertAlign w:val="superscript"/>
        </w:rPr>
        <w:t>236</w:t>
      </w:r>
      <w:r w:rsidR="004A7F16"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In SARS patients, early high immunoglobulin-G (</w:t>
      </w:r>
      <w:proofErr w:type="spellStart"/>
      <w:r w:rsidRPr="009F44A4">
        <w:rPr>
          <w:color w:val="000000" w:themeColor="text1"/>
          <w:sz w:val="20"/>
          <w:szCs w:val="20"/>
          <w:shd w:val="clear" w:color="auto" w:fill="FFFFFF"/>
        </w:rPr>
        <w:t>IgG</w:t>
      </w:r>
      <w:proofErr w:type="spellEnd"/>
      <w:r w:rsidRPr="009F44A4">
        <w:rPr>
          <w:color w:val="000000" w:themeColor="text1"/>
          <w:sz w:val="20"/>
          <w:szCs w:val="20"/>
          <w:shd w:val="clear" w:color="auto" w:fill="FFFFFF"/>
        </w:rPr>
        <w:t>) responses are linked to illness progression</w:t>
      </w:r>
      <w:r w:rsidR="00711E13" w:rsidRPr="009F44A4">
        <w:rPr>
          <w:color w:val="000000" w:themeColor="text1"/>
          <w:sz w:val="20"/>
          <w:szCs w:val="20"/>
          <w:shd w:val="clear" w:color="auto" w:fill="FFFFFF"/>
        </w:rPr>
        <w:t xml:space="preserve"> </w:t>
      </w:r>
      <w:r w:rsidR="00C217CE"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{"citationID":"Mf2ysZNn","properties":{"formattedCitation":"\\super 237\\nosupersub{}","plainCitation":"237","noteIndex":0},"citationItems":[{"id":1649,"uris":["http://zotero.org/users/local/ZR048J0w/items/VBMC6NQE"],"uri":["http://zotero.org/users/local/ZR048J0w/items/VBMC6NQE"],"itemData":{"id":1649,"type":"article-journal","abstract":"The genome of one Taiwanese severe acute respiratory syndrome-associated coronavirus (SARS-CoV) strain (TW1) was 29,729 nt in length. Viral RNA may persist for some time in patients who seroconvert, and some patients may lack an antibody response (immunoglobulin G) to SARS-CoV &gt;21 days after illness onset. An upsurge of antibody response was associated with the aggravation of respiratory failure.","container-title":"Emerging Infectious Diseases","DOI":"10.3201/eid0909.030367","ISSN":"1080-6040","issue":"9","journalAbbreviation":"Emerg Infect Dis","note":"PMID: 14519257\nPMCID: PMC3016775","page":"1163-1167","source":"PubMed Central","title":"Microbiologic Characteristics, Serologic Responses, and Clinical Manifestations in Severe Acute Respiratory Syndrome, Taiwan1","volume":"9","author":[{"family":"Hsueh","given":"Po-Ren"},{"family":"Hsiao","given":"Cheng-Hsiang"},{"family":"Yeh","given":"Shiou-Hwei"},{"family":"Wang","given":"Wei-Kung"},{"family":"Chen","given":"Pei-Jer"},{"family":"Wang","given":"Jin-Town"},{"family":"Chang","given":"Shan-Chwen"},{"family":"Kao","given":"Chuan-Liang"},{"family":"Yang","given":"Pan-Chyr"}],"issued":{"date-parts":[["2003",9]]}}}],"schema":"https://github.com/citation-style-language/schema/raw/master/csl-citation.json"} </w:instrText>
      </w:r>
      <w:r w:rsidR="00C217CE" w:rsidRPr="009F44A4">
        <w:rPr>
          <w:color w:val="000000" w:themeColor="text1"/>
          <w:sz w:val="20"/>
          <w:szCs w:val="20"/>
          <w:shd w:val="clear" w:color="auto" w:fill="FFFFFF"/>
        </w:rPr>
        <w:fldChar w:fldCharType="separate"/>
      </w:r>
      <w:r w:rsidR="00236558" w:rsidRPr="00236558">
        <w:rPr>
          <w:sz w:val="20"/>
          <w:vertAlign w:val="superscript"/>
        </w:rPr>
        <w:t>237</w:t>
      </w:r>
      <w:r w:rsidR="00C217CE"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xml:space="preserve"> and seriousness</w:t>
      </w:r>
      <w:r w:rsidR="00900C8F" w:rsidRPr="009F44A4">
        <w:rPr>
          <w:color w:val="000000" w:themeColor="text1"/>
          <w:sz w:val="20"/>
          <w:szCs w:val="20"/>
          <w:shd w:val="clear" w:color="auto" w:fill="FFFFFF"/>
        </w:rPr>
        <w:t xml:space="preserve"> </w:t>
      </w:r>
      <w:r w:rsidR="00900C8F"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{"citationID":"H14OQOSv","properties":{"formattedCitation":"\\super 217\\uc0\\u8211{}221,238\\nosupersub{}","plainCitation":"217–221,238","noteIndex":0},"citationItems":[{"id":1637,"uris":["http://zotero.org/users/local/ZR048J0w/items/V8347HA8"],"uri":["http://zotero.org/users/local/ZR048J0w/items/V8347HA8"],"itemData":{"id":1637,"type":"article-journal","abstract":"Europe PMC is an archive of life sciences journal literature.","container-title":"Clinical Infectious Diseases : an Official Publication of the Infectious Diseases Society of America","DOI":"10.1093/cid/ciaa1280","ISSN":"1058-4838, 1537-6591","issue":"9","journalAbbreviation":"Clin Infect Dis","language":"English","note":"PMID: 32856707","page":"e2932-e2942","source":"europepmc.org","title":"Viral Dynamics and Immune Correlates of Coronavirus Disease 2019 (COVID-19) Severity.","volume":"73","author":[{"family":"Be","given":"Young"},{"family":"Swx","given":"Ong"},{"family":"Lfp","given":"Ng"},{"family":"De","given":"Anderson"},{"family":"Wn","given":"Chia"},{"family":"Py","given":"Chia"},{"family":"Lw","given":"Ang"},{"family":"Tm","given":"Mak"},{"family":"S","given":"Kalimuddin"},{"family":"Lya","given":"Chai"},{"family":"S","given":"Pada"},{"family":"Sy","given":"Tan"},{"family":"L","given":"Sun"},{"family":"P","given":"Parthasarathy"},{"family":"Sw","given":"Fong"},{"family":"Yh","given":"Chan"},{"family":"Cw","given":"Tan"},{"family":"B","given":"Lee"},{"family":"O","given":"Rötzschke"},{"family":"Y","given":"Ding"},{"family":"P","given":"Tambyah"},{"family":"Jgh","given":"Low"},{"family":"L","given":"Cui"},{"family":"T","given":"Barkham"},{"family":"Rtp","given":"Lin"},{"family":"Ys","given":"Leo"},{"family":"L","given":"Renia"},{"family":"Lf","given":"Wang"},{"family":"Dc","given":"Lye"},{"family":"undefined","given":""}],"issued":{"date-parts":[["2021",11,1]]}}},{"id":1544,"uris":["http://zotero.org/users/local/ZR048J0w/items/6K5267JG"],"uri":["http://zotero.org/users/local/ZR048J0w/items/6K5267JG"],"itemData":{"id":1544,"type":"article-journal","abstract":"The emerging coronavirus disease 2019 (COVID-19) has become a serious global public health threat. With more and more recovered patients, it is urgently needed for evaluation of the neutralizing antibody (NAb) in these patients. In this study, we collected blood samples from 49 patients recently recovered from COVID-19. Serum NAbs were measured using a novel surrogate virus neutralization test (sVNT). Factors associated with NAb titers were analyzed using Ordinary Least Squares regression model. The median age of the study participants was 37 years (IQR, 30.0–54.5) and 55.1 % (27/49) of which were male. The median time to blood collection (for NAb analysis) from illness onset, viral clearance and discharge were 43.0 days (IQR, 36.0–50.0), 27.0 days (IQR, 20.5–37) and 17.0 days (IQR, 15.0–33.0), respectively. Patients had a median NAb titer of 1: 40 (IQR, 1:15–1:120). NAbs were not detected in two asymptomatic children who quickly cleared the virus. NAb titers were higher in patients with older age (p = 0.020), symptomatic infection (p = 0.044), more profound lung involvement (p</w:instrText>
      </w:r>
      <w:r w:rsidR="00236558">
        <w:rPr>
          <w:rFonts w:ascii="MS Gothic" w:eastAsia="MS Gothic" w:hAnsi="MS Gothic" w:cs="MS Gothic" w:hint="eastAsia"/>
          <w:color w:val="000000" w:themeColor="text1"/>
          <w:sz w:val="20"/>
          <w:szCs w:val="20"/>
          <w:shd w:val="clear" w:color="auto" w:fill="FFFFFF"/>
        </w:rPr>
        <w:instrText>＜</w:instrText>
      </w:r>
      <w:r w:rsidR="00236558">
        <w:rPr>
          <w:color w:val="000000" w:themeColor="text1"/>
          <w:sz w:val="20"/>
          <w:szCs w:val="20"/>
          <w:shd w:val="clear" w:color="auto" w:fill="FFFFFF"/>
        </w:rPr>
        <w:instrText>0.001), abnormal C-reactive protein level (p</w:instrText>
      </w:r>
      <w:r w:rsidR="00236558">
        <w:rPr>
          <w:rFonts w:ascii="MS Gothic" w:eastAsia="MS Gothic" w:hAnsi="MS Gothic" w:cs="MS Gothic" w:hint="eastAsia"/>
          <w:color w:val="000000" w:themeColor="text1"/>
          <w:sz w:val="20"/>
          <w:szCs w:val="20"/>
          <w:shd w:val="clear" w:color="auto" w:fill="FFFFFF"/>
        </w:rPr>
        <w:instrText>＜</w:instrText>
      </w:r>
      <w:r w:rsidR="00236558">
        <w:rPr>
          <w:color w:val="000000" w:themeColor="text1"/>
          <w:sz w:val="20"/>
          <w:szCs w:val="20"/>
          <w:shd w:val="clear" w:color="auto" w:fill="FFFFFF"/>
        </w:rPr>
        <w:instrText xml:space="preserve">0.01) and elevated lactate dehydrogenase (p = 0.019). Multivariable analysis revealed that severity of pneumonia and having comorbidity positively correlated with NAb titers in recovered patients (p = 0.02), while use of corticosteroids negatively impacted NAb titers (p = 0.01). Our study suggests that some COVID-19 patients may not have detectable NAb after recovery. SARS-CoV-2 NAb titers are positively correlated with severity of COVID-19 pneumonia.","container-title":"Biomedicine &amp; Pharmacotherapy","DOI":"10.1016/j.biopha.2020.110629","ISSN":"0753-3322","journalAbbreviation":"Biomedicine &amp; Pharmacotherapy","language":"en","page":"110629","source":"ScienceDirect","title":"SARS-CoV-2 neutralizing antibody levels are correlated with severity of COVID-19 pneumonia","volume":"130","author":[{"family":"Chen","given":"Wei"},{"family":"Zhang","given":"Jie"},{"family":"Qin","given":"Xijian"},{"family":"Wang","given":"Weixiao"},{"family":"Xu","given":"Miaomiao"},{"family":"Wang","given":"Lin-Fa"},{"family":"Xu","given":"Chuanjun"},{"family":"Tang","given":"Shuangshuang"},{"family":"Liu","given":"Pei"},{"family":"Zhang","given":"Libo"},{"family":"Liu","given":"Xuan"},{"family":"Zhang","given":"Yongchen"},{"family":"Yi","given":"Changhua"},{"family":"Hu","given":"Zhiliang"},{"family":"Yi","given":"Yongxiang"}],"issued":{"date-parts":[["2020",10,1]]}}},{"id":1559,"uris":["http://zotero.org/users/local/ZR048J0w/items/96422S6E"],"uri":["http://zotero.org/users/local/ZR048J0w/items/96422S6E"],"itemData":{"id":1559,"type":"article-journal","abstract":"The relationship between SARS-CoV-2 viral load and risk of disease progression remains largely undefined in coronavirus disease 2019 (COVID-19). Here, we quantify SARS-CoV-2 viral load from participants with a diverse range of COVID-19 disease severity, including those requiring hospitalization, outpatients with mild disease, and individuals with resolved infection. We detected SARS-CoV-2 plasma RNA in 27% of hospitalized participants, and 13% of outpatients diagnosed with COVID-19. Amongst the participants hospitalized with COVID-19, we report that a higher prevalence of detectable SARS-CoV-2 plasma viral load is associated with worse respiratory disease severity, lower absolute lymphocyte counts, and increased markers of inflammation, including C-reactive protein and IL-6. SARS-CoV-2 viral loads, especially plasma viremia, are associated with increased risk of mortality. Our data show that SARS-CoV-2 viral loads may aid in the risk stratification of patients with COVID-19, and therefore its role in disease pathogenesis should be further explored.","container-title":"Nature Communications","DOI":"10.1038/s41467-020-19057-5","ISSN":"2041-1723","issue":"1","journalAbbreviation":"Nat Commun","language":"en","note":"number: 1\npublisher: Nature Publishing Group","page":"5493","source":"www.nature.com","title":"SARS-CoV-2 viral load is associated with increased disease severity and mortality","volume":"11","author":[{"family":"Fajnzylber","given":"Jesse"},{"family":"Regan","given":"James"},{"family":"Coxen","given":"Kendyll"},{"family":"Corry","given":"Heather"},{"family":"Wong","given":"Colline"},{"family":"Rosenthal","given":"Alexandra"},{"family":"Worrall","given":"Daniel"},{"family":"Giguel","given":"Francoise"},{"family":"Piechocka-Trocha","given":"Alicja"},{"family":"Atyeo","given":"Caroline"},{"family":"Fischinger","given":"Stephanie"},{"family":"Chan","given":"Andrew"},{"family":"Flaherty","given":"Keith T."},{"family":"Hall","given":"Kathryn"},{"family":"Dougan","given":"Michael"},{"family":"Ryan","given":"Edward T."},{"family":"Gillespie","given":"Elizabeth"},{"family":"Chishti","given":"Rida"},{"family":"Li","given":"Yijia"},{"family":"Jilg","given":"Nikolaus"},{"family":"Hanidziar","given":"Dusan"},{"family":"Baron","given":"Rebecca M."},{"family":"Baden","given":"Lindsey"},{"family":"Tsibris","given":"Athe M."},{"family":"Armstrong","given":"Katrina A."},{"family":"Kuritzkes","given":"Daniel R."},{"family":"Alter","given":"Galit"},{"family":"Walker","given":"Bruce D."},{"family":"Yu","given":"Xu"},{"family":"Li","given":"Jonathan Z."}],"issued":{"date-parts":[["2020",10,30]]}}},{"id":1541,"uris":["http://zotero.org/users/local/ZR048J0w/items/29V8SUGH"],"uri":["http://zotero.org/users/local/ZR048J0w/items/29V8SUGH"],"itemData":{"id":1541,"type":"article-journal","container-title":"Emerging Microbes &amp; Infections","DOI":"10.1080/22221751.2020.1773324","ISSN":"2222-1751","issue":"1","journalAbbreviation":"Emerg Microbes Infect","language":"eng","note":"PMID: 32515684\nPMCID: PMC7448841","page":"1269-1274","source":"PubMed","title":"Patterns of IgG and IgM antibody response in COVID-19 patients","volume":"9","author":[{"family":"Liu","given":"Xuemei"},{"family":"Wang","given":"Jing"},{"family":"Xu","given":"Xiaolei"},{"family":"Liao","given":"Guojian"},{"family":"Chen","given":"Yaokai"},{"family":"Hu","given":"Chang-Hua"}],"issued":{"date-parts":[["2020",12]]}}},{"id":1553,"uris":["http://zotero.org/users/local/ZR048J0w/items/BLPVHHDY"],"uri":["http://zotero.org/users/local/ZR048J0w/items/BLPVHHDY"],"itemData":{"id":1553,"type":"article-journal","abstract":"The kinetics of IgG avidity maturation during SARS-CoV-2 infection was studied. The IgG avidity assay used a novel label-free immunoassay technology. It was found that there was a strong correlation between IgG avidity and days since symptom onset, and peak readings were significantly higher in severe than mild disease cases.","container-title":"Clinical Infectious Diseases: An Official Publication of the Infectious Diseases Society of America","DOI":"10.1093/cid/ciaa1389","ISSN":"1058-4838","journalAbbreviation":"Clin Infect Dis","note":"PMID: 32927483\nPMCID: PMC7543300","page":"ciaa1389","source":"PubMed Central","title":"Kinetics of SARS-CoV-2 Antibody Avidity Maturation and Association with Disease Severity","author":[{"family":"Luo","given":"Yiqi Ruben"},{"family":"Chakraborty","given":"Indrani"},{"family":"Yun","given":"Cassandra"},{"family":"Wu","given":"Alan H B"},{"family":"Lynch","given":"Kara L"}],"issued":{"date-parts":[["2020",9,14]]}}},{"id":1550,"uris":["http://zotero.org/users/local/ZR048J0w/items/3WIWSBTN"],"uri":["http://zotero.org/users/local/ZR048J0w/items/3WIWSBTN"],"itemData":{"id":1550,"type":"article-journal","container-title":"The Lancet Respiratory Medicine","DOI":"10.1016/S2213-2600(20)30354-4","ISSN":"2213-2600, 2213-2619","issue":"9","journalAbbreviation":"The Lancet Respiratory Medicine","language":"English","note":"publisher: Elsevier\nPMID: 32771081","page":"e70","source":"www.thelancet.com","title":"SARS-CoV-2 viral load predicts COVID-19 mortality","volume":"8","author":[{"family":"Pujadas","given":"Elisabet"},{"family":"Chaudhry","given":"Fayzan"},{"family":"McBride","given":"Russell"},{"family":"Richter","given":"Felix"},{"family":"Zhao","given":"Shan"},{"family":"Wajnberg","given":"Ania"},{"family":"Nadkarni","given":"Girish"},{"family":"Glicksberg","given":"Benjamin S."},{"family":"Houldsworth","given":"Jane"},{"family":"Cordon-Cardo","given":"Carlos"}],"issued":{"date-parts":[["2020",9,1]]}}}],"schema":"https://github.com/citation-style-language/schema/raw/master/csl-citation.json"} </w:instrText>
      </w:r>
      <w:r w:rsidR="00900C8F" w:rsidRPr="009F44A4">
        <w:rPr>
          <w:color w:val="000000" w:themeColor="text1"/>
          <w:sz w:val="20"/>
          <w:szCs w:val="20"/>
          <w:shd w:val="clear" w:color="auto" w:fill="FFFFFF"/>
        </w:rPr>
        <w:fldChar w:fldCharType="separate"/>
      </w:r>
      <w:r w:rsidR="00236558" w:rsidRPr="00236558">
        <w:rPr>
          <w:sz w:val="20"/>
          <w:vertAlign w:val="superscript"/>
        </w:rPr>
        <w:t>217–221,238</w:t>
      </w:r>
      <w:r w:rsidR="00900C8F" w:rsidRPr="009F44A4">
        <w:rPr>
          <w:color w:val="000000" w:themeColor="text1"/>
          <w:sz w:val="20"/>
          <w:szCs w:val="20"/>
          <w:shd w:val="clear" w:color="auto" w:fill="FFFFFF"/>
        </w:rPr>
        <w:fldChar w:fldCharType="end"/>
      </w:r>
      <w:r w:rsidR="00BB59BD"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Antibody therapy for severely ill COVID-19 patients has been halted due to a potential safety signal and an inadequate risk-benefit profile</w:t>
      </w:r>
      <w:r w:rsidR="005017AB" w:rsidRPr="009F44A4">
        <w:rPr>
          <w:color w:val="000000" w:themeColor="text1"/>
          <w:sz w:val="20"/>
          <w:szCs w:val="20"/>
          <w:shd w:val="clear" w:color="auto" w:fill="FFFFFF"/>
        </w:rPr>
        <w:t xml:space="preserve"> </w:t>
      </w:r>
      <w:r w:rsidR="005017AB"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{"citationID":"7A7Ct7ov","properties":{"formattedCitation":"\\super 239\\nosupersub{}","plainCitation":"239","noteIndex":0},"citationItems":[{"id":1644,"uris":["http://zotero.org/users/local/ZR048J0w/items/EWB64ZEB"],"uri":["http://zotero.org/users/local/ZR048J0w/items/EWB64ZEB"],"itemData":{"id":1644,"type":"webpage","abstract":"Trial modified based on recommendations from independent data monitoring committee","container-title":"PMLive","genre":"text","language":"en","note":"archive_location: World\npublisher: PMGroup Worldwide Limited","title":"Regeneron halts enrolment of severely ill patients in COVID-19 antibody trial","URL":"https://www.pmlive.com/pharma_news/regeneron_halts_enrolment_of_severely_ill_patients_in_covid-19_antibody_trial_1355837","accessed":{"date-parts":[["2023",1,11]]},"issued":{"date-parts":[["2020",11,3]]}}}],"schema":"https://github.com/citation-style-language/schema/raw/master/csl-citation.json"} </w:instrText>
      </w:r>
      <w:r w:rsidR="005017AB" w:rsidRPr="009F44A4">
        <w:rPr>
          <w:color w:val="000000" w:themeColor="text1"/>
          <w:sz w:val="20"/>
          <w:szCs w:val="20"/>
          <w:shd w:val="clear" w:color="auto" w:fill="FFFFFF"/>
        </w:rPr>
        <w:fldChar w:fldCharType="separate"/>
      </w:r>
      <w:r w:rsidR="00236558" w:rsidRPr="00236558">
        <w:rPr>
          <w:sz w:val="20"/>
          <w:vertAlign w:val="superscript"/>
        </w:rPr>
        <w:t>239</w:t>
      </w:r>
      <w:r w:rsidR="005017AB"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With high antibody titers, the existing COVID-19 vaccinations appear to give protection; however, the possibility of ADE risks associated with declining antibody titers over time is unknown.</w:t>
      </w:r>
    </w:p>
    <w:p w14:paraId="66EF6FB8" w14:textId="77777777" w:rsidR="00CE59DA"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b/>
          <w:bCs/>
          <w:color w:val="000000" w:themeColor="text1"/>
          <w:sz w:val="20"/>
          <w:szCs w:val="20"/>
          <w:shd w:val="clear" w:color="auto" w:fill="FFFFFF"/>
        </w:rPr>
        <w:t>14.4 The future management for ADE in coronavirus </w:t>
      </w:r>
    </w:p>
    <w:p w14:paraId="29933BEC" w14:textId="62A54668" w:rsidR="00997681" w:rsidRPr="009F44A4" w:rsidRDefault="00CE59DA" w:rsidP="00DC7281">
      <w:pPr>
        <w:pStyle w:val="NormalWeb"/>
        <w:shd w:val="clear" w:color="auto" w:fill="FFFFFF" w:themeFill="background1"/>
        <w:spacing w:before="0" w:beforeAutospacing="0" w:after="0" w:afterAutospacing="0" w:line="360" w:lineRule="auto"/>
        <w:jc w:val="both"/>
        <w:rPr>
          <w:color w:val="000000" w:themeColor="text1"/>
          <w:sz w:val="20"/>
          <w:szCs w:val="20"/>
        </w:rPr>
      </w:pPr>
      <w:r w:rsidRPr="009F44A4">
        <w:rPr>
          <w:color w:val="000000" w:themeColor="text1"/>
          <w:sz w:val="20"/>
          <w:szCs w:val="20"/>
          <w:shd w:val="clear" w:color="auto" w:fill="FFFFFF"/>
        </w:rPr>
        <w:t>According to preliminary studies, ADE in coronavirus illness can be treated in a variety of methods. The first approach is to keep the dose under control. MERS-</w:t>
      </w:r>
      <w:proofErr w:type="spellStart"/>
      <w:r w:rsidRPr="009F44A4">
        <w:rPr>
          <w:color w:val="000000" w:themeColor="text1"/>
          <w:sz w:val="20"/>
          <w:szCs w:val="20"/>
          <w:shd w:val="clear" w:color="auto" w:fill="FFFFFF"/>
        </w:rPr>
        <w:t>CoV's</w:t>
      </w:r>
      <w:proofErr w:type="spellEnd"/>
      <w:r w:rsidRPr="009F44A4">
        <w:rPr>
          <w:color w:val="000000" w:themeColor="text1"/>
          <w:sz w:val="20"/>
          <w:szCs w:val="20"/>
          <w:shd w:val="clear" w:color="auto" w:fill="FFFFFF"/>
        </w:rPr>
        <w:t xml:space="preserve"> ADE can be blocked with a large antibody dose without compromising the virus's antiviral activity</w:t>
      </w:r>
      <w:r w:rsidR="00711E13" w:rsidRPr="009F44A4">
        <w:rPr>
          <w:color w:val="000000" w:themeColor="text1"/>
          <w:sz w:val="20"/>
          <w:szCs w:val="20"/>
          <w:shd w:val="clear" w:color="auto" w:fill="FFFFFF"/>
        </w:rPr>
        <w:t xml:space="preserve"> </w:t>
      </w:r>
      <w:r w:rsidR="00711E13"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{"citationID":"tCXjdc9P","properties":{"formattedCitation":"\\super 240\\nosupersub{}","plainCitation":"240","noteIndex":0},"citationItems":[{"id":112,"uris":["http://zotero.org/users/local/ZR048J0w/items/RVF2DJIL"],"uri":["http://zotero.org/users/local/ZR048J0w/items/RVF2DJIL"],"itemData":{"id":112,"type":"article-journal","abstract":"Recently, a novel coronavirus (2019-nCoV) has emerged from Wuhan, China, causing symptoms in humans similar to those caused by severe acute respiratory syndrome coronavirus (SARS-CoV). Since the SARS-CoV outbreak in 2002, extensive structural analyses have revealed key atomic-level interactions between the SARS-CoV spike protein receptor-binding domain (RBD) and its host receptor angiotensin-converting enzyme 2 (ACE2), which regulate both the cross-species and human-to-human transmissions of SARS-CoV. Here, we analyzed the potential receptor usage by 2019-nCoV, based on the rich knowledge about SARS-CoV and the newly released sequence of 2019-nCoV. First, the sequence of 2019-nCoV RBD, including its receptor-binding motif (RBM) that directly contacts ACE2, is similar to that of SARS-CoV, strongly suggesting that 2019-nCoV uses ACE2 as its receptor. Second, several critical residues in 2019-nCoV RBM (particularly Gln493) provide favorable interactions with human ACE2, consistent with 2019-nCoV’s capacity for human cell infection. Third, several other critical residues in 2019-nCoV RBM (particularly Asn501) are compatible with, but not ideal for, binding human ACE2, suggesting that 2019-nCoV has acquired some capacity for human-to-human transmission. Last, while phylogenetic analysis indicates a bat origin of 2019-nCoV, 2019-nCoV also potentially recognizes ACE2 from a diversity of animal species (except mice and rats), implicating these animal species as possible intermediate hosts or animal models for 2019-nCoV infections. These analyses provide insights into the receptor usage, cell entry, host cell infectivity and animal origin of 2019-nCoV and may help epidemic surveillance and preventive measures against 2019-nCoV.\nIMPORTANCE The recent emergence of Wuhan coronavirus (2019-nCoV) puts the world on alert. 2019-nCoV is reminiscent of the SARS-CoV outbreak in 2002 to 2003. Our decade-long structural studies on the receptor recognition by SARS-CoV have identified key interactions between SARS-CoV spike protein and its host receptor angiotensin-converting enzyme 2 (ACE2), which regulate both the cross-species and human-to-human transmissions of SARS-CoV. One of the goals of SARS-CoV research was to build an atomic-level iterative framework of virus-receptor interactions to facilitate epidemic surveillance, predict species-specific receptor usage, and identify potential animal hosts and animal models of viruses. Based on the sequence of 2019-nCoV spike protein, we apply this predictive framework to provide novel insights into the receptor usage and likely host range of 2019-nCoV. This study provides a robust test of this reiterative framework, providing the basic, translational, and public health research communities with predictive insights that may help study and battle this novel 2019-nCoV.","container-title":"Journal of Virology","DOI":"10.1128/JVI.00127-20","ISSN":"0022-538X, 1098-5514","issue":"7","language":"en","note":"publisher: American Society for Microbiology Journals\nsection: Virus-Cell Interactions\nPMID: 31996437","source":"jvi.asm.org","title":"Receptor Recognition by the Novel Coronavirus from Wuhan: an Analysis Based on Decade-Long Structural Studies of SARS Coronavirus","title-short":"Receptor Recognition by the Novel Coronavirus from Wuhan","URL":"https://jvi.asm.org/content/94/7/e00127-20","volume":"94","author":[{"family":"Wan","given":"Yushun"},{"family":"Shang","given":"Jian"},{"family":"Graham","given":"Rachel"},{"family":"Baric","given":"Ralph S."},{"family":"Li","given":"Fang"}],"accessed":{"date-parts":[["2020",7,2]]},"issued":{"date-parts":[["2020",3,17]]}}}],"schema":"https://github.com/citation-style-language/schema/raw/master/csl-citation.json"} </w:instrText>
      </w:r>
      <w:r w:rsidR="00711E13" w:rsidRPr="009F44A4">
        <w:rPr>
          <w:color w:val="000000" w:themeColor="text1"/>
          <w:sz w:val="20"/>
          <w:szCs w:val="20"/>
          <w:shd w:val="clear" w:color="auto" w:fill="FFFFFF"/>
        </w:rPr>
        <w:fldChar w:fldCharType="separate"/>
      </w:r>
      <w:r w:rsidR="00236558" w:rsidRPr="00236558">
        <w:rPr>
          <w:sz w:val="20"/>
          <w:vertAlign w:val="superscript"/>
        </w:rPr>
        <w:t>240</w:t>
      </w:r>
      <w:r w:rsidR="00711E13"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Altering the antibody specificity is the second option. Anti-spike antibodies make it easier to induce ADE, despite the fact that inhibiting the binding of coronavirus spike proteins is a good treatment strategy due to its high efficiency in decreasing viral load. The use of specific inhibitors is the third technique</w:t>
      </w:r>
      <w:r w:rsidR="00711E13" w:rsidRPr="009F44A4">
        <w:rPr>
          <w:color w:val="000000" w:themeColor="text1"/>
          <w:sz w:val="20"/>
          <w:szCs w:val="20"/>
          <w:shd w:val="clear" w:color="auto" w:fill="FFFFFF"/>
        </w:rPr>
        <w:t xml:space="preserve"> </w:t>
      </w:r>
      <w:r w:rsidR="00711E13"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{"citationID":"zzVeoxOt","properties":{"formattedCitation":"\\super 174\\nosupersub{}","plainCitation":"174","noteIndex":0},"citationItems":[{"id":1397,"uris":["http://zotero.org/users/local/ZR048J0w/items/GEFCQ99C"],"uri":["http://zotero.org/users/local/ZR048J0w/items/GEFCQ99C"],"itemData":{"id":1397,"type":"article-journal","abstract":"Antibody-dependent enhancement (ADE) exists in several kinds of virus. It has a negative influence on antibody therapy for viral infection. This effect was first identified in dengue virus and has since also been described for coronavirus. To date, the rapid spread of the newly emerged coronavirus, severe acute respiratory syndrome coronavirus 2 (SARS-CoV-2), causing coronavirus disease 2019 (COVID-19), has affected over 3.8 million people across the globe. The novel coronavirus poses a great challenge and has caused a wave of panic. In this review, antibody-dependent enhancements in dengue virus and two kinds of coronavirus are summarized. Possible solutions for the effects are reported. We also speculate that ADE may exist in SARS-CoV-2.","container-title":"International journal of infectious diseases: IJID: official publication of the International Society for Infectious Diseases","DOI":"10.1016/j.ijid.2020.09.015","ISSN":"1878-3511","journalAbbreviation":"Int J Infect Dis","language":"eng","note":"PMID: 32920233\nPMCID: PMC7483033","page":"483-489","source":"PubMed","title":"Antibody-dependent enhancement of coronavirus","volume":"100","author":[{"family":"Wen","given":"Jieqi"},{"family":"Cheng","given":"Yifan"},{"family":"Ling","given":"Rongsong"},{"family":"Dai","given":"Yarong"},{"family":"Huang","given":"Boxuan"},{"family":"Huang","given":"Wenjie"},{"family":"Zhang","given":"Siyan"},{"family":"Jiang","given":"Yizhou"}],"issued":{"date-parts":[["2020",11]]}}}],"schema":"https://github.com/citation-style-language/schema/raw/master/csl-citation.json"} </w:instrText>
      </w:r>
      <w:r w:rsidR="00711E13" w:rsidRPr="009F44A4">
        <w:rPr>
          <w:color w:val="000000" w:themeColor="text1"/>
          <w:sz w:val="20"/>
          <w:szCs w:val="20"/>
          <w:shd w:val="clear" w:color="auto" w:fill="FFFFFF"/>
        </w:rPr>
        <w:fldChar w:fldCharType="separate"/>
      </w:r>
      <w:r w:rsidR="00236558" w:rsidRPr="00236558">
        <w:rPr>
          <w:sz w:val="20"/>
          <w:vertAlign w:val="superscript"/>
        </w:rPr>
        <w:t>174</w:t>
      </w:r>
      <w:r w:rsidR="00711E13" w:rsidRPr="009F44A4">
        <w:rPr>
          <w:color w:val="000000" w:themeColor="text1"/>
          <w:sz w:val="20"/>
          <w:szCs w:val="20"/>
          <w:shd w:val="clear" w:color="auto" w:fill="FFFFFF"/>
        </w:rPr>
        <w:fldChar w:fldCharType="end"/>
      </w:r>
      <w:r w:rsidRPr="009F44A4">
        <w:rPr>
          <w:color w:val="000000" w:themeColor="text1"/>
          <w:sz w:val="20"/>
          <w:szCs w:val="20"/>
          <w:shd w:val="clear" w:color="auto" w:fill="FFFFFF"/>
        </w:rPr>
        <w:t>. In MERS-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and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 protease inhibitors and Fc inhibitors, for example, have a role in the inhibition of ADE</w:t>
      </w:r>
      <w:r w:rsidR="00872714" w:rsidRPr="009F44A4">
        <w:rPr>
          <w:color w:val="000000" w:themeColor="text1"/>
          <w:sz w:val="20"/>
          <w:szCs w:val="20"/>
          <w:shd w:val="clear" w:color="auto" w:fill="FFFFFF"/>
        </w:rPr>
        <w:t xml:space="preserve"> </w:t>
      </w:r>
      <w:r w:rsidR="00872714"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{"citationID":"msojpUMS","properties":{"formattedCitation":"\\super 240,241\\nosupersub{}","plainCitation":"240,241","noteIndex":0},"citationItems":[{"id":1652,"uris":["http://zotero.org/users/local/ZR048J0w/items/4Y5ZXZWH"],"uri":["http://zotero.org/users/local/ZR048J0w/items/4Y5ZXZWH"],"itemData":{"id":1652,"type":"article-journal","abstract":"Newly emerging viruses, such as severe acute respiratory syndrome coronavirus (SARS-CoV), Middle Eastern respiratory syndrome CoVs (MERS-CoV), and H7N9, cause fatal acute lung injury (ALI) by driving hypercytokinemia and aggressive inflammation through mechanisms that remain elusive. In SARS-CoV/macaque models, we determined that anti-spike IgG (S-IgG), in productively infected lungs, causes severe ALI by skewing inflammation-resolving response. Alveolar macrophages underwent functional polarization in acutely infected macaques, demonstrating simultaneously both proinflammatory and wound-healing characteristics. The presence of S-IgG prior to viral clearance, however, abrogated wound-healing responses and promoted MCP1 and IL-8 production and proinflammatory monocyte/macrophage recruitment and accumulation. Critically, patients who eventually died of SARS (hereafter referred to as deceased patients) displayed similarly accumulated pulmonary proinflammatory, absence of wound-healing macrophages, and faster neutralizing antibody responses. Their sera enhanced SARS-CoV-induced MCP1 and IL-8 production by human monocyte-derived wound-healing macrophages, whereas blockade of FcγR reduced such effects. Our findings reveal a mechanism responsible for virus-mediated ALI, define a pathological consequence of viral specific antibody response, and provide a potential target for treatment of SARS-CoV or other virus-mediated lung injury.","container-title":"JCI insight","DOI":"10.1172/jci.insight.123158","ISSN":"2379-3708","issue":"4","journalAbbreviation":"JCI Insight","language":"eng","note":"PMID: 30830861\nPMCID: PMC6478436","page":"e123158, 123158","source":"PubMed","title":"Anti-spike IgG causes severe acute lung injury by skewing macrophage responses during acute SARS-CoV infection","volume":"4","author":[{"family":"Liu","given":"Li"},{"family":"Wei","given":"Qiang"},{"family":"Lin","given":"Qingqing"},{"family":"Fang","given":"Jun"},{"family":"Wang","given":"Haibo"},{"family":"Kwok","given":"Hauyee"},{"family":"Tang","given":"Hangying"},{"family":"Nishiura","given":"Kenji"},{"family":"Peng","given":"Jie"},{"family":"Tan","given":"Zhiwu"},{"family":"Wu","given":"Tongjin"},{"family":"Cheung","given":"Ka-Wai"},{"family":"Chan","given":"Kwok-Hung"},{"family":"Alvarez","given":"Xavier"},{"family":"Qin","given":"Chuan"},{"family":"Lackner","given":"Andrew"},{"family":"Perlman","given":"Stanley"},{"family":"Yuen","given":"Kwok-Yung"},{"family":"Chen","given":"Zhiwei"}],"issued":{"date-parts":[["2019",2,21]]}}},{"id":112,"uris":["http://zotero.org/users/local/ZR048J0w/items/RVF2DJIL"],"uri":["http://zotero.org/users/local/ZR048J0w/items/RVF2DJIL"],"itemData":{"id":112,"type":"article-journal","abstract":"Recently, a novel coronavirus (2019-nCoV) has emerged from Wuhan, China, causing symptoms in humans similar to those caused by severe acute respiratory syndrome coronavirus (SARS-CoV). Since the SARS-CoV outbreak in 2002, extensive structural analyses have revealed key atomic-level interactions between the SARS-CoV spike protein receptor-binding domain (RBD) and its host receptor angiotensin-converting enzyme 2 (ACE2), which regulate both the cross-species and human-to-human transmissions of SARS-CoV. Here, we analyzed the potential receptor usage by 2019-nCoV, based on the rich knowledge about SARS-CoV and the newly released sequence of 2019-nCoV. First, the sequence of 2019-nCoV RBD, including its receptor-binding motif (RBM) that directly contacts ACE2, is similar to that of SARS-CoV, strongly suggesting that 2019-nCoV uses ACE2 as its receptor. Second, several critical residues in 2019-nCoV RBM (particularly Gln493) provide favorable interactions with human ACE2, consistent with 2019-nCoV’s capacity for human cell infection. Third, several other critical residues in 2019-nCoV RBM (particularly Asn501) are compatible with, but not ideal for, binding human ACE2, suggesting that 2019-nCoV has acquired some capacity for human-to-human transmission. Last, while phylogenetic analysis indicates a bat origin of 2019-nCoV, 2019-nCoV also potentially recognizes ACE2 from a diversity of animal species (except mice and rats), implicating these animal species as possible intermediate hosts or animal models for 2019-nCoV infections. These analyses provide insights into the receptor usage, cell entry, host cell infectivity and animal origin of 2019-nCoV and may help epidemic surveillance and preventive measures against 2019-nCoV.\nIMPORTANCE The recent emergence of Wuhan coronavirus (2019-nCoV) puts the world on alert. 2019-nCoV is reminiscent of the SARS-CoV outbreak in 2002 to 2003. Our decade-long structural studies on the receptor recognition by SARS-CoV have identified key interactions between SARS-CoV spike protein and its host receptor angiotensin-converting enzyme 2 (ACE2), which regulate both the cross-species and human-to-human transmissions of SARS-CoV. One of the goals of SARS-CoV research was to build an atomic-level iterative framework of virus-receptor interactions to facilitate epidemic surveillance, predict species-specific receptor usage, and identify potential animal hosts and animal models of viruses. Based on the sequence of 2019-nCoV spike protein, we apply this predictive framework to provide novel insights into the receptor usage and likely host range of 2019-nCoV. This study provides a robust test of this reiterative framework, providing the basic, translational, and public health research communities with predictive insights that may help study and battle this novel 2019-nCoV.","container-title":"Journal of Virology","DOI":"10.1128/JVI.00127-20","ISSN":"0022-538X, 1098-5514","issue":"7","language":"en","note":"publisher: American Society for Microbiology Journals\nsection: Virus-Cell Interactions\nPMID: 31996437","source":"jvi.asm.org","title":"Receptor Recognition by the Novel Coronavirus from Wuhan: an Analysis Based on Decade-Long Structural Studies of SARS Coronavirus","title-short":"Receptor Recognition by the Novel Coronavirus from Wuhan","URL":"https://jvi.asm.org/content/94/7/e00127-20","volume":"94","author":[{"family":"Wan","given":"Yushun"},{"family":"Shang","given":"Jian"},{"family":"Graham","given":"Rachel"},{"family":"Baric","given":"Ralph S."},{"family":"Li","given":"Fang"}],"accessed":{"date-parts":[["2020",7,2]]},"issued":{"date-parts":[["2020",3,17]]}}}],"schema":"https://github.com/citation-style-language/schema/raw/master/csl-citation.json"} </w:instrText>
      </w:r>
      <w:r w:rsidR="00872714" w:rsidRPr="009F44A4">
        <w:rPr>
          <w:color w:val="000000" w:themeColor="text1"/>
          <w:sz w:val="20"/>
          <w:szCs w:val="20"/>
          <w:shd w:val="clear" w:color="auto" w:fill="FFFFFF"/>
        </w:rPr>
        <w:fldChar w:fldCharType="separate"/>
      </w:r>
      <w:r w:rsidR="00236558" w:rsidRPr="00236558">
        <w:rPr>
          <w:sz w:val="20"/>
          <w:vertAlign w:val="superscript"/>
        </w:rPr>
        <w:t>240,241</w:t>
      </w:r>
      <w:r w:rsidR="00872714" w:rsidRPr="009F44A4">
        <w:rPr>
          <w:color w:val="000000" w:themeColor="text1"/>
          <w:sz w:val="20"/>
          <w:szCs w:val="20"/>
          <w:shd w:val="clear" w:color="auto" w:fill="FFFFFF"/>
        </w:rPr>
        <w:fldChar w:fldCharType="end"/>
      </w:r>
      <w:r w:rsidR="004250F7"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An adjuvant was observed to increase </w:t>
      </w:r>
      <w:proofErr w:type="spellStart"/>
      <w:r w:rsidRPr="009F44A4">
        <w:rPr>
          <w:color w:val="000000" w:themeColor="text1"/>
          <w:sz w:val="20"/>
          <w:szCs w:val="20"/>
          <w:shd w:val="clear" w:color="auto" w:fill="FFFFFF"/>
        </w:rPr>
        <w:t>Th2</w:t>
      </w:r>
      <w:proofErr w:type="spellEnd"/>
      <w:r w:rsidRPr="009F44A4">
        <w:rPr>
          <w:color w:val="000000" w:themeColor="text1"/>
          <w:sz w:val="20"/>
          <w:szCs w:val="20"/>
          <w:shd w:val="clear" w:color="auto" w:fill="FFFFFF"/>
        </w:rPr>
        <w:t>-type (T helper type 2) immunity and minimize immunopathology in previous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 (severe acute respiratory syndrome coronavirus) research, implying the adjuvant's latent importance</w:t>
      </w:r>
      <w:r w:rsidR="002F0CFF" w:rsidRPr="009F44A4">
        <w:rPr>
          <w:color w:val="000000" w:themeColor="text1"/>
          <w:sz w:val="20"/>
          <w:szCs w:val="20"/>
          <w:shd w:val="clear" w:color="auto" w:fill="FFFFFF"/>
        </w:rPr>
        <w:t xml:space="preserve"> </w:t>
      </w:r>
      <w:r w:rsidR="002F0CFF" w:rsidRPr="009F44A4">
        <w:rPr>
          <w:color w:val="000000" w:themeColor="text1"/>
          <w:sz w:val="20"/>
          <w:szCs w:val="20"/>
          <w:shd w:val="clear" w:color="auto" w:fill="FFFFFF"/>
        </w:rPr>
        <w:fldChar w:fldCharType="begin"/>
      </w:r>
      <w:r w:rsidR="00236558">
        <w:rPr>
          <w:color w:val="000000" w:themeColor="text1"/>
          <w:sz w:val="20"/>
          <w:szCs w:val="20"/>
          <w:shd w:val="clear" w:color="auto" w:fill="FFFFFF"/>
        </w:rPr>
        <w:instrText xml:space="preserve"> ADDIN ZOTERO_ITEM CSL_CITATION {"citationID":"0JzmSpxW","properties":{"formattedCitation":"\\super 242\\nosupersub{}","plainCitation":"242","noteIndex":0},"citationItems":[{"id":1655,"uris":["http://zotero.org/users/local/ZR048J0w/items/99AXQYJA"],"uri":["http://zotero.org/users/local/ZR048J0w/items/99AXQYJA"],"itemData":{"id":1655,"type":"article-journal","abstract":"Previous work on severe acute respiratory syndrome coronavirus (SARS-CoV) vaccines identified cellular immunopathology and antibody-dependent enhancement as potential safety issues. We discuss the implications of these findings for COVID-19 vaccine development and our approach to optimizing for safety and efficacy.","container-title":"Nature Reviews Immunology","DOI":"10.1038/s41577-020-0323-4","ISSN":"1474-1741","issue":"6","journalAbbreviation":"Nat Rev Immunol","language":"en","note":"number: 6\npublisher: Nature Publishing Group","page":"347-348","source":"www.nature.com","title":"COVID-19 vaccine design: the Janus face of immune enhancement","title-short":"COVID-19 vaccine design","volume":"20","author":[{"family":"Hotez","given":"Peter J."},{"family":"Corry","given":"David B."},{"family":"Bottazzi","given":"Maria Elena"}],"issued":{"date-parts":[["2020",6]]}}}],"schema":"https://github.com/citation-style-language/schema/raw/master/csl-citation.json"} </w:instrText>
      </w:r>
      <w:r w:rsidR="002F0CFF" w:rsidRPr="009F44A4">
        <w:rPr>
          <w:color w:val="000000" w:themeColor="text1"/>
          <w:sz w:val="20"/>
          <w:szCs w:val="20"/>
          <w:shd w:val="clear" w:color="auto" w:fill="FFFFFF"/>
        </w:rPr>
        <w:fldChar w:fldCharType="separate"/>
      </w:r>
      <w:r w:rsidR="00236558" w:rsidRPr="00236558">
        <w:rPr>
          <w:sz w:val="20"/>
          <w:vertAlign w:val="superscript"/>
        </w:rPr>
        <w:t>242</w:t>
      </w:r>
      <w:r w:rsidR="002F0CFF" w:rsidRPr="009F44A4">
        <w:rPr>
          <w:color w:val="000000" w:themeColor="text1"/>
          <w:sz w:val="20"/>
          <w:szCs w:val="20"/>
          <w:shd w:val="clear" w:color="auto" w:fill="FFFFFF"/>
        </w:rPr>
        <w:fldChar w:fldCharType="end"/>
      </w:r>
      <w:r w:rsidR="002F0CFF" w:rsidRPr="009F44A4">
        <w:rPr>
          <w:color w:val="000000" w:themeColor="text1"/>
          <w:sz w:val="20"/>
          <w:szCs w:val="20"/>
          <w:shd w:val="clear" w:color="auto" w:fill="FFFFFF"/>
        </w:rPr>
        <w:t>.</w:t>
      </w:r>
      <w:r w:rsidRPr="009F44A4">
        <w:rPr>
          <w:color w:val="000000" w:themeColor="text1"/>
          <w:sz w:val="20"/>
          <w:szCs w:val="20"/>
          <w:shd w:val="clear" w:color="auto" w:fill="FFFFFF"/>
        </w:rPr>
        <w:t xml:space="preserve"> Furthermore, the dengue virus case can be utilized as a model, with changes to the </w:t>
      </w:r>
      <w:proofErr w:type="spellStart"/>
      <w:r w:rsidRPr="009F44A4">
        <w:rPr>
          <w:color w:val="000000" w:themeColor="text1"/>
          <w:sz w:val="20"/>
          <w:szCs w:val="20"/>
          <w:shd w:val="clear" w:color="auto" w:fill="FFFFFF"/>
        </w:rPr>
        <w:t>FcgR</w:t>
      </w:r>
      <w:proofErr w:type="spellEnd"/>
      <w:r w:rsidRPr="009F44A4">
        <w:rPr>
          <w:color w:val="000000" w:themeColor="text1"/>
          <w:sz w:val="20"/>
          <w:szCs w:val="20"/>
          <w:shd w:val="clear" w:color="auto" w:fill="FFFFFF"/>
        </w:rPr>
        <w:t xml:space="preserve"> binding location on the antibody Fc component lowering the probability of ADE. In these conditions, ensuring that classical viral entry is prevented via antibodies while resolving ADE is another difficulty. Combining </w:t>
      </w:r>
      <w:proofErr w:type="spellStart"/>
      <w:r w:rsidRPr="009F44A4">
        <w:rPr>
          <w:color w:val="000000" w:themeColor="text1"/>
          <w:sz w:val="20"/>
          <w:szCs w:val="20"/>
          <w:shd w:val="clear" w:color="auto" w:fill="FFFFFF"/>
        </w:rPr>
        <w:t>Cyclospora</w:t>
      </w:r>
      <w:proofErr w:type="spellEnd"/>
      <w:r w:rsidRPr="009F44A4">
        <w:rPr>
          <w:color w:val="000000" w:themeColor="text1"/>
          <w:sz w:val="20"/>
          <w:szCs w:val="20"/>
          <w:shd w:val="clear" w:color="auto" w:fill="FFFFFF"/>
        </w:rPr>
        <w:t xml:space="preserve"> A and Chinese medicine pharmaceutics with immunosuppressive qualities with colloidal sub-particles, which can improve macrophage targeting and induce an immunosuppressive effect, could be a viable alternative. This may be effective against viruses and bacteria as well as immune-injury inflammation.</w:t>
      </w:r>
    </w:p>
    <w:p w14:paraId="6CB603C6" w14:textId="77777777" w:rsidR="00CE59DA" w:rsidRPr="009F44A4" w:rsidRDefault="00CE59DA" w:rsidP="00DC7281">
      <w:pPr>
        <w:pStyle w:val="ListParagraph"/>
        <w:shd w:val="clear" w:color="auto" w:fill="FFFFFF" w:themeFill="background1"/>
        <w:spacing w:line="360" w:lineRule="auto"/>
        <w:ind w:left="360"/>
        <w:jc w:val="both"/>
        <w:rPr>
          <w:rFonts w:ascii="Times New Roman" w:eastAsia="Calibri" w:hAnsi="Times New Roman" w:cs="Times New Roman"/>
          <w:b/>
          <w:color w:val="000000" w:themeColor="text1"/>
          <w:sz w:val="20"/>
          <w:szCs w:val="20"/>
        </w:rPr>
      </w:pPr>
    </w:p>
    <w:p w14:paraId="53232D99" w14:textId="1E1D7FA1" w:rsidR="008D16FE" w:rsidRPr="009F44A4" w:rsidRDefault="00C02138"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rPr>
      </w:pPr>
      <w:r w:rsidRPr="009F44A4">
        <w:rPr>
          <w:rFonts w:ascii="Times New Roman" w:eastAsia="Calibri" w:hAnsi="Times New Roman" w:cs="Times New Roman"/>
          <w:b/>
          <w:color w:val="000000" w:themeColor="text1"/>
          <w:sz w:val="20"/>
          <w:szCs w:val="20"/>
        </w:rPr>
        <w:t>Conclusion and future perspective</w:t>
      </w:r>
    </w:p>
    <w:p w14:paraId="7CCFE089" w14:textId="77777777" w:rsidR="00420857" w:rsidRDefault="00420857" w:rsidP="00DC7281">
      <w:pPr>
        <w:pStyle w:val="NormalWeb"/>
        <w:shd w:val="clear" w:color="auto" w:fill="FFFFFF" w:themeFill="background1"/>
        <w:spacing w:before="160" w:beforeAutospacing="0" w:after="300" w:afterAutospacing="0" w:line="360" w:lineRule="auto"/>
        <w:jc w:val="both"/>
        <w:rPr>
          <w:color w:val="000000" w:themeColor="text1"/>
          <w:sz w:val="20"/>
          <w:szCs w:val="20"/>
          <w:shd w:val="clear" w:color="auto" w:fill="FFFFFF"/>
        </w:rPr>
      </w:pPr>
      <w:r w:rsidRPr="009F44A4">
        <w:rPr>
          <w:color w:val="000000" w:themeColor="text1"/>
          <w:sz w:val="20"/>
          <w:szCs w:val="20"/>
          <w:shd w:val="clear" w:color="auto" w:fill="FFFFFF"/>
        </w:rPr>
        <w:t>Coronavirus 2019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causes respiratory illness in humans including vomiting, loss of taste, sneezing and coughing while diarrhea and upper respiratory disease occur in animals. According to the WHO guidelines, avoiding contact with infected people and limiting visits to market or public spaces, as much as possible, can help break the chain of transmission of coronavirus 2. Largely, both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 and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share common symptoms and also exhibit a similar mechanism of action, which has created a war-like situation across the world. Since, there is no specific antiviral medicine or therapy available at present, many potential drugs for repurposing to treat COVID-19 patients are being explored worldwide. Such efforts have led to at least managing and controlling the seriousness of illness and death rate of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 xml:space="preserve">-2 patients. In parallel, clinical trials of various medicines for repurposing are in progress with due approval from the respective authorities of the country. Also, vaccine development has started taking its shape as many of them are currently undergoing through the phases of clinical trials. Few vaccines got approval for usage purposes, such as AZD1222 vaccine produced by Oxford University and AstraZeneca, </w:t>
      </w:r>
      <w:proofErr w:type="spellStart"/>
      <w:r w:rsidRPr="009F44A4">
        <w:rPr>
          <w:color w:val="000000" w:themeColor="text1"/>
          <w:sz w:val="20"/>
          <w:szCs w:val="20"/>
          <w:shd w:val="clear" w:color="auto" w:fill="FFFFFF"/>
        </w:rPr>
        <w:t>Covaxin</w:t>
      </w:r>
      <w:proofErr w:type="spellEnd"/>
      <w:r w:rsidRPr="009F44A4">
        <w:rPr>
          <w:color w:val="000000" w:themeColor="text1"/>
          <w:sz w:val="20"/>
          <w:szCs w:val="20"/>
          <w:shd w:val="clear" w:color="auto" w:fill="FFFFFF"/>
        </w:rPr>
        <w:t xml:space="preserve"> developed by Bharat Biotech in collaboration with the Indian Council of Medical Research (ICMR). Stem cells-based therapy is also showing a ray of hope as a potential treatment measure for the management of this uncured disease; </w:t>
      </w:r>
      <w:r w:rsidRPr="009F44A4">
        <w:rPr>
          <w:color w:val="000000" w:themeColor="text1"/>
          <w:sz w:val="20"/>
          <w:szCs w:val="20"/>
          <w:shd w:val="clear" w:color="auto" w:fill="FFFFFF"/>
        </w:rPr>
        <w:lastRenderedPageBreak/>
        <w:t>however more intensive study of this novel coronavirus is needed to find its permanent cure. ADE has been documented in SARS, MERS, and other human respiratory viral illnesses such as RSV and measles, implying that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vaccinations and antibody-based therapies pose a real risk of ADE. Clinical studies, however, have not yet clearly proven ADE's function in human COVID-19 pathology. Animal and human clinical investigations are now underway to learn more about the mechanisms of ADE in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Since December 2019, the entire world has been coping with various strains of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as well as the first and second waves of the COVID-19 pandemic. However, due to the Delta variety, a few nations are still battling with the third wave. In the midst of this, the introduction of a new Omicron variety may have a devastating impact on human life and livelihood. The tireless efforts of scientists, medical professionals, front-line workers, and policymakers involved in dealing with this pandemic are commendable. In the previous two years, there has been a significant improvement in our understanding of SARS-</w:t>
      </w:r>
      <w:proofErr w:type="spellStart"/>
      <w:r w:rsidRPr="009F44A4">
        <w:rPr>
          <w:color w:val="000000" w:themeColor="text1"/>
          <w:sz w:val="20"/>
          <w:szCs w:val="20"/>
          <w:shd w:val="clear" w:color="auto" w:fill="FFFFFF"/>
        </w:rPr>
        <w:t>CoV</w:t>
      </w:r>
      <w:proofErr w:type="spellEnd"/>
      <w:r w:rsidRPr="009F44A4">
        <w:rPr>
          <w:color w:val="000000" w:themeColor="text1"/>
          <w:sz w:val="20"/>
          <w:szCs w:val="20"/>
          <w:shd w:val="clear" w:color="auto" w:fill="FFFFFF"/>
        </w:rPr>
        <w:t>-2 and its variations, their origin and structure, pathogenesis, and related symptoms in various patient groups. The availability of effective FDA-approved vaccinations, treatment, and management regimes, as well as improved diagnostic and treatment infrastructure and skilled health care workers, may aid in better handling of the novel Omicron strain.</w:t>
      </w:r>
    </w:p>
    <w:p w14:paraId="3A9E92E3" w14:textId="77777777" w:rsidR="007E2F5D" w:rsidRDefault="007E2F5D" w:rsidP="007E2F5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Conflicts of interest</w:t>
      </w:r>
    </w:p>
    <w:p w14:paraId="7075E4DB" w14:textId="77777777" w:rsidR="007E2F5D" w:rsidRDefault="007E2F5D" w:rsidP="007E2F5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 authors declare no conflict of interest.</w:t>
      </w:r>
    </w:p>
    <w:p w14:paraId="3213BF4C" w14:textId="77777777" w:rsidR="007E2F5D" w:rsidRPr="009F44A4" w:rsidRDefault="007E2F5D" w:rsidP="00DC7281">
      <w:pPr>
        <w:pStyle w:val="NormalWeb"/>
        <w:shd w:val="clear" w:color="auto" w:fill="FFFFFF" w:themeFill="background1"/>
        <w:spacing w:before="160" w:beforeAutospacing="0" w:after="300" w:afterAutospacing="0" w:line="360" w:lineRule="auto"/>
        <w:jc w:val="both"/>
        <w:rPr>
          <w:color w:val="000000" w:themeColor="text1"/>
          <w:sz w:val="20"/>
          <w:szCs w:val="20"/>
        </w:rPr>
      </w:pPr>
    </w:p>
    <w:p w14:paraId="4255E716" w14:textId="0934C0C5" w:rsidR="0038309E" w:rsidRDefault="0038309E"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rPr>
      </w:pPr>
    </w:p>
    <w:p w14:paraId="47D40195" w14:textId="498EE666" w:rsidR="00B06701" w:rsidRDefault="00B06701" w:rsidP="00DC7281">
      <w:pPr>
        <w:shd w:val="clear" w:color="auto" w:fill="FFFFFF" w:themeFill="background1"/>
        <w:spacing w:line="360" w:lineRule="auto"/>
        <w:jc w:val="both"/>
        <w:rPr>
          <w:rFonts w:ascii="Times New Roman" w:eastAsia="Calibri" w:hAnsi="Times New Roman" w:cs="Times New Roman"/>
          <w:b/>
          <w:color w:val="000000" w:themeColor="text1"/>
          <w:sz w:val="20"/>
          <w:szCs w:val="20"/>
        </w:rPr>
      </w:pPr>
    </w:p>
    <w:p w14:paraId="0A29C640" w14:textId="77777777" w:rsidR="00B06701" w:rsidRPr="009F44A4" w:rsidRDefault="00B06701"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p>
    <w:p w14:paraId="4F885EF8" w14:textId="77777777" w:rsidR="00A47E57" w:rsidRPr="009F44A4" w:rsidRDefault="00A47E57"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p>
    <w:p w14:paraId="67F56EE6" w14:textId="77777777" w:rsidR="00A47E57" w:rsidRPr="009F44A4" w:rsidRDefault="00A47E57"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p>
    <w:p w14:paraId="701F5636" w14:textId="6C8598D9" w:rsidR="00B06701" w:rsidRPr="009F44A4" w:rsidRDefault="00B06701"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p>
    <w:p w14:paraId="748F1ADE" w14:textId="625004CF" w:rsidR="008D16FE" w:rsidRPr="009F44A4" w:rsidRDefault="00C02138"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r w:rsidRPr="009F44A4">
        <w:rPr>
          <w:rFonts w:ascii="Times New Roman" w:eastAsia="Times New Roman" w:hAnsi="Times New Roman" w:cs="Times New Roman"/>
          <w:b/>
          <w:color w:val="000000" w:themeColor="text1"/>
          <w:sz w:val="20"/>
          <w:szCs w:val="20"/>
        </w:rPr>
        <w:t>References</w:t>
      </w:r>
    </w:p>
    <w:p w14:paraId="368C5768" w14:textId="25A4FC40" w:rsidR="00236558" w:rsidRDefault="00803076" w:rsidP="00DC7281">
      <w:pPr>
        <w:pStyle w:val="Bibliography"/>
        <w:numPr>
          <w:ilvl w:val="0"/>
          <w:numId w:val="13"/>
        </w:numPr>
        <w:spacing w:line="360" w:lineRule="auto"/>
        <w:jc w:val="both"/>
      </w:pPr>
      <w:r w:rsidRPr="00A371AB">
        <w:rPr>
          <w:rFonts w:eastAsia="Times New Roman"/>
          <w:b/>
          <w:color w:val="000000" w:themeColor="text1"/>
          <w:sz w:val="20"/>
          <w:szCs w:val="20"/>
        </w:rPr>
        <w:fldChar w:fldCharType="begin"/>
      </w:r>
      <w:r w:rsidR="00236558">
        <w:rPr>
          <w:rFonts w:eastAsia="Times New Roman"/>
          <w:b/>
          <w:color w:val="000000" w:themeColor="text1"/>
          <w:sz w:val="20"/>
          <w:szCs w:val="20"/>
        </w:rPr>
        <w:instrText xml:space="preserve"> ADDIN ZOTERO_BIBL {"uncited":[],"omitted":[],"custom":[]} CSL_BIBLIOGRAPHY </w:instrText>
      </w:r>
      <w:r w:rsidRPr="00A371AB">
        <w:rPr>
          <w:rFonts w:eastAsia="Times New Roman"/>
          <w:b/>
          <w:color w:val="000000" w:themeColor="text1"/>
          <w:sz w:val="20"/>
          <w:szCs w:val="20"/>
        </w:rPr>
        <w:fldChar w:fldCharType="separate"/>
      </w:r>
      <w:r w:rsidR="00236558">
        <w:rPr>
          <w:i/>
          <w:iCs/>
        </w:rPr>
        <w:t>Coronavirus Disease (COVID-19) Situation Reports</w:t>
      </w:r>
      <w:r w:rsidR="00236558">
        <w:t>. https://www.who.int/emergencies/diseases/novel-coronavirus-2019/situation-reports (accessed 2020-12-08).</w:t>
      </w:r>
    </w:p>
    <w:p w14:paraId="4101EF0C" w14:textId="60FD01F4" w:rsidR="00236558" w:rsidRDefault="00236558" w:rsidP="00DC7281">
      <w:pPr>
        <w:pStyle w:val="Bibliography"/>
        <w:numPr>
          <w:ilvl w:val="0"/>
          <w:numId w:val="13"/>
        </w:numPr>
        <w:spacing w:line="360" w:lineRule="auto"/>
        <w:jc w:val="both"/>
      </w:pPr>
      <w:r>
        <w:t xml:space="preserve">Zhu, N.; Zhang, D.; Wang, W.; Li, X.; Yang, B.; Song, J.; Zhao, X.; Huang, B.; Shi, W.; Lu, R.; Niu, P.; Zhan, F.; Ma, X.; Wang, D.; Xu, W.; Wu, G.; Gao, G. F.; Tan, W.; China Novel Coronavirus Investigating and Research Team. A Novel Coronavirus from Patients with Pneumonia in China, 2019. </w:t>
      </w:r>
      <w:r>
        <w:rPr>
          <w:i/>
          <w:iCs/>
        </w:rPr>
        <w:t>N. Engl. J. Med.</w:t>
      </w:r>
      <w:r>
        <w:t xml:space="preserve"> </w:t>
      </w:r>
      <w:r>
        <w:rPr>
          <w:b/>
          <w:bCs/>
        </w:rPr>
        <w:t>2020</w:t>
      </w:r>
      <w:r>
        <w:t xml:space="preserve">, </w:t>
      </w:r>
      <w:r>
        <w:rPr>
          <w:i/>
          <w:iCs/>
        </w:rPr>
        <w:t>382</w:t>
      </w:r>
      <w:r>
        <w:t xml:space="preserve"> (8), 727–733. https://doi.org/10.1056/NEJMoa2001017.</w:t>
      </w:r>
    </w:p>
    <w:p w14:paraId="023C7708" w14:textId="16ED51E0" w:rsidR="00236558" w:rsidRDefault="00236558" w:rsidP="00DC7281">
      <w:pPr>
        <w:pStyle w:val="Bibliography"/>
        <w:numPr>
          <w:ilvl w:val="0"/>
          <w:numId w:val="13"/>
        </w:numPr>
        <w:spacing w:line="360" w:lineRule="auto"/>
        <w:jc w:val="both"/>
      </w:pPr>
      <w:r>
        <w:rPr>
          <w:i/>
          <w:iCs/>
        </w:rPr>
        <w:lastRenderedPageBreak/>
        <w:t>Coronavirus Update (Live): 72,893,236 Cases and 1,623,425 Deaths from COVID-19 Virus Pandemic - Worldometer</w:t>
      </w:r>
      <w:r>
        <w:t>. https://www.worldometers.info/coronavirus/ (accessed 2020-12-14).</w:t>
      </w:r>
    </w:p>
    <w:p w14:paraId="64AF0EF3" w14:textId="7452342B" w:rsidR="00236558" w:rsidRDefault="00236558" w:rsidP="00DC7281">
      <w:pPr>
        <w:pStyle w:val="Bibliography"/>
        <w:numPr>
          <w:ilvl w:val="0"/>
          <w:numId w:val="13"/>
        </w:numPr>
        <w:spacing w:line="360" w:lineRule="auto"/>
        <w:jc w:val="both"/>
      </w:pPr>
      <w:r>
        <w:t xml:space="preserve">Golchin, A.; Seyedjafari, E.; Ardeshirylajimi, A. Mesenchymal Stem Cell Therapy for COVID-19: Present or Future. </w:t>
      </w:r>
      <w:r>
        <w:rPr>
          <w:i/>
          <w:iCs/>
        </w:rPr>
        <w:t>Stem Cell Rev. Rep.</w:t>
      </w:r>
      <w:r>
        <w:t xml:space="preserve"> </w:t>
      </w:r>
      <w:r>
        <w:rPr>
          <w:b/>
          <w:bCs/>
        </w:rPr>
        <w:t>2020</w:t>
      </w:r>
      <w:r>
        <w:t>, 1–7. https://doi.org/10.1007/s12015-020-09973-w.</w:t>
      </w:r>
    </w:p>
    <w:p w14:paraId="2ADD5E17" w14:textId="284767F6" w:rsidR="00236558" w:rsidRDefault="00236558" w:rsidP="00DC7281">
      <w:pPr>
        <w:pStyle w:val="Bibliography"/>
        <w:numPr>
          <w:ilvl w:val="0"/>
          <w:numId w:val="13"/>
        </w:numPr>
        <w:spacing w:line="360" w:lineRule="auto"/>
        <w:jc w:val="both"/>
      </w:pPr>
      <w:r>
        <w:t xml:space="preserve">di Mauro, G.; Scavone, C.; Rafaniello, C.; Rossi, F.; Capuano, A. SARS-Cov-2 Infection: Response of Human Immune System and Possible Implications for the Rapid Test and Treatment. </w:t>
      </w:r>
      <w:r>
        <w:rPr>
          <w:i/>
          <w:iCs/>
        </w:rPr>
        <w:t>Int. Immunopharmacol.</w:t>
      </w:r>
      <w:r>
        <w:t xml:space="preserve"> </w:t>
      </w:r>
      <w:r>
        <w:rPr>
          <w:b/>
          <w:bCs/>
        </w:rPr>
        <w:t>2020</w:t>
      </w:r>
      <w:r>
        <w:t xml:space="preserve">, </w:t>
      </w:r>
      <w:r>
        <w:rPr>
          <w:i/>
          <w:iCs/>
        </w:rPr>
        <w:t>84</w:t>
      </w:r>
      <w:r>
        <w:t>, 106519. https://doi.org/10.1016/j.intimp.2020.106519.</w:t>
      </w:r>
    </w:p>
    <w:p w14:paraId="096F72B9" w14:textId="5F79E444" w:rsidR="00236558" w:rsidRDefault="00236558" w:rsidP="00DC7281">
      <w:pPr>
        <w:pStyle w:val="Bibliography"/>
        <w:numPr>
          <w:ilvl w:val="0"/>
          <w:numId w:val="13"/>
        </w:numPr>
        <w:spacing w:line="360" w:lineRule="auto"/>
        <w:jc w:val="both"/>
      </w:pPr>
      <w:r>
        <w:t xml:space="preserve">Anderson, R. M.; Heesterbeek, H.; Klinkenberg, D.; Hollingsworth, T. D. How Will Country-Based Mitigation Measures Influence the Course of the COVID-19 Epidemic? </w:t>
      </w:r>
      <w:r>
        <w:rPr>
          <w:i/>
          <w:iCs/>
        </w:rPr>
        <w:t>The Lancet</w:t>
      </w:r>
      <w:r>
        <w:t xml:space="preserve"> </w:t>
      </w:r>
      <w:r>
        <w:rPr>
          <w:b/>
          <w:bCs/>
        </w:rPr>
        <w:t>2020</w:t>
      </w:r>
      <w:r>
        <w:t xml:space="preserve">, </w:t>
      </w:r>
      <w:r>
        <w:rPr>
          <w:i/>
          <w:iCs/>
        </w:rPr>
        <w:t>395</w:t>
      </w:r>
      <w:r>
        <w:t xml:space="preserve"> (10228), 931–934. https://doi.org/10.1016/S0140-6736(20)30567-5.</w:t>
      </w:r>
    </w:p>
    <w:p w14:paraId="1390D8EF" w14:textId="74D857DE" w:rsidR="00236558" w:rsidRDefault="00236558" w:rsidP="00DC7281">
      <w:pPr>
        <w:pStyle w:val="Bibliography"/>
        <w:numPr>
          <w:ilvl w:val="0"/>
          <w:numId w:val="13"/>
        </w:numPr>
        <w:spacing w:line="360" w:lineRule="auto"/>
        <w:jc w:val="both"/>
      </w:pPr>
      <w:r>
        <w:t xml:space="preserve">Shereen, M. A.; Khan, S.; Kazmi, A.; Bashir, N.; Siddique, R. COVID-19 Infection: Origin, Transmission, and Characteristics of Human Coronaviruses. </w:t>
      </w:r>
      <w:r>
        <w:rPr>
          <w:i/>
          <w:iCs/>
        </w:rPr>
        <w:t>J. Adv. Res.</w:t>
      </w:r>
      <w:r>
        <w:t xml:space="preserve"> </w:t>
      </w:r>
      <w:r>
        <w:rPr>
          <w:b/>
          <w:bCs/>
        </w:rPr>
        <w:t>2020</w:t>
      </w:r>
      <w:r>
        <w:t xml:space="preserve">, </w:t>
      </w:r>
      <w:r>
        <w:rPr>
          <w:i/>
          <w:iCs/>
        </w:rPr>
        <w:t>24</w:t>
      </w:r>
      <w:r>
        <w:t>, 91–98. https://doi.org/10.1016/j.jare.2020.03.005.</w:t>
      </w:r>
    </w:p>
    <w:p w14:paraId="36DF055E" w14:textId="6DD93829" w:rsidR="00236558" w:rsidRDefault="00236558" w:rsidP="00DC7281">
      <w:pPr>
        <w:pStyle w:val="Bibliography"/>
        <w:numPr>
          <w:ilvl w:val="0"/>
          <w:numId w:val="13"/>
        </w:numPr>
        <w:spacing w:line="360" w:lineRule="auto"/>
        <w:jc w:val="both"/>
      </w:pPr>
      <w:r>
        <w:t xml:space="preserve">Harapan, H.; Itoh, N.; Yufika, A.; Winardi, W.; Keam, S.; Te, H.; Megawati, D.; Hayati, Z.; Wagner, A. L.; Mudatsir, M. Coronavirus Disease 2019 (COVID-19): A Literature Review. </w:t>
      </w:r>
      <w:r>
        <w:rPr>
          <w:i/>
          <w:iCs/>
        </w:rPr>
        <w:t>J. Infect. Public Health</w:t>
      </w:r>
      <w:r>
        <w:t xml:space="preserve"> </w:t>
      </w:r>
      <w:r>
        <w:rPr>
          <w:b/>
          <w:bCs/>
        </w:rPr>
        <w:t>2020</w:t>
      </w:r>
      <w:r>
        <w:t xml:space="preserve">, </w:t>
      </w:r>
      <w:r>
        <w:rPr>
          <w:i/>
          <w:iCs/>
        </w:rPr>
        <w:t>13</w:t>
      </w:r>
      <w:r>
        <w:t xml:space="preserve"> (5), 667–673. https://doi.org/10.1016/j.jiph.2020.03.019.</w:t>
      </w:r>
    </w:p>
    <w:p w14:paraId="24DDB800" w14:textId="16439C0B" w:rsidR="00236558" w:rsidRDefault="00236558" w:rsidP="00DC7281">
      <w:pPr>
        <w:pStyle w:val="Bibliography"/>
        <w:numPr>
          <w:ilvl w:val="0"/>
          <w:numId w:val="13"/>
        </w:numPr>
        <w:spacing w:line="360" w:lineRule="auto"/>
        <w:jc w:val="both"/>
      </w:pPr>
      <w:r>
        <w:rPr>
          <w:i/>
          <w:iCs/>
        </w:rPr>
        <w:t>Fenner and White’s Medical Virology - 5th Edition</w:t>
      </w:r>
      <w:r>
        <w:t>. https://www.elsevier.com/books/fenner-and-whites-medical-virology/burrell/978-0-12-375156-0 (accessed 2020-12-14).</w:t>
      </w:r>
    </w:p>
    <w:p w14:paraId="68E88B19" w14:textId="4296E5AB" w:rsidR="00236558" w:rsidRDefault="00236558" w:rsidP="00DC7281">
      <w:pPr>
        <w:pStyle w:val="Bibliography"/>
        <w:numPr>
          <w:ilvl w:val="0"/>
          <w:numId w:val="13"/>
        </w:numPr>
        <w:spacing w:line="360" w:lineRule="auto"/>
        <w:jc w:val="both"/>
      </w:pPr>
      <w:r>
        <w:t xml:space="preserve">Mousavizadeh, L.; Ghasemi, S. Genotype and Phenotype of COVID-19: Their Roles in Pathogenesis. </w:t>
      </w:r>
      <w:r>
        <w:rPr>
          <w:i/>
          <w:iCs/>
        </w:rPr>
        <w:t>J. Microbiol. Immunol. Infect. Wei Mian Yu Gan Ran Za Zhi</w:t>
      </w:r>
      <w:r>
        <w:t xml:space="preserve"> </w:t>
      </w:r>
      <w:r>
        <w:rPr>
          <w:b/>
          <w:bCs/>
        </w:rPr>
        <w:t>2020</w:t>
      </w:r>
      <w:r>
        <w:t>. https://doi.org/10.1016/j.jmii.2020.03.022.</w:t>
      </w:r>
    </w:p>
    <w:p w14:paraId="3C2D39A4" w14:textId="1B014FE3" w:rsidR="00236558" w:rsidRDefault="00236558" w:rsidP="00DC7281">
      <w:pPr>
        <w:pStyle w:val="Bibliography"/>
        <w:numPr>
          <w:ilvl w:val="0"/>
          <w:numId w:val="13"/>
        </w:numPr>
        <w:spacing w:line="360" w:lineRule="auto"/>
        <w:jc w:val="both"/>
      </w:pPr>
      <w:r>
        <w:t xml:space="preserve">Weiss, S. R.; Leibowitz, J. L. Coronavirus Pathogenesis. </w:t>
      </w:r>
      <w:r>
        <w:rPr>
          <w:i/>
          <w:iCs/>
        </w:rPr>
        <w:t>Adv. Virus Res.</w:t>
      </w:r>
      <w:r>
        <w:t xml:space="preserve"> </w:t>
      </w:r>
      <w:r>
        <w:rPr>
          <w:b/>
          <w:bCs/>
        </w:rPr>
        <w:t>2011</w:t>
      </w:r>
      <w:r>
        <w:t xml:space="preserve">, </w:t>
      </w:r>
      <w:r>
        <w:rPr>
          <w:i/>
          <w:iCs/>
        </w:rPr>
        <w:t>81</w:t>
      </w:r>
      <w:r>
        <w:t>, 85–164. https://doi.org/10.1016/B978-0-12-385885-6.00009-2.</w:t>
      </w:r>
    </w:p>
    <w:p w14:paraId="2E091036" w14:textId="14E2E55D" w:rsidR="00236558" w:rsidRDefault="00236558" w:rsidP="00DC7281">
      <w:pPr>
        <w:pStyle w:val="Bibliography"/>
        <w:numPr>
          <w:ilvl w:val="0"/>
          <w:numId w:val="13"/>
        </w:numPr>
        <w:spacing w:line="360" w:lineRule="auto"/>
        <w:jc w:val="both"/>
      </w:pPr>
      <w:r>
        <w:t xml:space="preserve">Hoffmann, M.; Kleine-Weber, H.; Schroeder, S.; Krüger, N.; Herrler, T.; Erichsen, S.; Schiergens, T. S.; Herrler, G.; Wu, N.-H.; Nitsche, A.; Müller, M. A.; Drosten, C.; Pöhlmann, S. SARS-CoV-2 Cell Entry Depends on ACE2 and TMPRSS2 and Is Blocked by a Clinically Proven Protease Inhibitor. </w:t>
      </w:r>
      <w:r>
        <w:rPr>
          <w:i/>
          <w:iCs/>
        </w:rPr>
        <w:t>Cell</w:t>
      </w:r>
      <w:r>
        <w:t xml:space="preserve"> </w:t>
      </w:r>
      <w:r>
        <w:rPr>
          <w:b/>
          <w:bCs/>
        </w:rPr>
        <w:t>2020</w:t>
      </w:r>
      <w:r>
        <w:t xml:space="preserve">, </w:t>
      </w:r>
      <w:r>
        <w:rPr>
          <w:i/>
          <w:iCs/>
        </w:rPr>
        <w:t>181</w:t>
      </w:r>
      <w:r>
        <w:t xml:space="preserve"> (2), 271-280.e8. https://doi.org/10.1016/j.cell.2020.02.052.</w:t>
      </w:r>
    </w:p>
    <w:p w14:paraId="2CBFB3F8" w14:textId="6B987CB1" w:rsidR="00236558" w:rsidRDefault="00236558" w:rsidP="00DC7281">
      <w:pPr>
        <w:pStyle w:val="Bibliography"/>
        <w:numPr>
          <w:ilvl w:val="0"/>
          <w:numId w:val="13"/>
        </w:numPr>
        <w:spacing w:line="360" w:lineRule="auto"/>
        <w:jc w:val="both"/>
      </w:pPr>
      <w:r>
        <w:t xml:space="preserve">Leng, Z.; Zhu, R.; Hou, W.; Feng, Y.; Yang, Y.; Han, Q.; Shan, G.; Meng, F.; Du, D.; Wang, S.; Fan, J.; Wang, W.; Deng, L.; Shi, H.; Li, H.; Hu, Z.; Zhang, F.; Gao, J.; Liu, H.; Li, X.; Zhao, Y.; Yin, K.; He, X.; Gao, Z.; Wang, Y.; Yang, B.; Jin, R.; Stambler, I.; Lim, L. W.; Su, </w:t>
      </w:r>
      <w:r>
        <w:lastRenderedPageBreak/>
        <w:t xml:space="preserve">H.; Moskalev, A.; Cano, A.; Chakrabarti, S.; Min, K.-J.; Ellison-Hughes, G.; Caruso, C.; Jin, K.; Zhao, R. C. Transplantation of ACE2- Mesenchymal Stem Cells Improves the Outcome of Patients with COVID-19 Pneumonia. </w:t>
      </w:r>
      <w:r>
        <w:rPr>
          <w:i/>
          <w:iCs/>
        </w:rPr>
        <w:t>Aging Dis.</w:t>
      </w:r>
      <w:r>
        <w:t xml:space="preserve"> </w:t>
      </w:r>
      <w:r>
        <w:rPr>
          <w:b/>
          <w:bCs/>
        </w:rPr>
        <w:t>2020</w:t>
      </w:r>
      <w:r>
        <w:t xml:space="preserve">, </w:t>
      </w:r>
      <w:r>
        <w:rPr>
          <w:i/>
          <w:iCs/>
        </w:rPr>
        <w:t>11</w:t>
      </w:r>
      <w:r>
        <w:t xml:space="preserve"> (2), 216–228. https://doi.org/10.14336/AD.2020.0228.</w:t>
      </w:r>
    </w:p>
    <w:p w14:paraId="51680E74" w14:textId="76234D57" w:rsidR="00236558" w:rsidRDefault="00236558" w:rsidP="00DC7281">
      <w:pPr>
        <w:pStyle w:val="Bibliography"/>
        <w:numPr>
          <w:ilvl w:val="0"/>
          <w:numId w:val="13"/>
        </w:numPr>
        <w:spacing w:line="360" w:lineRule="auto"/>
        <w:jc w:val="both"/>
      </w:pPr>
      <w:r>
        <w:t xml:space="preserve">Callaway, E. Delta Coronavirus Variant: Scientists Brace for Impact. </w:t>
      </w:r>
      <w:r>
        <w:rPr>
          <w:i/>
          <w:iCs/>
        </w:rPr>
        <w:t>Nature</w:t>
      </w:r>
      <w:r>
        <w:t xml:space="preserve"> </w:t>
      </w:r>
      <w:r>
        <w:rPr>
          <w:b/>
          <w:bCs/>
        </w:rPr>
        <w:t>2021</w:t>
      </w:r>
      <w:r>
        <w:t xml:space="preserve">, </w:t>
      </w:r>
      <w:r>
        <w:rPr>
          <w:i/>
          <w:iCs/>
        </w:rPr>
        <w:t>595</w:t>
      </w:r>
      <w:r>
        <w:t xml:space="preserve"> (7865), 17–18. https://doi.org/10.1038/d41586-021-01696-3.</w:t>
      </w:r>
    </w:p>
    <w:p w14:paraId="1FFF5E6C" w14:textId="29069F57" w:rsidR="00236558" w:rsidRDefault="00236558" w:rsidP="00DC7281">
      <w:pPr>
        <w:pStyle w:val="Bibliography"/>
        <w:numPr>
          <w:ilvl w:val="0"/>
          <w:numId w:val="13"/>
        </w:numPr>
        <w:spacing w:line="360" w:lineRule="auto"/>
        <w:jc w:val="both"/>
      </w:pPr>
      <w:r>
        <w:t xml:space="preserve">Liu, Y.; Rocklöv, J. The Reproductive Number of the Delta Variant of SARS-CoV-2 Is Far Higher Compared to the Ancestral SARS-CoV-2 Virus. </w:t>
      </w:r>
      <w:r>
        <w:rPr>
          <w:i/>
          <w:iCs/>
        </w:rPr>
        <w:t>J. Travel Med.</w:t>
      </w:r>
      <w:r>
        <w:t xml:space="preserve"> </w:t>
      </w:r>
      <w:r>
        <w:rPr>
          <w:b/>
          <w:bCs/>
        </w:rPr>
        <w:t>2021</w:t>
      </w:r>
      <w:r>
        <w:t xml:space="preserve">, </w:t>
      </w:r>
      <w:r>
        <w:rPr>
          <w:i/>
          <w:iCs/>
        </w:rPr>
        <w:t>28</w:t>
      </w:r>
      <w:r>
        <w:t xml:space="preserve"> (7), taab124. https://doi.org/10.1093/jtm/taab124.</w:t>
      </w:r>
    </w:p>
    <w:p w14:paraId="22D60664" w14:textId="0CFB69AD" w:rsidR="00236558" w:rsidRDefault="00236558" w:rsidP="00DC7281">
      <w:pPr>
        <w:pStyle w:val="Bibliography"/>
        <w:numPr>
          <w:ilvl w:val="0"/>
          <w:numId w:val="13"/>
        </w:numPr>
        <w:spacing w:line="360" w:lineRule="auto"/>
        <w:jc w:val="both"/>
      </w:pPr>
      <w:r>
        <w:t xml:space="preserve">Rambaut, A.; Holmes, E. C.; O’Toole, Á.; Hill, V.; McCrone, J. T.; Ruis, C.; du Plessis, L.; Pybus, O. G. A Dynamic Nomenclature Proposal for SARS-CoV-2 Lineages to Assist Genomic Epidemiology. </w:t>
      </w:r>
      <w:r>
        <w:rPr>
          <w:i/>
          <w:iCs/>
        </w:rPr>
        <w:t>Nat. Microbiol.</w:t>
      </w:r>
      <w:r>
        <w:t xml:space="preserve"> </w:t>
      </w:r>
      <w:r>
        <w:rPr>
          <w:b/>
          <w:bCs/>
        </w:rPr>
        <w:t>2020</w:t>
      </w:r>
      <w:r>
        <w:t xml:space="preserve">, </w:t>
      </w:r>
      <w:r>
        <w:rPr>
          <w:i/>
          <w:iCs/>
        </w:rPr>
        <w:t>5</w:t>
      </w:r>
      <w:r>
        <w:t xml:space="preserve"> (11), 1403–1407. https://doi.org/10.1038/s41564-020-0770-5.</w:t>
      </w:r>
    </w:p>
    <w:p w14:paraId="07BFE3CD" w14:textId="6D621F29" w:rsidR="00236558" w:rsidRDefault="00236558" w:rsidP="00DC7281">
      <w:pPr>
        <w:pStyle w:val="Bibliography"/>
        <w:numPr>
          <w:ilvl w:val="0"/>
          <w:numId w:val="13"/>
        </w:numPr>
        <w:spacing w:line="360" w:lineRule="auto"/>
        <w:jc w:val="both"/>
      </w:pPr>
      <w:r>
        <w:t xml:space="preserve">Shang, J.; Wan, Y.; Luo, C.; Ye, G.; Geng, Q.; Auerbach, A.; Li, F. Cell Entry Mechanisms of SARS-CoV-2. </w:t>
      </w:r>
      <w:r>
        <w:rPr>
          <w:i/>
          <w:iCs/>
        </w:rPr>
        <w:t>Proc. Natl. Acad. Sci.</w:t>
      </w:r>
      <w:r>
        <w:t xml:space="preserve"> </w:t>
      </w:r>
      <w:r>
        <w:rPr>
          <w:b/>
          <w:bCs/>
        </w:rPr>
        <w:t>2020</w:t>
      </w:r>
      <w:r>
        <w:t xml:space="preserve">, </w:t>
      </w:r>
      <w:r>
        <w:rPr>
          <w:i/>
          <w:iCs/>
        </w:rPr>
        <w:t>117</w:t>
      </w:r>
      <w:r>
        <w:t xml:space="preserve"> (21), 11727–11734. https://doi.org/10.1073/pnas.2003138117.</w:t>
      </w:r>
    </w:p>
    <w:p w14:paraId="6792EF29" w14:textId="10333A13" w:rsidR="00236558" w:rsidRDefault="00236558" w:rsidP="00DC7281">
      <w:pPr>
        <w:pStyle w:val="Bibliography"/>
        <w:numPr>
          <w:ilvl w:val="0"/>
          <w:numId w:val="13"/>
        </w:numPr>
        <w:spacing w:line="360" w:lineRule="auto"/>
        <w:jc w:val="both"/>
      </w:pPr>
      <w:r>
        <w:t xml:space="preserve">Starr, T. N.; Greaney, A. J.; Dingens, A. S.; Bloom, J. D. Complete Map of SARS-CoV-2 RBD Mutations That Escape the Monoclonal Antibody LY-CoV555 and Its Cocktail with LY-CoV016. </w:t>
      </w:r>
      <w:r>
        <w:rPr>
          <w:i/>
          <w:iCs/>
        </w:rPr>
        <w:t>BioRxiv Prepr. Serv. Biol.</w:t>
      </w:r>
      <w:r>
        <w:t xml:space="preserve"> </w:t>
      </w:r>
      <w:r>
        <w:rPr>
          <w:b/>
          <w:bCs/>
        </w:rPr>
        <w:t>2021</w:t>
      </w:r>
      <w:r>
        <w:t>, 2021.02.17.431683. https://doi.org/10.1101/2021.02.17.431683.</w:t>
      </w:r>
    </w:p>
    <w:p w14:paraId="0AEDE0DF" w14:textId="7DCFD268" w:rsidR="00236558" w:rsidRDefault="00236558" w:rsidP="00DC7281">
      <w:pPr>
        <w:pStyle w:val="Bibliography"/>
        <w:numPr>
          <w:ilvl w:val="0"/>
          <w:numId w:val="13"/>
        </w:numPr>
        <w:spacing w:line="360" w:lineRule="auto"/>
        <w:jc w:val="both"/>
      </w:pPr>
      <w:r>
        <w:t xml:space="preserve">Eichler, N.; Thornley, C.; Swadi, T.; Devine, T.; McElnay, C.; Sherwood, J.; Brunton, C.; Williamson, F.; Freeman, J.; Berger, S.; Ren, X.; Storey, M.; de Ligt, J.; Geoghegan, J. L. Transmission of Severe Acute Respiratory Syndrome Coronavirus 2 during Border Quarantine and Air Travel, New Zealand (Aotearoa). </w:t>
      </w:r>
      <w:r>
        <w:rPr>
          <w:i/>
          <w:iCs/>
        </w:rPr>
        <w:t>Emerg. Infect. Dis.</w:t>
      </w:r>
      <w:r>
        <w:t xml:space="preserve"> </w:t>
      </w:r>
      <w:r>
        <w:rPr>
          <w:b/>
          <w:bCs/>
        </w:rPr>
        <w:t>2021</w:t>
      </w:r>
      <w:r>
        <w:t xml:space="preserve">, </w:t>
      </w:r>
      <w:r>
        <w:rPr>
          <w:i/>
          <w:iCs/>
        </w:rPr>
        <w:t>27</w:t>
      </w:r>
      <w:r>
        <w:t xml:space="preserve"> (5), 1274–1278. https://doi.org/10.3201/eid2705.210514.</w:t>
      </w:r>
    </w:p>
    <w:p w14:paraId="62D890D8" w14:textId="1544C448" w:rsidR="00236558" w:rsidRDefault="00236558" w:rsidP="00DC7281">
      <w:pPr>
        <w:pStyle w:val="Bibliography"/>
        <w:numPr>
          <w:ilvl w:val="0"/>
          <w:numId w:val="13"/>
        </w:numPr>
        <w:spacing w:line="360" w:lineRule="auto"/>
        <w:jc w:val="both"/>
      </w:pPr>
      <w:r>
        <w:t xml:space="preserve">He, X.; He, C.; Hong, W.; Zhang, K.; Wei, X. The Challenges of COVID-19 Delta Variant: Prevention and Vaccine Development. </w:t>
      </w:r>
      <w:r>
        <w:rPr>
          <w:i/>
          <w:iCs/>
        </w:rPr>
        <w:t>MedComm</w:t>
      </w:r>
      <w:r>
        <w:t xml:space="preserve"> </w:t>
      </w:r>
      <w:r>
        <w:rPr>
          <w:b/>
          <w:bCs/>
        </w:rPr>
        <w:t>2021</w:t>
      </w:r>
      <w:r>
        <w:t xml:space="preserve">, </w:t>
      </w:r>
      <w:r>
        <w:rPr>
          <w:i/>
          <w:iCs/>
        </w:rPr>
        <w:t>2</w:t>
      </w:r>
      <w:r>
        <w:t xml:space="preserve"> (4), 846–854. https://doi.org/10.1002/mco2.95.</w:t>
      </w:r>
    </w:p>
    <w:p w14:paraId="29399366" w14:textId="31C2B1B2" w:rsidR="00236558" w:rsidRDefault="00236558" w:rsidP="00DC7281">
      <w:pPr>
        <w:pStyle w:val="Bibliography"/>
        <w:numPr>
          <w:ilvl w:val="0"/>
          <w:numId w:val="13"/>
        </w:numPr>
        <w:spacing w:line="360" w:lineRule="auto"/>
        <w:jc w:val="both"/>
      </w:pPr>
      <w:r>
        <w:t xml:space="preserve">Kenyon, G. Australia’s Struggle with the Delta Variant. </w:t>
      </w:r>
      <w:r>
        <w:rPr>
          <w:i/>
          <w:iCs/>
        </w:rPr>
        <w:t>Lancet Infect. Dis.</w:t>
      </w:r>
      <w:r>
        <w:t xml:space="preserve"> </w:t>
      </w:r>
      <w:r>
        <w:rPr>
          <w:b/>
          <w:bCs/>
        </w:rPr>
        <w:t>2021</w:t>
      </w:r>
      <w:r>
        <w:t xml:space="preserve">, </w:t>
      </w:r>
      <w:r>
        <w:rPr>
          <w:i/>
          <w:iCs/>
        </w:rPr>
        <w:t>21</w:t>
      </w:r>
      <w:r>
        <w:t xml:space="preserve"> (10), 1358. https://doi.org/10.1016/S1473-3099(21)00579-X.</w:t>
      </w:r>
    </w:p>
    <w:p w14:paraId="20D87D3C" w14:textId="35DB1A3A" w:rsidR="00236558" w:rsidRDefault="00236558" w:rsidP="00DC7281">
      <w:pPr>
        <w:pStyle w:val="Bibliography"/>
        <w:numPr>
          <w:ilvl w:val="0"/>
          <w:numId w:val="13"/>
        </w:numPr>
        <w:spacing w:line="360" w:lineRule="auto"/>
        <w:jc w:val="both"/>
      </w:pPr>
      <w:r>
        <w:t xml:space="preserve">Lopez Bernal, J.; Andrews, N.; Gower, C.; Gallagher, E.; Simmons, R.; Thelwall, S.; Stowe, J.; Tessier, E.; Groves, N.; Dabrera, G.; Myers, R.; Campbell, C. N. J.; Amirthalingam, G.; Edmunds, M.; Zambon, M.; Brown, K. E.; Hopkins, S.; Chand, M.; </w:t>
      </w:r>
      <w:r>
        <w:lastRenderedPageBreak/>
        <w:t xml:space="preserve">Ramsay, M. Effectiveness of Covid-19 Vaccines against the B.1.617.2 (Delta) Variant. </w:t>
      </w:r>
      <w:r>
        <w:rPr>
          <w:i/>
          <w:iCs/>
        </w:rPr>
        <w:t>N. Engl. J. Med.</w:t>
      </w:r>
      <w:r>
        <w:t xml:space="preserve"> </w:t>
      </w:r>
      <w:r>
        <w:rPr>
          <w:b/>
          <w:bCs/>
        </w:rPr>
        <w:t>2021</w:t>
      </w:r>
      <w:r>
        <w:t xml:space="preserve">, </w:t>
      </w:r>
      <w:r>
        <w:rPr>
          <w:i/>
          <w:iCs/>
        </w:rPr>
        <w:t>385</w:t>
      </w:r>
      <w:r>
        <w:t xml:space="preserve"> (7), 585–594. https://doi.org/10.1056/NEJMoa2108891.</w:t>
      </w:r>
    </w:p>
    <w:p w14:paraId="2C491DB9" w14:textId="6F61A028" w:rsidR="00236558" w:rsidRDefault="00236558" w:rsidP="00DC7281">
      <w:pPr>
        <w:pStyle w:val="Bibliography"/>
        <w:numPr>
          <w:ilvl w:val="0"/>
          <w:numId w:val="13"/>
        </w:numPr>
        <w:spacing w:line="360" w:lineRule="auto"/>
        <w:jc w:val="both"/>
      </w:pPr>
      <w:r>
        <w:t xml:space="preserve">Mishra, R.; Goel, S. K.; Gupta, K. C.; Kumar, A. Biocomposite Cryogels as Tissue-Engineered Biomaterials for Regeneration of Critical-Sized Cranial Bone Defects. </w:t>
      </w:r>
      <w:r>
        <w:rPr>
          <w:i/>
          <w:iCs/>
        </w:rPr>
        <w:t>Tissue Eng. Part A</w:t>
      </w:r>
      <w:r>
        <w:t xml:space="preserve"> </w:t>
      </w:r>
      <w:r>
        <w:rPr>
          <w:b/>
          <w:bCs/>
        </w:rPr>
        <w:t>2014</w:t>
      </w:r>
      <w:r>
        <w:t xml:space="preserve">, </w:t>
      </w:r>
      <w:r>
        <w:rPr>
          <w:i/>
          <w:iCs/>
        </w:rPr>
        <w:t>20</w:t>
      </w:r>
      <w:r>
        <w:t xml:space="preserve"> (3–4), 751–762. https://doi.org/10.1089/ten.TEA.2013.0072.</w:t>
      </w:r>
    </w:p>
    <w:p w14:paraId="0C05FB28" w14:textId="519F85E4" w:rsidR="00236558" w:rsidRDefault="00236558" w:rsidP="00DC7281">
      <w:pPr>
        <w:pStyle w:val="Bibliography"/>
        <w:numPr>
          <w:ilvl w:val="0"/>
          <w:numId w:val="13"/>
        </w:numPr>
        <w:spacing w:line="360" w:lineRule="auto"/>
        <w:jc w:val="both"/>
      </w:pPr>
      <w:r>
        <w:t xml:space="preserve">Mlcochova, P.; Kemp, S. A.; Dhar, M. S.; Papa, G.; Meng, B.; Ferreira, I. A. T. M.; Datir, R.; Collier, D. A.; Albecka, A.; Singh, S.; Pandey, R.; Brown, J.; Zhou, J.; Goonawardane, N.; Mishra, S.; Whittaker, C.; Mellan, T.; Marwal, R.; Datta, M.; Sengupta, S.; Ponnusamy, K.; Radhakrishnan, V. S.; Abdullahi, A.; Charles, O.; Chattopadhyay, P.; Devi, P.; Caputo, D.; Peacock, T.; Wattal, C.; Goel, N.; Satwik, A.; Vaishya, R.; Agarwal, M.; Mavousian, A.; Lee, J. H.; Bassi, J.; Silacci-Fegni, C.; Saliba, C.; Pinto, D.; Irie, T.; Yoshida, I.; Hamilton, W. L.; Sato, K.; Bhatt, S.; Flaxman, S.; James, L. C.; Corti, D.; Piccoli, L.; Barclay, W. S.; Rakshit, P.; Agrawal, A.; Gupta, R. K. SARS-CoV-2 B.1.617.2 Delta Variant Replication and Immune Evasion. </w:t>
      </w:r>
      <w:r>
        <w:rPr>
          <w:i/>
          <w:iCs/>
        </w:rPr>
        <w:t>Nature</w:t>
      </w:r>
      <w:r>
        <w:t xml:space="preserve"> </w:t>
      </w:r>
      <w:r>
        <w:rPr>
          <w:b/>
          <w:bCs/>
        </w:rPr>
        <w:t>2021</w:t>
      </w:r>
      <w:r>
        <w:t xml:space="preserve">, </w:t>
      </w:r>
      <w:r>
        <w:rPr>
          <w:i/>
          <w:iCs/>
        </w:rPr>
        <w:t>599</w:t>
      </w:r>
      <w:r>
        <w:t xml:space="preserve"> (7883), 114–119. https://doi.org/10.1038/s41586-021-03944-y.</w:t>
      </w:r>
    </w:p>
    <w:p w14:paraId="5C80E2CE" w14:textId="276A5F15" w:rsidR="00236558" w:rsidRDefault="00236558" w:rsidP="00DC7281">
      <w:pPr>
        <w:pStyle w:val="Bibliography"/>
        <w:numPr>
          <w:ilvl w:val="0"/>
          <w:numId w:val="13"/>
        </w:numPr>
        <w:spacing w:line="360" w:lineRule="auto"/>
        <w:jc w:val="both"/>
      </w:pPr>
      <w:r>
        <w:t xml:space="preserve">Shiehzadegan, S.; Alaghemand, N.; Fox, M.; Venketaraman, V. Analysis of the Delta Variant B.1.617.2 COVID-19. </w:t>
      </w:r>
      <w:r>
        <w:rPr>
          <w:i/>
          <w:iCs/>
        </w:rPr>
        <w:t>Clin. Pract.</w:t>
      </w:r>
      <w:r>
        <w:t xml:space="preserve"> </w:t>
      </w:r>
      <w:r>
        <w:rPr>
          <w:b/>
          <w:bCs/>
        </w:rPr>
        <w:t>2021</w:t>
      </w:r>
      <w:r>
        <w:t xml:space="preserve">, </w:t>
      </w:r>
      <w:r>
        <w:rPr>
          <w:i/>
          <w:iCs/>
        </w:rPr>
        <w:t>11</w:t>
      </w:r>
      <w:r>
        <w:t xml:space="preserve"> (4), 778–784. https://doi.org/10.3390/clinpract11040093.</w:t>
      </w:r>
    </w:p>
    <w:p w14:paraId="5789D84B" w14:textId="3AD4BB77" w:rsidR="00236558" w:rsidRDefault="00236558" w:rsidP="00DC7281">
      <w:pPr>
        <w:pStyle w:val="Bibliography"/>
        <w:numPr>
          <w:ilvl w:val="0"/>
          <w:numId w:val="13"/>
        </w:numPr>
        <w:spacing w:line="360" w:lineRule="auto"/>
        <w:jc w:val="both"/>
      </w:pPr>
      <w:r>
        <w:t xml:space="preserve">Thakur, V.; Ratho, R. K. OMICRON (B.1.1.529): A New SARS-CoV-2 Variant of Concern Mounting Worldwide Fear. </w:t>
      </w:r>
      <w:r>
        <w:rPr>
          <w:i/>
          <w:iCs/>
        </w:rPr>
        <w:t>J. Med. Virol.</w:t>
      </w:r>
      <w:r>
        <w:t xml:space="preserve"> </w:t>
      </w:r>
      <w:r>
        <w:rPr>
          <w:b/>
          <w:bCs/>
        </w:rPr>
        <w:t>2022</w:t>
      </w:r>
      <w:r>
        <w:t xml:space="preserve">, </w:t>
      </w:r>
      <w:r>
        <w:rPr>
          <w:i/>
          <w:iCs/>
        </w:rPr>
        <w:t>94</w:t>
      </w:r>
      <w:r>
        <w:t xml:space="preserve"> (5), 1821–1824. https://doi.org/10.1002/jmv.27541.</w:t>
      </w:r>
    </w:p>
    <w:p w14:paraId="5E3B9ED2" w14:textId="0CE45279" w:rsidR="00236558" w:rsidRDefault="00236558" w:rsidP="00DC7281">
      <w:pPr>
        <w:pStyle w:val="Bibliography"/>
        <w:numPr>
          <w:ilvl w:val="0"/>
          <w:numId w:val="13"/>
        </w:numPr>
        <w:spacing w:line="360" w:lineRule="auto"/>
        <w:jc w:val="both"/>
      </w:pPr>
      <w:r>
        <w:t xml:space="preserve">Kupferschmidt, K. Where Did “weird” Omicron Come From? </w:t>
      </w:r>
      <w:r>
        <w:rPr>
          <w:i/>
          <w:iCs/>
        </w:rPr>
        <w:t>Science</w:t>
      </w:r>
      <w:r>
        <w:t xml:space="preserve"> </w:t>
      </w:r>
      <w:r>
        <w:rPr>
          <w:b/>
          <w:bCs/>
        </w:rPr>
        <w:t>2021</w:t>
      </w:r>
      <w:r>
        <w:t xml:space="preserve">, </w:t>
      </w:r>
      <w:r>
        <w:rPr>
          <w:i/>
          <w:iCs/>
        </w:rPr>
        <w:t>374</w:t>
      </w:r>
      <w:r>
        <w:t xml:space="preserve"> (6572), 1179. https://doi.org/10.1126/science.acx9738.</w:t>
      </w:r>
    </w:p>
    <w:p w14:paraId="3048B582" w14:textId="1195FF0E" w:rsidR="00236558" w:rsidRDefault="00236558" w:rsidP="00DC7281">
      <w:pPr>
        <w:pStyle w:val="Bibliography"/>
        <w:numPr>
          <w:ilvl w:val="0"/>
          <w:numId w:val="13"/>
        </w:numPr>
        <w:spacing w:line="360" w:lineRule="auto"/>
        <w:jc w:val="both"/>
      </w:pPr>
      <w:r>
        <w:t xml:space="preserve">Wang, L.; Cheng, G. Sequence Analysis of the Emerging SARS-CoV-2 Variant Omicron in South Africa. </w:t>
      </w:r>
      <w:r>
        <w:rPr>
          <w:i/>
          <w:iCs/>
        </w:rPr>
        <w:t>J. Med. Virol.</w:t>
      </w:r>
      <w:r>
        <w:t xml:space="preserve"> </w:t>
      </w:r>
      <w:r>
        <w:rPr>
          <w:b/>
          <w:bCs/>
        </w:rPr>
        <w:t>2022</w:t>
      </w:r>
      <w:r>
        <w:t xml:space="preserve">, </w:t>
      </w:r>
      <w:r>
        <w:rPr>
          <w:i/>
          <w:iCs/>
        </w:rPr>
        <w:t>94</w:t>
      </w:r>
      <w:r>
        <w:t xml:space="preserve"> (4), 1728–1733. https://doi.org/10.1002/jmv.27516.</w:t>
      </w:r>
    </w:p>
    <w:p w14:paraId="7068002F" w14:textId="34F1CB46" w:rsidR="00236558" w:rsidRDefault="00236558" w:rsidP="00DC7281">
      <w:pPr>
        <w:pStyle w:val="Bibliography"/>
        <w:numPr>
          <w:ilvl w:val="0"/>
          <w:numId w:val="13"/>
        </w:numPr>
        <w:spacing w:line="360" w:lineRule="auto"/>
        <w:jc w:val="both"/>
      </w:pPr>
      <w:r>
        <w:t xml:space="preserve">Msomi, N.; Lessells, R.; Mlisana, K.; de Oliveira, T. Africa: Tackle HIV and COVID-19 Together. </w:t>
      </w:r>
      <w:r>
        <w:rPr>
          <w:i/>
          <w:iCs/>
        </w:rPr>
        <w:t>Nature</w:t>
      </w:r>
      <w:r>
        <w:t xml:space="preserve"> </w:t>
      </w:r>
      <w:r>
        <w:rPr>
          <w:b/>
          <w:bCs/>
        </w:rPr>
        <w:t>2021</w:t>
      </w:r>
      <w:r>
        <w:t xml:space="preserve">, </w:t>
      </w:r>
      <w:r>
        <w:rPr>
          <w:i/>
          <w:iCs/>
        </w:rPr>
        <w:t>600</w:t>
      </w:r>
      <w:r>
        <w:t xml:space="preserve"> (7887), 33–36. https://doi.org/10.1038/d41586-021-03546-8.</w:t>
      </w:r>
    </w:p>
    <w:p w14:paraId="60DC019C" w14:textId="498CFC96" w:rsidR="00236558" w:rsidRDefault="00236558" w:rsidP="00DC7281">
      <w:pPr>
        <w:pStyle w:val="Bibliography"/>
        <w:numPr>
          <w:ilvl w:val="0"/>
          <w:numId w:val="13"/>
        </w:numPr>
        <w:spacing w:line="360" w:lineRule="auto"/>
        <w:jc w:val="both"/>
      </w:pPr>
      <w:r>
        <w:t xml:space="preserve">de Wit, E.; van Doremalen, N.; Falzarano, D.; Munster, V. J. SARS and MERS: Recent Insights into Emerging Coronaviruses. </w:t>
      </w:r>
      <w:r>
        <w:rPr>
          <w:i/>
          <w:iCs/>
        </w:rPr>
        <w:t>Nat. Rev. Microbiol.</w:t>
      </w:r>
      <w:r>
        <w:t xml:space="preserve"> </w:t>
      </w:r>
      <w:r>
        <w:rPr>
          <w:b/>
          <w:bCs/>
        </w:rPr>
        <w:t>2016</w:t>
      </w:r>
      <w:r>
        <w:t xml:space="preserve">, </w:t>
      </w:r>
      <w:r>
        <w:rPr>
          <w:i/>
          <w:iCs/>
        </w:rPr>
        <w:t>14</w:t>
      </w:r>
      <w:r>
        <w:t xml:space="preserve"> (8), 523–534. https://doi.org/10.1038/nrmicro.2016.81.</w:t>
      </w:r>
    </w:p>
    <w:p w14:paraId="7336A54B" w14:textId="0E8A31B8" w:rsidR="00236558" w:rsidRDefault="00236558" w:rsidP="00DC7281">
      <w:pPr>
        <w:pStyle w:val="Bibliography"/>
        <w:numPr>
          <w:ilvl w:val="0"/>
          <w:numId w:val="13"/>
        </w:numPr>
        <w:spacing w:line="360" w:lineRule="auto"/>
        <w:jc w:val="both"/>
      </w:pPr>
      <w:r>
        <w:t xml:space="preserve">Lee, N.; Hui, D.; Wu, A.; Chan, P.; Cameron, P.; Joynt, G. M.; Ahuja, A.; Yung, M. Y.; Leung, C. B.; To, K. F.; Lui, S. F.; Szeto, C. C.; Chung, S.; Sung, J. J. Y. A Major Outbreak of Severe Acute Respiratory Syndrome in Hong Kong. </w:t>
      </w:r>
      <w:r>
        <w:rPr>
          <w:i/>
          <w:iCs/>
        </w:rPr>
        <w:t>N. Engl. J. Med.</w:t>
      </w:r>
      <w:r>
        <w:t xml:space="preserve"> </w:t>
      </w:r>
      <w:r>
        <w:rPr>
          <w:b/>
          <w:bCs/>
        </w:rPr>
        <w:t>2003</w:t>
      </w:r>
      <w:r>
        <w:t xml:space="preserve">, </w:t>
      </w:r>
      <w:r>
        <w:rPr>
          <w:i/>
          <w:iCs/>
        </w:rPr>
        <w:t>348</w:t>
      </w:r>
      <w:r>
        <w:t xml:space="preserve"> (20), 1986–1994. https://doi.org/10.1056/NEJMoa030685.</w:t>
      </w:r>
    </w:p>
    <w:p w14:paraId="12703678" w14:textId="0F8E5AAF" w:rsidR="00236558" w:rsidRDefault="00236558" w:rsidP="00DC7281">
      <w:pPr>
        <w:pStyle w:val="Bibliography"/>
        <w:numPr>
          <w:ilvl w:val="0"/>
          <w:numId w:val="13"/>
        </w:numPr>
        <w:spacing w:line="360" w:lineRule="auto"/>
        <w:jc w:val="both"/>
      </w:pPr>
      <w:r>
        <w:lastRenderedPageBreak/>
        <w:t xml:space="preserve">Guan, Y.; Peiris, J.; Zheng, B.; Poon, L.; Chan, K.; Zeng, F.; Chan, C.; Chan, M.; Chen, J.; Chow, K.; Hon, C.; Hui, K.; Li, J.; Li, V.; Wang, Y.; Leung, S.; Yuen, K.; Leung, F. Molecular Epidemiology of the Novel Coronavirus That Causes Severe Acute Respiratory Syndrome. </w:t>
      </w:r>
      <w:r>
        <w:rPr>
          <w:i/>
          <w:iCs/>
        </w:rPr>
        <w:t>Lancet Lond. Engl.</w:t>
      </w:r>
      <w:r>
        <w:t xml:space="preserve"> </w:t>
      </w:r>
      <w:r>
        <w:rPr>
          <w:b/>
          <w:bCs/>
        </w:rPr>
        <w:t>2004</w:t>
      </w:r>
      <w:r>
        <w:t xml:space="preserve">, </w:t>
      </w:r>
      <w:r>
        <w:rPr>
          <w:i/>
          <w:iCs/>
        </w:rPr>
        <w:t>363</w:t>
      </w:r>
      <w:r>
        <w:t xml:space="preserve"> (9403), 99–104. https://doi.org/10.1016/S0140-6736(03)15259-2.</w:t>
      </w:r>
    </w:p>
    <w:p w14:paraId="75E655C2" w14:textId="47B36426" w:rsidR="00236558" w:rsidRDefault="00236558" w:rsidP="00DC7281">
      <w:pPr>
        <w:pStyle w:val="Bibliography"/>
        <w:numPr>
          <w:ilvl w:val="0"/>
          <w:numId w:val="13"/>
        </w:numPr>
        <w:spacing w:line="360" w:lineRule="auto"/>
        <w:jc w:val="both"/>
      </w:pPr>
      <w:r>
        <w:t xml:space="preserve">Drosten, C.; Günther, S.; Preiser, W.; van der Werf, S.; Brodt, H.-R.; Becker, S.; Rabenau, H.; Panning, M.; Kolesnikova, L.; Fouchier, R. A. M.; Berger, A.; Burguière, A.-M.; Cinatl, J.; Eickmann, M.; Escriou, N.; Grywna, K.; Kramme, S.; Manuguerra, J.-C.; Müller, S.; Rickerts, V.; Stürmer, M.; Vieth, S.; Klenk, H.-D.; Osterhaus, A. D. M. E.; Schmitz, H.; Doerr, H. W. Identification of a Novel Coronavirus in Patients with Severe Acute Respiratory Syndrome. </w:t>
      </w:r>
      <w:r>
        <w:rPr>
          <w:i/>
          <w:iCs/>
        </w:rPr>
        <w:t>N. Engl. J. Med.</w:t>
      </w:r>
      <w:r>
        <w:t xml:space="preserve"> </w:t>
      </w:r>
      <w:r>
        <w:rPr>
          <w:b/>
          <w:bCs/>
        </w:rPr>
        <w:t>2003</w:t>
      </w:r>
      <w:r>
        <w:t xml:space="preserve">, </w:t>
      </w:r>
      <w:r>
        <w:rPr>
          <w:i/>
          <w:iCs/>
        </w:rPr>
        <w:t>348</w:t>
      </w:r>
      <w:r>
        <w:t xml:space="preserve"> (20), 1967–1976. https://doi.org/10.1056/NEJMoa030747.</w:t>
      </w:r>
    </w:p>
    <w:p w14:paraId="2074EE36" w14:textId="3A49E2AF" w:rsidR="00236558" w:rsidRDefault="00236558" w:rsidP="00DC7281">
      <w:pPr>
        <w:pStyle w:val="Bibliography"/>
        <w:numPr>
          <w:ilvl w:val="0"/>
          <w:numId w:val="13"/>
        </w:numPr>
        <w:spacing w:line="360" w:lineRule="auto"/>
        <w:jc w:val="both"/>
      </w:pPr>
      <w:r>
        <w:t xml:space="preserve">Dj, C.; Aj, R.; Jr, V. Severe Acute Respiratory Syndrome (SARS). </w:t>
      </w:r>
      <w:r>
        <w:rPr>
          <w:i/>
          <w:iCs/>
        </w:rPr>
        <w:t>Infect. Dis. Clin. North Am.</w:t>
      </w:r>
      <w:r>
        <w:t xml:space="preserve"> </w:t>
      </w:r>
      <w:r>
        <w:rPr>
          <w:b/>
          <w:bCs/>
        </w:rPr>
        <w:t>2010</w:t>
      </w:r>
      <w:r>
        <w:t xml:space="preserve">, </w:t>
      </w:r>
      <w:r>
        <w:rPr>
          <w:i/>
          <w:iCs/>
        </w:rPr>
        <w:t>24</w:t>
      </w:r>
      <w:r>
        <w:t xml:space="preserve"> (1), 175–202. https://doi.org/10.1016/j.idc.2009.10.005.</w:t>
      </w:r>
    </w:p>
    <w:p w14:paraId="40E35579" w14:textId="56498762" w:rsidR="00236558" w:rsidRDefault="00236558" w:rsidP="00DC7281">
      <w:pPr>
        <w:pStyle w:val="Bibliography"/>
        <w:numPr>
          <w:ilvl w:val="0"/>
          <w:numId w:val="13"/>
        </w:numPr>
        <w:spacing w:line="360" w:lineRule="auto"/>
        <w:jc w:val="both"/>
      </w:pPr>
      <w:r>
        <w:t xml:space="preserve">Hijawi, B.; Abdallat, M.; Sayaydeh, A.; Alqasrawi, S.; Haddadin, A.; Jaarour, N.; Alsheikh, S.; Alsanouri, T. Novel Coronavirus Infections in Jordan, April 2012: Epidemiological Findings from a Retrospective Investigation. </w:t>
      </w:r>
      <w:r>
        <w:rPr>
          <w:i/>
          <w:iCs/>
        </w:rPr>
        <w:t>East. Mediterr. Health J. Rev. Sante Mediterr. Orient. Al-Majallah Al-Sihhiyah Li-Sharq Al-Mutawassit</w:t>
      </w:r>
      <w:r>
        <w:t xml:space="preserve"> </w:t>
      </w:r>
      <w:r>
        <w:rPr>
          <w:b/>
          <w:bCs/>
        </w:rPr>
        <w:t>2013</w:t>
      </w:r>
      <w:r>
        <w:t xml:space="preserve">, </w:t>
      </w:r>
      <w:r>
        <w:rPr>
          <w:i/>
          <w:iCs/>
        </w:rPr>
        <w:t>19 Suppl 1</w:t>
      </w:r>
      <w:r>
        <w:t>, S12-18.</w:t>
      </w:r>
    </w:p>
    <w:p w14:paraId="6C52E436" w14:textId="0F42BAF6" w:rsidR="00236558" w:rsidRDefault="00236558" w:rsidP="00DC7281">
      <w:pPr>
        <w:pStyle w:val="Bibliography"/>
        <w:numPr>
          <w:ilvl w:val="0"/>
          <w:numId w:val="13"/>
        </w:numPr>
        <w:spacing w:line="360" w:lineRule="auto"/>
        <w:jc w:val="both"/>
      </w:pPr>
      <w:r>
        <w:rPr>
          <w:i/>
          <w:iCs/>
        </w:rPr>
        <w:t>WHO | Middle East respiratory syndrome coronavirus (MERS-CoV) – Saudi Arabia</w:t>
      </w:r>
      <w:r>
        <w:t>. WHO. http://www.who.int/csr/don/26-april-2016-mers-saudi-arabia/en/ (accessed 2020-12-15).</w:t>
      </w:r>
    </w:p>
    <w:p w14:paraId="4309E2FA" w14:textId="5AF4E2FB" w:rsidR="00236558" w:rsidRDefault="00236558" w:rsidP="00DC7281">
      <w:pPr>
        <w:pStyle w:val="Bibliography"/>
        <w:numPr>
          <w:ilvl w:val="0"/>
          <w:numId w:val="13"/>
        </w:numPr>
        <w:spacing w:line="360" w:lineRule="auto"/>
        <w:jc w:val="both"/>
      </w:pPr>
      <w:r>
        <w:rPr>
          <w:i/>
          <w:iCs/>
        </w:rPr>
        <w:t>WHO | Pneumonia of unknown cause – China</w:t>
      </w:r>
      <w:r>
        <w:t>. WHO. http://www.who.int/csr/don/05-january-2020-pneumonia-of-unkown-cause-china/en/ (accessed 2020-12-15).</w:t>
      </w:r>
    </w:p>
    <w:p w14:paraId="6D55784B" w14:textId="191D1C01" w:rsidR="00236558" w:rsidRDefault="00236558" w:rsidP="00DC7281">
      <w:pPr>
        <w:pStyle w:val="Bibliography"/>
        <w:numPr>
          <w:ilvl w:val="0"/>
          <w:numId w:val="13"/>
        </w:numPr>
        <w:spacing w:line="360" w:lineRule="auto"/>
        <w:jc w:val="both"/>
      </w:pPr>
      <w:r>
        <w:t xml:space="preserve">Zhang, Y.-Z.; Holmes, E. C. A Genomic Perspective on the Origin and Emergence of SARS-CoV-2. </w:t>
      </w:r>
      <w:r>
        <w:rPr>
          <w:i/>
          <w:iCs/>
        </w:rPr>
        <w:t>Cell</w:t>
      </w:r>
      <w:r>
        <w:t xml:space="preserve"> </w:t>
      </w:r>
      <w:r>
        <w:rPr>
          <w:b/>
          <w:bCs/>
        </w:rPr>
        <w:t>2020</w:t>
      </w:r>
      <w:r>
        <w:t xml:space="preserve">, </w:t>
      </w:r>
      <w:r>
        <w:rPr>
          <w:i/>
          <w:iCs/>
        </w:rPr>
        <w:t>181</w:t>
      </w:r>
      <w:r>
        <w:t xml:space="preserve"> (2), 223–227. https://doi.org/10.1016/j.cell.2020.03.035.</w:t>
      </w:r>
    </w:p>
    <w:p w14:paraId="02F4CF88" w14:textId="112481AF" w:rsidR="00236558" w:rsidRDefault="00236558" w:rsidP="00DC7281">
      <w:pPr>
        <w:pStyle w:val="Bibliography"/>
        <w:numPr>
          <w:ilvl w:val="0"/>
          <w:numId w:val="13"/>
        </w:numPr>
        <w:spacing w:line="360" w:lineRule="auto"/>
        <w:jc w:val="both"/>
      </w:pPr>
      <w:r>
        <w:t xml:space="preserve">Zhou, P.;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i/>
          <w:iCs/>
        </w:rPr>
        <w:t>Nature</w:t>
      </w:r>
      <w:r>
        <w:t xml:space="preserve"> </w:t>
      </w:r>
      <w:r>
        <w:rPr>
          <w:b/>
          <w:bCs/>
        </w:rPr>
        <w:t>2020</w:t>
      </w:r>
      <w:r>
        <w:t xml:space="preserve">, </w:t>
      </w:r>
      <w:r>
        <w:rPr>
          <w:i/>
          <w:iCs/>
        </w:rPr>
        <w:t>579</w:t>
      </w:r>
      <w:r>
        <w:t xml:space="preserve"> (7798), 270–273. https://doi.org/10.1038/s41586-020-2012-7.</w:t>
      </w:r>
    </w:p>
    <w:p w14:paraId="04CA58AB" w14:textId="3B1EBA19" w:rsidR="00236558" w:rsidRDefault="00236558" w:rsidP="00DC7281">
      <w:pPr>
        <w:pStyle w:val="Bibliography"/>
        <w:numPr>
          <w:ilvl w:val="0"/>
          <w:numId w:val="13"/>
        </w:numPr>
        <w:spacing w:line="360" w:lineRule="auto"/>
        <w:jc w:val="both"/>
      </w:pPr>
      <w:r>
        <w:t xml:space="preserve">Lu, R.; Zhao, X.; Li, J.; Niu, P.; Yang, B.; Wu, H.; Wang, W.; Song, H.; Huang, B.; Zhu, N.; Bi, Y.; Ma, X.; Zhan, F.; Wang, L.; Hu, T.; Zhou, H.; Hu, Z.; Zhou, W.; Zhao, L.; Chen, J.; Meng, Y.; Wang, J.; Lin, Y.; Yuan, J.; Xie, Z.; Ma, J.; Liu, W. J.; Wang, D.; Xu, W.; Holmes, E. C.; Gao, G. F.; Wu, G.; Chen, W.; Shi, W.; Tan, W. Genomic Characterisation and </w:t>
      </w:r>
      <w:r>
        <w:lastRenderedPageBreak/>
        <w:t xml:space="preserve">Epidemiology of 2019 Novel Coronavirus: Implications for Virus Origins and Receptor Binding. </w:t>
      </w:r>
      <w:r>
        <w:rPr>
          <w:i/>
          <w:iCs/>
        </w:rPr>
        <w:t>The Lancet</w:t>
      </w:r>
      <w:r>
        <w:t xml:space="preserve"> </w:t>
      </w:r>
      <w:r>
        <w:rPr>
          <w:b/>
          <w:bCs/>
        </w:rPr>
        <w:t>2020</w:t>
      </w:r>
      <w:r>
        <w:t xml:space="preserve">, </w:t>
      </w:r>
      <w:r>
        <w:rPr>
          <w:i/>
          <w:iCs/>
        </w:rPr>
        <w:t>395</w:t>
      </w:r>
      <w:r>
        <w:t xml:space="preserve"> (10224), 565–574. https://doi.org/10.1016/S0140-6736(20)30251-8.</w:t>
      </w:r>
    </w:p>
    <w:p w14:paraId="61B85DCE" w14:textId="58F5FB14" w:rsidR="00236558" w:rsidRDefault="00236558" w:rsidP="00DC7281">
      <w:pPr>
        <w:pStyle w:val="Bibliography"/>
        <w:numPr>
          <w:ilvl w:val="0"/>
          <w:numId w:val="13"/>
        </w:numPr>
        <w:spacing w:line="360" w:lineRule="auto"/>
        <w:jc w:val="both"/>
      </w:pPr>
      <w:r>
        <w:t xml:space="preserve">CDCMMWR. SARS-CoV-2 B.1.1.529 (Omicron) Variant — United States, December 1–8, 2021. </w:t>
      </w:r>
      <w:r>
        <w:rPr>
          <w:i/>
          <w:iCs/>
        </w:rPr>
        <w:t>MMWR Morb. Mortal. Wkly. Rep.</w:t>
      </w:r>
      <w:r>
        <w:t xml:space="preserve"> </w:t>
      </w:r>
      <w:r>
        <w:rPr>
          <w:b/>
          <w:bCs/>
        </w:rPr>
        <w:t>2021</w:t>
      </w:r>
      <w:r>
        <w:t xml:space="preserve">, </w:t>
      </w:r>
      <w:r>
        <w:rPr>
          <w:i/>
          <w:iCs/>
        </w:rPr>
        <w:t>70</w:t>
      </w:r>
      <w:r>
        <w:t>. https://doi.org/10.15585/mmwr.mm7050e1.</w:t>
      </w:r>
    </w:p>
    <w:p w14:paraId="78F395D1" w14:textId="49904166" w:rsidR="00236558" w:rsidRDefault="00236558" w:rsidP="00DC7281">
      <w:pPr>
        <w:pStyle w:val="Bibliography"/>
        <w:numPr>
          <w:ilvl w:val="0"/>
          <w:numId w:val="13"/>
        </w:numPr>
        <w:spacing w:line="360" w:lineRule="auto"/>
        <w:jc w:val="both"/>
      </w:pPr>
      <w:r>
        <w:t xml:space="preserve">Chappell, B. Omicron Spreads Faster than Any Other Variant, WHO Says. It’s Now in 77 Countries. </w:t>
      </w:r>
      <w:r>
        <w:rPr>
          <w:i/>
          <w:iCs/>
        </w:rPr>
        <w:t>NPR</w:t>
      </w:r>
      <w:r>
        <w:t>. December 15, 2021. https://www.npr.org/sections/coronavirus-live-updates/2021/12/15/1064432010/omicron-spread-variant-coronavirus (accessed 2022-11-19).</w:t>
      </w:r>
    </w:p>
    <w:p w14:paraId="33C77CB8" w14:textId="3DDC5B68" w:rsidR="00236558" w:rsidRDefault="00236558" w:rsidP="00DC7281">
      <w:pPr>
        <w:pStyle w:val="Bibliography"/>
        <w:numPr>
          <w:ilvl w:val="0"/>
          <w:numId w:val="13"/>
        </w:numPr>
        <w:spacing w:line="360" w:lineRule="auto"/>
        <w:jc w:val="both"/>
      </w:pPr>
      <w:r>
        <w:t xml:space="preserve">CDC. </w:t>
      </w:r>
      <w:r>
        <w:rPr>
          <w:i/>
          <w:iCs/>
        </w:rPr>
        <w:t>Coronavirus Disease 2019 (COVID-19) – Symptoms</w:t>
      </w:r>
      <w:r>
        <w:t>. Centers for Disease Control and Prevention. https://www.cdc.gov/coronavirus/2019-ncov/symptoms-testing/symptoms.html (accessed 2020-12-17).</w:t>
      </w:r>
    </w:p>
    <w:p w14:paraId="07087A2F" w14:textId="06A01605" w:rsidR="00236558" w:rsidRDefault="00236558" w:rsidP="00DC7281">
      <w:pPr>
        <w:pStyle w:val="Bibliography"/>
        <w:numPr>
          <w:ilvl w:val="0"/>
          <w:numId w:val="13"/>
        </w:numPr>
        <w:spacing w:line="360" w:lineRule="auto"/>
        <w:jc w:val="both"/>
      </w:pPr>
      <w:r>
        <w:rPr>
          <w:i/>
          <w:iCs/>
        </w:rPr>
        <w:t>Question and answers hub</w:t>
      </w:r>
      <w:r>
        <w:t>. https://www.who.int/emergencies/diseases/novel-coronavirus-2019/question-and-answers-hub (accessed 2020-12-17).</w:t>
      </w:r>
    </w:p>
    <w:p w14:paraId="6B4420A8" w14:textId="4D7DA334" w:rsidR="00236558" w:rsidRDefault="00236558" w:rsidP="00DC7281">
      <w:pPr>
        <w:pStyle w:val="Bibliography"/>
        <w:numPr>
          <w:ilvl w:val="0"/>
          <w:numId w:val="13"/>
        </w:numPr>
        <w:spacing w:line="360" w:lineRule="auto"/>
        <w:jc w:val="both"/>
      </w:pPr>
      <w:r>
        <w:rPr>
          <w:i/>
          <w:iCs/>
        </w:rPr>
        <w:t>What Is R0? Gauging Contagious Infections</w:t>
      </w:r>
      <w:r>
        <w:t>. Healthline. https://www.healthline.com/health/r-nought-reproduction-number (accessed 2020-12-17).</w:t>
      </w:r>
    </w:p>
    <w:p w14:paraId="2FA5C717" w14:textId="02100DDA" w:rsidR="00236558" w:rsidRDefault="00236558" w:rsidP="00DC7281">
      <w:pPr>
        <w:pStyle w:val="Bibliography"/>
        <w:numPr>
          <w:ilvl w:val="0"/>
          <w:numId w:val="13"/>
        </w:numPr>
        <w:spacing w:line="360" w:lineRule="auto"/>
        <w:jc w:val="both"/>
      </w:pPr>
      <w:r>
        <w:t xml:space="preserve">Li, Q.; Guan, X.; Wu, P.; Wang, X.; Zhou, L.; Tong, Y.; Ren, R.; Leung, K. S. M.; Lau, E. H. Y.; Wong, J. Y.; Xing, X.; Xiang, N.; Wu, Y.; Li, C.; Chen, Q.; Li, D.; Liu, T.; Zhao, J.; Liu, M.; Tu, W.; Chen, C.; Jin, L.; Yang, R.; Wang, Q.; Zhou, S.; Wang, R.; Liu, H.; Luo, Y.; Liu, Y.; Shao, G.; Li, H.; Tao, Z.; Yang, Y.; Deng, Z.; Liu, B.; Ma, Z.; Zhang, Y.; Shi, G.; Lam, T. T. Y.; Wu, J. T.; Gao, G. F.; Cowling, B. J.; Yang, B.; Leung, G. M.; Feng, Z. Early Transmission Dynamics in Wuhan, China, of Novel Coronavirus–Infected Pneumonia. </w:t>
      </w:r>
      <w:r>
        <w:rPr>
          <w:i/>
          <w:iCs/>
        </w:rPr>
        <w:t>N. Engl. J. Med.</w:t>
      </w:r>
      <w:r>
        <w:t xml:space="preserve"> </w:t>
      </w:r>
      <w:r>
        <w:rPr>
          <w:b/>
          <w:bCs/>
        </w:rPr>
        <w:t>2020</w:t>
      </w:r>
      <w:r>
        <w:t xml:space="preserve">, </w:t>
      </w:r>
      <w:r>
        <w:rPr>
          <w:i/>
          <w:iCs/>
        </w:rPr>
        <w:t>382</w:t>
      </w:r>
      <w:r>
        <w:t xml:space="preserve"> (13), 1199–1207. https://doi.org/10.1056/NEJMoa2001316.</w:t>
      </w:r>
    </w:p>
    <w:p w14:paraId="05D39327" w14:textId="1F769774" w:rsidR="00236558" w:rsidRDefault="00236558" w:rsidP="00DC7281">
      <w:pPr>
        <w:pStyle w:val="Bibliography"/>
        <w:numPr>
          <w:ilvl w:val="0"/>
          <w:numId w:val="13"/>
        </w:numPr>
        <w:spacing w:line="360" w:lineRule="auto"/>
        <w:jc w:val="both"/>
      </w:pPr>
      <w:r>
        <w:t xml:space="preserve">Wu, J. T.; Leung, K.; Leung, G. M. Nowcasting and Forecasting the Potential Domestic and International Spread of the 2019-NCoV Outbreak Originating in Wuhan, China: A Modelling Study. </w:t>
      </w:r>
      <w:r>
        <w:rPr>
          <w:i/>
          <w:iCs/>
        </w:rPr>
        <w:t>The Lancet</w:t>
      </w:r>
      <w:r>
        <w:t xml:space="preserve"> </w:t>
      </w:r>
      <w:r>
        <w:rPr>
          <w:b/>
          <w:bCs/>
        </w:rPr>
        <w:t>2020</w:t>
      </w:r>
      <w:r>
        <w:t xml:space="preserve">, </w:t>
      </w:r>
      <w:r>
        <w:rPr>
          <w:i/>
          <w:iCs/>
        </w:rPr>
        <w:t>395</w:t>
      </w:r>
      <w:r>
        <w:t xml:space="preserve"> (10225), 689–697. https://doi.org/10.1016/S0140-6736(20)30260-9.</w:t>
      </w:r>
    </w:p>
    <w:p w14:paraId="20C0F1D2" w14:textId="649DF17C" w:rsidR="00236558" w:rsidRDefault="00236558" w:rsidP="00DC7281">
      <w:pPr>
        <w:pStyle w:val="Bibliography"/>
        <w:numPr>
          <w:ilvl w:val="0"/>
          <w:numId w:val="13"/>
        </w:numPr>
        <w:spacing w:line="360" w:lineRule="auto"/>
        <w:jc w:val="both"/>
      </w:pPr>
      <w:r>
        <w:rPr>
          <w:i/>
          <w:iCs/>
        </w:rPr>
        <w:t>COVID-19 Projections Using Machine Learning</w:t>
      </w:r>
      <w:r>
        <w:t>. COVID-19 Projections Using Machine Learning. https://covid19-projections.com/ (accessed 2020-12-17).</w:t>
      </w:r>
    </w:p>
    <w:p w14:paraId="2509D70A" w14:textId="3C0258CC" w:rsidR="00236558" w:rsidRDefault="00236558" w:rsidP="00DC7281">
      <w:pPr>
        <w:pStyle w:val="Bibliography"/>
        <w:numPr>
          <w:ilvl w:val="0"/>
          <w:numId w:val="13"/>
        </w:numPr>
        <w:spacing w:line="360" w:lineRule="auto"/>
        <w:jc w:val="both"/>
      </w:pPr>
      <w:r>
        <w:t xml:space="preserve">He, X.; Lau, E. H. Y.; Wu, P.; Deng, X.; Wang, J.; Hao, X.; Lau, Y. C.; Wong, J. Y.; Guan, Y.; Tan, X.; Mo, X.; Chen, Y.; Liao, B.; Chen, W.; Hu, F.; Zhang, Q.; Zhong, M.; Wu, Y.; Zhao, L.; Zhang, F.; Cowling, B. J.; Li, F.; Leung, G. M. Temporal Dynamics in Viral </w:t>
      </w:r>
      <w:r>
        <w:lastRenderedPageBreak/>
        <w:t xml:space="preserve">Shedding and Transmissibility of COVID-19. </w:t>
      </w:r>
      <w:r>
        <w:rPr>
          <w:i/>
          <w:iCs/>
        </w:rPr>
        <w:t>Nat. Med.</w:t>
      </w:r>
      <w:r>
        <w:t xml:space="preserve"> </w:t>
      </w:r>
      <w:r>
        <w:rPr>
          <w:b/>
          <w:bCs/>
        </w:rPr>
        <w:t>2020</w:t>
      </w:r>
      <w:r>
        <w:t xml:space="preserve">, </w:t>
      </w:r>
      <w:r>
        <w:rPr>
          <w:i/>
          <w:iCs/>
        </w:rPr>
        <w:t>26</w:t>
      </w:r>
      <w:r>
        <w:t xml:space="preserve"> (5), 672–675. https://doi.org/10.1038/s41591-020-0869-5.</w:t>
      </w:r>
    </w:p>
    <w:p w14:paraId="058B54A2" w14:textId="6AC6B70B" w:rsidR="00236558" w:rsidRDefault="00236558" w:rsidP="00DC7281">
      <w:pPr>
        <w:pStyle w:val="Bibliography"/>
        <w:numPr>
          <w:ilvl w:val="0"/>
          <w:numId w:val="13"/>
        </w:numPr>
        <w:spacing w:line="360" w:lineRule="auto"/>
        <w:jc w:val="both"/>
      </w:pPr>
      <w:r>
        <w:t xml:space="preserve">Gao, Z.; Xu, Y.; Sun, C.; Wang, X.; Guo, Y.; Qiu, S.; Ma, K. A Systematic Review of Asymptomatic Infections with COVID-19. </w:t>
      </w:r>
      <w:r>
        <w:rPr>
          <w:i/>
          <w:iCs/>
        </w:rPr>
        <w:t>J. Microbiol. Immunol. Infect.</w:t>
      </w:r>
      <w:r>
        <w:t xml:space="preserve"> </w:t>
      </w:r>
      <w:r>
        <w:rPr>
          <w:b/>
          <w:bCs/>
        </w:rPr>
        <w:t>2020</w:t>
      </w:r>
      <w:r>
        <w:t>. https://doi.org/10.1016/j.jmii.2020.05.001.</w:t>
      </w:r>
    </w:p>
    <w:p w14:paraId="4D3A6E98" w14:textId="4B17CEB1" w:rsidR="00236558" w:rsidRDefault="00236558" w:rsidP="00DC7281">
      <w:pPr>
        <w:pStyle w:val="Bibliography"/>
        <w:numPr>
          <w:ilvl w:val="0"/>
          <w:numId w:val="13"/>
        </w:numPr>
        <w:spacing w:line="360" w:lineRule="auto"/>
        <w:jc w:val="both"/>
      </w:pPr>
      <w:r>
        <w:rPr>
          <w:i/>
          <w:iCs/>
        </w:rPr>
        <w:t>50 Percent of People with COVID-19 Aren’t Aware They Have Virus</w:t>
      </w:r>
      <w:r>
        <w:t>. Healthline. https://www.healthline.com/health-news/50-percent-of-people-with-covid19-not-aware-have-virus (accessed 2020-12-17).</w:t>
      </w:r>
    </w:p>
    <w:p w14:paraId="55B18958" w14:textId="488C91ED" w:rsidR="00236558" w:rsidRDefault="00236558" w:rsidP="00DC7281">
      <w:pPr>
        <w:pStyle w:val="Bibliography"/>
        <w:numPr>
          <w:ilvl w:val="0"/>
          <w:numId w:val="13"/>
        </w:numPr>
        <w:spacing w:line="360" w:lineRule="auto"/>
        <w:jc w:val="both"/>
      </w:pPr>
      <w:r>
        <w:t xml:space="preserve">CDC. </w:t>
      </w:r>
      <w:r>
        <w:rPr>
          <w:i/>
          <w:iCs/>
        </w:rPr>
        <w:t>Coronavirus Disease 2019 (COVID-19)</w:t>
      </w:r>
      <w:r>
        <w:t>. Centers for Disease Control and Prevention. https://www.cdc.gov/coronavirus/2019-ncov/hcp/planning-scenarios.html (accessed 2020-12-17).</w:t>
      </w:r>
    </w:p>
    <w:p w14:paraId="16EEE3CA" w14:textId="2FD3F9C0" w:rsidR="00236558" w:rsidRDefault="00236558" w:rsidP="00DC7281">
      <w:pPr>
        <w:pStyle w:val="Bibliography"/>
        <w:numPr>
          <w:ilvl w:val="0"/>
          <w:numId w:val="13"/>
        </w:numPr>
        <w:spacing w:line="360" w:lineRule="auto"/>
        <w:jc w:val="both"/>
      </w:pPr>
      <w:r>
        <w:rPr>
          <w:i/>
          <w:iCs/>
        </w:rPr>
        <w:t>COVID-19: Prevention &amp; Investigational Treatments</w:t>
      </w:r>
      <w:r>
        <w:t>. Drugs.com. https://www.drugs.com/condition/covid-19.html (accessed 2020-12-17).</w:t>
      </w:r>
    </w:p>
    <w:p w14:paraId="65A588A8" w14:textId="2221BD05" w:rsidR="00236558" w:rsidRDefault="00236558" w:rsidP="00DC7281">
      <w:pPr>
        <w:pStyle w:val="Bibliography"/>
        <w:numPr>
          <w:ilvl w:val="0"/>
          <w:numId w:val="13"/>
        </w:numPr>
        <w:spacing w:line="360" w:lineRule="auto"/>
        <w:jc w:val="both"/>
      </w:pPr>
      <w:r>
        <w:t xml:space="preserve">Chen, J.; Wang, R.; Gilby, N. B.; Wei, G.-W. Omicron (B.1.1.529): Infectivity, Vaccine Breakthrough, and Antibody Resistance. </w:t>
      </w:r>
      <w:r>
        <w:rPr>
          <w:i/>
          <w:iCs/>
        </w:rPr>
        <w:t>ArXiv</w:t>
      </w:r>
      <w:r>
        <w:t xml:space="preserve"> </w:t>
      </w:r>
      <w:r>
        <w:rPr>
          <w:b/>
          <w:bCs/>
        </w:rPr>
        <w:t>2021</w:t>
      </w:r>
      <w:r>
        <w:t>, arXiv:2112.01318v1.</w:t>
      </w:r>
    </w:p>
    <w:p w14:paraId="1A7891CA" w14:textId="3F2A739D" w:rsidR="00236558" w:rsidRDefault="00236558" w:rsidP="00DC7281">
      <w:pPr>
        <w:pStyle w:val="Bibliography"/>
        <w:numPr>
          <w:ilvl w:val="0"/>
          <w:numId w:val="13"/>
        </w:numPr>
        <w:spacing w:line="360" w:lineRule="auto"/>
        <w:jc w:val="both"/>
      </w:pPr>
      <w:r>
        <w:t xml:space="preserve">Pulliam, J. R. C.; van Schalkwyk, C.; Govender, N.; von Gottberg, A.; Cohen, C.; Groome, M. J.; Dushoff, J.; Mlisana, K.; Moultrie, H. Increased Risk of SARS-CoV-2 Reinfection Associated with Emergence of Omicron in South Africa. </w:t>
      </w:r>
      <w:r>
        <w:rPr>
          <w:i/>
          <w:iCs/>
        </w:rPr>
        <w:t>Science</w:t>
      </w:r>
      <w:r>
        <w:t xml:space="preserve"> </w:t>
      </w:r>
      <w:r>
        <w:rPr>
          <w:b/>
          <w:bCs/>
        </w:rPr>
        <w:t>2022</w:t>
      </w:r>
      <w:r>
        <w:t xml:space="preserve">, </w:t>
      </w:r>
      <w:r>
        <w:rPr>
          <w:i/>
          <w:iCs/>
        </w:rPr>
        <w:t>376</w:t>
      </w:r>
      <w:r>
        <w:t xml:space="preserve"> (6593), eabn4947. https://doi.org/10.1126/science.abn4947.</w:t>
      </w:r>
    </w:p>
    <w:p w14:paraId="1E7DB66C" w14:textId="0D6740A3" w:rsidR="00236558" w:rsidRDefault="00236558" w:rsidP="00DC7281">
      <w:pPr>
        <w:pStyle w:val="Bibliography"/>
        <w:numPr>
          <w:ilvl w:val="0"/>
          <w:numId w:val="13"/>
        </w:numPr>
        <w:spacing w:line="360" w:lineRule="auto"/>
        <w:jc w:val="both"/>
      </w:pPr>
      <w:r>
        <w:t xml:space="preserve">Zhang, L.; Li, Q.; Liang, Z.; Li, T.; Liu, S.; Cui, Q.; Nie, J.; Wu, Q.; Qu, X.; Huang, W.; Wang, Y. The Significant Immune Escape of Pseudotyped SARS-CoV-2 Variant Omicron. </w:t>
      </w:r>
      <w:r>
        <w:rPr>
          <w:i/>
          <w:iCs/>
        </w:rPr>
        <w:t>Emerg. Microbes Infect.</w:t>
      </w:r>
      <w:r>
        <w:t xml:space="preserve"> </w:t>
      </w:r>
      <w:r>
        <w:rPr>
          <w:b/>
          <w:bCs/>
        </w:rPr>
        <w:t>2022</w:t>
      </w:r>
      <w:r>
        <w:t xml:space="preserve">, </w:t>
      </w:r>
      <w:r>
        <w:rPr>
          <w:i/>
          <w:iCs/>
        </w:rPr>
        <w:t>11</w:t>
      </w:r>
      <w:r>
        <w:t xml:space="preserve"> (1), 1–5. https://doi.org/10.1080/22221751.2021.2017757.</w:t>
      </w:r>
    </w:p>
    <w:p w14:paraId="57CBFE03" w14:textId="3DE3402B" w:rsidR="00236558" w:rsidRDefault="00236558" w:rsidP="00DC7281">
      <w:pPr>
        <w:pStyle w:val="Bibliography"/>
        <w:numPr>
          <w:ilvl w:val="0"/>
          <w:numId w:val="13"/>
        </w:numPr>
        <w:spacing w:line="360" w:lineRule="auto"/>
        <w:jc w:val="both"/>
      </w:pPr>
      <w:r>
        <w:t xml:space="preserve">Burki, T. K. Omicron Variant and Booster COVID-19 Vaccines. </w:t>
      </w:r>
      <w:r>
        <w:rPr>
          <w:i/>
          <w:iCs/>
        </w:rPr>
        <w:t>Lancet Respir. Med.</w:t>
      </w:r>
      <w:r>
        <w:t xml:space="preserve"> </w:t>
      </w:r>
      <w:r>
        <w:rPr>
          <w:b/>
          <w:bCs/>
        </w:rPr>
        <w:t>2022</w:t>
      </w:r>
      <w:r>
        <w:t xml:space="preserve">, </w:t>
      </w:r>
      <w:r>
        <w:rPr>
          <w:i/>
          <w:iCs/>
        </w:rPr>
        <w:t>10</w:t>
      </w:r>
      <w:r>
        <w:t xml:space="preserve"> (2), e17. https://doi.org/10.1016/S2213-2600(21)00559-2.</w:t>
      </w:r>
    </w:p>
    <w:p w14:paraId="47DC9C72" w14:textId="3A56390B" w:rsidR="00236558" w:rsidRDefault="00236558" w:rsidP="00DC7281">
      <w:pPr>
        <w:pStyle w:val="Bibliography"/>
        <w:numPr>
          <w:ilvl w:val="0"/>
          <w:numId w:val="13"/>
        </w:numPr>
        <w:spacing w:line="360" w:lineRule="auto"/>
        <w:jc w:val="both"/>
      </w:pPr>
      <w:r>
        <w:t xml:space="preserve">Campbell, F.; Archer, B.; Laurenson-Schafer, H.; Jinnai, Y.; Konings, F.; Batra, N.; Pavlin, B.; Vandemaele, K.; Van Kerkhove, M. D.; Jombart, T.; Morgan, O.; le Polain de Waroux, O. Increased Transmissibility and Global Spread of SARS-CoV-2 Variants of Concern as at June 2021. </w:t>
      </w:r>
      <w:r>
        <w:rPr>
          <w:i/>
          <w:iCs/>
        </w:rPr>
        <w:t>Euro Surveill. Bull. Eur. Sur Mal. Transm. Eur. Commun. Dis. Bull.</w:t>
      </w:r>
      <w:r>
        <w:t xml:space="preserve"> </w:t>
      </w:r>
      <w:r>
        <w:rPr>
          <w:b/>
          <w:bCs/>
        </w:rPr>
        <w:t>2021</w:t>
      </w:r>
      <w:r>
        <w:t xml:space="preserve">, </w:t>
      </w:r>
      <w:r>
        <w:rPr>
          <w:i/>
          <w:iCs/>
        </w:rPr>
        <w:t>26</w:t>
      </w:r>
      <w:r>
        <w:t xml:space="preserve"> (24). https://doi.org/10.2807/1560-7917.ES.2021.26.24.2100509.</w:t>
      </w:r>
    </w:p>
    <w:p w14:paraId="756A95B5" w14:textId="08415AC3" w:rsidR="00236558" w:rsidRDefault="00236558" w:rsidP="00DC7281">
      <w:pPr>
        <w:pStyle w:val="Bibliography"/>
        <w:numPr>
          <w:ilvl w:val="0"/>
          <w:numId w:val="13"/>
        </w:numPr>
        <w:spacing w:line="360" w:lineRule="auto"/>
        <w:jc w:val="both"/>
      </w:pPr>
      <w:r>
        <w:t xml:space="preserve">Liu, X.; Liu, C.; Liu, G.; Luo, W.; Xia, N. COVID-19: Progress in Diagnostics, Therapy and Vaccination. </w:t>
      </w:r>
      <w:r>
        <w:rPr>
          <w:i/>
          <w:iCs/>
        </w:rPr>
        <w:t>Theranostics</w:t>
      </w:r>
      <w:r>
        <w:t xml:space="preserve"> </w:t>
      </w:r>
      <w:r>
        <w:rPr>
          <w:b/>
          <w:bCs/>
        </w:rPr>
        <w:t>2020</w:t>
      </w:r>
      <w:r>
        <w:t xml:space="preserve">, </w:t>
      </w:r>
      <w:r>
        <w:rPr>
          <w:i/>
          <w:iCs/>
        </w:rPr>
        <w:t>10</w:t>
      </w:r>
      <w:r>
        <w:t xml:space="preserve"> (17), 7821–7835. https://doi.org/10.7150/thno.47987.</w:t>
      </w:r>
    </w:p>
    <w:p w14:paraId="14FE27DC" w14:textId="5D7E7271" w:rsidR="00236558" w:rsidRDefault="00236558" w:rsidP="00DC7281">
      <w:pPr>
        <w:pStyle w:val="Bibliography"/>
        <w:numPr>
          <w:ilvl w:val="0"/>
          <w:numId w:val="13"/>
        </w:numPr>
        <w:spacing w:line="360" w:lineRule="auto"/>
        <w:jc w:val="both"/>
      </w:pPr>
      <w:r>
        <w:rPr>
          <w:i/>
          <w:iCs/>
        </w:rPr>
        <w:t>Technical guidance publications</w:t>
      </w:r>
      <w:r>
        <w:t>. https://www.who.int/emergencies/diseases/novel-coronavirus-2019/technical-guidance-publications (accessed 2020-12-17).</w:t>
      </w:r>
    </w:p>
    <w:p w14:paraId="754BD3FF" w14:textId="67FE9380" w:rsidR="00236558" w:rsidRDefault="00236558" w:rsidP="00DC7281">
      <w:pPr>
        <w:pStyle w:val="Bibliography"/>
        <w:numPr>
          <w:ilvl w:val="0"/>
          <w:numId w:val="13"/>
        </w:numPr>
        <w:spacing w:line="360" w:lineRule="auto"/>
        <w:jc w:val="both"/>
      </w:pPr>
      <w:r>
        <w:lastRenderedPageBreak/>
        <w:t xml:space="preserve">Organization, W. H. </w:t>
      </w:r>
      <w:r>
        <w:rPr>
          <w:i/>
          <w:iCs/>
        </w:rPr>
        <w:t>Laboratory Testing of 2019 Novel Coronavirus (‎‎‎‎‎‎‎‎‎‎‎2019-NCoV)‎‎‎‎‎‎‎‎‎‎‎ in Suspected Human Cases: Interim Guidance, 17 January 2020</w:t>
      </w:r>
      <w:r>
        <w:t>; World Health Organization, 2020.</w:t>
      </w:r>
    </w:p>
    <w:p w14:paraId="7910DCDD" w14:textId="6AFD3F52" w:rsidR="00236558" w:rsidRDefault="00236558" w:rsidP="00DC7281">
      <w:pPr>
        <w:pStyle w:val="Bibliography"/>
        <w:numPr>
          <w:ilvl w:val="0"/>
          <w:numId w:val="13"/>
        </w:numPr>
        <w:spacing w:line="360" w:lineRule="auto"/>
        <w:jc w:val="both"/>
      </w:pPr>
      <w:r>
        <w:rPr>
          <w:i/>
          <w:iCs/>
        </w:rPr>
        <w:t>How is the COVID-19 Virus Detected using Real Time RT-PCR?</w:t>
      </w:r>
      <w:r>
        <w:t xml:space="preserve"> https://www.iaea.org/newscenter/news/how-is-the-covid-19-virus-detected-using-real-time-rt-pcr (accessed 2020-12-17).</w:t>
      </w:r>
    </w:p>
    <w:p w14:paraId="16F5F49C" w14:textId="4533FFB0" w:rsidR="00236558" w:rsidRDefault="00236558" w:rsidP="00DC7281">
      <w:pPr>
        <w:pStyle w:val="Bibliography"/>
        <w:numPr>
          <w:ilvl w:val="0"/>
          <w:numId w:val="13"/>
        </w:numPr>
        <w:spacing w:line="360" w:lineRule="auto"/>
        <w:jc w:val="both"/>
      </w:pPr>
      <w:r>
        <w:t xml:space="preserve">Bustin, S. A.; Benes, V.; Garson, J. A.; Hellemans, J.; Huggett, J.; Kubista, M.; Mueller, R.; Nolan, T.; Pfaffl, M. W.; Shipley, G. L.; Vandesompele, J.; Wittwer, C. T. The MIQE Guidelines: Minimum Information for Publication of Quantitative Real-Time PCR Experiments. </w:t>
      </w:r>
      <w:r>
        <w:rPr>
          <w:i/>
          <w:iCs/>
        </w:rPr>
        <w:t>Clin. Chem.</w:t>
      </w:r>
      <w:r>
        <w:t xml:space="preserve"> </w:t>
      </w:r>
      <w:r>
        <w:rPr>
          <w:b/>
          <w:bCs/>
        </w:rPr>
        <w:t>2009</w:t>
      </w:r>
      <w:r>
        <w:t xml:space="preserve">, </w:t>
      </w:r>
      <w:r>
        <w:rPr>
          <w:i/>
          <w:iCs/>
        </w:rPr>
        <w:t>55</w:t>
      </w:r>
      <w:r>
        <w:t xml:space="preserve"> (4), 611–622. https://doi.org/10.1373/clinchem.2008.112797.</w:t>
      </w:r>
    </w:p>
    <w:p w14:paraId="74B5D4EB" w14:textId="76EC584E" w:rsidR="00236558" w:rsidRDefault="00236558" w:rsidP="00DC7281">
      <w:pPr>
        <w:pStyle w:val="Bibliography"/>
        <w:numPr>
          <w:ilvl w:val="0"/>
          <w:numId w:val="13"/>
        </w:numPr>
        <w:spacing w:line="360" w:lineRule="auto"/>
        <w:jc w:val="both"/>
      </w:pPr>
      <w:r>
        <w:t xml:space="preserve">Corman, V. M.; Landt, O.; Kaiser, M.; Molenkamp, R.; Meijer, A.; Chu, D. K.; Bleicker, T.; Brünink, S.; Schneider, J.; Schmidt, M. L.; Mulders, D. G.; Haagmans, B. L.; van der Veer, B.; van den Brink, S.; Wijsman, L.; Goderski, G.; Romette, J.-L.; Ellis, J.; Zambon, M.; Peiris, M.; Goossens, H.; Reusken, C.; Koopmans, M. P.; Drosten, C. Detection of 2019 Novel Coronavirus (2019-NCoV) by Real-Time RT-PCR. </w:t>
      </w:r>
      <w:r>
        <w:rPr>
          <w:i/>
          <w:iCs/>
        </w:rPr>
        <w:t>Eurosurveillance</w:t>
      </w:r>
      <w:r>
        <w:t xml:space="preserve"> </w:t>
      </w:r>
      <w:r>
        <w:rPr>
          <w:b/>
          <w:bCs/>
        </w:rPr>
        <w:t>2020</w:t>
      </w:r>
      <w:r>
        <w:t xml:space="preserve">, </w:t>
      </w:r>
      <w:r>
        <w:rPr>
          <w:i/>
          <w:iCs/>
        </w:rPr>
        <w:t>25</w:t>
      </w:r>
      <w:r>
        <w:t xml:space="preserve"> (3). https://doi.org/10.2807/1560-7917.ES.2020.25.3.2000045.</w:t>
      </w:r>
    </w:p>
    <w:p w14:paraId="7EB629D0" w14:textId="14DB6726" w:rsidR="00236558" w:rsidRDefault="00236558" w:rsidP="00DC7281">
      <w:pPr>
        <w:pStyle w:val="Bibliography"/>
        <w:numPr>
          <w:ilvl w:val="0"/>
          <w:numId w:val="13"/>
        </w:numPr>
        <w:spacing w:line="360" w:lineRule="auto"/>
        <w:jc w:val="both"/>
      </w:pPr>
      <w:r>
        <w:rPr>
          <w:i/>
          <w:iCs/>
        </w:rPr>
        <w:t>The Basics: RT-PCR - IN</w:t>
      </w:r>
      <w:r>
        <w:t>. //www.thermofisher.com/in/en/home/references/ambion-tech-support/rtpcr-analysis/general-articles/rt--pcr-the-basics.html (accessed 2020-12-17).</w:t>
      </w:r>
    </w:p>
    <w:p w14:paraId="2D6F06E0" w14:textId="0C962DC7" w:rsidR="00236558" w:rsidRDefault="00236558" w:rsidP="00DC7281">
      <w:pPr>
        <w:pStyle w:val="Bibliography"/>
        <w:numPr>
          <w:ilvl w:val="0"/>
          <w:numId w:val="13"/>
        </w:numPr>
        <w:spacing w:line="360" w:lineRule="auto"/>
        <w:jc w:val="both"/>
      </w:pPr>
      <w:r>
        <w:t xml:space="preserve">CDC. </w:t>
      </w:r>
      <w:r>
        <w:rPr>
          <w:i/>
          <w:iCs/>
        </w:rPr>
        <w:t>Information for Laboratories about Coronavirus (COVID-19)</w:t>
      </w:r>
      <w:r>
        <w:t>. Centers for Disease Control and Prevention. https://www.cdc.gov/coronavirus/2019-ncov/lab/serology-testing.html (accessed 2020-12-17).</w:t>
      </w:r>
    </w:p>
    <w:p w14:paraId="17679206" w14:textId="1DF9577D" w:rsidR="00236558" w:rsidRDefault="00236558" w:rsidP="00DC7281">
      <w:pPr>
        <w:pStyle w:val="Bibliography"/>
        <w:numPr>
          <w:ilvl w:val="0"/>
          <w:numId w:val="13"/>
        </w:numPr>
        <w:spacing w:line="360" w:lineRule="auto"/>
        <w:jc w:val="both"/>
      </w:pPr>
      <w:r>
        <w:t xml:space="preserve">CDC. </w:t>
      </w:r>
      <w:r>
        <w:rPr>
          <w:i/>
          <w:iCs/>
        </w:rPr>
        <w:t>COVID-19 and Your Health</w:t>
      </w:r>
      <w:r>
        <w:t>. Centers for Disease Control and Prevention. https://www.cdc.gov/coronavirus/2019-ncov/testing/serology-overview.html (accessed 2020-12-17).</w:t>
      </w:r>
    </w:p>
    <w:p w14:paraId="7B59B110" w14:textId="1D297631" w:rsidR="00236558" w:rsidRDefault="00236558" w:rsidP="00DC7281">
      <w:pPr>
        <w:pStyle w:val="Bibliography"/>
        <w:numPr>
          <w:ilvl w:val="0"/>
          <w:numId w:val="13"/>
        </w:numPr>
        <w:spacing w:line="360" w:lineRule="auto"/>
        <w:jc w:val="both"/>
      </w:pPr>
      <w:r>
        <w:t xml:space="preserve">administrator, J. website. </w:t>
      </w:r>
      <w:r>
        <w:rPr>
          <w:i/>
          <w:iCs/>
        </w:rPr>
        <w:t>Global Progress on COVID-19 Serology-Based Testing</w:t>
      </w:r>
      <w:r>
        <w:t>. Johns Hopkins Center for Health Security. https://www.centerforhealthsecurity.org/resources/COVID-19/serology/Serology-based-tests-for-COVID-19.html (accessed 2020-12-17).</w:t>
      </w:r>
    </w:p>
    <w:p w14:paraId="3AEABE8E" w14:textId="072A87F1" w:rsidR="00236558" w:rsidRDefault="00236558" w:rsidP="00DC7281">
      <w:pPr>
        <w:pStyle w:val="Bibliography"/>
        <w:numPr>
          <w:ilvl w:val="0"/>
          <w:numId w:val="13"/>
        </w:numPr>
        <w:spacing w:line="360" w:lineRule="auto"/>
        <w:jc w:val="both"/>
      </w:pPr>
      <w:r>
        <w:rPr>
          <w:i/>
          <w:iCs/>
        </w:rPr>
        <w:t>ICMR-NIV, Pune develops indigenous ELISA test kit for COVID-19 antibody detection</w:t>
      </w:r>
      <w:r>
        <w:t>. http://newsonair.com/Main-News-Details.aspx?id=388679 (accessed 2020-12-23).</w:t>
      </w:r>
    </w:p>
    <w:p w14:paraId="5A9D1E48" w14:textId="61DC3F27" w:rsidR="00236558" w:rsidRDefault="00236558" w:rsidP="00DC7281">
      <w:pPr>
        <w:pStyle w:val="Bibliography"/>
        <w:numPr>
          <w:ilvl w:val="0"/>
          <w:numId w:val="13"/>
        </w:numPr>
        <w:spacing w:line="360" w:lineRule="auto"/>
        <w:jc w:val="both"/>
      </w:pPr>
      <w:r>
        <w:t xml:space="preserve">Infantino, M.; Grossi, V.; Lari, B.; Bambi, R.; Perri, A.; Manneschi, M.; Terenzi, G.; Liotti, I.; Ciotta, G.; Taddei, C.; Benucci, M.; Casprini, P.; Veneziani, F.; Fabbri, S.; Pompetti, A.; Manfredi, M. Diagnostic Accuracy of an Automated Chemiluminescent Immunoassay for </w:t>
      </w:r>
      <w:r>
        <w:lastRenderedPageBreak/>
        <w:t xml:space="preserve">Anti-SARS-CoV-2 IgM and IgG Antibodies: An Italian Experience. </w:t>
      </w:r>
      <w:r>
        <w:rPr>
          <w:i/>
          <w:iCs/>
        </w:rPr>
        <w:t>J. Med. Virol.</w:t>
      </w:r>
      <w:r>
        <w:t xml:space="preserve"> </w:t>
      </w:r>
      <w:r>
        <w:rPr>
          <w:b/>
          <w:bCs/>
        </w:rPr>
        <w:t>2020</w:t>
      </w:r>
      <w:r>
        <w:t xml:space="preserve">, </w:t>
      </w:r>
      <w:r>
        <w:rPr>
          <w:i/>
          <w:iCs/>
        </w:rPr>
        <w:t>92</w:t>
      </w:r>
      <w:r>
        <w:t xml:space="preserve"> (9), 1671–1675. https://doi.org/10.1002/jmv.25932.</w:t>
      </w:r>
    </w:p>
    <w:p w14:paraId="589FA20C" w14:textId="66E182E0" w:rsidR="00236558" w:rsidRDefault="00236558" w:rsidP="00DC7281">
      <w:pPr>
        <w:pStyle w:val="Bibliography"/>
        <w:numPr>
          <w:ilvl w:val="0"/>
          <w:numId w:val="13"/>
        </w:numPr>
        <w:spacing w:line="360" w:lineRule="auto"/>
        <w:jc w:val="both"/>
      </w:pPr>
      <w:r>
        <w:t>Revised Guidelines for TrueNat Testing for COVID-19. 1.</w:t>
      </w:r>
    </w:p>
    <w:p w14:paraId="7F1883CB" w14:textId="0E979907" w:rsidR="00236558" w:rsidRDefault="00236558" w:rsidP="00DC7281">
      <w:pPr>
        <w:pStyle w:val="Bibliography"/>
        <w:numPr>
          <w:ilvl w:val="0"/>
          <w:numId w:val="13"/>
        </w:numPr>
        <w:spacing w:line="360" w:lineRule="auto"/>
        <w:jc w:val="both"/>
      </w:pPr>
      <w:r>
        <w:rPr>
          <w:i/>
          <w:iCs/>
        </w:rPr>
        <w:t>Truenat TB Test - Diagnosis, resistance testing,COVID-19</w:t>
      </w:r>
      <w:r>
        <w:t>. TBFacts. https://tbfacts.org/truenat/ (accessed 2020-12-18).</w:t>
      </w:r>
    </w:p>
    <w:p w14:paraId="6A84EFFD" w14:textId="34138527" w:rsidR="00236558" w:rsidRDefault="00236558" w:rsidP="00DC7281">
      <w:pPr>
        <w:pStyle w:val="Bibliography"/>
        <w:numPr>
          <w:ilvl w:val="0"/>
          <w:numId w:val="13"/>
        </w:numPr>
        <w:spacing w:line="360" w:lineRule="auto"/>
        <w:jc w:val="both"/>
      </w:pPr>
      <w:r>
        <w:rPr>
          <w:i/>
          <w:iCs/>
        </w:rPr>
        <w:t>Information for COVID-19 Testing Labs</w:t>
      </w:r>
      <w:r>
        <w:t>. https://www.icmr.gov.in/ctestlab.html (accessed 2020-12-24).</w:t>
      </w:r>
    </w:p>
    <w:p w14:paraId="08F7B6D2" w14:textId="62C561FC" w:rsidR="00236558" w:rsidRDefault="00236558" w:rsidP="00DC7281">
      <w:pPr>
        <w:pStyle w:val="Bibliography"/>
        <w:numPr>
          <w:ilvl w:val="0"/>
          <w:numId w:val="13"/>
        </w:numPr>
        <w:spacing w:line="360" w:lineRule="auto"/>
        <w:jc w:val="both"/>
      </w:pPr>
      <w:r>
        <w:rPr>
          <w:i/>
          <w:iCs/>
        </w:rPr>
        <w:t>World Health Organization endorses Truenat tests for initial diagnosis of tuberculosis and detection of rifampicin resistance</w:t>
      </w:r>
      <w:r>
        <w:t>. FIND. https://www.finddx.org/newsroom/pr-02jul20/ (accessed 2020-12-23).</w:t>
      </w:r>
    </w:p>
    <w:p w14:paraId="222D5E13" w14:textId="0C965F8B" w:rsidR="00236558" w:rsidRDefault="00236558" w:rsidP="00DC7281">
      <w:pPr>
        <w:pStyle w:val="Bibliography"/>
        <w:numPr>
          <w:ilvl w:val="0"/>
          <w:numId w:val="13"/>
        </w:numPr>
        <w:spacing w:line="360" w:lineRule="auto"/>
        <w:jc w:val="both"/>
      </w:pPr>
      <w:r>
        <w:rPr>
          <w:i/>
          <w:iCs/>
        </w:rPr>
        <w:t>World Economic Outlook, April 2020: The Great Lockdown</w:t>
      </w:r>
      <w:r>
        <w:t>. IMF. https://www.imf.org/en/Publications/WEO/Issues/2020/04/14/weo-april-2020 (accessed 2020-12-20).</w:t>
      </w:r>
    </w:p>
    <w:p w14:paraId="417EB2D4" w14:textId="7111316A" w:rsidR="00236558" w:rsidRDefault="00236558" w:rsidP="00DC7281">
      <w:pPr>
        <w:pStyle w:val="Bibliography"/>
        <w:numPr>
          <w:ilvl w:val="0"/>
          <w:numId w:val="13"/>
        </w:numPr>
        <w:spacing w:line="360" w:lineRule="auto"/>
        <w:jc w:val="both"/>
      </w:pPr>
      <w:r>
        <w:rPr>
          <w:i/>
          <w:iCs/>
        </w:rPr>
        <w:t>WHO Director-General’s opening remarks at the media briefing on COVID-19 - 20 March 2020</w:t>
      </w:r>
      <w:r>
        <w:t>. https://www.who.int/director-general/speeches/detail/who-director-general-s-opening-remarks-at-the-media-briefing-on-covid-19---20-march-2020 (accessed 2020-12-20).</w:t>
      </w:r>
    </w:p>
    <w:p w14:paraId="349F4423" w14:textId="62BB9D0E" w:rsidR="00236558" w:rsidRDefault="00236558" w:rsidP="00DC7281">
      <w:pPr>
        <w:pStyle w:val="Bibliography"/>
        <w:numPr>
          <w:ilvl w:val="0"/>
          <w:numId w:val="13"/>
        </w:numPr>
        <w:spacing w:line="360" w:lineRule="auto"/>
        <w:jc w:val="both"/>
      </w:pPr>
      <w:r>
        <w:rPr>
          <w:i/>
          <w:iCs/>
        </w:rPr>
        <w:t>The Coronavirus App</w:t>
      </w:r>
      <w:r>
        <w:t>. https://coronavirus.app (accessed 2023-02-01).</w:t>
      </w:r>
    </w:p>
    <w:p w14:paraId="5D05B360" w14:textId="62EA34AD" w:rsidR="00236558" w:rsidRDefault="00236558" w:rsidP="00DC7281">
      <w:pPr>
        <w:pStyle w:val="Bibliography"/>
        <w:numPr>
          <w:ilvl w:val="0"/>
          <w:numId w:val="13"/>
        </w:numPr>
        <w:spacing w:line="360" w:lineRule="auto"/>
        <w:jc w:val="both"/>
      </w:pPr>
      <w:r>
        <w:rPr>
          <w:i/>
          <w:iCs/>
        </w:rPr>
        <w:t>Coronavirus in India: Latest Map and Case Count</w:t>
      </w:r>
      <w:r>
        <w:t>. https://www.covid19india.org (accessed 2023-02-01).</w:t>
      </w:r>
    </w:p>
    <w:p w14:paraId="3EBF60B6" w14:textId="691DCC9E" w:rsidR="00236558" w:rsidRDefault="00236558" w:rsidP="00DC7281">
      <w:pPr>
        <w:pStyle w:val="Bibliography"/>
        <w:numPr>
          <w:ilvl w:val="0"/>
          <w:numId w:val="13"/>
        </w:numPr>
        <w:spacing w:line="360" w:lineRule="auto"/>
        <w:jc w:val="both"/>
      </w:pPr>
      <w:r>
        <w:t xml:space="preserve">Menon, G. R.; Singh, L.; Sharma, P.; Yadav, P.; Sharma, S.; Kalaskar, S.; Singh, H.; Adinarayanan, S.; Joshua, V.; Kulothungan, V.; Yadav, J.; Watson, L. K.; Fadel, S. A.; Suraweera, W.; Rao, M. V. V.; Dhaliwal, R. S.; Begum, R.; Sati, P.; Jamison, D. T.; Jha, P. National Burden Estimates of Healthy Life Lost in India, 2017: An Analysis Using Direct Mortality Data and Indirect Disability Data. </w:t>
      </w:r>
      <w:r>
        <w:rPr>
          <w:i/>
          <w:iCs/>
        </w:rPr>
        <w:t>Lancet Glob. Health</w:t>
      </w:r>
      <w:r>
        <w:t xml:space="preserve"> </w:t>
      </w:r>
      <w:r>
        <w:rPr>
          <w:b/>
          <w:bCs/>
        </w:rPr>
        <w:t>2019</w:t>
      </w:r>
      <w:r>
        <w:t xml:space="preserve">, </w:t>
      </w:r>
      <w:r>
        <w:rPr>
          <w:i/>
          <w:iCs/>
        </w:rPr>
        <w:t>7</w:t>
      </w:r>
      <w:r>
        <w:t xml:space="preserve"> (12), e1675–e1684. https://doi.org/10.1016/S2214-109X(19)30451-6.</w:t>
      </w:r>
    </w:p>
    <w:p w14:paraId="4EEE031A" w14:textId="42BE8D79" w:rsidR="00236558" w:rsidRDefault="00236558" w:rsidP="00DC7281">
      <w:pPr>
        <w:pStyle w:val="Bibliography"/>
        <w:numPr>
          <w:ilvl w:val="0"/>
          <w:numId w:val="13"/>
        </w:numPr>
        <w:spacing w:line="360" w:lineRule="auto"/>
        <w:jc w:val="both"/>
      </w:pPr>
      <w:r>
        <w:rPr>
          <w:i/>
          <w:iCs/>
        </w:rPr>
        <w:t>India - REPORT ON VITAL STATISTICS OF INDIA BASED ON THE CIVIL REGISTRATION SYSTEM-2019</w:t>
      </w:r>
      <w:r>
        <w:t>. https://censusindia.gov.in/nada/index.php/catalog/42541 (accessed 2023-02-01).</w:t>
      </w:r>
    </w:p>
    <w:p w14:paraId="1BF9E63F" w14:textId="2DCC5F6E" w:rsidR="00236558" w:rsidRDefault="00236558" w:rsidP="00DC7281">
      <w:pPr>
        <w:pStyle w:val="Bibliography"/>
        <w:numPr>
          <w:ilvl w:val="0"/>
          <w:numId w:val="13"/>
        </w:numPr>
        <w:spacing w:line="360" w:lineRule="auto"/>
        <w:jc w:val="both"/>
      </w:pPr>
      <w:r>
        <w:t xml:space="preserve">CDC. </w:t>
      </w:r>
      <w:r>
        <w:rPr>
          <w:i/>
          <w:iCs/>
        </w:rPr>
        <w:t>COVID Data Tracker</w:t>
      </w:r>
      <w:r>
        <w:t>. Centers for Disease Control and Prevention. https://covid.cdc.gov/covid-data-tracker (accessed 2023-02-01).</w:t>
      </w:r>
    </w:p>
    <w:p w14:paraId="5D02C4A5" w14:textId="31B45DBB" w:rsidR="00236558" w:rsidRDefault="00236558" w:rsidP="00DC7281">
      <w:pPr>
        <w:pStyle w:val="Bibliography"/>
        <w:numPr>
          <w:ilvl w:val="0"/>
          <w:numId w:val="13"/>
        </w:numPr>
        <w:spacing w:line="360" w:lineRule="auto"/>
        <w:jc w:val="both"/>
      </w:pPr>
      <w:r>
        <w:t xml:space="preserve">Ahmad, F. B.; Anderson, R. N. The Leading Causes of Death in the US for 2020. </w:t>
      </w:r>
      <w:r>
        <w:rPr>
          <w:i/>
          <w:iCs/>
        </w:rPr>
        <w:t>JAMA</w:t>
      </w:r>
      <w:r>
        <w:t xml:space="preserve"> </w:t>
      </w:r>
      <w:r>
        <w:rPr>
          <w:b/>
          <w:bCs/>
        </w:rPr>
        <w:t>2021</w:t>
      </w:r>
      <w:r>
        <w:t xml:space="preserve">, </w:t>
      </w:r>
      <w:r>
        <w:rPr>
          <w:i/>
          <w:iCs/>
        </w:rPr>
        <w:t>325</w:t>
      </w:r>
      <w:r>
        <w:t xml:space="preserve"> (18), 1829–1830. https://doi.org/10.1001/jama.2021.5469.</w:t>
      </w:r>
    </w:p>
    <w:p w14:paraId="4E3ECBE7" w14:textId="77777777" w:rsidR="00236558" w:rsidRDefault="00236558" w:rsidP="00DC7281">
      <w:pPr>
        <w:pStyle w:val="Bibliography"/>
        <w:numPr>
          <w:ilvl w:val="0"/>
          <w:numId w:val="13"/>
        </w:numPr>
        <w:spacing w:line="360" w:lineRule="auto"/>
        <w:jc w:val="both"/>
      </w:pPr>
      <w:r>
        <w:lastRenderedPageBreak/>
        <w:t>(83)</w:t>
      </w:r>
      <w:r>
        <w:tab/>
      </w:r>
      <w:r>
        <w:rPr>
          <w:i/>
          <w:iCs/>
        </w:rPr>
        <w:t>CDC - NCHS - National Center for Health Statistics</w:t>
      </w:r>
      <w:r>
        <w:t>. https://www.cdc.gov/nchs/index.htm (accessed 2023-02-01).</w:t>
      </w:r>
    </w:p>
    <w:p w14:paraId="5A212E37" w14:textId="2FBDEBE2" w:rsidR="00236558" w:rsidRDefault="00236558" w:rsidP="00DC7281">
      <w:pPr>
        <w:pStyle w:val="Bibliography"/>
        <w:numPr>
          <w:ilvl w:val="0"/>
          <w:numId w:val="13"/>
        </w:numPr>
        <w:spacing w:line="360" w:lineRule="auto"/>
        <w:jc w:val="both"/>
      </w:pPr>
      <w:r>
        <w:t xml:space="preserve">Velumani, A.; Nikam, C.; Suraweera, W.; Fu, S. H.; Gelband, H.; Brown, P.; Bogoch, I.; Nagelkerke, N.; Jha, P. SARS-CoV-2 Seroprevalence in 12 Cities of India from July-December 2020. </w:t>
      </w:r>
      <w:r>
        <w:rPr>
          <w:i/>
          <w:iCs/>
        </w:rPr>
        <w:t>medRxiv</w:t>
      </w:r>
      <w:r>
        <w:t xml:space="preserve"> </w:t>
      </w:r>
      <w:r>
        <w:rPr>
          <w:b/>
          <w:bCs/>
        </w:rPr>
        <w:t>2021</w:t>
      </w:r>
      <w:r>
        <w:t>, 2021.03.19.21253429. https://doi.org/10.1101/2021.03.19.21253429.</w:t>
      </w:r>
    </w:p>
    <w:p w14:paraId="45F6D0E4" w14:textId="0761934A" w:rsidR="00236558" w:rsidRDefault="00236558" w:rsidP="00DC7281">
      <w:pPr>
        <w:pStyle w:val="Bibliography"/>
        <w:numPr>
          <w:ilvl w:val="0"/>
          <w:numId w:val="13"/>
        </w:numPr>
        <w:spacing w:line="360" w:lineRule="auto"/>
        <w:jc w:val="both"/>
      </w:pPr>
      <w:r>
        <w:t xml:space="preserve">Pattabiraman, C.; Prasad, P.; George, A. K.; Sreenivas, D.; Rasheed, R.; Reddy, N. V. K.; Desai, A.; Vasanthapuram, R. Importation, Circulation, and Emergence of Variants of SARS-CoV-2 in the South Indian State of Karnataka. </w:t>
      </w:r>
      <w:r>
        <w:rPr>
          <w:i/>
          <w:iCs/>
        </w:rPr>
        <w:t>Wellcome Open Res.</w:t>
      </w:r>
      <w:r>
        <w:t xml:space="preserve"> </w:t>
      </w:r>
      <w:r>
        <w:rPr>
          <w:b/>
          <w:bCs/>
        </w:rPr>
        <w:t>2021</w:t>
      </w:r>
      <w:r>
        <w:t xml:space="preserve">, </w:t>
      </w:r>
      <w:r>
        <w:rPr>
          <w:i/>
          <w:iCs/>
        </w:rPr>
        <w:t>6</w:t>
      </w:r>
      <w:r>
        <w:t>, 110. https://doi.org/10.12688/wellcomeopenres.16768.2.</w:t>
      </w:r>
    </w:p>
    <w:p w14:paraId="28B89DA9" w14:textId="5D4F7FDE" w:rsidR="00236558" w:rsidRDefault="00236558" w:rsidP="00DC7281">
      <w:pPr>
        <w:pStyle w:val="Bibliography"/>
        <w:numPr>
          <w:ilvl w:val="0"/>
          <w:numId w:val="13"/>
        </w:numPr>
        <w:spacing w:line="360" w:lineRule="auto"/>
        <w:jc w:val="both"/>
      </w:pPr>
      <w:r>
        <w:rPr>
          <w:i/>
          <w:iCs/>
        </w:rPr>
        <w:t>Advice for the public on COVID-19 – World Health Organization</w:t>
      </w:r>
      <w:r>
        <w:t>. https://www.who.int/emergencies/diseases/novel-coronavirus-2019/advice-for-public (accessed 2020-12-20).</w:t>
      </w:r>
    </w:p>
    <w:p w14:paraId="4D852646" w14:textId="49B0DA54" w:rsidR="00236558" w:rsidRDefault="00236558" w:rsidP="00DC7281">
      <w:pPr>
        <w:pStyle w:val="Bibliography"/>
        <w:numPr>
          <w:ilvl w:val="0"/>
          <w:numId w:val="13"/>
        </w:numPr>
        <w:spacing w:line="360" w:lineRule="auto"/>
        <w:jc w:val="both"/>
      </w:pPr>
      <w:r>
        <w:rPr>
          <w:i/>
          <w:iCs/>
        </w:rPr>
        <w:t>vikaspedia Domains</w:t>
      </w:r>
      <w:r>
        <w:t>. https://vikaspedia.in/news/ayurvedas-immunity-boosting-measures-for-self-care-during-covid-19-crisis (accessed 2020-12-20).</w:t>
      </w:r>
    </w:p>
    <w:p w14:paraId="081A2905" w14:textId="5E5A73C1" w:rsidR="00236558" w:rsidRDefault="00236558" w:rsidP="00DC7281">
      <w:pPr>
        <w:pStyle w:val="Bibliography"/>
        <w:numPr>
          <w:ilvl w:val="0"/>
          <w:numId w:val="13"/>
        </w:numPr>
        <w:spacing w:line="360" w:lineRule="auto"/>
        <w:jc w:val="both"/>
      </w:pPr>
      <w:r>
        <w:rPr>
          <w:i/>
          <w:iCs/>
        </w:rPr>
        <w:t>Advisory for Corona virus</w:t>
      </w:r>
      <w:r>
        <w:t>. pib.gov.in/Pressreleaseshare.aspx?PRID=1600895 (accessed 2020-12-20).</w:t>
      </w:r>
    </w:p>
    <w:p w14:paraId="6EA45345" w14:textId="20A9DB42" w:rsidR="00236558" w:rsidRDefault="00236558" w:rsidP="00DC7281">
      <w:pPr>
        <w:pStyle w:val="Bibliography"/>
        <w:numPr>
          <w:ilvl w:val="0"/>
          <w:numId w:val="13"/>
        </w:numPr>
        <w:spacing w:line="360" w:lineRule="auto"/>
        <w:jc w:val="both"/>
      </w:pPr>
      <w:r>
        <w:t xml:space="preserve">Commissioner, O. of the. Hydroxychloroquine or Chloroquine for COVID-19: Drug Safety Communication - FDA Cautions Against Use Outside of the Hospital Setting or a Clinical Trial Due to Risk of Heart Rhythm Problems. </w:t>
      </w:r>
      <w:r>
        <w:rPr>
          <w:i/>
          <w:iCs/>
        </w:rPr>
        <w:t>FDA</w:t>
      </w:r>
      <w:r>
        <w:t xml:space="preserve"> </w:t>
      </w:r>
      <w:r>
        <w:rPr>
          <w:b/>
          <w:bCs/>
        </w:rPr>
        <w:t>2020</w:t>
      </w:r>
      <w:r>
        <w:t>.</w:t>
      </w:r>
    </w:p>
    <w:p w14:paraId="311B6F96" w14:textId="730AF6E3" w:rsidR="00236558" w:rsidRDefault="00236558" w:rsidP="00DC7281">
      <w:pPr>
        <w:pStyle w:val="Bibliography"/>
        <w:numPr>
          <w:ilvl w:val="0"/>
          <w:numId w:val="13"/>
        </w:numPr>
        <w:spacing w:line="360" w:lineRule="auto"/>
        <w:jc w:val="both"/>
      </w:pPr>
      <w:r>
        <w:t xml:space="preserve">Yao, X.; Ye, F.; Zhang, M.; Cui, C.; Huang, B.; Niu, P.; Liu, X.; Zhao, L.; Dong, E.; Song, C.; Zhan, S.; Lu, R.; Li, H.; Tan, W.; Liu, D. In Vitro Antiviral Activity and Projection of Optimized Dosing Design of Hydroxychloroquine for the Treatment of Severe Acute Respiratory Syndrome Coronavirus 2 (SARS-CoV-2). </w:t>
      </w:r>
      <w:r>
        <w:rPr>
          <w:i/>
          <w:iCs/>
        </w:rPr>
        <w:t>Clin. Infect. Dis. Off. Publ. Infect. Dis. Soc. Am.</w:t>
      </w:r>
      <w:r>
        <w:t xml:space="preserve"> </w:t>
      </w:r>
      <w:r>
        <w:rPr>
          <w:b/>
          <w:bCs/>
        </w:rPr>
        <w:t>2020</w:t>
      </w:r>
      <w:r>
        <w:t xml:space="preserve">, </w:t>
      </w:r>
      <w:r>
        <w:rPr>
          <w:i/>
          <w:iCs/>
        </w:rPr>
        <w:t>71</w:t>
      </w:r>
      <w:r>
        <w:t xml:space="preserve"> (15), 732–739. https://doi.org/10.1093/cid/ciaa237.</w:t>
      </w:r>
    </w:p>
    <w:p w14:paraId="0494882A" w14:textId="6AC528CF" w:rsidR="00236558" w:rsidRDefault="00236558" w:rsidP="00DC7281">
      <w:pPr>
        <w:pStyle w:val="Bibliography"/>
        <w:numPr>
          <w:ilvl w:val="0"/>
          <w:numId w:val="13"/>
        </w:numPr>
        <w:spacing w:line="360" w:lineRule="auto"/>
        <w:jc w:val="both"/>
      </w:pPr>
      <w:r>
        <w:t xml:space="preserve">Tang, C.; Wang, Y.; Lv, H.; Guan, Z.; Gu, J. Caution against Corticosteroid-Based COVID-19 Treatment. </w:t>
      </w:r>
      <w:r>
        <w:rPr>
          <w:i/>
          <w:iCs/>
        </w:rPr>
        <w:t>Lancet Lond. Engl.</w:t>
      </w:r>
      <w:r>
        <w:t xml:space="preserve"> </w:t>
      </w:r>
      <w:r>
        <w:rPr>
          <w:b/>
          <w:bCs/>
        </w:rPr>
        <w:t>2020</w:t>
      </w:r>
      <w:r>
        <w:t xml:space="preserve">, </w:t>
      </w:r>
      <w:r>
        <w:rPr>
          <w:i/>
          <w:iCs/>
        </w:rPr>
        <w:t>395</w:t>
      </w:r>
      <w:r>
        <w:t xml:space="preserve"> (10239), 1759–1760. https://doi.org/10.1016/S0140-6736(20)30749-2.</w:t>
      </w:r>
    </w:p>
    <w:p w14:paraId="51386F59" w14:textId="7E7E3EC5" w:rsidR="00236558" w:rsidRDefault="00236558" w:rsidP="00DC7281">
      <w:pPr>
        <w:pStyle w:val="Bibliography"/>
        <w:numPr>
          <w:ilvl w:val="0"/>
          <w:numId w:val="13"/>
        </w:numPr>
        <w:spacing w:line="360" w:lineRule="auto"/>
        <w:jc w:val="both"/>
      </w:pPr>
      <w:r>
        <w:rPr>
          <w:i/>
          <w:iCs/>
        </w:rPr>
        <w:t>Clinical management of COVID-19</w:t>
      </w:r>
      <w:r>
        <w:t>. https://www.who.int/publications-detail-redirect/clinical-management-of-covid-19 (accessed 2020-12-20).</w:t>
      </w:r>
    </w:p>
    <w:p w14:paraId="7D149D18" w14:textId="6EEAFF16" w:rsidR="00236558" w:rsidRDefault="00236558" w:rsidP="00DC7281">
      <w:pPr>
        <w:pStyle w:val="Bibliography"/>
        <w:numPr>
          <w:ilvl w:val="0"/>
          <w:numId w:val="13"/>
        </w:numPr>
        <w:spacing w:line="360" w:lineRule="auto"/>
        <w:jc w:val="both"/>
      </w:pPr>
      <w:r>
        <w:t xml:space="preserve">Ye, Z.; Wang, Y.; Colunga-Lozano, L. E.; Prasad, M.; Tangamornsuksan, W.; Rochwerg, B.; Yao, L.; Motaghi, S.; Couban, R. J.; Ghadimi, M.; Bala, M. M.; Gomaa, H.; Fang, F.; Xiao, Y.; Guyatt, G. H. Efficacy and Safety of Corticosteroids in COVID-19 Based on Evidence for COVID-19, Other Coronavirus Infections, Influenza, Community-Acquired </w:t>
      </w:r>
      <w:r>
        <w:lastRenderedPageBreak/>
        <w:t xml:space="preserve">Pneumonia and Acute Respiratory Distress Syndrome: A Systematic Review and Meta-Analysis. </w:t>
      </w:r>
      <w:r>
        <w:rPr>
          <w:i/>
          <w:iCs/>
        </w:rPr>
        <w:t>CMAJ Can. Med. Assoc. J. J. Assoc. Medicale Can.</w:t>
      </w:r>
      <w:r>
        <w:t xml:space="preserve"> </w:t>
      </w:r>
      <w:r>
        <w:rPr>
          <w:b/>
          <w:bCs/>
        </w:rPr>
        <w:t>2020</w:t>
      </w:r>
      <w:r>
        <w:t xml:space="preserve">, </w:t>
      </w:r>
      <w:r>
        <w:rPr>
          <w:i/>
          <w:iCs/>
        </w:rPr>
        <w:t>192</w:t>
      </w:r>
      <w:r>
        <w:t xml:space="preserve"> (27), E756–E767. https://doi.org/10.1503/cmaj.200645.</w:t>
      </w:r>
    </w:p>
    <w:p w14:paraId="1ADB93E9" w14:textId="1764186C" w:rsidR="00236558" w:rsidRDefault="00236558" w:rsidP="00DC7281">
      <w:pPr>
        <w:pStyle w:val="Bibliography"/>
        <w:numPr>
          <w:ilvl w:val="0"/>
          <w:numId w:val="13"/>
        </w:numPr>
        <w:spacing w:line="360" w:lineRule="auto"/>
        <w:jc w:val="both"/>
      </w:pPr>
      <w:r>
        <w:t xml:space="preserve">Horby, P.; Lim, W. S.; Emberson, J.; Mafham, M.; Bell, J.; Linsell, L.; Staplin, N.; Brightling, C.; Ustianowski, A.; Elmahi, E.; Prudon, B.; Green, C.; Felton, T.; Chadwick, D.; Rege, K.; Fegan, C.; Chappell, L. C.; Faust, S. N.; Jaki, T.; Jeffery, K.; Montgomery, A.; Rowan, K.; Juszczak, E.; Baillie, J. K.; Haynes, R.; Landray, M. J.; Group, R. C. Effect of Dexamethasone in Hospitalized Patients with COVID-19: Preliminary Report. </w:t>
      </w:r>
      <w:r>
        <w:rPr>
          <w:i/>
          <w:iCs/>
        </w:rPr>
        <w:t>medRxiv</w:t>
      </w:r>
      <w:r>
        <w:t xml:space="preserve"> </w:t>
      </w:r>
      <w:r>
        <w:rPr>
          <w:b/>
          <w:bCs/>
        </w:rPr>
        <w:t>2020</w:t>
      </w:r>
      <w:r>
        <w:t>, 2020.06.22.20137273. https://doi.org/10.1101/2020.06.22.20137273.</w:t>
      </w:r>
    </w:p>
    <w:p w14:paraId="74C62496" w14:textId="0C2440D1" w:rsidR="00236558" w:rsidRDefault="00236558" w:rsidP="00DC7281">
      <w:pPr>
        <w:pStyle w:val="Bibliography"/>
        <w:numPr>
          <w:ilvl w:val="0"/>
          <w:numId w:val="13"/>
        </w:numPr>
        <w:spacing w:line="360" w:lineRule="auto"/>
        <w:jc w:val="both"/>
      </w:pPr>
      <w:r>
        <w:t xml:space="preserve">Ni, Y.-N.; Chen, G.; Sun, J.; Liang, B.-M.; Liang, Z.-A. The Effect of Corticosteroids on Mortality of Patients with Influenza Pneumonia: A Systematic Review and Meta-Analysis. </w:t>
      </w:r>
      <w:r>
        <w:rPr>
          <w:i/>
          <w:iCs/>
        </w:rPr>
        <w:t>Crit. Care Lond. Engl.</w:t>
      </w:r>
      <w:r>
        <w:t xml:space="preserve"> </w:t>
      </w:r>
      <w:r>
        <w:rPr>
          <w:b/>
          <w:bCs/>
        </w:rPr>
        <w:t>2019</w:t>
      </w:r>
      <w:r>
        <w:t xml:space="preserve">, </w:t>
      </w:r>
      <w:r>
        <w:rPr>
          <w:i/>
          <w:iCs/>
        </w:rPr>
        <w:t>23</w:t>
      </w:r>
      <w:r>
        <w:t xml:space="preserve"> (1), 99. https://doi.org/10.1186/s13054-019-2395-8.</w:t>
      </w:r>
    </w:p>
    <w:p w14:paraId="7076919D" w14:textId="08586C15" w:rsidR="00236558" w:rsidRDefault="00236558" w:rsidP="00DC7281">
      <w:pPr>
        <w:pStyle w:val="Bibliography"/>
        <w:numPr>
          <w:ilvl w:val="0"/>
          <w:numId w:val="13"/>
        </w:numPr>
        <w:spacing w:line="360" w:lineRule="auto"/>
        <w:jc w:val="both"/>
      </w:pPr>
      <w:r>
        <w:t xml:space="preserve">Huanzhong, S. </w:t>
      </w:r>
      <w:r>
        <w:rPr>
          <w:i/>
          <w:iCs/>
        </w:rPr>
        <w:t>Efficacy and Safety of Corticosteroids in COVID-19: A Prospective Randomized Controlled Trails</w:t>
      </w:r>
      <w:r>
        <w:t>; Clinical trial registration NCT04273321; clinicaltrials.gov, 2020. https://clinicaltrials.gov/ct2/show/NCT04273321 (accessed 2020-12-19).</w:t>
      </w:r>
    </w:p>
    <w:p w14:paraId="0FBD2F72" w14:textId="3A27B8BE" w:rsidR="00236558" w:rsidRDefault="00236558" w:rsidP="00DC7281">
      <w:pPr>
        <w:pStyle w:val="Bibliography"/>
        <w:numPr>
          <w:ilvl w:val="0"/>
          <w:numId w:val="13"/>
        </w:numPr>
        <w:spacing w:line="360" w:lineRule="auto"/>
        <w:jc w:val="both"/>
      </w:pPr>
      <w:r>
        <w:t xml:space="preserve">Wang, Y.; Jiang, W.; He, Q.; Wang, C.; Wang, B.; Zhou, P.; Dong, N.; Tong, Q. A Retrospective Cohort Study of Methylprednisolone Therapy in Severe Patients with COVID-19 Pneumonia. </w:t>
      </w:r>
      <w:r>
        <w:rPr>
          <w:i/>
          <w:iCs/>
        </w:rPr>
        <w:t>Signal Transduct. Target. Ther.</w:t>
      </w:r>
      <w:r>
        <w:t xml:space="preserve"> </w:t>
      </w:r>
      <w:r>
        <w:rPr>
          <w:b/>
          <w:bCs/>
        </w:rPr>
        <w:t>2020</w:t>
      </w:r>
      <w:r>
        <w:t xml:space="preserve">, </w:t>
      </w:r>
      <w:r>
        <w:rPr>
          <w:i/>
          <w:iCs/>
        </w:rPr>
        <w:t>5</w:t>
      </w:r>
      <w:r>
        <w:t xml:space="preserve"> (1), 57. https://doi.org/10.1038/s41392-020-0158-2.</w:t>
      </w:r>
    </w:p>
    <w:p w14:paraId="67D1E22F" w14:textId="11EB8E3E" w:rsidR="00236558" w:rsidRDefault="00236558" w:rsidP="00DC7281">
      <w:pPr>
        <w:pStyle w:val="Bibliography"/>
        <w:numPr>
          <w:ilvl w:val="0"/>
          <w:numId w:val="13"/>
        </w:numPr>
        <w:spacing w:line="360" w:lineRule="auto"/>
        <w:jc w:val="both"/>
      </w:pPr>
      <w:r>
        <w:t xml:space="preserve">Liu, L.-H.; Zhang, Q.-Y.; Sun, W.; Li, Z.-R.; Gao, F.-Q. Corticosteroid-Induced Osteonecrosis of the Femoral Head: Detection, Diagnosis, and Treatment in Earlier Stages. </w:t>
      </w:r>
      <w:r>
        <w:rPr>
          <w:i/>
          <w:iCs/>
        </w:rPr>
        <w:t>Chin. Med. J. (Engl.)</w:t>
      </w:r>
      <w:r>
        <w:t xml:space="preserve"> </w:t>
      </w:r>
      <w:r>
        <w:rPr>
          <w:b/>
          <w:bCs/>
        </w:rPr>
        <w:t>2017</w:t>
      </w:r>
      <w:r>
        <w:t xml:space="preserve">, </w:t>
      </w:r>
      <w:r>
        <w:rPr>
          <w:i/>
          <w:iCs/>
        </w:rPr>
        <w:t>130</w:t>
      </w:r>
      <w:r>
        <w:t xml:space="preserve"> (21), 2601–2607. https://doi.org/10.4103/0366-6999.217094.</w:t>
      </w:r>
    </w:p>
    <w:p w14:paraId="5FFE31C3" w14:textId="77777777" w:rsidR="007D38AD" w:rsidRDefault="00236558" w:rsidP="00DC7281">
      <w:pPr>
        <w:pStyle w:val="Bibliography"/>
        <w:numPr>
          <w:ilvl w:val="0"/>
          <w:numId w:val="13"/>
        </w:numPr>
        <w:spacing w:line="360" w:lineRule="auto"/>
        <w:jc w:val="both"/>
      </w:pPr>
      <w:r>
        <w:t xml:space="preserve">Cao, B.;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 G.; Horby, P. W.; Zhang, D.; Wang, C. A Trial of Lopinavir–Ritonavir in Adults Hospitalized with Severe Covid-19. </w:t>
      </w:r>
      <w:r>
        <w:rPr>
          <w:i/>
          <w:iCs/>
        </w:rPr>
        <w:t>N. Engl. J. Med.</w:t>
      </w:r>
      <w:r>
        <w:t xml:space="preserve"> </w:t>
      </w:r>
      <w:r>
        <w:rPr>
          <w:b/>
          <w:bCs/>
        </w:rPr>
        <w:t>2020</w:t>
      </w:r>
      <w:r>
        <w:t xml:space="preserve">, </w:t>
      </w:r>
      <w:r>
        <w:rPr>
          <w:i/>
          <w:iCs/>
        </w:rPr>
        <w:t>382</w:t>
      </w:r>
      <w:r>
        <w:t xml:space="preserve"> (19), 1787–1799. https://doi.org/10.1056/NEJMoa2001282.</w:t>
      </w:r>
    </w:p>
    <w:p w14:paraId="7B2845B4" w14:textId="756FE056" w:rsidR="00236558" w:rsidRDefault="00236558" w:rsidP="00DC7281">
      <w:pPr>
        <w:pStyle w:val="Bibliography"/>
        <w:numPr>
          <w:ilvl w:val="0"/>
          <w:numId w:val="13"/>
        </w:numPr>
        <w:spacing w:line="360" w:lineRule="auto"/>
        <w:jc w:val="both"/>
      </w:pPr>
      <w:r>
        <w:t xml:space="preserve">Yamamoto, M.; Kiso, M.; Sakai-Tagawa, Y.; Iwatsuki-Horimoto, K.; Imai, M.; Takeda, M.; Kinoshita, N.; Ohmagari, N.; Gohda, J.; Semba, K.; Matsuda, Z.; Kawaguchi, </w:t>
      </w:r>
      <w:r>
        <w:lastRenderedPageBreak/>
        <w:t xml:space="preserve">Y.; Kawaoka, Y.; Inoue, J. The Anticoagulant Nafamostat Potently Inhibits SARS-CoV-2 Infection in Vitro: An Existing Drug with Multiple Possible Therapeutic Effects. </w:t>
      </w:r>
      <w:r w:rsidRPr="007D38AD">
        <w:rPr>
          <w:i/>
          <w:iCs/>
        </w:rPr>
        <w:t>bioRxiv</w:t>
      </w:r>
      <w:r>
        <w:t xml:space="preserve"> </w:t>
      </w:r>
      <w:r w:rsidRPr="007D38AD">
        <w:rPr>
          <w:b/>
          <w:bCs/>
        </w:rPr>
        <w:t>2020</w:t>
      </w:r>
      <w:r>
        <w:t>, 2020.04.22.054981. https://doi.org/10.1101/2020.04.22.054981.</w:t>
      </w:r>
    </w:p>
    <w:p w14:paraId="5306F829" w14:textId="77D6087C" w:rsidR="00236558" w:rsidRDefault="00236558" w:rsidP="00DC7281">
      <w:pPr>
        <w:pStyle w:val="Bibliography"/>
        <w:numPr>
          <w:ilvl w:val="0"/>
          <w:numId w:val="13"/>
        </w:numPr>
        <w:spacing w:line="360" w:lineRule="auto"/>
        <w:jc w:val="both"/>
      </w:pPr>
      <w:r>
        <w:t xml:space="preserve">Chupp, G. </w:t>
      </w:r>
      <w:r>
        <w:rPr>
          <w:i/>
          <w:iCs/>
        </w:rPr>
        <w:t>The Effect of Camostat Mesylate on COVID-19 Infection in Ambulatory Patients: An Investigator-Initiated Randomized, Placebo-Controlled, Phase IIa Trial</w:t>
      </w:r>
      <w:r>
        <w:t>; Clinical trial registration NCT04353284; clinicaltrials.gov, 2020. https://clinicaltrials.gov/ct2/show/NCT04353284 (accessed 2020-12-19).</w:t>
      </w:r>
    </w:p>
    <w:p w14:paraId="4D6B1AC7" w14:textId="66B95DAE" w:rsidR="00236558" w:rsidRDefault="00236558" w:rsidP="00DC7281">
      <w:pPr>
        <w:pStyle w:val="Bibliography"/>
        <w:numPr>
          <w:ilvl w:val="0"/>
          <w:numId w:val="13"/>
        </w:numPr>
        <w:spacing w:line="360" w:lineRule="auto"/>
        <w:jc w:val="both"/>
      </w:pPr>
      <w:r>
        <w:t xml:space="preserve">FACC, G. P. R., MD, FAHA. </w:t>
      </w:r>
      <w:r>
        <w:rPr>
          <w:i/>
          <w:iCs/>
        </w:rPr>
        <w:t>RAndomized Clinical Trial in COvid19 Patients to Assess the Efficacy of the Transmembrane Protease Serine 2 (TMPRSS2) Inhibitor NAfamostat (RACONA Study)</w:t>
      </w:r>
      <w:r>
        <w:t>; Clinical trial registration NCT04352400; clinicaltrials.gov, 2020. https://clinicaltrials.gov/ct2/show/NCT04352400 (accessed 2020-12-19).</w:t>
      </w:r>
    </w:p>
    <w:p w14:paraId="20EF34FD" w14:textId="45C53151" w:rsidR="00236558" w:rsidRDefault="00236558" w:rsidP="00DC7281">
      <w:pPr>
        <w:pStyle w:val="Bibliography"/>
        <w:numPr>
          <w:ilvl w:val="0"/>
          <w:numId w:val="13"/>
        </w:numPr>
        <w:spacing w:line="360" w:lineRule="auto"/>
        <w:jc w:val="both"/>
      </w:pPr>
      <w:r>
        <w:t xml:space="preserve">Freedberg, D. E.; Conigliaro, J.; Wang, T. C.; Tracey, K. J.; Callahan, M. V.; Abrams, J. A. Famotidine Use Is Associated With Improved Clinical Outcomes in Hospitalized COVID-19 Patients: A Propensity Score Matched Retrospective Cohort Study. </w:t>
      </w:r>
      <w:r>
        <w:rPr>
          <w:i/>
          <w:iCs/>
        </w:rPr>
        <w:t>Gastroenterology</w:t>
      </w:r>
      <w:r>
        <w:t xml:space="preserve"> </w:t>
      </w:r>
      <w:r>
        <w:rPr>
          <w:b/>
          <w:bCs/>
        </w:rPr>
        <w:t>2020</w:t>
      </w:r>
      <w:r>
        <w:t xml:space="preserve">, </w:t>
      </w:r>
      <w:r>
        <w:rPr>
          <w:i/>
          <w:iCs/>
        </w:rPr>
        <w:t>159</w:t>
      </w:r>
      <w:r>
        <w:t xml:space="preserve"> (3), 1129-1131.e3. https://doi.org/10.1053/j.gastro.2020.05.053.</w:t>
      </w:r>
    </w:p>
    <w:p w14:paraId="13D08895" w14:textId="3536B1D6" w:rsidR="00236558" w:rsidRDefault="00236558" w:rsidP="00DC7281">
      <w:pPr>
        <w:pStyle w:val="Bibliography"/>
        <w:numPr>
          <w:ilvl w:val="0"/>
          <w:numId w:val="13"/>
        </w:numPr>
        <w:spacing w:line="360" w:lineRule="auto"/>
        <w:jc w:val="both"/>
      </w:pPr>
      <w:r>
        <w:t xml:space="preserve">Malone, R. W.; Tisdall, P.; Fremont-Smith, P.; Liu, Y.; Huang, X.-P.; White, K. M.; Miorin, L.; Olmo, E. M. D.; Alon, A.; Delaforge, E.; Hennecker, C. D.; Wang, G.; Pottel, J.; Smith, N.; Hall, J. M.; Shapiro, G.; Mittermaier, A.; Kruse, A. C.; García-Sastre, A.; Roth, B. L.; Glasspool-Malone, J.; Ricke, D. O. COVID-19: Famotidine, Histamine, Mast Cells, and Mechanisms. </w:t>
      </w:r>
      <w:r>
        <w:rPr>
          <w:i/>
          <w:iCs/>
        </w:rPr>
        <w:t>Res. Sq.</w:t>
      </w:r>
      <w:r>
        <w:t xml:space="preserve"> </w:t>
      </w:r>
      <w:r>
        <w:rPr>
          <w:b/>
          <w:bCs/>
        </w:rPr>
        <w:t>2020</w:t>
      </w:r>
      <w:r>
        <w:t>. https://doi.org/10.21203/rs.3.rs-30934/v2.</w:t>
      </w:r>
    </w:p>
    <w:p w14:paraId="42147839" w14:textId="2487D350" w:rsidR="00236558" w:rsidRDefault="00236558" w:rsidP="00DC7281">
      <w:pPr>
        <w:pStyle w:val="Bibliography"/>
        <w:numPr>
          <w:ilvl w:val="0"/>
          <w:numId w:val="13"/>
        </w:numPr>
        <w:spacing w:line="360" w:lineRule="auto"/>
        <w:jc w:val="both"/>
      </w:pPr>
      <w:r>
        <w:t xml:space="preserve">Conigliaro, J. </w:t>
      </w:r>
      <w:r>
        <w:rPr>
          <w:i/>
          <w:iCs/>
        </w:rPr>
        <w:t>A Multi-Site, Randomized, Double-Blind, Comparative Trial of the Safety and Efficacy of Standard of Care (SOC) Plus Famotidine vs SOC Plus Placebo for the Treatment of COVID-19 in Hospitalized Adults</w:t>
      </w:r>
      <w:r>
        <w:t>; Clinical trial registration NCT04370262; clinicaltrials.gov, 2020. https://clinicaltrials.gov/ct2/show/NCT04370262 (accessed 2020-12-19).</w:t>
      </w:r>
    </w:p>
    <w:p w14:paraId="2654F01C" w14:textId="076ADA5D" w:rsidR="00236558" w:rsidRDefault="00236558" w:rsidP="00DC7281">
      <w:pPr>
        <w:pStyle w:val="Bibliography"/>
        <w:numPr>
          <w:ilvl w:val="0"/>
          <w:numId w:val="13"/>
        </w:numPr>
        <w:spacing w:line="360" w:lineRule="auto"/>
        <w:jc w:val="both"/>
      </w:pPr>
      <w:r>
        <w:t xml:space="preserve">Researcher, S. S. N. I., MD, MPH, MBA, Senior. </w:t>
      </w:r>
      <w:r>
        <w:rPr>
          <w:i/>
          <w:iCs/>
        </w:rPr>
        <w:t>Efficacy and Safety of Umifenovir as an Adjuvant Therapy Compared to the Control Therapeutic Regiment of Interferon Beta 1a, Lopinavir / Ritonavir and a Single Dose of Hydroxychloroquine in Moderate to Severe COVID-19: A Randomized, Double-Blind, Placebo-Controlled, Clinical Trial</w:t>
      </w:r>
      <w:r>
        <w:t>; Clinical trial registration NCT04350684; clinicaltrials.gov, 2020. https://clinicaltrials.gov/ct2/show/NCT04350684 (accessed 2020-12-19).</w:t>
      </w:r>
    </w:p>
    <w:p w14:paraId="238C2E00" w14:textId="15163920" w:rsidR="00236558" w:rsidRDefault="00236558" w:rsidP="00DC7281">
      <w:pPr>
        <w:pStyle w:val="Bibliography"/>
        <w:numPr>
          <w:ilvl w:val="0"/>
          <w:numId w:val="13"/>
        </w:numPr>
        <w:spacing w:line="360" w:lineRule="auto"/>
        <w:jc w:val="both"/>
      </w:pPr>
      <w:r>
        <w:t xml:space="preserve">Leneva, I. A.; Russell, R. J.; Boriskin, Y. S.; Hay, A. J. Characteristics of Arbidol-Resistant Mutants of Influenza Virus: Implications for the Mechanism of Anti-Influenza </w:t>
      </w:r>
      <w:r>
        <w:lastRenderedPageBreak/>
        <w:t xml:space="preserve">Action of Arbidol. </w:t>
      </w:r>
      <w:r>
        <w:rPr>
          <w:i/>
          <w:iCs/>
        </w:rPr>
        <w:t>Antiviral Res.</w:t>
      </w:r>
      <w:r>
        <w:t xml:space="preserve"> </w:t>
      </w:r>
      <w:r>
        <w:rPr>
          <w:b/>
          <w:bCs/>
        </w:rPr>
        <w:t>2009</w:t>
      </w:r>
      <w:r>
        <w:t xml:space="preserve">, </w:t>
      </w:r>
      <w:r>
        <w:rPr>
          <w:i/>
          <w:iCs/>
        </w:rPr>
        <w:t>81</w:t>
      </w:r>
      <w:r>
        <w:t xml:space="preserve"> (2), 132–140. https://doi.org/10.1016/j.antiviral.2008.10.009.</w:t>
      </w:r>
    </w:p>
    <w:p w14:paraId="53CD88F2" w14:textId="329516B4" w:rsidR="00236558" w:rsidRDefault="00236558" w:rsidP="00DC7281">
      <w:pPr>
        <w:pStyle w:val="Bibliography"/>
        <w:numPr>
          <w:ilvl w:val="0"/>
          <w:numId w:val="13"/>
        </w:numPr>
        <w:spacing w:line="360" w:lineRule="auto"/>
        <w:jc w:val="both"/>
      </w:pPr>
      <w:r>
        <w:t xml:space="preserve">Zeron, H. M. </w:t>
      </w:r>
      <w:r>
        <w:rPr>
          <w:i/>
          <w:iCs/>
        </w:rPr>
        <w:t>Treatment With Hydroxychloroquine vs Nitazoxanide + Hydroxychloroquine in Patients With COVID-19 With Risk Factors for Poor Outcome</w:t>
      </w:r>
      <w:r>
        <w:t>; Clinical trial registration NCT04341493; clinicaltrials.gov, 2020. https://clinicaltrials.gov/ct2/show/NCT04341493 (accessed 2020-12-19).</w:t>
      </w:r>
    </w:p>
    <w:p w14:paraId="0F0B88AE" w14:textId="0EB5DC6A" w:rsidR="00236558" w:rsidRDefault="00236558" w:rsidP="00DC7281">
      <w:pPr>
        <w:pStyle w:val="Bibliography"/>
        <w:numPr>
          <w:ilvl w:val="0"/>
          <w:numId w:val="13"/>
        </w:numPr>
        <w:spacing w:line="360" w:lineRule="auto"/>
        <w:jc w:val="both"/>
      </w:pPr>
      <w:r>
        <w:t xml:space="preserve">Caly, L.; Druce, J. D.; Catton, M. G.; Jans, D. A.; Wagstaff, K. M. The FDA-Approved Drug Ivermectin Inhibits the Replication of SARS-CoV-2 in Vitro. </w:t>
      </w:r>
      <w:r>
        <w:rPr>
          <w:i/>
          <w:iCs/>
        </w:rPr>
        <w:t>Antiviral Res.</w:t>
      </w:r>
      <w:r>
        <w:t xml:space="preserve"> </w:t>
      </w:r>
      <w:r>
        <w:rPr>
          <w:b/>
          <w:bCs/>
        </w:rPr>
        <w:t>2020</w:t>
      </w:r>
      <w:r>
        <w:t xml:space="preserve">, </w:t>
      </w:r>
      <w:r>
        <w:rPr>
          <w:i/>
          <w:iCs/>
        </w:rPr>
        <w:t>178</w:t>
      </w:r>
      <w:r>
        <w:t>, 104787. https://doi.org/10.1016/j.antiviral.2020.104787.</w:t>
      </w:r>
    </w:p>
    <w:p w14:paraId="488729BE" w14:textId="3BA9346B" w:rsidR="00236558" w:rsidRDefault="00236558" w:rsidP="00DC7281">
      <w:pPr>
        <w:pStyle w:val="Bibliography"/>
        <w:numPr>
          <w:ilvl w:val="0"/>
          <w:numId w:val="13"/>
        </w:numPr>
        <w:spacing w:line="360" w:lineRule="auto"/>
        <w:jc w:val="both"/>
      </w:pPr>
      <w:r>
        <w:t xml:space="preserve">National Cancer Institute, Naples. </w:t>
      </w:r>
      <w:r>
        <w:rPr>
          <w:i/>
          <w:iCs/>
        </w:rPr>
        <w:t>Multicenter Study on the Efficacy and Tolerability of Tocilizumab in the Treatment of Patients With COVID-19 Pneumonia</w:t>
      </w:r>
      <w:r>
        <w:t>; Clinical trial registration NCT04317092; clinicaltrials.gov, 2020. https://clinicaltrials.gov/ct2/show/NCT04317092 (accessed 2020-12-19).</w:t>
      </w:r>
    </w:p>
    <w:p w14:paraId="04593026" w14:textId="31E84CA4" w:rsidR="00236558" w:rsidRDefault="00236558" w:rsidP="00DC7281">
      <w:pPr>
        <w:pStyle w:val="Bibliography"/>
        <w:numPr>
          <w:ilvl w:val="0"/>
          <w:numId w:val="13"/>
        </w:numPr>
        <w:spacing w:line="360" w:lineRule="auto"/>
        <w:jc w:val="both"/>
      </w:pPr>
      <w:r>
        <w:t xml:space="preserve">Fu, B.; Xu, X.; Wei, H. Why Tocilizumab Could Be an Effective Treatment for Severe COVID-19? </w:t>
      </w:r>
      <w:r>
        <w:rPr>
          <w:i/>
          <w:iCs/>
        </w:rPr>
        <w:t>J. Transl. Med.</w:t>
      </w:r>
      <w:r>
        <w:t xml:space="preserve"> </w:t>
      </w:r>
      <w:r>
        <w:rPr>
          <w:b/>
          <w:bCs/>
        </w:rPr>
        <w:t>2020</w:t>
      </w:r>
      <w:r>
        <w:t xml:space="preserve">, </w:t>
      </w:r>
      <w:r>
        <w:rPr>
          <w:i/>
          <w:iCs/>
        </w:rPr>
        <w:t>18</w:t>
      </w:r>
      <w:r>
        <w:t xml:space="preserve"> (1), 164. https://doi.org/10.1186/s12967-020-02339-3.</w:t>
      </w:r>
    </w:p>
    <w:p w14:paraId="6C98D846" w14:textId="7E8AEBEE" w:rsidR="00236558" w:rsidRDefault="00236558" w:rsidP="00DC7281">
      <w:pPr>
        <w:pStyle w:val="Bibliography"/>
        <w:numPr>
          <w:ilvl w:val="0"/>
          <w:numId w:val="13"/>
        </w:numPr>
        <w:spacing w:line="360" w:lineRule="auto"/>
        <w:jc w:val="both"/>
      </w:pPr>
      <w:r>
        <w:t xml:space="preserve">Regeneron Pharmaceuticals. </w:t>
      </w:r>
      <w:r>
        <w:rPr>
          <w:i/>
          <w:iCs/>
        </w:rPr>
        <w:t>An Adaptive Phase 2/3, Randomized, Double-Blind, Placebo-Controlled Study Assessing Efficacy and Safety of Sarilumab for Hospitalized Patients With COVID-19</w:t>
      </w:r>
      <w:r>
        <w:t>; Clinical trial registration NCT04315298; clinicaltrials.gov, 2020. https://clinicaltrials.gov/ct2/show/NCT04315298 (accessed 2020-12-19).</w:t>
      </w:r>
    </w:p>
    <w:p w14:paraId="3EADF7A8" w14:textId="45EE0939" w:rsidR="00236558" w:rsidRDefault="00236558" w:rsidP="00DC7281">
      <w:pPr>
        <w:pStyle w:val="Bibliography"/>
        <w:numPr>
          <w:ilvl w:val="0"/>
          <w:numId w:val="13"/>
        </w:numPr>
        <w:spacing w:line="360" w:lineRule="auto"/>
        <w:jc w:val="both"/>
      </w:pPr>
      <w:r>
        <w:t xml:space="preserve">Xu, X.; Han, M.; Li, T.; Sun, W.; Wang, D.; Fu, B.; Zhou, Y.; Zheng, X.; Yang, Y.; Li, X.; Zhang, X.; Pan, A.; Wei, H. Effective Treatment of Severe COVID-19 Patients with Tocilizumab. </w:t>
      </w:r>
      <w:r>
        <w:rPr>
          <w:i/>
          <w:iCs/>
        </w:rPr>
        <w:t>Proc. Natl. Acad. Sci. U. S. A.</w:t>
      </w:r>
      <w:r>
        <w:t xml:space="preserve"> </w:t>
      </w:r>
      <w:r>
        <w:rPr>
          <w:b/>
          <w:bCs/>
        </w:rPr>
        <w:t>2020</w:t>
      </w:r>
      <w:r>
        <w:t xml:space="preserve">, </w:t>
      </w:r>
      <w:r>
        <w:rPr>
          <w:i/>
          <w:iCs/>
        </w:rPr>
        <w:t>117</w:t>
      </w:r>
      <w:r>
        <w:t xml:space="preserve"> (20), 10970–10975. https://doi.org/10.1073/pnas.2005615117.</w:t>
      </w:r>
    </w:p>
    <w:p w14:paraId="3302B62F" w14:textId="34273575" w:rsidR="00236558" w:rsidRDefault="00236558" w:rsidP="00DC7281">
      <w:pPr>
        <w:pStyle w:val="Bibliography"/>
        <w:numPr>
          <w:ilvl w:val="0"/>
          <w:numId w:val="13"/>
        </w:numPr>
        <w:spacing w:line="360" w:lineRule="auto"/>
        <w:jc w:val="both"/>
      </w:pPr>
      <w:r>
        <w:t xml:space="preserve">Wu, R.; Wang, L.; Kuo, H.-C. D.; Shannar, A.; Peter, R.; Chou, P. J.; Li, S.; Hudlikar, R.; Liu, X.; Liu, Z.; Poiani, G. J.; Amorosa, L.; Brunetti, L.; Kong, A.-N. An Update on Current Therapeutic Drugs Treating COVID-19. </w:t>
      </w:r>
      <w:r>
        <w:rPr>
          <w:i/>
          <w:iCs/>
        </w:rPr>
        <w:t>Curr. Pharmacol. Rep.</w:t>
      </w:r>
      <w:r>
        <w:t xml:space="preserve"> </w:t>
      </w:r>
      <w:r>
        <w:rPr>
          <w:b/>
          <w:bCs/>
        </w:rPr>
        <w:t>2020</w:t>
      </w:r>
      <w:r>
        <w:t>, 1–15. https://doi.org/10.1007/s40495-020-00216-7.</w:t>
      </w:r>
    </w:p>
    <w:p w14:paraId="0A13EDDD" w14:textId="61461CCE" w:rsidR="00236558" w:rsidRDefault="00236558" w:rsidP="00DC7281">
      <w:pPr>
        <w:pStyle w:val="Bibliography"/>
        <w:numPr>
          <w:ilvl w:val="0"/>
          <w:numId w:val="13"/>
        </w:numPr>
        <w:spacing w:line="360" w:lineRule="auto"/>
        <w:jc w:val="both"/>
      </w:pPr>
      <w:r>
        <w:t xml:space="preserve">Zhou, F.; Yu, T.; Du, R.; Fan, G.; Liu, Y.; Liu, Z.; Xiang, J.; Wang, Y.; Song, B.; Gu, X.; Guan, L.; Wei, Y.; Li, H.; Wu, X.; Xu, J.; Tu, S.; Zhang, Y.; Chen, H.; Cao, B. Clinical Course and Risk Factors for Mortality of Adult Inpatients with COVID-19 in Wuhan, China: A Retrospective Cohort Study. </w:t>
      </w:r>
      <w:r>
        <w:rPr>
          <w:i/>
          <w:iCs/>
        </w:rPr>
        <w:t>Lancet Lond. Engl.</w:t>
      </w:r>
      <w:r>
        <w:t xml:space="preserve"> </w:t>
      </w:r>
      <w:r>
        <w:rPr>
          <w:b/>
          <w:bCs/>
        </w:rPr>
        <w:t>2020</w:t>
      </w:r>
      <w:r>
        <w:t xml:space="preserve">, </w:t>
      </w:r>
      <w:r>
        <w:rPr>
          <w:i/>
          <w:iCs/>
        </w:rPr>
        <w:t>395</w:t>
      </w:r>
      <w:r>
        <w:t xml:space="preserve"> (10229), 1054–1062. https://doi.org/10.1016/S0140-6736(20)30566-3.</w:t>
      </w:r>
    </w:p>
    <w:p w14:paraId="3998E105" w14:textId="239D87D6" w:rsidR="00236558" w:rsidRDefault="00236558" w:rsidP="00DC7281">
      <w:pPr>
        <w:pStyle w:val="Bibliography"/>
        <w:numPr>
          <w:ilvl w:val="0"/>
          <w:numId w:val="13"/>
        </w:numPr>
        <w:spacing w:line="360" w:lineRule="auto"/>
        <w:jc w:val="both"/>
      </w:pPr>
      <w:r>
        <w:lastRenderedPageBreak/>
        <w:t xml:space="preserve">Qilu Hospital of Shandong University. </w:t>
      </w:r>
      <w:r>
        <w:rPr>
          <w:i/>
          <w:iCs/>
        </w:rPr>
        <w:t>The Efficacy and Safety of Bevacizumab in Severe or Critical Patients With COVID-19--a Multicenter Randomized Controlled Clinical Trial</w:t>
      </w:r>
      <w:r>
        <w:t>; Clinical trial registration NCT04305106; clinicaltrials.gov, 2020. https://clinicaltrials.gov/ct2/show/NCT04305106 (accessed 2020-12-20).</w:t>
      </w:r>
    </w:p>
    <w:p w14:paraId="38FD5D53" w14:textId="7ADD959C" w:rsidR="00236558" w:rsidRDefault="00236558" w:rsidP="00DC7281">
      <w:pPr>
        <w:pStyle w:val="Bibliography"/>
        <w:numPr>
          <w:ilvl w:val="0"/>
          <w:numId w:val="13"/>
        </w:numPr>
        <w:spacing w:line="360" w:lineRule="auto"/>
        <w:jc w:val="both"/>
      </w:pPr>
      <w:r>
        <w:t xml:space="preserve">Lenze, E. J.; Mattar, C.; Zorumski, C. F.; Stevens, A.; Schweiger, J.; Nicol, G. E.; Miller, J. P.; Yang, L.; Yingling, M.; Avidan, M. S.; Reiersen, A. M. Fluvoxamine vs Placebo and Clinical Deterioration in Outpatients With Symptomatic COVID-19: A Randomized Clinical Trial. </w:t>
      </w:r>
      <w:r>
        <w:rPr>
          <w:i/>
          <w:iCs/>
        </w:rPr>
        <w:t>JAMA</w:t>
      </w:r>
      <w:r>
        <w:t xml:space="preserve"> </w:t>
      </w:r>
      <w:r>
        <w:rPr>
          <w:b/>
          <w:bCs/>
        </w:rPr>
        <w:t>2020</w:t>
      </w:r>
      <w:r>
        <w:t xml:space="preserve">, </w:t>
      </w:r>
      <w:r>
        <w:rPr>
          <w:i/>
          <w:iCs/>
        </w:rPr>
        <w:t>324</w:t>
      </w:r>
      <w:r>
        <w:t xml:space="preserve"> (22), 2292–2300. https://doi.org/10.1001/jama.2020.22760.</w:t>
      </w:r>
    </w:p>
    <w:p w14:paraId="6AF21131" w14:textId="7BEAF77F" w:rsidR="00236558" w:rsidRDefault="00236558" w:rsidP="00DC7281">
      <w:pPr>
        <w:pStyle w:val="Bibliography"/>
        <w:numPr>
          <w:ilvl w:val="0"/>
          <w:numId w:val="13"/>
        </w:numPr>
        <w:spacing w:line="360" w:lineRule="auto"/>
        <w:jc w:val="both"/>
      </w:pPr>
      <w:r>
        <w:t xml:space="preserve">PubChem. </w:t>
      </w:r>
      <w:r>
        <w:rPr>
          <w:i/>
          <w:iCs/>
        </w:rPr>
        <w:t>Favipiravir</w:t>
      </w:r>
      <w:r>
        <w:t>. https://pubchem.ncbi.nlm.nih.gov/compound/492405 (accessed 2020-12-21).</w:t>
      </w:r>
    </w:p>
    <w:p w14:paraId="638A6F0C" w14:textId="6342679B" w:rsidR="00236558" w:rsidRDefault="00236558" w:rsidP="00DC7281">
      <w:pPr>
        <w:pStyle w:val="Bibliography"/>
        <w:numPr>
          <w:ilvl w:val="0"/>
          <w:numId w:val="13"/>
        </w:numPr>
        <w:spacing w:line="360" w:lineRule="auto"/>
        <w:jc w:val="both"/>
      </w:pPr>
      <w:r>
        <w:t xml:space="preserve">Shiraki, K.; Daikoku, T. Favipiravir, an Anti-Influenza Drug against Life-Threatening RNA Virus Infections. </w:t>
      </w:r>
      <w:r>
        <w:rPr>
          <w:i/>
          <w:iCs/>
        </w:rPr>
        <w:t>Pharmacol. Ther.</w:t>
      </w:r>
      <w:r>
        <w:t xml:space="preserve"> </w:t>
      </w:r>
      <w:r>
        <w:rPr>
          <w:b/>
          <w:bCs/>
        </w:rPr>
        <w:t>2020</w:t>
      </w:r>
      <w:r>
        <w:t xml:space="preserve">, </w:t>
      </w:r>
      <w:r>
        <w:rPr>
          <w:i/>
          <w:iCs/>
        </w:rPr>
        <w:t>209</w:t>
      </w:r>
      <w:r>
        <w:t>, 107512. https://doi.org/10.1016/j.pharmthera.2020.107512.</w:t>
      </w:r>
    </w:p>
    <w:p w14:paraId="50D30F14" w14:textId="59DEB415" w:rsidR="00236558" w:rsidRDefault="00236558" w:rsidP="00DC7281">
      <w:pPr>
        <w:pStyle w:val="Bibliography"/>
        <w:numPr>
          <w:ilvl w:val="0"/>
          <w:numId w:val="13"/>
        </w:numPr>
        <w:spacing w:line="360" w:lineRule="auto"/>
        <w:jc w:val="both"/>
      </w:pPr>
      <w:r>
        <w:t xml:space="preserve">Ebola Drug From Japan May Emerge Among Key Candidates. </w:t>
      </w:r>
      <w:r>
        <w:rPr>
          <w:i/>
          <w:iCs/>
        </w:rPr>
        <w:t>Bloomberg.com</w:t>
      </w:r>
      <w:r>
        <w:t>. August 7, 2014. https://www.bloomberg.com/news/articles/2014-08-07/ebola-drug-from-japan-may-emerge-among-key-candidates (accessed 2020-12-21).</w:t>
      </w:r>
    </w:p>
    <w:p w14:paraId="4BF64570" w14:textId="1A73D882" w:rsidR="00236558" w:rsidRDefault="00236558" w:rsidP="00DC7281">
      <w:pPr>
        <w:pStyle w:val="Bibliography"/>
        <w:numPr>
          <w:ilvl w:val="0"/>
          <w:numId w:val="13"/>
        </w:numPr>
        <w:spacing w:line="360" w:lineRule="auto"/>
        <w:jc w:val="both"/>
      </w:pPr>
      <w:r>
        <w:t xml:space="preserve">Ltd, G. P. </w:t>
      </w:r>
      <w:r>
        <w:rPr>
          <w:i/>
          <w:iCs/>
        </w:rPr>
        <w:t>Glenmark Becomes the First Pharmaceutical Company in India to Receive Regulatory Approval for Oral Antiviral Favipiravir, for the Treatment of Mild to Moderate COVID-19</w:t>
      </w:r>
      <w:r>
        <w:t>. https://www.prnewswire.com/in/news-releases/glenmark-becomes-the-first-pharmaceutical-company-in-india-to-receive-regulatory-approval-for-oral-antiviral-favipiravir-for-the-treatment-of-mild-to-moderate-covid-19-855346546.html (accessed 2020-12-21).</w:t>
      </w:r>
    </w:p>
    <w:p w14:paraId="41D2A4FE" w14:textId="571F58F9" w:rsidR="00236558" w:rsidRDefault="00236558" w:rsidP="00DC7281">
      <w:pPr>
        <w:pStyle w:val="Bibliography"/>
        <w:numPr>
          <w:ilvl w:val="0"/>
          <w:numId w:val="13"/>
        </w:numPr>
        <w:spacing w:line="360" w:lineRule="auto"/>
        <w:jc w:val="both"/>
      </w:pPr>
      <w:r>
        <w:t xml:space="preserve">Chen, C.; Zhang, Y.; Huang, J.; Yin, P.; Cheng, Z.; Wu, J.; Chen, S.; Zhang, Y.; Chen, B.; Lu, M.; Luo, Y.; Ju, L.; Zhang, J.; Wang, X. Favipiravir versus Arbidol for COVID-19: A Randomized Clinical Trial. </w:t>
      </w:r>
      <w:r>
        <w:rPr>
          <w:i/>
          <w:iCs/>
        </w:rPr>
        <w:t>medRxiv</w:t>
      </w:r>
      <w:r>
        <w:t xml:space="preserve"> </w:t>
      </w:r>
      <w:r>
        <w:rPr>
          <w:b/>
          <w:bCs/>
        </w:rPr>
        <w:t>2020</w:t>
      </w:r>
      <w:r>
        <w:t>, 2020.03.17.20037432. https://doi.org/10.1101/2020.03.17.20037432.</w:t>
      </w:r>
    </w:p>
    <w:p w14:paraId="49106CCE" w14:textId="22E8D887" w:rsidR="00236558" w:rsidRDefault="00236558" w:rsidP="00DC7281">
      <w:pPr>
        <w:pStyle w:val="Bibliography"/>
        <w:numPr>
          <w:ilvl w:val="0"/>
          <w:numId w:val="13"/>
        </w:numPr>
        <w:spacing w:line="360" w:lineRule="auto"/>
        <w:jc w:val="both"/>
      </w:pPr>
      <w:r>
        <w:t xml:space="preserve">Metcalfe, S. M. Mesenchymal Stem Cells and Management of COVID-19 Pneumonia. </w:t>
      </w:r>
      <w:r>
        <w:rPr>
          <w:i/>
          <w:iCs/>
        </w:rPr>
        <w:t>Med. Drug Discov.</w:t>
      </w:r>
      <w:r>
        <w:t xml:space="preserve"> </w:t>
      </w:r>
      <w:r>
        <w:rPr>
          <w:b/>
          <w:bCs/>
        </w:rPr>
        <w:t>2020</w:t>
      </w:r>
      <w:r>
        <w:t xml:space="preserve">, </w:t>
      </w:r>
      <w:r>
        <w:rPr>
          <w:i/>
          <w:iCs/>
        </w:rPr>
        <w:t>5</w:t>
      </w:r>
      <w:r>
        <w:t>, 100019. https://doi.org/10.1016/j.medidd.2020.100019.</w:t>
      </w:r>
    </w:p>
    <w:p w14:paraId="162AEE16" w14:textId="741847E7" w:rsidR="00236558" w:rsidRDefault="00236558" w:rsidP="00DC7281">
      <w:pPr>
        <w:pStyle w:val="Bibliography"/>
        <w:numPr>
          <w:ilvl w:val="0"/>
          <w:numId w:val="13"/>
        </w:numPr>
        <w:spacing w:line="360" w:lineRule="auto"/>
        <w:jc w:val="both"/>
      </w:pPr>
      <w:r>
        <w:t xml:space="preserve">Qingsong, Y. </w:t>
      </w:r>
      <w:r>
        <w:rPr>
          <w:i/>
          <w:iCs/>
        </w:rPr>
        <w:t>Safety and Efficacy Study of Allogeneic Human Dental Pulp Mesenchymal Stem Cells to Treat Severe Pneumonia of COVID-19</w:t>
      </w:r>
      <w:r>
        <w:rPr>
          <w:rFonts w:ascii="MS Gothic" w:eastAsia="MS Gothic" w:hAnsi="MS Gothic" w:cs="MS Gothic" w:hint="eastAsia"/>
          <w:i/>
          <w:iCs/>
        </w:rPr>
        <w:t>：</w:t>
      </w:r>
      <w:r>
        <w:rPr>
          <w:i/>
          <w:iCs/>
        </w:rPr>
        <w:t>a Single-Center, Prospective, Randomised Clinical Trial</w:t>
      </w:r>
      <w:r>
        <w:t xml:space="preserve">; Clinical trial registration NCT04336254; </w:t>
      </w:r>
      <w:r>
        <w:lastRenderedPageBreak/>
        <w:t>clinicaltrials.gov, 2020. https://clinicaltrials.gov/ct2/show/NCT04336254 (accessed 2021-01-11).</w:t>
      </w:r>
    </w:p>
    <w:p w14:paraId="07FC6DE7" w14:textId="13D6715F" w:rsidR="00236558" w:rsidRDefault="00236558" w:rsidP="00DC7281">
      <w:pPr>
        <w:pStyle w:val="Bibliography"/>
        <w:numPr>
          <w:ilvl w:val="0"/>
          <w:numId w:val="13"/>
        </w:numPr>
        <w:spacing w:line="360" w:lineRule="auto"/>
        <w:jc w:val="both"/>
      </w:pPr>
      <w:r>
        <w:t xml:space="preserve">Andalusian Network for Design and Translation of Advanced Therapies. </w:t>
      </w:r>
      <w:r>
        <w:rPr>
          <w:i/>
          <w:iCs/>
        </w:rPr>
        <w:t>Phase I / II Clinical Trial, Multicenter, Randomized and Controlled, to Assess the Safety and Efficacy of Intravenous Administration of Allogeneic Adult Mesenchymal Stem Cells of Expanded Adipose Tissue in Patients With Severe Pneumonia Due to COVID-19</w:t>
      </w:r>
      <w:r>
        <w:t>; Clinical trial registration NCT04366323; clinicaltrials.gov, 2020. https://clinicaltrials.gov/ct2/show/NCT04366323 (accessed 2021-01-11).</w:t>
      </w:r>
    </w:p>
    <w:p w14:paraId="7A10FB53" w14:textId="05387837" w:rsidR="00236558" w:rsidRDefault="00236558" w:rsidP="00DC7281">
      <w:pPr>
        <w:pStyle w:val="Bibliography"/>
        <w:numPr>
          <w:ilvl w:val="0"/>
          <w:numId w:val="13"/>
        </w:numPr>
        <w:spacing w:line="360" w:lineRule="auto"/>
        <w:jc w:val="both"/>
      </w:pPr>
      <w:r>
        <w:t xml:space="preserve">Royan Institute. </w:t>
      </w:r>
      <w:r>
        <w:rPr>
          <w:i/>
          <w:iCs/>
        </w:rPr>
        <w:t>Mesenchymal Stem Cell Therapy for Acute Respiratory Distress Syndrome in Coronavirus Infection: A Phase 2-3 Clinical Trial</w:t>
      </w:r>
      <w:r>
        <w:t>; Clinical trial registration NCT04366063; clinicaltrials.gov, 2020. https://clinicaltrials.gov/ct2/show/NCT04366063 (accessed 2021-01-13).</w:t>
      </w:r>
    </w:p>
    <w:p w14:paraId="78869922" w14:textId="08E771FC" w:rsidR="00236558" w:rsidRDefault="00236558" w:rsidP="00DC7281">
      <w:pPr>
        <w:pStyle w:val="Bibliography"/>
        <w:numPr>
          <w:ilvl w:val="0"/>
          <w:numId w:val="13"/>
        </w:numPr>
        <w:spacing w:line="360" w:lineRule="auto"/>
        <w:jc w:val="both"/>
      </w:pPr>
      <w:r>
        <w:t xml:space="preserve">SBÜ Dr. Sadi Konuk Eğitim ve Araştırma Hastanesi. </w:t>
      </w:r>
      <w:r>
        <w:rPr>
          <w:i/>
          <w:iCs/>
        </w:rPr>
        <w:t>What Is the Effect of Mesenchymal Stem Cell Therapy on Seriously Ill Patients With Covid 19 in Intensive Care? (Prospective Double Controlled Study)</w:t>
      </w:r>
      <w:r>
        <w:t>; Clinical trial registration NCT04392778; clinicaltrials.gov, 2020. https://clinicaltrials.gov/ct2/show/NCT04392778 (accessed 2021-01-13).</w:t>
      </w:r>
    </w:p>
    <w:p w14:paraId="5EADA277" w14:textId="3C039BCA" w:rsidR="00236558" w:rsidRDefault="00236558" w:rsidP="00DC7281">
      <w:pPr>
        <w:pStyle w:val="Bibliography"/>
        <w:numPr>
          <w:ilvl w:val="0"/>
          <w:numId w:val="13"/>
        </w:numPr>
        <w:spacing w:line="360" w:lineRule="auto"/>
        <w:jc w:val="both"/>
      </w:pPr>
      <w:r>
        <w:t xml:space="preserve">Ricordi, C. </w:t>
      </w:r>
      <w:r>
        <w:rPr>
          <w:i/>
          <w:iCs/>
        </w:rPr>
        <w:t>Umbilical Cord-Derived Mesenchymal Stem Cells for COVID-19 Patients With Acute Respiratory Distress Syndrome (ARDS)</w:t>
      </w:r>
      <w:r>
        <w:t>; Clinical trial registration NCT04355728; clinicaltrials.gov, 2020. https://clinicaltrials.gov/ct2/show/NCT04355728 (accessed 2021-01-13).</w:t>
      </w:r>
    </w:p>
    <w:p w14:paraId="463E8579" w14:textId="2E8A972C" w:rsidR="00236558" w:rsidRDefault="00236558" w:rsidP="00DC7281">
      <w:pPr>
        <w:pStyle w:val="Bibliography"/>
        <w:numPr>
          <w:ilvl w:val="0"/>
          <w:numId w:val="13"/>
        </w:numPr>
        <w:spacing w:line="360" w:lineRule="auto"/>
        <w:jc w:val="both"/>
      </w:pPr>
      <w:r>
        <w:t xml:space="preserve">McAuley, P. D. </w:t>
      </w:r>
      <w:r>
        <w:rPr>
          <w:i/>
          <w:iCs/>
        </w:rPr>
        <w:t>Repair of Acute Respiratory Distress Syndrome by Stromal Cell Administration (REALIST): An Open Label Dose Escalation Phase 1 Trial Followed by a Randomized, Double-Blind, Placebo-Controlled Phase 2 Trial (COVID-19)</w:t>
      </w:r>
      <w:r>
        <w:t>; Clinical trial registration NCT03042143; clinicaltrials.gov, 2020. https://clinicaltrials.gov/ct2/show/NCT03042143 (accessed 2021-01-13).</w:t>
      </w:r>
    </w:p>
    <w:p w14:paraId="67934F6B" w14:textId="6743C0D3" w:rsidR="00236558" w:rsidRDefault="00236558" w:rsidP="00DC7281">
      <w:pPr>
        <w:pStyle w:val="Bibliography"/>
        <w:numPr>
          <w:ilvl w:val="0"/>
          <w:numId w:val="13"/>
        </w:numPr>
        <w:spacing w:line="360" w:lineRule="auto"/>
        <w:jc w:val="both"/>
      </w:pPr>
      <w:r>
        <w:t xml:space="preserve">Wang, F.-S. </w:t>
      </w:r>
      <w:r>
        <w:rPr>
          <w:i/>
          <w:iCs/>
        </w:rPr>
        <w:t>A Phase II, Multicenter, Randomized, Double-Blind, Placebo-Controlled Trial to Evaluate the Efficacy and Safety of Human Umbilical Cord-Derived Mesenchymal Stem Cells in the Treatment of Severe COVID-19 Patients</w:t>
      </w:r>
      <w:r>
        <w:t>; Clinical trial registration NCT04288102; clinicaltrials.gov, 2020. https://clinicaltrials.gov/ct2/show/NCT04288102 (accessed 2021-01-13).</w:t>
      </w:r>
    </w:p>
    <w:p w14:paraId="195A9B42" w14:textId="3F2F3B4B" w:rsidR="00236558" w:rsidRDefault="00236558" w:rsidP="00DC7281">
      <w:pPr>
        <w:pStyle w:val="Bibliography"/>
        <w:numPr>
          <w:ilvl w:val="0"/>
          <w:numId w:val="13"/>
        </w:numPr>
        <w:spacing w:line="360" w:lineRule="auto"/>
        <w:jc w:val="both"/>
      </w:pPr>
      <w:r>
        <w:t xml:space="preserve">Chen, J.; Hu, C.; Chen, L.; Tang, L.; Zhu, Y.; Xu, X.; Chen, L.; Gao, H.; Lu, X.; Yu, L.; Dai, X.; Xiang, C.; Li, L. Clinical Study of Mesenchymal Stem Cell Treatment for Acute Respiratory Distress Syndrome Induced by Epidemic Influenza A (H7N9) Infection: A Hint </w:t>
      </w:r>
      <w:r>
        <w:lastRenderedPageBreak/>
        <w:t xml:space="preserve">for COVID-19 Treatment. </w:t>
      </w:r>
      <w:r>
        <w:rPr>
          <w:i/>
          <w:iCs/>
        </w:rPr>
        <w:t>Eng. Beijing China</w:t>
      </w:r>
      <w:r>
        <w:t xml:space="preserve"> </w:t>
      </w:r>
      <w:r>
        <w:rPr>
          <w:b/>
          <w:bCs/>
        </w:rPr>
        <w:t>2020</w:t>
      </w:r>
      <w:r>
        <w:t xml:space="preserve">, </w:t>
      </w:r>
      <w:r>
        <w:rPr>
          <w:i/>
          <w:iCs/>
        </w:rPr>
        <w:t>6</w:t>
      </w:r>
      <w:r>
        <w:t xml:space="preserve"> (10), 1153–1161. https://doi.org/10.1016/j.eng.2020.02.006.</w:t>
      </w:r>
    </w:p>
    <w:p w14:paraId="4402EF38" w14:textId="6ED8931E" w:rsidR="00236558" w:rsidRDefault="00236558" w:rsidP="00DC7281">
      <w:pPr>
        <w:pStyle w:val="Bibliography"/>
        <w:numPr>
          <w:ilvl w:val="0"/>
          <w:numId w:val="13"/>
        </w:numPr>
        <w:spacing w:line="360" w:lineRule="auto"/>
        <w:jc w:val="both"/>
      </w:pPr>
      <w:r>
        <w:t xml:space="preserve">Liang, B.; Chen, J.; Li, T.; Wu, H.; Yang, W.; Li, Y.; Li, J.; Yu, C.; Nie, F.; Ma, Z.; Yang, M.; Xiao, M.; Nie, P.; Gao, Y.; Qian, C.; Hu, M. Clinical Remission of a Critically Ill COVID-19 Patient Treated by Human Umbilical Cord Mesenchymal Stem Cells. </w:t>
      </w:r>
      <w:r>
        <w:rPr>
          <w:i/>
          <w:iCs/>
        </w:rPr>
        <w:t>Medicine (Baltimore)</w:t>
      </w:r>
      <w:r>
        <w:t xml:space="preserve"> </w:t>
      </w:r>
      <w:r>
        <w:rPr>
          <w:b/>
          <w:bCs/>
        </w:rPr>
        <w:t>2020</w:t>
      </w:r>
      <w:r>
        <w:t xml:space="preserve">, </w:t>
      </w:r>
      <w:r>
        <w:rPr>
          <w:i/>
          <w:iCs/>
        </w:rPr>
        <w:t>99</w:t>
      </w:r>
      <w:r>
        <w:t xml:space="preserve"> (31). https://doi.org/10.1097/MD.0000000000021429.</w:t>
      </w:r>
    </w:p>
    <w:p w14:paraId="3FA012AF" w14:textId="0E542A74" w:rsidR="00236558" w:rsidRDefault="00236558" w:rsidP="00DC7281">
      <w:pPr>
        <w:pStyle w:val="Bibliography"/>
        <w:numPr>
          <w:ilvl w:val="0"/>
          <w:numId w:val="13"/>
        </w:numPr>
        <w:spacing w:line="360" w:lineRule="auto"/>
        <w:jc w:val="both"/>
      </w:pPr>
      <w:r>
        <w:t xml:space="preserve">Liu, S.; Peng, D.; Qiu, H.; Yang, K.; Fu, Z.; Zou, L. Mesenchymal Stem Cells as a Potential Therapy for COVID-19. </w:t>
      </w:r>
      <w:r>
        <w:rPr>
          <w:i/>
          <w:iCs/>
        </w:rPr>
        <w:t>Stem Cell Res. Ther.</w:t>
      </w:r>
      <w:r>
        <w:t xml:space="preserve"> </w:t>
      </w:r>
      <w:r>
        <w:rPr>
          <w:b/>
          <w:bCs/>
        </w:rPr>
        <w:t>2020</w:t>
      </w:r>
      <w:r>
        <w:t xml:space="preserve">, </w:t>
      </w:r>
      <w:r>
        <w:rPr>
          <w:i/>
          <w:iCs/>
        </w:rPr>
        <w:t>11</w:t>
      </w:r>
      <w:r>
        <w:t xml:space="preserve"> (1), 169. https://doi.org/10.1186/s13287-020-01678-8.</w:t>
      </w:r>
    </w:p>
    <w:p w14:paraId="7AF98728" w14:textId="7C723EAC" w:rsidR="00236558" w:rsidRDefault="00236558" w:rsidP="00DC7281">
      <w:pPr>
        <w:pStyle w:val="Bibliography"/>
        <w:numPr>
          <w:ilvl w:val="0"/>
          <w:numId w:val="13"/>
        </w:numPr>
        <w:spacing w:line="360" w:lineRule="auto"/>
        <w:jc w:val="both"/>
      </w:pPr>
      <w:r>
        <w:t xml:space="preserve">National Institute of Allergy and Infectious Diseases (NIAID). </w:t>
      </w:r>
      <w:r>
        <w:rPr>
          <w:i/>
          <w:iCs/>
        </w:rPr>
        <w:t>Phase I, Open-Label, Dose-Ranging Study of the Safety and Immunogenicity of 2019-NCoV Vaccine (MRNA-1273) in Healthy Adults</w:t>
      </w:r>
      <w:r>
        <w:t>; Clinical trial registration NCT04283461; clinicaltrials.gov, 2020. https://clinicaltrials.gov/ct2/show/NCT04283461 (accessed 2020-12-20).</w:t>
      </w:r>
    </w:p>
    <w:p w14:paraId="51C30397" w14:textId="1FB1578E" w:rsidR="00236558" w:rsidRDefault="00236558" w:rsidP="00DC7281">
      <w:pPr>
        <w:pStyle w:val="Bibliography"/>
        <w:numPr>
          <w:ilvl w:val="0"/>
          <w:numId w:val="13"/>
        </w:numPr>
        <w:spacing w:line="360" w:lineRule="auto"/>
        <w:jc w:val="both"/>
      </w:pPr>
      <w:r>
        <w:rPr>
          <w:i/>
          <w:iCs/>
        </w:rPr>
        <w:t>Moderna’s Work on a COVID-19 Vaccine Candidate | Moderna, Inc.</w:t>
      </w:r>
      <w:r>
        <w:t xml:space="preserve"> https://www.modernatx.com/modernas-work-potential-vaccine-against-covid-19 (accessed 2021-01-06).</w:t>
      </w:r>
    </w:p>
    <w:p w14:paraId="416D8DA6" w14:textId="59BF3D0F" w:rsidR="00236558" w:rsidRDefault="00236558" w:rsidP="00DC7281">
      <w:pPr>
        <w:pStyle w:val="Bibliography"/>
        <w:numPr>
          <w:ilvl w:val="0"/>
          <w:numId w:val="13"/>
        </w:numPr>
        <w:spacing w:line="360" w:lineRule="auto"/>
        <w:jc w:val="both"/>
      </w:pPr>
      <w:r>
        <w:t xml:space="preserve">ModernaTX, Inc. </w:t>
      </w:r>
      <w:r>
        <w:rPr>
          <w:i/>
          <w:iCs/>
        </w:rPr>
        <w:t>A Phase 3, Randomized, Stratified, Observer-Blind, Placebo-Controlled Study to Evaluate the Efficacy, Safety, and Immunogenicity of MRNA-1273 SARS-CoV-2 Vaccine in Adults Aged 18 Years and Older</w:t>
      </w:r>
      <w:r>
        <w:t>; Clinical trial registration NCT04470427; clinicaltrials.gov, 2020. https://clinicaltrials.gov/ct2/show/NCT04470427 (accessed 2021-01-04).</w:t>
      </w:r>
    </w:p>
    <w:p w14:paraId="22DFF252" w14:textId="744393A4" w:rsidR="00236558" w:rsidRDefault="00236558" w:rsidP="00DC7281">
      <w:pPr>
        <w:pStyle w:val="Bibliography"/>
        <w:numPr>
          <w:ilvl w:val="0"/>
          <w:numId w:val="13"/>
        </w:numPr>
        <w:spacing w:line="360" w:lineRule="auto"/>
        <w:jc w:val="both"/>
      </w:pPr>
      <w:r>
        <w:rPr>
          <w:i/>
          <w:iCs/>
        </w:rPr>
        <w:t>AZD1222 SARS-CoV-2 Vaccine</w:t>
      </w:r>
      <w:r>
        <w:t>. https://www.precisionvaccinations.com/vaccines/azd1222-sars-cov-2-vaccine (accessed 2020-12-22).</w:t>
      </w:r>
    </w:p>
    <w:p w14:paraId="0460058A" w14:textId="319037CC" w:rsidR="00236558" w:rsidRDefault="00236558" w:rsidP="00DC7281">
      <w:pPr>
        <w:pStyle w:val="Bibliography"/>
        <w:numPr>
          <w:ilvl w:val="0"/>
          <w:numId w:val="13"/>
        </w:numPr>
        <w:spacing w:line="360" w:lineRule="auto"/>
        <w:jc w:val="both"/>
      </w:pPr>
      <w:r>
        <w:t xml:space="preserve">Voysey, M.; Clemens, S. A. C.; Madhi, S. A.; Weckx, L. Y.; Folegatti, P. M.; Aley, P. K.; Angus, B.; Baillie, V. L.; Barnabas, S. L.; Bhorat, Q. E.; Bibi, S.; Briner, C.; Cicconi, P.; Collins, A. M.; Colin-Jones, R.; Cutland, C. L.; Darton, T. C.; Dheda, K.; Duncan, C. J. A.; Emary, K. R. W.; Ewer, K. J.; Fairlie, L.; Faust, S. N.; Feng, S.; Ferreira, D. M.; Finn, A.; Goodman, A. L.; Green, C. M.; Green, C. A.; Heath, P. T.; Hill, C.; Hill, H.; Hirsch, I.; Hodgson, S. H. C.; Izu, A.; Jackson, S.; Jenkin, D.; Joe, C. C. D.; Kerridge, S.; Koen, A.; Kwatra, G.; Lazarus, R.; Lawrie, A. M.; Lelliott, A.; Libri, V.; Lillie, P. J.; Mallory, R.; Mendes, A. V. A.; Milan, E. P.; Minassian, A. M.; McGregor, A.; Morrison, H.; Mujadidi, Y. F.; Nana, A.; O’Reilly, P. J.; Padayachee, S. D.; Pittella, A.; Plested, E.; Pollock, K. M.; Ramasamy, M. N.; Rhead, S.; Schwarzbold, A. V.; Singh, N.; Smith, A.; Song, R.; Snape, </w:t>
      </w:r>
      <w:r>
        <w:lastRenderedPageBreak/>
        <w:t xml:space="preserve">M. D.; Sprinz, E.; Sutherland, R. K.; Tarrant, R.; Thomson, E. C.; Török, M. E.; Toshner, M.; Turner, D. P. J.; Vekemans, J.; Villafana, T. L.; Watson, M. E. E.; Williams, C. J.; Douglas, A. D.; Hill, A. V. S.; Lambe, T.; Gilbert, S. C.; Pollard, A. J.; Oxford COVID Vaccine Trial Group. Safety and Efficacy of the ChAdOx1 NCoV-19 Vaccine (AZD1222) against SARS-CoV-2: An Interim Analysis of Four Randomised Controlled Trials in Brazil, South Africa, and the UK. </w:t>
      </w:r>
      <w:r>
        <w:rPr>
          <w:i/>
          <w:iCs/>
        </w:rPr>
        <w:t>Lancet Lond. Engl.</w:t>
      </w:r>
      <w:r>
        <w:t xml:space="preserve"> </w:t>
      </w:r>
      <w:r>
        <w:rPr>
          <w:b/>
          <w:bCs/>
        </w:rPr>
        <w:t>2020</w:t>
      </w:r>
      <w:r>
        <w:t>. https://doi.org/10.1016/S0140-6736(20)32661-1.</w:t>
      </w:r>
    </w:p>
    <w:p w14:paraId="72C13920" w14:textId="2F6FF156" w:rsidR="00236558" w:rsidRDefault="00236558" w:rsidP="00DC7281">
      <w:pPr>
        <w:pStyle w:val="Bibliography"/>
        <w:numPr>
          <w:ilvl w:val="0"/>
          <w:numId w:val="13"/>
        </w:numPr>
        <w:spacing w:line="360" w:lineRule="auto"/>
        <w:jc w:val="both"/>
      </w:pPr>
      <w:r>
        <w:t xml:space="preserve">Zhu, F.-C.; Li, Y.-H.; Guan, X.-H.; Hou, L.-H.; Wang, W.-J.; Li, J.-X.; Wu, S.-P.; Wang, B.-S.; Wang, Z.; Wang, L.; Jia, S.-Y.; Jiang, H.-D.; Wang, L.; Jiang, T.; Hu, Y.; Gou, J.-B.; Xu, S.-B.; Xu, J.-J.; Wang, X.-W.; Wang, W.; Chen, W. Safety, Tolerability, and Immunogenicity of a Recombinant Adenovirus Type-5 Vectored COVID-19 Vaccine: A Dose-Escalation, Open-Label, Non-Randomised, First-in-Human Trial. </w:t>
      </w:r>
      <w:r>
        <w:rPr>
          <w:i/>
          <w:iCs/>
        </w:rPr>
        <w:t>Lancet Lond. Engl.</w:t>
      </w:r>
      <w:r>
        <w:t xml:space="preserve"> </w:t>
      </w:r>
      <w:r>
        <w:rPr>
          <w:b/>
          <w:bCs/>
        </w:rPr>
        <w:t>2020</w:t>
      </w:r>
      <w:r>
        <w:t xml:space="preserve">, </w:t>
      </w:r>
      <w:r>
        <w:rPr>
          <w:i/>
          <w:iCs/>
        </w:rPr>
        <w:t>395</w:t>
      </w:r>
      <w:r>
        <w:t xml:space="preserve"> (10240), 1845–1854. https://doi.org/10.1016/S0140-6736(20)31208-3.</w:t>
      </w:r>
    </w:p>
    <w:p w14:paraId="79B97117" w14:textId="2E88073C" w:rsidR="00236558" w:rsidRDefault="00236558" w:rsidP="00DC7281">
      <w:pPr>
        <w:pStyle w:val="Bibliography"/>
        <w:numPr>
          <w:ilvl w:val="0"/>
          <w:numId w:val="13"/>
        </w:numPr>
        <w:spacing w:line="360" w:lineRule="auto"/>
        <w:jc w:val="both"/>
      </w:pPr>
      <w:r>
        <w:t xml:space="preserve">CanSino Biologics Inc. </w:t>
      </w:r>
      <w:r>
        <w:rPr>
          <w:i/>
          <w:iCs/>
        </w:rPr>
        <w:t xml:space="preserve">A Global Multicenter, Randomized, Double-Blind, Placebo -Controlled, Adaptive Designed Phase </w:t>
      </w:r>
      <w:r>
        <w:rPr>
          <w:rFonts w:ascii="MS Gothic" w:eastAsia="MS Gothic" w:hAnsi="MS Gothic" w:cs="MS Gothic" w:hint="eastAsia"/>
          <w:i/>
          <w:iCs/>
        </w:rPr>
        <w:t>Ⅲ</w:t>
      </w:r>
      <w:r>
        <w:rPr>
          <w:i/>
          <w:iCs/>
        </w:rPr>
        <w:t xml:space="preserve"> Clinical Trial to Evaluate the Efficacy, Safety and Immunogenicity of Ad5-NCoV in Adults 18 Years of Age and Older</w:t>
      </w:r>
      <w:r>
        <w:t>; Clinical trial registration NCT04526990; clinicaltrials.gov, 2020. https://clinicaltrials.gov/ct2/show/NCT04526990 (accessed 2021-01-04).</w:t>
      </w:r>
    </w:p>
    <w:p w14:paraId="5A3471EB" w14:textId="21EB8B50" w:rsidR="00236558" w:rsidRDefault="00236558" w:rsidP="00DC7281">
      <w:pPr>
        <w:pStyle w:val="Bibliography"/>
        <w:numPr>
          <w:ilvl w:val="0"/>
          <w:numId w:val="13"/>
        </w:numPr>
        <w:spacing w:line="360" w:lineRule="auto"/>
        <w:jc w:val="both"/>
      </w:pPr>
      <w:r>
        <w:t xml:space="preserve">Modjarrad, K.; Roberts, C. C.; Mills, K. T.; Castellano, A. R.; Paolino, K.; Muthumani, K.; Reuschel, E. L.; Robb, M. L.; Racine, T.; Oh, M.; Lamarre, C.; Zaidi, F. I.; Boyer, J.; Kudchodkar, S. B.; Jeong, M.; Darden, J. M.; Park, Y. K.; Scott, P. T.; Remigio, C.; Parikh, A. P.; Wise, M. C.; Patel, A.; Duperret, E. K.; Kim, K. Y.; Choi, H.; White, S.; Bagarazzi, M.; May, J. M.; Kane, D.; Lee, H.; Kobinger, G.; Michael, N. L.; Weiner, D. B.; Thomas, S. J.; Maslow, J. N. Safety and Immunogenicity of an Anti-Middle East Respiratory Syndrome Coronavirus DNA Vaccine: A Phase 1, Open-Label, Single-Arm, Dose-Escalation Trial. </w:t>
      </w:r>
      <w:r>
        <w:rPr>
          <w:i/>
          <w:iCs/>
        </w:rPr>
        <w:t>Lancet Infect. Dis.</w:t>
      </w:r>
      <w:r>
        <w:t xml:space="preserve"> </w:t>
      </w:r>
      <w:r>
        <w:rPr>
          <w:b/>
          <w:bCs/>
        </w:rPr>
        <w:t>2019</w:t>
      </w:r>
      <w:r>
        <w:t xml:space="preserve">, </w:t>
      </w:r>
      <w:r>
        <w:rPr>
          <w:i/>
          <w:iCs/>
        </w:rPr>
        <w:t>19</w:t>
      </w:r>
      <w:r>
        <w:t xml:space="preserve"> (9), 1013–1022. https://doi.org/10.1016/S1473-3099(19)30266-X.</w:t>
      </w:r>
    </w:p>
    <w:p w14:paraId="29033A3C" w14:textId="59DDF9E6" w:rsidR="00236558" w:rsidRDefault="00236558" w:rsidP="00DC7281">
      <w:pPr>
        <w:pStyle w:val="Bibliography"/>
        <w:numPr>
          <w:ilvl w:val="0"/>
          <w:numId w:val="13"/>
        </w:numPr>
        <w:spacing w:line="360" w:lineRule="auto"/>
        <w:jc w:val="both"/>
      </w:pPr>
      <w:r>
        <w:t xml:space="preserve">Inovio Pharmaceuticals. </w:t>
      </w:r>
      <w:r>
        <w:rPr>
          <w:i/>
          <w:iCs/>
        </w:rPr>
        <w:t>Phase 1 Open-Label Study to Evaluate the Safety, Tolerability and Immunogenicity of INO-4800, a Prophylactic Vaccine Against SARS-CoV-2, Administered Intradermally Followed by Electroporation in Healthy Volunteers</w:t>
      </w:r>
      <w:r>
        <w:t>; Clinical trial registration NCT04336410; clinicaltrials.gov, 2020. https://clinicaltrials.gov/ct2/show/NCT04336410 (accessed 2020-12-20).</w:t>
      </w:r>
    </w:p>
    <w:p w14:paraId="7BDDDEEB" w14:textId="2189FA15" w:rsidR="00236558" w:rsidRDefault="00236558" w:rsidP="00DC7281">
      <w:pPr>
        <w:pStyle w:val="Bibliography"/>
        <w:numPr>
          <w:ilvl w:val="0"/>
          <w:numId w:val="13"/>
        </w:numPr>
        <w:spacing w:line="360" w:lineRule="auto"/>
        <w:jc w:val="both"/>
      </w:pPr>
      <w:r>
        <w:t xml:space="preserve">Inovio Pharmaceuticals. </w:t>
      </w:r>
      <w:r>
        <w:rPr>
          <w:i/>
          <w:iCs/>
        </w:rPr>
        <w:t xml:space="preserve">Phase 2/3 Randomized, Blinded, Placebo-Controlled Trial to Evaluate the Safety, Immunogenicity, and Efficacy of INO-4800, a Prophylactic Vaccine </w:t>
      </w:r>
      <w:r>
        <w:rPr>
          <w:i/>
          <w:iCs/>
        </w:rPr>
        <w:lastRenderedPageBreak/>
        <w:t>Against COVID-19 Disease, Administered Intradermally Followed by Electroporation in Healthy Seronegative Adults at High Risk of SARS-CoV-2 Exposure</w:t>
      </w:r>
      <w:r>
        <w:t>; Clinical trial registration NCT04642638; clinicaltrials.gov, 2020. https://clinicaltrials.gov/ct2/show/NCT04642638 (accessed 2021-01-04).</w:t>
      </w:r>
    </w:p>
    <w:p w14:paraId="09BDD662" w14:textId="26B855C9" w:rsidR="00236558" w:rsidRDefault="00236558" w:rsidP="00DC7281">
      <w:pPr>
        <w:pStyle w:val="Bibliography"/>
        <w:numPr>
          <w:ilvl w:val="0"/>
          <w:numId w:val="13"/>
        </w:numPr>
        <w:spacing w:line="360" w:lineRule="auto"/>
        <w:jc w:val="both"/>
      </w:pPr>
      <w:r>
        <w:rPr>
          <w:i/>
          <w:iCs/>
        </w:rPr>
        <w:t>Novavax Initiates Phase 1/2 Clinical Trial of COVID-19 Vaccine | Novavax Inc. - IR Site</w:t>
      </w:r>
      <w:r>
        <w:t>. https://ir.novavax.com/news-releases/news-release-details/novavax-initiates-phase-12-clinical-trial-covid-19-vaccine (accessed 2020-12-22).</w:t>
      </w:r>
    </w:p>
    <w:p w14:paraId="52D62E90" w14:textId="4BA0A563" w:rsidR="00236558" w:rsidRDefault="00236558" w:rsidP="00DC7281">
      <w:pPr>
        <w:pStyle w:val="Bibliography"/>
        <w:numPr>
          <w:ilvl w:val="0"/>
          <w:numId w:val="13"/>
        </w:numPr>
        <w:spacing w:line="360" w:lineRule="auto"/>
        <w:jc w:val="both"/>
      </w:pPr>
      <w:r>
        <w:t xml:space="preserve">Novavax. </w:t>
      </w:r>
      <w:r>
        <w:rPr>
          <w:i/>
          <w:iCs/>
        </w:rPr>
        <w:t>A Phase 3, Randomized, Observer-Blinded, Placebo-Controlled Study to Evaluate the Efficacy, Safety, and Immunogenicity of a SARS-CoV-2 Recombinant Spike Protein Nanoparticle Vaccine (SARS-CoV-2 RS) With Matrix-M1</w:t>
      </w:r>
      <w:r>
        <w:rPr>
          <w:i/>
          <w:iCs/>
          <w:vertAlign w:val="superscript"/>
        </w:rPr>
        <w:t>TM</w:t>
      </w:r>
      <w:r>
        <w:rPr>
          <w:i/>
          <w:iCs/>
        </w:rPr>
        <w:t xml:space="preserve"> Adjuvant in Adult Participants ≥ 18 Years</w:t>
      </w:r>
      <w:r>
        <w:t>; Clinical trial registration NCT04611802; clinicaltrials.gov, 2020. https://clinicaltrials.gov/ct2/show/NCT04611802 (accessed 2021-01-04).</w:t>
      </w:r>
    </w:p>
    <w:p w14:paraId="7DC536A8" w14:textId="7A1A8E63" w:rsidR="00236558" w:rsidRDefault="00236558" w:rsidP="00DC7281">
      <w:pPr>
        <w:pStyle w:val="Bibliography"/>
        <w:numPr>
          <w:ilvl w:val="0"/>
          <w:numId w:val="13"/>
        </w:numPr>
        <w:spacing w:line="360" w:lineRule="auto"/>
        <w:jc w:val="both"/>
      </w:pPr>
      <w:r>
        <w:t xml:space="preserve">Shenzhen Geno-Immune Medical Institute. </w:t>
      </w:r>
      <w:r>
        <w:rPr>
          <w:i/>
          <w:iCs/>
        </w:rPr>
        <w:t>Phase I/II Multicenter Trial of Lentiviral Minigene Vaccine (LV-SMENP) of Covid-19 Coronavirus</w:t>
      </w:r>
      <w:r>
        <w:t>; Clinical trial registration NCT04276896; clinicaltrials.gov, 2020. https://clinicaltrials.gov/ct2/show/NCT04276896 (accessed 2020-12-20).</w:t>
      </w:r>
    </w:p>
    <w:p w14:paraId="11CEBDE6" w14:textId="446F6A3D" w:rsidR="00236558" w:rsidRDefault="00236558" w:rsidP="00DC7281">
      <w:pPr>
        <w:pStyle w:val="Bibliography"/>
        <w:numPr>
          <w:ilvl w:val="0"/>
          <w:numId w:val="13"/>
        </w:numPr>
        <w:spacing w:line="360" w:lineRule="auto"/>
        <w:jc w:val="both"/>
      </w:pPr>
      <w:r>
        <w:t xml:space="preserve">Chang, L.-J. </w:t>
      </w:r>
      <w:r>
        <w:rPr>
          <w:i/>
          <w:iCs/>
        </w:rPr>
        <w:t>Safety and Immunity Evaluation of A Covid-19 Coronavirus Artificial Antigen Presenting Cell Vaccine</w:t>
      </w:r>
      <w:r>
        <w:t>; Clinical trial registration NCT04299724; clinicaltrials.gov, 2020. https://clinicaltrials.gov/ct2/show/NCT04299724 (accessed 2020-12-20).</w:t>
      </w:r>
    </w:p>
    <w:p w14:paraId="4357E590" w14:textId="6A673BDC" w:rsidR="00236558" w:rsidRDefault="00236558" w:rsidP="00DC7281">
      <w:pPr>
        <w:pStyle w:val="Bibliography"/>
        <w:numPr>
          <w:ilvl w:val="0"/>
          <w:numId w:val="13"/>
        </w:numPr>
        <w:spacing w:line="360" w:lineRule="auto"/>
        <w:jc w:val="both"/>
      </w:pPr>
      <w:r>
        <w:rPr>
          <w:i/>
          <w:iCs/>
        </w:rPr>
        <w:t>Our COVID-19 Response</w:t>
      </w:r>
      <w:r>
        <w:t>. IAVI. https://www.iavi.org/covid-19 (accessed 2020-12-22).</w:t>
      </w:r>
    </w:p>
    <w:p w14:paraId="1E0EAA51" w14:textId="5BE3C154" w:rsidR="00236558" w:rsidRDefault="00236558" w:rsidP="00DC7281">
      <w:pPr>
        <w:pStyle w:val="Bibliography"/>
        <w:numPr>
          <w:ilvl w:val="0"/>
          <w:numId w:val="13"/>
        </w:numPr>
        <w:spacing w:line="360" w:lineRule="auto"/>
        <w:jc w:val="both"/>
      </w:pPr>
      <w:r>
        <w:rPr>
          <w:i/>
          <w:iCs/>
        </w:rPr>
        <w:t>Participant Enrollment Begins for Phase I Trial of IAVI-Merck COVID-19 Vaccine Candidate</w:t>
      </w:r>
      <w:r>
        <w:t>. IAVI. https://www.iavi.org/news-resources/features/participant-enrollment-begins-for-phase-i-trial-of-iavi-merck-covid-19-vaccine-candidate (accessed 2021-01-06).</w:t>
      </w:r>
    </w:p>
    <w:p w14:paraId="33A8B992" w14:textId="3BA13DF9" w:rsidR="00236558" w:rsidRDefault="00236558" w:rsidP="00DC7281">
      <w:pPr>
        <w:pStyle w:val="Bibliography"/>
        <w:numPr>
          <w:ilvl w:val="0"/>
          <w:numId w:val="13"/>
        </w:numPr>
        <w:spacing w:line="360" w:lineRule="auto"/>
        <w:jc w:val="both"/>
      </w:pPr>
      <w:r>
        <w:t xml:space="preserve">BioNTech RNA Pharmaceuticals GmbH. </w:t>
      </w:r>
      <w:r>
        <w:rPr>
          <w:i/>
          <w:iCs/>
        </w:rPr>
        <w:t>A Multi-Site, Phase I/II, 2-Part, Dose-Escalation Trial Investigating the Safety and Immunogenicity of Four Prophylactic SARS-CoV-2 RNA Vaccines Against COVID-2019 Using Different Dosing Regimens in Healthy Adults</w:t>
      </w:r>
      <w:r>
        <w:t>; Clinical trial registration NCT04380701; clinicaltrials.gov, 2020. https://clinicaltrials.gov/ct2/show/NCT04380701 (accessed 2020-12-20).</w:t>
      </w:r>
    </w:p>
    <w:p w14:paraId="6AE3EF34" w14:textId="2861BC31" w:rsidR="00236558" w:rsidRDefault="00236558" w:rsidP="00DC7281">
      <w:pPr>
        <w:pStyle w:val="Bibliography"/>
        <w:numPr>
          <w:ilvl w:val="0"/>
          <w:numId w:val="13"/>
        </w:numPr>
        <w:spacing w:line="360" w:lineRule="auto"/>
        <w:jc w:val="both"/>
      </w:pPr>
      <w:r>
        <w:rPr>
          <w:i/>
          <w:iCs/>
        </w:rPr>
        <w:t>COVAXIN - India’s First Indigenous Covid-19 Vaccine | Bharat Biotech</w:t>
      </w:r>
      <w:r>
        <w:t>. https://www.bharatbiotech.com/covaxin.html (accessed 2020-12-22).</w:t>
      </w:r>
    </w:p>
    <w:p w14:paraId="455C7D93" w14:textId="7399C17B" w:rsidR="00236558" w:rsidRDefault="00236558" w:rsidP="00DC7281">
      <w:pPr>
        <w:pStyle w:val="Bibliography"/>
        <w:numPr>
          <w:ilvl w:val="0"/>
          <w:numId w:val="13"/>
        </w:numPr>
        <w:spacing w:line="360" w:lineRule="auto"/>
        <w:jc w:val="both"/>
      </w:pPr>
      <w:r>
        <w:t xml:space="preserve">Florindo, H. F.; Kleiner, R.; Vaskovich-Koubi, D.; Acúrcio, R. C.; Carreira, B.; Yeini, E.; Tiram, G.; Liubomirski, Y.; Satchi-Fainaro, R. Immune-Mediated Approaches against </w:t>
      </w:r>
      <w:r>
        <w:lastRenderedPageBreak/>
        <w:t xml:space="preserve">COVID-19. </w:t>
      </w:r>
      <w:r>
        <w:rPr>
          <w:i/>
          <w:iCs/>
        </w:rPr>
        <w:t>Nat. Nanotechnol.</w:t>
      </w:r>
      <w:r>
        <w:t xml:space="preserve"> </w:t>
      </w:r>
      <w:r>
        <w:rPr>
          <w:b/>
          <w:bCs/>
        </w:rPr>
        <w:t>2020</w:t>
      </w:r>
      <w:r>
        <w:t xml:space="preserve">, </w:t>
      </w:r>
      <w:r>
        <w:rPr>
          <w:i/>
          <w:iCs/>
        </w:rPr>
        <w:t>15</w:t>
      </w:r>
      <w:r>
        <w:t xml:space="preserve"> (8), 630–645. https://doi.org/10.1038/s41565-020-0732-3.</w:t>
      </w:r>
    </w:p>
    <w:p w14:paraId="084A4899" w14:textId="57A3E1BF" w:rsidR="00236558" w:rsidRDefault="00236558" w:rsidP="00DC7281">
      <w:pPr>
        <w:pStyle w:val="Bibliography"/>
        <w:numPr>
          <w:ilvl w:val="0"/>
          <w:numId w:val="13"/>
        </w:numPr>
        <w:spacing w:line="360" w:lineRule="auto"/>
        <w:jc w:val="both"/>
      </w:pPr>
      <w:r>
        <w:t xml:space="preserve">Vellingiri, B.; Jayaramayya, K.; Iyer, M.; Narayanasamy, A.; Govindasamy, V.; Giridharan, B.; Ganesan, S.; Venugopal, A.; Venkatesan, D.; Ganesan, H.; Rajagopalan, K.; Rahman, P. K. S. M.; Cho, S.-G.; Kumar, N. S.; Subramaniam, M. D. COVID-19: A Promising Cure for the Global Panic. </w:t>
      </w:r>
      <w:r>
        <w:rPr>
          <w:i/>
          <w:iCs/>
        </w:rPr>
        <w:t>Sci. Total Environ.</w:t>
      </w:r>
      <w:r>
        <w:t xml:space="preserve"> </w:t>
      </w:r>
      <w:r>
        <w:rPr>
          <w:b/>
          <w:bCs/>
        </w:rPr>
        <w:t>2020</w:t>
      </w:r>
      <w:r>
        <w:t xml:space="preserve">, </w:t>
      </w:r>
      <w:r>
        <w:rPr>
          <w:i/>
          <w:iCs/>
        </w:rPr>
        <w:t>725</w:t>
      </w:r>
      <w:r>
        <w:t>, 138277. https://doi.org/10.1016/j.scitotenv.2020.138277.</w:t>
      </w:r>
    </w:p>
    <w:p w14:paraId="24CFC10B" w14:textId="14278F81" w:rsidR="00236558" w:rsidRDefault="00236558" w:rsidP="00DC7281">
      <w:pPr>
        <w:pStyle w:val="Bibliography"/>
        <w:numPr>
          <w:ilvl w:val="0"/>
          <w:numId w:val="13"/>
        </w:numPr>
        <w:spacing w:line="360" w:lineRule="auto"/>
        <w:jc w:val="both"/>
      </w:pPr>
      <w:r>
        <w:t xml:space="preserve">Azkur, A. K.; Akdis, M.; Azkur, D.; Sokolowska, M.; Veen, W. van de; Brüggen, M.-C.; O’Mahony, L.; Gao, Y.; Nadeau, K.; Akdis, C. A. Immune Response to SARS-CoV-2 and Mechanisms of Immunopathological Changes in COVID-19. </w:t>
      </w:r>
      <w:r>
        <w:rPr>
          <w:i/>
          <w:iCs/>
        </w:rPr>
        <w:t>Allergy</w:t>
      </w:r>
      <w:r>
        <w:t xml:space="preserve"> </w:t>
      </w:r>
      <w:r>
        <w:rPr>
          <w:b/>
          <w:bCs/>
        </w:rPr>
        <w:t>2020</w:t>
      </w:r>
      <w:r>
        <w:t xml:space="preserve">, </w:t>
      </w:r>
      <w:r>
        <w:rPr>
          <w:i/>
          <w:iCs/>
        </w:rPr>
        <w:t>75</w:t>
      </w:r>
      <w:r>
        <w:t xml:space="preserve"> (7), 1564–1581. https://doi.org/10.1111/all.14364.</w:t>
      </w:r>
    </w:p>
    <w:p w14:paraId="512D83F5" w14:textId="1EBACD51" w:rsidR="00236558" w:rsidRDefault="00236558" w:rsidP="00DC7281">
      <w:pPr>
        <w:pStyle w:val="Bibliography"/>
        <w:numPr>
          <w:ilvl w:val="0"/>
          <w:numId w:val="13"/>
        </w:numPr>
        <w:spacing w:line="360" w:lineRule="auto"/>
        <w:jc w:val="both"/>
      </w:pPr>
      <w:r>
        <w:t xml:space="preserve">Wang, F.; Nie, J.; Wang, H.; Zhao, Q.; Xiong, Y.; Deng, L.; Song, S.; Ma, Z.; Mo, P.; Zhang, Y. Characteristics of Peripheral Lymphocyte Subset Alteration in COVID-19 Pneumonia. </w:t>
      </w:r>
      <w:r>
        <w:rPr>
          <w:i/>
          <w:iCs/>
        </w:rPr>
        <w:t>J. Infect. Dis.</w:t>
      </w:r>
      <w:r>
        <w:t xml:space="preserve"> </w:t>
      </w:r>
      <w:r>
        <w:rPr>
          <w:b/>
          <w:bCs/>
        </w:rPr>
        <w:t>2020</w:t>
      </w:r>
      <w:r>
        <w:t xml:space="preserve">, </w:t>
      </w:r>
      <w:r>
        <w:rPr>
          <w:i/>
          <w:iCs/>
        </w:rPr>
        <w:t>221</w:t>
      </w:r>
      <w:r>
        <w:t xml:space="preserve"> (11), 1762–1769. https://doi.org/10.1093/infdis/jiaa150.</w:t>
      </w:r>
    </w:p>
    <w:p w14:paraId="5A2C3A59" w14:textId="14068D2B" w:rsidR="00236558" w:rsidRDefault="00236558" w:rsidP="00DC7281">
      <w:pPr>
        <w:pStyle w:val="Bibliography"/>
        <w:numPr>
          <w:ilvl w:val="0"/>
          <w:numId w:val="13"/>
        </w:numPr>
        <w:spacing w:line="360" w:lineRule="auto"/>
        <w:jc w:val="both"/>
      </w:pPr>
      <w:r>
        <w:t xml:space="preserve">Su, R.; Li, Z.; Wang, Y.; Liu, Y.; Zheng, X.; Gao, C.; Li, X.; Wang, C. Imbalance between Th17 and Regulatory T Cells in Patients with Systemic Lupus Erythematosus Combined EBV/CMV Viraemia. </w:t>
      </w:r>
      <w:r>
        <w:rPr>
          <w:i/>
          <w:iCs/>
        </w:rPr>
        <w:t>Clin. Exp. Rheumatol.</w:t>
      </w:r>
      <w:r>
        <w:t xml:space="preserve"> </w:t>
      </w:r>
      <w:r>
        <w:rPr>
          <w:b/>
          <w:bCs/>
        </w:rPr>
        <w:t>2020</w:t>
      </w:r>
      <w:r>
        <w:t xml:space="preserve">, </w:t>
      </w:r>
      <w:r>
        <w:rPr>
          <w:i/>
          <w:iCs/>
        </w:rPr>
        <w:t>38</w:t>
      </w:r>
      <w:r>
        <w:t xml:space="preserve"> (5), 864–873.</w:t>
      </w:r>
    </w:p>
    <w:p w14:paraId="6DC75B32" w14:textId="2745D990" w:rsidR="00236558" w:rsidRDefault="00236558" w:rsidP="00DC7281">
      <w:pPr>
        <w:pStyle w:val="Bibliography"/>
        <w:numPr>
          <w:ilvl w:val="0"/>
          <w:numId w:val="13"/>
        </w:numPr>
        <w:spacing w:line="360" w:lineRule="auto"/>
        <w:jc w:val="both"/>
      </w:pPr>
      <w:r>
        <w:t xml:space="preserve">Chan, M. H. M.; Wong, V. W. S.; Wong, C. K.; Chan, P. K. S.; Chu, C. M.; Hui, D. S. C.; Suen, M. W. M.; Sung, J. J. Y.; Chung, S. S. C.; Lam, C. W. K. Serum LD1 Isoenzyme and Blood Lymphocyte Subsets as Prognostic Indicators for Severe Acute Respiratory Syndrome. </w:t>
      </w:r>
      <w:r>
        <w:rPr>
          <w:i/>
          <w:iCs/>
        </w:rPr>
        <w:t>J. Intern. Med.</w:t>
      </w:r>
      <w:r>
        <w:t xml:space="preserve"> </w:t>
      </w:r>
      <w:r>
        <w:rPr>
          <w:b/>
          <w:bCs/>
        </w:rPr>
        <w:t>2004</w:t>
      </w:r>
      <w:r>
        <w:t xml:space="preserve">, </w:t>
      </w:r>
      <w:r>
        <w:rPr>
          <w:i/>
          <w:iCs/>
        </w:rPr>
        <w:t>255</w:t>
      </w:r>
      <w:r>
        <w:t xml:space="preserve"> (4), 512–518. https://doi.org/10.1111/j.1365-2796.2004.01323.x.</w:t>
      </w:r>
    </w:p>
    <w:p w14:paraId="14027877" w14:textId="6E2B32DD" w:rsidR="00236558" w:rsidRDefault="00236558" w:rsidP="00DC7281">
      <w:pPr>
        <w:pStyle w:val="Bibliography"/>
        <w:numPr>
          <w:ilvl w:val="0"/>
          <w:numId w:val="13"/>
        </w:numPr>
        <w:spacing w:line="360" w:lineRule="auto"/>
        <w:jc w:val="both"/>
      </w:pPr>
      <w:r>
        <w:t xml:space="preserve">Qin, C.; Zhou, L.; Hu, Z.; Zhang, S.; Yang, S.; Tao, Y.; Xie, C.; Ma, K.; Shang, K.; Wang, W.; Tian, D.-S. Dysregulation of Immune Response in Patients With Coronavirus 2019 (COVID-19) in Wuhan, China. </w:t>
      </w:r>
      <w:r>
        <w:rPr>
          <w:i/>
          <w:iCs/>
        </w:rPr>
        <w:t>Clin. Infect. Dis. Off. Publ. Infect. Dis. Soc. Am.</w:t>
      </w:r>
      <w:r>
        <w:t xml:space="preserve"> </w:t>
      </w:r>
      <w:r>
        <w:rPr>
          <w:b/>
          <w:bCs/>
        </w:rPr>
        <w:t>2020</w:t>
      </w:r>
      <w:r>
        <w:t xml:space="preserve">, </w:t>
      </w:r>
      <w:r>
        <w:rPr>
          <w:i/>
          <w:iCs/>
        </w:rPr>
        <w:t>71</w:t>
      </w:r>
      <w:r>
        <w:t xml:space="preserve"> (15), 762–768. https://doi.org/10.1093/cid/ciaa248.</w:t>
      </w:r>
    </w:p>
    <w:p w14:paraId="3DD424E7" w14:textId="3BD88920" w:rsidR="00236558" w:rsidRDefault="00236558" w:rsidP="00DC7281">
      <w:pPr>
        <w:pStyle w:val="Bibliography"/>
        <w:numPr>
          <w:ilvl w:val="0"/>
          <w:numId w:val="13"/>
        </w:numPr>
        <w:spacing w:line="360" w:lineRule="auto"/>
        <w:jc w:val="both"/>
      </w:pPr>
      <w:r>
        <w:t xml:space="preserve">Baruah, V.; Bose, S. Immunoinformatics-Aided Identification of T Cell and B Cell Epitopes in the Surface Glycoprotein of 2019-NCoV. </w:t>
      </w:r>
      <w:r>
        <w:rPr>
          <w:i/>
          <w:iCs/>
        </w:rPr>
        <w:t>J. Med. Virol.</w:t>
      </w:r>
      <w:r>
        <w:t xml:space="preserve"> </w:t>
      </w:r>
      <w:r>
        <w:rPr>
          <w:b/>
          <w:bCs/>
        </w:rPr>
        <w:t>2020</w:t>
      </w:r>
      <w:r>
        <w:t xml:space="preserve">, </w:t>
      </w:r>
      <w:r>
        <w:rPr>
          <w:i/>
          <w:iCs/>
        </w:rPr>
        <w:t>92</w:t>
      </w:r>
      <w:r>
        <w:t xml:space="preserve"> (5), 495–500. https://doi.org/10.1002/jmv.25698.</w:t>
      </w:r>
    </w:p>
    <w:p w14:paraId="0E988A30" w14:textId="6FE51F79" w:rsidR="00236558" w:rsidRDefault="00236558" w:rsidP="00DC7281">
      <w:pPr>
        <w:pStyle w:val="Bibliography"/>
        <w:numPr>
          <w:ilvl w:val="0"/>
          <w:numId w:val="13"/>
        </w:numPr>
        <w:spacing w:line="360" w:lineRule="auto"/>
        <w:jc w:val="both"/>
      </w:pPr>
      <w:r>
        <w:t xml:space="preserve">Bhattacharya, M.; Sharma, A. R.; Patra, P.; Ghosh, P.; Sharma, G.; Patra, B. C.; Lee, S.-S.; Chakraborty, C. Development of Epitope-Based Peptide Vaccine against Novel Coronavirus 2019 (SARS-COV-2): Immunoinformatics Approach. </w:t>
      </w:r>
      <w:r>
        <w:rPr>
          <w:i/>
          <w:iCs/>
        </w:rPr>
        <w:t>J. Med. Virol.</w:t>
      </w:r>
      <w:r>
        <w:t xml:space="preserve"> </w:t>
      </w:r>
      <w:r>
        <w:rPr>
          <w:b/>
          <w:bCs/>
        </w:rPr>
        <w:t>2020</w:t>
      </w:r>
      <w:r>
        <w:t xml:space="preserve">, </w:t>
      </w:r>
      <w:r>
        <w:rPr>
          <w:i/>
          <w:iCs/>
        </w:rPr>
        <w:t>92</w:t>
      </w:r>
      <w:r>
        <w:t xml:space="preserve"> (6), 618–631. https://doi.org/10.1002/jmv.25736.</w:t>
      </w:r>
    </w:p>
    <w:p w14:paraId="0CFA05DE" w14:textId="0CDF4688" w:rsidR="00236558" w:rsidRDefault="00236558" w:rsidP="00DC7281">
      <w:pPr>
        <w:pStyle w:val="Bibliography"/>
        <w:numPr>
          <w:ilvl w:val="0"/>
          <w:numId w:val="13"/>
        </w:numPr>
        <w:spacing w:line="360" w:lineRule="auto"/>
        <w:jc w:val="both"/>
      </w:pPr>
      <w:r>
        <w:lastRenderedPageBreak/>
        <w:t xml:space="preserve">Prompetchara, E.; Ketloy, C.; Palaga, T. Immune Responses in COVID-19 and Potential Vaccines: Lessons Learned from SARS and MERS Epidemic. </w:t>
      </w:r>
      <w:r>
        <w:rPr>
          <w:i/>
          <w:iCs/>
        </w:rPr>
        <w:t>Asian Pac. J. Allergy Immunol.</w:t>
      </w:r>
      <w:r>
        <w:t xml:space="preserve"> </w:t>
      </w:r>
      <w:r>
        <w:rPr>
          <w:b/>
          <w:bCs/>
        </w:rPr>
        <w:t>2020</w:t>
      </w:r>
      <w:r>
        <w:t xml:space="preserve">, </w:t>
      </w:r>
      <w:r>
        <w:rPr>
          <w:i/>
          <w:iCs/>
        </w:rPr>
        <w:t>38</w:t>
      </w:r>
      <w:r>
        <w:t xml:space="preserve"> (1), 1–9. https://doi.org/10.12932/AP-200220-0772.</w:t>
      </w:r>
    </w:p>
    <w:p w14:paraId="6EBFD27D" w14:textId="4ED7A884" w:rsidR="00236558" w:rsidRDefault="00236558" w:rsidP="00DC7281">
      <w:pPr>
        <w:pStyle w:val="Bibliography"/>
        <w:numPr>
          <w:ilvl w:val="0"/>
          <w:numId w:val="13"/>
        </w:numPr>
        <w:spacing w:line="360" w:lineRule="auto"/>
        <w:jc w:val="both"/>
      </w:pPr>
      <w:r>
        <w:t xml:space="preserve">Kumar, S.; Nyodu, R.; Maurya, V. K.; Saxena, S. K. Host Immune Response and Immunobiology of Human SARS-CoV-2 Infection. In </w:t>
      </w:r>
      <w:r>
        <w:rPr>
          <w:i/>
          <w:iCs/>
        </w:rPr>
        <w:t>Coronavirus Disease 2019 (COVID-19): Epidemiology, Pathogenesis, Diagnosis, and Therapeutics</w:t>
      </w:r>
      <w:r>
        <w:t>; Saxena, S. K., Ed.; Medical Virology: From Pathogenesis to Disease Control; Springer: Singapore, 2020; pp 43–53. https://doi.org/10.1007/978-981-15-4814-7_5.</w:t>
      </w:r>
    </w:p>
    <w:p w14:paraId="4FFAF221" w14:textId="5B99D56C" w:rsidR="00236558" w:rsidRDefault="00236558" w:rsidP="00DC7281">
      <w:pPr>
        <w:pStyle w:val="Bibliography"/>
        <w:numPr>
          <w:ilvl w:val="0"/>
          <w:numId w:val="13"/>
        </w:numPr>
        <w:spacing w:line="360" w:lineRule="auto"/>
        <w:jc w:val="both"/>
      </w:pPr>
      <w:r>
        <w:t xml:space="preserve">Jansen, J. M.; Gerlach, T.; Elbahesh, H.; Rimmelzwaan, G. F.; Saletti, G. Influenza Virus-Specific CD4+ and CD8+ T Cell-Mediated Immunity Induced by Infection and Vaccination. </w:t>
      </w:r>
      <w:r>
        <w:rPr>
          <w:i/>
          <w:iCs/>
        </w:rPr>
        <w:t>J. Clin. Virol. Off. Publ. Pan Am. Soc. Clin. Virol.</w:t>
      </w:r>
      <w:r>
        <w:t xml:space="preserve"> </w:t>
      </w:r>
      <w:r>
        <w:rPr>
          <w:b/>
          <w:bCs/>
        </w:rPr>
        <w:t>2019</w:t>
      </w:r>
      <w:r>
        <w:t xml:space="preserve">, </w:t>
      </w:r>
      <w:r>
        <w:rPr>
          <w:i/>
          <w:iCs/>
        </w:rPr>
        <w:t>119</w:t>
      </w:r>
      <w:r>
        <w:t>, 44–52. https://doi.org/10.1016/j.jcv.2019.08.009.</w:t>
      </w:r>
    </w:p>
    <w:p w14:paraId="6927CB68" w14:textId="7C004E88" w:rsidR="00236558" w:rsidRDefault="00236558" w:rsidP="00DC7281">
      <w:pPr>
        <w:pStyle w:val="Bibliography"/>
        <w:numPr>
          <w:ilvl w:val="0"/>
          <w:numId w:val="13"/>
        </w:numPr>
        <w:spacing w:line="360" w:lineRule="auto"/>
        <w:jc w:val="both"/>
      </w:pPr>
      <w:r>
        <w:t xml:space="preserve">Yaqinuddin, A. Cross-Immunity between Respiratory Coronaviruses May Limit COVID-19 Fatalities. </w:t>
      </w:r>
      <w:r>
        <w:rPr>
          <w:i/>
          <w:iCs/>
        </w:rPr>
        <w:t>Med. Hypotheses</w:t>
      </w:r>
      <w:r>
        <w:t xml:space="preserve"> </w:t>
      </w:r>
      <w:r>
        <w:rPr>
          <w:b/>
          <w:bCs/>
        </w:rPr>
        <w:t>2020</w:t>
      </w:r>
      <w:r>
        <w:t xml:space="preserve">, </w:t>
      </w:r>
      <w:r>
        <w:rPr>
          <w:i/>
          <w:iCs/>
        </w:rPr>
        <w:t>144</w:t>
      </w:r>
      <w:r>
        <w:t>, 110049. https://doi.org/10.1016/j.mehy.2020.110049.</w:t>
      </w:r>
    </w:p>
    <w:p w14:paraId="36B33271" w14:textId="59EFBBDF" w:rsidR="00236558" w:rsidRDefault="00236558" w:rsidP="00DC7281">
      <w:pPr>
        <w:pStyle w:val="Bibliography"/>
        <w:numPr>
          <w:ilvl w:val="0"/>
          <w:numId w:val="13"/>
        </w:numPr>
        <w:spacing w:line="360" w:lineRule="auto"/>
        <w:jc w:val="both"/>
      </w:pPr>
      <w:r>
        <w:rPr>
          <w:i/>
          <w:iCs/>
        </w:rPr>
        <w:t>Immune responses and immunity to SARS-CoV-2</w:t>
      </w:r>
      <w:r>
        <w:t>. European Centre for Disease Prevention and Control. https://www.ecdc.europa.eu/en/covid-19/latest-evidence/immune-responses (accessed 2020-12-22).</w:t>
      </w:r>
    </w:p>
    <w:p w14:paraId="13A2F4D7" w14:textId="761A71DB" w:rsidR="00236558" w:rsidRDefault="00236558" w:rsidP="00DC7281">
      <w:pPr>
        <w:pStyle w:val="Bibliography"/>
        <w:numPr>
          <w:ilvl w:val="0"/>
          <w:numId w:val="13"/>
        </w:numPr>
        <w:spacing w:line="360" w:lineRule="auto"/>
        <w:jc w:val="both"/>
      </w:pPr>
      <w:r>
        <w:t xml:space="preserve">Diao, B.; Wang, C.; Tan, Y.; Chen, X.; Liu, Y.; Ning, L.; Chen, L.; Li, M.; Liu, Y.; Wang, G.; Yuan, Z.; Feng, Z.; Zhang, Y.; Wu, Y.; Chen, Y. Reduction and Functional Exhaustion of T Cells in Patients With Coronavirus Disease 2019 (COVID-19). </w:t>
      </w:r>
      <w:r>
        <w:rPr>
          <w:i/>
          <w:iCs/>
        </w:rPr>
        <w:t>Front. Immunol.</w:t>
      </w:r>
      <w:r>
        <w:t xml:space="preserve"> </w:t>
      </w:r>
      <w:r>
        <w:rPr>
          <w:b/>
          <w:bCs/>
        </w:rPr>
        <w:t>2020</w:t>
      </w:r>
      <w:r>
        <w:t xml:space="preserve">, </w:t>
      </w:r>
      <w:r>
        <w:rPr>
          <w:i/>
          <w:iCs/>
        </w:rPr>
        <w:t>11</w:t>
      </w:r>
      <w:r>
        <w:t>. https://doi.org/10.3389/fimmu.2020.00827.</w:t>
      </w:r>
    </w:p>
    <w:p w14:paraId="6D97A323" w14:textId="48EA82E8" w:rsidR="00236558" w:rsidRDefault="00236558" w:rsidP="00DC7281">
      <w:pPr>
        <w:pStyle w:val="Bibliography"/>
        <w:numPr>
          <w:ilvl w:val="0"/>
          <w:numId w:val="13"/>
        </w:numPr>
        <w:spacing w:line="360" w:lineRule="auto"/>
        <w:jc w:val="both"/>
      </w:pPr>
      <w:r>
        <w:t xml:space="preserve">Shurin, M. R.; Morris, A.; Wells, A.; Wheeler, S. E. Assessing Immune Response to SARS-CoV-2 Infection. </w:t>
      </w:r>
      <w:r>
        <w:rPr>
          <w:i/>
          <w:iCs/>
        </w:rPr>
        <w:t>ImmunoTargets Ther.</w:t>
      </w:r>
      <w:r>
        <w:t xml:space="preserve"> </w:t>
      </w:r>
      <w:r>
        <w:rPr>
          <w:b/>
          <w:bCs/>
        </w:rPr>
        <w:t>2020</w:t>
      </w:r>
      <w:r>
        <w:t xml:space="preserve">, </w:t>
      </w:r>
      <w:r>
        <w:rPr>
          <w:i/>
          <w:iCs/>
        </w:rPr>
        <w:t>9</w:t>
      </w:r>
      <w:r>
        <w:t>, 111–114. https://doi.org/10.2147/ITT.S264138.</w:t>
      </w:r>
    </w:p>
    <w:p w14:paraId="6D5A570B" w14:textId="30911030" w:rsidR="00236558" w:rsidRDefault="00236558" w:rsidP="00DC7281">
      <w:pPr>
        <w:pStyle w:val="Bibliography"/>
        <w:numPr>
          <w:ilvl w:val="0"/>
          <w:numId w:val="13"/>
        </w:numPr>
        <w:spacing w:line="360" w:lineRule="auto"/>
        <w:jc w:val="both"/>
      </w:pPr>
      <w:r>
        <w:t xml:space="preserve">Schmidt, M. E.; Varga, S. M. The CD8 T Cell Response to Respiratory Virus Infections. </w:t>
      </w:r>
      <w:r>
        <w:rPr>
          <w:i/>
          <w:iCs/>
        </w:rPr>
        <w:t>Front. Immunol.</w:t>
      </w:r>
      <w:r>
        <w:t xml:space="preserve"> </w:t>
      </w:r>
      <w:r>
        <w:rPr>
          <w:b/>
          <w:bCs/>
        </w:rPr>
        <w:t>2018</w:t>
      </w:r>
      <w:r>
        <w:t xml:space="preserve">, </w:t>
      </w:r>
      <w:r>
        <w:rPr>
          <w:i/>
          <w:iCs/>
        </w:rPr>
        <w:t>9</w:t>
      </w:r>
      <w:r>
        <w:t>. https://doi.org/10.3389/fimmu.2018.00678.</w:t>
      </w:r>
    </w:p>
    <w:p w14:paraId="3DCA3F67" w14:textId="45439721" w:rsidR="00236558" w:rsidRDefault="00236558" w:rsidP="00DC7281">
      <w:pPr>
        <w:pStyle w:val="Bibliography"/>
        <w:numPr>
          <w:ilvl w:val="0"/>
          <w:numId w:val="13"/>
        </w:numPr>
        <w:spacing w:line="360" w:lineRule="auto"/>
        <w:jc w:val="both"/>
      </w:pPr>
      <w:r>
        <w:t xml:space="preserve">Grifoni, A.; Weiskopf, D.; Ramirez, S. I.; Mateus, J.; Dan, J. M.; Moderbacher, C. R.; Rawlings, S. A.; Sutherland, A.; Premkumar, L.; Jadi, R. S.; Marrama, D.; de Silva, A. M.; Frazier, A.; Carlin, A. F.; Greenbaum, J. A.; Peters, B.; Krammer, F.; Smith, D. M.; Crotty, S.; Sette, A. Targets of T Cell Responses to SARS-CoV-2 Coronavirus in Humans with COVID-19 Disease and Unexposed Individuals. </w:t>
      </w:r>
      <w:r>
        <w:rPr>
          <w:i/>
          <w:iCs/>
        </w:rPr>
        <w:t>Cell</w:t>
      </w:r>
      <w:r>
        <w:t xml:space="preserve"> </w:t>
      </w:r>
      <w:r>
        <w:rPr>
          <w:b/>
          <w:bCs/>
        </w:rPr>
        <w:t>2020</w:t>
      </w:r>
      <w:r>
        <w:t xml:space="preserve">, </w:t>
      </w:r>
      <w:r>
        <w:rPr>
          <w:i/>
          <w:iCs/>
        </w:rPr>
        <w:t>181</w:t>
      </w:r>
      <w:r>
        <w:t xml:space="preserve"> (7), 1489-1501.e15. https://doi.org/10.1016/j.cell.2020.05.015.</w:t>
      </w:r>
    </w:p>
    <w:p w14:paraId="12EF1662" w14:textId="6E11EDE7" w:rsidR="00236558" w:rsidRDefault="00236558" w:rsidP="00DC7281">
      <w:pPr>
        <w:pStyle w:val="Bibliography"/>
        <w:numPr>
          <w:ilvl w:val="0"/>
          <w:numId w:val="13"/>
        </w:numPr>
        <w:spacing w:line="360" w:lineRule="auto"/>
        <w:jc w:val="both"/>
      </w:pPr>
      <w:r>
        <w:lastRenderedPageBreak/>
        <w:t xml:space="preserve">Mathew, D.; Giles, J. R.; Baxter, A. E.; Oldridge, D. A.; Greenplate, A. R.; Wu, J. E.; Alanio, C.; Kuri-Cervantes, L.; Pampena, M. B.; D’Andrea, K.; Manne, S.; Chen, Z.; Huang, Y. J.; Reilly, J. P.; Weisman, A. R.; Ittner, C. A. G.; Kuthuru, O.; Dougherty, J.; Nzingha, K.; Han, N.; Kim, J.; Pattekar, A.; Goodwin, E. C.; Anderson, E. M.; Weirick, M. E.; Gouma, S.; Arevalo, C. P.; Bolton, M. J.; Chen, F.; Lacey, S. F.; Ramage, H.; Cherry, S.; Hensley, S. E.; Apostolidis, S. A.; Huang, A. C.; Vella, L. A.; UPenn COVID Processing Unit; Betts, M. R.; Meyer, N. J.; Wherry, E. J. Deep Immune Profiling of COVID-19 Patients Reveals Distinct Immunotypes with Therapeutic Implications. </w:t>
      </w:r>
      <w:r>
        <w:rPr>
          <w:i/>
          <w:iCs/>
        </w:rPr>
        <w:t>Science</w:t>
      </w:r>
      <w:r>
        <w:t xml:space="preserve"> </w:t>
      </w:r>
      <w:r>
        <w:rPr>
          <w:b/>
          <w:bCs/>
        </w:rPr>
        <w:t>2020</w:t>
      </w:r>
      <w:r>
        <w:t xml:space="preserve">, </w:t>
      </w:r>
      <w:r>
        <w:rPr>
          <w:i/>
          <w:iCs/>
        </w:rPr>
        <w:t>369</w:t>
      </w:r>
      <w:r>
        <w:t xml:space="preserve"> (6508). https://doi.org/10.1126/science.abc8511.</w:t>
      </w:r>
    </w:p>
    <w:p w14:paraId="793A5769" w14:textId="43BE42F1" w:rsidR="00236558" w:rsidRDefault="00236558" w:rsidP="00DC7281">
      <w:pPr>
        <w:pStyle w:val="Bibliography"/>
        <w:numPr>
          <w:ilvl w:val="0"/>
          <w:numId w:val="13"/>
        </w:numPr>
        <w:spacing w:line="360" w:lineRule="auto"/>
        <w:jc w:val="both"/>
      </w:pPr>
      <w:r>
        <w:t xml:space="preserve">van de Veen, W.; Akdis, M. Tolerance Mechanisms of Allergen Immunotherapy. </w:t>
      </w:r>
      <w:r>
        <w:rPr>
          <w:i/>
          <w:iCs/>
        </w:rPr>
        <w:t>Allergy</w:t>
      </w:r>
      <w:r>
        <w:t xml:space="preserve"> </w:t>
      </w:r>
      <w:r>
        <w:rPr>
          <w:b/>
          <w:bCs/>
        </w:rPr>
        <w:t>2020</w:t>
      </w:r>
      <w:r>
        <w:t xml:space="preserve">, </w:t>
      </w:r>
      <w:r>
        <w:rPr>
          <w:i/>
          <w:iCs/>
        </w:rPr>
        <w:t>75</w:t>
      </w:r>
      <w:r>
        <w:t xml:space="preserve"> (5), 1017–1018. https://doi.org/10.1111/all.14126.</w:t>
      </w:r>
    </w:p>
    <w:p w14:paraId="4E383E9F" w14:textId="1A215DE1" w:rsidR="00236558" w:rsidRDefault="00236558" w:rsidP="00DC7281">
      <w:pPr>
        <w:pStyle w:val="Bibliography"/>
        <w:numPr>
          <w:ilvl w:val="0"/>
          <w:numId w:val="13"/>
        </w:numPr>
        <w:spacing w:line="360" w:lineRule="auto"/>
        <w:jc w:val="both"/>
      </w:pPr>
      <w:r>
        <w:t xml:space="preserve">Long, Q.-X.; Liu, B.-Z.; Deng, H.-J.; Wu, G.-C.; Deng, K.; Chen, Y.-K.; Liao, P.; Qiu, J.-F.; Lin, Y.; Cai, X.-F.; Wang, D.-Q.; Hu, Y.; Ren, J.-H.; Tang, N.; Xu, Y.-Y.; Yu, L.-H.; Mo, Z.; Gong, F.; Zhang, X.-L.; Tian, W.-G.; Hu, L.; Zhang, X.-X.; Xiang, J.-L.; Du, H.-X.; Liu, H.-W.; Lang, C.-H.; Luo, X.-H.; Wu, S.-B.; Cui, X.-P.; Zhou, Z.; Zhu, M.-M.; Wang, J.; Xue, C.-J.; Li, X.-F.; Wang, L.; Li, Z.-J.; Wang, K.; Niu, C.-C.; Yang, Q.-J.; Tang, X.-J.; Zhang, Y.; Liu, X.-M.; Li, J.-J.; Zhang, D.-C.; Zhang, F.; Liu, P.; Yuan, J.; Li, Q.; Hu, J.-L.; Chen, J.; Huang, A.-L. Antibody Responses to SARS-CoV-2 in Patients with COVID-19. </w:t>
      </w:r>
      <w:r>
        <w:rPr>
          <w:i/>
          <w:iCs/>
        </w:rPr>
        <w:t>Nat. Med.</w:t>
      </w:r>
      <w:r>
        <w:t xml:space="preserve"> </w:t>
      </w:r>
      <w:r>
        <w:rPr>
          <w:b/>
          <w:bCs/>
        </w:rPr>
        <w:t>2020</w:t>
      </w:r>
      <w:r>
        <w:t xml:space="preserve">, </w:t>
      </w:r>
      <w:r>
        <w:rPr>
          <w:i/>
          <w:iCs/>
        </w:rPr>
        <w:t>26</w:t>
      </w:r>
      <w:r>
        <w:t xml:space="preserve"> (6), 845–848. https://doi.org/10.1038/s41591-020-0897-1.</w:t>
      </w:r>
    </w:p>
    <w:p w14:paraId="5EC72DC1" w14:textId="667DAB04" w:rsidR="00236558" w:rsidRDefault="00236558" w:rsidP="00DC7281">
      <w:pPr>
        <w:pStyle w:val="Bibliography"/>
        <w:numPr>
          <w:ilvl w:val="0"/>
          <w:numId w:val="13"/>
        </w:numPr>
        <w:spacing w:line="360" w:lineRule="auto"/>
        <w:jc w:val="both"/>
      </w:pPr>
      <w:r>
        <w:t xml:space="preserve">Lee, Y.-L.; Liao, C.-H.; Liu, P.-Y.; Cheng, C.-Y.; Chung, M.-Y.; Liu, C.-E.; Chang, S.-Y.; Hsueh, P.-R. Dynamics of Anti-SARS-Cov-2 IgM and IgG Antibodies among COVID-19 Patients. </w:t>
      </w:r>
      <w:r>
        <w:rPr>
          <w:i/>
          <w:iCs/>
        </w:rPr>
        <w:t>J. Infect.</w:t>
      </w:r>
      <w:r>
        <w:t xml:space="preserve"> </w:t>
      </w:r>
      <w:r>
        <w:rPr>
          <w:b/>
          <w:bCs/>
        </w:rPr>
        <w:t>2020</w:t>
      </w:r>
      <w:r>
        <w:t xml:space="preserve">, </w:t>
      </w:r>
      <w:r>
        <w:rPr>
          <w:i/>
          <w:iCs/>
        </w:rPr>
        <w:t>81</w:t>
      </w:r>
      <w:r>
        <w:t xml:space="preserve"> (2), e55–e58. https://doi.org/10.1016/j.jinf.2020.04.019.</w:t>
      </w:r>
    </w:p>
    <w:p w14:paraId="1A3336B5" w14:textId="483EB629" w:rsidR="00236558" w:rsidRDefault="00236558" w:rsidP="00DC7281">
      <w:pPr>
        <w:pStyle w:val="Bibliography"/>
        <w:numPr>
          <w:ilvl w:val="0"/>
          <w:numId w:val="13"/>
        </w:numPr>
        <w:spacing w:line="360" w:lineRule="auto"/>
        <w:jc w:val="both"/>
      </w:pPr>
      <w:r>
        <w:t xml:space="preserve">Wen, J.; Cheng, Y.; Ling, R.; Dai, Y.; Huang, B.; Huang, W.; Zhang, S.; Jiang, Y. Antibody-Dependent Enhancement of Coronavirus. </w:t>
      </w:r>
      <w:r>
        <w:rPr>
          <w:i/>
          <w:iCs/>
        </w:rPr>
        <w:t>Int. J. Infect. Dis. IJID Off. Publ. Int. Soc. Infect. Dis.</w:t>
      </w:r>
      <w:r>
        <w:t xml:space="preserve"> </w:t>
      </w:r>
      <w:r>
        <w:rPr>
          <w:b/>
          <w:bCs/>
        </w:rPr>
        <w:t>2020</w:t>
      </w:r>
      <w:r>
        <w:t xml:space="preserve">, </w:t>
      </w:r>
      <w:r>
        <w:rPr>
          <w:i/>
          <w:iCs/>
        </w:rPr>
        <w:t>100</w:t>
      </w:r>
      <w:r>
        <w:t>, 483–489. https://doi.org/10.1016/j.ijid.2020.09.015.</w:t>
      </w:r>
    </w:p>
    <w:p w14:paraId="39C67F51" w14:textId="09082328" w:rsidR="00236558" w:rsidRDefault="00236558" w:rsidP="00DC7281">
      <w:pPr>
        <w:pStyle w:val="Bibliography"/>
        <w:numPr>
          <w:ilvl w:val="0"/>
          <w:numId w:val="13"/>
        </w:numPr>
        <w:spacing w:line="360" w:lineRule="auto"/>
        <w:jc w:val="both"/>
      </w:pPr>
      <w:r>
        <w:t xml:space="preserve">Taylor, A.; Foo, S.-S.; Bruzzone, R.; Dinh, L. V.; King, N. J. C.; Mahalingam, S. Fc Receptors in Antibody-Dependent Enhancement of Viral Infections. </w:t>
      </w:r>
      <w:r>
        <w:rPr>
          <w:i/>
          <w:iCs/>
        </w:rPr>
        <w:t>Immunol. Rev.</w:t>
      </w:r>
      <w:r>
        <w:t xml:space="preserve"> </w:t>
      </w:r>
      <w:r>
        <w:rPr>
          <w:b/>
          <w:bCs/>
        </w:rPr>
        <w:t>2015</w:t>
      </w:r>
      <w:r>
        <w:t xml:space="preserve">, </w:t>
      </w:r>
      <w:r>
        <w:rPr>
          <w:i/>
          <w:iCs/>
        </w:rPr>
        <w:t>268</w:t>
      </w:r>
      <w:r>
        <w:t xml:space="preserve"> (1), 340–364. https://doi.org/10.1111/imr.12367.</w:t>
      </w:r>
    </w:p>
    <w:p w14:paraId="0F0F1DCC" w14:textId="606F55EA" w:rsidR="00236558" w:rsidRDefault="00236558" w:rsidP="00DC7281">
      <w:pPr>
        <w:pStyle w:val="Bibliography"/>
        <w:numPr>
          <w:ilvl w:val="0"/>
          <w:numId w:val="13"/>
        </w:numPr>
        <w:spacing w:line="360" w:lineRule="auto"/>
        <w:jc w:val="both"/>
      </w:pPr>
      <w:r>
        <w:t xml:space="preserve">Wang, Q.; Zhang, L.; Kuwahara, K.; Li, L.; Liu, Z.; Li, T.; Zhu, H.; Liu, J.; Xu, Y.; Xie, J.; Morioka, H.; Sakaguchi, N.; Qin, C.; Liu, G. Immunodominant SARS Coronavirus Epitopes in Humans Elicited Both Enhancing and Neutralizing Effects on Infection in Non-Human Primates. </w:t>
      </w:r>
      <w:r>
        <w:rPr>
          <w:i/>
          <w:iCs/>
        </w:rPr>
        <w:t>ACS Infect. Dis.</w:t>
      </w:r>
      <w:r>
        <w:t xml:space="preserve"> </w:t>
      </w:r>
      <w:r>
        <w:rPr>
          <w:b/>
          <w:bCs/>
        </w:rPr>
        <w:t>2016</w:t>
      </w:r>
      <w:r>
        <w:t xml:space="preserve">, </w:t>
      </w:r>
      <w:r>
        <w:rPr>
          <w:i/>
          <w:iCs/>
        </w:rPr>
        <w:t>2</w:t>
      </w:r>
      <w:r>
        <w:t xml:space="preserve"> (5), 361–376. https://doi.org/10.1021/acsinfecdis.6b00006.</w:t>
      </w:r>
    </w:p>
    <w:p w14:paraId="51F6C6A4" w14:textId="3174CD79" w:rsidR="00236558" w:rsidRDefault="00236558" w:rsidP="00DC7281">
      <w:pPr>
        <w:pStyle w:val="Bibliography"/>
        <w:numPr>
          <w:ilvl w:val="0"/>
          <w:numId w:val="13"/>
        </w:numPr>
        <w:spacing w:line="360" w:lineRule="auto"/>
        <w:jc w:val="both"/>
      </w:pPr>
      <w:r>
        <w:lastRenderedPageBreak/>
        <w:t xml:space="preserve">Lee, W. S.; Wheatley, A. K.; Kent, S. J.; DeKosky, B. J. Antibody-Dependent Enhancement and SARS-CoV-2 Vaccines and Therapies. </w:t>
      </w:r>
      <w:r>
        <w:rPr>
          <w:i/>
          <w:iCs/>
        </w:rPr>
        <w:t>Nat. Microbiol.</w:t>
      </w:r>
      <w:r>
        <w:t xml:space="preserve"> </w:t>
      </w:r>
      <w:r>
        <w:rPr>
          <w:b/>
          <w:bCs/>
        </w:rPr>
        <w:t>2020</w:t>
      </w:r>
      <w:r>
        <w:t xml:space="preserve">, </w:t>
      </w:r>
      <w:r>
        <w:rPr>
          <w:i/>
          <w:iCs/>
        </w:rPr>
        <w:t>5</w:t>
      </w:r>
      <w:r>
        <w:t xml:space="preserve"> (10), 1185–1191. https://doi.org/10.1038/s41564-020-00789-5.</w:t>
      </w:r>
    </w:p>
    <w:p w14:paraId="032F6FE0" w14:textId="3E164AF3" w:rsidR="00236558" w:rsidRDefault="00236558" w:rsidP="00DC7281">
      <w:pPr>
        <w:pStyle w:val="Bibliography"/>
        <w:numPr>
          <w:ilvl w:val="0"/>
          <w:numId w:val="13"/>
        </w:numPr>
        <w:spacing w:line="360" w:lineRule="auto"/>
        <w:jc w:val="both"/>
      </w:pPr>
      <w:r>
        <w:t xml:space="preserve">Graham, B. S. Vaccines against Respiratory Syncytial Virus: The Time Has Finally Come. </w:t>
      </w:r>
      <w:r>
        <w:rPr>
          <w:i/>
          <w:iCs/>
        </w:rPr>
        <w:t>Vaccine</w:t>
      </w:r>
      <w:r>
        <w:t xml:space="preserve"> </w:t>
      </w:r>
      <w:r>
        <w:rPr>
          <w:b/>
          <w:bCs/>
        </w:rPr>
        <w:t>2016</w:t>
      </w:r>
      <w:r>
        <w:t xml:space="preserve">, </w:t>
      </w:r>
      <w:r>
        <w:rPr>
          <w:i/>
          <w:iCs/>
        </w:rPr>
        <w:t>34</w:t>
      </w:r>
      <w:r>
        <w:t xml:space="preserve"> (30), 3535–3541. https://doi.org/10.1016/j.vaccine.2016.04.083.</w:t>
      </w:r>
    </w:p>
    <w:p w14:paraId="4DE3A63D" w14:textId="232A1D13" w:rsidR="00236558" w:rsidRDefault="00236558" w:rsidP="00DC7281">
      <w:pPr>
        <w:pStyle w:val="Bibliography"/>
        <w:numPr>
          <w:ilvl w:val="0"/>
          <w:numId w:val="13"/>
        </w:numPr>
        <w:spacing w:line="360" w:lineRule="auto"/>
        <w:jc w:val="both"/>
      </w:pPr>
      <w:r>
        <w:t xml:space="preserve">Kim, H. W.; Canchola, J. G.; Brandt, C. D.; Pyles, G.; Chanock, R. M.; Jensen, K.; Parrott, R. H. Respiratory Syncytial Virus Disease in Infants despite Prior Administration of Antigenic Inactivated Vaccine. </w:t>
      </w:r>
      <w:r>
        <w:rPr>
          <w:i/>
          <w:iCs/>
        </w:rPr>
        <w:t>Am. J. Epidemiol.</w:t>
      </w:r>
      <w:r>
        <w:t xml:space="preserve"> </w:t>
      </w:r>
      <w:r>
        <w:rPr>
          <w:b/>
          <w:bCs/>
        </w:rPr>
        <w:t>1969</w:t>
      </w:r>
      <w:r>
        <w:t xml:space="preserve">, </w:t>
      </w:r>
      <w:r>
        <w:rPr>
          <w:i/>
          <w:iCs/>
        </w:rPr>
        <w:t>89</w:t>
      </w:r>
      <w:r>
        <w:t xml:space="preserve"> (4), 422–434. https://doi.org/10.1093/oxfordjournals.aje.a120955.</w:t>
      </w:r>
    </w:p>
    <w:p w14:paraId="316D3F0A" w14:textId="7BEDAFD0" w:rsidR="00236558" w:rsidRDefault="00236558" w:rsidP="00DC7281">
      <w:pPr>
        <w:pStyle w:val="Bibliography"/>
        <w:numPr>
          <w:ilvl w:val="0"/>
          <w:numId w:val="13"/>
        </w:numPr>
        <w:spacing w:line="360" w:lineRule="auto"/>
        <w:jc w:val="both"/>
      </w:pPr>
      <w:r>
        <w:t xml:space="preserve">Nader, P. R.; Horwitz, M. S.; Rousseau, J. Atypical Exanthem Following Exposure to Natural Measles. Eleven Cases in Children Previously Inoculated with Killed Vaccine. </w:t>
      </w:r>
      <w:r>
        <w:rPr>
          <w:i/>
          <w:iCs/>
        </w:rPr>
        <w:t>J. Pediatr.</w:t>
      </w:r>
      <w:r>
        <w:t xml:space="preserve"> </w:t>
      </w:r>
      <w:r>
        <w:rPr>
          <w:b/>
          <w:bCs/>
        </w:rPr>
        <w:t>1968</w:t>
      </w:r>
      <w:r>
        <w:t xml:space="preserve">, </w:t>
      </w:r>
      <w:r>
        <w:rPr>
          <w:i/>
          <w:iCs/>
        </w:rPr>
        <w:t>72</w:t>
      </w:r>
      <w:r>
        <w:t xml:space="preserve"> (1), 22–28.</w:t>
      </w:r>
    </w:p>
    <w:p w14:paraId="47183B0C" w14:textId="759BD629" w:rsidR="00236558" w:rsidRDefault="00236558" w:rsidP="00DC7281">
      <w:pPr>
        <w:pStyle w:val="Bibliography"/>
        <w:numPr>
          <w:ilvl w:val="0"/>
          <w:numId w:val="13"/>
        </w:numPr>
        <w:spacing w:line="360" w:lineRule="auto"/>
        <w:jc w:val="both"/>
      </w:pPr>
      <w:r>
        <w:t xml:space="preserve">Polack, F. P. Atypical Measles and Enhanced Respiratory Syncytial Virus Disease (ERD) Made Simple. </w:t>
      </w:r>
      <w:r>
        <w:rPr>
          <w:i/>
          <w:iCs/>
        </w:rPr>
        <w:t>Pediatr. Res.</w:t>
      </w:r>
      <w:r>
        <w:t xml:space="preserve"> </w:t>
      </w:r>
      <w:r>
        <w:rPr>
          <w:b/>
          <w:bCs/>
        </w:rPr>
        <w:t>2007</w:t>
      </w:r>
      <w:r>
        <w:t xml:space="preserve">, </w:t>
      </w:r>
      <w:r>
        <w:rPr>
          <w:i/>
          <w:iCs/>
        </w:rPr>
        <w:t>62</w:t>
      </w:r>
      <w:r>
        <w:t xml:space="preserve"> (1), 111–115. https://doi.org/10.1203/PDR.0b013e3180686ce0.</w:t>
      </w:r>
    </w:p>
    <w:p w14:paraId="079E2217" w14:textId="2270F795" w:rsidR="00236558" w:rsidRDefault="00236558" w:rsidP="00DC7281">
      <w:pPr>
        <w:pStyle w:val="Bibliography"/>
        <w:numPr>
          <w:ilvl w:val="0"/>
          <w:numId w:val="13"/>
        </w:numPr>
        <w:spacing w:line="360" w:lineRule="auto"/>
        <w:jc w:val="both"/>
      </w:pPr>
      <w:r>
        <w:t xml:space="preserve">Dejnirattisai, W.; Jumnainsong, A.; Onsirisakul, N.; Fitton, P.; Vasanawathana, S.; Limpitikul, W.; Puttikhunt, C.; Edwards, C.; Duangchinda, T.; Supasa, S.; Chawansuntati, K.; Malasit, P.; Mongkolsapaya, J.; Screaton, G. Cross-Reacting Antibodies Enhance Dengue Virus Infection in Humans. </w:t>
      </w:r>
      <w:r>
        <w:rPr>
          <w:i/>
          <w:iCs/>
        </w:rPr>
        <w:t>Science</w:t>
      </w:r>
      <w:r>
        <w:t xml:space="preserve"> </w:t>
      </w:r>
      <w:r>
        <w:rPr>
          <w:b/>
          <w:bCs/>
        </w:rPr>
        <w:t>2010</w:t>
      </w:r>
      <w:r>
        <w:t xml:space="preserve">, </w:t>
      </w:r>
      <w:r>
        <w:rPr>
          <w:i/>
          <w:iCs/>
        </w:rPr>
        <w:t>328</w:t>
      </w:r>
      <w:r>
        <w:t xml:space="preserve"> (5979), 745–748. https://doi.org/10.1126/science.1185181.</w:t>
      </w:r>
    </w:p>
    <w:p w14:paraId="588E80F4" w14:textId="0E3DB834" w:rsidR="00236558" w:rsidRDefault="00236558" w:rsidP="00DC7281">
      <w:pPr>
        <w:pStyle w:val="Bibliography"/>
        <w:numPr>
          <w:ilvl w:val="0"/>
          <w:numId w:val="13"/>
        </w:numPr>
        <w:spacing w:line="360" w:lineRule="auto"/>
        <w:jc w:val="both"/>
      </w:pPr>
      <w:r>
        <w:t xml:space="preserve">Sridhar, S.; Luedtke, A.; Langevin, E.; Zhu, M.; Bonaparte, M.; Machabert, T.; Savarino, S.; Zambrano, B.; Moureau, A.; Khromava, A.; Moodie, Z.; Westling, T.; Mascareñas, C.; Frago, C.; Cortés, M.; Chansinghakul, D.; Noriega, F.; Bouckenooghe, A.; Chen, J.; Ng, S.-P.; Gilbert, P. B.; Gurunathan, S.; DiazGranados, C. A. Effect of Dengue Serostatus on Dengue Vaccine Safety and Efficacy. </w:t>
      </w:r>
      <w:r>
        <w:rPr>
          <w:i/>
          <w:iCs/>
        </w:rPr>
        <w:t>N. Engl. J. Med.</w:t>
      </w:r>
      <w:r>
        <w:t xml:space="preserve"> </w:t>
      </w:r>
      <w:r>
        <w:rPr>
          <w:b/>
          <w:bCs/>
        </w:rPr>
        <w:t>2018</w:t>
      </w:r>
      <w:r>
        <w:t xml:space="preserve">, </w:t>
      </w:r>
      <w:r>
        <w:rPr>
          <w:i/>
          <w:iCs/>
        </w:rPr>
        <w:t>379</w:t>
      </w:r>
      <w:r>
        <w:t xml:space="preserve"> (4), 327–340. https://doi.org/10.1056/NEJMoa1800820.</w:t>
      </w:r>
    </w:p>
    <w:p w14:paraId="6DF5FE1C" w14:textId="4ADF94CC" w:rsidR="00236558" w:rsidRDefault="00236558" w:rsidP="00DC7281">
      <w:pPr>
        <w:pStyle w:val="Bibliography"/>
        <w:numPr>
          <w:ilvl w:val="0"/>
          <w:numId w:val="13"/>
        </w:numPr>
        <w:spacing w:line="360" w:lineRule="auto"/>
        <w:jc w:val="both"/>
      </w:pPr>
      <w:r>
        <w:t xml:space="preserve">Hohdatsu, T.; Yamada, M.; Tominaga, R.; Makino, K.; Kida, K.; Koyama, H. Antibody-Dependent Enhancement of Feline Infectious Peritonitis Virus Infection in Feline Alveolar Macrophages and Human Monocyte Cell Line U937 by Serum of Cats Experimentally or Naturally Infected with Feline Coronavirus. </w:t>
      </w:r>
      <w:r>
        <w:rPr>
          <w:i/>
          <w:iCs/>
        </w:rPr>
        <w:t>J. Vet. Med. Sci.</w:t>
      </w:r>
      <w:r>
        <w:t xml:space="preserve"> </w:t>
      </w:r>
      <w:r>
        <w:rPr>
          <w:b/>
          <w:bCs/>
        </w:rPr>
        <w:t>1998</w:t>
      </w:r>
      <w:r>
        <w:t xml:space="preserve">, </w:t>
      </w:r>
      <w:r>
        <w:rPr>
          <w:i/>
          <w:iCs/>
        </w:rPr>
        <w:t>60</w:t>
      </w:r>
      <w:r>
        <w:t xml:space="preserve"> (1), 49–55. https://doi.org/10.1292/jvms.60.49.</w:t>
      </w:r>
    </w:p>
    <w:p w14:paraId="1122607A" w14:textId="6F760A87" w:rsidR="00236558" w:rsidRDefault="00236558" w:rsidP="00DC7281">
      <w:pPr>
        <w:pStyle w:val="Bibliography"/>
        <w:numPr>
          <w:ilvl w:val="0"/>
          <w:numId w:val="13"/>
        </w:numPr>
        <w:spacing w:line="360" w:lineRule="auto"/>
        <w:jc w:val="both"/>
      </w:pPr>
      <w:r>
        <w:t xml:space="preserve">Ho, M.-S.; Chen, W.-J.; Chen, H.-Y.; Lin, S.-F.; Wang, M.-C.; Di, J.; Lu, Y.-T.; Liu, C.-L.; Chang, S.-C.; Chao, C.-L.; King, C.-C.; Chiou, J.-M.; Su, I.-J.; Yang, J.-Y. </w:t>
      </w:r>
      <w:r>
        <w:lastRenderedPageBreak/>
        <w:t xml:space="preserve">Neutralizing Antibody Response and SARS Severity. </w:t>
      </w:r>
      <w:r>
        <w:rPr>
          <w:i/>
          <w:iCs/>
        </w:rPr>
        <w:t>Emerg. Infect. Dis.</w:t>
      </w:r>
      <w:r>
        <w:t xml:space="preserve"> </w:t>
      </w:r>
      <w:r>
        <w:rPr>
          <w:b/>
          <w:bCs/>
        </w:rPr>
        <w:t>2005</w:t>
      </w:r>
      <w:r>
        <w:t xml:space="preserve">, </w:t>
      </w:r>
      <w:r>
        <w:rPr>
          <w:i/>
          <w:iCs/>
        </w:rPr>
        <w:t>11</w:t>
      </w:r>
      <w:r>
        <w:t xml:space="preserve"> (11), 1730–1737. https://doi.org/10.3201/eid1111.040659.</w:t>
      </w:r>
    </w:p>
    <w:p w14:paraId="6EDBD5CD" w14:textId="72770CC4" w:rsidR="00236558" w:rsidRDefault="00236558" w:rsidP="00DC7281">
      <w:pPr>
        <w:pStyle w:val="Bibliography"/>
        <w:numPr>
          <w:ilvl w:val="0"/>
          <w:numId w:val="13"/>
        </w:numPr>
        <w:spacing w:line="360" w:lineRule="auto"/>
        <w:jc w:val="both"/>
      </w:pPr>
      <w:r>
        <w:t xml:space="preserve">Zhao, J.; Yuan, Q.; Wang, H.; Liu, W.; Liao, X.; Su, Y.; Wang, X.; Yuan, J.; Li, T.; Li, J.; Qian, S.; Hong, C.; Wang, F.; Liu, Y.; Wang, Z.; He, Q.; Li, Z.; He, B.; Zhang, T.; Fu, Y.; Ge, S.; Liu, L.; Zhang, J.; Xia, N.; Zhang, Z. Antibody Responses to SARS-CoV-2 in Patients With Novel Coronavirus Disease 2019. </w:t>
      </w:r>
      <w:r>
        <w:rPr>
          <w:i/>
          <w:iCs/>
        </w:rPr>
        <w:t>Clin. Infect. Dis. Off. Publ. Infect. Dis. Soc. Am.</w:t>
      </w:r>
      <w:r>
        <w:t xml:space="preserve"> </w:t>
      </w:r>
      <w:r>
        <w:rPr>
          <w:b/>
          <w:bCs/>
        </w:rPr>
        <w:t>2020</w:t>
      </w:r>
      <w:r>
        <w:t xml:space="preserve">, </w:t>
      </w:r>
      <w:r>
        <w:rPr>
          <w:i/>
          <w:iCs/>
        </w:rPr>
        <w:t>71</w:t>
      </w:r>
      <w:r>
        <w:t xml:space="preserve"> (16), 2027–2034. https://doi.org/10.1093/cid/ciaa344.</w:t>
      </w:r>
    </w:p>
    <w:p w14:paraId="02A5FD22" w14:textId="19C55D72" w:rsidR="00236558" w:rsidRDefault="00236558" w:rsidP="00DC7281">
      <w:pPr>
        <w:pStyle w:val="Bibliography"/>
        <w:numPr>
          <w:ilvl w:val="0"/>
          <w:numId w:val="13"/>
        </w:numPr>
        <w:spacing w:line="360" w:lineRule="auto"/>
        <w:jc w:val="both"/>
      </w:pPr>
      <w:r>
        <w:t xml:space="preserve">Liu, Y.; Yan, L.-M.; Wan, L.; Xiang, T.-X.; Le, A.; Liu, J.-M.; Peiris, M.; Poon, L. L. M.; Zhang, W. Viral Dynamics in Mild and Severe Cases of COVID-19. </w:t>
      </w:r>
      <w:r>
        <w:rPr>
          <w:i/>
          <w:iCs/>
        </w:rPr>
        <w:t>Lancet Infect. Dis.</w:t>
      </w:r>
      <w:r>
        <w:t xml:space="preserve"> </w:t>
      </w:r>
      <w:r>
        <w:rPr>
          <w:b/>
          <w:bCs/>
        </w:rPr>
        <w:t>2020</w:t>
      </w:r>
      <w:r>
        <w:t xml:space="preserve">, </w:t>
      </w:r>
      <w:r>
        <w:rPr>
          <w:i/>
          <w:iCs/>
        </w:rPr>
        <w:t>20</w:t>
      </w:r>
      <w:r>
        <w:t xml:space="preserve"> (6), 656–657. https://doi.org/10.1016/S1473-3099(20)30232-2.</w:t>
      </w:r>
    </w:p>
    <w:p w14:paraId="34ECA4F2" w14:textId="3F251D8A" w:rsidR="00236558" w:rsidRDefault="00236558" w:rsidP="00DC7281">
      <w:pPr>
        <w:pStyle w:val="Bibliography"/>
        <w:numPr>
          <w:ilvl w:val="0"/>
          <w:numId w:val="13"/>
        </w:numPr>
        <w:spacing w:line="360" w:lineRule="auto"/>
        <w:jc w:val="both"/>
      </w:pPr>
      <w:r>
        <w:t xml:space="preserve">Zheng, S.; Fan, J.; Yu, F.; Feng, B.; Lou, B.; Zou, Q.; Xie, G.; Lin, S.; Wang, R.; Yang, X.; Chen, W.; Wang, Q.; Zhang, D.; Liu, Y.; Gong, R.; Ma, Z.; Lu, S.; Xiao, Y.; Gu, Y.; Zhang, J.; Yao, H.; Xu, K.; Lu, X.; Wei, G.; Zhou, J.; Fang, Q.; Cai, H.; Qiu, Y.; Sheng, J.; Chen, Y.; Liang, T. Viral Load Dynamics and Disease Severity in Patients Infected with SARS-CoV-2 in Zhejiang Province, China, January-March 2020: Retrospective Cohort Study. </w:t>
      </w:r>
      <w:r>
        <w:rPr>
          <w:i/>
          <w:iCs/>
        </w:rPr>
        <w:t>BMJ</w:t>
      </w:r>
      <w:r>
        <w:t xml:space="preserve"> </w:t>
      </w:r>
      <w:r>
        <w:rPr>
          <w:b/>
          <w:bCs/>
        </w:rPr>
        <w:t>2020</w:t>
      </w:r>
      <w:r>
        <w:t xml:space="preserve">, </w:t>
      </w:r>
      <w:r>
        <w:rPr>
          <w:i/>
          <w:iCs/>
        </w:rPr>
        <w:t>369</w:t>
      </w:r>
      <w:r>
        <w:t>, m1443. https://doi.org/10.1136/bmj.m1443.</w:t>
      </w:r>
    </w:p>
    <w:p w14:paraId="7580961B" w14:textId="0BE25C10" w:rsidR="00236558" w:rsidRDefault="00236558" w:rsidP="00DC7281">
      <w:pPr>
        <w:pStyle w:val="Bibliography"/>
        <w:numPr>
          <w:ilvl w:val="0"/>
          <w:numId w:val="13"/>
        </w:numPr>
        <w:spacing w:line="360" w:lineRule="auto"/>
        <w:jc w:val="both"/>
      </w:pPr>
      <w:r>
        <w:t xml:space="preserve">Long, Q.-X.; Tang, X.-J.; Shi, Q.-L.; Li, Q.; Deng, H.-J.; Yuan, J.; Hu, J.-L.; Xu, W.; Zhang, Y.; Lv, F.-J.; Su, K.; Zhang, F.; Gong, J.; Wu, B.; Liu, X.-M.; Li, J.-J.; Qiu, J.-F.; Chen, J.; Huang, A.-L. Clinical and Immunological Assessment of Asymptomatic SARS-CoV-2 Infections. </w:t>
      </w:r>
      <w:r>
        <w:rPr>
          <w:i/>
          <w:iCs/>
        </w:rPr>
        <w:t>Nat. Med.</w:t>
      </w:r>
      <w:r>
        <w:t xml:space="preserve"> </w:t>
      </w:r>
      <w:r>
        <w:rPr>
          <w:b/>
          <w:bCs/>
        </w:rPr>
        <w:t>2020</w:t>
      </w:r>
      <w:r>
        <w:t xml:space="preserve">, </w:t>
      </w:r>
      <w:r>
        <w:rPr>
          <w:i/>
          <w:iCs/>
        </w:rPr>
        <w:t>26</w:t>
      </w:r>
      <w:r>
        <w:t xml:space="preserve"> (8), 1200–1204. https://doi.org/10.1038/s41591-020-0965-6.</w:t>
      </w:r>
    </w:p>
    <w:p w14:paraId="610B7182" w14:textId="60083759" w:rsidR="00236558" w:rsidRDefault="00236558" w:rsidP="00DC7281">
      <w:pPr>
        <w:pStyle w:val="Bibliography"/>
        <w:numPr>
          <w:ilvl w:val="0"/>
          <w:numId w:val="13"/>
        </w:numPr>
        <w:spacing w:line="360" w:lineRule="auto"/>
        <w:jc w:val="both"/>
      </w:pPr>
      <w:r>
        <w:t xml:space="preserve">Sekine, T.; Perez-Potti, A.; Rivera-Ballesteros, O.; Strålin, K.; Gorin, J.-B.; Olsson, A.; Llewellyn-Lacey, S.; Kamal, H.; Bogdanovic, G.; Muschiol, S.; Wullimann, D. J.; Kammann, T.; Emgård, J.; Parrot, T.; Folkesson, E.; Karolinska COVID-19 Study Group; Rooyackers, O.; Eriksson, L. I.; Henter, J.-I.; Sönnerborg, A.; Allander, T.; Albert, J.; Nielsen, M.; Klingström, J.; Gredmark-Russ, S.; Björkström, N. K.; Sandberg, J. K.; Price, D. A.; Ljunggren, H.-G.; Aleman, S.; Buggert, M. Robust T Cell Immunity in Convalescent Individuals with Asymptomatic or Mild COVID-19. </w:t>
      </w:r>
      <w:r>
        <w:rPr>
          <w:i/>
          <w:iCs/>
        </w:rPr>
        <w:t>Cell</w:t>
      </w:r>
      <w:r>
        <w:t xml:space="preserve"> </w:t>
      </w:r>
      <w:r>
        <w:rPr>
          <w:b/>
          <w:bCs/>
        </w:rPr>
        <w:t>2020</w:t>
      </w:r>
      <w:r>
        <w:t xml:space="preserve">, </w:t>
      </w:r>
      <w:r>
        <w:rPr>
          <w:i/>
          <w:iCs/>
        </w:rPr>
        <w:t>183</w:t>
      </w:r>
      <w:r>
        <w:t xml:space="preserve"> (1), 158-168.e14. https://doi.org/10.1016/j.cell.2020.08.017.</w:t>
      </w:r>
    </w:p>
    <w:p w14:paraId="0F0E710E" w14:textId="2AC216B6" w:rsidR="00236558" w:rsidRDefault="00236558" w:rsidP="00DC7281">
      <w:pPr>
        <w:pStyle w:val="Bibliography"/>
        <w:numPr>
          <w:ilvl w:val="0"/>
          <w:numId w:val="13"/>
        </w:numPr>
        <w:spacing w:line="360" w:lineRule="auto"/>
        <w:jc w:val="both"/>
      </w:pPr>
      <w:r>
        <w:t xml:space="preserve">Tetro, J. A. Is COVID-19 Receiving ADE from Other Coronaviruses? </w:t>
      </w:r>
      <w:r>
        <w:rPr>
          <w:i/>
          <w:iCs/>
        </w:rPr>
        <w:t>Microbes Infect.</w:t>
      </w:r>
      <w:r>
        <w:t xml:space="preserve"> </w:t>
      </w:r>
      <w:r>
        <w:rPr>
          <w:b/>
          <w:bCs/>
        </w:rPr>
        <w:t>2020</w:t>
      </w:r>
      <w:r>
        <w:t xml:space="preserve">, </w:t>
      </w:r>
      <w:r>
        <w:rPr>
          <w:i/>
          <w:iCs/>
        </w:rPr>
        <w:t>22</w:t>
      </w:r>
      <w:r>
        <w:t xml:space="preserve"> (2), 72–73. https://doi.org/10.1016/j.micinf.2020.02.006.</w:t>
      </w:r>
    </w:p>
    <w:p w14:paraId="3813DDFC" w14:textId="36572845" w:rsidR="00236558" w:rsidRDefault="00236558" w:rsidP="00DC7281">
      <w:pPr>
        <w:pStyle w:val="Bibliography"/>
        <w:numPr>
          <w:ilvl w:val="0"/>
          <w:numId w:val="13"/>
        </w:numPr>
        <w:spacing w:line="360" w:lineRule="auto"/>
        <w:jc w:val="both"/>
      </w:pPr>
      <w:r>
        <w:t xml:space="preserve">Khan, S.; Nakajima, R.; Jain, A.; de Assis, R. R.; Jasinskas, A.; Obiero, J. M.; Adenaiye, O.; Tai, S.; Hong, F.; Milton, D. K.; Davies, H.; Felgner, P. L. Analysis of Serologic Cross-Reactivity Between Common Human Coronaviruses and SARS-CoV-2 </w:t>
      </w:r>
      <w:r>
        <w:lastRenderedPageBreak/>
        <w:t xml:space="preserve">Using Coronavirus Antigen Microarray. </w:t>
      </w:r>
      <w:r>
        <w:rPr>
          <w:i/>
          <w:iCs/>
        </w:rPr>
        <w:t>bioRxiv</w:t>
      </w:r>
      <w:r>
        <w:t xml:space="preserve"> </w:t>
      </w:r>
      <w:r>
        <w:rPr>
          <w:b/>
          <w:bCs/>
        </w:rPr>
        <w:t>2020</w:t>
      </w:r>
      <w:r>
        <w:t>, 2020.03.24.006544. https://doi.org/10.1101/2020.03.24.006544.</w:t>
      </w:r>
    </w:p>
    <w:p w14:paraId="6D37D35A" w14:textId="788A6890" w:rsidR="00236558" w:rsidRDefault="00236558" w:rsidP="00DC7281">
      <w:pPr>
        <w:pStyle w:val="Bibliography"/>
        <w:numPr>
          <w:ilvl w:val="0"/>
          <w:numId w:val="13"/>
        </w:numPr>
        <w:spacing w:line="360" w:lineRule="auto"/>
        <w:jc w:val="both"/>
      </w:pPr>
      <w:r>
        <w:t xml:space="preserve">Wan, Y.; Shang, J.; Sun, S.; Tai, W.; Chen, J.; Geng, Q.; He, L.; Chen, Y.; Wu, J.; Shi, Z.; Zhou, Y.; Du, L.; Li, F. Molecular Mechanism for Antibody-Dependent Enhancement of Coronavirus Entry. </w:t>
      </w:r>
      <w:r>
        <w:rPr>
          <w:i/>
          <w:iCs/>
        </w:rPr>
        <w:t>J. Virol.</w:t>
      </w:r>
      <w:r>
        <w:t xml:space="preserve"> </w:t>
      </w:r>
      <w:r>
        <w:rPr>
          <w:b/>
          <w:bCs/>
        </w:rPr>
        <w:t>2020</w:t>
      </w:r>
      <w:r>
        <w:t xml:space="preserve">, </w:t>
      </w:r>
      <w:r>
        <w:rPr>
          <w:i/>
          <w:iCs/>
        </w:rPr>
        <w:t>94</w:t>
      </w:r>
      <w:r>
        <w:t xml:space="preserve"> (5), e02015-19. https://doi.org/10.1128/JVI.02015-19.</w:t>
      </w:r>
    </w:p>
    <w:p w14:paraId="11B4167D" w14:textId="70A68C6F" w:rsidR="00236558" w:rsidRDefault="00236558" w:rsidP="00DC7281">
      <w:pPr>
        <w:pStyle w:val="Bibliography"/>
        <w:numPr>
          <w:ilvl w:val="0"/>
          <w:numId w:val="13"/>
        </w:numPr>
        <w:spacing w:line="360" w:lineRule="auto"/>
        <w:jc w:val="both"/>
      </w:pPr>
      <w:r>
        <w:t xml:space="preserve">Guzman, M. G.; Alvarez, M.; Rodriguez-Roche, R.; Bernardo, L.; Montes, T.; Vazquez, S.; Morier, L.; Alvarez, A.; Gould, E. A.; Kourí, G.; Halstead, S. B. Neutralizing Antibodies after Infection with Dengue 1 Virus. </w:t>
      </w:r>
      <w:r>
        <w:rPr>
          <w:i/>
          <w:iCs/>
        </w:rPr>
        <w:t>Emerg. Infect. Dis.</w:t>
      </w:r>
      <w:r>
        <w:t xml:space="preserve"> </w:t>
      </w:r>
      <w:r>
        <w:rPr>
          <w:b/>
          <w:bCs/>
        </w:rPr>
        <w:t>2007</w:t>
      </w:r>
      <w:r>
        <w:t xml:space="preserve">, </w:t>
      </w:r>
      <w:r>
        <w:rPr>
          <w:i/>
          <w:iCs/>
        </w:rPr>
        <w:t>13</w:t>
      </w:r>
      <w:r>
        <w:t xml:space="preserve"> (2), 282–286. https://doi.org/10.3201/eid1302.060539.</w:t>
      </w:r>
    </w:p>
    <w:p w14:paraId="44CF7760" w14:textId="54ABE4A4" w:rsidR="00236558" w:rsidRDefault="00236558" w:rsidP="00DC7281">
      <w:pPr>
        <w:pStyle w:val="Bibliography"/>
        <w:numPr>
          <w:ilvl w:val="0"/>
          <w:numId w:val="13"/>
        </w:numPr>
        <w:spacing w:line="360" w:lineRule="auto"/>
        <w:jc w:val="both"/>
      </w:pPr>
      <w:r>
        <w:t xml:space="preserve">Katzelnick, L. C.; Gresh, L.; Halloran, M. E.; Mercado, J. C.; Kuan, G.; Gordon, A.; Balmaseda, A.; Harris, E. Antibody-Dependent Enhancement of Severe Dengue Disease in Humans. </w:t>
      </w:r>
      <w:r>
        <w:rPr>
          <w:i/>
          <w:iCs/>
        </w:rPr>
        <w:t>Science</w:t>
      </w:r>
      <w:r>
        <w:t xml:space="preserve"> </w:t>
      </w:r>
      <w:r>
        <w:rPr>
          <w:b/>
          <w:bCs/>
        </w:rPr>
        <w:t>2017</w:t>
      </w:r>
      <w:r>
        <w:t xml:space="preserve">, </w:t>
      </w:r>
      <w:r>
        <w:rPr>
          <w:i/>
          <w:iCs/>
        </w:rPr>
        <w:t>358</w:t>
      </w:r>
      <w:r>
        <w:t xml:space="preserve"> (6365), 929–932. https://doi.org/10.1126/science.aan6836.</w:t>
      </w:r>
    </w:p>
    <w:p w14:paraId="66238007" w14:textId="4798D81E" w:rsidR="00236558" w:rsidRDefault="00236558" w:rsidP="00DC7281">
      <w:pPr>
        <w:pStyle w:val="Bibliography"/>
        <w:numPr>
          <w:ilvl w:val="0"/>
          <w:numId w:val="13"/>
        </w:numPr>
        <w:spacing w:line="360" w:lineRule="auto"/>
        <w:jc w:val="both"/>
      </w:pPr>
      <w:r>
        <w:t xml:space="preserve">Yeh, C.-S.; Yang, J.-Y.; Liu, W.-T.; Huang, J. C.; Chen, Y.-M. A.; Wang, S.-F. SARS Coronavirus Has Antibody-Dependent Enhancement (ADE) Effect through the Autologous Antibodies against Envelope Spikes on Fcγ Receptor Expressing Cells. </w:t>
      </w:r>
      <w:r>
        <w:rPr>
          <w:i/>
          <w:iCs/>
        </w:rPr>
        <w:t>J. Virus Erad.</w:t>
      </w:r>
      <w:r>
        <w:t xml:space="preserve"> </w:t>
      </w:r>
      <w:r>
        <w:rPr>
          <w:b/>
          <w:bCs/>
        </w:rPr>
        <w:t>2016</w:t>
      </w:r>
      <w:r>
        <w:t xml:space="preserve">, </w:t>
      </w:r>
      <w:r>
        <w:rPr>
          <w:i/>
          <w:iCs/>
        </w:rPr>
        <w:t>2</w:t>
      </w:r>
      <w:r>
        <w:t>, 48. https://doi.org/10.1016/S2055-6640(20)31216-4.</w:t>
      </w:r>
    </w:p>
    <w:p w14:paraId="7AF38ACB" w14:textId="23B2C6D7" w:rsidR="00236558" w:rsidRDefault="00236558" w:rsidP="00DC7281">
      <w:pPr>
        <w:pStyle w:val="Bibliography"/>
        <w:numPr>
          <w:ilvl w:val="0"/>
          <w:numId w:val="13"/>
        </w:numPr>
        <w:spacing w:line="360" w:lineRule="auto"/>
        <w:jc w:val="both"/>
      </w:pPr>
      <w:r>
        <w:t xml:space="preserve">Tillett, R. L.; Sevinsky, J. R.; Hartley, P. D.; Kerwin, H.; Crawford, N.; Gorzalski, A.; Laverdure, C.; Verma, S. C.; Rossetto, C. C.; Jackson, D.; Farrell, M. J.; Hooser, S. V.; Pandori, M. Genomic Evidence for Reinfection with SARS-CoV-2: A Case Study. </w:t>
      </w:r>
      <w:r>
        <w:rPr>
          <w:i/>
          <w:iCs/>
        </w:rPr>
        <w:t>Lancet Infect. Dis.</w:t>
      </w:r>
      <w:r>
        <w:t xml:space="preserve"> </w:t>
      </w:r>
      <w:r>
        <w:rPr>
          <w:b/>
          <w:bCs/>
        </w:rPr>
        <w:t>2021</w:t>
      </w:r>
      <w:r>
        <w:t xml:space="preserve">, </w:t>
      </w:r>
      <w:r>
        <w:rPr>
          <w:i/>
          <w:iCs/>
        </w:rPr>
        <w:t>21</w:t>
      </w:r>
      <w:r>
        <w:t xml:space="preserve"> (1), 52–58. https://doi.org/10.1016/S1473-3099(20)30764-7.</w:t>
      </w:r>
    </w:p>
    <w:p w14:paraId="6C20906B" w14:textId="10B9FD4A" w:rsidR="00236558" w:rsidRDefault="00236558" w:rsidP="00DC7281">
      <w:pPr>
        <w:pStyle w:val="Bibliography"/>
        <w:numPr>
          <w:ilvl w:val="0"/>
          <w:numId w:val="13"/>
        </w:numPr>
        <w:spacing w:line="360" w:lineRule="auto"/>
        <w:jc w:val="both"/>
      </w:pPr>
      <w:r>
        <w:t xml:space="preserve">Halstead, S. B.; O’Rourke, E. J. Dengue Viruses and Mononuclear Phagocytes. I. Infection Enhancement by Non-Neutralizing Antibody. </w:t>
      </w:r>
      <w:r>
        <w:rPr>
          <w:i/>
          <w:iCs/>
        </w:rPr>
        <w:t>J. Exp. Med.</w:t>
      </w:r>
      <w:r>
        <w:t xml:space="preserve"> </w:t>
      </w:r>
      <w:r>
        <w:rPr>
          <w:b/>
          <w:bCs/>
        </w:rPr>
        <w:t>1977</w:t>
      </w:r>
      <w:r>
        <w:t xml:space="preserve">, </w:t>
      </w:r>
      <w:r>
        <w:rPr>
          <w:i/>
          <w:iCs/>
        </w:rPr>
        <w:t>146</w:t>
      </w:r>
      <w:r>
        <w:t xml:space="preserve"> (1), 201–217. https://doi.org/10.1084/jem.146.1.201.</w:t>
      </w:r>
    </w:p>
    <w:p w14:paraId="385150AF" w14:textId="34573849" w:rsidR="00236558" w:rsidRDefault="00236558" w:rsidP="00DC7281">
      <w:pPr>
        <w:pStyle w:val="Bibliography"/>
        <w:numPr>
          <w:ilvl w:val="0"/>
          <w:numId w:val="13"/>
        </w:numPr>
        <w:spacing w:line="360" w:lineRule="auto"/>
        <w:jc w:val="both"/>
      </w:pPr>
      <w:r>
        <w:t xml:space="preserve">Vennema, H.; de Groot, R. J.; Harbour, D. A.; Dalderup, M.; Gruffydd-Jones, T.; Horzinek, M. C.; Spaan, W. J. Early Death after Feline Infectious Peritonitis Virus Challenge Due to Recombinant Vaccinia Virus Immunization. </w:t>
      </w:r>
      <w:r>
        <w:rPr>
          <w:i/>
          <w:iCs/>
        </w:rPr>
        <w:t>J. Virol.</w:t>
      </w:r>
      <w:r>
        <w:t xml:space="preserve"> </w:t>
      </w:r>
      <w:r>
        <w:rPr>
          <w:b/>
          <w:bCs/>
        </w:rPr>
        <w:t>1990</w:t>
      </w:r>
      <w:r>
        <w:t xml:space="preserve">, </w:t>
      </w:r>
      <w:r>
        <w:rPr>
          <w:i/>
          <w:iCs/>
        </w:rPr>
        <w:t>64</w:t>
      </w:r>
      <w:r>
        <w:t xml:space="preserve"> (3), 1407–1409.</w:t>
      </w:r>
    </w:p>
    <w:p w14:paraId="22910E23" w14:textId="318F3AD7" w:rsidR="00236558" w:rsidRDefault="00236558" w:rsidP="00DC7281">
      <w:pPr>
        <w:pStyle w:val="Bibliography"/>
        <w:numPr>
          <w:ilvl w:val="0"/>
          <w:numId w:val="13"/>
        </w:numPr>
        <w:spacing w:line="360" w:lineRule="auto"/>
        <w:jc w:val="both"/>
      </w:pPr>
      <w:r>
        <w:t xml:space="preserve">Weiss, R. C.; Scott, F. W. Antibody-Mediated Enhancement of Disease in Feline Infectious Peritonitis: Comparisons with Dengue Hemorrhagic Fever. </w:t>
      </w:r>
      <w:r>
        <w:rPr>
          <w:i/>
          <w:iCs/>
        </w:rPr>
        <w:t>Comp. Immunol. Microbiol. Infect. Dis.</w:t>
      </w:r>
      <w:r>
        <w:t xml:space="preserve"> </w:t>
      </w:r>
      <w:r>
        <w:rPr>
          <w:b/>
          <w:bCs/>
        </w:rPr>
        <w:t>1981</w:t>
      </w:r>
      <w:r>
        <w:t xml:space="preserve">, </w:t>
      </w:r>
      <w:r>
        <w:rPr>
          <w:i/>
          <w:iCs/>
        </w:rPr>
        <w:t>4</w:t>
      </w:r>
      <w:r>
        <w:t xml:space="preserve"> (2), 175–189. https://doi.org/10.1016/0147-9571(81)90003-5.</w:t>
      </w:r>
    </w:p>
    <w:p w14:paraId="31D80FE9" w14:textId="5880348D" w:rsidR="00236558" w:rsidRDefault="00236558" w:rsidP="00DC7281">
      <w:pPr>
        <w:pStyle w:val="Bibliography"/>
        <w:numPr>
          <w:ilvl w:val="0"/>
          <w:numId w:val="13"/>
        </w:numPr>
        <w:spacing w:line="360" w:lineRule="auto"/>
        <w:jc w:val="both"/>
      </w:pPr>
      <w:r>
        <w:lastRenderedPageBreak/>
        <w:t xml:space="preserve">Hohdatsu, T.; Nakamura, M.; Ishizuka, Y.; Yamada, H.; Koyama, H. A Study on the Mechanism of Antibody-Dependent Enhancement of Feline Infectious Peritonitis Virus Infection in Feline Macrophages by Monoclonal Antibodies. </w:t>
      </w:r>
      <w:r>
        <w:rPr>
          <w:i/>
          <w:iCs/>
        </w:rPr>
        <w:t>Arch. Virol.</w:t>
      </w:r>
      <w:r>
        <w:t xml:space="preserve"> </w:t>
      </w:r>
      <w:r>
        <w:rPr>
          <w:b/>
          <w:bCs/>
        </w:rPr>
        <w:t>1991</w:t>
      </w:r>
      <w:r>
        <w:t xml:space="preserve">, </w:t>
      </w:r>
      <w:r>
        <w:rPr>
          <w:i/>
          <w:iCs/>
        </w:rPr>
        <w:t>120</w:t>
      </w:r>
      <w:r>
        <w:t xml:space="preserve"> (3–4), 207–217. https://doi.org/10.1007/BF01310476.</w:t>
      </w:r>
    </w:p>
    <w:p w14:paraId="48E72427" w14:textId="05A72E97" w:rsidR="00236558" w:rsidRDefault="00236558" w:rsidP="00DC7281">
      <w:pPr>
        <w:pStyle w:val="Bibliography"/>
        <w:numPr>
          <w:ilvl w:val="0"/>
          <w:numId w:val="13"/>
        </w:numPr>
        <w:spacing w:line="360" w:lineRule="auto"/>
        <w:jc w:val="both"/>
      </w:pPr>
      <w:r>
        <w:t xml:space="preserve">Winarski, K. L.; Tang, J.; Klenow, L.; Lee, J.; Coyle, E. M.; Manischewitz, J.; Turner, H. L.; Takeda, K.; Ward, A. B.; Golding, H.; Khurana, S. Antibody-Dependent Enhancement of Influenza Disease Promoted by Increase in Hemagglutinin Stem Flexibility and Virus Fusion Kinetics. </w:t>
      </w:r>
      <w:r>
        <w:rPr>
          <w:i/>
          <w:iCs/>
        </w:rPr>
        <w:t>Proc. Natl. Acad. Sci.</w:t>
      </w:r>
      <w:r>
        <w:t xml:space="preserve"> </w:t>
      </w:r>
      <w:r>
        <w:rPr>
          <w:b/>
          <w:bCs/>
        </w:rPr>
        <w:t>2019</w:t>
      </w:r>
      <w:r>
        <w:t xml:space="preserve">, </w:t>
      </w:r>
      <w:r>
        <w:rPr>
          <w:i/>
          <w:iCs/>
        </w:rPr>
        <w:t>116</w:t>
      </w:r>
      <w:r>
        <w:t xml:space="preserve"> (30), 15194–15199. https://doi.org/10.1073/pnas.1821317116.</w:t>
      </w:r>
    </w:p>
    <w:p w14:paraId="6662C315" w14:textId="5387B2A7" w:rsidR="00236558" w:rsidRDefault="00236558" w:rsidP="00DC7281">
      <w:pPr>
        <w:pStyle w:val="Bibliography"/>
        <w:numPr>
          <w:ilvl w:val="0"/>
          <w:numId w:val="13"/>
        </w:numPr>
        <w:spacing w:line="360" w:lineRule="auto"/>
        <w:jc w:val="both"/>
      </w:pPr>
      <w:r>
        <w:t xml:space="preserve">Ye, Z.-W.; Yuan, S.; Poon, K.-M.; Wen, L.; Yang, D.; Sun, Z.; Li, C.; Hu, M.; Shuai, H.; Zhou, J.; Zhang, M.-Y.; Zheng, B.-J.; Chu, H.; Yuen, K.-Y. Antibody-Dependent Cell-Mediated Cytotoxicity Epitopes on the Hemagglutinin Head Region of Pandemic H1N1 Influenza Virus Play Detrimental Roles in H1N1-Infected Mice. </w:t>
      </w:r>
      <w:r>
        <w:rPr>
          <w:i/>
          <w:iCs/>
        </w:rPr>
        <w:t>Front. Immunol.</w:t>
      </w:r>
      <w:r>
        <w:t xml:space="preserve"> </w:t>
      </w:r>
      <w:r>
        <w:rPr>
          <w:b/>
          <w:bCs/>
        </w:rPr>
        <w:t>2017</w:t>
      </w:r>
      <w:r>
        <w:t xml:space="preserve">, </w:t>
      </w:r>
      <w:r>
        <w:rPr>
          <w:i/>
          <w:iCs/>
        </w:rPr>
        <w:t>8</w:t>
      </w:r>
      <w:r>
        <w:t>, 317. https://doi.org/10.3389/fimmu.2017.00317.</w:t>
      </w:r>
    </w:p>
    <w:p w14:paraId="75E2F170" w14:textId="3EFE19D1" w:rsidR="00236558" w:rsidRDefault="00236558" w:rsidP="00DC7281">
      <w:pPr>
        <w:pStyle w:val="Bibliography"/>
        <w:numPr>
          <w:ilvl w:val="0"/>
          <w:numId w:val="13"/>
        </w:numPr>
        <w:spacing w:line="360" w:lineRule="auto"/>
        <w:jc w:val="both"/>
      </w:pPr>
      <w:r>
        <w:t xml:space="preserve">Polack, F. P.; Teng, M. N.; Collins, P. L.; Prince, G. A.; Exner, M.; Regele, H.; Lirman, D. D.; Rabold, R.; Hoffman, S. J.; Karp, C. L.; Kleeberger, S. R.; Wills-Karp, M.; Karron, R. A. A Role for Immune Complexes in Enhanced Respiratory Syncytial Virus Disease. </w:t>
      </w:r>
      <w:r>
        <w:rPr>
          <w:i/>
          <w:iCs/>
        </w:rPr>
        <w:t>J. Exp. Med.</w:t>
      </w:r>
      <w:r>
        <w:t xml:space="preserve"> </w:t>
      </w:r>
      <w:r>
        <w:rPr>
          <w:b/>
          <w:bCs/>
        </w:rPr>
        <w:t>2002</w:t>
      </w:r>
      <w:r>
        <w:t xml:space="preserve">, </w:t>
      </w:r>
      <w:r>
        <w:rPr>
          <w:i/>
          <w:iCs/>
        </w:rPr>
        <w:t>196</w:t>
      </w:r>
      <w:r>
        <w:t xml:space="preserve"> (6), 859–865. https://doi.org/10.1084/jem.20020781.</w:t>
      </w:r>
    </w:p>
    <w:p w14:paraId="1E555CB6" w14:textId="3AB3FE82" w:rsidR="00236558" w:rsidRDefault="00236558" w:rsidP="00DC7281">
      <w:pPr>
        <w:pStyle w:val="Bibliography"/>
        <w:numPr>
          <w:ilvl w:val="0"/>
          <w:numId w:val="13"/>
        </w:numPr>
        <w:spacing w:line="360" w:lineRule="auto"/>
        <w:jc w:val="both"/>
      </w:pPr>
      <w:r>
        <w:t xml:space="preserve">Polack, F. P.; Hoffman, S. J.; Crujeiras, G.; Griffin, D. E. A Role for Nonprotective Complement-Fixing Antibodies with Low Avidity for Measles Virus in Atypical Measles. </w:t>
      </w:r>
      <w:r>
        <w:rPr>
          <w:i/>
          <w:iCs/>
        </w:rPr>
        <w:t>Nat. Med.</w:t>
      </w:r>
      <w:r>
        <w:t xml:space="preserve"> </w:t>
      </w:r>
      <w:r>
        <w:rPr>
          <w:b/>
          <w:bCs/>
        </w:rPr>
        <w:t>2003</w:t>
      </w:r>
      <w:r>
        <w:t xml:space="preserve">, </w:t>
      </w:r>
      <w:r>
        <w:rPr>
          <w:i/>
          <w:iCs/>
        </w:rPr>
        <w:t>9</w:t>
      </w:r>
      <w:r>
        <w:t xml:space="preserve"> (9), 1209–1213. https://doi.org/10.1038/nm918.</w:t>
      </w:r>
    </w:p>
    <w:p w14:paraId="4BD271E1" w14:textId="47BCD9AC" w:rsidR="00236558" w:rsidRDefault="00236558" w:rsidP="00DC7281">
      <w:pPr>
        <w:pStyle w:val="Bibliography"/>
        <w:numPr>
          <w:ilvl w:val="0"/>
          <w:numId w:val="13"/>
        </w:numPr>
        <w:spacing w:line="360" w:lineRule="auto"/>
        <w:jc w:val="both"/>
      </w:pPr>
      <w:r>
        <w:t>Gao, T.; Hu, M.; Zhang, X.; Li, H.; Zhu, L.; Liu, H.; Dong, Q.; Zhang, Z.; Wang, Z.; Hu, Y.; Fu, Y.; Jin, Y.; Li, K.; Zhao, S.; Xiao, Y.; Luo, S.; Li, L.; Zhao, L.; Liu, J.; Zhao, H.; Liu, Y.; Yang, W.; Peng, J.; Chen, X.; Li, P.; Liu, Y.; Xie, Y.; Song, J.; Zhang, L.; Ma, Q.; Bian, X.; Chen, W.; Liu, X.; Mao, Q.; Cao, C. Highly Pathogenic Coronavirus N Protein Aggravates Lung Injury by MASP-2-Mediated Complement over-Activatio. 2020. https://doi.org/10.1101/2020.03.29.20041962.</w:t>
      </w:r>
    </w:p>
    <w:p w14:paraId="6367B4AE" w14:textId="60D5AB3E" w:rsidR="00236558" w:rsidRDefault="00236558" w:rsidP="00DC7281">
      <w:pPr>
        <w:pStyle w:val="Bibliography"/>
        <w:numPr>
          <w:ilvl w:val="0"/>
          <w:numId w:val="13"/>
        </w:numPr>
        <w:spacing w:line="360" w:lineRule="auto"/>
        <w:jc w:val="both"/>
      </w:pPr>
      <w:r>
        <w:t xml:space="preserve">Gralinski, L. E.; Sheahan, T. P.; Morrison, T. E.; Menachery, V. D.; Jensen, K.; Leist, S. R.; Whitmore, A.; Heise, M. T.; Baric, R. S. Complement Activation Contributes to Severe Acute Respiratory Syndrome Coronavirus Pathogenesis. </w:t>
      </w:r>
      <w:r>
        <w:rPr>
          <w:i/>
          <w:iCs/>
        </w:rPr>
        <w:t>mBio</w:t>
      </w:r>
      <w:r>
        <w:t xml:space="preserve"> </w:t>
      </w:r>
      <w:r>
        <w:rPr>
          <w:b/>
          <w:bCs/>
        </w:rPr>
        <w:t>2018</w:t>
      </w:r>
      <w:r>
        <w:t xml:space="preserve">, </w:t>
      </w:r>
      <w:r>
        <w:rPr>
          <w:i/>
          <w:iCs/>
        </w:rPr>
        <w:t>9</w:t>
      </w:r>
      <w:r>
        <w:t xml:space="preserve"> (5), e01753-18. https://doi.org/10.1128/mBio.01753-18.</w:t>
      </w:r>
    </w:p>
    <w:p w14:paraId="1C8B5F4A" w14:textId="7CF640BC" w:rsidR="00236558" w:rsidRDefault="00236558" w:rsidP="00DC7281">
      <w:pPr>
        <w:pStyle w:val="Bibliography"/>
        <w:numPr>
          <w:ilvl w:val="0"/>
          <w:numId w:val="13"/>
        </w:numPr>
        <w:spacing w:line="360" w:lineRule="auto"/>
        <w:jc w:val="both"/>
      </w:pPr>
      <w:r>
        <w:t xml:space="preserve">Chakraborty, S.; Edwards, K.; Buzzanco, A. S.; Memoli, M. J.; Sherwood, R.; Mallajosyula, V.; Xie, M. M.; Gonzalez, J.; Buffone, C.; Kathale, N.; Providenza, S.; Jagannathan, P.; Andrews, J. R.; Blish, C. A.; Krammer, F.; Dugan, H.; Wilson, P. C.; </w:t>
      </w:r>
      <w:r>
        <w:lastRenderedPageBreak/>
        <w:t xml:space="preserve">Pham, T. D.; Boyd, S. D.; Zhang, S.; Taubenberger, J. K.; Morales, T.; Schapiro, J. M.; Parsonnet, J.; Wang, T. T. Symptomatic SARS-CoV-2 Infections Display Specific IgG Fc Structures. </w:t>
      </w:r>
      <w:r>
        <w:rPr>
          <w:i/>
          <w:iCs/>
        </w:rPr>
        <w:t>medRxiv</w:t>
      </w:r>
      <w:r>
        <w:t>. https://doi.org/10.1101/2020.05.15.20103341.</w:t>
      </w:r>
    </w:p>
    <w:p w14:paraId="29D358D3" w14:textId="0B065265" w:rsidR="00236558" w:rsidRDefault="00236558" w:rsidP="00DC7281">
      <w:pPr>
        <w:pStyle w:val="Bibliography"/>
        <w:numPr>
          <w:ilvl w:val="0"/>
          <w:numId w:val="13"/>
        </w:numPr>
        <w:spacing w:line="360" w:lineRule="auto"/>
        <w:jc w:val="both"/>
      </w:pPr>
      <w:r>
        <w:t xml:space="preserve">Larsen, M. D.; Graaf, E. L. de; Sonneveld, M. E.; Plomp, H. R.; Linty, F.; Visser, R.; Brinkhaus, M.; Šuštić, T.; Taeye, S. W. de; Bentlage, A. E. H.; Nouta, J.; Natunen, S.; Koeleman, C. A. M.; Sainio, S.; Kootstra, N. A.; Brouwer, P. J. M.; Sanders, R. W.; Gils, M. J. van; Bruin, S. de; Vlaar, A. P. J.; Group, A. U. C.-19 biobank study; Zaaijer, H. L.; Wuhrer, M.; Schoot, C. E. van der; Vidarsson, G. Afucosylated Immunoglobulin G Responses Are a Hallmark of Enveloped Virus Infections and Show an Exacerbated Phenotype in COVID-19. </w:t>
      </w:r>
      <w:r>
        <w:rPr>
          <w:i/>
          <w:iCs/>
        </w:rPr>
        <w:t>bioRxiv</w:t>
      </w:r>
      <w:r>
        <w:t xml:space="preserve"> </w:t>
      </w:r>
      <w:r>
        <w:rPr>
          <w:b/>
          <w:bCs/>
        </w:rPr>
        <w:t>2020</w:t>
      </w:r>
      <w:r>
        <w:t>, 2020.05.18.099507. https://doi.org/10.1101/2020.05.18.099507.</w:t>
      </w:r>
    </w:p>
    <w:p w14:paraId="2C03604F" w14:textId="6293310C" w:rsidR="00236558" w:rsidRDefault="00236558" w:rsidP="00DC7281">
      <w:pPr>
        <w:pStyle w:val="Bibliography"/>
        <w:numPr>
          <w:ilvl w:val="0"/>
          <w:numId w:val="13"/>
        </w:numPr>
        <w:spacing w:line="360" w:lineRule="auto"/>
        <w:jc w:val="both"/>
      </w:pPr>
      <w:r>
        <w:t xml:space="preserve">Hiatt, A.; Bohorova, N.; Bohorov, O.; Goodman, C.; Kim, D.; Pauly, M. H.; Velasco, J.; Whaley, K. J.; Piedra, P. A.; Gilbert, B. E.; Zeitlin, L. Glycan Variants of a Respiratory Syncytial Virus Antibody with Enhanced Effector Function and in Vivo Efficacy. </w:t>
      </w:r>
      <w:r>
        <w:rPr>
          <w:i/>
          <w:iCs/>
        </w:rPr>
        <w:t>Proc. Natl. Acad. Sci.</w:t>
      </w:r>
      <w:r>
        <w:t xml:space="preserve"> </w:t>
      </w:r>
      <w:r>
        <w:rPr>
          <w:b/>
          <w:bCs/>
        </w:rPr>
        <w:t>2014</w:t>
      </w:r>
      <w:r>
        <w:t xml:space="preserve">, </w:t>
      </w:r>
      <w:r>
        <w:rPr>
          <w:i/>
          <w:iCs/>
        </w:rPr>
        <w:t>111</w:t>
      </w:r>
      <w:r>
        <w:t xml:space="preserve"> (16), 5992–5997. https://doi.org/10.1073/pnas.1402458111.</w:t>
      </w:r>
    </w:p>
    <w:p w14:paraId="18927F62" w14:textId="7D4C7DEB" w:rsidR="00236558" w:rsidRDefault="00236558" w:rsidP="00DC7281">
      <w:pPr>
        <w:pStyle w:val="Bibliography"/>
        <w:numPr>
          <w:ilvl w:val="0"/>
          <w:numId w:val="13"/>
        </w:numPr>
        <w:spacing w:line="360" w:lineRule="auto"/>
        <w:jc w:val="both"/>
      </w:pPr>
      <w:r>
        <w:t xml:space="preserve">Zeitlin, L.; Pettitt, J.; Scully, C.; Bohorova, N.; Kim, D.; Pauly, M.; Hiatt, A.; Ngo, L.; Steinkellner, H.; Whaley, K. J.; Olinger, G. G. Enhanced Potency of a Fucose-Free Monoclonal Antibody Being Developed as an Ebola Virus Immunoprotectant. </w:t>
      </w:r>
      <w:r>
        <w:rPr>
          <w:i/>
          <w:iCs/>
        </w:rPr>
        <w:t>Proc. Natl. Acad. Sci.</w:t>
      </w:r>
      <w:r>
        <w:t xml:space="preserve"> </w:t>
      </w:r>
      <w:r>
        <w:rPr>
          <w:b/>
          <w:bCs/>
        </w:rPr>
        <w:t>2011</w:t>
      </w:r>
      <w:r>
        <w:t xml:space="preserve">, </w:t>
      </w:r>
      <w:r>
        <w:rPr>
          <w:i/>
          <w:iCs/>
        </w:rPr>
        <w:t>108</w:t>
      </w:r>
      <w:r>
        <w:t xml:space="preserve"> (51), 20690–20694. https://doi.org/10.1073/pnas.1108360108.</w:t>
      </w:r>
    </w:p>
    <w:p w14:paraId="472D8D6C" w14:textId="34E9A3C0" w:rsidR="00236558" w:rsidRDefault="00236558" w:rsidP="00DC7281">
      <w:pPr>
        <w:pStyle w:val="Bibliography"/>
        <w:numPr>
          <w:ilvl w:val="0"/>
          <w:numId w:val="13"/>
        </w:numPr>
        <w:spacing w:line="360" w:lineRule="auto"/>
        <w:jc w:val="both"/>
      </w:pPr>
      <w:r>
        <w:t xml:space="preserve">Wang, T. T.; Sewatanon, J.; Memoli, M. J.; Wrammert, J.; Bournazos, S.; Bhaumik, S. K.; Pinsky, B. A.; Chokephaibulkit, K.; Onlamoon, N.; Pattanapanyasat, K.; Taubenberger, J. K.; Ahmed, R.; Ravetch, J. V. IgG Antibodies to Dengue Enhanced for FcγRIIIA Binding Determine Disease Severity. </w:t>
      </w:r>
      <w:r>
        <w:rPr>
          <w:i/>
          <w:iCs/>
        </w:rPr>
        <w:t>Science</w:t>
      </w:r>
      <w:r>
        <w:t xml:space="preserve"> </w:t>
      </w:r>
      <w:r>
        <w:rPr>
          <w:b/>
          <w:bCs/>
        </w:rPr>
        <w:t>2017</w:t>
      </w:r>
      <w:r>
        <w:t xml:space="preserve">, </w:t>
      </w:r>
      <w:r>
        <w:rPr>
          <w:i/>
          <w:iCs/>
        </w:rPr>
        <w:t>355</w:t>
      </w:r>
      <w:r>
        <w:t xml:space="preserve"> (6323), 395. https://doi.org/10.1126/science.aai8128.</w:t>
      </w:r>
    </w:p>
    <w:p w14:paraId="39973244" w14:textId="7F33AF26" w:rsidR="00236558" w:rsidRDefault="00236558" w:rsidP="00DC7281">
      <w:pPr>
        <w:pStyle w:val="Bibliography"/>
        <w:numPr>
          <w:ilvl w:val="0"/>
          <w:numId w:val="13"/>
        </w:numPr>
        <w:spacing w:line="360" w:lineRule="auto"/>
        <w:jc w:val="both"/>
      </w:pPr>
      <w:r>
        <w:t xml:space="preserve">Hui, K. P. Y.; Cheung, M.-C.; Perera, R. A. P. M.; Ng, K.-C.; Bui, C. H. T.; Ho, J. C. W.; Ng, M. M. T.; Kuok, D. I. T.; Shih, K. C.; Tsao, S.-W.; Poon, L. L. M.; Peiris, M.; Nicholls, J. M.; Chan, M. C. W. Tropism, Replication Competence, and Innate Immune Responses of the Coronavirus SARS-CoV-2 in Human Respiratory Tract and Conjunctiva: An Analysis in Ex-Vivo and in-Vitro Cultures. </w:t>
      </w:r>
      <w:r>
        <w:rPr>
          <w:i/>
          <w:iCs/>
        </w:rPr>
        <w:t>Lancet Respir Med</w:t>
      </w:r>
      <w:r>
        <w:t xml:space="preserve"> </w:t>
      </w:r>
      <w:r>
        <w:rPr>
          <w:b/>
          <w:bCs/>
        </w:rPr>
        <w:t>2020</w:t>
      </w:r>
      <w:r>
        <w:t>, 687–695.</w:t>
      </w:r>
    </w:p>
    <w:p w14:paraId="78701FDC" w14:textId="04EC7BAE" w:rsidR="00236558" w:rsidRDefault="00236558" w:rsidP="00DC7281">
      <w:pPr>
        <w:pStyle w:val="Bibliography"/>
        <w:numPr>
          <w:ilvl w:val="0"/>
          <w:numId w:val="13"/>
        </w:numPr>
        <w:spacing w:line="360" w:lineRule="auto"/>
        <w:jc w:val="both"/>
      </w:pPr>
      <w:r>
        <w:t xml:space="preserve">Yip, M. S.; Leung, N. H. L.; Cheung, C. Y.; Li, P. H.; Lee, H. H. Y.; Daëron, M.; Peiris, J. S. M.; Bruzzone, R.; Jaume, M. Antibody-Dependent Infection of Human Macrophages by Severe Acute Respiratory Syndrome Coronavirus. </w:t>
      </w:r>
      <w:r>
        <w:rPr>
          <w:i/>
          <w:iCs/>
        </w:rPr>
        <w:t>Virol. J.</w:t>
      </w:r>
      <w:r>
        <w:t xml:space="preserve"> </w:t>
      </w:r>
      <w:r>
        <w:rPr>
          <w:b/>
          <w:bCs/>
        </w:rPr>
        <w:t>2014</w:t>
      </w:r>
      <w:r>
        <w:t xml:space="preserve">, </w:t>
      </w:r>
      <w:r>
        <w:rPr>
          <w:i/>
          <w:iCs/>
        </w:rPr>
        <w:t>11</w:t>
      </w:r>
      <w:r>
        <w:t>, 82. https://doi.org/10.1186/1743-422X-11-82.</w:t>
      </w:r>
    </w:p>
    <w:p w14:paraId="00832DDE" w14:textId="28AA3987" w:rsidR="00236558" w:rsidRDefault="00236558" w:rsidP="00DC7281">
      <w:pPr>
        <w:pStyle w:val="Bibliography"/>
        <w:numPr>
          <w:ilvl w:val="0"/>
          <w:numId w:val="13"/>
        </w:numPr>
        <w:spacing w:line="360" w:lineRule="auto"/>
        <w:jc w:val="both"/>
      </w:pPr>
      <w:r>
        <w:lastRenderedPageBreak/>
        <w:t xml:space="preserve">Jackson, L. A.; Anderson, E. J.; Rouphael, N. G.; Roberts, P. C.; Makhene, M.; Coler, R. N.; McCullough, M. P.; Chappell, J. D.; Denison, M. R.; Stevens, L. J.; Pruijssers, A. J.; McDermott, A.; Flach, B.; Doria-Rose, N. A.; Corbett, K. S.; Morabito, K. M.; O’Dell, S.; Schmidt, S. D.; Swanson, P. A.; Padilla, M.; Mascola, J. R.; Neuzil, K. M.; Bennett, H.; Sun, W.; Peters, E.; Makowski, M.; Albert, J.; Cross, K.; Buchanan, W.; Pikaart-Tautges, R.; Ledgerwood, J. E.; Graham, B. S.; Beigel, J. H. An MRNA Vaccine against SARS-CoV-2 — Preliminary Report. </w:t>
      </w:r>
      <w:r>
        <w:rPr>
          <w:i/>
          <w:iCs/>
        </w:rPr>
        <w:t>N. Engl. J. Med.</w:t>
      </w:r>
      <w:r>
        <w:t xml:space="preserve"> </w:t>
      </w:r>
      <w:r>
        <w:rPr>
          <w:b/>
          <w:bCs/>
        </w:rPr>
        <w:t>2020</w:t>
      </w:r>
      <w:r>
        <w:t>, NEJMoa2022483. https://doi.org/10.1056/NEJMoa2022483.</w:t>
      </w:r>
    </w:p>
    <w:p w14:paraId="43834356" w14:textId="65B397E3" w:rsidR="00236558" w:rsidRDefault="00236558" w:rsidP="00DC7281">
      <w:pPr>
        <w:pStyle w:val="Bibliography"/>
        <w:numPr>
          <w:ilvl w:val="0"/>
          <w:numId w:val="13"/>
        </w:numPr>
        <w:spacing w:line="360" w:lineRule="auto"/>
        <w:jc w:val="both"/>
      </w:pPr>
      <w:r>
        <w:t xml:space="preserve">Lee, N.; Chan, P. K. S.; Ip, M.; Wong, E.; Ho, J.; Ho, C.; Cockram, C. S.; Hui, D. S. Anti-SARS-CoV IgG Response in Relation to Disease Severity of Severe Acute Respiratory Syndrome. </w:t>
      </w:r>
      <w:r>
        <w:rPr>
          <w:i/>
          <w:iCs/>
        </w:rPr>
        <w:t>J. Clin. Virol. Off. Publ. Pan Am. Soc. Clin. Virol.</w:t>
      </w:r>
      <w:r>
        <w:t xml:space="preserve"> </w:t>
      </w:r>
      <w:r>
        <w:rPr>
          <w:b/>
          <w:bCs/>
        </w:rPr>
        <w:t>2006</w:t>
      </w:r>
      <w:r>
        <w:t xml:space="preserve">, </w:t>
      </w:r>
      <w:r>
        <w:rPr>
          <w:i/>
          <w:iCs/>
        </w:rPr>
        <w:t>35</w:t>
      </w:r>
      <w:r>
        <w:t xml:space="preserve"> (2), 179–184. https://doi.org/10.1016/j.jcv.2005.07.005.</w:t>
      </w:r>
    </w:p>
    <w:p w14:paraId="1DBB2219" w14:textId="6F721B51" w:rsidR="00236558" w:rsidRDefault="00236558" w:rsidP="00DC7281">
      <w:pPr>
        <w:pStyle w:val="Bibliography"/>
        <w:numPr>
          <w:ilvl w:val="0"/>
          <w:numId w:val="13"/>
        </w:numPr>
        <w:spacing w:line="360" w:lineRule="auto"/>
        <w:jc w:val="both"/>
      </w:pPr>
      <w:r>
        <w:t xml:space="preserve">Chen, W.; Zhang, J.; Qin, X.; Wang, W.; Xu, M.; Wang, L.-F.; Xu, C.; Tang, S.; Liu, P.; Zhang, L.; Liu, X.; Zhang, Y.; Yi, C.; Hu, Z.; Yi, Y. SARS-CoV-2 Neutralizing Antibody Levels Are Correlated with Severity of COVID-19 Pneumonia. </w:t>
      </w:r>
      <w:r>
        <w:rPr>
          <w:i/>
          <w:iCs/>
        </w:rPr>
        <w:t>Biomed. Pharmacother.</w:t>
      </w:r>
      <w:r>
        <w:t xml:space="preserve"> </w:t>
      </w:r>
      <w:r>
        <w:rPr>
          <w:b/>
          <w:bCs/>
        </w:rPr>
        <w:t>2020</w:t>
      </w:r>
      <w:r>
        <w:t xml:space="preserve">, </w:t>
      </w:r>
      <w:r>
        <w:rPr>
          <w:i/>
          <w:iCs/>
        </w:rPr>
        <w:t>130</w:t>
      </w:r>
      <w:r>
        <w:t>, 110629. https://doi.org/10.1016/j.biopha.2020.110629.</w:t>
      </w:r>
    </w:p>
    <w:p w14:paraId="2F17CE95" w14:textId="45D203E6" w:rsidR="00236558" w:rsidRDefault="00236558" w:rsidP="00DC7281">
      <w:pPr>
        <w:pStyle w:val="Bibliography"/>
        <w:numPr>
          <w:ilvl w:val="0"/>
          <w:numId w:val="13"/>
        </w:numPr>
        <w:spacing w:line="360" w:lineRule="auto"/>
        <w:jc w:val="both"/>
      </w:pPr>
      <w:r>
        <w:t xml:space="preserve">Fajnzylber, J.; Regan, J.; Coxen, K.; Corry, H.; Wong, C.; Rosenthal, A.; Worrall, D.; Giguel, F.; Piechocka-Trocha, A.; Atyeo, C.; Fischinger, S.; Chan, A.; Flaherty, K. T.; Hall, K.; Dougan, M.; Ryan, E. T.; Gillespie, E.; Chishti, R.; Li, Y.; Jilg, N.; Hanidziar, D.; Baron, R. M.; Baden, L.; Tsibris, A. M.; Armstrong, K. A.; Kuritzkes, D. R.; Alter, G.; Walker, B. D.; Yu, X.; Li, J. Z. SARS-CoV-2 Viral Load Is Associated with Increased Disease Severity and Mortality. </w:t>
      </w:r>
      <w:r>
        <w:rPr>
          <w:i/>
          <w:iCs/>
        </w:rPr>
        <w:t>Nat. Commun.</w:t>
      </w:r>
      <w:r>
        <w:t xml:space="preserve"> </w:t>
      </w:r>
      <w:r>
        <w:rPr>
          <w:b/>
          <w:bCs/>
        </w:rPr>
        <w:t>2020</w:t>
      </w:r>
      <w:r>
        <w:t xml:space="preserve">, </w:t>
      </w:r>
      <w:r>
        <w:rPr>
          <w:i/>
          <w:iCs/>
        </w:rPr>
        <w:t>11</w:t>
      </w:r>
      <w:r>
        <w:t xml:space="preserve"> (1), 5493. https://doi.org/10.1038/s41467-020-19057-5.</w:t>
      </w:r>
    </w:p>
    <w:p w14:paraId="3F5CF821" w14:textId="2F8FFF06" w:rsidR="00236558" w:rsidRDefault="00236558" w:rsidP="00DC7281">
      <w:pPr>
        <w:pStyle w:val="Bibliography"/>
        <w:numPr>
          <w:ilvl w:val="0"/>
          <w:numId w:val="13"/>
        </w:numPr>
        <w:spacing w:line="360" w:lineRule="auto"/>
        <w:jc w:val="both"/>
      </w:pPr>
      <w:r>
        <w:t xml:space="preserve">Liu, X.; Wang, J.; Xu, X.; Liao, G.; Chen, Y.; Hu, C.-H. Patterns of IgG and IgM Antibody Response in COVID-19 Patients. </w:t>
      </w:r>
      <w:r>
        <w:rPr>
          <w:i/>
          <w:iCs/>
        </w:rPr>
        <w:t>Emerg. Microbes Infect.</w:t>
      </w:r>
      <w:r>
        <w:t xml:space="preserve"> </w:t>
      </w:r>
      <w:r>
        <w:rPr>
          <w:b/>
          <w:bCs/>
        </w:rPr>
        <w:t>2020</w:t>
      </w:r>
      <w:r>
        <w:t xml:space="preserve">, </w:t>
      </w:r>
      <w:r>
        <w:rPr>
          <w:i/>
          <w:iCs/>
        </w:rPr>
        <w:t>9</w:t>
      </w:r>
      <w:r>
        <w:t xml:space="preserve"> (1), 1269–1274. https://doi.org/10.1080/22221751.2020.1773324.</w:t>
      </w:r>
    </w:p>
    <w:p w14:paraId="6CA7E732" w14:textId="327F47F0" w:rsidR="00236558" w:rsidRDefault="00236558" w:rsidP="00DC7281">
      <w:pPr>
        <w:pStyle w:val="Bibliography"/>
        <w:numPr>
          <w:ilvl w:val="0"/>
          <w:numId w:val="13"/>
        </w:numPr>
        <w:spacing w:line="360" w:lineRule="auto"/>
        <w:jc w:val="both"/>
      </w:pPr>
      <w:r>
        <w:t xml:space="preserve">Luo, Y. R.; Chakraborty, I.; Yun, C.; Wu, A. H. B.; Lynch, K. L. Kinetics of SARS-CoV-2 Antibody Avidity Maturation and Association with Disease Severity. </w:t>
      </w:r>
      <w:r>
        <w:rPr>
          <w:i/>
          <w:iCs/>
        </w:rPr>
        <w:t>Clin. Infect. Dis. Off. Publ. Infect. Dis. Soc. Am.</w:t>
      </w:r>
      <w:r>
        <w:t xml:space="preserve"> </w:t>
      </w:r>
      <w:r>
        <w:rPr>
          <w:b/>
          <w:bCs/>
        </w:rPr>
        <w:t>2020</w:t>
      </w:r>
      <w:r>
        <w:t>, ciaa1389. https://doi.org/10.1093/cid/ciaa1389.</w:t>
      </w:r>
    </w:p>
    <w:p w14:paraId="005D67DF" w14:textId="67913495" w:rsidR="00236558" w:rsidRDefault="00236558" w:rsidP="00DC7281">
      <w:pPr>
        <w:pStyle w:val="Bibliography"/>
        <w:numPr>
          <w:ilvl w:val="0"/>
          <w:numId w:val="13"/>
        </w:numPr>
        <w:spacing w:line="360" w:lineRule="auto"/>
        <w:jc w:val="both"/>
      </w:pPr>
      <w:r>
        <w:t xml:space="preserve">Pujadas, E.; Chaudhry, F.; McBride, R.; Richter, F.; Zhao, S.; Wajnberg, A.; Nadkarni, G.; Glicksberg, B. S.; Houldsworth, J.; Cordon-Cardo, C. SARS-CoV-2 Viral Load Predicts COVID-19 Mortality. </w:t>
      </w:r>
      <w:r>
        <w:rPr>
          <w:i/>
          <w:iCs/>
        </w:rPr>
        <w:t>Lancet Respir. Med.</w:t>
      </w:r>
      <w:r>
        <w:t xml:space="preserve"> </w:t>
      </w:r>
      <w:r>
        <w:rPr>
          <w:b/>
          <w:bCs/>
        </w:rPr>
        <w:t>2020</w:t>
      </w:r>
      <w:r>
        <w:t xml:space="preserve">, </w:t>
      </w:r>
      <w:r>
        <w:rPr>
          <w:i/>
          <w:iCs/>
        </w:rPr>
        <w:t>8</w:t>
      </w:r>
      <w:r>
        <w:t xml:space="preserve"> (9), e70. https://doi.org/10.1016/S2213-2600(20)30354-4.</w:t>
      </w:r>
    </w:p>
    <w:p w14:paraId="1A668F7C" w14:textId="7529AAC7" w:rsidR="00236558" w:rsidRDefault="00236558" w:rsidP="00DC7281">
      <w:pPr>
        <w:pStyle w:val="Bibliography"/>
        <w:numPr>
          <w:ilvl w:val="0"/>
          <w:numId w:val="13"/>
        </w:numPr>
        <w:spacing w:line="360" w:lineRule="auto"/>
        <w:jc w:val="both"/>
      </w:pPr>
      <w:r>
        <w:lastRenderedPageBreak/>
        <w:t xml:space="preserve">Wu, F.; Yan, R.; Liu, M.; Liu, Z.; Wang, Y.; Luan, D.; Wu, K.; Song, Z.; Sun, T.; Ma, Y.; Zhang, Y.; Wang, Q.; Li, X.; Ji, P.; Li, Y.; Li, C.; Wu, Y.; Ying, T.; Wen, Y.; Jiang, S.; Zhu, T.; Lu, L.; Zhang, Y.; Zhou, Q.; Huang, J. Antibody-Dependent Enhancement (ADE) of SARS-CoV-2 Infection in Recovered COVID-19 Patients: Studies Based on Cellular and Structural Biology Analysis. </w:t>
      </w:r>
      <w:r>
        <w:rPr>
          <w:i/>
          <w:iCs/>
        </w:rPr>
        <w:t>medRxiv</w:t>
      </w:r>
      <w:r>
        <w:t xml:space="preserve"> </w:t>
      </w:r>
      <w:r>
        <w:rPr>
          <w:b/>
          <w:bCs/>
        </w:rPr>
        <w:t>2020</w:t>
      </w:r>
      <w:r>
        <w:t>, 2020.10.08.20209114. https://doi.org/10.1101/2020.10.08.20209114.</w:t>
      </w:r>
    </w:p>
    <w:p w14:paraId="6B9B47BC" w14:textId="63513681" w:rsidR="00236558" w:rsidRDefault="00236558" w:rsidP="00DC7281">
      <w:pPr>
        <w:pStyle w:val="Bibliography"/>
        <w:numPr>
          <w:ilvl w:val="0"/>
          <w:numId w:val="13"/>
        </w:numPr>
        <w:spacing w:line="360" w:lineRule="auto"/>
        <w:jc w:val="both"/>
      </w:pPr>
      <w:r>
        <w:t xml:space="preserve">Sedova, E. S.; Scherbinin, D. N.; Lysenko, A. A.; Alekseeva, S. V.; Artemova, E. A.; Shmarov, M. M. Non-Neutralizing Antibodies Directed at Conservative Influenza Antigens. </w:t>
      </w:r>
      <w:r>
        <w:rPr>
          <w:i/>
          <w:iCs/>
        </w:rPr>
        <w:t>Acta Naturae</w:t>
      </w:r>
      <w:r>
        <w:t xml:space="preserve"> </w:t>
      </w:r>
      <w:r>
        <w:rPr>
          <w:b/>
          <w:bCs/>
        </w:rPr>
        <w:t>2019</w:t>
      </w:r>
      <w:r>
        <w:t xml:space="preserve">, </w:t>
      </w:r>
      <w:r>
        <w:rPr>
          <w:i/>
          <w:iCs/>
        </w:rPr>
        <w:t>11</w:t>
      </w:r>
      <w:r>
        <w:t xml:space="preserve"> (4), 22–32. https://doi.org/10.32607/20758251-2019-11-4-22-32.</w:t>
      </w:r>
    </w:p>
    <w:p w14:paraId="3F1BEEA4" w14:textId="4F8279D6" w:rsidR="00236558" w:rsidRDefault="00236558" w:rsidP="00DC7281">
      <w:pPr>
        <w:pStyle w:val="Bibliography"/>
        <w:numPr>
          <w:ilvl w:val="0"/>
          <w:numId w:val="13"/>
        </w:numPr>
        <w:spacing w:line="360" w:lineRule="auto"/>
        <w:jc w:val="both"/>
      </w:pPr>
      <w:r>
        <w:t xml:space="preserve">Smatti, M. K.; Al Thani, A. A.; Yassine, H. M. Viral-Induced Enhanced Disease Illness. </w:t>
      </w:r>
      <w:r>
        <w:rPr>
          <w:i/>
          <w:iCs/>
        </w:rPr>
        <w:t>Front. Microbiol.</w:t>
      </w:r>
      <w:r>
        <w:t xml:space="preserve"> </w:t>
      </w:r>
      <w:r>
        <w:rPr>
          <w:b/>
          <w:bCs/>
        </w:rPr>
        <w:t>2018</w:t>
      </w:r>
      <w:r>
        <w:t xml:space="preserve">, </w:t>
      </w:r>
      <w:r>
        <w:rPr>
          <w:i/>
          <w:iCs/>
        </w:rPr>
        <w:t>9</w:t>
      </w:r>
      <w:r>
        <w:t>, 2991. https://doi.org/10.3389/fmicb.2018.02991.</w:t>
      </w:r>
    </w:p>
    <w:p w14:paraId="2D9ED27C" w14:textId="66CC7529" w:rsidR="00236558" w:rsidRDefault="00236558" w:rsidP="00DC7281">
      <w:pPr>
        <w:pStyle w:val="Bibliography"/>
        <w:numPr>
          <w:ilvl w:val="0"/>
          <w:numId w:val="13"/>
        </w:numPr>
        <w:spacing w:line="360" w:lineRule="auto"/>
        <w:jc w:val="both"/>
      </w:pPr>
      <w:r>
        <w:t xml:space="preserve">Khurana, S.; Loving, C. L.; Manischewitz, J.; King, L. R.; Gauger, P. C.; Henningson, J.; Vincent, A. L.; Golding, H. Vaccine-Induced Anti-HA2 Antibodies Promote Virus Fusion and Enhance Influenza Virus Respiratory Disease. </w:t>
      </w:r>
      <w:r>
        <w:rPr>
          <w:i/>
          <w:iCs/>
        </w:rPr>
        <w:t>Sci. Transl. Med.</w:t>
      </w:r>
      <w:r>
        <w:t xml:space="preserve"> </w:t>
      </w:r>
      <w:r>
        <w:rPr>
          <w:b/>
          <w:bCs/>
        </w:rPr>
        <w:t>2013</w:t>
      </w:r>
      <w:r>
        <w:t xml:space="preserve">, </w:t>
      </w:r>
      <w:r>
        <w:rPr>
          <w:i/>
          <w:iCs/>
        </w:rPr>
        <w:t>5</w:t>
      </w:r>
      <w:r>
        <w:t xml:space="preserve"> (200), 200ra114. https://doi.org/10.1126/scitranslmed.3006366.</w:t>
      </w:r>
    </w:p>
    <w:p w14:paraId="40FDAEC5" w14:textId="70C89C79" w:rsidR="00236558" w:rsidRDefault="00236558" w:rsidP="00DC7281">
      <w:pPr>
        <w:pStyle w:val="Bibliography"/>
        <w:numPr>
          <w:ilvl w:val="0"/>
          <w:numId w:val="13"/>
        </w:numPr>
        <w:spacing w:line="360" w:lineRule="auto"/>
        <w:jc w:val="both"/>
      </w:pPr>
      <w:r>
        <w:t xml:space="preserve">van Erp, E. A.; van Kasteren, P. B.; Guichelaar, T.; Ahout, I. M. L.; de Haan, C. A. M.; Luytjes, W.; Ferwerda, G.; Wicht, O. In Vitro Enhancement of Respiratory Syncytial Virus Infection by Maternal Antibodies Does Not Explain Disease Severity in Infants. </w:t>
      </w:r>
      <w:r>
        <w:rPr>
          <w:i/>
          <w:iCs/>
        </w:rPr>
        <w:t>J. Virol.</w:t>
      </w:r>
      <w:r>
        <w:t xml:space="preserve"> </w:t>
      </w:r>
      <w:r>
        <w:rPr>
          <w:b/>
          <w:bCs/>
        </w:rPr>
        <w:t>2017</w:t>
      </w:r>
      <w:r>
        <w:t xml:space="preserve">, </w:t>
      </w:r>
      <w:r>
        <w:rPr>
          <w:i/>
          <w:iCs/>
        </w:rPr>
        <w:t>91</w:t>
      </w:r>
      <w:r>
        <w:t xml:space="preserve"> (21), e00851-17. https://doi.org/10.1128/JVI.00851-17.</w:t>
      </w:r>
    </w:p>
    <w:p w14:paraId="5F269F98" w14:textId="3291B427" w:rsidR="00236558" w:rsidRDefault="00236558" w:rsidP="00DC7281">
      <w:pPr>
        <w:pStyle w:val="Bibliography"/>
        <w:numPr>
          <w:ilvl w:val="0"/>
          <w:numId w:val="13"/>
        </w:numPr>
        <w:spacing w:line="360" w:lineRule="auto"/>
        <w:jc w:val="both"/>
      </w:pPr>
      <w:r>
        <w:t xml:space="preserve">Bolles, M.; Deming, D.; Long, K.; Agnihothram, S.; Whitmore, A.; Ferris, M.; Funkhouser, W.; Gralinski, L.; Totura, A.; Heise, M.; Baric, R. S. A Double-Inactivated Severe Acute Respiratory Syndrome Coronavirus Vaccine Provides Incomplete Protection in Mice and Induces Increased Eosinophilic Proinflammatory Pulmonary Response upon Challenge. </w:t>
      </w:r>
      <w:r>
        <w:rPr>
          <w:i/>
          <w:iCs/>
        </w:rPr>
        <w:t>J. Virol.</w:t>
      </w:r>
      <w:r>
        <w:t xml:space="preserve"> </w:t>
      </w:r>
      <w:r>
        <w:rPr>
          <w:b/>
          <w:bCs/>
        </w:rPr>
        <w:t>2011</w:t>
      </w:r>
      <w:r>
        <w:t xml:space="preserve">, </w:t>
      </w:r>
      <w:r>
        <w:rPr>
          <w:i/>
          <w:iCs/>
        </w:rPr>
        <w:t>85</w:t>
      </w:r>
      <w:r>
        <w:t xml:space="preserve"> (23), 12201–12215. https://doi.org/10.1128/JVI.06048-11.</w:t>
      </w:r>
    </w:p>
    <w:p w14:paraId="67C576DD" w14:textId="6FA82241" w:rsidR="00236558" w:rsidRDefault="00236558" w:rsidP="00DC7281">
      <w:pPr>
        <w:pStyle w:val="Bibliography"/>
        <w:numPr>
          <w:ilvl w:val="0"/>
          <w:numId w:val="13"/>
        </w:numPr>
        <w:spacing w:line="360" w:lineRule="auto"/>
        <w:jc w:val="both"/>
      </w:pPr>
      <w:r>
        <w:t xml:space="preserve">Tseng, C.-T.; Sbrana, E.; Iwata-Yoshikawa, N.; Newman, P. C.; Garron, T.; Atmar, R. L.; Peters, C. J.; Couch, R. B. Immunization with SARS Coronavirus Vaccines Leads to Pulmonary Immunopathology on Challenge with the SARS Virus. </w:t>
      </w:r>
      <w:r>
        <w:rPr>
          <w:i/>
          <w:iCs/>
        </w:rPr>
        <w:t>PloS One</w:t>
      </w:r>
      <w:r>
        <w:t xml:space="preserve"> </w:t>
      </w:r>
      <w:r>
        <w:rPr>
          <w:b/>
          <w:bCs/>
        </w:rPr>
        <w:t>2012</w:t>
      </w:r>
      <w:r>
        <w:t xml:space="preserve">, </w:t>
      </w:r>
      <w:r>
        <w:rPr>
          <w:i/>
          <w:iCs/>
        </w:rPr>
        <w:t>7</w:t>
      </w:r>
      <w:r>
        <w:t xml:space="preserve"> (4), e35421. https://doi.org/10.1371/journal.pone.0035421.</w:t>
      </w:r>
    </w:p>
    <w:p w14:paraId="1D6DE4AA" w14:textId="6744CCD4" w:rsidR="00236558" w:rsidRDefault="00236558" w:rsidP="00DC7281">
      <w:pPr>
        <w:pStyle w:val="Bibliography"/>
        <w:numPr>
          <w:ilvl w:val="0"/>
          <w:numId w:val="13"/>
        </w:numPr>
        <w:spacing w:line="360" w:lineRule="auto"/>
        <w:jc w:val="both"/>
      </w:pPr>
      <w:r>
        <w:t xml:space="preserve">Yasui, F.; Kai, C.; Kitabatake, M.; Inoue, S.; Yoneda, M.; Yokochi, S.; Kase, R.; Sekiguchi, S.; Morita, K.; Hishima, T.; Suzuki, H.; Karamatsu, K.; Yasutomi, Y.; Shida, H.; Kidokoro, M.; Mizuno, K.; Matsushima, K.; Kohara, M. Prior Immunization with Severe Acute Respiratory Syndrome (SARS)-Associated Coronavirus (SARS-CoV) Nucleocapsid </w:t>
      </w:r>
      <w:r>
        <w:lastRenderedPageBreak/>
        <w:t xml:space="preserve">Protein Causes Severe Pneumonia in Mice Infected with SARS-CoV1. </w:t>
      </w:r>
      <w:r>
        <w:rPr>
          <w:i/>
          <w:iCs/>
        </w:rPr>
        <w:t>J. Immunol.</w:t>
      </w:r>
      <w:r>
        <w:t xml:space="preserve"> </w:t>
      </w:r>
      <w:r>
        <w:rPr>
          <w:b/>
          <w:bCs/>
        </w:rPr>
        <w:t>2008</w:t>
      </w:r>
      <w:r>
        <w:t xml:space="preserve">, </w:t>
      </w:r>
      <w:r>
        <w:rPr>
          <w:i/>
          <w:iCs/>
        </w:rPr>
        <w:t>181</w:t>
      </w:r>
      <w:r>
        <w:t xml:space="preserve"> (9), 6337–6348. https://doi.org/10.4049/jimmunol.181.9.6337.</w:t>
      </w:r>
    </w:p>
    <w:p w14:paraId="1BEA0236" w14:textId="54D2A0F1" w:rsidR="00236558" w:rsidRDefault="00236558" w:rsidP="00DC7281">
      <w:pPr>
        <w:pStyle w:val="Bibliography"/>
        <w:numPr>
          <w:ilvl w:val="0"/>
          <w:numId w:val="13"/>
        </w:numPr>
        <w:spacing w:line="360" w:lineRule="auto"/>
        <w:jc w:val="both"/>
      </w:pPr>
      <w:r>
        <w:t xml:space="preserve">Weingartl, H.; Czub, M.; Czub, S.; Neufeld, J.; Marszal, P.; Gren, J.; Smith, G.; Jones, S.; Proulx, R.; Deschambault, Y.; Grudeski, E.; Andonov, A.; He, R.; Li, Y.; Copps, J.; Grolla, A.; Dick, D.; Berry, J.; Ganske, S.; Manning, L.; Cao, J. Immunization with Modified Vaccinia Virus Ankara-Based Recombinant Vaccine against Severe Acute Respiratory Syndrome Is Associated with Enhanced Hepatitis in Ferrets. </w:t>
      </w:r>
      <w:r>
        <w:rPr>
          <w:i/>
          <w:iCs/>
        </w:rPr>
        <w:t>J. Virol.</w:t>
      </w:r>
      <w:r>
        <w:t xml:space="preserve"> </w:t>
      </w:r>
      <w:r>
        <w:rPr>
          <w:b/>
          <w:bCs/>
        </w:rPr>
        <w:t>2004</w:t>
      </w:r>
      <w:r>
        <w:t xml:space="preserve">, </w:t>
      </w:r>
      <w:r>
        <w:rPr>
          <w:i/>
          <w:iCs/>
        </w:rPr>
        <w:t>78</w:t>
      </w:r>
      <w:r>
        <w:t xml:space="preserve"> (22), 12672–12676. https://doi.org/10.1128/JVI.78.22.12672-12676.2004.</w:t>
      </w:r>
    </w:p>
    <w:p w14:paraId="7B638AC9" w14:textId="70C7A32C" w:rsidR="00236558" w:rsidRDefault="00236558" w:rsidP="00DC7281">
      <w:pPr>
        <w:pStyle w:val="Bibliography"/>
        <w:numPr>
          <w:ilvl w:val="0"/>
          <w:numId w:val="13"/>
        </w:numPr>
        <w:spacing w:line="360" w:lineRule="auto"/>
        <w:jc w:val="both"/>
      </w:pPr>
      <w:r>
        <w:t xml:space="preserve">Wang, S.-F.; Tseng, S.-P.; Yen, C.-H.; Yang, J.-Y.; Tsao, C.-H.; Shen, C.-W.; Chen, K.-H.; Liu, F.-T.; Liu, W.-T.; Chen, Y.-M. A.; Huang, J. C. Antibody-Dependent SARS Coronavirus Infection Is Mediated by Antibodies against Spike Proteins. </w:t>
      </w:r>
      <w:r>
        <w:rPr>
          <w:i/>
          <w:iCs/>
        </w:rPr>
        <w:t>Biochem. Biophys. Res. Commun.</w:t>
      </w:r>
      <w:r>
        <w:t xml:space="preserve"> </w:t>
      </w:r>
      <w:r>
        <w:rPr>
          <w:b/>
          <w:bCs/>
        </w:rPr>
        <w:t>2014</w:t>
      </w:r>
      <w:r>
        <w:t xml:space="preserve">, </w:t>
      </w:r>
      <w:r>
        <w:rPr>
          <w:i/>
          <w:iCs/>
        </w:rPr>
        <w:t>451</w:t>
      </w:r>
      <w:r>
        <w:t xml:space="preserve"> (2), 208–214. https://doi.org/10.1016/j.bbrc.2014.07.090.</w:t>
      </w:r>
    </w:p>
    <w:p w14:paraId="34D03190" w14:textId="0D9216B5" w:rsidR="00236558" w:rsidRDefault="00236558" w:rsidP="00DC7281">
      <w:pPr>
        <w:pStyle w:val="Bibliography"/>
        <w:numPr>
          <w:ilvl w:val="0"/>
          <w:numId w:val="13"/>
        </w:numPr>
        <w:spacing w:line="360" w:lineRule="auto"/>
        <w:jc w:val="both"/>
      </w:pPr>
      <w:r>
        <w:t xml:space="preserve">Jaume, M.; Yip, M. S.; Cheung, C. Y.; Leung, H. L.; Li, P. H.; Kien, F.; Dutry, I.; Callendret, B.; Escriou, N.; Altmeyer, R.; Nal, B.; Daëron, M.; Bruzzone, R.; Peiris, J. S. M. Anti-Severe Acute Respiratory Syndrome Coronavirus Spike Antibodies Trigger Infection of Human Immune Cells via a PH- and Cysteine Protease-Independent FcγR Pathway. </w:t>
      </w:r>
      <w:r>
        <w:rPr>
          <w:i/>
          <w:iCs/>
        </w:rPr>
        <w:t>J. Virol.</w:t>
      </w:r>
      <w:r>
        <w:t xml:space="preserve"> </w:t>
      </w:r>
      <w:r>
        <w:rPr>
          <w:b/>
          <w:bCs/>
        </w:rPr>
        <w:t>2011</w:t>
      </w:r>
      <w:r>
        <w:t xml:space="preserve">, </w:t>
      </w:r>
      <w:r>
        <w:rPr>
          <w:i/>
          <w:iCs/>
        </w:rPr>
        <w:t>85</w:t>
      </w:r>
      <w:r>
        <w:t xml:space="preserve"> (20), 10582–10597. https://doi.org/10.1128/JVI.00671-11.</w:t>
      </w:r>
    </w:p>
    <w:p w14:paraId="320A348F" w14:textId="36B6184E" w:rsidR="00236558" w:rsidRDefault="00236558" w:rsidP="00DC7281">
      <w:pPr>
        <w:pStyle w:val="Bibliography"/>
        <w:numPr>
          <w:ilvl w:val="0"/>
          <w:numId w:val="13"/>
        </w:numPr>
        <w:spacing w:line="360" w:lineRule="auto"/>
        <w:jc w:val="both"/>
      </w:pPr>
      <w:r>
        <w:t xml:space="preserve">Agrawal, A. S.; Tao, X.; Algaissi, A.; Garron, T.; Narayanan, K.; Peng, B.-H.; Couch, R. B.; Tseng, C.-T. K. Immunization with Inactivated Middle East Respiratory Syndrome Coronavirus Vaccine Leads to Lung Immunopathology on Challenge with Live Virus. </w:t>
      </w:r>
      <w:r>
        <w:rPr>
          <w:i/>
          <w:iCs/>
        </w:rPr>
        <w:t>Hum. Vaccines Immunother.</w:t>
      </w:r>
      <w:r>
        <w:t xml:space="preserve"> </w:t>
      </w:r>
      <w:r>
        <w:rPr>
          <w:b/>
          <w:bCs/>
        </w:rPr>
        <w:t>2016</w:t>
      </w:r>
      <w:r>
        <w:t xml:space="preserve">, </w:t>
      </w:r>
      <w:r>
        <w:rPr>
          <w:i/>
          <w:iCs/>
        </w:rPr>
        <w:t>12</w:t>
      </w:r>
      <w:r>
        <w:t xml:space="preserve"> (9), 2351–2356. https://doi.org/10.1080/21645515.2016.1177688.</w:t>
      </w:r>
    </w:p>
    <w:p w14:paraId="4C8F2438" w14:textId="05C34D3E" w:rsidR="00236558" w:rsidRDefault="00236558" w:rsidP="00DC7281">
      <w:pPr>
        <w:pStyle w:val="Bibliography"/>
        <w:numPr>
          <w:ilvl w:val="0"/>
          <w:numId w:val="13"/>
        </w:numPr>
        <w:spacing w:line="360" w:lineRule="auto"/>
        <w:jc w:val="both"/>
      </w:pPr>
      <w:r>
        <w:t xml:space="preserve">Rauch, S.; Jasny, E.; Schmidt, K. E.; Petsch, B. New Vaccine Technologies to Combat Outbreak Situations. </w:t>
      </w:r>
      <w:r>
        <w:rPr>
          <w:i/>
          <w:iCs/>
        </w:rPr>
        <w:t>Front. Immunol.</w:t>
      </w:r>
      <w:r>
        <w:t xml:space="preserve"> </w:t>
      </w:r>
      <w:r>
        <w:rPr>
          <w:b/>
          <w:bCs/>
        </w:rPr>
        <w:t>2018</w:t>
      </w:r>
      <w:r>
        <w:t xml:space="preserve">, </w:t>
      </w:r>
      <w:r>
        <w:rPr>
          <w:i/>
          <w:iCs/>
        </w:rPr>
        <w:t>9</w:t>
      </w:r>
      <w:r>
        <w:t>.</w:t>
      </w:r>
    </w:p>
    <w:p w14:paraId="2A6D631E" w14:textId="24F9718A" w:rsidR="00236558" w:rsidRDefault="00236558" w:rsidP="00DC7281">
      <w:pPr>
        <w:pStyle w:val="Bibliography"/>
        <w:numPr>
          <w:ilvl w:val="0"/>
          <w:numId w:val="13"/>
        </w:numPr>
        <w:spacing w:line="360" w:lineRule="auto"/>
        <w:jc w:val="both"/>
      </w:pPr>
      <w:r>
        <w:t xml:space="preserve">Ko, J.-H.; Müller, M. A.; Seok, H.; Park, G. E.; Lee, J. Y.; Cho, S. Y.; Ha, Y. E.; Baek, J. Y.; Kim, S. H.; Kang, J.-M.; Kim, Y.-J.; Jo, I. J.; Chung, C. R.; Hahn, M.-J.; Drosten, C.; Kang, C.-I.; Chung, D. R.; Song, J.-H.; Kang, E.-S.; Peck, K. R. Serologic Responses of 42 MERS-Coronavirus-Infected Patients According to the Disease Severity. </w:t>
      </w:r>
      <w:r>
        <w:rPr>
          <w:i/>
          <w:iCs/>
        </w:rPr>
        <w:t>Diagn. Microbiol. Infect. Dis.</w:t>
      </w:r>
      <w:r>
        <w:t xml:space="preserve"> </w:t>
      </w:r>
      <w:r>
        <w:rPr>
          <w:b/>
          <w:bCs/>
        </w:rPr>
        <w:t>2017</w:t>
      </w:r>
      <w:r>
        <w:t xml:space="preserve">, </w:t>
      </w:r>
      <w:r>
        <w:rPr>
          <w:i/>
          <w:iCs/>
        </w:rPr>
        <w:t>89</w:t>
      </w:r>
      <w:r>
        <w:t xml:space="preserve"> (2), 106–111. https://doi.org/10.1016/j.diagmicrobio.2017.07.006.</w:t>
      </w:r>
    </w:p>
    <w:p w14:paraId="41804985" w14:textId="785F5F53" w:rsidR="00236558" w:rsidRDefault="00236558" w:rsidP="00DC7281">
      <w:pPr>
        <w:pStyle w:val="Bibliography"/>
        <w:numPr>
          <w:ilvl w:val="0"/>
          <w:numId w:val="13"/>
        </w:numPr>
        <w:spacing w:line="360" w:lineRule="auto"/>
        <w:jc w:val="both"/>
      </w:pPr>
      <w:r>
        <w:t xml:space="preserve">Peiris, J. S. M.; Chu, C. M.; Cheng, V. C. C.; Chan, K. S.; Hung, I. F. N.; Poon, L. L. M.; Law, K. I.; Tang, B. S. F.; Hon, T. Y. W.; Chan, C. S.; Chan, K. H.; Ng, J. S. C.; Zheng, B. J.; Ng, W. L.; Lai, R. W. M.; Guan, Y.; Yuen, K. Y.; HKU/UCH SARS Study </w:t>
      </w:r>
      <w:r>
        <w:lastRenderedPageBreak/>
        <w:t xml:space="preserve">Group. Clinical Progression and Viral Load in a Community Outbreak of Coronavirus-Associated SARS Pneumonia: A Prospective Study. </w:t>
      </w:r>
      <w:r>
        <w:rPr>
          <w:i/>
          <w:iCs/>
        </w:rPr>
        <w:t>Lancet Lond. Engl.</w:t>
      </w:r>
      <w:r>
        <w:t xml:space="preserve"> </w:t>
      </w:r>
      <w:r>
        <w:rPr>
          <w:b/>
          <w:bCs/>
        </w:rPr>
        <w:t>2003</w:t>
      </w:r>
      <w:r>
        <w:t xml:space="preserve">, </w:t>
      </w:r>
      <w:r>
        <w:rPr>
          <w:i/>
          <w:iCs/>
        </w:rPr>
        <w:t>361</w:t>
      </w:r>
      <w:r>
        <w:t xml:space="preserve"> (9371), 1767–1772. https://doi.org/10.1016/s0140-6736(03)13412-5.</w:t>
      </w:r>
    </w:p>
    <w:p w14:paraId="71914210" w14:textId="58E8E4E7" w:rsidR="00236558" w:rsidRDefault="00236558" w:rsidP="00DC7281">
      <w:pPr>
        <w:pStyle w:val="Bibliography"/>
        <w:numPr>
          <w:ilvl w:val="0"/>
          <w:numId w:val="13"/>
        </w:numPr>
        <w:spacing w:line="360" w:lineRule="auto"/>
        <w:jc w:val="both"/>
      </w:pPr>
      <w:r>
        <w:t xml:space="preserve">Hsueh, P.-R.; Hsiao, C.-H.; Yeh, S.-H.; Wang, W.-K.; Chen, P.-J.; Wang, J.-T.; Chang, S.-C.; Kao, C.-L.; Yang, P.-C. Microbiologic Characteristics, Serologic Responses, and Clinical Manifestations in Severe Acute Respiratory Syndrome, Taiwan1. </w:t>
      </w:r>
      <w:r>
        <w:rPr>
          <w:i/>
          <w:iCs/>
        </w:rPr>
        <w:t>Emerg. Infect. Dis.</w:t>
      </w:r>
      <w:r>
        <w:t xml:space="preserve"> </w:t>
      </w:r>
      <w:r>
        <w:rPr>
          <w:b/>
          <w:bCs/>
        </w:rPr>
        <w:t>2003</w:t>
      </w:r>
      <w:r>
        <w:t xml:space="preserve">, </w:t>
      </w:r>
      <w:r>
        <w:rPr>
          <w:i/>
          <w:iCs/>
        </w:rPr>
        <w:t>9</w:t>
      </w:r>
      <w:r>
        <w:t xml:space="preserve"> (9), 1163–1167. https://doi.org/10.3201/eid0909.030367.</w:t>
      </w:r>
    </w:p>
    <w:p w14:paraId="6CA05C57" w14:textId="78C064B7" w:rsidR="00236558" w:rsidRDefault="00236558" w:rsidP="00DC7281">
      <w:pPr>
        <w:pStyle w:val="Bibliography"/>
        <w:numPr>
          <w:ilvl w:val="0"/>
          <w:numId w:val="13"/>
        </w:numPr>
        <w:spacing w:line="360" w:lineRule="auto"/>
        <w:jc w:val="both"/>
      </w:pPr>
      <w:r>
        <w:t xml:space="preserve">Be, Y.; Swx, O.; Lfp, N.; De, A.; Wn, C.; Py, C.; Lw, A.; Tm, M.; S, K.; Lya, C.; S, P.; Sy, T.; L, S.; P, P.; Sw, F.; Yh, C.; </w:t>
      </w:r>
      <w:r w:rsidRPr="007D38AD">
        <w:rPr>
          <w:rFonts w:ascii="Times New Roman" w:hAnsi="Times New Roman" w:cs="Times New Roman"/>
        </w:rPr>
        <w:t>Cw</w:t>
      </w:r>
      <w:r>
        <w:t xml:space="preserve">, T.; B, L.; O, R.; Y, D.; P, T.; Jgh, L.; L, C.; T, B.; Rtp, L.; Ys, L.; L, R.; Lf, W.; Dc, L.; undefined. Viral Dynamics and Immune Correlates of Coronavirus Disease 2019 (COVID-19) Severity. </w:t>
      </w:r>
      <w:r>
        <w:rPr>
          <w:i/>
          <w:iCs/>
        </w:rPr>
        <w:t>Clin. Infect. Dis. Off. Publ. Infect. Dis. Soc. Am.</w:t>
      </w:r>
      <w:r>
        <w:t xml:space="preserve"> </w:t>
      </w:r>
      <w:r>
        <w:rPr>
          <w:b/>
          <w:bCs/>
        </w:rPr>
        <w:t>2021</w:t>
      </w:r>
      <w:r>
        <w:t xml:space="preserve">, </w:t>
      </w:r>
      <w:r>
        <w:rPr>
          <w:i/>
          <w:iCs/>
        </w:rPr>
        <w:t>73</w:t>
      </w:r>
      <w:r>
        <w:t xml:space="preserve"> (9), e2932–e2942. https://doi.org/10.1093/cid/ciaa1280.</w:t>
      </w:r>
    </w:p>
    <w:p w14:paraId="5F03719C" w14:textId="1874DFEF" w:rsidR="00236558" w:rsidRDefault="00236558" w:rsidP="00DC7281">
      <w:pPr>
        <w:pStyle w:val="Bibliography"/>
        <w:numPr>
          <w:ilvl w:val="0"/>
          <w:numId w:val="13"/>
        </w:numPr>
        <w:spacing w:line="360" w:lineRule="auto"/>
      </w:pPr>
      <w:r>
        <w:rPr>
          <w:i/>
          <w:iCs/>
        </w:rPr>
        <w:t>Regeneron halts enrolment of severely ill patients in COVID-19 antibody trial</w:t>
      </w:r>
      <w:r>
        <w:t>. PMLive. https://www.pmlive.com/pharma_news/regeneron_halts_enrolment_of_severely_ill_patients_in_covid-19_antibody_trial_1355837 (accessed 2023-01-11).</w:t>
      </w:r>
    </w:p>
    <w:p w14:paraId="222A5F31" w14:textId="5A907B15" w:rsidR="00236558" w:rsidRDefault="00236558" w:rsidP="00DC7281">
      <w:pPr>
        <w:pStyle w:val="Bibliography"/>
        <w:numPr>
          <w:ilvl w:val="0"/>
          <w:numId w:val="13"/>
        </w:numPr>
        <w:spacing w:line="360" w:lineRule="auto"/>
      </w:pPr>
      <w:r>
        <w:t xml:space="preserve">Wan, Y.; Shang, J.; Graham, R.; Baric, R. S.; Li, F. Receptor Recognition by the Novel Coronavirus from Wuhan: An Analysis Based on Decade-Long Structural Studies of SARS Coronavirus. </w:t>
      </w:r>
      <w:r>
        <w:rPr>
          <w:i/>
          <w:iCs/>
        </w:rPr>
        <w:t>J. Virol.</w:t>
      </w:r>
      <w:r>
        <w:t xml:space="preserve"> </w:t>
      </w:r>
      <w:r>
        <w:rPr>
          <w:b/>
          <w:bCs/>
        </w:rPr>
        <w:t>2020</w:t>
      </w:r>
      <w:r>
        <w:t xml:space="preserve">, </w:t>
      </w:r>
      <w:r>
        <w:rPr>
          <w:i/>
          <w:iCs/>
        </w:rPr>
        <w:t>94</w:t>
      </w:r>
      <w:r>
        <w:t xml:space="preserve"> (7). https://doi.org/10.1128/JVI.00127-20.</w:t>
      </w:r>
    </w:p>
    <w:p w14:paraId="4E929565" w14:textId="7E4E815F" w:rsidR="00236558" w:rsidRDefault="00236558" w:rsidP="00DC7281">
      <w:pPr>
        <w:pStyle w:val="Bibliography"/>
        <w:numPr>
          <w:ilvl w:val="0"/>
          <w:numId w:val="13"/>
        </w:numPr>
        <w:spacing w:line="360" w:lineRule="auto"/>
      </w:pPr>
      <w:r>
        <w:t xml:space="preserve">Liu, L.; Wei, Q.; Lin, Q.; Fang, J.; Wang, H.; Kwok, H.; Tang, H.; Nishiura, K.; Peng, J.; Tan, Z.; Wu, T.; Cheung, K.-W.; Chan, K.-H.; Alvarez, X.; Qin, C.; Lackner, A.; Perlman, S.; Yuen, K.-Y.; Chen, Z. Anti-Spike IgG Causes Severe Acute Lung Injury by Skewing Macrophage Responses during Acute SARS-CoV Infection. </w:t>
      </w:r>
      <w:r>
        <w:rPr>
          <w:i/>
          <w:iCs/>
        </w:rPr>
        <w:t>JCI Insight</w:t>
      </w:r>
      <w:r>
        <w:t xml:space="preserve"> </w:t>
      </w:r>
      <w:r>
        <w:rPr>
          <w:b/>
          <w:bCs/>
        </w:rPr>
        <w:t>2019</w:t>
      </w:r>
      <w:r>
        <w:t xml:space="preserve">, </w:t>
      </w:r>
      <w:r>
        <w:rPr>
          <w:i/>
          <w:iCs/>
        </w:rPr>
        <w:t>4</w:t>
      </w:r>
      <w:r>
        <w:t xml:space="preserve"> (4), e123158, 123158. https://doi.org/10.1172/jci.insight.123158.</w:t>
      </w:r>
    </w:p>
    <w:p w14:paraId="687A1F2D" w14:textId="53C4F9F1" w:rsidR="00236558" w:rsidRDefault="00236558" w:rsidP="00DC7281">
      <w:pPr>
        <w:pStyle w:val="Bibliography"/>
        <w:numPr>
          <w:ilvl w:val="0"/>
          <w:numId w:val="13"/>
        </w:numPr>
        <w:spacing w:line="360" w:lineRule="auto"/>
      </w:pPr>
      <w:r>
        <w:t xml:space="preserve">Hotez, P. J.; Corry, D. B.; Bottazzi, M. E. COVID-19 Vaccine Design: The Janus Face of Immune Enhancement. </w:t>
      </w:r>
      <w:r>
        <w:rPr>
          <w:i/>
          <w:iCs/>
        </w:rPr>
        <w:t>Nat. Rev. Immunol.</w:t>
      </w:r>
      <w:r>
        <w:t xml:space="preserve"> </w:t>
      </w:r>
      <w:r>
        <w:rPr>
          <w:b/>
          <w:bCs/>
        </w:rPr>
        <w:t>2020</w:t>
      </w:r>
      <w:r>
        <w:t xml:space="preserve">, </w:t>
      </w:r>
      <w:r>
        <w:rPr>
          <w:i/>
          <w:iCs/>
        </w:rPr>
        <w:t>20</w:t>
      </w:r>
      <w:r>
        <w:t xml:space="preserve"> (6), 347–348. https://doi.org/10.1038/s41577-020-0323-4.</w:t>
      </w:r>
    </w:p>
    <w:p w14:paraId="38245E6C" w14:textId="300AF93C" w:rsidR="008807D9" w:rsidRPr="009F44A4" w:rsidRDefault="00803076"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r w:rsidRPr="00A371AB">
        <w:rPr>
          <w:rFonts w:ascii="Times New Roman" w:eastAsia="Times New Roman" w:hAnsi="Times New Roman" w:cs="Times New Roman"/>
          <w:b/>
          <w:color w:val="000000" w:themeColor="text1"/>
          <w:sz w:val="20"/>
          <w:szCs w:val="20"/>
        </w:rPr>
        <w:fldChar w:fldCharType="end"/>
      </w:r>
    </w:p>
    <w:p w14:paraId="5A098794" w14:textId="3C31518B" w:rsidR="0023015C" w:rsidRPr="009F44A4" w:rsidRDefault="0023015C"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p>
    <w:p w14:paraId="4B121A83" w14:textId="23B29F4A" w:rsidR="0023015C" w:rsidRPr="009F44A4" w:rsidRDefault="0023015C"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p>
    <w:p w14:paraId="40DF08CB" w14:textId="39647D28" w:rsidR="00177F33" w:rsidRPr="009F44A4" w:rsidRDefault="00177F33"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p>
    <w:p w14:paraId="1FEE672E" w14:textId="3EF553F6" w:rsidR="00177F33" w:rsidRPr="009F44A4" w:rsidRDefault="00177F33" w:rsidP="00DC7281">
      <w:pPr>
        <w:shd w:val="clear" w:color="auto" w:fill="FFFFFF" w:themeFill="background1"/>
        <w:spacing w:line="360" w:lineRule="auto"/>
        <w:rPr>
          <w:rFonts w:ascii="Times New Roman" w:hAnsi="Times New Roman" w:cs="Times New Roman"/>
          <w:color w:val="000000" w:themeColor="text1"/>
          <w:sz w:val="20"/>
          <w:szCs w:val="20"/>
        </w:rPr>
      </w:pPr>
    </w:p>
    <w:p w14:paraId="64A2D177" w14:textId="0DEA9795" w:rsidR="00177F33" w:rsidRPr="009F44A4" w:rsidRDefault="00177F33" w:rsidP="00DC7281">
      <w:pPr>
        <w:shd w:val="clear" w:color="auto" w:fill="FFFFFF" w:themeFill="background1"/>
        <w:spacing w:line="360" w:lineRule="auto"/>
        <w:rPr>
          <w:rFonts w:ascii="Times New Roman" w:hAnsi="Times New Roman" w:cs="Times New Roman"/>
          <w:color w:val="000000" w:themeColor="text1"/>
          <w:sz w:val="20"/>
          <w:szCs w:val="20"/>
        </w:rPr>
      </w:pPr>
    </w:p>
    <w:p w14:paraId="7BC5F662" w14:textId="24783CC7" w:rsidR="00177F33" w:rsidRPr="009F44A4" w:rsidRDefault="00177F33" w:rsidP="00DC7281">
      <w:pPr>
        <w:shd w:val="clear" w:color="auto" w:fill="FFFFFF" w:themeFill="background1"/>
        <w:spacing w:line="360" w:lineRule="auto"/>
        <w:rPr>
          <w:rFonts w:ascii="Times New Roman" w:hAnsi="Times New Roman" w:cs="Times New Roman"/>
          <w:color w:val="000000" w:themeColor="text1"/>
          <w:sz w:val="20"/>
          <w:szCs w:val="20"/>
        </w:rPr>
      </w:pPr>
    </w:p>
    <w:p w14:paraId="4452C10B" w14:textId="77777777" w:rsidR="00177F33" w:rsidRPr="009F44A4" w:rsidRDefault="00177F33"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p>
    <w:p w14:paraId="57CA63E4" w14:textId="69ECEFFE" w:rsidR="00177F33" w:rsidRPr="009F44A4" w:rsidRDefault="00177F33"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p>
    <w:p w14:paraId="3BF01AD0" w14:textId="77777777" w:rsidR="00177F33" w:rsidRPr="009F44A4" w:rsidRDefault="00177F33" w:rsidP="00DC7281">
      <w:pPr>
        <w:shd w:val="clear" w:color="auto" w:fill="FFFFFF" w:themeFill="background1"/>
        <w:spacing w:line="360" w:lineRule="auto"/>
        <w:jc w:val="both"/>
        <w:rPr>
          <w:rFonts w:ascii="Times New Roman" w:eastAsia="Times New Roman" w:hAnsi="Times New Roman" w:cs="Times New Roman"/>
          <w:b/>
          <w:color w:val="000000" w:themeColor="text1"/>
          <w:sz w:val="20"/>
          <w:szCs w:val="20"/>
        </w:rPr>
      </w:pPr>
    </w:p>
    <w:sectPr w:rsidR="00177F33" w:rsidRPr="009F44A4" w:rsidSect="00284B1D">
      <w:footerReference w:type="even" r:id="rId12"/>
      <w:footerReference w:type="default" r:id="rId13"/>
      <w:footerReference w:type="first" r:id="rId14"/>
      <w:pgSz w:w="12240" w:h="15840"/>
      <w:pgMar w:top="1440" w:right="1440" w:bottom="1440" w:left="1440" w:header="360" w:footer="66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B05E5" w14:textId="77777777" w:rsidR="00E711EE" w:rsidRDefault="00E711EE">
      <w:pPr>
        <w:spacing w:line="240" w:lineRule="auto"/>
      </w:pPr>
      <w:r>
        <w:separator/>
      </w:r>
    </w:p>
  </w:endnote>
  <w:endnote w:type="continuationSeparator" w:id="0">
    <w:p w14:paraId="72EE9F1E" w14:textId="77777777" w:rsidR="00E711EE" w:rsidRDefault="00E71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F768D" w14:textId="11FE1DD3" w:rsidR="003A3EF0" w:rsidRDefault="003A3EF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F3199">
      <w:rPr>
        <w:noProof/>
        <w:color w:val="000000"/>
      </w:rPr>
      <w:t>20</w:t>
    </w:r>
    <w:r>
      <w:rPr>
        <w:color w:val="000000"/>
      </w:rPr>
      <w:fldChar w:fldCharType="end"/>
    </w:r>
  </w:p>
  <w:p w14:paraId="7F73DAC8" w14:textId="77777777" w:rsidR="003A3EF0" w:rsidRDefault="003A3EF0">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4E00" w14:textId="3A41D502" w:rsidR="003A3EF0" w:rsidRDefault="003A3EF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F3199">
      <w:rPr>
        <w:noProof/>
        <w:color w:val="000000"/>
      </w:rPr>
      <w:t>21</w:t>
    </w:r>
    <w:r>
      <w:rPr>
        <w:color w:val="000000"/>
      </w:rPr>
      <w:fldChar w:fldCharType="end"/>
    </w:r>
  </w:p>
  <w:p w14:paraId="49130D72" w14:textId="77777777" w:rsidR="003A3EF0" w:rsidRDefault="003A3EF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FBDF" w14:textId="5067C6B8" w:rsidR="003A3EF0" w:rsidRDefault="003A3EF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F3199">
      <w:rPr>
        <w:noProof/>
        <w:color w:val="000000"/>
      </w:rPr>
      <w:t>1</w:t>
    </w:r>
    <w:r>
      <w:rPr>
        <w:color w:val="000000"/>
      </w:rPr>
      <w:fldChar w:fldCharType="end"/>
    </w:r>
  </w:p>
  <w:p w14:paraId="594E55E1" w14:textId="77777777" w:rsidR="003A3EF0" w:rsidRDefault="003A3EF0">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F551" w14:textId="77777777" w:rsidR="00E711EE" w:rsidRDefault="00E711EE">
      <w:pPr>
        <w:spacing w:line="240" w:lineRule="auto"/>
      </w:pPr>
      <w:r>
        <w:separator/>
      </w:r>
    </w:p>
  </w:footnote>
  <w:footnote w:type="continuationSeparator" w:id="0">
    <w:p w14:paraId="71180F4D" w14:textId="77777777" w:rsidR="00E711EE" w:rsidRDefault="00E711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CFA"/>
    <w:multiLevelType w:val="hybridMultilevel"/>
    <w:tmpl w:val="B33A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C1D9F"/>
    <w:multiLevelType w:val="multilevel"/>
    <w:tmpl w:val="3B5820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464491"/>
    <w:multiLevelType w:val="multilevel"/>
    <w:tmpl w:val="40A0CEEE"/>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26FC57F7"/>
    <w:multiLevelType w:val="multilevel"/>
    <w:tmpl w:val="D5AE16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E8B3464"/>
    <w:multiLevelType w:val="multilevel"/>
    <w:tmpl w:val="54FEE420"/>
    <w:lvl w:ilvl="0">
      <w:start w:val="1"/>
      <w:numFmt w:val="decimal"/>
      <w:lvlText w:val="%1."/>
      <w:lvlJc w:val="left"/>
      <w:pPr>
        <w:ind w:left="720" w:hanging="360"/>
      </w:pPr>
      <w:rPr>
        <w:rFonts w:ascii="Times New Roman" w:eastAsia="Times New Roman" w:hAnsi="Times New Roman" w:cs="Times New Roman"/>
        <w:color w:val="242424"/>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D254C56"/>
    <w:multiLevelType w:val="multilevel"/>
    <w:tmpl w:val="B79A4738"/>
    <w:lvl w:ilvl="0">
      <w:start w:val="1"/>
      <w:numFmt w:val="decimal"/>
      <w:lvlText w:val="%1."/>
      <w:lvlJc w:val="left"/>
      <w:pPr>
        <w:ind w:left="36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6">
    <w:nsid w:val="60BE22C1"/>
    <w:multiLevelType w:val="multilevel"/>
    <w:tmpl w:val="534E2D26"/>
    <w:lvl w:ilvl="0">
      <w:start w:val="1"/>
      <w:numFmt w:val="lowerRoman"/>
      <w:lvlText w:val="%1."/>
      <w:lvlJc w:val="right"/>
      <w:pPr>
        <w:ind w:left="720" w:hanging="360"/>
      </w:pPr>
      <w:rPr>
        <w:color w:val="242424"/>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1F00886"/>
    <w:multiLevelType w:val="multilevel"/>
    <w:tmpl w:val="6AC6B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3AD349B"/>
    <w:multiLevelType w:val="multilevel"/>
    <w:tmpl w:val="DC6CC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45D6402"/>
    <w:multiLevelType w:val="multilevel"/>
    <w:tmpl w:val="E1E4A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5DA6BD7"/>
    <w:multiLevelType w:val="multilevel"/>
    <w:tmpl w:val="DE7C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BB1DC2"/>
    <w:multiLevelType w:val="hybridMultilevel"/>
    <w:tmpl w:val="9190C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33C51"/>
    <w:multiLevelType w:val="hybridMultilevel"/>
    <w:tmpl w:val="80F4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8"/>
  </w:num>
  <w:num w:numId="5">
    <w:abstractNumId w:val="7"/>
  </w:num>
  <w:num w:numId="6">
    <w:abstractNumId w:val="5"/>
  </w:num>
  <w:num w:numId="7">
    <w:abstractNumId w:val="2"/>
  </w:num>
  <w:num w:numId="8">
    <w:abstractNumId w:val="4"/>
  </w:num>
  <w:num w:numId="9">
    <w:abstractNumId w:val="1"/>
    <w:lvlOverride w:ilvl="0">
      <w:lvl w:ilvl="0">
        <w:numFmt w:val="decimal"/>
        <w:lvlText w:val="%1."/>
        <w:lvlJc w:val="left"/>
      </w:lvl>
    </w:lvlOverride>
  </w:num>
  <w:num w:numId="10">
    <w:abstractNumId w:val="10"/>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FE"/>
    <w:rsid w:val="00013079"/>
    <w:rsid w:val="00014A03"/>
    <w:rsid w:val="00017AD6"/>
    <w:rsid w:val="00020DEC"/>
    <w:rsid w:val="000225B7"/>
    <w:rsid w:val="00027085"/>
    <w:rsid w:val="000332F9"/>
    <w:rsid w:val="00033633"/>
    <w:rsid w:val="00035A9D"/>
    <w:rsid w:val="000413A8"/>
    <w:rsid w:val="00045F9B"/>
    <w:rsid w:val="0005165A"/>
    <w:rsid w:val="0005589E"/>
    <w:rsid w:val="0005713A"/>
    <w:rsid w:val="000572AA"/>
    <w:rsid w:val="000627F4"/>
    <w:rsid w:val="0006608B"/>
    <w:rsid w:val="000756B5"/>
    <w:rsid w:val="00085E3F"/>
    <w:rsid w:val="000A21C3"/>
    <w:rsid w:val="000A5AB9"/>
    <w:rsid w:val="000B700E"/>
    <w:rsid w:val="000C03CD"/>
    <w:rsid w:val="000C4523"/>
    <w:rsid w:val="000F3199"/>
    <w:rsid w:val="00107B78"/>
    <w:rsid w:val="00110178"/>
    <w:rsid w:val="00122D06"/>
    <w:rsid w:val="00123B3A"/>
    <w:rsid w:val="00131C24"/>
    <w:rsid w:val="00131D5D"/>
    <w:rsid w:val="00141E90"/>
    <w:rsid w:val="00147BFD"/>
    <w:rsid w:val="0015603A"/>
    <w:rsid w:val="001754D8"/>
    <w:rsid w:val="00177F33"/>
    <w:rsid w:val="00180FB7"/>
    <w:rsid w:val="001864A1"/>
    <w:rsid w:val="00187CCA"/>
    <w:rsid w:val="00195F42"/>
    <w:rsid w:val="00196F86"/>
    <w:rsid w:val="001A0790"/>
    <w:rsid w:val="001A1191"/>
    <w:rsid w:val="001A3789"/>
    <w:rsid w:val="001B3E1B"/>
    <w:rsid w:val="001B45B6"/>
    <w:rsid w:val="001C2E56"/>
    <w:rsid w:val="001C5FD4"/>
    <w:rsid w:val="001F535B"/>
    <w:rsid w:val="001F7B16"/>
    <w:rsid w:val="0020073F"/>
    <w:rsid w:val="0020177D"/>
    <w:rsid w:val="00201C95"/>
    <w:rsid w:val="00203540"/>
    <w:rsid w:val="00204A08"/>
    <w:rsid w:val="00206A47"/>
    <w:rsid w:val="00207A78"/>
    <w:rsid w:val="00212A80"/>
    <w:rsid w:val="00213640"/>
    <w:rsid w:val="002156CB"/>
    <w:rsid w:val="00220700"/>
    <w:rsid w:val="00226B7A"/>
    <w:rsid w:val="0022740C"/>
    <w:rsid w:val="0023015C"/>
    <w:rsid w:val="0023254C"/>
    <w:rsid w:val="00235724"/>
    <w:rsid w:val="00235F55"/>
    <w:rsid w:val="00236558"/>
    <w:rsid w:val="00237820"/>
    <w:rsid w:val="00246EE2"/>
    <w:rsid w:val="002478C9"/>
    <w:rsid w:val="00253ED7"/>
    <w:rsid w:val="00254AF2"/>
    <w:rsid w:val="00255F4F"/>
    <w:rsid w:val="002602DC"/>
    <w:rsid w:val="00260BCB"/>
    <w:rsid w:val="00282F42"/>
    <w:rsid w:val="00284B1D"/>
    <w:rsid w:val="00285220"/>
    <w:rsid w:val="00286CED"/>
    <w:rsid w:val="00295495"/>
    <w:rsid w:val="00297759"/>
    <w:rsid w:val="002A08C4"/>
    <w:rsid w:val="002A0AB5"/>
    <w:rsid w:val="002A39D2"/>
    <w:rsid w:val="002B0886"/>
    <w:rsid w:val="002C054B"/>
    <w:rsid w:val="002C2517"/>
    <w:rsid w:val="002C3339"/>
    <w:rsid w:val="002D2F02"/>
    <w:rsid w:val="002D6ECB"/>
    <w:rsid w:val="002F0AED"/>
    <w:rsid w:val="002F0CFF"/>
    <w:rsid w:val="002F157F"/>
    <w:rsid w:val="00304B7B"/>
    <w:rsid w:val="003077F3"/>
    <w:rsid w:val="00311CAC"/>
    <w:rsid w:val="00316983"/>
    <w:rsid w:val="00317E99"/>
    <w:rsid w:val="00323C92"/>
    <w:rsid w:val="00327F59"/>
    <w:rsid w:val="00334026"/>
    <w:rsid w:val="0033436F"/>
    <w:rsid w:val="00337602"/>
    <w:rsid w:val="00337C75"/>
    <w:rsid w:val="003478C6"/>
    <w:rsid w:val="00353B27"/>
    <w:rsid w:val="00367DEC"/>
    <w:rsid w:val="003714EF"/>
    <w:rsid w:val="00372B65"/>
    <w:rsid w:val="00377D29"/>
    <w:rsid w:val="003804A8"/>
    <w:rsid w:val="0038057C"/>
    <w:rsid w:val="003812AA"/>
    <w:rsid w:val="0038309E"/>
    <w:rsid w:val="003841B5"/>
    <w:rsid w:val="00391F80"/>
    <w:rsid w:val="00392022"/>
    <w:rsid w:val="003955CD"/>
    <w:rsid w:val="003966A8"/>
    <w:rsid w:val="003A3EF0"/>
    <w:rsid w:val="003A4CBD"/>
    <w:rsid w:val="003A7B4A"/>
    <w:rsid w:val="003D487D"/>
    <w:rsid w:val="003E09E7"/>
    <w:rsid w:val="003E1E8F"/>
    <w:rsid w:val="003E6745"/>
    <w:rsid w:val="003F583C"/>
    <w:rsid w:val="004013BC"/>
    <w:rsid w:val="004023F8"/>
    <w:rsid w:val="00406F7B"/>
    <w:rsid w:val="004167F2"/>
    <w:rsid w:val="00420857"/>
    <w:rsid w:val="004208B4"/>
    <w:rsid w:val="00421A11"/>
    <w:rsid w:val="004250F7"/>
    <w:rsid w:val="00425471"/>
    <w:rsid w:val="00426F4E"/>
    <w:rsid w:val="0044444F"/>
    <w:rsid w:val="00446E36"/>
    <w:rsid w:val="00450200"/>
    <w:rsid w:val="004504DB"/>
    <w:rsid w:val="00455F7C"/>
    <w:rsid w:val="00460F5A"/>
    <w:rsid w:val="00466F64"/>
    <w:rsid w:val="00474459"/>
    <w:rsid w:val="00482C4A"/>
    <w:rsid w:val="00482DF0"/>
    <w:rsid w:val="004830C5"/>
    <w:rsid w:val="00486009"/>
    <w:rsid w:val="004A0354"/>
    <w:rsid w:val="004A0498"/>
    <w:rsid w:val="004A7F16"/>
    <w:rsid w:val="004B5970"/>
    <w:rsid w:val="004C02F1"/>
    <w:rsid w:val="004C37E6"/>
    <w:rsid w:val="004D4AA4"/>
    <w:rsid w:val="004E36E0"/>
    <w:rsid w:val="004E43C6"/>
    <w:rsid w:val="004E61F9"/>
    <w:rsid w:val="004E6945"/>
    <w:rsid w:val="004E7D82"/>
    <w:rsid w:val="004F35EE"/>
    <w:rsid w:val="004F543A"/>
    <w:rsid w:val="004F7291"/>
    <w:rsid w:val="004F78A4"/>
    <w:rsid w:val="005017AB"/>
    <w:rsid w:val="005147C8"/>
    <w:rsid w:val="00531F8E"/>
    <w:rsid w:val="005341BB"/>
    <w:rsid w:val="00535F27"/>
    <w:rsid w:val="005518F7"/>
    <w:rsid w:val="00551B86"/>
    <w:rsid w:val="00555BB4"/>
    <w:rsid w:val="00563A8D"/>
    <w:rsid w:val="00564A22"/>
    <w:rsid w:val="005657A2"/>
    <w:rsid w:val="00581D97"/>
    <w:rsid w:val="00582B0B"/>
    <w:rsid w:val="005839DB"/>
    <w:rsid w:val="0058500B"/>
    <w:rsid w:val="00590F9D"/>
    <w:rsid w:val="005A216C"/>
    <w:rsid w:val="005B6911"/>
    <w:rsid w:val="005B6B93"/>
    <w:rsid w:val="005F1564"/>
    <w:rsid w:val="00600DE5"/>
    <w:rsid w:val="006064B4"/>
    <w:rsid w:val="0061475D"/>
    <w:rsid w:val="00616E1E"/>
    <w:rsid w:val="0061722C"/>
    <w:rsid w:val="006230FF"/>
    <w:rsid w:val="00626877"/>
    <w:rsid w:val="00633747"/>
    <w:rsid w:val="006355FE"/>
    <w:rsid w:val="00643295"/>
    <w:rsid w:val="00654E5E"/>
    <w:rsid w:val="00665C53"/>
    <w:rsid w:val="00687015"/>
    <w:rsid w:val="00691BA7"/>
    <w:rsid w:val="006937C5"/>
    <w:rsid w:val="00694E82"/>
    <w:rsid w:val="006952F1"/>
    <w:rsid w:val="006A38AE"/>
    <w:rsid w:val="006B01E1"/>
    <w:rsid w:val="006C3D37"/>
    <w:rsid w:val="006F0205"/>
    <w:rsid w:val="006F6EDB"/>
    <w:rsid w:val="006F7C04"/>
    <w:rsid w:val="007003A2"/>
    <w:rsid w:val="00711E13"/>
    <w:rsid w:val="00713D39"/>
    <w:rsid w:val="00733137"/>
    <w:rsid w:val="0074152A"/>
    <w:rsid w:val="00741813"/>
    <w:rsid w:val="00746084"/>
    <w:rsid w:val="0075553D"/>
    <w:rsid w:val="007574EF"/>
    <w:rsid w:val="00760D10"/>
    <w:rsid w:val="0076325B"/>
    <w:rsid w:val="00772CC3"/>
    <w:rsid w:val="00775DA7"/>
    <w:rsid w:val="007A46A1"/>
    <w:rsid w:val="007A5AD0"/>
    <w:rsid w:val="007A7C74"/>
    <w:rsid w:val="007B0877"/>
    <w:rsid w:val="007B7EBB"/>
    <w:rsid w:val="007C5F29"/>
    <w:rsid w:val="007C6AB5"/>
    <w:rsid w:val="007D38AD"/>
    <w:rsid w:val="007D46C2"/>
    <w:rsid w:val="007E2F5D"/>
    <w:rsid w:val="007E5091"/>
    <w:rsid w:val="007F1DE3"/>
    <w:rsid w:val="007F4AE0"/>
    <w:rsid w:val="00803076"/>
    <w:rsid w:val="008055B7"/>
    <w:rsid w:val="00813BA8"/>
    <w:rsid w:val="00823B79"/>
    <w:rsid w:val="00827753"/>
    <w:rsid w:val="00831D47"/>
    <w:rsid w:val="00833278"/>
    <w:rsid w:val="0083772D"/>
    <w:rsid w:val="008438E1"/>
    <w:rsid w:val="00845204"/>
    <w:rsid w:val="00847241"/>
    <w:rsid w:val="00850C84"/>
    <w:rsid w:val="00854D3A"/>
    <w:rsid w:val="00854E7D"/>
    <w:rsid w:val="00855E2E"/>
    <w:rsid w:val="00856991"/>
    <w:rsid w:val="008573F4"/>
    <w:rsid w:val="00864177"/>
    <w:rsid w:val="00865964"/>
    <w:rsid w:val="00865E10"/>
    <w:rsid w:val="00871330"/>
    <w:rsid w:val="00872714"/>
    <w:rsid w:val="0088077F"/>
    <w:rsid w:val="008807D9"/>
    <w:rsid w:val="00885F54"/>
    <w:rsid w:val="008956DC"/>
    <w:rsid w:val="008A2C4C"/>
    <w:rsid w:val="008C1721"/>
    <w:rsid w:val="008C6FA1"/>
    <w:rsid w:val="008D16FE"/>
    <w:rsid w:val="008D5DD6"/>
    <w:rsid w:val="008E021D"/>
    <w:rsid w:val="008E3764"/>
    <w:rsid w:val="008F1B7F"/>
    <w:rsid w:val="008F30C4"/>
    <w:rsid w:val="008F31F7"/>
    <w:rsid w:val="008F33D5"/>
    <w:rsid w:val="008F4709"/>
    <w:rsid w:val="008F52C5"/>
    <w:rsid w:val="00900C8F"/>
    <w:rsid w:val="009211CB"/>
    <w:rsid w:val="00932282"/>
    <w:rsid w:val="00944280"/>
    <w:rsid w:val="00945D5B"/>
    <w:rsid w:val="00947ECD"/>
    <w:rsid w:val="00974D4B"/>
    <w:rsid w:val="00982271"/>
    <w:rsid w:val="00982419"/>
    <w:rsid w:val="009860DB"/>
    <w:rsid w:val="009868A0"/>
    <w:rsid w:val="00991EF4"/>
    <w:rsid w:val="009941F3"/>
    <w:rsid w:val="00997681"/>
    <w:rsid w:val="009A008D"/>
    <w:rsid w:val="009A1227"/>
    <w:rsid w:val="009A1CCE"/>
    <w:rsid w:val="009B70E2"/>
    <w:rsid w:val="009B7C4A"/>
    <w:rsid w:val="009C02BE"/>
    <w:rsid w:val="009C7920"/>
    <w:rsid w:val="009D35F9"/>
    <w:rsid w:val="009D47F7"/>
    <w:rsid w:val="009D67EA"/>
    <w:rsid w:val="009F44A4"/>
    <w:rsid w:val="00A00FA3"/>
    <w:rsid w:val="00A03239"/>
    <w:rsid w:val="00A10869"/>
    <w:rsid w:val="00A12C94"/>
    <w:rsid w:val="00A16680"/>
    <w:rsid w:val="00A371AB"/>
    <w:rsid w:val="00A47E57"/>
    <w:rsid w:val="00A557BF"/>
    <w:rsid w:val="00A63323"/>
    <w:rsid w:val="00A70888"/>
    <w:rsid w:val="00A70B10"/>
    <w:rsid w:val="00A75ECF"/>
    <w:rsid w:val="00A76C71"/>
    <w:rsid w:val="00A82CC8"/>
    <w:rsid w:val="00A82E9E"/>
    <w:rsid w:val="00A83D73"/>
    <w:rsid w:val="00A97A76"/>
    <w:rsid w:val="00AA792F"/>
    <w:rsid w:val="00AB003C"/>
    <w:rsid w:val="00AB14C7"/>
    <w:rsid w:val="00AC093E"/>
    <w:rsid w:val="00AC2871"/>
    <w:rsid w:val="00AC350C"/>
    <w:rsid w:val="00AC4AA7"/>
    <w:rsid w:val="00AD39BC"/>
    <w:rsid w:val="00AF0D8D"/>
    <w:rsid w:val="00AF2AA4"/>
    <w:rsid w:val="00B03B27"/>
    <w:rsid w:val="00B06701"/>
    <w:rsid w:val="00B17D7B"/>
    <w:rsid w:val="00B3067F"/>
    <w:rsid w:val="00B32E2E"/>
    <w:rsid w:val="00B41E45"/>
    <w:rsid w:val="00B46F71"/>
    <w:rsid w:val="00B47301"/>
    <w:rsid w:val="00B551DE"/>
    <w:rsid w:val="00B5582B"/>
    <w:rsid w:val="00B57D57"/>
    <w:rsid w:val="00B75E1D"/>
    <w:rsid w:val="00B82C07"/>
    <w:rsid w:val="00B84D06"/>
    <w:rsid w:val="00B9220F"/>
    <w:rsid w:val="00B94F7B"/>
    <w:rsid w:val="00BA4D56"/>
    <w:rsid w:val="00BA7D8E"/>
    <w:rsid w:val="00BB59BD"/>
    <w:rsid w:val="00BC5298"/>
    <w:rsid w:val="00BC5D59"/>
    <w:rsid w:val="00BF0469"/>
    <w:rsid w:val="00BF37E0"/>
    <w:rsid w:val="00C02138"/>
    <w:rsid w:val="00C1016A"/>
    <w:rsid w:val="00C14B7B"/>
    <w:rsid w:val="00C205E3"/>
    <w:rsid w:val="00C217CE"/>
    <w:rsid w:val="00C237B9"/>
    <w:rsid w:val="00C2381A"/>
    <w:rsid w:val="00C34227"/>
    <w:rsid w:val="00C44F1D"/>
    <w:rsid w:val="00C44F87"/>
    <w:rsid w:val="00C45C8D"/>
    <w:rsid w:val="00C64170"/>
    <w:rsid w:val="00C64E8A"/>
    <w:rsid w:val="00C65590"/>
    <w:rsid w:val="00C66E9F"/>
    <w:rsid w:val="00C71BF8"/>
    <w:rsid w:val="00C77DDB"/>
    <w:rsid w:val="00C8311A"/>
    <w:rsid w:val="00C84F1A"/>
    <w:rsid w:val="00C969DA"/>
    <w:rsid w:val="00CA1C29"/>
    <w:rsid w:val="00CA710F"/>
    <w:rsid w:val="00CC7C65"/>
    <w:rsid w:val="00CD4033"/>
    <w:rsid w:val="00CD61AC"/>
    <w:rsid w:val="00CE2638"/>
    <w:rsid w:val="00CE59DA"/>
    <w:rsid w:val="00CE7C93"/>
    <w:rsid w:val="00D30249"/>
    <w:rsid w:val="00D30D35"/>
    <w:rsid w:val="00D335CB"/>
    <w:rsid w:val="00D46916"/>
    <w:rsid w:val="00D55E6F"/>
    <w:rsid w:val="00D56AD6"/>
    <w:rsid w:val="00D62117"/>
    <w:rsid w:val="00D63569"/>
    <w:rsid w:val="00D77075"/>
    <w:rsid w:val="00D84B31"/>
    <w:rsid w:val="00DA41AE"/>
    <w:rsid w:val="00DA63BA"/>
    <w:rsid w:val="00DA65F6"/>
    <w:rsid w:val="00DA7090"/>
    <w:rsid w:val="00DB0DF0"/>
    <w:rsid w:val="00DC0A72"/>
    <w:rsid w:val="00DC7281"/>
    <w:rsid w:val="00DD1742"/>
    <w:rsid w:val="00DD746D"/>
    <w:rsid w:val="00DD79B2"/>
    <w:rsid w:val="00DE7654"/>
    <w:rsid w:val="00DF288E"/>
    <w:rsid w:val="00DF3224"/>
    <w:rsid w:val="00DF6F66"/>
    <w:rsid w:val="00E05CB3"/>
    <w:rsid w:val="00E17E57"/>
    <w:rsid w:val="00E22879"/>
    <w:rsid w:val="00E23E2C"/>
    <w:rsid w:val="00E3365B"/>
    <w:rsid w:val="00E34ACD"/>
    <w:rsid w:val="00E37D54"/>
    <w:rsid w:val="00E403EC"/>
    <w:rsid w:val="00E57392"/>
    <w:rsid w:val="00E60FF0"/>
    <w:rsid w:val="00E711EE"/>
    <w:rsid w:val="00EA0356"/>
    <w:rsid w:val="00EA203A"/>
    <w:rsid w:val="00EA22D3"/>
    <w:rsid w:val="00EA3243"/>
    <w:rsid w:val="00EB2343"/>
    <w:rsid w:val="00EB6B15"/>
    <w:rsid w:val="00EC2B87"/>
    <w:rsid w:val="00EC3895"/>
    <w:rsid w:val="00EC50C9"/>
    <w:rsid w:val="00EE4C74"/>
    <w:rsid w:val="00EF4180"/>
    <w:rsid w:val="00F10668"/>
    <w:rsid w:val="00F1335C"/>
    <w:rsid w:val="00F17653"/>
    <w:rsid w:val="00F25C76"/>
    <w:rsid w:val="00F26496"/>
    <w:rsid w:val="00F3230F"/>
    <w:rsid w:val="00F35B25"/>
    <w:rsid w:val="00F41D80"/>
    <w:rsid w:val="00F45C36"/>
    <w:rsid w:val="00F46656"/>
    <w:rsid w:val="00F51E57"/>
    <w:rsid w:val="00F535D3"/>
    <w:rsid w:val="00F53C40"/>
    <w:rsid w:val="00F562CB"/>
    <w:rsid w:val="00F5767A"/>
    <w:rsid w:val="00F916E1"/>
    <w:rsid w:val="00F96A15"/>
    <w:rsid w:val="00FA061F"/>
    <w:rsid w:val="00FA5B35"/>
    <w:rsid w:val="00FB5C85"/>
    <w:rsid w:val="00FB5F06"/>
    <w:rsid w:val="00FB5F59"/>
    <w:rsid w:val="00FC0B03"/>
    <w:rsid w:val="00FD33E8"/>
    <w:rsid w:val="00FE5FC2"/>
    <w:rsid w:val="00FE7C64"/>
    <w:rsid w:val="00FF5C6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1614"/>
  <w15:docId w15:val="{2E578A67-D6BD-444B-B81A-464252D8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DB"/>
  </w:style>
  <w:style w:type="paragraph" w:styleId="Heading1">
    <w:name w:val="heading 1"/>
    <w:basedOn w:val="Normal"/>
    <w:next w:val="Normal"/>
    <w:uiPriority w:val="9"/>
    <w:qFormat/>
    <w:rsid w:val="009860DB"/>
    <w:pPr>
      <w:keepNext/>
      <w:keepLines/>
      <w:spacing w:before="400" w:after="120"/>
      <w:outlineLvl w:val="0"/>
    </w:pPr>
    <w:rPr>
      <w:sz w:val="40"/>
      <w:szCs w:val="40"/>
    </w:rPr>
  </w:style>
  <w:style w:type="paragraph" w:styleId="Heading2">
    <w:name w:val="heading 2"/>
    <w:basedOn w:val="Normal"/>
    <w:next w:val="Normal"/>
    <w:uiPriority w:val="9"/>
    <w:unhideWhenUsed/>
    <w:qFormat/>
    <w:rsid w:val="009860DB"/>
    <w:pPr>
      <w:keepNext/>
      <w:keepLines/>
      <w:spacing w:before="360" w:after="120"/>
      <w:outlineLvl w:val="1"/>
    </w:pPr>
    <w:rPr>
      <w:sz w:val="32"/>
      <w:szCs w:val="32"/>
    </w:rPr>
  </w:style>
  <w:style w:type="paragraph" w:styleId="Heading3">
    <w:name w:val="heading 3"/>
    <w:basedOn w:val="Normal"/>
    <w:next w:val="Normal"/>
    <w:uiPriority w:val="9"/>
    <w:unhideWhenUsed/>
    <w:qFormat/>
    <w:rsid w:val="009860DB"/>
    <w:pPr>
      <w:keepNext/>
      <w:keepLines/>
      <w:spacing w:before="320" w:after="80"/>
      <w:outlineLvl w:val="2"/>
    </w:pPr>
    <w:rPr>
      <w:color w:val="434343"/>
      <w:sz w:val="28"/>
      <w:szCs w:val="28"/>
    </w:rPr>
  </w:style>
  <w:style w:type="paragraph" w:styleId="Heading4">
    <w:name w:val="heading 4"/>
    <w:basedOn w:val="Normal"/>
    <w:next w:val="Normal"/>
    <w:uiPriority w:val="9"/>
    <w:unhideWhenUsed/>
    <w:qFormat/>
    <w:rsid w:val="009860DB"/>
    <w:pPr>
      <w:keepNext/>
      <w:keepLines/>
      <w:spacing w:before="280" w:after="80"/>
      <w:outlineLvl w:val="3"/>
    </w:pPr>
    <w:rPr>
      <w:color w:val="666666"/>
      <w:sz w:val="24"/>
      <w:szCs w:val="24"/>
    </w:rPr>
  </w:style>
  <w:style w:type="paragraph" w:styleId="Heading5">
    <w:name w:val="heading 5"/>
    <w:basedOn w:val="Normal"/>
    <w:next w:val="Normal"/>
    <w:uiPriority w:val="9"/>
    <w:unhideWhenUsed/>
    <w:qFormat/>
    <w:rsid w:val="009860DB"/>
    <w:pPr>
      <w:keepNext/>
      <w:keepLines/>
      <w:spacing w:before="240" w:after="80"/>
      <w:outlineLvl w:val="4"/>
    </w:pPr>
    <w:rPr>
      <w:color w:val="666666"/>
    </w:rPr>
  </w:style>
  <w:style w:type="paragraph" w:styleId="Heading6">
    <w:name w:val="heading 6"/>
    <w:basedOn w:val="Normal"/>
    <w:next w:val="Normal"/>
    <w:uiPriority w:val="9"/>
    <w:semiHidden/>
    <w:unhideWhenUsed/>
    <w:qFormat/>
    <w:rsid w:val="009860D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860DB"/>
    <w:pPr>
      <w:keepNext/>
      <w:keepLines/>
      <w:spacing w:after="60"/>
    </w:pPr>
    <w:rPr>
      <w:sz w:val="52"/>
      <w:szCs w:val="52"/>
    </w:rPr>
  </w:style>
  <w:style w:type="paragraph" w:styleId="Subtitle">
    <w:name w:val="Subtitle"/>
    <w:basedOn w:val="Normal"/>
    <w:next w:val="Normal"/>
    <w:uiPriority w:val="11"/>
    <w:qFormat/>
    <w:rsid w:val="009860DB"/>
    <w:pPr>
      <w:keepNext/>
      <w:keepLines/>
      <w:spacing w:after="320"/>
    </w:pPr>
    <w:rPr>
      <w:color w:val="666666"/>
      <w:sz w:val="30"/>
      <w:szCs w:val="30"/>
    </w:rPr>
  </w:style>
  <w:style w:type="paragraph" w:styleId="ListParagraph">
    <w:name w:val="List Paragraph"/>
    <w:basedOn w:val="Normal"/>
    <w:uiPriority w:val="34"/>
    <w:qFormat/>
    <w:rsid w:val="00945D5B"/>
    <w:pPr>
      <w:ind w:left="720"/>
      <w:contextualSpacing/>
    </w:pPr>
  </w:style>
  <w:style w:type="paragraph" w:styleId="Bibliography">
    <w:name w:val="Bibliography"/>
    <w:basedOn w:val="Normal"/>
    <w:next w:val="Normal"/>
    <w:uiPriority w:val="37"/>
    <w:unhideWhenUsed/>
    <w:rsid w:val="00803076"/>
    <w:pPr>
      <w:tabs>
        <w:tab w:val="left" w:pos="624"/>
      </w:tabs>
      <w:spacing w:line="240" w:lineRule="auto"/>
      <w:ind w:left="624" w:hanging="624"/>
    </w:pPr>
  </w:style>
  <w:style w:type="character" w:styleId="CommentReference">
    <w:name w:val="annotation reference"/>
    <w:basedOn w:val="DefaultParagraphFont"/>
    <w:uiPriority w:val="99"/>
    <w:semiHidden/>
    <w:unhideWhenUsed/>
    <w:rsid w:val="00665C53"/>
    <w:rPr>
      <w:sz w:val="16"/>
      <w:szCs w:val="16"/>
    </w:rPr>
  </w:style>
  <w:style w:type="paragraph" w:styleId="CommentText">
    <w:name w:val="annotation text"/>
    <w:basedOn w:val="Normal"/>
    <w:link w:val="CommentTextChar"/>
    <w:uiPriority w:val="99"/>
    <w:semiHidden/>
    <w:unhideWhenUsed/>
    <w:rsid w:val="00665C53"/>
    <w:pPr>
      <w:spacing w:line="240" w:lineRule="auto"/>
    </w:pPr>
    <w:rPr>
      <w:sz w:val="20"/>
      <w:szCs w:val="20"/>
    </w:rPr>
  </w:style>
  <w:style w:type="character" w:customStyle="1" w:styleId="CommentTextChar">
    <w:name w:val="Comment Text Char"/>
    <w:basedOn w:val="DefaultParagraphFont"/>
    <w:link w:val="CommentText"/>
    <w:uiPriority w:val="99"/>
    <w:semiHidden/>
    <w:rsid w:val="00665C53"/>
    <w:rPr>
      <w:sz w:val="20"/>
      <w:szCs w:val="20"/>
    </w:rPr>
  </w:style>
  <w:style w:type="paragraph" w:styleId="CommentSubject">
    <w:name w:val="annotation subject"/>
    <w:basedOn w:val="CommentText"/>
    <w:next w:val="CommentText"/>
    <w:link w:val="CommentSubjectChar"/>
    <w:uiPriority w:val="99"/>
    <w:semiHidden/>
    <w:unhideWhenUsed/>
    <w:rsid w:val="00665C53"/>
    <w:rPr>
      <w:b/>
      <w:bCs/>
    </w:rPr>
  </w:style>
  <w:style w:type="character" w:customStyle="1" w:styleId="CommentSubjectChar">
    <w:name w:val="Comment Subject Char"/>
    <w:basedOn w:val="CommentTextChar"/>
    <w:link w:val="CommentSubject"/>
    <w:uiPriority w:val="99"/>
    <w:semiHidden/>
    <w:rsid w:val="00665C53"/>
    <w:rPr>
      <w:b/>
      <w:bCs/>
      <w:sz w:val="20"/>
      <w:szCs w:val="20"/>
    </w:rPr>
  </w:style>
  <w:style w:type="paragraph" w:styleId="BalloonText">
    <w:name w:val="Balloon Text"/>
    <w:basedOn w:val="Normal"/>
    <w:link w:val="BalloonTextChar"/>
    <w:uiPriority w:val="99"/>
    <w:semiHidden/>
    <w:unhideWhenUsed/>
    <w:rsid w:val="00665C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53"/>
    <w:rPr>
      <w:rFonts w:ascii="Segoe UI" w:hAnsi="Segoe UI" w:cs="Segoe UI"/>
      <w:sz w:val="18"/>
      <w:szCs w:val="18"/>
    </w:rPr>
  </w:style>
  <w:style w:type="paragraph" w:styleId="NoSpacing">
    <w:name w:val="No Spacing"/>
    <w:uiPriority w:val="1"/>
    <w:qFormat/>
    <w:rsid w:val="000C03CD"/>
    <w:pPr>
      <w:spacing w:line="240" w:lineRule="auto"/>
    </w:pPr>
  </w:style>
  <w:style w:type="table" w:customStyle="1" w:styleId="GridTable5Dark-Accent31">
    <w:name w:val="Grid Table 5 Dark - Accent 31"/>
    <w:basedOn w:val="TableNormal"/>
    <w:next w:val="GridTable5Dark-Accent3"/>
    <w:uiPriority w:val="50"/>
    <w:rsid w:val="00DA65F6"/>
    <w:pPr>
      <w:spacing w:line="240" w:lineRule="auto"/>
    </w:pPr>
    <w:rPr>
      <w:rFonts w:ascii="Calibri" w:eastAsia="Calibri" w:hAnsi="Calibri" w:cs="Times New Roman"/>
      <w:lang w:val="en-IN"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3">
    <w:name w:val="Grid Table 5 Dark Accent 3"/>
    <w:basedOn w:val="TableNormal"/>
    <w:uiPriority w:val="50"/>
    <w:rsid w:val="00DA6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6Colorful-Accent31">
    <w:name w:val="Grid Table 6 Colorful - Accent 31"/>
    <w:basedOn w:val="TableNormal"/>
    <w:next w:val="GridTable6Colorful-Accent3"/>
    <w:uiPriority w:val="51"/>
    <w:rsid w:val="006064B4"/>
    <w:pPr>
      <w:spacing w:line="240" w:lineRule="auto"/>
    </w:pPr>
    <w:rPr>
      <w:rFonts w:ascii="Calibri" w:eastAsia="Calibri" w:hAnsi="Calibri" w:cs="Times New Roman"/>
      <w:color w:val="7B7B7B"/>
      <w:lang w:val="en-IN"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rsid w:val="006064B4"/>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2D6EC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372B65"/>
    <w:rPr>
      <w:color w:val="0000FF"/>
      <w:u w:val="single"/>
    </w:rPr>
  </w:style>
  <w:style w:type="table" w:styleId="TableGrid">
    <w:name w:val="Table Grid"/>
    <w:basedOn w:val="TableNormal"/>
    <w:uiPriority w:val="39"/>
    <w:rsid w:val="003A7B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2550">
      <w:bodyDiv w:val="1"/>
      <w:marLeft w:val="0"/>
      <w:marRight w:val="0"/>
      <w:marTop w:val="0"/>
      <w:marBottom w:val="0"/>
      <w:divBdr>
        <w:top w:val="none" w:sz="0" w:space="0" w:color="auto"/>
        <w:left w:val="none" w:sz="0" w:space="0" w:color="auto"/>
        <w:bottom w:val="none" w:sz="0" w:space="0" w:color="auto"/>
        <w:right w:val="none" w:sz="0" w:space="0" w:color="auto"/>
      </w:divBdr>
    </w:div>
    <w:div w:id="291864457">
      <w:bodyDiv w:val="1"/>
      <w:marLeft w:val="0"/>
      <w:marRight w:val="0"/>
      <w:marTop w:val="0"/>
      <w:marBottom w:val="0"/>
      <w:divBdr>
        <w:top w:val="none" w:sz="0" w:space="0" w:color="auto"/>
        <w:left w:val="none" w:sz="0" w:space="0" w:color="auto"/>
        <w:bottom w:val="none" w:sz="0" w:space="0" w:color="auto"/>
        <w:right w:val="none" w:sz="0" w:space="0" w:color="auto"/>
      </w:divBdr>
    </w:div>
    <w:div w:id="407382681">
      <w:bodyDiv w:val="1"/>
      <w:marLeft w:val="0"/>
      <w:marRight w:val="0"/>
      <w:marTop w:val="0"/>
      <w:marBottom w:val="0"/>
      <w:divBdr>
        <w:top w:val="none" w:sz="0" w:space="0" w:color="auto"/>
        <w:left w:val="none" w:sz="0" w:space="0" w:color="auto"/>
        <w:bottom w:val="none" w:sz="0" w:space="0" w:color="auto"/>
        <w:right w:val="none" w:sz="0" w:space="0" w:color="auto"/>
      </w:divBdr>
    </w:div>
    <w:div w:id="504365269">
      <w:bodyDiv w:val="1"/>
      <w:marLeft w:val="0"/>
      <w:marRight w:val="0"/>
      <w:marTop w:val="0"/>
      <w:marBottom w:val="0"/>
      <w:divBdr>
        <w:top w:val="none" w:sz="0" w:space="0" w:color="auto"/>
        <w:left w:val="none" w:sz="0" w:space="0" w:color="auto"/>
        <w:bottom w:val="none" w:sz="0" w:space="0" w:color="auto"/>
        <w:right w:val="none" w:sz="0" w:space="0" w:color="auto"/>
      </w:divBdr>
    </w:div>
    <w:div w:id="1078018454">
      <w:bodyDiv w:val="1"/>
      <w:marLeft w:val="0"/>
      <w:marRight w:val="0"/>
      <w:marTop w:val="0"/>
      <w:marBottom w:val="0"/>
      <w:divBdr>
        <w:top w:val="none" w:sz="0" w:space="0" w:color="auto"/>
        <w:left w:val="none" w:sz="0" w:space="0" w:color="auto"/>
        <w:bottom w:val="none" w:sz="0" w:space="0" w:color="auto"/>
        <w:right w:val="none" w:sz="0" w:space="0" w:color="auto"/>
      </w:divBdr>
    </w:div>
    <w:div w:id="1186820598">
      <w:bodyDiv w:val="1"/>
      <w:marLeft w:val="0"/>
      <w:marRight w:val="0"/>
      <w:marTop w:val="0"/>
      <w:marBottom w:val="0"/>
      <w:divBdr>
        <w:top w:val="none" w:sz="0" w:space="0" w:color="auto"/>
        <w:left w:val="none" w:sz="0" w:space="0" w:color="auto"/>
        <w:bottom w:val="none" w:sz="0" w:space="0" w:color="auto"/>
        <w:right w:val="none" w:sz="0" w:space="0" w:color="auto"/>
      </w:divBdr>
    </w:div>
    <w:div w:id="1412895618">
      <w:bodyDiv w:val="1"/>
      <w:marLeft w:val="0"/>
      <w:marRight w:val="0"/>
      <w:marTop w:val="0"/>
      <w:marBottom w:val="0"/>
      <w:divBdr>
        <w:top w:val="none" w:sz="0" w:space="0" w:color="auto"/>
        <w:left w:val="none" w:sz="0" w:space="0" w:color="auto"/>
        <w:bottom w:val="none" w:sz="0" w:space="0" w:color="auto"/>
        <w:right w:val="none" w:sz="0" w:space="0" w:color="auto"/>
      </w:divBdr>
    </w:div>
    <w:div w:id="1562211392">
      <w:bodyDiv w:val="1"/>
      <w:marLeft w:val="0"/>
      <w:marRight w:val="0"/>
      <w:marTop w:val="0"/>
      <w:marBottom w:val="0"/>
      <w:divBdr>
        <w:top w:val="none" w:sz="0" w:space="0" w:color="auto"/>
        <w:left w:val="none" w:sz="0" w:space="0" w:color="auto"/>
        <w:bottom w:val="none" w:sz="0" w:space="0" w:color="auto"/>
        <w:right w:val="none" w:sz="0" w:space="0" w:color="auto"/>
      </w:divBdr>
    </w:div>
    <w:div w:id="1601062965">
      <w:bodyDiv w:val="1"/>
      <w:marLeft w:val="0"/>
      <w:marRight w:val="0"/>
      <w:marTop w:val="0"/>
      <w:marBottom w:val="0"/>
      <w:divBdr>
        <w:top w:val="none" w:sz="0" w:space="0" w:color="auto"/>
        <w:left w:val="none" w:sz="0" w:space="0" w:color="auto"/>
        <w:bottom w:val="none" w:sz="0" w:space="0" w:color="auto"/>
        <w:right w:val="none" w:sz="0" w:space="0" w:color="auto"/>
      </w:divBdr>
    </w:div>
    <w:div w:id="1630163353">
      <w:bodyDiv w:val="1"/>
      <w:marLeft w:val="0"/>
      <w:marRight w:val="0"/>
      <w:marTop w:val="0"/>
      <w:marBottom w:val="0"/>
      <w:divBdr>
        <w:top w:val="none" w:sz="0" w:space="0" w:color="auto"/>
        <w:left w:val="none" w:sz="0" w:space="0" w:color="auto"/>
        <w:bottom w:val="none" w:sz="0" w:space="0" w:color="auto"/>
        <w:right w:val="none" w:sz="0" w:space="0" w:color="auto"/>
      </w:divBdr>
    </w:div>
    <w:div w:id="1773434910">
      <w:bodyDiv w:val="1"/>
      <w:marLeft w:val="0"/>
      <w:marRight w:val="0"/>
      <w:marTop w:val="0"/>
      <w:marBottom w:val="0"/>
      <w:divBdr>
        <w:top w:val="none" w:sz="0" w:space="0" w:color="auto"/>
        <w:left w:val="none" w:sz="0" w:space="0" w:color="auto"/>
        <w:bottom w:val="none" w:sz="0" w:space="0" w:color="auto"/>
        <w:right w:val="none" w:sz="0" w:space="0" w:color="auto"/>
      </w:divBdr>
    </w:div>
    <w:div w:id="1816221230">
      <w:bodyDiv w:val="1"/>
      <w:marLeft w:val="0"/>
      <w:marRight w:val="0"/>
      <w:marTop w:val="0"/>
      <w:marBottom w:val="0"/>
      <w:divBdr>
        <w:top w:val="none" w:sz="0" w:space="0" w:color="auto"/>
        <w:left w:val="none" w:sz="0" w:space="0" w:color="auto"/>
        <w:bottom w:val="none" w:sz="0" w:space="0" w:color="auto"/>
        <w:right w:val="none" w:sz="0" w:space="0" w:color="auto"/>
      </w:divBdr>
    </w:div>
    <w:div w:id="185919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mahto.bme@iitbhu.ac.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7AAA-ED5C-4AC0-A048-AE5BBA7D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61</Pages>
  <Words>143429</Words>
  <Characters>817547</Characters>
  <Application>Microsoft Office Word</Application>
  <DocSecurity>0</DocSecurity>
  <Lines>6812</Lines>
  <Paragraphs>1918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 singh</dc:creator>
  <cp:lastModifiedBy>Microsoft account</cp:lastModifiedBy>
  <cp:revision>16</cp:revision>
  <dcterms:created xsi:type="dcterms:W3CDTF">2023-03-11T12:37:00Z</dcterms:created>
  <dcterms:modified xsi:type="dcterms:W3CDTF">2023-07-14T06:48:00Z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id="nJfHdfyf"/&gt;&lt;style id="http://www.zotero.org/styles/acs-applied-materials-and-interfaces" hasBibliography="1" bibliographyStyleHasBeenSet="1"/&gt;&lt;prefs&gt;&lt;pref name="fieldType" value="Field"/&gt;&lt;pref </vt:lpwstr>
  </property>
  <property fmtid="{D5CDD505-2E9C-101B-9397-08002B2CF9AE}" pid="3" name="ZOTERO_PREF_2">
    <vt:lpwstr>name="automaticJournalAbbreviations" value="true"/&gt;&lt;pref name="delayCitationUpdates" value="true"/&gt;&lt;pref name="dontAskDelayCitationUpdates" value="true"/&gt;&lt;/prefs&gt;&lt;/data&gt;</vt:lpwstr>
  </property>
</Properties>
</file>