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BD689" w14:textId="1ACA7EB9" w:rsidR="002B0835" w:rsidRDefault="002B0835" w:rsidP="002B083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Role of LC-MS in high-throughput </w:t>
      </w:r>
      <w:r w:rsidR="00FF7839">
        <w:rPr>
          <w:rFonts w:ascii="Times New Roman" w:hAnsi="Times New Roman" w:cs="Times New Roman"/>
          <w:b/>
          <w:sz w:val="28"/>
          <w:szCs w:val="28"/>
        </w:rPr>
        <w:t>screening</w:t>
      </w:r>
      <w:r>
        <w:rPr>
          <w:rFonts w:ascii="Times New Roman" w:hAnsi="Times New Roman" w:cs="Times New Roman"/>
          <w:b/>
          <w:sz w:val="28"/>
          <w:szCs w:val="28"/>
        </w:rPr>
        <w:t xml:space="preserve"> of biomarker </w:t>
      </w:r>
    </w:p>
    <w:p w14:paraId="52F1FBF1" w14:textId="16E01DDA" w:rsidR="002B0835" w:rsidRPr="00572E04" w:rsidRDefault="002B0835" w:rsidP="002B0835">
      <w:pPr>
        <w:spacing w:after="0" w:line="360" w:lineRule="auto"/>
        <w:jc w:val="center"/>
        <w:rPr>
          <w:rFonts w:ascii="Times New Roman" w:hAnsi="Times New Roman" w:cs="Times New Roman"/>
          <w:sz w:val="24"/>
          <w:szCs w:val="24"/>
          <w:vertAlign w:val="superscript"/>
        </w:rPr>
      </w:pPr>
      <w:proofErr w:type="spellStart"/>
      <w:r>
        <w:rPr>
          <w:rFonts w:ascii="Times New Roman" w:hAnsi="Times New Roman" w:cs="Times New Roman"/>
          <w:sz w:val="24"/>
          <w:szCs w:val="24"/>
        </w:rPr>
        <w:t>Shivanshu</w:t>
      </w:r>
      <w:proofErr w:type="spellEnd"/>
      <w:r>
        <w:rPr>
          <w:rFonts w:ascii="Times New Roman" w:hAnsi="Times New Roman" w:cs="Times New Roman"/>
          <w:sz w:val="24"/>
          <w:szCs w:val="24"/>
        </w:rPr>
        <w:t xml:space="preserve"> Gangwar</w:t>
      </w:r>
      <w:r>
        <w:rPr>
          <w:rFonts w:ascii="Times New Roman" w:hAnsi="Times New Roman" w:cs="Times New Roman"/>
          <w:sz w:val="24"/>
          <w:szCs w:val="24"/>
          <w:vertAlign w:val="superscript"/>
        </w:rPr>
        <w:t>1*</w:t>
      </w:r>
      <w:r>
        <w:rPr>
          <w:rFonts w:ascii="Times New Roman" w:hAnsi="Times New Roman" w:cs="Times New Roman"/>
          <w:sz w:val="24"/>
          <w:szCs w:val="24"/>
        </w:rPr>
        <w:t>, Rohit Kumar</w:t>
      </w:r>
      <w:r>
        <w:rPr>
          <w:rFonts w:ascii="Times New Roman" w:hAnsi="Times New Roman" w:cs="Times New Roman"/>
          <w:sz w:val="24"/>
          <w:szCs w:val="24"/>
          <w:vertAlign w:val="superscript"/>
        </w:rPr>
        <w:t>2</w:t>
      </w:r>
      <w:r>
        <w:rPr>
          <w:rFonts w:ascii="Times New Roman" w:hAnsi="Times New Roman" w:cs="Times New Roman"/>
          <w:sz w:val="24"/>
          <w:szCs w:val="24"/>
        </w:rPr>
        <w:t>, Mandeep Yadav</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Himanshi</w:t>
      </w:r>
      <w:proofErr w:type="spellEnd"/>
      <w:r>
        <w:rPr>
          <w:rFonts w:ascii="Times New Roman" w:hAnsi="Times New Roman" w:cs="Times New Roman"/>
          <w:sz w:val="24"/>
          <w:szCs w:val="24"/>
        </w:rPr>
        <w:t xml:space="preserve"> Rathaur</w:t>
      </w:r>
      <w:r>
        <w:rPr>
          <w:rFonts w:ascii="Times New Roman" w:hAnsi="Times New Roman" w:cs="Times New Roman"/>
          <w:sz w:val="24"/>
          <w:szCs w:val="24"/>
          <w:vertAlign w:val="superscript"/>
        </w:rPr>
        <w:t>4</w:t>
      </w:r>
      <w:r w:rsidR="00B91E2F">
        <w:rPr>
          <w:rFonts w:ascii="Times New Roman" w:hAnsi="Times New Roman" w:cs="Times New Roman"/>
          <w:sz w:val="24"/>
          <w:szCs w:val="24"/>
        </w:rPr>
        <w:t xml:space="preserve">, </w:t>
      </w:r>
      <w:r w:rsidR="00B91E2F" w:rsidRPr="00B91E2F">
        <w:rPr>
          <w:rFonts w:ascii="Times New Roman" w:hAnsi="Times New Roman" w:cs="Times New Roman"/>
          <w:sz w:val="24"/>
          <w:szCs w:val="24"/>
        </w:rPr>
        <w:t>Rizwan Ahmad</w:t>
      </w:r>
      <w:r w:rsidR="00572E04">
        <w:rPr>
          <w:rFonts w:ascii="Times New Roman" w:hAnsi="Times New Roman" w:cs="Times New Roman"/>
          <w:sz w:val="24"/>
          <w:szCs w:val="24"/>
          <w:vertAlign w:val="superscript"/>
        </w:rPr>
        <w:t>5</w:t>
      </w:r>
    </w:p>
    <w:p w14:paraId="1B9DF371" w14:textId="77777777" w:rsidR="00B91E2F" w:rsidRPr="00B91E2F" w:rsidRDefault="00B91E2F" w:rsidP="00B91E2F">
      <w:pPr>
        <w:spacing w:after="0" w:line="360" w:lineRule="auto"/>
        <w:rPr>
          <w:rFonts w:ascii="Times New Roman" w:hAnsi="Times New Roman" w:cs="Times New Roman"/>
          <w:b/>
          <w:sz w:val="24"/>
          <w:szCs w:val="24"/>
        </w:rPr>
      </w:pPr>
    </w:p>
    <w:p w14:paraId="285B32E8" w14:textId="0E1DD15C" w:rsidR="002B0835" w:rsidRDefault="006220DB" w:rsidP="006220DB">
      <w:pPr>
        <w:spacing w:after="0" w:line="360" w:lineRule="auto"/>
        <w:rPr>
          <w:rFonts w:ascii="Times New Roman" w:hAnsi="Times New Roman" w:cs="Times New Roman"/>
          <w:b/>
          <w:sz w:val="28"/>
          <w:szCs w:val="28"/>
        </w:rPr>
      </w:pPr>
      <w:r>
        <w:rPr>
          <w:rFonts w:ascii="Times New Roman" w:hAnsi="Times New Roman" w:cs="Times New Roman"/>
          <w:b/>
          <w:sz w:val="28"/>
          <w:szCs w:val="28"/>
        </w:rPr>
        <w:t>Affiliations</w:t>
      </w:r>
    </w:p>
    <w:p w14:paraId="4DBCA667" w14:textId="478E39F7" w:rsidR="002B0835" w:rsidRDefault="002B0835" w:rsidP="002B0835">
      <w:pPr>
        <w:spacing w:after="0" w:line="360" w:lineRule="auto"/>
        <w:jc w:val="both"/>
        <w:rPr>
          <w:rFonts w:ascii="Times New Roman" w:hAnsi="Times New Roman" w:cs="Times New Roman"/>
          <w:sz w:val="24"/>
          <w:szCs w:val="24"/>
        </w:rPr>
      </w:pPr>
      <w:r w:rsidRPr="00B91E2F">
        <w:rPr>
          <w:rFonts w:ascii="Times New Roman" w:hAnsi="Times New Roman" w:cs="Times New Roman"/>
          <w:b/>
          <w:bCs/>
          <w:sz w:val="24"/>
          <w:szCs w:val="24"/>
          <w:vertAlign w:val="superscript"/>
        </w:rPr>
        <w:t>1</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Shri Ram </w:t>
      </w:r>
      <w:proofErr w:type="spellStart"/>
      <w:r>
        <w:rPr>
          <w:rFonts w:ascii="Times New Roman" w:hAnsi="Times New Roman" w:cs="Times New Roman"/>
          <w:sz w:val="24"/>
          <w:szCs w:val="24"/>
        </w:rPr>
        <w:t>Murti</w:t>
      </w:r>
      <w:proofErr w:type="spellEnd"/>
      <w:r>
        <w:rPr>
          <w:rFonts w:ascii="Times New Roman" w:hAnsi="Times New Roman" w:cs="Times New Roman"/>
          <w:sz w:val="24"/>
          <w:szCs w:val="24"/>
        </w:rPr>
        <w:t xml:space="preserve"> Smarak College of Engineering and Technology</w:t>
      </w:r>
      <w:r w:rsidR="00263376">
        <w:rPr>
          <w:rFonts w:ascii="Times New Roman" w:hAnsi="Times New Roman" w:cs="Times New Roman"/>
          <w:sz w:val="24"/>
          <w:szCs w:val="24"/>
        </w:rPr>
        <w:t xml:space="preserve">, </w:t>
      </w:r>
      <w:r w:rsidR="00263376" w:rsidRPr="00263376">
        <w:rPr>
          <w:rFonts w:ascii="Times New Roman" w:hAnsi="Times New Roman" w:cs="Times New Roman"/>
          <w:sz w:val="24"/>
          <w:szCs w:val="24"/>
        </w:rPr>
        <w:t xml:space="preserve">Ram </w:t>
      </w:r>
      <w:proofErr w:type="spellStart"/>
      <w:r w:rsidR="00263376" w:rsidRPr="00263376">
        <w:rPr>
          <w:rFonts w:ascii="Times New Roman" w:hAnsi="Times New Roman" w:cs="Times New Roman"/>
          <w:sz w:val="24"/>
          <w:szCs w:val="24"/>
        </w:rPr>
        <w:t>Murti</w:t>
      </w:r>
      <w:proofErr w:type="spellEnd"/>
      <w:r w:rsidR="00263376" w:rsidRPr="00263376">
        <w:rPr>
          <w:rFonts w:ascii="Times New Roman" w:hAnsi="Times New Roman" w:cs="Times New Roman"/>
          <w:sz w:val="24"/>
          <w:szCs w:val="24"/>
        </w:rPr>
        <w:t xml:space="preserve"> Puram</w:t>
      </w:r>
      <w:r w:rsidR="00263376">
        <w:rPr>
          <w:rFonts w:ascii="Times New Roman" w:hAnsi="Times New Roman" w:cs="Times New Roman"/>
          <w:sz w:val="24"/>
          <w:szCs w:val="24"/>
        </w:rPr>
        <w:t xml:space="preserve">, </w:t>
      </w:r>
      <w:r w:rsidR="00263376" w:rsidRPr="00263376">
        <w:rPr>
          <w:rFonts w:ascii="Times New Roman" w:hAnsi="Times New Roman" w:cs="Times New Roman"/>
          <w:sz w:val="24"/>
          <w:szCs w:val="24"/>
        </w:rPr>
        <w:t xml:space="preserve">Bareilly-Nainital Highway, </w:t>
      </w:r>
      <w:proofErr w:type="spellStart"/>
      <w:r w:rsidR="00263376" w:rsidRPr="00263376">
        <w:rPr>
          <w:rFonts w:ascii="Times New Roman" w:hAnsi="Times New Roman" w:cs="Times New Roman"/>
          <w:sz w:val="24"/>
          <w:szCs w:val="24"/>
        </w:rPr>
        <w:t>Bhojipura</w:t>
      </w:r>
      <w:proofErr w:type="spellEnd"/>
      <w:r w:rsidR="00263376" w:rsidRPr="00263376">
        <w:rPr>
          <w:rFonts w:ascii="Times New Roman" w:hAnsi="Times New Roman" w:cs="Times New Roman"/>
          <w:sz w:val="24"/>
          <w:szCs w:val="24"/>
        </w:rPr>
        <w:t>, Bareilly-243202, UP, India</w:t>
      </w:r>
    </w:p>
    <w:p w14:paraId="59489921" w14:textId="77777777" w:rsidR="002B0835" w:rsidRDefault="002B0835" w:rsidP="002B0835">
      <w:pPr>
        <w:spacing w:after="0" w:line="360" w:lineRule="auto"/>
        <w:jc w:val="both"/>
        <w:rPr>
          <w:rFonts w:ascii="Times New Roman" w:hAnsi="Times New Roman" w:cs="Times New Roman"/>
          <w:sz w:val="24"/>
          <w:szCs w:val="24"/>
        </w:rPr>
      </w:pPr>
      <w:r w:rsidRPr="00B91E2F">
        <w:rPr>
          <w:rFonts w:ascii="Times New Roman" w:hAnsi="Times New Roman" w:cs="Times New Roman"/>
          <w:b/>
          <w:bCs/>
          <w:sz w:val="24"/>
          <w:szCs w:val="24"/>
          <w:vertAlign w:val="superscript"/>
        </w:rPr>
        <w:t xml:space="preserve">2 </w:t>
      </w:r>
      <w:r>
        <w:rPr>
          <w:rFonts w:ascii="Times New Roman" w:hAnsi="Times New Roman" w:cs="Times New Roman"/>
          <w:sz w:val="24"/>
          <w:szCs w:val="24"/>
        </w:rPr>
        <w:t>Department of Pharmaceutical Sciences, Babasaheb Bhimrao Ambedkar University, Lucknow-226025</w:t>
      </w:r>
    </w:p>
    <w:p w14:paraId="51276D6A" w14:textId="74BE55C3" w:rsidR="002B0835" w:rsidRDefault="002B0835" w:rsidP="002B0835">
      <w:pPr>
        <w:spacing w:after="0" w:line="360" w:lineRule="auto"/>
        <w:jc w:val="both"/>
        <w:rPr>
          <w:rFonts w:ascii="Times New Roman" w:hAnsi="Times New Roman" w:cs="Times New Roman"/>
          <w:sz w:val="24"/>
          <w:szCs w:val="24"/>
        </w:rPr>
      </w:pPr>
      <w:r w:rsidRPr="00B91E2F">
        <w:rPr>
          <w:rFonts w:ascii="Times New Roman" w:hAnsi="Times New Roman" w:cs="Times New Roman"/>
          <w:b/>
          <w:bCs/>
          <w:sz w:val="24"/>
          <w:szCs w:val="24"/>
          <w:vertAlign w:val="superscript"/>
        </w:rPr>
        <w:t>3</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SGT College of Pharmacy, SGT University, </w:t>
      </w:r>
      <w:r w:rsidR="00263376" w:rsidRPr="00263376">
        <w:rPr>
          <w:rFonts w:ascii="Times New Roman" w:hAnsi="Times New Roman" w:cs="Times New Roman"/>
          <w:sz w:val="24"/>
          <w:szCs w:val="24"/>
        </w:rPr>
        <w:t>Gurgaon-</w:t>
      </w:r>
      <w:proofErr w:type="spellStart"/>
      <w:r w:rsidR="00263376" w:rsidRPr="00263376">
        <w:rPr>
          <w:rFonts w:ascii="Times New Roman" w:hAnsi="Times New Roman" w:cs="Times New Roman"/>
          <w:sz w:val="24"/>
          <w:szCs w:val="24"/>
        </w:rPr>
        <w:t>Badli</w:t>
      </w:r>
      <w:proofErr w:type="spellEnd"/>
      <w:r w:rsidR="00263376" w:rsidRPr="00263376">
        <w:rPr>
          <w:rFonts w:ascii="Times New Roman" w:hAnsi="Times New Roman" w:cs="Times New Roman"/>
          <w:sz w:val="24"/>
          <w:szCs w:val="24"/>
        </w:rPr>
        <w:t xml:space="preserve"> Road Chandu, </w:t>
      </w:r>
      <w:proofErr w:type="spellStart"/>
      <w:r w:rsidR="00263376" w:rsidRPr="00263376">
        <w:rPr>
          <w:rFonts w:ascii="Times New Roman" w:hAnsi="Times New Roman" w:cs="Times New Roman"/>
          <w:sz w:val="24"/>
          <w:szCs w:val="24"/>
        </w:rPr>
        <w:t>Budhera</w:t>
      </w:r>
      <w:proofErr w:type="spellEnd"/>
      <w:r w:rsidR="00263376" w:rsidRPr="00263376">
        <w:rPr>
          <w:rFonts w:ascii="Times New Roman" w:hAnsi="Times New Roman" w:cs="Times New Roman"/>
          <w:sz w:val="24"/>
          <w:szCs w:val="24"/>
        </w:rPr>
        <w:t>, Gurugram, Haryana</w:t>
      </w:r>
      <w:r w:rsidR="00263376">
        <w:rPr>
          <w:rFonts w:ascii="Times New Roman" w:hAnsi="Times New Roman" w:cs="Times New Roman"/>
          <w:sz w:val="24"/>
          <w:szCs w:val="24"/>
        </w:rPr>
        <w:t>-</w:t>
      </w:r>
      <w:r w:rsidR="00263376" w:rsidRPr="00263376">
        <w:rPr>
          <w:rFonts w:ascii="Times New Roman" w:hAnsi="Times New Roman" w:cs="Times New Roman"/>
          <w:sz w:val="24"/>
          <w:szCs w:val="24"/>
        </w:rPr>
        <w:t>122505</w:t>
      </w:r>
      <w:r w:rsidR="00263376">
        <w:rPr>
          <w:rFonts w:ascii="Times New Roman" w:hAnsi="Times New Roman" w:cs="Times New Roman"/>
          <w:sz w:val="24"/>
          <w:szCs w:val="24"/>
        </w:rPr>
        <w:t>.</w:t>
      </w:r>
      <w:bookmarkStart w:id="0" w:name="_GoBack"/>
      <w:bookmarkEnd w:id="0"/>
    </w:p>
    <w:p w14:paraId="709D60F5" w14:textId="44ED1B2B" w:rsidR="002B0835" w:rsidRDefault="002B0835" w:rsidP="002B0835">
      <w:pPr>
        <w:spacing w:after="0" w:line="360" w:lineRule="auto"/>
        <w:jc w:val="both"/>
        <w:rPr>
          <w:rFonts w:ascii="Times New Roman" w:hAnsi="Times New Roman" w:cs="Times New Roman"/>
          <w:sz w:val="24"/>
          <w:szCs w:val="24"/>
        </w:rPr>
      </w:pPr>
      <w:r w:rsidRPr="00B91E2F">
        <w:rPr>
          <w:rFonts w:ascii="Times New Roman" w:hAnsi="Times New Roman" w:cs="Times New Roman"/>
          <w:b/>
          <w:bCs/>
          <w:sz w:val="24"/>
          <w:szCs w:val="24"/>
          <w:vertAlign w:val="superscript"/>
        </w:rPr>
        <w:t>4</w:t>
      </w:r>
      <w:r>
        <w:rPr>
          <w:rFonts w:ascii="Times New Roman" w:hAnsi="Times New Roman" w:cs="Times New Roman"/>
          <w:sz w:val="24"/>
          <w:szCs w:val="24"/>
          <w:vertAlign w:val="superscript"/>
        </w:rPr>
        <w:t xml:space="preserve"> </w:t>
      </w:r>
      <w:r>
        <w:rPr>
          <w:rFonts w:ascii="Times New Roman" w:hAnsi="Times New Roman" w:cs="Times New Roman"/>
          <w:sz w:val="24"/>
          <w:szCs w:val="24"/>
        </w:rPr>
        <w:t>College of Pharmacy,</w:t>
      </w:r>
      <w:r w:rsidR="006C12F3">
        <w:rPr>
          <w:rFonts w:ascii="Times New Roman" w:hAnsi="Times New Roman" w:cs="Times New Roman"/>
          <w:sz w:val="24"/>
          <w:szCs w:val="24"/>
        </w:rPr>
        <w:t xml:space="preserve"> </w:t>
      </w:r>
      <w:r>
        <w:rPr>
          <w:rFonts w:ascii="Times New Roman" w:hAnsi="Times New Roman" w:cs="Times New Roman"/>
          <w:sz w:val="24"/>
          <w:szCs w:val="24"/>
        </w:rPr>
        <w:t xml:space="preserve">Shivalik Campus, </w:t>
      </w:r>
      <w:proofErr w:type="spellStart"/>
      <w:r>
        <w:rPr>
          <w:rFonts w:ascii="Times New Roman" w:hAnsi="Times New Roman" w:cs="Times New Roman"/>
          <w:sz w:val="24"/>
          <w:szCs w:val="24"/>
        </w:rPr>
        <w:t>Sihniwala</w:t>
      </w:r>
      <w:proofErr w:type="spellEnd"/>
      <w:r>
        <w:rPr>
          <w:rFonts w:ascii="Times New Roman" w:hAnsi="Times New Roman" w:cs="Times New Roman"/>
          <w:sz w:val="24"/>
          <w:szCs w:val="24"/>
        </w:rPr>
        <w:t>,</w:t>
      </w:r>
      <w:r w:rsidR="006C12F3">
        <w:rPr>
          <w:rFonts w:ascii="Times New Roman" w:hAnsi="Times New Roman" w:cs="Times New Roman"/>
          <w:sz w:val="24"/>
          <w:szCs w:val="24"/>
        </w:rPr>
        <w:t xml:space="preserve"> </w:t>
      </w:r>
      <w:r>
        <w:rPr>
          <w:rFonts w:ascii="Times New Roman" w:hAnsi="Times New Roman" w:cs="Times New Roman"/>
          <w:sz w:val="24"/>
          <w:szCs w:val="24"/>
        </w:rPr>
        <w:t>Shimla Road, Dehradun-</w:t>
      </w:r>
      <w:r>
        <w:t xml:space="preserve"> </w:t>
      </w:r>
      <w:r>
        <w:rPr>
          <w:rFonts w:ascii="Times New Roman" w:hAnsi="Times New Roman" w:cs="Times New Roman"/>
          <w:sz w:val="24"/>
          <w:szCs w:val="24"/>
        </w:rPr>
        <w:t>248197</w:t>
      </w:r>
    </w:p>
    <w:p w14:paraId="173D294E" w14:textId="12963C1D" w:rsidR="00B91E2F" w:rsidRPr="00B91E2F" w:rsidRDefault="00B91E2F" w:rsidP="00B91E2F">
      <w:pPr>
        <w:spacing w:after="0" w:line="360" w:lineRule="auto"/>
        <w:rPr>
          <w:rFonts w:ascii="Times New Roman" w:hAnsi="Times New Roman" w:cs="Times New Roman"/>
          <w:bCs/>
          <w:sz w:val="24"/>
          <w:szCs w:val="24"/>
        </w:rPr>
      </w:pPr>
      <w:r w:rsidRPr="00B91E2F">
        <w:rPr>
          <w:rFonts w:ascii="Times New Roman" w:hAnsi="Times New Roman" w:cs="Times New Roman"/>
          <w:b/>
          <w:sz w:val="24"/>
          <w:szCs w:val="24"/>
          <w:vertAlign w:val="superscript"/>
        </w:rPr>
        <w:t>5</w:t>
      </w:r>
      <w:r>
        <w:rPr>
          <w:rFonts w:ascii="Times New Roman" w:hAnsi="Times New Roman" w:cs="Times New Roman"/>
          <w:bCs/>
          <w:sz w:val="24"/>
          <w:szCs w:val="24"/>
          <w:vertAlign w:val="superscript"/>
        </w:rPr>
        <w:t xml:space="preserve"> </w:t>
      </w:r>
      <w:r w:rsidRPr="00B91E2F">
        <w:rPr>
          <w:rFonts w:ascii="Times New Roman" w:hAnsi="Times New Roman" w:cs="Times New Roman"/>
          <w:bCs/>
          <w:sz w:val="24"/>
          <w:szCs w:val="24"/>
        </w:rPr>
        <w:t xml:space="preserve">Azad Institute of Pharmacy and Research, Lucknow, </w:t>
      </w:r>
      <w:proofErr w:type="spellStart"/>
      <w:r w:rsidRPr="00B91E2F">
        <w:rPr>
          <w:rFonts w:ascii="Times New Roman" w:hAnsi="Times New Roman" w:cs="Times New Roman"/>
          <w:bCs/>
          <w:sz w:val="24"/>
          <w:szCs w:val="24"/>
        </w:rPr>
        <w:t>Azadpuram</w:t>
      </w:r>
      <w:proofErr w:type="spellEnd"/>
      <w:r w:rsidRPr="00B91E2F">
        <w:rPr>
          <w:rFonts w:ascii="Times New Roman" w:hAnsi="Times New Roman" w:cs="Times New Roman"/>
          <w:bCs/>
          <w:sz w:val="24"/>
          <w:szCs w:val="24"/>
        </w:rPr>
        <w:t xml:space="preserve">, adjacent CRPF camp, </w:t>
      </w:r>
      <w:proofErr w:type="spellStart"/>
      <w:r w:rsidRPr="00B91E2F">
        <w:rPr>
          <w:rFonts w:ascii="Times New Roman" w:hAnsi="Times New Roman" w:cs="Times New Roman"/>
          <w:bCs/>
          <w:sz w:val="24"/>
          <w:szCs w:val="24"/>
        </w:rPr>
        <w:t>Bijnaur</w:t>
      </w:r>
      <w:proofErr w:type="spellEnd"/>
      <w:r w:rsidRPr="00B91E2F">
        <w:rPr>
          <w:rFonts w:ascii="Times New Roman" w:hAnsi="Times New Roman" w:cs="Times New Roman"/>
          <w:bCs/>
          <w:sz w:val="24"/>
          <w:szCs w:val="24"/>
        </w:rPr>
        <w:t>, Lucknow -226002.</w:t>
      </w:r>
    </w:p>
    <w:p w14:paraId="4E7FC88A" w14:textId="77777777" w:rsidR="00B91E2F" w:rsidRDefault="00B91E2F" w:rsidP="002B0835">
      <w:pPr>
        <w:spacing w:after="0" w:line="360" w:lineRule="auto"/>
        <w:jc w:val="both"/>
        <w:rPr>
          <w:rFonts w:ascii="Times New Roman" w:hAnsi="Times New Roman" w:cs="Times New Roman"/>
          <w:sz w:val="24"/>
          <w:szCs w:val="24"/>
        </w:rPr>
      </w:pPr>
    </w:p>
    <w:p w14:paraId="5DC3D2E7" w14:textId="570F0853" w:rsidR="0010755C" w:rsidRDefault="003F73CF">
      <w:r>
        <w:t xml:space="preserve"> </w:t>
      </w:r>
    </w:p>
    <w:p w14:paraId="76BF38F5" w14:textId="20F902EC" w:rsidR="00911E4B" w:rsidRDefault="00911E4B"/>
    <w:p w14:paraId="2899809A" w14:textId="77777777" w:rsidR="00911E4B" w:rsidRDefault="00911E4B" w:rsidP="00911E4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*Corresponding Author: </w:t>
      </w:r>
      <w:proofErr w:type="spellStart"/>
      <w:r>
        <w:rPr>
          <w:rFonts w:ascii="Times New Roman" w:hAnsi="Times New Roman" w:cs="Times New Roman"/>
          <w:sz w:val="24"/>
          <w:szCs w:val="24"/>
        </w:rPr>
        <w:t>Shivanshu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Gangwar</w:t>
      </w:r>
      <w:proofErr w:type="spellEnd"/>
    </w:p>
    <w:p w14:paraId="23E76EFC" w14:textId="77777777" w:rsidR="00911E4B" w:rsidRDefault="00911E4B" w:rsidP="00911E4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Affiliation: </w:t>
      </w:r>
      <w:r>
        <w:rPr>
          <w:rFonts w:ascii="Times New Roman" w:hAnsi="Times New Roman" w:cs="Times New Roman"/>
          <w:sz w:val="24"/>
          <w:szCs w:val="24"/>
        </w:rPr>
        <w:t xml:space="preserve">Shri Ram </w:t>
      </w:r>
      <w:proofErr w:type="spellStart"/>
      <w:r>
        <w:rPr>
          <w:rFonts w:ascii="Times New Roman" w:hAnsi="Times New Roman" w:cs="Times New Roman"/>
          <w:sz w:val="24"/>
          <w:szCs w:val="24"/>
        </w:rPr>
        <w:t>Murti</w:t>
      </w:r>
      <w:proofErr w:type="spellEnd"/>
      <w:r>
        <w:rPr>
          <w:rFonts w:ascii="Times New Roman" w:hAnsi="Times New Roman" w:cs="Times New Roman"/>
          <w:sz w:val="24"/>
          <w:szCs w:val="24"/>
        </w:rPr>
        <w:t xml:space="preserve"> Smarak College of Engineering and Technology Bareilly</w:t>
      </w:r>
    </w:p>
    <w:p w14:paraId="009987A0" w14:textId="77777777" w:rsidR="00911E4B" w:rsidRDefault="00911E4B" w:rsidP="00911E4B">
      <w:pPr>
        <w:spacing w:after="0" w:line="360" w:lineRule="auto"/>
        <w:jc w:val="both"/>
        <w:rPr>
          <w:rFonts w:ascii="Times New Roman" w:hAnsi="Times New Roman" w:cs="Times New Roman"/>
          <w:b/>
          <w:bCs/>
          <w:sz w:val="24"/>
          <w:szCs w:val="24"/>
          <w:lang w:val="de-DE"/>
        </w:rPr>
      </w:pPr>
      <w:r>
        <w:rPr>
          <w:rFonts w:ascii="Times New Roman" w:hAnsi="Times New Roman" w:cs="Times New Roman"/>
          <w:b/>
          <w:bCs/>
          <w:sz w:val="24"/>
          <w:szCs w:val="24"/>
          <w:lang w:val="de-DE"/>
        </w:rPr>
        <w:t xml:space="preserve">E-mail: </w:t>
      </w:r>
      <w:hyperlink r:id="rId6" w:history="1">
        <w:r>
          <w:rPr>
            <w:rStyle w:val="Hyperlink"/>
            <w:rFonts w:ascii="Times New Roman" w:hAnsi="Times New Roman" w:cs="Times New Roman"/>
            <w:sz w:val="24"/>
            <w:szCs w:val="24"/>
            <w:lang w:val="de-DE"/>
          </w:rPr>
          <w:t>shivagangwar007@gmail.com</w:t>
        </w:r>
      </w:hyperlink>
      <w:r>
        <w:rPr>
          <w:rFonts w:ascii="Times New Roman" w:hAnsi="Times New Roman" w:cs="Times New Roman"/>
          <w:sz w:val="24"/>
          <w:szCs w:val="24"/>
          <w:lang w:val="de-DE"/>
        </w:rPr>
        <w:t xml:space="preserve"> </w:t>
      </w:r>
    </w:p>
    <w:p w14:paraId="1CF4C2F1" w14:textId="77777777" w:rsidR="00911E4B" w:rsidRDefault="00911E4B" w:rsidP="00911E4B">
      <w:pPr>
        <w:spacing w:after="0" w:line="360" w:lineRule="auto"/>
        <w:jc w:val="both"/>
        <w:rPr>
          <w:rFonts w:ascii="Times New Roman" w:hAnsi="Times New Roman" w:cs="Times New Roman"/>
          <w:sz w:val="24"/>
          <w:szCs w:val="24"/>
          <w:lang w:val="de-DE"/>
        </w:rPr>
      </w:pPr>
    </w:p>
    <w:p w14:paraId="74E76BC5" w14:textId="77777777" w:rsidR="00911E4B" w:rsidRDefault="00911E4B" w:rsidP="00911E4B">
      <w:pPr>
        <w:jc w:val="both"/>
        <w:rPr>
          <w:lang w:val="de-DE"/>
        </w:rPr>
      </w:pPr>
    </w:p>
    <w:p w14:paraId="6D1E5033" w14:textId="77777777" w:rsidR="00911E4B" w:rsidRDefault="00911E4B" w:rsidP="00911E4B">
      <w:pPr>
        <w:jc w:val="both"/>
        <w:rPr>
          <w:rFonts w:ascii="Times New Roman" w:hAnsi="Times New Roman" w:cs="Times New Roman"/>
          <w:sz w:val="24"/>
          <w:szCs w:val="24"/>
        </w:rPr>
      </w:pPr>
      <w:r>
        <w:rPr>
          <w:rFonts w:ascii="Times New Roman" w:hAnsi="Times New Roman" w:cs="Times New Roman"/>
          <w:b/>
          <w:bCs/>
          <w:sz w:val="24"/>
          <w:szCs w:val="24"/>
        </w:rPr>
        <w:t>IIP Login ID:</w:t>
      </w:r>
      <w:r>
        <w:rPr>
          <w:rFonts w:ascii="Times New Roman" w:hAnsi="Times New Roman" w:cs="Times New Roman"/>
          <w:sz w:val="24"/>
          <w:szCs w:val="24"/>
        </w:rPr>
        <w:t xml:space="preserve"> shivagangwar007@gmail.com</w:t>
      </w:r>
    </w:p>
    <w:p w14:paraId="3EF79EDA" w14:textId="557E20D0" w:rsidR="00911E4B" w:rsidRDefault="00911E4B" w:rsidP="00911E4B">
      <w:pPr>
        <w:jc w:val="both"/>
        <w:rPr>
          <w:rFonts w:ascii="Times New Roman" w:hAnsi="Times New Roman" w:cs="Times New Roman"/>
          <w:sz w:val="24"/>
          <w:szCs w:val="24"/>
        </w:rPr>
      </w:pPr>
      <w:r>
        <w:rPr>
          <w:rFonts w:ascii="Times New Roman" w:hAnsi="Times New Roman" w:cs="Times New Roman"/>
          <w:b/>
          <w:bCs/>
          <w:sz w:val="24"/>
          <w:szCs w:val="24"/>
        </w:rPr>
        <w:t>Password:</w:t>
      </w:r>
      <w:r>
        <w:rPr>
          <w:rFonts w:ascii="Times New Roman" w:hAnsi="Times New Roman" w:cs="Times New Roman"/>
          <w:sz w:val="24"/>
          <w:szCs w:val="24"/>
        </w:rPr>
        <w:t xml:space="preserve"> shivanshu1104</w:t>
      </w:r>
    </w:p>
    <w:p w14:paraId="62BDB44F" w14:textId="22BB385B" w:rsidR="009022FC" w:rsidRDefault="009022FC" w:rsidP="00911E4B">
      <w:pPr>
        <w:jc w:val="both"/>
        <w:rPr>
          <w:rFonts w:ascii="Times New Roman" w:hAnsi="Times New Roman" w:cs="Times New Roman"/>
          <w:sz w:val="24"/>
          <w:szCs w:val="24"/>
        </w:rPr>
      </w:pPr>
    </w:p>
    <w:p w14:paraId="036DC5FE" w14:textId="351C0E8D" w:rsidR="009022FC" w:rsidRDefault="009022FC" w:rsidP="0029713A">
      <w:pPr>
        <w:pStyle w:val="Heading1"/>
      </w:pPr>
      <w:r>
        <w:br w:type="column"/>
      </w:r>
      <w:r>
        <w:lastRenderedPageBreak/>
        <w:t xml:space="preserve">Abstract </w:t>
      </w:r>
    </w:p>
    <w:p w14:paraId="1067084C" w14:textId="4F934B29" w:rsidR="009022FC" w:rsidRDefault="009022FC" w:rsidP="009022FC">
      <w:pPr>
        <w:jc w:val="both"/>
        <w:rPr>
          <w:rFonts w:ascii="Times New Roman" w:hAnsi="Times New Roman" w:cs="Times New Roman"/>
          <w:sz w:val="24"/>
          <w:szCs w:val="24"/>
        </w:rPr>
      </w:pPr>
      <w:r w:rsidRPr="009022FC">
        <w:rPr>
          <w:rFonts w:ascii="Times New Roman" w:hAnsi="Times New Roman" w:cs="Times New Roman"/>
          <w:sz w:val="24"/>
          <w:szCs w:val="24"/>
        </w:rPr>
        <w:t>The identification and quantification of biomarkers play a crucial role in biomedical research and clinical diagnostics. High throughput screening (HTS) methods have emerged as powerful tools for rapidly assessing numerous biomolecules across large sample sets. Liquid chromatography-mass spectrometry (LC-MS) has become a leading technology in biomarker analysis due to its unparalleled sensitivity, selectivity, and versatility.</w:t>
      </w:r>
      <w:r w:rsidR="005252F1">
        <w:rPr>
          <w:rFonts w:ascii="Times New Roman" w:hAnsi="Times New Roman" w:cs="Times New Roman"/>
          <w:sz w:val="24"/>
          <w:szCs w:val="24"/>
        </w:rPr>
        <w:t xml:space="preserve"> </w:t>
      </w:r>
      <w:r w:rsidR="00AF1D4F" w:rsidRPr="009022FC">
        <w:rPr>
          <w:rFonts w:ascii="Times New Roman" w:hAnsi="Times New Roman" w:cs="Times New Roman"/>
          <w:sz w:val="24"/>
          <w:szCs w:val="24"/>
        </w:rPr>
        <w:t>This abstract aim</w:t>
      </w:r>
      <w:r w:rsidRPr="009022FC">
        <w:rPr>
          <w:rFonts w:ascii="Times New Roman" w:hAnsi="Times New Roman" w:cs="Times New Roman"/>
          <w:sz w:val="24"/>
          <w:szCs w:val="24"/>
        </w:rPr>
        <w:t xml:space="preserve"> to explore the pivotal role of LC-MS in HTS of biomarker analysis. We begin by highlighting the importance of biomarkers as key indicators of biological processes and disease states, emphasizing the pressing need for efficient and accurate screening methods. Next, we delve into the principles of LC-MS and how it synergistically combines liquid chromatography's separation capabilities with mass spectrometry's analytical power, enabling the identification and quantification of a wide range of biomolecules, including proteins, peptides, metabolites, and lipids.</w:t>
      </w:r>
      <w:r w:rsidR="00F22AE5">
        <w:rPr>
          <w:rFonts w:ascii="Times New Roman" w:hAnsi="Times New Roman" w:cs="Times New Roman"/>
          <w:sz w:val="24"/>
          <w:szCs w:val="24"/>
        </w:rPr>
        <w:t xml:space="preserve"> </w:t>
      </w:r>
      <w:r w:rsidRPr="009022FC">
        <w:rPr>
          <w:rFonts w:ascii="Times New Roman" w:hAnsi="Times New Roman" w:cs="Times New Roman"/>
          <w:sz w:val="24"/>
          <w:szCs w:val="24"/>
        </w:rPr>
        <w:t>The advantages of LC-MS in HTS become apparent when discussing its ability to analyze large sample cohorts rapidly. Through automation and high-resolution instrumentation, LC-MS streamlines the analysis of thousands of samples, providing researchers with an unprecedented depth of biomarker data. Furthermore, LC-MS enables the simultaneous measurement of multiple analytes, fostering a comprehensive understanding of complex biological processes and disease mechanisms.</w:t>
      </w:r>
      <w:r w:rsidR="00716FF8">
        <w:rPr>
          <w:rFonts w:ascii="Times New Roman" w:hAnsi="Times New Roman" w:cs="Times New Roman"/>
          <w:sz w:val="24"/>
          <w:szCs w:val="24"/>
        </w:rPr>
        <w:t xml:space="preserve"> </w:t>
      </w:r>
      <w:r w:rsidRPr="009022FC">
        <w:rPr>
          <w:rFonts w:ascii="Times New Roman" w:hAnsi="Times New Roman" w:cs="Times New Roman"/>
          <w:sz w:val="24"/>
          <w:szCs w:val="24"/>
        </w:rPr>
        <w:t>This abstract also addresses the challenges and advancements in LC-MS technology, such as enhancing sensitivity and reproducibility, minimizing sample preparation time, and implementing robust data analysis pipelines. Additionally, we touch upon the integration of LC-MS with other omics technologies, such as genomics and proteomics, to leverage the collective power of multiple analytical approaches.</w:t>
      </w:r>
      <w:r>
        <w:rPr>
          <w:rFonts w:ascii="Times New Roman" w:hAnsi="Times New Roman" w:cs="Times New Roman"/>
          <w:sz w:val="24"/>
          <w:szCs w:val="24"/>
        </w:rPr>
        <w:t xml:space="preserve"> </w:t>
      </w:r>
      <w:r w:rsidRPr="009022FC">
        <w:rPr>
          <w:rFonts w:ascii="Times New Roman" w:hAnsi="Times New Roman" w:cs="Times New Roman"/>
          <w:sz w:val="24"/>
          <w:szCs w:val="24"/>
        </w:rPr>
        <w:t xml:space="preserve">The application of LC-MS in HTS of biomarker analysis has found significant utility in various fields, including cancer research, pharmacokinetic studies, and personalized medicine. The ability to rapidly screen and </w:t>
      </w:r>
      <w:r w:rsidR="00131B7F" w:rsidRPr="009022FC">
        <w:rPr>
          <w:rFonts w:ascii="Times New Roman" w:hAnsi="Times New Roman" w:cs="Times New Roman"/>
          <w:sz w:val="24"/>
          <w:szCs w:val="24"/>
        </w:rPr>
        <w:t>validates</w:t>
      </w:r>
      <w:r w:rsidRPr="009022FC">
        <w:rPr>
          <w:rFonts w:ascii="Times New Roman" w:hAnsi="Times New Roman" w:cs="Times New Roman"/>
          <w:sz w:val="24"/>
          <w:szCs w:val="24"/>
        </w:rPr>
        <w:t xml:space="preserve"> potential biomarkers facilitates early disease detection, patient stratification, and monitoring </w:t>
      </w:r>
      <w:r w:rsidR="00D9630A">
        <w:rPr>
          <w:rFonts w:ascii="Times New Roman" w:hAnsi="Times New Roman" w:cs="Times New Roman"/>
          <w:sz w:val="24"/>
          <w:szCs w:val="24"/>
        </w:rPr>
        <w:t xml:space="preserve">of </w:t>
      </w:r>
      <w:r w:rsidRPr="009022FC">
        <w:rPr>
          <w:rFonts w:ascii="Times New Roman" w:hAnsi="Times New Roman" w:cs="Times New Roman"/>
          <w:sz w:val="24"/>
          <w:szCs w:val="24"/>
        </w:rPr>
        <w:t>treatment responses, leading to improved patient outcomes.</w:t>
      </w:r>
      <w:r>
        <w:rPr>
          <w:rFonts w:ascii="Times New Roman" w:hAnsi="Times New Roman" w:cs="Times New Roman"/>
          <w:sz w:val="24"/>
          <w:szCs w:val="24"/>
        </w:rPr>
        <w:t xml:space="preserve"> </w:t>
      </w:r>
      <w:r w:rsidRPr="009022FC">
        <w:rPr>
          <w:rFonts w:ascii="Times New Roman" w:hAnsi="Times New Roman" w:cs="Times New Roman"/>
          <w:sz w:val="24"/>
          <w:szCs w:val="24"/>
        </w:rPr>
        <w:t>In conclusion, LC-MS has revolutionized biomarker analysis by playing a pivotal role in HTS workflows. Its unparalleled sensitivity, high throughput capacity, and compatibility with diverse biomolecules have significantly advanced our understanding of biological systems and disease states. As technology continues to evolve, LC-MS will undoubtedly remain at the forefront of biomarker research, providing invaluable insights for future biomedical and clinical applications.</w:t>
      </w:r>
    </w:p>
    <w:p w14:paraId="60B746CC" w14:textId="7223F751" w:rsidR="00511B3E" w:rsidRDefault="00511B3E" w:rsidP="009022FC">
      <w:pPr>
        <w:jc w:val="both"/>
        <w:rPr>
          <w:rFonts w:ascii="Times New Roman" w:hAnsi="Times New Roman" w:cs="Times New Roman"/>
          <w:sz w:val="24"/>
          <w:szCs w:val="24"/>
        </w:rPr>
      </w:pPr>
    </w:p>
    <w:p w14:paraId="7321963A" w14:textId="77F7CBB3" w:rsidR="00511B3E" w:rsidRPr="00511B3E" w:rsidRDefault="00511B3E" w:rsidP="00511B3E">
      <w:pPr>
        <w:jc w:val="both"/>
        <w:rPr>
          <w:rFonts w:ascii="Times New Roman" w:hAnsi="Times New Roman" w:cs="Times New Roman"/>
          <w:sz w:val="24"/>
          <w:szCs w:val="24"/>
        </w:rPr>
      </w:pPr>
      <w:r w:rsidRPr="000A2060">
        <w:rPr>
          <w:rFonts w:ascii="Times New Roman" w:hAnsi="Times New Roman" w:cs="Times New Roman"/>
          <w:b/>
          <w:bCs/>
          <w:sz w:val="24"/>
          <w:szCs w:val="24"/>
        </w:rPr>
        <w:t>Keywords:</w:t>
      </w:r>
      <w:r>
        <w:rPr>
          <w:rFonts w:ascii="Times New Roman" w:hAnsi="Times New Roman" w:cs="Times New Roman"/>
          <w:sz w:val="24"/>
          <w:szCs w:val="24"/>
        </w:rPr>
        <w:t xml:space="preserve"> </w:t>
      </w:r>
      <w:r w:rsidRPr="00511B3E">
        <w:rPr>
          <w:rFonts w:ascii="Times New Roman" w:hAnsi="Times New Roman" w:cs="Times New Roman"/>
          <w:sz w:val="24"/>
          <w:szCs w:val="24"/>
        </w:rPr>
        <w:t>LC-MS</w:t>
      </w:r>
      <w:r>
        <w:rPr>
          <w:rFonts w:ascii="Times New Roman" w:hAnsi="Times New Roman" w:cs="Times New Roman"/>
          <w:sz w:val="24"/>
          <w:szCs w:val="24"/>
        </w:rPr>
        <w:t xml:space="preserve">, </w:t>
      </w:r>
      <w:r w:rsidRPr="00511B3E">
        <w:rPr>
          <w:rFonts w:ascii="Times New Roman" w:hAnsi="Times New Roman" w:cs="Times New Roman"/>
          <w:sz w:val="24"/>
          <w:szCs w:val="24"/>
        </w:rPr>
        <w:t>High throughput screening</w:t>
      </w:r>
      <w:r>
        <w:rPr>
          <w:rFonts w:ascii="Times New Roman" w:hAnsi="Times New Roman" w:cs="Times New Roman"/>
          <w:sz w:val="24"/>
          <w:szCs w:val="24"/>
        </w:rPr>
        <w:t xml:space="preserve">, </w:t>
      </w:r>
      <w:r w:rsidRPr="00511B3E">
        <w:rPr>
          <w:rFonts w:ascii="Times New Roman" w:hAnsi="Times New Roman" w:cs="Times New Roman"/>
          <w:sz w:val="24"/>
          <w:szCs w:val="24"/>
        </w:rPr>
        <w:t>Biomarker analysis</w:t>
      </w:r>
      <w:r>
        <w:rPr>
          <w:rFonts w:ascii="Times New Roman" w:hAnsi="Times New Roman" w:cs="Times New Roman"/>
          <w:sz w:val="24"/>
          <w:szCs w:val="24"/>
        </w:rPr>
        <w:t xml:space="preserve">, </w:t>
      </w:r>
      <w:r w:rsidRPr="00511B3E">
        <w:rPr>
          <w:rFonts w:ascii="Times New Roman" w:hAnsi="Times New Roman" w:cs="Times New Roman"/>
          <w:sz w:val="24"/>
          <w:szCs w:val="24"/>
        </w:rPr>
        <w:t>Liquid chromatography-mass spectrometry</w:t>
      </w:r>
      <w:r>
        <w:rPr>
          <w:rFonts w:ascii="Times New Roman" w:hAnsi="Times New Roman" w:cs="Times New Roman"/>
          <w:sz w:val="24"/>
          <w:szCs w:val="24"/>
        </w:rPr>
        <w:t xml:space="preserve">, </w:t>
      </w:r>
      <w:r w:rsidRPr="00511B3E">
        <w:rPr>
          <w:rFonts w:ascii="Times New Roman" w:hAnsi="Times New Roman" w:cs="Times New Roman"/>
          <w:sz w:val="24"/>
          <w:szCs w:val="24"/>
        </w:rPr>
        <w:t>Biomolecules</w:t>
      </w:r>
      <w:r>
        <w:rPr>
          <w:rFonts w:ascii="Times New Roman" w:hAnsi="Times New Roman" w:cs="Times New Roman"/>
          <w:sz w:val="24"/>
          <w:szCs w:val="24"/>
        </w:rPr>
        <w:t xml:space="preserve">, </w:t>
      </w:r>
      <w:r w:rsidRPr="00511B3E">
        <w:rPr>
          <w:rFonts w:ascii="Times New Roman" w:hAnsi="Times New Roman" w:cs="Times New Roman"/>
          <w:sz w:val="24"/>
          <w:szCs w:val="24"/>
        </w:rPr>
        <w:t>Proteins</w:t>
      </w:r>
      <w:r>
        <w:rPr>
          <w:rFonts w:ascii="Times New Roman" w:hAnsi="Times New Roman" w:cs="Times New Roman"/>
          <w:sz w:val="24"/>
          <w:szCs w:val="24"/>
        </w:rPr>
        <w:t xml:space="preserve">, </w:t>
      </w:r>
      <w:r w:rsidRPr="00511B3E">
        <w:rPr>
          <w:rFonts w:ascii="Times New Roman" w:hAnsi="Times New Roman" w:cs="Times New Roman"/>
          <w:sz w:val="24"/>
          <w:szCs w:val="24"/>
        </w:rPr>
        <w:t>Peptides</w:t>
      </w:r>
      <w:r>
        <w:rPr>
          <w:rFonts w:ascii="Times New Roman" w:hAnsi="Times New Roman" w:cs="Times New Roman"/>
          <w:sz w:val="24"/>
          <w:szCs w:val="24"/>
        </w:rPr>
        <w:t xml:space="preserve">, </w:t>
      </w:r>
      <w:r w:rsidRPr="00511B3E">
        <w:rPr>
          <w:rFonts w:ascii="Times New Roman" w:hAnsi="Times New Roman" w:cs="Times New Roman"/>
          <w:sz w:val="24"/>
          <w:szCs w:val="24"/>
        </w:rPr>
        <w:t>Metabolites</w:t>
      </w:r>
      <w:r>
        <w:rPr>
          <w:rFonts w:ascii="Times New Roman" w:hAnsi="Times New Roman" w:cs="Times New Roman"/>
          <w:sz w:val="24"/>
          <w:szCs w:val="24"/>
        </w:rPr>
        <w:t xml:space="preserve">, </w:t>
      </w:r>
      <w:r w:rsidRPr="00511B3E">
        <w:rPr>
          <w:rFonts w:ascii="Times New Roman" w:hAnsi="Times New Roman" w:cs="Times New Roman"/>
          <w:sz w:val="24"/>
          <w:szCs w:val="24"/>
        </w:rPr>
        <w:t>Genomics</w:t>
      </w:r>
      <w:r>
        <w:rPr>
          <w:rFonts w:ascii="Times New Roman" w:hAnsi="Times New Roman" w:cs="Times New Roman"/>
          <w:sz w:val="24"/>
          <w:szCs w:val="24"/>
        </w:rPr>
        <w:t xml:space="preserve">, </w:t>
      </w:r>
      <w:r w:rsidRPr="00511B3E">
        <w:rPr>
          <w:rFonts w:ascii="Times New Roman" w:hAnsi="Times New Roman" w:cs="Times New Roman"/>
          <w:sz w:val="24"/>
          <w:szCs w:val="24"/>
        </w:rPr>
        <w:t>Proteomics</w:t>
      </w:r>
      <w:r>
        <w:rPr>
          <w:rFonts w:ascii="Times New Roman" w:hAnsi="Times New Roman" w:cs="Times New Roman"/>
          <w:sz w:val="24"/>
          <w:szCs w:val="24"/>
        </w:rPr>
        <w:t xml:space="preserve">. </w:t>
      </w:r>
    </w:p>
    <w:p w14:paraId="6A8D1AAA" w14:textId="6A0CAD59" w:rsidR="005C2844" w:rsidRDefault="005C2844">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363105E" w14:textId="5792B49D" w:rsidR="00511B3E" w:rsidRPr="00726C2E" w:rsidRDefault="005C2844" w:rsidP="0029713A">
      <w:pPr>
        <w:pStyle w:val="Heading1"/>
        <w:numPr>
          <w:ilvl w:val="0"/>
          <w:numId w:val="1"/>
        </w:numPr>
      </w:pPr>
      <w:r w:rsidRPr="00726C2E">
        <w:lastRenderedPageBreak/>
        <w:t xml:space="preserve">Introduction </w:t>
      </w:r>
    </w:p>
    <w:p w14:paraId="7D7ADEF6" w14:textId="5D556B1B" w:rsidR="00726C2E" w:rsidRPr="00726C2E" w:rsidRDefault="00726C2E" w:rsidP="00726C2E">
      <w:pPr>
        <w:jc w:val="both"/>
        <w:rPr>
          <w:rFonts w:ascii="Times New Roman" w:hAnsi="Times New Roman" w:cs="Times New Roman"/>
          <w:sz w:val="24"/>
          <w:szCs w:val="24"/>
        </w:rPr>
      </w:pPr>
      <w:r w:rsidRPr="00726C2E">
        <w:rPr>
          <w:rFonts w:ascii="Times New Roman" w:hAnsi="Times New Roman" w:cs="Times New Roman"/>
          <w:sz w:val="24"/>
          <w:szCs w:val="24"/>
        </w:rPr>
        <w:t>The rapid advancement of biomedical research and clinical diagnostics has underscored the critical role of biomarkers in unraveling complex biological processes and disease states. Biomarkers, measurable indicators of normal or pathological biological processes, offer invaluable insights into health status, disease progression, and treatment responses. To harness the potential of biomarkers effectively, high throughput screening (HTS) methods have emerged as indispensable tools for swiftly analyzing a vast array of biomolecules across large sample sets. Among the various analytical techniques, liquid chromatography-mass spectrometry (LC-MS) has taken center stage due to its exceptional sensitivity, selectivity, and versatility</w:t>
      </w:r>
      <w:r w:rsidR="00DF2787">
        <w:rPr>
          <w:rFonts w:ascii="Times New Roman" w:hAnsi="Times New Roman" w:cs="Times New Roman"/>
          <w:sz w:val="24"/>
          <w:szCs w:val="24"/>
        </w:rPr>
        <w:t xml:space="preserve"> </w:t>
      </w:r>
      <w:r w:rsidR="00DF2787">
        <w:rPr>
          <w:rFonts w:ascii="Times New Roman" w:hAnsi="Times New Roman" w:cs="Times New Roman"/>
          <w:sz w:val="24"/>
          <w:szCs w:val="24"/>
        </w:rPr>
        <w:fldChar w:fldCharType="begin" w:fldLock="1"/>
      </w:r>
      <w:r w:rsidR="00DF2787">
        <w:rPr>
          <w:rFonts w:ascii="Times New Roman" w:hAnsi="Times New Roman" w:cs="Times New Roman"/>
          <w:sz w:val="24"/>
          <w:szCs w:val="24"/>
        </w:rPr>
        <w:instrText>ADDIN CSL_CITATION {"citationItems":[{"id":"ITEM-1","itemData":{"DOI":"10.1002/jms.795","ISSN":"10765174","PMID":"15712369","abstract":"Ginkgo biloba (ginkgo) is one of most frequently used botanical dietary supplements. The bioactive constituents include the terpenoid lactones consisting of bilobalide and the ginkgolides A, B, C and J. A new assay based on high-performance liquid chromatography/electrospray tandem mass spectrometry (LC/MS/MS) was developed for the measurement of the terpenoid lactones in ginkgo products such as leaf powder and extracts. Initially, the MS/MS fragmentation pathways of ginkgolides were investigated to identify abundant fragment ions that might be useful for the sensitive and selective detection of ginkgolides and bilobalide during LC/MS/MS. Then, sample preparation and clean-up procedures were streamlined to maximize throughput by taking advantage of the selectivity of LC/MS/MS detection. Analyte recoveries exceeded 90%, the intra-assay and inter-assay relative standard deviations were &lt;5%, the relative error was &lt;8% and the limits of detection and quantification were 3.6-120 and 11-350 fmol, depending on the analyte that was injected on to the LC column. Therefore, this LC/MS/MS assay facilitated the rapid quantitative analysis of ginkgolides A, B, C and J and bilobalide in ginkgo dietary supplements with excellent recovery, reproducibity, accuracy and sensitivity. Copyright © 2005 John Wiley &amp; Sons, Ltd.","author":[{"dropping-particle":"","family":"Sun","given":"Yongkai","non-dropping-particle":"","parse-names":false,"suffix":""},{"dropping-particle":"","family":"Li","given":"Wenkui","non-dropping-particle":"","parse-names":false,"suffix":""},{"dropping-particle":"","family":"Fitzloff","given":"John F.","non-dropping-particle":"","parse-names":false,"suffix":""},{"dropping-particle":"","family":"Breemen","given":"Richard B.","non-dropping-particle":"Van","parse-names":false,"suffix":""}],"container-title":"Journal of Mass Spectrometry","id":"ITEM-1","issued":{"date-parts":[["2005"]]},"title":"Liquid chromatography/electrospray tandem mass spectrometry of terpenoid lactones in Ginkgo biloba","type":"article-journal"},"uris":["http://www.mendeley.com/documents/?uuid=e14ede9b-a076-4130-98cd-cd92326597b2"]},{"id":"ITEM-2","itemData":{"DOI":"10.1016/b978-0-12-819590-1.00005-7","abstract":"The metabolome of medicinal plants are the precious source for the progress of new phytotherapeutics to treat various diseases. From the last decade, metabolomics is a rapidly growing powerful and emerging technology in the field of herbal medicine for the high throughput comprehensive identification and profiling of both targeted and untargeted metabolites in medicinal plants. Hence, this metabolomics platform is providing an opportunity for the herbal drug discovery and qualitative control of medicinal plants and also in predicting that explaining the dynamic picture of the complex phenotype of biosystems through the study of endogenous metabolites. Nowadays, different new analytical platforms and bioinformatics technologies are developing and they are showing significant improvement in the plant metabolomics studies. Generally, the analytical platforms used in the plant metabolomics are gas chromatography-mass spectrometry (GC–MS), liquid chromatography-mass spectrometry (LC–MS), and liquid chromatography-solid phase extraction-nuclear magnetic resonance (LC–SPE–NMR). However, GC-MS and LC-MS are the leading platforms in the plant metabolomics studies due to its dynamic range of detection and sensitivity and can analyze hundreds of metabolites in parallel. The combination of comparative metabolomics techniques with plant biotechnology will provide a benefit in medical research. This chapter provides detailed information on the comprehensive analysis of untargeted metabolites in medicinal plants based on both NMR and MS platforms that include the basic principle approaches, sample preparation, workflow, data analysis and metabolite identification. It also provides the information related to the application of metabolomics approach to ensure the quality control of medical plants, the challenges faced during the metabolomics studies along with the remedies to overcome all the challenges and benefits of the metabolomics approach in the herbal medicine research.","author":[{"dropping-particle":"","family":"Rao Gajula","given":"Siva Nageswara","non-dropping-particle":"","parse-names":false,"suffix":""},{"dropping-particle":"","family":"Nanjappan","given":"Satheeshkumar","non-dropping-particle":"","parse-names":false,"suffix":""}],"container-title":"Medicinal and Aromatic Plants","id":"ITEM-2","issued":{"date-parts":[["2021"]]},"page":"97-117","title":"Metabolomics: a recent advanced omics technology in herbal medicine research","type":"chapter"},"uris":["http://www.mendeley.com/documents/?uuid=b7b63854-a980-42b3-98a5-656ad0626dd4"]},{"id":"ITEM-3","itemData":{"DOI":"10.1016/j.jsbmb.2006.11.004","ISSN":"09600760","PMID":"17197173","abstract":"The field of Vitamin D assay technology has progressed significantly over the past 4 decades. Further, the clinical utility of these measurements has moved from esoteric into mainstream clinical diagnosis. This movement has been fueled by the realization that Vitamin D is involved in bodily systems beyond skeletal integrity. The clinical assay techniques for circulating 25(OH)D and 1,25(OH)2D have progressed away from competitive protein binding assay (CPBAs) that utilize tritium reporters to radioimmunoassay (RIAs) that utilize both I125 and chemiluminescent reporters. These advances have allowed direct serum analysis of 25(OH)D in an automated format that provides a huge sample throughput. Detection of circulating 25(OH)D can also be achieved utilizing direct high-performance liquid chromatographic (HPLC) or liquid chromatography coupled with mass spectrometry (LC-MS) techniques. These methods are accurate, however, they require expensive equipment and restrict sample throughput in the large clinical laboratory. Direct serum detection of 1,25(OH)2D is unlikely to occur for many reasons as a sample pre-purification will always be required. However, a semi-automated chemiluminescent detection system with automated sample preparation is in final development for the determination of circulating 1,25(OH)2D. These advances will allow both 25(OH)D and 1,25(OH)2D to be detected in an accurate, rapid fashion to meet the clinical demands we see emerging. © 2006 Elsevier Ltd. All rights reserved.","author":[{"dropping-particle":"","family":"Hollis","given":"Bruce W.","non-dropping-particle":"","parse-names":false,"suffix":""},{"dropping-particle":"","family":"Horst","given":"Ronald L.","non-dropping-particle":"","parse-names":false,"suffix":""}],"container-title":"Journal of Steroid Biochemistry and Molecular Biology","id":"ITEM-3","issued":{"date-parts":[["2007"]]},"title":"The assessment of circulating 25(OH)D and 1,25(OH)2D: Where we are and where we are going","type":"article-journal"},"uris":["http://www.mendeley.com/documents/?uuid=a7d34bd2-7d90-42ab-b28c-178b887534ce"]}],"mendeley":{"formattedCitation":"(Hollis and Horst, 2007; Rao Gajula and Nanjappan, 2021; Sun et al., 2005)","plainTextFormattedCitation":"(Hollis and Horst, 2007; Rao Gajula and Nanjappan, 2021; Sun et al., 2005)","previouslyFormattedCitation":"(Hollis and Horst, 2007; Rao Gajula and Nanjappan, 2021; Sun et al., 2005)"},"properties":{"noteIndex":0},"schema":"https://github.com/citation-style-language/schema/raw/master/csl-citation.json"}</w:instrText>
      </w:r>
      <w:r w:rsidR="00DF2787">
        <w:rPr>
          <w:rFonts w:ascii="Times New Roman" w:hAnsi="Times New Roman" w:cs="Times New Roman"/>
          <w:sz w:val="24"/>
          <w:szCs w:val="24"/>
        </w:rPr>
        <w:fldChar w:fldCharType="separate"/>
      </w:r>
      <w:r w:rsidR="00DF2787" w:rsidRPr="00DF2787">
        <w:rPr>
          <w:rFonts w:ascii="Times New Roman" w:hAnsi="Times New Roman" w:cs="Times New Roman"/>
          <w:noProof/>
          <w:sz w:val="24"/>
          <w:szCs w:val="24"/>
        </w:rPr>
        <w:t>(Hollis and Horst, 2007; Rao Gajula and Nanjappan, 2021; Sun et al., 2005)</w:t>
      </w:r>
      <w:r w:rsidR="00DF2787">
        <w:rPr>
          <w:rFonts w:ascii="Times New Roman" w:hAnsi="Times New Roman" w:cs="Times New Roman"/>
          <w:sz w:val="24"/>
          <w:szCs w:val="24"/>
        </w:rPr>
        <w:fldChar w:fldCharType="end"/>
      </w:r>
      <w:r w:rsidRPr="00726C2E">
        <w:rPr>
          <w:rFonts w:ascii="Times New Roman" w:hAnsi="Times New Roman" w:cs="Times New Roman"/>
          <w:sz w:val="24"/>
          <w:szCs w:val="24"/>
        </w:rPr>
        <w:t>.</w:t>
      </w:r>
    </w:p>
    <w:p w14:paraId="3FD110C5" w14:textId="54C91139" w:rsidR="00726C2E" w:rsidRPr="00726C2E" w:rsidRDefault="00726C2E" w:rsidP="00726C2E">
      <w:pPr>
        <w:jc w:val="both"/>
        <w:rPr>
          <w:rFonts w:ascii="Times New Roman" w:hAnsi="Times New Roman" w:cs="Times New Roman"/>
          <w:sz w:val="24"/>
          <w:szCs w:val="24"/>
        </w:rPr>
      </w:pPr>
      <w:r w:rsidRPr="00726C2E">
        <w:rPr>
          <w:rFonts w:ascii="Times New Roman" w:hAnsi="Times New Roman" w:cs="Times New Roman"/>
          <w:sz w:val="24"/>
          <w:szCs w:val="24"/>
        </w:rPr>
        <w:t>Biomarker analysis has become a cornerstone of modern research, allowing scientists to decipher the intricacies of physiological systems and diseases with unprecedented precision. The ability to identify and quantify biomolecules, such as proteins, peptides, metabolites, and lipids, not only contributes to a deeper understanding of biological processes but also holds tremendous potential for clinical applications. From detecting early disease onset to personalizing medical interventions, biomarkers have revolutionized the landscape of healthcare, making their accurate and efficient analysis a paramount goal for researchers and clinicians alike</w:t>
      </w:r>
      <w:r w:rsidR="00DF2787">
        <w:rPr>
          <w:rFonts w:ascii="Times New Roman" w:hAnsi="Times New Roman" w:cs="Times New Roman"/>
          <w:sz w:val="24"/>
          <w:szCs w:val="24"/>
        </w:rPr>
        <w:t xml:space="preserve"> </w:t>
      </w:r>
      <w:r w:rsidR="00DF2787">
        <w:rPr>
          <w:rFonts w:ascii="Times New Roman" w:hAnsi="Times New Roman" w:cs="Times New Roman"/>
          <w:sz w:val="24"/>
          <w:szCs w:val="24"/>
        </w:rPr>
        <w:fldChar w:fldCharType="begin" w:fldLock="1"/>
      </w:r>
      <w:r w:rsidR="00DF2787">
        <w:rPr>
          <w:rFonts w:ascii="Times New Roman" w:hAnsi="Times New Roman" w:cs="Times New Roman"/>
          <w:sz w:val="24"/>
          <w:szCs w:val="24"/>
        </w:rPr>
        <w:instrText>ADDIN CSL_CITATION {"citationItems":[{"id":"ITEM-1","itemData":{"DOI":"10.1016/j.jsbmb.2006.11.004","ISSN":"09600760","PMID":"17197173","abstract":"The field of Vitamin D assay technology has progressed significantly over the past 4 decades. Further, the clinical utility of these measurements has moved from esoteric into mainstream clinical diagnosis. This movement has been fueled by the realization that Vitamin D is involved in bodily systems beyond skeletal integrity. The clinical assay techniques for circulating 25(OH)D and 1,25(OH)2D have progressed away from competitive protein binding assay (CPBAs) that utilize tritium reporters to radioimmunoassay (RIAs) that utilize both I125 and chemiluminescent reporters. These advances have allowed direct serum analysis of 25(OH)D in an automated format that provides a huge sample throughput. Detection of circulating 25(OH)D can also be achieved utilizing direct high-performance liquid chromatographic (HPLC) or liquid chromatography coupled with mass spectrometry (LC-MS) techniques. These methods are accurate, however, they require expensive equipment and restrict sample throughput in the large clinical laboratory. Direct serum detection of 1,25(OH)2D is unlikely to occur for many reasons as a sample pre-purification will always be required. However, a semi-automated chemiluminescent detection system with automated sample preparation is in final development for the determination of circulating 1,25(OH)2D. These advances will allow both 25(OH)D and 1,25(OH)2D to be detected in an accurate, rapid fashion to meet the clinical demands we see emerging. © 2006 Elsevier Ltd. All rights reserved.","author":[{"dropping-particle":"","family":"Hollis","given":"Bruce W.","non-dropping-particle":"","parse-names":false,"suffix":""},{"dropping-particle":"","family":"Horst","given":"Ronald L.","non-dropping-particle":"","parse-names":false,"suffix":""}],"container-title":"Journal of Steroid Biochemistry and Molecular Biology","id":"ITEM-1","issued":{"date-parts":[["2007"]]},"title":"The assessment of circulating 25(OH)D and 1,25(OH)2D: Where we are and where we are going","type":"article-journal"},"uris":["http://www.mendeley.com/documents/?uuid=a7d34bd2-7d90-42ab-b28c-178b887534ce"]},{"id":"ITEM-2","itemData":{"DOI":"10.1039/d0an01963a","ISSN":"13645528","PMID":"33410843","abstract":"Accelerated development of new therapeutics in an increasingly competitive landscape requires the use of high throughput analytical platforms. In addition, the complexity of novel biotherapeutic formats (e.g. fusion proteins, protein-polymer conjugates, co-formulations, etc.) reinforces the need to improve the selectivity and resolution of conventional one-dimensional (1D) liquid chromatography (LC). Liquid chromatography-mass spectrometry (LC-MS)-based technologies such as native LC-MS for intact mass analysis or peptide mapping (also called bottom-up approach)-based multi-attribute methods (MAM) have already demonstrated their potential to complement the conventional analytical toolbox for monoclonal antibody (mAb) characterization. Two-dimensional liquid-chromatography (2D-LC-MS) methods have emerged in the last ten years as promising approaches to address the increasing analytical challenges faced with novel antibody formats. However, off-line sample preparation procedures are still required for conventional 1D and 2D-LC-MS methods for the in-depth variant characterization at the peptide level. Multi-dimensional LC-MS (mD-LC-MS) combine sample preparation and multi-level (i.e. intact, reduced, middle-up and peptide) analysis within the same chromatographic set-up. This review presents an overview of the benefits and limitations of mD-LC-MS approaches in comparison to conventional chromatographic methods (i.e. 1D-LC-UV methods at intact protein level and 1D-LC-MS methods at peptide level). The current analytical trends in antibody characterization by mD-LC-MS approaches, beyond the 2D-LC-MS workhorse, are also reviewed, and our vision on a more integrated multi-level mD-LC-MS characterization platform is shared. This journal is","author":[{"dropping-particle":"","family":"Camperi","given":"Julien","non-dropping-particle":"","parse-names":false,"suffix":""},{"dropping-particle":"","family":"Goyon","given":"Alexandre","non-dropping-particle":"","parse-names":false,"suffix":""},{"dropping-particle":"","family":"Guillarme","given":"Davy","non-dropping-particle":"","parse-names":false,"suffix":""},{"dropping-particle":"","family":"Zhang","given":"Kelly","non-dropping-particle":"","parse-names":false,"suffix":""},{"dropping-particle":"","family":"Stella","given":"Cinzia","non-dropping-particle":"","parse-names":false,"suffix":""}],"container-title":"Analyst","id":"ITEM-2","issue":"3","issued":{"date-parts":[["2021"]]},"page":"747-769","title":"Multi-dimensional LC-MS: The next generation characterization of antibody-based therapeutics by unified online bottom-up, middle-up and intact approaches","type":"article-journal","volume":"146"},"uris":["http://www.mendeley.com/documents/?uuid=e5a8a759-981c-4596-b778-5d8789aadc34"]},{"id":"ITEM-3","itemData":{"DOI":"10.4172/jpb.1000102","ISSN":"0974276X","abstract":"While several techniques are available in proteomics, LC-MS based analysis of complex protein/peptide mixtures has turned out to be a mainstream analytical technique for quantitative proteomics. Significant technical advances at both sample preparation/separation and mass spectrometry levels have revolutionized comprehensive proteome analysis. Moreover, automation and robotics for sample handling process permit multiple sampling with high throughput. For LC-MS based quantitative proteomics, sample preparation turns out to be critical step, as it can significantly influence sensitivity of downstream analysis. Several sample preparation strategies exist, including depletion of high abundant proteins or enrichment steps that facilitate protein quantification but with a compromise of focusing on a smaller subset of a proteome. While several experimental strategies have emerged, certain limitations such as physiochemical properties of a peptide/protein, protein turnover in a sample, analytical plat form used for sample analysis and data processing, still imply challenges to quantitative proteomics. Other aspects that make analysis of a proteome a challenging task include dynamic nature of a proteome, need for efficient and fast analysis of protein due to its constant modifications inside a cell, concentration range of proteins that exceed dynamic range of a single analytical method, and absence of appropriate bioinformatics tools for analysis of large volume and high dimensional data. This paper gives an overview of various LC-MS methods currently used in quantitative proteomics and their potential for detecting differential protein expression. Fundamental steps such as sample preparation, LC separation, mass spectrometry, quantitative assessment and protein identification are discussed. For quantitative assessment of protein expression, both label and label free approaches are evaluated for their set of merits and demerits. While most of these methods edge on providing \"relative abundance\" information, absolute quantification is achieved with limitation as it caters to fewer proteins. Isotope labeling is extensively used for quantifying differentially expressed proteins, but is severely limited by successful incorporation of its heavy label. lengthy labeling protocols restrict the number of samples that can be labeled and processed. Alternatively, label free approach appears promising as it can process many samples with any number of comparisons possible bu…","author":[{"dropping-particle":"","family":"Tuli","given":"Leepika","non-dropping-particle":"","parse-names":false,"suffix":""},{"dropping-particle":"","family":"Ressom","given":"Habtom W.","non-dropping-particle":"","parse-names":false,"suffix":""}],"container-title":"Journal of Proteomics and Bioinformatics","id":"ITEM-3","issued":{"date-parts":[["2009"]]},"title":"LC-MS based detection of differential protein expression","type":"article-journal"},"uris":["http://www.mendeley.com/documents/?uuid=e890441f-34f5-4e40-84ad-b0edd83fe790"]}],"mendeley":{"formattedCitation":"(Camperi et al., 2021; Hollis and Horst, 2007; Tuli and Ressom, 2009)","plainTextFormattedCitation":"(Camperi et al., 2021; Hollis and Horst, 2007; Tuli and Ressom, 2009)","previouslyFormattedCitation":"(Camperi et al., 2021; Hollis and Horst, 2007; Tuli and Ressom, 2009)"},"properties":{"noteIndex":0},"schema":"https://github.com/citation-style-language/schema/raw/master/csl-citation.json"}</w:instrText>
      </w:r>
      <w:r w:rsidR="00DF2787">
        <w:rPr>
          <w:rFonts w:ascii="Times New Roman" w:hAnsi="Times New Roman" w:cs="Times New Roman"/>
          <w:sz w:val="24"/>
          <w:szCs w:val="24"/>
        </w:rPr>
        <w:fldChar w:fldCharType="separate"/>
      </w:r>
      <w:r w:rsidR="00DF2787" w:rsidRPr="00DF2787">
        <w:rPr>
          <w:rFonts w:ascii="Times New Roman" w:hAnsi="Times New Roman" w:cs="Times New Roman"/>
          <w:noProof/>
          <w:sz w:val="24"/>
          <w:szCs w:val="24"/>
        </w:rPr>
        <w:t>(Camperi et al., 2021; Hollis and Horst, 2007; Tuli and Ressom, 2009)</w:t>
      </w:r>
      <w:r w:rsidR="00DF2787">
        <w:rPr>
          <w:rFonts w:ascii="Times New Roman" w:hAnsi="Times New Roman" w:cs="Times New Roman"/>
          <w:sz w:val="24"/>
          <w:szCs w:val="24"/>
        </w:rPr>
        <w:fldChar w:fldCharType="end"/>
      </w:r>
      <w:r w:rsidRPr="00726C2E">
        <w:rPr>
          <w:rFonts w:ascii="Times New Roman" w:hAnsi="Times New Roman" w:cs="Times New Roman"/>
          <w:sz w:val="24"/>
          <w:szCs w:val="24"/>
        </w:rPr>
        <w:t>.</w:t>
      </w:r>
    </w:p>
    <w:p w14:paraId="27683C44" w14:textId="76CD27DB" w:rsidR="00726C2E" w:rsidRPr="00726C2E" w:rsidRDefault="00726C2E" w:rsidP="00726C2E">
      <w:pPr>
        <w:jc w:val="both"/>
        <w:rPr>
          <w:rFonts w:ascii="Times New Roman" w:hAnsi="Times New Roman" w:cs="Times New Roman"/>
          <w:sz w:val="24"/>
          <w:szCs w:val="24"/>
        </w:rPr>
      </w:pPr>
      <w:r w:rsidRPr="00726C2E">
        <w:rPr>
          <w:rFonts w:ascii="Times New Roman" w:hAnsi="Times New Roman" w:cs="Times New Roman"/>
          <w:sz w:val="24"/>
          <w:szCs w:val="24"/>
        </w:rPr>
        <w:t>In response to the growing demand for expeditious biomarker analysis, high throughput screening has emerged as a transformative technology capable of assessing thousands of samples in a remarkably short time frame. HTS methods facilitate the rapid exploration of large sample cohorts, providing comprehensive datasets that empower researchers to discern patterns, identify novel biomarkers, and validate their functional significance. The integration of HTS into biomarker research has propelled the field forward, enabling the discovery of diagnostic, prognostic, and predictive biomarkers that are paving the way for personalized medicine and targeted therapies</w:t>
      </w:r>
      <w:r w:rsidR="00DF2787">
        <w:rPr>
          <w:rFonts w:ascii="Times New Roman" w:hAnsi="Times New Roman" w:cs="Times New Roman"/>
          <w:sz w:val="24"/>
          <w:szCs w:val="24"/>
        </w:rPr>
        <w:t xml:space="preserve"> </w:t>
      </w:r>
      <w:r w:rsidR="00DF2787">
        <w:rPr>
          <w:rFonts w:ascii="Times New Roman" w:hAnsi="Times New Roman" w:cs="Times New Roman"/>
          <w:sz w:val="24"/>
          <w:szCs w:val="24"/>
        </w:rPr>
        <w:fldChar w:fldCharType="begin" w:fldLock="1"/>
      </w:r>
      <w:r w:rsidR="00DF2787">
        <w:rPr>
          <w:rFonts w:ascii="Times New Roman" w:hAnsi="Times New Roman" w:cs="Times New Roman"/>
          <w:sz w:val="24"/>
          <w:szCs w:val="24"/>
        </w:rPr>
        <w:instrText>ADDIN CSL_CITATION {"citationItems":[{"id":"ITEM-1","itemData":{"DOI":"10.1039/c1mb05350g","ISSN":"17422051","PMID":"22041788","abstract":"Metabolomics aims at identification and quantitation of small molecules involved in metabolic reactions. LC-MS has enjoyed a growing popularity as the platform for metabolomic studies due to its high throughput, soft ionization, and good coverage of metabolites. The success of a LC-MS-based metabolomic study often depends on multiple experimental, analytical, and computational steps. This review presents a workflow of a typical LC-MS-based metabolomic analysis for identification and quantitation of metabolites indicative of biological/environmental perturbations. Challenges and current solutions in each step of the workflow are reviewed. The review intends to help investigators understand the challenges in metabolomic studies and to determine appropriate experimental, analytical, and computational methods to address these challenges. © 2012 The Royal Society of Chemistry.","author":[{"dropping-particle":"","family":"Zhou","given":"Bin","non-dropping-particle":"","parse-names":false,"suffix":""},{"dropping-particle":"","family":"Xiao","given":"Jun Feng","non-dropping-particle":"","parse-names":false,"suffix":""},{"dropping-particle":"","family":"Tuli","given":"Leepika","non-dropping-particle":"","parse-names":false,"suffix":""},{"dropping-particle":"","family":"Ressom","given":"Habtom W.","non-dropping-particle":"","parse-names":false,"suffix":""}],"container-title":"Molecular BioSystems","id":"ITEM-1","issued":{"date-parts":[["2012"]]},"title":"LC-MS-based metabolomics","type":"article"},"uris":["http://www.mendeley.com/documents/?uuid=47460e3a-02c6-48cb-8279-74443cbfda57"]},{"id":"ITEM-2","itemData":{"DOI":"10.1016/b978-0-12-819590-1.00005-7","abstract":"The metabolome of medicinal plants are the precious source for the progress of new phytotherapeutics to treat various diseases. From the last decade, metabolomics is a rapidly growing powerful and emerging technology in the field of herbal medicine for the high throughput comprehensive identification and profiling of both targeted and untargeted metabolites in medicinal plants. Hence, this metabolomics platform is providing an opportunity for the herbal drug discovery and qualitative control of medicinal plants and also in predicting that explaining the dynamic picture of the complex phenotype of biosystems through the study of endogenous metabolites. Nowadays, different new analytical platforms and bioinformatics technologies are developing and they are showing significant improvement in the plant metabolomics studies. Generally, the analytical platforms used in the plant metabolomics are gas chromatography-mass spectrometry (GC–MS), liquid chromatography-mass spectrometry (LC–MS), and liquid chromatography-solid phase extraction-nuclear magnetic resonance (LC–SPE–NMR). However, GC-MS and LC-MS are the leading platforms in the plant metabolomics studies due to its dynamic range of detection and sensitivity and can analyze hundreds of metabolites in parallel. The combination of comparative metabolomics techniques with plant biotechnology will provide a benefit in medical research. This chapter provides detailed information on the comprehensive analysis of untargeted metabolites in medicinal plants based on both NMR and MS platforms that include the basic principle approaches, sample preparation, workflow, data analysis and metabolite identification. It also provides the information related to the application of metabolomics approach to ensure the quality control of medical plants, the challenges faced during the metabolomics studies along with the remedies to overcome all the challenges and benefits of the metabolomics approach in the herbal medicine research.","author":[{"dropping-particle":"","family":"Rao Gajula","given":"Siva Nageswara","non-dropping-particle":"","parse-names":false,"suffix":""},{"dropping-particle":"","family":"Nanjappan","given":"Satheeshkumar","non-dropping-particle":"","parse-names":false,"suffix":""}],"container-title":"Medicinal and Aromatic Plants","id":"ITEM-2","issued":{"date-parts":[["2021"]]},"page":"97-117","title":"Metabolomics: a recent advanced omics technology in herbal medicine research","type":"chapter"},"uris":["http://www.mendeley.com/documents/?uuid=b7b63854-a980-42b3-98a5-656ad0626dd4"]},{"id":"ITEM-3","itemData":{"DOI":"10.1201/9781003179139-9","author":[{"dropping-particle":"","family":"Gautam","given":"Gaurav","non-dropping-particle":"","parse-names":false,"suffix":""},{"dropping-particle":"","family":"Parveen","given":"Rabea","non-dropping-particle":"","parse-names":false,"suffix":""},{"dropping-particle":"","family":"Ahmad","given":"Sayeed","non-dropping-particle":"","parse-names":false,"suffix":""}],"container-title":"Omics Studies of Medicinal Plants","id":"ITEM-3","issued":{"date-parts":[["2023"]]},"title":"LC-MS-based Metabolomics of Medicinal Plants","type":"chapter"},"uris":["http://www.mendeley.com/documents/?uuid=f0525073-21d1-48b2-a262-f6d790ac5532"]}],"mendeley":{"formattedCitation":"(Gautam et al., 2023; Rao Gajula and Nanjappan, 2021; Zhou et al., 2012)","plainTextFormattedCitation":"(Gautam et al., 2023; Rao Gajula and Nanjappan, 2021; Zhou et al., 2012)","previouslyFormattedCitation":"(Gautam et al., 2023; Rao Gajula and Nanjappan, 2021; Zhou et al., 2012)"},"properties":{"noteIndex":0},"schema":"https://github.com/citation-style-language/schema/raw/master/csl-citation.json"}</w:instrText>
      </w:r>
      <w:r w:rsidR="00DF2787">
        <w:rPr>
          <w:rFonts w:ascii="Times New Roman" w:hAnsi="Times New Roman" w:cs="Times New Roman"/>
          <w:sz w:val="24"/>
          <w:szCs w:val="24"/>
        </w:rPr>
        <w:fldChar w:fldCharType="separate"/>
      </w:r>
      <w:r w:rsidR="00DF2787" w:rsidRPr="00DF2787">
        <w:rPr>
          <w:rFonts w:ascii="Times New Roman" w:hAnsi="Times New Roman" w:cs="Times New Roman"/>
          <w:noProof/>
          <w:sz w:val="24"/>
          <w:szCs w:val="24"/>
        </w:rPr>
        <w:t>(Gautam et al., 2023; Rao Gajula and Nanjappan, 2021; Zhou et al., 2012)</w:t>
      </w:r>
      <w:r w:rsidR="00DF2787">
        <w:rPr>
          <w:rFonts w:ascii="Times New Roman" w:hAnsi="Times New Roman" w:cs="Times New Roman"/>
          <w:sz w:val="24"/>
          <w:szCs w:val="24"/>
        </w:rPr>
        <w:fldChar w:fldCharType="end"/>
      </w:r>
      <w:r w:rsidRPr="00726C2E">
        <w:rPr>
          <w:rFonts w:ascii="Times New Roman" w:hAnsi="Times New Roman" w:cs="Times New Roman"/>
          <w:sz w:val="24"/>
          <w:szCs w:val="24"/>
        </w:rPr>
        <w:t>.</w:t>
      </w:r>
    </w:p>
    <w:p w14:paraId="043405CC" w14:textId="087466FF" w:rsidR="00726C2E" w:rsidRPr="00726C2E" w:rsidRDefault="00726C2E" w:rsidP="00726C2E">
      <w:pPr>
        <w:jc w:val="both"/>
        <w:rPr>
          <w:rFonts w:ascii="Times New Roman" w:hAnsi="Times New Roman" w:cs="Times New Roman"/>
          <w:sz w:val="24"/>
          <w:szCs w:val="24"/>
        </w:rPr>
      </w:pPr>
      <w:r w:rsidRPr="00726C2E">
        <w:rPr>
          <w:rFonts w:ascii="Times New Roman" w:hAnsi="Times New Roman" w:cs="Times New Roman"/>
          <w:sz w:val="24"/>
          <w:szCs w:val="24"/>
        </w:rPr>
        <w:t>Amid the diverse array of analytical technologies available, liquid chromatography-mass spectrometry has emerged as a leading method in biomarker analysis. LC-MS combines two powerful analytical techniques, liquid chromatography and mass spectrometry, to offer enhanced separation and detection capabilities. Liquid chromatography employs various stationary phases to separate biomolecules based on their physicochemical properties, such as size, polarity, and charge, while mass spectrometry measures the mass-to-charge ratio of ions, providing high-resolution identification and quantification of analytes. This synergistic combination empowers LC-MS to analyze a wide range of biomolecules with unparalleled sensitivity and selectivity</w:t>
      </w:r>
      <w:r w:rsidR="00DF2787">
        <w:rPr>
          <w:rFonts w:ascii="Times New Roman" w:hAnsi="Times New Roman" w:cs="Times New Roman"/>
          <w:sz w:val="24"/>
          <w:szCs w:val="24"/>
        </w:rPr>
        <w:t xml:space="preserve"> </w:t>
      </w:r>
      <w:r w:rsidR="00DF2787">
        <w:rPr>
          <w:rFonts w:ascii="Times New Roman" w:hAnsi="Times New Roman" w:cs="Times New Roman"/>
          <w:sz w:val="24"/>
          <w:szCs w:val="24"/>
        </w:rPr>
        <w:fldChar w:fldCharType="begin" w:fldLock="1"/>
      </w:r>
      <w:r w:rsidR="00DF2787">
        <w:rPr>
          <w:rFonts w:ascii="Times New Roman" w:hAnsi="Times New Roman" w:cs="Times New Roman"/>
          <w:sz w:val="24"/>
          <w:szCs w:val="24"/>
        </w:rPr>
        <w:instrText>ADDIN CSL_CITATION {"citationItems":[{"id":"ITEM-1","itemData":{"DOI":"10.3390/biomedicines11010168","ISSN":"22279059","abstract":"Based on traditional therapeutic claims, NEERI KFT (a traditional Ayurvedic polyherbal preparation) has been innovatively developed in recent time on the decades of experience for treating kidney dysfunction. Due to the lack of scientific evidence, the present investigations are needed to support the rationale use of NEERI KFT. Considering the facts, the study investigated the nephroprotective effect of NEERI KFT against kidney dysfunction using in silico, in vitro and in vivo approaches. In this study, phytochemical and network pharmacology studies were performed for the developed formulation to evaluate the molecular mechanism of NEERI KFT in the amelioration of kidney disease. In vitro nephroprotective and antioxidant effect of NEERI KFT was determined on HEK 293 cells against cisplatin-induced cytotoxicity and oxidative stress. In vivo nephroprotective effect of NEERI KFT was determined against cisplatin-induced nephrotoxicity in Wistar rats, via assessing biochemical markers, antioxidant enzymes and inflammatory cytokines such as TNF-α, IL-1β, CASP-3, etc. The results showed that the compounds such as gallic acid, caffeic acid and ferulic acid are the major constituents of NEERI KFT, while network pharmacology analysis indicated a strong interaction between polyphenols and several genes (CASPs, ILs, AGTR1, AKT, ACE2, SOD1, etc.) involved in the pathophysiology of kidney disease. In vivo studies showed a significant (p &lt; 0.05) ameliorative effect on biochemical markers and antioxidant enzymes (SOD, CAT, GSH, etc.), and regulates inflammatory cytokine (TNF-α, IL-1β, CASP-3) expression in kidney tissue. Hence, it can be concluded that NEERI KFT subsequently alleviates renal dysfunction mediated by cisplatin via attenuating oxidative and inflammatory stress, thus preserving the normalcy of kidney function.","author":[{"dropping-particle":"","family":"Gaurav","given":"","non-dropping-particle":"","parse-names":false,"suffix":""},{"dropping-particle":"","family":"Sharma","given":"Ikshit","non-dropping-particle":"","parse-names":false,"suffix":""},{"dropping-particle":"","family":"Khan","given":"Mohammad Umar","non-dropping-particle":"","parse-names":false,"suffix":""},{"dropping-particle":"","family":"Zahiruddin","given":"Sultan","non-dropping-particle":"","parse-names":false,"suffix":""},{"dropping-particle":"","family":"Basist","given":"Parakh","non-dropping-particle":"","parse-names":false,"suffix":""},{"dropping-particle":"","family":"Ahmad","given":"Sayeed","non-dropping-particle":"","parse-names":false,"suffix":""}],"container-title":"Biomedicines","id":"ITEM-1","issue":"1","issued":{"date-parts":[["2023"]]},"title":"Multi-Mechanistic and Therapeutic Exploration of Nephroprotective Effect of Traditional Ayurvedic Polyherbal Formulation Using In Silico, In Vitro and In Vivo Approaches","type":"article-journal","volume":"11"},"uris":["http://www.mendeley.com/documents/?uuid=e136172c-3eeb-4fb7-a2b4-4590c8755890"]},{"id":"ITEM-2","itemData":{"DOI":"10.1016/j.sajb.2022.01.038","ISSN":"02546299","abstract":"Synergism among herbals or phytochemicals potentiates incredible biological effects thus mitigating several acute and chronic ailments. Boerhaavia diffusa (BD) and Tinospora cordifolia (TC) are well-known medicinal plants used as the folk medicinal regimen for treating various ailments. Due to lack of scientific evidence, the study is aimed to evaluate the synergistic nephroprotective potential of BD and TC herbal combination against diclofenac (DCF)-induced nephrotoxicity. HPTLC analysis was performed for quantification of polyphenols followed by network pharmacological analysis to investigate the multi-mechanistic role of polyphenols in alleviating chronic kidney disease (CKD). The herbal combination exhibited significant (p &lt; 0.05) nephroprotective effect by reducing renal oxidative, and inflammatory stress. Network pharmacological analysis showed multiple physiological roles of polyphenols in kidney malfunction by regulating several genomes involved in inflammation, oxidative stress, renin-angiotensin system (RAS), etc. and thus providing an effective therapeutic regimen as BD and TC in the glance of naturals.","author":[{"dropping-particle":"","family":"Gaurav","given":"","non-dropping-particle":"","parse-names":false,"suffix":""},{"dropping-particle":"","family":"Khan","given":"Mohammad Umar","non-dropping-particle":"","parse-names":false,"suffix":""},{"dropping-particle":"","family":"Basist","given":"Parakh","non-dropping-particle":"","parse-names":false,"suffix":""},{"dropping-particle":"","family":"Zahiruddin","given":"Sultan","non-dropping-particle":"","parse-names":false,"suffix":""},{"dropping-particle":"","family":"Ibrahim","given":"Mohammad","non-dropping-particle":"","parse-names":false,"suffix":""},{"dropping-particle":"","family":"Parveen","given":"Rabea","non-dropping-particle":"","parse-names":false,"suffix":""},{"dropping-particle":"","family":"Krishnan","given":"Anuja","non-dropping-particle":"","parse-names":false,"suffix":""},{"dropping-particle":"","family":"Ahmad","given":"Sayeed","non-dropping-particle":"","parse-names":false,"suffix":""}],"container-title":"South African Journal of Botany","id":"ITEM-2","issued":{"date-parts":[["2022"]]},"publisher":"Elsevier B.V.","title":"Nephroprotective potential of Boerhaavia diffusa and Tinospora cordifolia herbal combination against diclofenac induced nephrotoxicity","type":"article-journal","volume":"000"},"uris":["http://www.mendeley.com/documents/?uuid=c100ed2d-8d94-487a-bf99-55e84bc4b2c1"]},{"id":"ITEM-3","itemData":{"DOI":"10.4103/pm.pm_582_21","author":[{"dropping-particle":"","family":"Gaurav","given":"","non-dropping-particle":"","parse-names":false,"suffix":""}],"container-title":"Pharmacognosy Magazine","id":"ITEM-3","issue":"79","issued":{"date-parts":[["2022"]]},"page":"548-558","title":"GC–MS metabolomics and network pharmacology-based investigation of molecular mechanism of identified metabolites from Tinospora cordifolia (Willd.) miers for the treatment of kidney diseases","type":"article-journal","volume":"18"},"uris":["http://www.mendeley.com/documents/?uuid=1266cacc-268f-453d-a7ac-37d784319f42"]},{"id":"ITEM-4","itemData":{"author":[{"dropping-particle":"","family":"Gautam","given":"Gaurav","non-dropping-particle":"","parse-names":false,"suffix":""}],"container-title":"Journal of CAM Research Progress","id":"ITEM-4","issued":{"date-parts":[["2022"]]},"page":"1-10","title":"Network Pharmacology-Based Validation of Traditional Therapeutic Claim of Momordica Charantiain Alleviating Diabetic Nephropathy","type":"article-journal","volume":"1"},"uris":["http://www.mendeley.com/documents/?uuid=fce810ce-877a-4b01-873c-b821062a5b4c"]}],"mendeley":{"formattedCitation":"(Gaurav, 2022; Gaurav et al., 2023, 2022; Gautam, 2022)","plainTextFormattedCitation":"(Gaurav, 2022; Gaurav et al., 2023, 2022; Gautam, 2022)","previouslyFormattedCitation":"(Gaurav, 2022; Gaurav et al., 2023, 2022; Gautam, 2022)"},"properties":{"noteIndex":0},"schema":"https://github.com/citation-style-language/schema/raw/master/csl-citation.json"}</w:instrText>
      </w:r>
      <w:r w:rsidR="00DF2787">
        <w:rPr>
          <w:rFonts w:ascii="Times New Roman" w:hAnsi="Times New Roman" w:cs="Times New Roman"/>
          <w:sz w:val="24"/>
          <w:szCs w:val="24"/>
        </w:rPr>
        <w:fldChar w:fldCharType="separate"/>
      </w:r>
      <w:r w:rsidR="00DF2787" w:rsidRPr="00DF2787">
        <w:rPr>
          <w:rFonts w:ascii="Times New Roman" w:hAnsi="Times New Roman" w:cs="Times New Roman"/>
          <w:noProof/>
          <w:sz w:val="24"/>
          <w:szCs w:val="24"/>
        </w:rPr>
        <w:t>(Gaurav, 2022; Gaurav et al., 2023, 2022; Gautam, 2022)</w:t>
      </w:r>
      <w:r w:rsidR="00DF2787">
        <w:rPr>
          <w:rFonts w:ascii="Times New Roman" w:hAnsi="Times New Roman" w:cs="Times New Roman"/>
          <w:sz w:val="24"/>
          <w:szCs w:val="24"/>
        </w:rPr>
        <w:fldChar w:fldCharType="end"/>
      </w:r>
      <w:r w:rsidRPr="00726C2E">
        <w:rPr>
          <w:rFonts w:ascii="Times New Roman" w:hAnsi="Times New Roman" w:cs="Times New Roman"/>
          <w:sz w:val="24"/>
          <w:szCs w:val="24"/>
        </w:rPr>
        <w:t>.</w:t>
      </w:r>
    </w:p>
    <w:p w14:paraId="00FAB405" w14:textId="02F11FB6" w:rsidR="00726C2E" w:rsidRPr="00726C2E" w:rsidRDefault="00726C2E" w:rsidP="00726C2E">
      <w:pPr>
        <w:jc w:val="both"/>
        <w:rPr>
          <w:rFonts w:ascii="Times New Roman" w:hAnsi="Times New Roman" w:cs="Times New Roman"/>
          <w:sz w:val="24"/>
          <w:szCs w:val="24"/>
        </w:rPr>
      </w:pPr>
      <w:r w:rsidRPr="00726C2E">
        <w:rPr>
          <w:rFonts w:ascii="Times New Roman" w:hAnsi="Times New Roman" w:cs="Times New Roman"/>
          <w:sz w:val="24"/>
          <w:szCs w:val="24"/>
        </w:rPr>
        <w:t xml:space="preserve">The sensitivity of LC-MS allows for the detection of trace amounts of biomolecules, even in complex biological matrices, enhancing the likelihood of identifying low-abundance biomarkers with significant clinical relevance. Additionally, LC-MS exhibits exceptional selectivity, </w:t>
      </w:r>
      <w:r w:rsidRPr="00726C2E">
        <w:rPr>
          <w:rFonts w:ascii="Times New Roman" w:hAnsi="Times New Roman" w:cs="Times New Roman"/>
          <w:sz w:val="24"/>
          <w:szCs w:val="24"/>
        </w:rPr>
        <w:lastRenderedPageBreak/>
        <w:t>distinguishing between closely related molecules based on their mass-to-charge ratios, thereby minimizing false positives and ensuring precise biomarker identification. This level of accuracy is vital when exploring complex biological systems, where a multitude of molecules coexist, necessitating a method capable of disentangling intricate molecular networks.</w:t>
      </w:r>
      <w:r w:rsidR="00DF2787">
        <w:rPr>
          <w:rFonts w:ascii="Times New Roman" w:hAnsi="Times New Roman" w:cs="Times New Roman"/>
          <w:sz w:val="24"/>
          <w:szCs w:val="24"/>
        </w:rPr>
        <w:t xml:space="preserve"> </w:t>
      </w:r>
      <w:r w:rsidRPr="00726C2E">
        <w:rPr>
          <w:rFonts w:ascii="Times New Roman" w:hAnsi="Times New Roman" w:cs="Times New Roman"/>
          <w:sz w:val="24"/>
          <w:szCs w:val="24"/>
        </w:rPr>
        <w:t>One of the fundamental advantages of LC-MS in HTS workflows lies in its capacity for high throughput analysis. Automation has revolutionized the field, enabling researchers to process large sample cohorts efficiently and consistently, while maintaining the reproducibility of results. The integration of robotics, liquid handling systems, and data processing software streamlines the entire analytical process, reducing the time required for analysis and minimizing potential sources of human error</w:t>
      </w:r>
      <w:r w:rsidR="00DF2787">
        <w:rPr>
          <w:rFonts w:ascii="Times New Roman" w:hAnsi="Times New Roman" w:cs="Times New Roman"/>
          <w:sz w:val="24"/>
          <w:szCs w:val="24"/>
        </w:rPr>
        <w:t xml:space="preserve"> </w:t>
      </w:r>
      <w:r w:rsidR="00DF2787">
        <w:rPr>
          <w:rFonts w:ascii="Times New Roman" w:hAnsi="Times New Roman" w:cs="Times New Roman"/>
          <w:sz w:val="24"/>
          <w:szCs w:val="24"/>
        </w:rPr>
        <w:fldChar w:fldCharType="begin" w:fldLock="1"/>
      </w:r>
      <w:r w:rsidR="00DF2787">
        <w:rPr>
          <w:rFonts w:ascii="Times New Roman" w:hAnsi="Times New Roman" w:cs="Times New Roman"/>
          <w:sz w:val="24"/>
          <w:szCs w:val="24"/>
        </w:rPr>
        <w:instrText>ADDIN CSL_CITATION {"citationItems":[{"id":"ITEM-1","itemData":{"DOI":"10.4103/pm.pm_326_20","ISSN":"0973-1296","author":[{"dropping-particle":"","family":"Khan","given":"Asna","non-dropping-particle":"","parse-names":false,"suffix":""},{"dropping-particle":"","family":"Zahiruddin","given":"Sultan","non-dropping-particle":"","parse-names":false,"suffix":""},{"dropping-particle":"","family":"Ibrahim","given":"Mohammad","non-dropping-particle":"","parse-names":false,"suffix":""},{"dropping-particle":"","family":"Basist","given":"Parakh","non-dropping-particle":"","parse-names":false,"suffix":""},{"dropping-particle":"","family":"Gaurav","given":"","non-dropping-particle":"","parse-names":false,"suffix":""},{"dropping-particle":"","family":"Parveen","given":"Rabea","non-dropping-particle":"","parse-names":false,"suffix":""},{"dropping-particle":"","family":"Umar","given":"Shahid","non-dropping-particle":"","parse-names":false,"suffix":""},{"dropping-particle":"","family":"Ahmad","given":"Sayeed","non-dropping-particle":"","parse-names":false,"suffix":""}],"container-title":"Pharmacognosy Magazine","id":"ITEM-1","issued":{"date-parts":[["2021"]]},"title":"Thin layer chromatography-mass spectrometry bioautographic identification of free radical scavenging compounds and metabolomic profile of Carica papaya linn. fruit and seeds using high-performance thin-layer chromatography, gas chromatography-mass spectro","type":"article-journal"},"uris":["http://www.mendeley.com/documents/?uuid=9271ae6c-370f-4dd4-80ad-c43f8aadd1d6"]},{"id":"ITEM-2","itemData":{"DOI":"10.4103/pm.pm_582_21","author":[{"dropping-particle":"","family":"Gaurav","given":"","non-dropping-particle":"","parse-names":false,"suffix":""}],"container-title":"Pharmacognosy Magazine","id":"ITEM-2","issue":"79","issued":{"date-parts":[["2022"]]},"page":"548-558","title":"GC–MS metabolomics and network pharmacology-based investigation of molecular mechanism of identified metabolites from Tinospora cordifolia (Willd.) miers for the treatment of kidney diseases","type":"article-journal","volume":"18"},"uris":["http://www.mendeley.com/documents/?uuid=1266cacc-268f-453d-a7ac-37d784319f42"]}],"mendeley":{"formattedCitation":"(Gaurav, 2022; Khan et al., 2021)","plainTextFormattedCitation":"(Gaurav, 2022; Khan et al., 2021)","previouslyFormattedCitation":"(Gaurav, 2022; Khan et al., 2021)"},"properties":{"noteIndex":0},"schema":"https://github.com/citation-style-language/schema/raw/master/csl-citation.json"}</w:instrText>
      </w:r>
      <w:r w:rsidR="00DF2787">
        <w:rPr>
          <w:rFonts w:ascii="Times New Roman" w:hAnsi="Times New Roman" w:cs="Times New Roman"/>
          <w:sz w:val="24"/>
          <w:szCs w:val="24"/>
        </w:rPr>
        <w:fldChar w:fldCharType="separate"/>
      </w:r>
      <w:r w:rsidR="00DF2787" w:rsidRPr="00DF2787">
        <w:rPr>
          <w:rFonts w:ascii="Times New Roman" w:hAnsi="Times New Roman" w:cs="Times New Roman"/>
          <w:noProof/>
          <w:sz w:val="24"/>
          <w:szCs w:val="24"/>
        </w:rPr>
        <w:t>(Gaurav, 2022; Khan et al., 2021)</w:t>
      </w:r>
      <w:r w:rsidR="00DF2787">
        <w:rPr>
          <w:rFonts w:ascii="Times New Roman" w:hAnsi="Times New Roman" w:cs="Times New Roman"/>
          <w:sz w:val="24"/>
          <w:szCs w:val="24"/>
        </w:rPr>
        <w:fldChar w:fldCharType="end"/>
      </w:r>
      <w:r w:rsidRPr="00726C2E">
        <w:rPr>
          <w:rFonts w:ascii="Times New Roman" w:hAnsi="Times New Roman" w:cs="Times New Roman"/>
          <w:sz w:val="24"/>
          <w:szCs w:val="24"/>
        </w:rPr>
        <w:t>.</w:t>
      </w:r>
    </w:p>
    <w:p w14:paraId="21C88724" w14:textId="6B8263E1" w:rsidR="00726C2E" w:rsidRPr="00726C2E" w:rsidRDefault="00726C2E" w:rsidP="00726C2E">
      <w:pPr>
        <w:jc w:val="both"/>
        <w:rPr>
          <w:rFonts w:ascii="Times New Roman" w:hAnsi="Times New Roman" w:cs="Times New Roman"/>
          <w:sz w:val="24"/>
          <w:szCs w:val="24"/>
        </w:rPr>
      </w:pPr>
      <w:r w:rsidRPr="00726C2E">
        <w:rPr>
          <w:rFonts w:ascii="Times New Roman" w:hAnsi="Times New Roman" w:cs="Times New Roman"/>
          <w:sz w:val="24"/>
          <w:szCs w:val="24"/>
        </w:rPr>
        <w:t>Furthermore, LC-MS's versatility extends beyond single analyte detection, enabling multiplexed analysis of multiple biomolecules in a single run. This capability is particularly valuable when exploring complex diseases or understanding the interplay between different biomolecules within biological systems. By simultaneously quantifying various biomarkers, LC-MS provides a holistic view of disease pathology and drug response, ultimately guiding more informed clinical decision-making.</w:t>
      </w:r>
      <w:r w:rsidR="00DF2787">
        <w:rPr>
          <w:rFonts w:ascii="Times New Roman" w:hAnsi="Times New Roman" w:cs="Times New Roman"/>
          <w:sz w:val="24"/>
          <w:szCs w:val="24"/>
        </w:rPr>
        <w:t xml:space="preserve"> </w:t>
      </w:r>
      <w:r w:rsidRPr="00726C2E">
        <w:rPr>
          <w:rFonts w:ascii="Times New Roman" w:hAnsi="Times New Roman" w:cs="Times New Roman"/>
          <w:sz w:val="24"/>
          <w:szCs w:val="24"/>
        </w:rPr>
        <w:t>Despite the numerous advantages, LC-MS-based biomarker analysis also presents challenges that demand continuous innovation. Improving sensitivity and reducing limits of detection remains a primary focus, as many biomarkers occur at ultra-low concentrations in biological samples. Advancements in sample preparation techniques and pre-analytical workflows have sought to mitigate these challenges, ensuring reliable and accurate measurements.</w:t>
      </w:r>
      <w:r w:rsidR="00DF2787">
        <w:rPr>
          <w:rFonts w:ascii="Times New Roman" w:hAnsi="Times New Roman" w:cs="Times New Roman"/>
          <w:sz w:val="24"/>
          <w:szCs w:val="24"/>
        </w:rPr>
        <w:t xml:space="preserve"> </w:t>
      </w:r>
      <w:r w:rsidRPr="00726C2E">
        <w:rPr>
          <w:rFonts w:ascii="Times New Roman" w:hAnsi="Times New Roman" w:cs="Times New Roman"/>
          <w:sz w:val="24"/>
          <w:szCs w:val="24"/>
        </w:rPr>
        <w:t>Additionally, the vast amounts of data generated by HTS methodologies necessitate sophisticated data analysis pipelines and bioinformatics tools. Extracting meaningful insights from complex datasets requires robust statistical analysis, bioinformatics algorithms, and machine learning approaches, facilitating the discovery of relevant biomarker patterns and correlations</w:t>
      </w:r>
      <w:r w:rsidR="00DF2787">
        <w:rPr>
          <w:rFonts w:ascii="Times New Roman" w:hAnsi="Times New Roman" w:cs="Times New Roman"/>
          <w:sz w:val="24"/>
          <w:szCs w:val="24"/>
        </w:rPr>
        <w:t xml:space="preserve"> </w:t>
      </w:r>
      <w:r w:rsidR="00DF2787">
        <w:rPr>
          <w:rFonts w:ascii="Times New Roman" w:hAnsi="Times New Roman" w:cs="Times New Roman"/>
          <w:sz w:val="24"/>
          <w:szCs w:val="24"/>
        </w:rPr>
        <w:fldChar w:fldCharType="begin" w:fldLock="1"/>
      </w:r>
      <w:r w:rsidR="00DF2787">
        <w:rPr>
          <w:rFonts w:ascii="Times New Roman" w:hAnsi="Times New Roman" w:cs="Times New Roman"/>
          <w:sz w:val="24"/>
          <w:szCs w:val="24"/>
        </w:rPr>
        <w:instrText>ADDIN CSL_CITATION {"citationItems":[{"id":"ITEM-1","itemData":{"DOI":"10.5740/jaoacint.19-0287","ISSN":"1060-3271","PMID":"31570115","abstract":"Background: Interest in the antioxidant and antidiabetic activity of natural products are growing vastly in the modern world. Thin layer chromatography-bioautography-mass spectroscopy (TLC-bioautography-MS) plays an important role in chemico-biological screening of natural sources. TLC combined with 2, 2-Diphenyl-1-picrylhydrazyl (DPPH) free radical, α-amylase and α-glucosidase bioassay were used to evaluate antioxidant and antidiabetic activities, respectively, in different extracts of Citrullus colocynthis (Hanzal), a well-known traditional Indian Unani medicinal plant. Objective: To develop a TLC-bioautographic-MS method for DPPH, α-amylase, and glucosidase inhibitors in different extract of C. colocynthis fruits. Method: Fruits of C. colocynthis were successively extracted with toluene, dichloromethane, ethyl acetate, methanol, and water. TLC solvents were developed, and bioautographic-MS analysis was carried out to identify the antioxidant and antidiabetic compounds. Results: HPTLC fingerprinting analysis showed maximum numbers of band separated in dichloromethane and ethyl acetate extracts of C. colocynthis, fourteen and thirteen at 254 and 366 nm, respectively. Whereas six and five separated bands were observed in toluene extract at 254 and 366 nm, respectively showed minimum numbers of metabolites. Based on TLC-bioautography-MS, maximum number of antioxidant compounds were identified in dichloromethane extract. Except aqueous extract of C. colocynthis, all the extracts have shown antidiabetic activity. On the other hand, there were no antioxidant compounds in methanolic extract of C. colocynthis. Conclusions: The results of this study reveal that TLC-bioautography-MS–guided strategy used to identify antioxidant and antidiabetic compounds of C. colocynthis is very useful technique for high-throughput screening of bioactive compounds. Highlights: TLC-MS bioautography is a simple and fast to enables bioactive compounds present in extracts.","author":[{"dropping-particle":"","family":"Parveen","given":"Rabea","non-dropping-particle":"","parse-names":false,"suffix":""},{"dropping-particle":"","family":"Khan","given":"Nausheen","non-dropping-particle":"","parse-names":false,"suffix":""},{"dropping-particle":"","family":"Zahiruddin","given":"Sultan","non-dropping-particle":"","parse-names":false,"suffix":""},{"dropping-particle":"","family":"Ibrahim","given":"Mohammad","non-dropping-particle":"","parse-names":false,"suffix":""},{"dropping-particle":"","family":"Anjum","given":"Varisha","non-dropping-particle":"","parse-names":false,"suffix":""},{"dropping-particle":"","family":"Parveen","given":"Bushra","non-dropping-particle":"","parse-names":false,"suffix":""},{"dropping-particle":"","family":"Khan","given":"Mohammad Ahmad","non-dropping-particle":"","parse-names":false,"suffix":""}],"container-title":"Journal of AOAC INTERNATIONAL","id":"ITEM-1","issued":{"date-parts":[["2020"]]},"title":"TLC-Bioautographic Evaluation for High-Throughput Screening and Identification of Free Radical Scavenging and Antidiabetic Compounds from Traditional Unani Medicinal Plant: Citrullus colocynthis Schrad","type":"article-journal"},"uris":["http://www.mendeley.com/documents/?uuid=430dff76-fe92-4957-a447-349446153dc0"]},{"id":"ITEM-2","itemData":{"author":[{"dropping-particle":"","family":"Zahiruddin","given":"Sultan","non-dropping-particle":"","parse-names":false,"suffix":""},{"dropping-particle":"","family":"Parveen","given":"Abida","non-dropping-particle":"","parse-names":false,"suffix":""},{"dropping-particle":"","family":"Khan","given":"Washim","non-dropping-particle":"","parse-names":false,"suffix":""},{"dropping-particle":"","family":"Parveen","given":"Rabea","non-dropping-particle":"","parse-names":false,"suffix":""},{"dropping-particle":"","family":"Ahmad","given":"Sayeed","non-dropping-particle":"","parse-names":false,"suffix":""}],"id":"ITEM-2","issued":{"date-parts":[["2021"]]},"title":"TLC-Based Metabolite Profiling and Bioactivity-Based Scientific Validation for Use of Water Extracts in AYUSH Formulations","type":"article-journal","volume":"2021"},"uris":["http://www.mendeley.com/documents/?uuid=7bf3f729-b845-4c04-b1e2-2afb10206b09"]},{"id":"ITEM-3","itemData":{"DOI":"10.1021/acsomega.0c02995","ISSN":"24701343","abstract":"BGR-34 is a polyherbal formulation frequently used to combat diabetes around the globe especially in Asian countries. It provides an attractive treatment option to prediabetics, diabetics, and in metabolic disorders by controlling the altered blood glucose level. The lack of phytopharmacological studies on BGR-34 prompted as to reveal the compounds responsible for the antidiabetic and free-radical scavenging activity of BGR-34. An attempt was made to assess in vitro α-amylase and α-glucosidase enzyme inhibition of BGR-34 along with its free-radical scavenging potential via DPPH scavenging activity. Further, HPTLC profiling and quantitative analysis of berberine and palmatine in BGR-34 were carried out. Thereafter, the TLC-bioautographic-MS analysis was performed to identify the compounds responsible for antidiabetic and antioxidant activities in BGR-34. The results had shown a significant and dose-dependent inhibition potential of BGR-34 against in vitro α-amylase and α-glucosidase enzymatic reactions along with significant inhibition in DPPH free-radical scavenging activity. The HPTLC profiling and quantitative validation studies showed the presence of berberine and palmatine 44.926 ± 0.2907 and 10.507 ± 0.154 μg/g, respectively. The TLC-MS bioautography revealed a total of four DPPH-active, two α-amylase-active, and nine α-glucosidaseactive compounds in BGR-34. It was observed from the study that BGR-34 possesses verities of bioactive compounds, which are reasonable not only for its antidiabetic effect but also for its antioxidant activity.","author":[{"dropping-particle":"","family":"Gaurav","given":"","non-dropping-particle":"","parse-names":false,"suffix":""},{"dropping-particle":"","family":"Zahiruddin","given":"Sultan","non-dropping-particle":"","parse-names":false,"suffix":""},{"dropping-particle":"","family":"Parveen","given":"Bushra","non-dropping-particle":"","parse-names":false,"suffix":""},{"dropping-particle":"","family":"Ibrahim","given":"Mohammad","non-dropping-particle":"","parse-names":false,"suffix":""},{"dropping-particle":"","family":"Sharma","given":"Ikshit","non-dropping-particle":"","parse-names":false,"suffix":""},{"dropping-particle":"","family":"Sharma","given":"Sanchit","non-dropping-particle":"","parse-names":false,"suffix":""},{"dropping-particle":"","family":"Sharma","given":"Anil Kumar","non-dropping-particle":"","parse-names":false,"suffix":""},{"dropping-particle":"","family":"Parveen","given":"Rabea","non-dropping-particle":"","parse-names":false,"suffix":""},{"dropping-particle":"","family":"Ahmad","given":"Sayeed","non-dropping-particle":"","parse-names":false,"suffix":""}],"container-title":"ACS Omega","id":"ITEM-3","issued":{"date-parts":[["2020"]]},"title":"TLC-MS bioautography-based identification of free-radical scavenging, α‑amylase, and α‑glucosidase inhibitor compounds of antidiabetic tablet BGR-34","type":"article-journal"},"uris":["http://www.mendeley.com/documents/?uuid=03233ac1-eb07-4505-a907-fd7d9989759c"]},{"id":"ITEM-4","itemData":{"DOI":"10.1111/jfbc.13852","author":[{"dropping-particle":"","family":"Ibrahim","given":"Mohammad","non-dropping-particle":"","parse-names":false,"suffix":""},{"dropping-particle":"","family":"Parveen","given":"Bushra","non-dropping-particle":"","parse-names":false,"suffix":""},{"dropping-particle":"","family":"Zahiruddin","given":"Sultan","non-dropping-particle":"","parse-names":false,"suffix":""},{"dropping-particle":"","family":"Gautam","given":"Gaurav","non-dropping-particle":"","parse-names":false,"suffix":""},{"dropping-particle":"","family":"Parveen","given":"Rabea","non-dropping-particle":"","parse-names":false,"suffix":""},{"dropping-particle":"","family":"Ahmed","given":"Mohammad","non-dropping-particle":"","parse-names":false,"suffix":""},{"dropping-particle":"","family":"Arun","given":"Khan","non-dropping-particle":"","parse-names":false,"suffix":""},{"dropping-particle":"","family":"Sayeed","given":"Gupta","non-dropping-particle":"","parse-names":false,"suffix":""}],"id":"ITEM-4","issue":"March","issued":{"date-parts":[["2021"]]},"page":"1-15","title":"Analysis of polyphenols in Aegle marmelos leaf and ameliorative efficacy against diabetic mice through restoration of antioxidant and anti- ­ inflammatory status","type":"article-journal"},"uris":["http://www.mendeley.com/documents/?uuid=bb0c9084-5d47-4883-95d4-bcf583d88d09"]}],"mendeley":{"formattedCitation":"(Gaurav et al., 2020; Ibrahim et al., 2021; Parveen et al., 2020; Zahiruddin et al., 2021)","plainTextFormattedCitation":"(Gaurav et al., 2020; Ibrahim et al., 2021; Parveen et al., 2020; Zahiruddin et al., 2021)","previouslyFormattedCitation":"(Gaurav et al., 2020; Ibrahim et al., 2021; Parveen et al., 2020; Zahiruddin et al., 2021)"},"properties":{"noteIndex":0},"schema":"https://github.com/citation-style-language/schema/raw/master/csl-citation.json"}</w:instrText>
      </w:r>
      <w:r w:rsidR="00DF2787">
        <w:rPr>
          <w:rFonts w:ascii="Times New Roman" w:hAnsi="Times New Roman" w:cs="Times New Roman"/>
          <w:sz w:val="24"/>
          <w:szCs w:val="24"/>
        </w:rPr>
        <w:fldChar w:fldCharType="separate"/>
      </w:r>
      <w:r w:rsidR="00DF2787" w:rsidRPr="00DF2787">
        <w:rPr>
          <w:rFonts w:ascii="Times New Roman" w:hAnsi="Times New Roman" w:cs="Times New Roman"/>
          <w:noProof/>
          <w:sz w:val="24"/>
          <w:szCs w:val="24"/>
        </w:rPr>
        <w:t>(Gaurav et al., 2020; Ibrahim et al., 2021; Parveen et al., 2020; Zahiruddin et al., 2021)</w:t>
      </w:r>
      <w:r w:rsidR="00DF2787">
        <w:rPr>
          <w:rFonts w:ascii="Times New Roman" w:hAnsi="Times New Roman" w:cs="Times New Roman"/>
          <w:sz w:val="24"/>
          <w:szCs w:val="24"/>
        </w:rPr>
        <w:fldChar w:fldCharType="end"/>
      </w:r>
      <w:r w:rsidRPr="00726C2E">
        <w:rPr>
          <w:rFonts w:ascii="Times New Roman" w:hAnsi="Times New Roman" w:cs="Times New Roman"/>
          <w:sz w:val="24"/>
          <w:szCs w:val="24"/>
        </w:rPr>
        <w:t>.</w:t>
      </w:r>
    </w:p>
    <w:p w14:paraId="60B20F96" w14:textId="24D1F9D9" w:rsidR="00726C2E" w:rsidRDefault="00726C2E" w:rsidP="00726C2E">
      <w:pPr>
        <w:jc w:val="both"/>
        <w:rPr>
          <w:rFonts w:ascii="Times New Roman" w:hAnsi="Times New Roman" w:cs="Times New Roman"/>
          <w:sz w:val="24"/>
          <w:szCs w:val="24"/>
        </w:rPr>
      </w:pPr>
      <w:r w:rsidRPr="00726C2E">
        <w:rPr>
          <w:rFonts w:ascii="Times New Roman" w:hAnsi="Times New Roman" w:cs="Times New Roman"/>
          <w:sz w:val="24"/>
          <w:szCs w:val="24"/>
        </w:rPr>
        <w:t>The integration of LC-MS with other omics technologies, such as genomics and proteomics, is another burgeoning area of research. By amalgamating data from multiple analytical platforms, researchers gain a more comprehensive understanding of disease mechanisms and potential therapeutic targets. This multi-omics approach offers a holistic view of the molecular landscape, fostering a systems biology perspective that transcends the reductionist approach of studying individual biomolecules</w:t>
      </w:r>
      <w:r w:rsidR="00270711">
        <w:rPr>
          <w:rFonts w:ascii="Times New Roman" w:hAnsi="Times New Roman" w:cs="Times New Roman"/>
          <w:sz w:val="24"/>
          <w:szCs w:val="24"/>
        </w:rPr>
        <w:t xml:space="preserve"> </w:t>
      </w:r>
      <w:r w:rsidR="00270711">
        <w:rPr>
          <w:rFonts w:ascii="Times New Roman" w:hAnsi="Times New Roman" w:cs="Times New Roman"/>
          <w:sz w:val="24"/>
          <w:szCs w:val="24"/>
        </w:rPr>
        <w:fldChar w:fldCharType="begin" w:fldLock="1"/>
      </w:r>
      <w:r w:rsidR="00270711">
        <w:rPr>
          <w:rFonts w:ascii="Times New Roman" w:hAnsi="Times New Roman" w:cs="Times New Roman"/>
          <w:sz w:val="24"/>
          <w:szCs w:val="24"/>
        </w:rPr>
        <w:instrText>ADDIN CSL_CITATION {"citationItems":[{"id":"ITEM-1","itemData":{"DOI":"10.1016/j.foodchem.2020.126180","ISSN":"18737072","PMID":"31954937","abstract":"The antioxidant activity of sugarcane molasses ethanol extract (ME) and its fraction (ME-RBF) was evaluated using ABTS, ORAC 6.0 and CAA assays and ME-RBF demonstrated 26-fold, 12-fold and 2-fold higher values, respectively than ME. Likewise, total polyphenol and flavonoid concentration in ME-RBF are more than 10-fold higher than ME, that suggested antioxidant activity is correlated with polyphenol composition. Quantitative analysis of 13 polyphenols (chlorogenic acid, caffeic acid, sinapic acid, syringic acid, vanillin, homoorientin, orientin, vitexin, swertisin, diosmin, apigenin, tricin and diosmetin) was carried out by LCMS. MS/MS analysis allowed the tentative identification of seven apigenin-C-glycosides, three methoxyluteolin-C-glycosides and three tricin-O-glycosides some of which have not been reported in sugarcane before to the best of our knowledge. The results demonstrated that sugarcane molasses can be used as potential source of polyphenols that can be beneficial to health.","author":[{"dropping-particle":"","family":"Deseo","given":"Myrna A.","non-dropping-particle":"","parse-names":false,"suffix":""},{"dropping-particle":"","family":"Elkins","given":"Aaron","non-dropping-particle":"","parse-names":false,"suffix":""},{"dropping-particle":"","family":"Rochfort","given":"Simone","non-dropping-particle":"","parse-names":false,"suffix":""},{"dropping-particle":"","family":"Kitchen","given":"Barry","non-dropping-particle":"","parse-names":false,"suffix":""}],"container-title":"Food Chemistry","id":"ITEM-1","issued":{"date-parts":[["2020"]]},"title":"Antioxidant activity and polyphenol composition of sugarcane molasses extract","type":"article-journal"},"uris":["http://www.mendeley.com/documents/?uuid=1ebf555c-523c-4e9c-b9be-ad68784a9aee"]}],"mendeley":{"formattedCitation":"(Deseo et al., 2020)","plainTextFormattedCitation":"(Deseo et al., 2020)","previouslyFormattedCitation":"(Deseo et al., 2020)"},"properties":{"noteIndex":0},"schema":"https://github.com/citation-style-language/schema/raw/master/csl-citation.json"}</w:instrText>
      </w:r>
      <w:r w:rsidR="00270711">
        <w:rPr>
          <w:rFonts w:ascii="Times New Roman" w:hAnsi="Times New Roman" w:cs="Times New Roman"/>
          <w:sz w:val="24"/>
          <w:szCs w:val="24"/>
        </w:rPr>
        <w:fldChar w:fldCharType="separate"/>
      </w:r>
      <w:r w:rsidR="00270711" w:rsidRPr="00270711">
        <w:rPr>
          <w:rFonts w:ascii="Times New Roman" w:hAnsi="Times New Roman" w:cs="Times New Roman"/>
          <w:noProof/>
          <w:sz w:val="24"/>
          <w:szCs w:val="24"/>
        </w:rPr>
        <w:t>(Deseo et al., 2020)</w:t>
      </w:r>
      <w:r w:rsidR="00270711">
        <w:rPr>
          <w:rFonts w:ascii="Times New Roman" w:hAnsi="Times New Roman" w:cs="Times New Roman"/>
          <w:sz w:val="24"/>
          <w:szCs w:val="24"/>
        </w:rPr>
        <w:fldChar w:fldCharType="end"/>
      </w:r>
      <w:r w:rsidRPr="00726C2E">
        <w:rPr>
          <w:rFonts w:ascii="Times New Roman" w:hAnsi="Times New Roman" w:cs="Times New Roman"/>
          <w:sz w:val="24"/>
          <w:szCs w:val="24"/>
        </w:rPr>
        <w:t>.</w:t>
      </w:r>
      <w:r w:rsidR="00DF2787">
        <w:rPr>
          <w:rFonts w:ascii="Times New Roman" w:hAnsi="Times New Roman" w:cs="Times New Roman"/>
          <w:sz w:val="24"/>
          <w:szCs w:val="24"/>
        </w:rPr>
        <w:t xml:space="preserve"> Hence,</w:t>
      </w:r>
      <w:r w:rsidRPr="00726C2E">
        <w:rPr>
          <w:rFonts w:ascii="Times New Roman" w:hAnsi="Times New Roman" w:cs="Times New Roman"/>
          <w:sz w:val="24"/>
          <w:szCs w:val="24"/>
        </w:rPr>
        <w:t xml:space="preserve"> biomarker analysis and high throughput screening have revolutionized biomedical research and clinical diagnostics, propelling personalized medicine and precision healthcare to the forefront of modern healthcare practices. Liquid chromatography-mass spectrometry has emerged as a pivotal technology in this pursuit, offering exceptional sensitivity, selectivity, and throughput capacity. From cancer research to pharmacokinetics and beyond, LC-MS has enabled the identification, quantification, and validation of diverse biomarkers critical for understanding disease processes and guiding therapeutic interventions. As technology continues to evolve, the integration of LC-MS with other cutting-edge methodologies promises to further advance biomarker research, unlocking new </w:t>
      </w:r>
      <w:r w:rsidRPr="00726C2E">
        <w:rPr>
          <w:rFonts w:ascii="Times New Roman" w:hAnsi="Times New Roman" w:cs="Times New Roman"/>
          <w:sz w:val="24"/>
          <w:szCs w:val="24"/>
        </w:rPr>
        <w:lastRenderedPageBreak/>
        <w:t>frontiers in biomedical science and healthcare delivery</w:t>
      </w:r>
      <w:r w:rsidR="00DF2787">
        <w:rPr>
          <w:rFonts w:ascii="Times New Roman" w:hAnsi="Times New Roman" w:cs="Times New Roman"/>
          <w:sz w:val="24"/>
          <w:szCs w:val="24"/>
        </w:rPr>
        <w:t xml:space="preserve"> </w:t>
      </w:r>
      <w:r w:rsidR="00DF2787">
        <w:rPr>
          <w:rFonts w:ascii="Times New Roman" w:hAnsi="Times New Roman" w:cs="Times New Roman"/>
          <w:sz w:val="24"/>
          <w:szCs w:val="24"/>
        </w:rPr>
        <w:fldChar w:fldCharType="begin" w:fldLock="1"/>
      </w:r>
      <w:r w:rsidR="00270711">
        <w:rPr>
          <w:rFonts w:ascii="Times New Roman" w:hAnsi="Times New Roman" w:cs="Times New Roman"/>
          <w:sz w:val="24"/>
          <w:szCs w:val="24"/>
        </w:rPr>
        <w:instrText>ADDIN CSL_CITATION {"citationItems":[{"id":"ITEM-1","itemData":{"DOI":"10.1016/j.jksus.2022.101839","ISSN":"10183647","abstract":"Sharbat-e-Bazoori Motadil (SBM) is a traditional Unani syrupy formulation, widely used for the management of kidney diseases. Due to lack of scientific evidence, the present work prospective is aimed to evaluate the protective effect of sugar-free SBM against cisplatin (CP)-induced nephrotoxicity using in vitro and in vivo followed by phytochemical studies. The sugar-free SBM formulation was chromatographically characterized for chemical analysis through HPTLC and evaluated for its metabolic contents. Thereafter, in vitro phytochemicals and free radical scavenging assays were performed to evaluate the total phenols and flavonoid content and antioxidant potential of sugar-free SBM. Human embryonic kidney-293 (HEK-293) cell was used to assess nephroprotective and antioxidant studies of sugar-free SBM. Further, in vivo nephroprotective studies were performed in female Wistar albino rats at different dose (32.1, 64.2, 128.4 mg/kg/day, p.o.) of SBM by assessment of biochemical markers, antioxidants status, inflammatory cytokines, and histopathological analysis. Qualitative and quantitative HPTLC analysis of SBM revealed eleven and eight metabolites at 254 and 366 nm, respectively, while the content of caffeic acid and trans ferulic acid was found as 5.63 ± 0.29 and 12.64 ± 0.71 µg/mg, respectively. In vitro free radical scavenging assays showed the significant antioxidant potential of sugar-free SBM. The in vitro assay for nephroprotective and cellular antioxidant analysis of SBM showed significant (p &lt; 0.001) nephroprotective and antioxidant potential. Additionally, in vivo studies of different doses of SBM showed significant (p &lt; 0.001) amelioration in kidney and liver biomarkers. Besides, it also manifests antioxidant, anti-inflammatory and anti-apoptosis activity confirmed by regulation of CAT, GPx, GSH, SOD, TNF-α, IL-1β, NO and caspase-3 levels. Additionally, normalization in histopathological changes of kidney tissue against cisplatin toxicity was also observed in SBM. The sugar-free SBM significantly ameliorated cisplatin induced nephrotoxicity by exerting normalcy in biochemical markers, antioxidant, and anti-inflammatory activity. These findings indicated an opportunity to develop a sugar-free formulation from SBM composition, as well as scientific validation of its traditional claim in the Unani system of medicine.","author":[{"dropping-particle":"","family":"Khan","given":"Mohammad Umar","non-dropping-particle":"","parse-names":false,"suffix":""},{"dropping-particle":"","family":"Gaurav","given":"","non-dropping-particle":"","parse-names":false,"suffix":""},{"dropping-particle":"","family":"Zahiruddin","given":"Sultan","non-dropping-particle":"","parse-names":false,"suffix":""},{"dropping-particle":"","family":"Basist","given":"Parakh","non-dropping-particle":"","parse-names":false,"suffix":""},{"dropping-particle":"","family":"Krishnan","given":"Anuja","non-dropping-particle":"","parse-names":false,"suffix":""},{"dropping-particle":"","family":"Parveen","given":"Rabea","non-dropping-particle":"","parse-names":false,"suffix":""},{"dropping-particle":"","family":"Ahmad","given":"Sayeed","non-dropping-particle":"","parse-names":false,"suffix":""}],"container-title":"Journal of King Saud University - Science","id":"ITEM-1","issue":"3","issued":{"date-parts":[["2022"]]},"page":"101839","publisher":"The Authors","title":"Nephroprotective potential of Sharbat-e-Bazoori Motadil (sugar-free) in HEK-293 cells and Wistar rats against cisplatin induced nephrotoxicity","type":"article-journal","volume":"34"},"uris":["http://www.mendeley.com/documents/?uuid=780c15a2-45d3-46e8-af1d-da461a7b9422"]},{"id":"ITEM-2","itemData":{"DOI":"10.1016/j.phyplu.2022.100248","ISSN":"26670313","abstract":"Background: Vitamin D deficiency is a global phenomenon and causes serious morbidities in peoples via fluctuation in ions homeostasis, oxidative and inflammatory stress. The fundamental goal of this review intends to comprehend the growing awareness, biological impact, food fortification and different sources of Vitamin D. Methods: The information was gathered from different national and international literatures like research articles reviews and book chapters using Google Scholar, Science Direct, Elsevier, PubMed and Springer databases for a comprehensive understanding and perspective associated with Vitamin D. Result: There are a very few food sources that naturally contain Vitamin D such as fish, milk, eggs, microalgae and mushrooms. However, the common population is not able to get a sufficient amount of this vitamin due to lack of awareness and consumption of nutritionally-exhausted food sources. Hence, there exists an urgent need to aware the general population regarding Vitamin D. Increasing awareness aboutVitamin-D rich foods and further fortification can be a promising initiative for a better understanding of this bone-enriching vitamin, apprehensing people getting rid of the serious morbidities associated with Vitamin D deficiency. Conclusion: This review elucidates the biological impact and the existing Vitamin D rich-natural sources. It has been demonstrated that Vitamin D exhibits an essential role in calcium homeostasis and delays senescence. due to its anti-oxidative and anti-inflammatory effect.Biological applicability of Vitamin D can be an influential area of future research forrevealing potential therapeutic strategies.","author":[{"dropping-particle":"","family":"Khan","given":"Mohammad Umar","non-dropping-particle":"","parse-names":false,"suffix":""},{"dropping-particle":"","family":"Gautam","given":"Gaurav","non-dropping-particle":"","parse-names":false,"suffix":""},{"dropping-particle":"","family":"Jan","given":"Bisma","non-dropping-particle":"","parse-names":false,"suffix":""},{"dropping-particle":"","family":"Zahiruddin","given":"Sultan","non-dropping-particle":"","parse-names":false,"suffix":""},{"dropping-particle":"","family":"Parveen","given":"Rabea","non-dropping-particle":"","parse-names":false,"suffix":""},{"dropping-particle":"","family":"Ahmad","given":"Sayeed","non-dropping-particle":"","parse-names":false,"suffix":""}],"container-title":"Phytomedicine Plus","id":"ITEM-2","issued":{"date-parts":[["2022"]]},"title":"Vitamin D from Vegetable VV Sources: Hope for the Future","type":"article"},"uris":["http://www.mendeley.com/documents/?uuid=d736d5ea-2c86-4640-b702-946de41e1c4a"]},{"id":"ITEM-3","itemData":{"DOI":"10.3389/fphar.2020.578970","ISSN":"16639812","PMID":"33737875","abstract":"The cases of COVID-19 are still increasing day-by-day worldwide, even after a year of its first occurrence in Wuhan city of China. The spreading of SARS-CoV-2 infection is very fast and different from other SARS-CoV infections possibly due to structural differences in S proteins. The patients with severe diseases may die due to acute respiratory distress syndrome (ARDS) caused by systemic inflammatory reactions due to the excessive release of pro-inflammatory cytokines and chemokines by the immune effector cells. In India too, it is spreading very rapidly, although the case fatality rate is below 1.50% (https://www.statista.com), which is markedly less than in other countries, despite the dense population and minimal health infrastructure in rural areas. This may be due to the routine use of many immunomodulator medicinal plants and traditional AYUSH formulations by the Indian people. This communication reviews the AYUSH recommended formulations and their ingredients, routinely used medicinal plants and formulations by Indian population as well as other promising Indian medicinal plants, which can be tested against COVID-19. Special emphasis is placed on Indian medicinal plants reported for antiviral, immunomodulatory and anti-allergic/anti-inflammatory activities and they are categorized for prioritization in research on the basis of earlier reports. The traditional AYUSH medicines currently under clinical trials against COVID-19 are also discussed as well as furtherance of pre-clinical and clinical testing of the potential traditional medicines against COVID-19 and SARS-CoV-2. The results of the clinical studies on AYUSH drugs will guide the policymakers from the AYUSH systems of medicines to maneuver their policies for public health, provide information to the global scientific community and could form a platform for collaborative studies at national and global levels. It is thereby suggested that promising AYUSH formulations and Indian medicinal plants must be investigated on a priority basis to solve the current crisis.","author":[{"dropping-particle":"","family":"Ahmad","given":"Sayeed","non-dropping-particle":"","parse-names":false,"suffix":""},{"dropping-particle":"","family":"Zahiruddin","given":"Sultan","non-dropping-particle":"","parse-names":false,"suffix":""},{"dropping-particle":"","family":"Parveen","given":"Bushra","non-dropping-particle":"","parse-names":false,"suffix":""},{"dropping-particle":"","family":"Basist","given":"Parakh","non-dropping-particle":"","parse-names":false,"suffix":""},{"dropping-particle":"","family":"Parveen","given":"Abida","non-dropping-particle":"","parse-names":false,"suffix":""},{"dropping-particle":"","family":"Gaurav","given":"","non-dropping-particle":"","parse-names":false,"suffix":""},{"dropping-particle":"","family":"Parveen","given":"Rabea","non-dropping-particle":"","parse-names":false,"suffix":""},{"dropping-particle":"","family":"Ahmad","given":"Minhaj","non-dropping-particle":"","parse-names":false,"suffix":""}],"container-title":"Frontiers in Pharmacology","id":"ITEM-3","issued":{"date-parts":[["2021"]]},"title":"Indian Medicinal Plants and Formulations and Their Potential Against COVID-19–Preclinical and Clinical Research","type":"article"},"uris":["http://www.mendeley.com/documents/?uuid=ec27f100-fff1-46be-86f0-2690af16a4ac"]}],"mendeley":{"formattedCitation":"(Ahmad et al., 2021; Khan et al., 2022a, 2022b)","plainTextFormattedCitation":"(Ahmad et al., 2021; Khan et al., 2022a, 2022b)","previouslyFormattedCitation":"(Ahmad et al., 2021; Khan et al., 2022a, 2022b)"},"properties":{"noteIndex":0},"schema":"https://github.com/citation-style-language/schema/raw/master/csl-citation.json"}</w:instrText>
      </w:r>
      <w:r w:rsidR="00DF2787">
        <w:rPr>
          <w:rFonts w:ascii="Times New Roman" w:hAnsi="Times New Roman" w:cs="Times New Roman"/>
          <w:sz w:val="24"/>
          <w:szCs w:val="24"/>
        </w:rPr>
        <w:fldChar w:fldCharType="separate"/>
      </w:r>
      <w:r w:rsidR="00DF2787" w:rsidRPr="00DF2787">
        <w:rPr>
          <w:rFonts w:ascii="Times New Roman" w:hAnsi="Times New Roman" w:cs="Times New Roman"/>
          <w:noProof/>
          <w:sz w:val="24"/>
          <w:szCs w:val="24"/>
        </w:rPr>
        <w:t>(Ahmad et al., 2021; Khan et al., 2022a, 2022b)</w:t>
      </w:r>
      <w:r w:rsidR="00DF2787">
        <w:rPr>
          <w:rFonts w:ascii="Times New Roman" w:hAnsi="Times New Roman" w:cs="Times New Roman"/>
          <w:sz w:val="24"/>
          <w:szCs w:val="24"/>
        </w:rPr>
        <w:fldChar w:fldCharType="end"/>
      </w:r>
      <w:r w:rsidRPr="00726C2E">
        <w:rPr>
          <w:rFonts w:ascii="Times New Roman" w:hAnsi="Times New Roman" w:cs="Times New Roman"/>
          <w:sz w:val="24"/>
          <w:szCs w:val="24"/>
        </w:rPr>
        <w:t>.</w:t>
      </w:r>
    </w:p>
    <w:p w14:paraId="5509B7EA" w14:textId="70E17DE5" w:rsidR="008321ED" w:rsidRDefault="008321ED" w:rsidP="00726C2E">
      <w:pPr>
        <w:jc w:val="both"/>
        <w:rPr>
          <w:rFonts w:ascii="Times New Roman" w:hAnsi="Times New Roman" w:cs="Times New Roman"/>
          <w:sz w:val="24"/>
          <w:szCs w:val="24"/>
        </w:rPr>
      </w:pPr>
    </w:p>
    <w:p w14:paraId="15A7BDFE" w14:textId="51670919" w:rsidR="008321ED" w:rsidRPr="008321ED" w:rsidRDefault="008321ED" w:rsidP="0029713A">
      <w:pPr>
        <w:pStyle w:val="Heading1"/>
        <w:numPr>
          <w:ilvl w:val="0"/>
          <w:numId w:val="1"/>
        </w:numPr>
      </w:pPr>
      <w:r w:rsidRPr="008321ED">
        <w:t>Review finding</w:t>
      </w:r>
      <w:r w:rsidR="0029713A">
        <w:t xml:space="preserve">s </w:t>
      </w:r>
    </w:p>
    <w:p w14:paraId="27DD17CF" w14:textId="4B85B10E" w:rsidR="008321ED" w:rsidRPr="00067946" w:rsidRDefault="008321ED" w:rsidP="008321ED">
      <w:pPr>
        <w:jc w:val="both"/>
        <w:rPr>
          <w:rFonts w:ascii="Times New Roman" w:hAnsi="Times New Roman" w:cs="Times New Roman"/>
          <w:sz w:val="24"/>
          <w:szCs w:val="24"/>
        </w:rPr>
      </w:pPr>
      <w:r w:rsidRPr="008321ED">
        <w:rPr>
          <w:rFonts w:ascii="Times New Roman" w:hAnsi="Times New Roman" w:cs="Times New Roman"/>
          <w:sz w:val="24"/>
          <w:szCs w:val="24"/>
        </w:rPr>
        <w:t>Liquid chromatography-mass spectrometry (LC-MS) is a powerful analytical technique that combines the separation capabilities of liquid chromatography (LC) with the high-resolution detection and quantification abilities of mass spectrometry (MS). This synergistic combination has made LC-MS an indispensable tool in biomarker analysis, enabling the identification and quantification of a wide range of biomolecules with unparalleled sensitivity, selectivity, and throughput capacity.</w:t>
      </w:r>
    </w:p>
    <w:p w14:paraId="1ECDCD9B" w14:textId="1D1BAB02" w:rsidR="0029713A" w:rsidRDefault="0029713A" w:rsidP="0029713A">
      <w:pPr>
        <w:pStyle w:val="Heading1"/>
        <w:numPr>
          <w:ilvl w:val="0"/>
          <w:numId w:val="1"/>
        </w:numPr>
      </w:pPr>
      <w:r>
        <w:t>Role of LC-MS in biomarkers analysis</w:t>
      </w:r>
    </w:p>
    <w:p w14:paraId="67E72FD9" w14:textId="2DC50532" w:rsidR="008321ED" w:rsidRPr="0029713A" w:rsidRDefault="008321ED" w:rsidP="0029713A">
      <w:pPr>
        <w:pStyle w:val="ListParagraph"/>
        <w:numPr>
          <w:ilvl w:val="1"/>
          <w:numId w:val="1"/>
        </w:numPr>
        <w:jc w:val="both"/>
        <w:rPr>
          <w:rFonts w:ascii="Times New Roman" w:hAnsi="Times New Roman" w:cs="Times New Roman"/>
          <w:b/>
          <w:bCs/>
          <w:sz w:val="24"/>
          <w:szCs w:val="24"/>
        </w:rPr>
      </w:pPr>
      <w:r w:rsidRPr="0029713A">
        <w:rPr>
          <w:rFonts w:ascii="Times New Roman" w:hAnsi="Times New Roman" w:cs="Times New Roman"/>
          <w:b/>
          <w:bCs/>
          <w:sz w:val="24"/>
          <w:szCs w:val="24"/>
        </w:rPr>
        <w:t>Proteins and Peptides</w:t>
      </w:r>
    </w:p>
    <w:p w14:paraId="0A483F99" w14:textId="3FE92732" w:rsidR="008321ED" w:rsidRPr="008321ED" w:rsidRDefault="008321ED" w:rsidP="008321ED">
      <w:pPr>
        <w:jc w:val="both"/>
        <w:rPr>
          <w:rFonts w:ascii="Times New Roman" w:hAnsi="Times New Roman" w:cs="Times New Roman"/>
          <w:sz w:val="24"/>
          <w:szCs w:val="24"/>
        </w:rPr>
      </w:pPr>
      <w:r w:rsidRPr="008321ED">
        <w:rPr>
          <w:rFonts w:ascii="Times New Roman" w:hAnsi="Times New Roman" w:cs="Times New Roman"/>
          <w:sz w:val="24"/>
          <w:szCs w:val="24"/>
        </w:rPr>
        <w:t>One of the most prominent applications of LC-MS in biomarker analysis is in the field of proteomics. Proteins play crucial roles in various biological processes, and their expression levels, post-translational modifications, and interactions provide vital insights into the functioning of cells and tissues. LC-MS allows for the analysis of complex protein mixtures, such as those derived from tissues or biofluids, by first separating the proteins based on their physicochemical properties using liquid chromatography and then subjecting the separated peptides to mass spectrometric detection. Modern LC-MS systems, including high-resolution mass spectrometers and advanced fragmentation techniques, enable the identification and characterization of thousands of proteins in a single experiment, making it a valuable tool in biomarker discovery studies</w:t>
      </w:r>
      <w:r w:rsidR="00270711">
        <w:rPr>
          <w:rFonts w:ascii="Times New Roman" w:hAnsi="Times New Roman" w:cs="Times New Roman"/>
          <w:sz w:val="24"/>
          <w:szCs w:val="24"/>
        </w:rPr>
        <w:t xml:space="preserve"> </w:t>
      </w:r>
      <w:r w:rsidR="00270711">
        <w:rPr>
          <w:rFonts w:ascii="Times New Roman" w:hAnsi="Times New Roman" w:cs="Times New Roman"/>
          <w:sz w:val="24"/>
          <w:szCs w:val="24"/>
        </w:rPr>
        <w:fldChar w:fldCharType="begin" w:fldLock="1"/>
      </w:r>
      <w:r w:rsidR="00270711">
        <w:rPr>
          <w:rFonts w:ascii="Times New Roman" w:hAnsi="Times New Roman" w:cs="Times New Roman"/>
          <w:sz w:val="24"/>
          <w:szCs w:val="24"/>
        </w:rPr>
        <w:instrText>ADDIN CSL_CITATION {"citationItems":[{"id":"ITEM-1","itemData":{"DOI":"10.1016/j.jep.2021.114104","ISSN":"18727573","PMID":"33836258","abstract":"Ethnopharmacological relevance: In the Indian traditional system of medicine, Bergenia ligulata (Wall.) Engl. has been used for treatment of urolithiasis. Its efficacious nature has led to its incorporation in various commercial herbal formulations such as Cystone and Neeri which are prescribed for kidney related ailments. Aim of the study: To assess whether ethanolic extract of B. ligulata can mitigate the cascade of inflammatory responses that cause oxidative stress and ultimately cell death in renal epithelial cells exposed to hyperoxaluric conditions. Material and methods: Bioactivity guided fractionation using solvents of varying polarities was employed to evaluate the potential of the extracts of B. ligulata to inhibit the crystallization process. Modulation of crystal morphology was visualized through Scanning electron microscopy (SEM) analysis. Cell death was assessed using flow cytometry based assays. Alteration in the inflammatory mediators was evaluated using real time PCR and immunocytochemistry. Phytochemical characterization of the ethanolic extract was carried out using FTIR, LC-MS and GC-MS. Results: Bioactivity guided fractionation for the assessment of antilithiatic activity revealed dose dependent inhibition of nucleation and aggregation process of calcium oxalate crystals in the presence of various extracts, however ethanolic extract showed maximum inhibition and was chosen for further experiments. Studies on renal epithelial NRK-52E cells showed, cytoprotective efficacy of B. ligulata extract against oxalate injury. SEM anaysis further revealed the potential of the extract to modulate the crystal structure and adhesion to renal cell surface. Exposure of the renal cells to the extract led to conversion of the calcium oxalate monohydrate (COM) crystals to the less injurious calcium oxalate dihydrate (COD) form. Expression analysis for oxidative stress and inflammatory biomarkers in NRK-52E cells revealed up-regulation of Mitogen activated protein kinase (MAPK), Osteopontin (OPN) and Nuclear factor- ĸB (NF-ĸB), in response to calcium oxalate insult; which was drastically reduced in the presence of B. ligulata extract. Flow cytometric evaluation pointed to caspase 3 mediated apoptotic cell death in oxalate injured cells, which was attenuated by B. ligulata extract. Conclusion: Considering the complex multifactorial etiology of urolithiasis, ethanolic extract from B. ligulata can be a promising option for the management of kidney stones,…","author":[{"dropping-particle":"","family":"Singh","given":"Anubha","non-dropping-particle":"","parse-names":false,"suffix":""},{"dropping-particle":"","family":"Tandon","given":"Simran","non-dropping-particle":"","parse-names":false,"suffix":""},{"dropping-particle":"","family":"Nandi","given":"Shoma Paul","non-dropping-particle":"","parse-names":false,"suffix":""},{"dropping-particle":"","family":"Kaur","given":"Tanzeer","non-dropping-particle":"","parse-names":false,"suffix":""},{"dropping-particle":"","family":"Tandon","given":"Chanderdeep","non-dropping-particle":"","parse-names":false,"suffix":""}],"container-title":"Journal of Ethnopharmacology","id":"ITEM-1","issued":{"date-parts":[["2021"]]},"title":"Downregulation of inflammatory mediators by ethanolic extract of Bergenia ligulata (Wall.) in oxalate injured renal epithelial cells","type":"article-journal"},"uris":["http://www.mendeley.com/documents/?uuid=b32d2da6-bad1-48d4-9b72-b5a1beb6136a"]},{"id":"ITEM-2","itemData":{"DOI":"10.3390/metabo12090792","ISSN":"22181989","abstract":"Cisplatin (CP) is a powerful chemotherapeutic agent; however, its therapeutic use is restricted due to its nephrotoxicity. In this work, we profiled the phytoconstituents of Jasminum grandiflorum flower extract (JGF) using LC-MS/MS and explored the possible molecular mechanisms against acute renal failure through pharmacological network analysis. Furthermore, the possible molecular mechanisms of JGF against acute renal failure were verified in an in vivo nephrotoxicity model caused by cisplatin. LC-MS analysis furnished 26 secondary metabolites. Altogether, there were 112 total hit targets for the identified metabolites, among which 55 were potential consensus targets related to nephrotoxicity based on the network pharmacology approach. Upon narrowing the scope to acute renal failure, using the DisGeNET database, only 30 potential targets were determined. The computational pathway analysis illustrated that JGF might inhibit renal failure through PI3K-Akt, MAPK signaling pathway, and EGFR tyrosine kinase inhibitor resistance. This study was confirmed by in vivo experiment in which kidneys were collected for histopathology and gene expression of mitogen-activated protein kinase 4 (MKK4), MKK7, I-CAM 1, IL-6, and TNF receptor-associated factor 2 (TRAF2). The animal-administered cisplatin exhibited a substantial rise in the expression levels of the MMK4, MKK7, I CAM 1, and TRFA2 genes compared to the control group. To summarize, J. grandiflorum could be a potential source for new reno-protective agents. Further experiments are needed to confirm the obtained activities and determine the therapeutic dose and time.","author":[{"dropping-particle":"","family":"Alqahtani","given":"Moneerah J.","non-dropping-particle":"","parse-names":false,"suffix":""},{"dropping-particle":"","family":"Mostafa","given":"Sally A.","non-dropping-particle":"","parse-names":false,"suffix":""},{"dropping-particle":"","family":"Hussein","given":"Ismail A.","non-dropping-particle":"","parse-names":false,"suffix":""},{"dropping-particle":"","family":"Elhawary","given":"Seham","non-dropping-particle":"","parse-names":false,"suffix":""},{"dropping-particle":"","family":"Mokhtar","given":"Fatma A.","non-dropping-particle":"","parse-names":false,"suffix":""},{"dropping-particle":"","family":"Albogami","given":"Sarah","non-dropping-particle":"","parse-names":false,"suffix":""},{"dropping-particle":"","family":"Tomczyk","given":"Michał","non-dropping-particle":"","parse-names":false,"suffix":""},{"dropping-particle":"","family":"Batiha","given":"Gaber El Saber","non-dropping-particle":"","parse-names":false,"suffix":""},{"dropping-particle":"","family":"Negm","given":"Walaa A.","non-dropping-particle":"","parse-names":false,"suffix":""}],"container-title":"Metabolites","id":"ITEM-2","issue":"9","issued":{"date-parts":[["2022"]]},"title":"Metabolic Profiling of Jasminum grandiflorum L. Flowers and Protective Role against Cisplatin-Induced Nephrotoxicity: Network Pharmacology and In Vivo Validation","type":"article-journal","volume":"12"},"uris":["http://www.mendeley.com/documents/?uuid=c0a1884b-4de2-4619-b649-5a2c22aa35e6"]},{"id":"ITEM-3","itemData":{"DOI":"10.1007/s11103-011-9739-3","ISSN":"01674412","PMID":"21279669","abstract":"Gallic acid (GA), a key intermediate in the synthesis of plant hydrolysable tannins, is also a primary anti-inflammatory, cardio-protective agent found in wine, tea, and cocoa. In this publication, we reveal the identity of a gene and encoded protein essential for GA synthesis. Although it has long been recognized that plants, bacteria, and fungi synthesize and accumulate GA, the pathway leading to its synthesis was largely unknown. Here we provide evidence that shikimate dehydrogenase (SDH), a shikimate pathway enzyme essential for aromatic amino acid synthesis, is also required for GA production. Escherichia coli (E. coli) aroE mutants lacking a functional SDH can be complemented with the plant enzyme such that they grew on media lacking aromatic amino acids and produced GA in vitro. Transgenic Nicotianatabacum lines expressing a Juglans regia SDH exhibited a 500% increase in GA accumulation. The J. regia and E. coli SDH was purified via overexpression in E. coli and used to measure substrate and cofactor kinetics, following reduction of NADP+ to NADPH. Reversed-phase liquid chromatography coupled to electrospray mass spectrometry (RP-LC/ESI-MS) was used to quantify and validate GA production through dehydrogenation of 3-dehydroshikimate (3-DHS) by purified E. coli and J. regia SDH when shikimic acid (SA) or 3-DHS were used as substrates and NADP+ as cofactor. Finally, we show that purified E. coli and J. regia SDH produced GA in vitro. © 2011 The Author(s).","author":[{"dropping-particle":"","family":"Muir","given":"Ryann M.","non-dropping-particle":"","parse-names":false,"suffix":""},{"dropping-particle":"","family":"Ibáñez","given":"Ana M.","non-dropping-particle":"","parse-names":false,"suffix":""},{"dropping-particle":"","family":"Uratsu","given":"Sandra L.","non-dropping-particle":"","parse-names":false,"suffix":""},{"dropping-particle":"","family":"Ingham","given":"Elizabeth S.","non-dropping-particle":"","parse-names":false,"suffix":""},{"dropping-particle":"","family":"Leslie","given":"Charles A.","non-dropping-particle":"","parse-names":false,"suffix":""},{"dropping-particle":"","family":"McGranahan","given":"Gale H.","non-dropping-particle":"","parse-names":false,"suffix":""},{"dropping-particle":"","family":"Batra","given":"Neelu","non-dropping-particle":"","parse-names":false,"suffix":""},{"dropping-particle":"","family":"Goyal","given":"Sham","non-dropping-particle":"","parse-names":false,"suffix":""},{"dropping-particle":"","family":"Joseph","given":"Jorly","non-dropping-particle":"","parse-names":false,"suffix":""},{"dropping-particle":"","family":"Jemmis","given":"Eluvathingal D.","non-dropping-particle":"","parse-names":false,"suffix":""},{"dropping-particle":"","family":"Dandekar","given":"Abhaya M.","non-dropping-particle":"","parse-names":false,"suffix":""}],"container-title":"Plant Molecular Biology","id":"ITEM-3","issued":{"date-parts":[["2011"]]},"title":"Mechanism of gallic acid biosynthesis in bacteria (Escherichia coli) and walnut (Juglans regia)","type":"article-journal"},"uris":["http://www.mendeley.com/documents/?uuid=cbac8300-fe5a-4715-bb67-f65fd58c789a"]}],"mendeley":{"formattedCitation":"(Alqahtani et al., 2022; Muir et al., 2011; Singh et al., 2021)","plainTextFormattedCitation":"(Alqahtani et al., 2022; Muir et al., 2011; Singh et al., 2021)","previouslyFormattedCitation":"(Alqahtani et al., 2022; Muir et al., 2011; Singh et al., 2021)"},"properties":{"noteIndex":0},"schema":"https://github.com/citation-style-language/schema/raw/master/csl-citation.json"}</w:instrText>
      </w:r>
      <w:r w:rsidR="00270711">
        <w:rPr>
          <w:rFonts w:ascii="Times New Roman" w:hAnsi="Times New Roman" w:cs="Times New Roman"/>
          <w:sz w:val="24"/>
          <w:szCs w:val="24"/>
        </w:rPr>
        <w:fldChar w:fldCharType="separate"/>
      </w:r>
      <w:r w:rsidR="00270711" w:rsidRPr="00270711">
        <w:rPr>
          <w:rFonts w:ascii="Times New Roman" w:hAnsi="Times New Roman" w:cs="Times New Roman"/>
          <w:noProof/>
          <w:sz w:val="24"/>
          <w:szCs w:val="24"/>
        </w:rPr>
        <w:t>(Alqahtani et al., 2022; Muir et al., 2011; Singh et al., 2021)</w:t>
      </w:r>
      <w:r w:rsidR="00270711">
        <w:rPr>
          <w:rFonts w:ascii="Times New Roman" w:hAnsi="Times New Roman" w:cs="Times New Roman"/>
          <w:sz w:val="24"/>
          <w:szCs w:val="24"/>
        </w:rPr>
        <w:fldChar w:fldCharType="end"/>
      </w:r>
      <w:r w:rsidRPr="008321ED">
        <w:rPr>
          <w:rFonts w:ascii="Times New Roman" w:hAnsi="Times New Roman" w:cs="Times New Roman"/>
          <w:sz w:val="24"/>
          <w:szCs w:val="24"/>
        </w:rPr>
        <w:t>.</w:t>
      </w:r>
    </w:p>
    <w:p w14:paraId="10BC9239" w14:textId="54DBCFD2" w:rsidR="008321ED" w:rsidRPr="008321ED" w:rsidRDefault="008321ED" w:rsidP="009047E0">
      <w:pPr>
        <w:pStyle w:val="Heading2"/>
        <w:numPr>
          <w:ilvl w:val="1"/>
          <w:numId w:val="1"/>
        </w:numPr>
      </w:pPr>
      <w:r w:rsidRPr="008321ED">
        <w:t>Metabolites</w:t>
      </w:r>
    </w:p>
    <w:p w14:paraId="63847CFC" w14:textId="6ECD6DD3" w:rsidR="008321ED" w:rsidRPr="008321ED" w:rsidRDefault="008321ED" w:rsidP="008321ED">
      <w:pPr>
        <w:jc w:val="both"/>
        <w:rPr>
          <w:rFonts w:ascii="Times New Roman" w:hAnsi="Times New Roman" w:cs="Times New Roman"/>
          <w:sz w:val="24"/>
          <w:szCs w:val="24"/>
        </w:rPr>
      </w:pPr>
      <w:r w:rsidRPr="008321ED">
        <w:rPr>
          <w:rFonts w:ascii="Times New Roman" w:hAnsi="Times New Roman" w:cs="Times New Roman"/>
          <w:sz w:val="24"/>
          <w:szCs w:val="24"/>
        </w:rPr>
        <w:t>Metabolites are small molecules that are intermediates or end products of cellular metabolic pathways. They serve as direct indicators of cellular activity and can provide valuable information about the physiological status of cells and tissues. LC-MS-based metabolomics allows researchers to identify and quantify metabolites in complex biological samples, such as urine, plasma, and tissue extracts. By comparing the metabolite profiles of healthy and diseased samples, potential biomarkers associated with specific diseases or metabolic states can be identified. LC-MS has found applications in various fields, including clinical diagnostics, drug development, and understanding disease mechanisms</w:t>
      </w:r>
      <w:r w:rsidR="00270711">
        <w:rPr>
          <w:rFonts w:ascii="Times New Roman" w:hAnsi="Times New Roman" w:cs="Times New Roman"/>
          <w:sz w:val="24"/>
          <w:szCs w:val="24"/>
        </w:rPr>
        <w:t xml:space="preserve"> </w:t>
      </w:r>
      <w:r w:rsidR="00270711">
        <w:rPr>
          <w:rFonts w:ascii="Times New Roman" w:hAnsi="Times New Roman" w:cs="Times New Roman"/>
          <w:sz w:val="24"/>
          <w:szCs w:val="24"/>
        </w:rPr>
        <w:fldChar w:fldCharType="begin" w:fldLock="1"/>
      </w:r>
      <w:r w:rsidR="00270711">
        <w:rPr>
          <w:rFonts w:ascii="Times New Roman" w:hAnsi="Times New Roman" w:cs="Times New Roman"/>
          <w:sz w:val="24"/>
          <w:szCs w:val="24"/>
        </w:rPr>
        <w:instrText>ADDIN CSL_CITATION {"citationItems":[{"id":"ITEM-1","itemData":{"DOI":"10.1201/9781003179139-9","author":[{"dropping-particle":"","family":"Gautam","given":"Gaurav","non-dropping-particle":"","parse-names":false,"suffix":""},{"dropping-particle":"","family":"Parveen","given":"Rabea","non-dropping-particle":"","parse-names":false,"suffix":""},{"dropping-particle":"","family":"Ahmad","given":"Sayeed","non-dropping-particle":"","parse-names":false,"suffix":""}],"container-title":"Omics Studies of Medicinal Plants","id":"ITEM-1","issued":{"date-parts":[["2023"]]},"title":"LC-MS-based Metabolomics of Medicinal Plants","type":"chapter"},"uris":["http://www.mendeley.com/documents/?uuid=f0525073-21d1-48b2-a262-f6d790ac5532"]},{"id":"ITEM-2","itemData":{"DOI":"10.4103/pm.pm_582_21","author":[{"dropping-particle":"","family":"Gaurav","given":"","non-dropping-particle":"","parse-names":false,"suffix":""}],"container-title":"Pharmacognosy Magazine","id":"ITEM-2","issue":"79","issued":{"date-parts":[["2022"]]},"page":"548-558","title":"GC–MS metabolomics and network pharmacology-based investigation of molecular mechanism of identified metabolites from Tinospora cordifolia (Willd.) miers for the treatment of kidney diseases","type":"article-journal","volume":"18"},"uris":["http://www.mendeley.com/documents/?uuid=1266cacc-268f-453d-a7ac-37d784319f42"]}],"mendeley":{"formattedCitation":"(Gaurav, 2022; Gautam et al., 2023)","plainTextFormattedCitation":"(Gaurav, 2022; Gautam et al., 2023)","previouslyFormattedCitation":"(Gaurav, 2022; Gautam et al., 2023)"},"properties":{"noteIndex":0},"schema":"https://github.com/citation-style-language/schema/raw/master/csl-citation.json"}</w:instrText>
      </w:r>
      <w:r w:rsidR="00270711">
        <w:rPr>
          <w:rFonts w:ascii="Times New Roman" w:hAnsi="Times New Roman" w:cs="Times New Roman"/>
          <w:sz w:val="24"/>
          <w:szCs w:val="24"/>
        </w:rPr>
        <w:fldChar w:fldCharType="separate"/>
      </w:r>
      <w:r w:rsidR="00270711" w:rsidRPr="00270711">
        <w:rPr>
          <w:rFonts w:ascii="Times New Roman" w:hAnsi="Times New Roman" w:cs="Times New Roman"/>
          <w:noProof/>
          <w:sz w:val="24"/>
          <w:szCs w:val="24"/>
        </w:rPr>
        <w:t>(Gaurav, 2022; Gautam et al., 2023)</w:t>
      </w:r>
      <w:r w:rsidR="00270711">
        <w:rPr>
          <w:rFonts w:ascii="Times New Roman" w:hAnsi="Times New Roman" w:cs="Times New Roman"/>
          <w:sz w:val="24"/>
          <w:szCs w:val="24"/>
        </w:rPr>
        <w:fldChar w:fldCharType="end"/>
      </w:r>
      <w:r w:rsidRPr="008321ED">
        <w:rPr>
          <w:rFonts w:ascii="Times New Roman" w:hAnsi="Times New Roman" w:cs="Times New Roman"/>
          <w:sz w:val="24"/>
          <w:szCs w:val="24"/>
        </w:rPr>
        <w:t>.</w:t>
      </w:r>
    </w:p>
    <w:p w14:paraId="6CBBBE37" w14:textId="4A210EE1" w:rsidR="008321ED" w:rsidRPr="008321ED" w:rsidRDefault="008321ED" w:rsidP="009047E0">
      <w:pPr>
        <w:pStyle w:val="Heading2"/>
        <w:numPr>
          <w:ilvl w:val="1"/>
          <w:numId w:val="1"/>
        </w:numPr>
      </w:pPr>
      <w:r w:rsidRPr="008321ED">
        <w:t>Lipids</w:t>
      </w:r>
    </w:p>
    <w:p w14:paraId="518EA035" w14:textId="5379D379" w:rsidR="008321ED" w:rsidRPr="008321ED" w:rsidRDefault="008321ED" w:rsidP="008321ED">
      <w:pPr>
        <w:jc w:val="both"/>
        <w:rPr>
          <w:rFonts w:ascii="Times New Roman" w:hAnsi="Times New Roman" w:cs="Times New Roman"/>
          <w:sz w:val="24"/>
          <w:szCs w:val="24"/>
        </w:rPr>
      </w:pPr>
      <w:r w:rsidRPr="008321ED">
        <w:rPr>
          <w:rFonts w:ascii="Times New Roman" w:hAnsi="Times New Roman" w:cs="Times New Roman"/>
          <w:sz w:val="24"/>
          <w:szCs w:val="24"/>
        </w:rPr>
        <w:t xml:space="preserve">Lipids are a diverse group of biomolecules that serve as essential components of cellular membranes and are involved in various cellular processes, including signaling and energy storage. </w:t>
      </w:r>
      <w:proofErr w:type="spellStart"/>
      <w:r w:rsidRPr="008321ED">
        <w:rPr>
          <w:rFonts w:ascii="Times New Roman" w:hAnsi="Times New Roman" w:cs="Times New Roman"/>
          <w:sz w:val="24"/>
          <w:szCs w:val="24"/>
        </w:rPr>
        <w:t>Lipidomics</w:t>
      </w:r>
      <w:proofErr w:type="spellEnd"/>
      <w:r w:rsidRPr="008321ED">
        <w:rPr>
          <w:rFonts w:ascii="Times New Roman" w:hAnsi="Times New Roman" w:cs="Times New Roman"/>
          <w:sz w:val="24"/>
          <w:szCs w:val="24"/>
        </w:rPr>
        <w:t xml:space="preserve">, the study of lipids in biological systems, has gained significant momentum with the development of LC-MS methodologies capable of profiling lipid classes and individual lipid </w:t>
      </w:r>
      <w:r w:rsidRPr="008321ED">
        <w:rPr>
          <w:rFonts w:ascii="Times New Roman" w:hAnsi="Times New Roman" w:cs="Times New Roman"/>
          <w:sz w:val="24"/>
          <w:szCs w:val="24"/>
        </w:rPr>
        <w:lastRenderedPageBreak/>
        <w:t>species. LC-MS allows researchers to determine lipid composition and quantify changes in lipid levels, offering valuable information on lipid metabolism and its role in health and disease</w:t>
      </w:r>
      <w:r w:rsidR="00270711">
        <w:rPr>
          <w:rFonts w:ascii="Times New Roman" w:hAnsi="Times New Roman" w:cs="Times New Roman"/>
          <w:sz w:val="24"/>
          <w:szCs w:val="24"/>
        </w:rPr>
        <w:t xml:space="preserve"> </w:t>
      </w:r>
      <w:r w:rsidR="00270711">
        <w:rPr>
          <w:rFonts w:ascii="Times New Roman" w:hAnsi="Times New Roman" w:cs="Times New Roman"/>
          <w:sz w:val="24"/>
          <w:szCs w:val="24"/>
        </w:rPr>
        <w:fldChar w:fldCharType="begin" w:fldLock="1"/>
      </w:r>
      <w:r w:rsidR="00704E5E">
        <w:rPr>
          <w:rFonts w:ascii="Times New Roman" w:hAnsi="Times New Roman" w:cs="Times New Roman"/>
          <w:sz w:val="24"/>
          <w:szCs w:val="24"/>
        </w:rPr>
        <w:instrText>ADDIN CSL_CITATION {"citationItems":[{"id":"ITEM-1","itemData":{"DOI":"10.4103/pm.pm_582_21","author":[{"dropping-particle":"","family":"Gaurav","given":"","non-dropping-particle":"","parse-names":false,"suffix":""}],"container-title":"Pharmacognosy Magazine","id":"ITEM-1","issue":"79","issued":{"date-parts":[["2022"]]},"page":"548-558","title":"GC–MS metabolomics and network pharmacology-based investigation of molecular mechanism of identified metabolites from Tinospora cordifolia (Willd.) miers for the treatment of kidney diseases","type":"article-journal","volume":"18"},"uris":["http://www.mendeley.com/documents/?uuid=1266cacc-268f-453d-a7ac-37d784319f42"]},{"id":"ITEM-2","itemData":{"DOI":"10.1111/j.1365-2885.2006.00740.x","ISSN":"01407783","PMID":"16846463","abstract":"Eugenol, the principle chemical constituent of clove oil, has recently been evaluated for its anesthetic and analgesic properties in fish and amphibians. The objective of this study was to determine the pharmacokinetic (PK) and anesthetic activity of eugenol in rats. Male Sprague-Dawley rats received single i.v. doses of eugenol (0, 5, 10, 20, 40 and 60 mg/kg) and anesthetic level was evaluated with the withdrawal reflex. For the 20 mg/kg dose level, blood and urinary samples were collected over 1 h for the PK assessment. Plasma and blood concentrations of eugenol, as well as metabolite identification in urine, were determined using a novel dansyl chloride derivatization method with liquid chromatography mass spectrometry (LC/MS/MS). PK parameters were calculated using noncompartmental methods. Eugenol-induced loss of consciousness in a dose-dependent manner, with mean (±SEM) recovery in reflex time of 167 ± 42 sec observed at the highest dose level. Mean systemic clearance (Cl) in plasma and blood were 157 and 204 mL/min/kg, respectively. Glucuronide and sulfate conjugates were identified in urine. Overall, eugenol produced a reversible, dose-dependent anesthesia in male Sprague-Dawley rats. © 2006 The Authors.","author":[{"dropping-particle":"","family":"Guenette","given":"S. A.","non-dropping-particle":"","parse-names":false,"suffix":""},{"dropping-particle":"","family":"Beaudry","given":"F.","non-dropping-particle":"","parse-names":false,"suffix":""},{"dropping-particle":"","family":"Marier","given":"J. F.","non-dropping-particle":"","parse-names":false,"suffix":""},{"dropping-particle":"","family":"Vachon","given":"P.","non-dropping-particle":"","parse-names":false,"suffix":""}],"container-title":"Journal of Veterinary Pharmacology and Therapeutics","id":"ITEM-2","issued":{"date-parts":[["2006"]]},"title":"Pharmacokinetics and anesthetic activity of eugenol in male Sprague-Dawley rats","type":"article-journal"},"uris":["http://www.mendeley.com/documents/?uuid=7b7c0945-373b-49dc-9388-f19c0a5e0345"]}],"mendeley":{"formattedCitation":"(Gaurav, 2022; Guenette et al., 2006)","plainTextFormattedCitation":"(Gaurav, 2022; Guenette et al., 2006)","previouslyFormattedCitation":"(Gaurav, 2022; Guenette et al., 2006)"},"properties":{"noteIndex":0},"schema":"https://github.com/citation-style-language/schema/raw/master/csl-citation.json"}</w:instrText>
      </w:r>
      <w:r w:rsidR="00270711">
        <w:rPr>
          <w:rFonts w:ascii="Times New Roman" w:hAnsi="Times New Roman" w:cs="Times New Roman"/>
          <w:sz w:val="24"/>
          <w:szCs w:val="24"/>
        </w:rPr>
        <w:fldChar w:fldCharType="separate"/>
      </w:r>
      <w:r w:rsidR="00270711" w:rsidRPr="00270711">
        <w:rPr>
          <w:rFonts w:ascii="Times New Roman" w:hAnsi="Times New Roman" w:cs="Times New Roman"/>
          <w:noProof/>
          <w:sz w:val="24"/>
          <w:szCs w:val="24"/>
        </w:rPr>
        <w:t>(Gaurav, 2022; Guenette et al., 2006)</w:t>
      </w:r>
      <w:r w:rsidR="00270711">
        <w:rPr>
          <w:rFonts w:ascii="Times New Roman" w:hAnsi="Times New Roman" w:cs="Times New Roman"/>
          <w:sz w:val="24"/>
          <w:szCs w:val="24"/>
        </w:rPr>
        <w:fldChar w:fldCharType="end"/>
      </w:r>
      <w:r w:rsidRPr="008321ED">
        <w:rPr>
          <w:rFonts w:ascii="Times New Roman" w:hAnsi="Times New Roman" w:cs="Times New Roman"/>
          <w:sz w:val="24"/>
          <w:szCs w:val="24"/>
        </w:rPr>
        <w:t>.</w:t>
      </w:r>
    </w:p>
    <w:p w14:paraId="67A4FAFA" w14:textId="03EA05D9" w:rsidR="008321ED" w:rsidRPr="008321ED" w:rsidRDefault="008321ED" w:rsidP="009047E0">
      <w:pPr>
        <w:pStyle w:val="Heading2"/>
        <w:numPr>
          <w:ilvl w:val="1"/>
          <w:numId w:val="1"/>
        </w:numPr>
      </w:pPr>
      <w:r w:rsidRPr="008321ED">
        <w:t>Small Molecules</w:t>
      </w:r>
    </w:p>
    <w:p w14:paraId="29198B8A" w14:textId="752681E1" w:rsidR="008321ED" w:rsidRPr="008321ED" w:rsidRDefault="008321ED" w:rsidP="008321ED">
      <w:pPr>
        <w:jc w:val="both"/>
        <w:rPr>
          <w:rFonts w:ascii="Times New Roman" w:hAnsi="Times New Roman" w:cs="Times New Roman"/>
          <w:sz w:val="24"/>
          <w:szCs w:val="24"/>
        </w:rPr>
      </w:pPr>
      <w:r w:rsidRPr="008321ED">
        <w:rPr>
          <w:rFonts w:ascii="Times New Roman" w:hAnsi="Times New Roman" w:cs="Times New Roman"/>
          <w:sz w:val="24"/>
          <w:szCs w:val="24"/>
        </w:rPr>
        <w:t>LC-MS is widely used in the analysis of small molecules, including drugs and their metabolites, environmental contaminants, and endogenous metabolites. For pharmaceutical research, LC-MS plays a pivotal role in drug development, aiding in drug metabolism studies, pharmacokinetics, and bioavailability assessments. LC-MS is also employed in environmental monitoring to detect and quantify contaminants in various matrices, such as water and soil. Additionally, LC-MS-based metabolite profiling provides insights into endogenous metabolic pathways and has applications in clinical research, nutrition, and personalized medicine</w:t>
      </w:r>
      <w:r w:rsidR="00704E5E">
        <w:rPr>
          <w:rFonts w:ascii="Times New Roman" w:hAnsi="Times New Roman" w:cs="Times New Roman"/>
          <w:sz w:val="24"/>
          <w:szCs w:val="24"/>
        </w:rPr>
        <w:t xml:space="preserve"> </w:t>
      </w:r>
      <w:r w:rsidR="00704E5E">
        <w:rPr>
          <w:rFonts w:ascii="Times New Roman" w:hAnsi="Times New Roman" w:cs="Times New Roman"/>
          <w:sz w:val="24"/>
          <w:szCs w:val="24"/>
        </w:rPr>
        <w:fldChar w:fldCharType="begin" w:fldLock="1"/>
      </w:r>
      <w:r w:rsidR="00704E5E">
        <w:rPr>
          <w:rFonts w:ascii="Times New Roman" w:hAnsi="Times New Roman" w:cs="Times New Roman"/>
          <w:sz w:val="24"/>
          <w:szCs w:val="24"/>
        </w:rPr>
        <w:instrText>ADDIN CSL_CITATION {"citationItems":[{"id":"ITEM-1","itemData":{"DOI":"10.1016/j.jep.2021.114104","ISSN":"18727573","PMID":"33836258","abstract":"Ethnopharmacological relevance: In the Indian traditional system of medicine, Bergenia ligulata (Wall.) Engl. has been used for treatment of urolithiasis. Its efficacious nature has led to its incorporation in various commercial herbal formulations such as Cystone and Neeri which are prescribed for kidney related ailments. Aim of the study: To assess whether ethanolic extract of B. ligulata can mitigate the cascade of inflammatory responses that cause oxidative stress and ultimately cell death in renal epithelial cells exposed to hyperoxaluric conditions. Material and methods: Bioactivity guided fractionation using solvents of varying polarities was employed to evaluate the potential of the extracts of B. ligulata to inhibit the crystallization process. Modulation of crystal morphology was visualized through Scanning electron microscopy (SEM) analysis. Cell death was assessed using flow cytometry based assays. Alteration in the inflammatory mediators was evaluated using real time PCR and immunocytochemistry. Phytochemical characterization of the ethanolic extract was carried out using FTIR, LC-MS and GC-MS. Results: Bioactivity guided fractionation for the assessment of antilithiatic activity revealed dose dependent inhibition of nucleation and aggregation process of calcium oxalate crystals in the presence of various extracts, however ethanolic extract showed maximum inhibition and was chosen for further experiments. Studies on renal epithelial NRK-52E cells showed, cytoprotective efficacy of B. ligulata extract against oxalate injury. SEM anaysis further revealed the potential of the extract to modulate the crystal structure and adhesion to renal cell surface. Exposure of the renal cells to the extract led to conversion of the calcium oxalate monohydrate (COM) crystals to the less injurious calcium oxalate dihydrate (COD) form. Expression analysis for oxidative stress and inflammatory biomarkers in NRK-52E cells revealed up-regulation of Mitogen activated protein kinase (MAPK), Osteopontin (OPN) and Nuclear factor- ĸB (NF-ĸB), in response to calcium oxalate insult; which was drastically reduced in the presence of B. ligulata extract. Flow cytometric evaluation pointed to caspase 3 mediated apoptotic cell death in oxalate injured cells, which was attenuated by B. ligulata extract. Conclusion: Considering the complex multifactorial etiology of urolithiasis, ethanolic extract from B. ligulata can be a promising option for the management of kidney stones,…","author":[{"dropping-particle":"","family":"Singh","given":"Anubha","non-dropping-particle":"","parse-names":false,"suffix":""},{"dropping-particle":"","family":"Tandon","given":"Simran","non-dropping-particle":"","parse-names":false,"suffix":""},{"dropping-particle":"","family":"Nandi","given":"Shoma Paul","non-dropping-particle":"","parse-names":false,"suffix":""},{"dropping-particle":"","family":"Kaur","given":"Tanzeer","non-dropping-particle":"","parse-names":false,"suffix":""},{"dropping-particle":"","family":"Tandon","given":"Chanderdeep","non-dropping-particle":"","parse-names":false,"suffix":""}],"container-title":"Journal of Ethnopharmacology","id":"ITEM-1","issued":{"date-parts":[["2021"]]},"title":"Downregulation of inflammatory mediators by ethanolic extract of Bergenia ligulata (Wall.) in oxalate injured renal epithelial cells","type":"article-journal"},"uris":["http://www.mendeley.com/documents/?uuid=b32d2da6-bad1-48d4-9b72-b5a1beb6136a"]},{"id":"ITEM-2","itemData":{"DOI":"10.3390/molecules200610641","ISSN":"14203049","PMID":"26065638","abstract":"The herbal decoction process is generally inconvenient and unpleasant. To avoid using herbal medicine decoctions, various high-quality industrial and pharmaceutical herbal decoction products have been used in clinical applications for more than ten years in Taiwan. However, the consistency and standardization of the quality of these herbal medicines are goals that remain to be achieved. The aim of study was to develop a validated liquid chromatography-tandem electrospray ionization mass spectrometry (LC-MS/MS) method to determine the biomarkers astragaloside I, astragaloside IV, formononetin, cinnamic acid, paeoniflorin and gingerol in the herbal preparation known as Huangqi-Guizhi-Wuwu (HGW). To investigate the physical quality of HGW, methods such as scanning electron microscopy, light microscopy with Congo red and potassium iodine staining, solubility measurements, swelling power tests, and crude fiber analysis were used to identify additives in commercial pharmaceutical products. The optimal LC-MS/MS multiple reaction-monitoring system included a gradient program using 5 mM ammonium acetate buffer with 0.05% formic acid/methanol. The results demonstrate deviations in biomarker content across different brands. In addition to the herbal extract, starch and excipients in the pharmaceutical granule, and crushed crude herb powder was added to the pharmaceutical products to increase their herbal ingredient content. In conclusion, a rigorous examination should be performed to certify the quality of the herbal products.","author":[{"dropping-particle":"","family":"Lai","given":"Kuan Ming","non-dropping-particle":"","parse-names":false,"suffix":""},{"dropping-particle":"","family":"Cheng","given":"Yung Yi","non-dropping-particle":"","parse-names":false,"suffix":""},{"dropping-particle":"","family":"Tsai","given":"Tung Hu","non-dropping-particle":"","parse-names":false,"suffix":""}],"container-title":"Molecules","id":"ITEM-2","issued":{"date-parts":[["2015"]]},"title":"Integrated LC-MS/MS analytical systems and physical inspection for the analysis of a botanical herbal preparation","type":"article-journal"},"uris":["http://www.mendeley.com/documents/?uuid=aea19c6d-1dcc-4270-b7a5-dacf9e34ff8e"]}],"mendeley":{"formattedCitation":"(Lai et al., 2015; Singh et al., 2021)","plainTextFormattedCitation":"(Lai et al., 2015; Singh et al., 2021)","previouslyFormattedCitation":"(Lai et al., 2015; Singh et al., 2021)"},"properties":{"noteIndex":0},"schema":"https://github.com/citation-style-language/schema/raw/master/csl-citation.json"}</w:instrText>
      </w:r>
      <w:r w:rsidR="00704E5E">
        <w:rPr>
          <w:rFonts w:ascii="Times New Roman" w:hAnsi="Times New Roman" w:cs="Times New Roman"/>
          <w:sz w:val="24"/>
          <w:szCs w:val="24"/>
        </w:rPr>
        <w:fldChar w:fldCharType="separate"/>
      </w:r>
      <w:r w:rsidR="00704E5E" w:rsidRPr="00704E5E">
        <w:rPr>
          <w:rFonts w:ascii="Times New Roman" w:hAnsi="Times New Roman" w:cs="Times New Roman"/>
          <w:noProof/>
          <w:sz w:val="24"/>
          <w:szCs w:val="24"/>
        </w:rPr>
        <w:t>(Lai et al., 2015; Singh et al., 2021)</w:t>
      </w:r>
      <w:r w:rsidR="00704E5E">
        <w:rPr>
          <w:rFonts w:ascii="Times New Roman" w:hAnsi="Times New Roman" w:cs="Times New Roman"/>
          <w:sz w:val="24"/>
          <w:szCs w:val="24"/>
        </w:rPr>
        <w:fldChar w:fldCharType="end"/>
      </w:r>
      <w:r w:rsidRPr="008321ED">
        <w:rPr>
          <w:rFonts w:ascii="Times New Roman" w:hAnsi="Times New Roman" w:cs="Times New Roman"/>
          <w:sz w:val="24"/>
          <w:szCs w:val="24"/>
        </w:rPr>
        <w:t>.</w:t>
      </w:r>
    </w:p>
    <w:p w14:paraId="540AFE0E" w14:textId="4AB2C2F0" w:rsidR="008321ED" w:rsidRPr="008321ED" w:rsidRDefault="008321ED" w:rsidP="009047E0">
      <w:pPr>
        <w:pStyle w:val="Heading2"/>
        <w:numPr>
          <w:ilvl w:val="1"/>
          <w:numId w:val="1"/>
        </w:numPr>
      </w:pPr>
      <w:proofErr w:type="spellStart"/>
      <w:r w:rsidRPr="008321ED">
        <w:t>Peptidomics</w:t>
      </w:r>
      <w:proofErr w:type="spellEnd"/>
    </w:p>
    <w:p w14:paraId="2E4BE6CA" w14:textId="35BD3F73" w:rsidR="008321ED" w:rsidRPr="00726C2E" w:rsidRDefault="008321ED" w:rsidP="008321ED">
      <w:pPr>
        <w:jc w:val="both"/>
        <w:rPr>
          <w:rFonts w:ascii="Times New Roman" w:hAnsi="Times New Roman" w:cs="Times New Roman"/>
          <w:sz w:val="24"/>
          <w:szCs w:val="24"/>
        </w:rPr>
      </w:pPr>
      <w:proofErr w:type="spellStart"/>
      <w:r w:rsidRPr="008321ED">
        <w:rPr>
          <w:rFonts w:ascii="Times New Roman" w:hAnsi="Times New Roman" w:cs="Times New Roman"/>
          <w:sz w:val="24"/>
          <w:szCs w:val="24"/>
        </w:rPr>
        <w:t>Peptidomics</w:t>
      </w:r>
      <w:proofErr w:type="spellEnd"/>
      <w:r w:rsidRPr="008321ED">
        <w:rPr>
          <w:rFonts w:ascii="Times New Roman" w:hAnsi="Times New Roman" w:cs="Times New Roman"/>
          <w:sz w:val="24"/>
          <w:szCs w:val="24"/>
        </w:rPr>
        <w:t xml:space="preserve"> focuses on the identification and quantification of endogenous peptides, which serve as important signaling molecules and regulators of physiological processes. These peptides are often short-lived and present at low concentrations, making LC-MS a suitable technique for their analysis. By utilizing LC-MS, researchers can identify and characterize bioactive peptides, providing valuable information about their roles in various biological functions, such as neurotransmission, immune response, and cardiovascular regulation</w:t>
      </w:r>
      <w:r w:rsidR="00704E5E">
        <w:rPr>
          <w:rFonts w:ascii="Times New Roman" w:hAnsi="Times New Roman" w:cs="Times New Roman"/>
          <w:sz w:val="24"/>
          <w:szCs w:val="24"/>
        </w:rPr>
        <w:t xml:space="preserve"> </w:t>
      </w:r>
      <w:r w:rsidR="00704E5E">
        <w:rPr>
          <w:rFonts w:ascii="Times New Roman" w:hAnsi="Times New Roman" w:cs="Times New Roman"/>
          <w:sz w:val="24"/>
          <w:szCs w:val="24"/>
        </w:rPr>
        <w:fldChar w:fldCharType="begin" w:fldLock="1"/>
      </w:r>
      <w:r w:rsidR="00704E5E">
        <w:rPr>
          <w:rFonts w:ascii="Times New Roman" w:hAnsi="Times New Roman" w:cs="Times New Roman"/>
          <w:sz w:val="24"/>
          <w:szCs w:val="24"/>
        </w:rPr>
        <w:instrText>ADDIN CSL_CITATION {"citationItems":[{"id":"ITEM-1","itemData":{"DOI":"10.1186/1559-0275-11-7","ISSN":"15590275","abstract":"Analysis of native or endogenous peptides in biofluids can provide valuable insights into disease mechanisms. Furthermore, the detected peptides may also have utility as potential biomarkers for non-invasive monitoring of human diseases. The non-invasive nature of urine collection and the abundance of peptides in the urine makes analysis by high-Throughput 'peptidomics' methods , an attractive approach for investigating the pathogenesis of renal disease. However, urine peptidomics methodologies can be problematic with regards to difficulties associated with sample preparation. The urine matrix can provide significant background interference in making the analytical measurements that it hampers both the identification of peptides and the depth of the peptidomics read when utilizing LC-MS based peptidome analysis. We report on a novel adaptation of the standard solid phase extraction (SPE) method to a modified SPE (mSPE) approach for improved peptide yield and analysis sensitivity with LC-MS based peptidomics in terms of time, cost, clogging of the LC-MS column, peptide yield, peptide quality, and number of peptides identified by each method. Expense and time requirements were comparable for both SPE and mSPE, but more interfering contaminants from the urine matrix were evident in the SPE preparations (e.g., clogging of the LC-MS columns, yellowish background coloration of prepared samples due to retained urobilin, lower peptide yields) when compared to the mSPE method. When we compared data from technical replicates of 4 runs, the mSPE method provided significantly improved efficiencies for the preparation of samples from urine (e.g., mSPE peptide identification 82% versus 18% with SPE; p = 8.92E-05). Additionally, peptide identifications, when applying the mSPE method, highlighted the biology of differential activation of urine peptidases during acute renal transplant rejection with distinct laddering of specific peptides, which was obscured for most proteins when utilizing the conventional SPE method. In conclusion, the mSPE method was found to be superior to the conventional, standard SPE method for urine peptide sample preparation when applying LC-MS peptidomics analysis due to the optimized sample clean up that provided improved experimental inference from the confidently identified peptides.,Urine, Biomarker, Peptidomics, Biomarker discovery, Proteomics, Transplantation. © 2014 Sigdel et al.; licensee BioMed Central Ltd.","author":[{"dropping-particle":"","family":"Sigdel","given":"Tara K.","non-dropping-particle":"","parse-names":false,"suffix":""},{"dropping-particle":"","family":"Nicora","given":"Carrie D.","non-dropping-particle":"","parse-names":false,"suffix":""},{"dropping-particle":"","family":"Hsieh","given":"Szu Chuan","non-dropping-particle":"","parse-names":false,"suffix":""},{"dropping-particle":"","family":"Dai","given":"Hong","non-dropping-particle":"","parse-names":false,"suffix":""},{"dropping-particle":"","family":"Qian","given":"Wei Jun","non-dropping-particle":"","parse-names":false,"suffix":""},{"dropping-particle":"","family":"Camp","given":"David G.","non-dropping-particle":"","parse-names":false,"suffix":""},{"dropping-particle":"","family":"Sarwal","given":"Minnie M.","non-dropping-particle":"","parse-names":false,"suffix":""}],"container-title":"Clinical Proteomics","id":"ITEM-1","issued":{"date-parts":[["2014"]]},"title":"Optimization for peptide sample preparation for urine peptidomics","type":"article-journal"},"uris":["http://www.mendeley.com/documents/?uuid=df272cea-ca11-42cd-a2d4-05f3aec3963d","http://www.mendeley.com/documents/?uuid=5b161209-1dfd-450d-bd22-60bb2629c79e"]},{"id":"ITEM-2","itemData":{"DOI":"10.3390/foods11030340","ISSN":"23048158","abstract":"Reverse-phase solid-phase extraction (SPE) is regularly used for separating and puri-fying food-derived oligosaccharides and peptides prior to liquid chromatography-tandem mass spectrometry (LC-MS/MS) analysis. However, the diversity in physicochemical properties of peptides may prevent the complete separation of the two types of analytes. Peptides present in the oligosaccharide fraction not only interfere with glycomics analysis but also escape peptidomics analysis. This work evaluated different SPE approaches for improving LC-MS/MS analysis of both oligosaccharides and peptides through testing on peptide standards and a food sample of commercial interest (proteolyzed almond extract). Compared with conventional reverse-phase SPE, mixed-mode SPE (reverse-phase/strong cation exchange) was more effective in retaining small/hydrophilic peptides and capturing them in the high-organic fraction and thus allowed the identification of more oligosaccharides and dipeptides in the proteolyzed almond extract, with satisfactory MS/MS confir-mation. Overall, mixed-mode SPE emerged as the ideal method for simultaneously improving the identification of food-derived oligosaccharides and small peptides using LC-MS/MS analysis.","author":[{"dropping-particle":"","family":"Huang","given":"Yu Ping","non-dropping-particle":"","parse-names":false,"suffix":""},{"dropping-particle":"","family":"Robinson","given":"Randall C.","non-dropping-particle":"","parse-names":false,"suffix":""},{"dropping-particle":"","family":"Dias","given":"Fernanda Furlan Goncalves","non-dropping-particle":"","parse-names":false,"suffix":""},{"dropping-particle":"","family":"Moura Bell","given":"Juliana Maria Leite Nobrega","non-dropping-particle":"de","parse-names":false,"suffix":""},{"dropping-particle":"","family":"Barile","given":"Daniela","non-dropping-particle":"","parse-names":false,"suffix":""}],"container-title":"Foods","id":"ITEM-2","issued":{"date-parts":[["2022"]]},"title":"Solid-Phase Extraction Approaches for Improving Oligosaccharide and Small Peptide Identification with Liquid Chromatography-High-Resolution Mass Spectrometry: A Case Study on Proteolyzed Almond Extract","type":"article-journal"},"uris":["http://www.mendeley.com/documents/?uuid=ecb07e8e-7278-435a-ba59-fb3867c7de23","http://www.mendeley.com/documents/?uuid=9345d5e3-83e0-420e-82ca-b54439d1535b"]},{"id":"ITEM-3","itemData":{"DOI":"10.1016/j.xpro.2020.100164","ISSN":"26661667","PMID":"33377058","abstract":"This protocol describes the peptidomic analysis of organoid lysates, FACS-purified cell populations, and 2D culture secretions by liquid chromatography mass spectrometry (LC-MS). Currently, most peptides are quantified by ELISA, limiting the peptides that can be studied. However, an LC-MS-based approach allows more peptides to be monitored. Our group has previously used LC-MS for tissue peptidomics and secretion of enteroendocrine peptides from primary culture. Now, we extend the use to organoid models. For complete details on the use and execution of this protocol, please refer to Goldspink et al. (2020).","author":[{"dropping-particle":"","family":"Miedzybrodzka","given":"Emily L.","non-dropping-particle":"","parse-names":false,"suffix":""},{"dropping-particle":"","family":"Foreman","given":"Rachel E.","non-dropping-particle":"","parse-names":false,"suffix":""},{"dropping-particle":"","family":"Galvin","given":"Sam G.","non-dropping-particle":"","parse-names":false,"suffix":""},{"dropping-particle":"","family":"Larraufie","given":"Pierre","non-dropping-particle":"","parse-names":false,"suffix":""},{"dropping-particle":"","family":"George","given":"Amy L.","non-dropping-particle":"","parse-names":false,"suffix":""},{"dropping-particle":"","family":"Goldspink","given":"Deborah A.","non-dropping-particle":"","parse-names":false,"suffix":""},{"dropping-particle":"","family":"Reimann","given":"Frank","non-dropping-particle":"","parse-names":false,"suffix":""},{"dropping-particle":"","family":"Gribble","given":"Fiona M.","non-dropping-particle":"","parse-names":false,"suffix":""},{"dropping-particle":"","family":"Kay","given":"Richard G.","non-dropping-particle":"","parse-names":false,"suffix":""}],"container-title":"STAR Protocols","id":"ITEM-3","issued":{"date-parts":[["2020"]]},"title":"Organoid Sample Preparation and Extraction for LC-MS Peptidomics","type":"article-journal"},"uris":["http://www.mendeley.com/documents/?uuid=b3cbfeed-35ce-4301-925e-ec95dc7a7f6f","http://www.mendeley.com/documents/?uuid=64a154bb-3f91-4725-8ab3-3ea746b76f20"]},{"id":"ITEM-4","itemData":{"DOI":"10.1093/infdis/jix156","ISSN":"15376613","PMID":"28368494","abstract":"Background. The emergence of artemisinin resistance in the malaria parasite Plasmodium falciparum poses a major threat to the control and elimination of malaria. Certain point mutations in the propeller domain of PfKelch13 are associated with resistance, but PfKelch13 mutations do not always result in clinical resistance. The underlying mechanisms associated with artemisinin resistance are poorly understood, and the impact of PfKelch13 mutations on cellular biochemistry is not defined. Methods. This study aimed to identify global biochemical differences between PfKelch13-mutant artemisinin-resistant and -sensitive strains of P. falciparum by combining liquid chromatography-mass spectrometry (LC-MS)-based proteomics, peptidomics, and metabolomics. Results. Proteomics analysis found both PfKelch13 mutations examined to be specifically associated with decreased abundance of PfKelch13 protein. Metabolomics analysis demonstrated accumulation of glutathione and its precursor, gamma-glutamylcysteine, and significant depletion of 1 other putative metabolite in resistant strains. Peptidomics analysis revealed lower abundance of several endogenous peptides derived from hemoglobin (HBα and HBβ) in the artemisinin-resistant strains. Conclusion. PfKelch13 mutations associated with artemisinin resistance lead to decreased abundance of PfKelch13 protein, decreased hemoglobin digestion, and enhanced glutathione production.","author":[{"dropping-particle":"","family":"Siddiqui","given":"Ghizal","non-dropping-particle":"","parse-names":false,"suffix":""},{"dropping-particle":"","family":"Srivastava","given":"Anubhav","non-dropping-particle":"","parse-names":false,"suffix":""},{"dropping-particle":"","family":"Russell","given":"Adrian S.","non-dropping-particle":"","parse-names":false,"suffix":""},{"dropping-particle":"","family":"Creek","given":"Darren J.","non-dropping-particle":"","parse-names":false,"suffix":""}],"container-title":"Journal of Infectious Diseases","id":"ITEM-4","issued":{"date-parts":[["2017"]]},"title":"Multi-omics based identification of specific biochemical changes associated with PfKelch13-mutant artemisinin-resistant plasmodium falciparum","type":"article-journal"},"uris":["http://www.mendeley.com/documents/?uuid=49c6dbe5-48e8-4af6-9895-e6358bfc2f7b","http://www.mendeley.com/documents/?uuid=dcf8eb5b-3044-47bd-acef-5d6a904a91c7"]}],"mendeley":{"formattedCitation":"(Huang et al., 2022; Miedzybrodzka et al., 2020; Siddiqui et al., 2017; Sigdel et al., 2014)","plainTextFormattedCitation":"(Huang et al., 2022; Miedzybrodzka et al., 2020; Siddiqui et al., 2017; Sigdel et al., 2014)","previouslyFormattedCitation":"(Huang et al., 2022; Miedzybrodzka et al., 2020; Siddiqui et al., 2017; Sigdel et al., 2014)"},"properties":{"noteIndex":0},"schema":"https://github.com/citation-style-language/schema/raw/master/csl-citation.json"}</w:instrText>
      </w:r>
      <w:r w:rsidR="00704E5E">
        <w:rPr>
          <w:rFonts w:ascii="Times New Roman" w:hAnsi="Times New Roman" w:cs="Times New Roman"/>
          <w:sz w:val="24"/>
          <w:szCs w:val="24"/>
        </w:rPr>
        <w:fldChar w:fldCharType="separate"/>
      </w:r>
      <w:r w:rsidR="00704E5E" w:rsidRPr="00704E5E">
        <w:rPr>
          <w:rFonts w:ascii="Times New Roman" w:hAnsi="Times New Roman" w:cs="Times New Roman"/>
          <w:noProof/>
          <w:sz w:val="24"/>
          <w:szCs w:val="24"/>
        </w:rPr>
        <w:t>(Huang et al., 2022; Miedzybrodzka et al., 2020; Siddiqui et al., 2017; Sigdel et al., 2014)</w:t>
      </w:r>
      <w:r w:rsidR="00704E5E">
        <w:rPr>
          <w:rFonts w:ascii="Times New Roman" w:hAnsi="Times New Roman" w:cs="Times New Roman"/>
          <w:sz w:val="24"/>
          <w:szCs w:val="24"/>
        </w:rPr>
        <w:fldChar w:fldCharType="end"/>
      </w:r>
      <w:r w:rsidRPr="008321ED">
        <w:rPr>
          <w:rFonts w:ascii="Times New Roman" w:hAnsi="Times New Roman" w:cs="Times New Roman"/>
          <w:sz w:val="24"/>
          <w:szCs w:val="24"/>
        </w:rPr>
        <w:t>.</w:t>
      </w:r>
    </w:p>
    <w:p w14:paraId="626B4BA2" w14:textId="376EA85A" w:rsidR="00067946" w:rsidRPr="00067946" w:rsidRDefault="00067946" w:rsidP="009047E0">
      <w:pPr>
        <w:pStyle w:val="Heading2"/>
        <w:numPr>
          <w:ilvl w:val="1"/>
          <w:numId w:val="1"/>
        </w:numPr>
      </w:pPr>
      <w:r w:rsidRPr="00067946">
        <w:t>Glycans</w:t>
      </w:r>
    </w:p>
    <w:p w14:paraId="6E37217E" w14:textId="7DD3C364" w:rsidR="00067946" w:rsidRPr="00E433B9" w:rsidRDefault="00067946" w:rsidP="00067946">
      <w:pPr>
        <w:jc w:val="both"/>
        <w:rPr>
          <w:rFonts w:ascii="Times New Roman" w:hAnsi="Times New Roman" w:cs="Times New Roman"/>
          <w:sz w:val="24"/>
          <w:szCs w:val="24"/>
        </w:rPr>
      </w:pPr>
      <w:r w:rsidRPr="00067946">
        <w:rPr>
          <w:rFonts w:ascii="Times New Roman" w:hAnsi="Times New Roman" w:cs="Times New Roman"/>
          <w:sz w:val="24"/>
          <w:szCs w:val="24"/>
        </w:rPr>
        <w:t xml:space="preserve">Glycans are carbohydrate chains that are covalently attached to proteins and lipids, influencing various cellular processes, including protein folding, cell adhesion, and immune response. The analysis of glycans is particularly challenging due to their structural complexity and heterogeneity. LC-MS has become a prominent technique in </w:t>
      </w:r>
      <w:proofErr w:type="spellStart"/>
      <w:r w:rsidRPr="00067946">
        <w:rPr>
          <w:rFonts w:ascii="Times New Roman" w:hAnsi="Times New Roman" w:cs="Times New Roman"/>
          <w:sz w:val="24"/>
          <w:szCs w:val="24"/>
        </w:rPr>
        <w:t>glycomics</w:t>
      </w:r>
      <w:proofErr w:type="spellEnd"/>
      <w:r w:rsidRPr="00067946">
        <w:rPr>
          <w:rFonts w:ascii="Times New Roman" w:hAnsi="Times New Roman" w:cs="Times New Roman"/>
          <w:sz w:val="24"/>
          <w:szCs w:val="24"/>
        </w:rPr>
        <w:t>, allowing for the identification and quantification of glycans in biological samples. By combining LC with MS, researchers can achieve higher separation efficiency and sensitivity, enabling the detailed analysis of glycan structures and their potential roles as biomarkers</w:t>
      </w:r>
      <w:r w:rsidR="00704E5E">
        <w:rPr>
          <w:rFonts w:ascii="Times New Roman" w:hAnsi="Times New Roman" w:cs="Times New Roman"/>
          <w:sz w:val="24"/>
          <w:szCs w:val="24"/>
        </w:rPr>
        <w:t xml:space="preserve"> </w:t>
      </w:r>
      <w:r w:rsidR="00704E5E">
        <w:rPr>
          <w:rFonts w:ascii="Times New Roman" w:hAnsi="Times New Roman" w:cs="Times New Roman"/>
          <w:sz w:val="24"/>
          <w:szCs w:val="24"/>
        </w:rPr>
        <w:fldChar w:fldCharType="begin" w:fldLock="1"/>
      </w:r>
      <w:r w:rsidR="00704E5E">
        <w:rPr>
          <w:rFonts w:ascii="Times New Roman" w:hAnsi="Times New Roman" w:cs="Times New Roman"/>
          <w:sz w:val="24"/>
          <w:szCs w:val="24"/>
        </w:rPr>
        <w:instrText>ADDIN CSL_CITATION {"citationItems":[{"id":"ITEM-1","itemData":{"DOI":"10.1021/acs.analchem.2c00783","ISSN":"15206882","abstract":"Complex carbohydrates are ubiquitous in nature and represent one of the major classes of biopolymers. They can exhibit highly diverse structures with multiple branched sites as well as a complex regio- A nd stereochemistry. A common way to analytically address this complexity is liquid chromatography (LC) in combination with mass spectrometry (MS). However, MS-based detection often does not provide sufficient information to distinguish glycan isomers. Ion mobility-mass spectrometry (IM-MS) a technique that separates ions based on their size, charge, and shape has recently shown great potential to solve this problem by identifying characteristic isomeric glycan features such as the sialylation and fucosylation pattern. However, while both LC-MS and IM-MS have clearly proven their individual capabilities for glycan analysis, attempts to combine both methods into a consistent workflow are lacking. Here, we close this gap and combine hydrophilic interaction liquid chromatography (HILIC) with IM-MS to analyze the glycan structures released from human alpha-1-acid glycoprotein (hAGP). HILIC separates the crude mixture of highly sialylated multi-antennary glycans, MS provides information on glycan composition, and IMS is used to distinguish and quantify α2,6- A nd α2,3-linked sialic acid isomers based on characteristic fragments. Further, the technique can support the assignment of antenna fucosylation. This feature mapping can confidently assign glycan isomers with multiple sialic acids within one LC-IM-MS run and is fully compatible with existing workflows for N-glycan analysis.","author":[{"dropping-particle":"","family":"Manz","given":"Christian","non-dropping-particle":"","parse-names":false,"suffix":""},{"dropping-particle":"","family":"Mancera-Arteu","given":"Montserrat","non-dropping-particle":"","parse-names":false,"suffix":""},{"dropping-particle":"","family":"Zappe","given":"Andreas","non-dropping-particle":"","parse-names":false,"suffix":""},{"dropping-particle":"","family":"Hanozin","given":"Emeline","non-dropping-particle":"","parse-names":false,"suffix":""},{"dropping-particle":"","family":"Polewski","given":"Lukasz","non-dropping-particle":"","parse-names":false,"suffix":""},{"dropping-particle":"","family":"Giménez","given":"Estela","non-dropping-particle":"","parse-names":false,"suffix":""},{"dropping-particle":"","family":"Sanz-Nebot","given":"Victoria","non-dropping-particle":"","parse-names":false,"suffix":""},{"dropping-particle":"","family":"Pagel","given":"Kevin","non-dropping-particle":"","parse-names":false,"suffix":""}],"container-title":"Analytical Chemistry","id":"ITEM-1","issued":{"date-parts":[["2022"]]},"title":"Determination of Sialic Acid Isomers from Released N-Glycans Using Ion Mobility Spectrometry","type":"article-journal"},"uris":["http://www.mendeley.com/documents/?uuid=34a0f214-cb61-461b-9641-de42969a5fdb","http://www.mendeley.com/documents/?uuid=c58f2162-8ecb-4e16-8f93-49e9388fd3f3"]},{"id":"ITEM-2","itemData":{"DOI":"10.1016/j.sbi.2019.12.014","ISSN":"1879033X","PMID":"31981952","abstract":"Precise structural differentiation of often isomeric glycans is important given their roles in numerous biological processes. Mass spectrometry (MS) (and tandem MS) is one of the analytical techniques at the forefront of glycan analysis given its speed, sensitivity in producing structural information as well as the fact it can be coupled to other orthogonal analytical techniques such as liquid chromatography (LC) and ion mobility spectrometry (IMS). This review describes another family of techniques that are more commonly being hybridized to MS(/MS) namely gas-phase infrared (IR) spectroscopy, whose rise is in part due to the development and improved accessibility of tunable IR lasers. Gas-phase IR can often differentiate fine isomeric differences ubiquitous within carbohydrates that MS may be ‘blind’ to. There are also examples of cryogenic gas-phase IR spectroscopy with much greater spectral resolution as well as hybridizing with separative methods (LC, IMS). Furthermore, collision-induced dissociation (CID) product ions can also be probed by IR, which may be beneficial to deconvolute spectra, aid analysis and build spectral libraries, thus generating novel opportunities for fragment-based approaches to analyze glycans.","author":[{"dropping-particle":"","family":"Gray","given":"Christopher John","non-dropping-particle":"","parse-names":false,"suffix":""},{"dropping-particle":"","family":"Compagnon","given":"Isabelle","non-dropping-particle":"","parse-names":false,"suffix":""},{"dropping-particle":"","family":"Flitsch","given":"Sabine L.","non-dropping-particle":"","parse-names":false,"suffix":""}],"container-title":"Current Opinion in Structural Biology","id":"ITEM-2","issued":{"date-parts":[["2020"]]},"title":"Mass spectrometry hybridized with gas-phase InfraRed spectroscopy for glycan sequencing","type":"article"},"uris":["http://www.mendeley.com/documents/?uuid=8c0c4fdf-59fa-4198-b594-cf7105fc2a75","http://www.mendeley.com/documents/?uuid=90c3ff26-8011-4137-9c9d-c1ddf7af4566"]},{"id":"ITEM-3","itemData":{"DOI":"10.3390/biom10111470","ISSN":"2218273X","PMID":"33105875","abstract":"A number of studies have shown that glycosylation of proteins plays diverse functions in the lives of organisms, has crucial biological and physiological roles in pathogen-host interactions, and is involved in a large number of biological events in the immune system, and in virus and bacteria recognition. The large amount of scientific interest in glycoproteins of molluscan hemocyanins is due not only to their complex quaternary structures, but also to the great diversity of their oligosaccharide structures with a high carbohydrate content (2-9%). This great variety is due to their specific monosaccharide composition and different side chain composition. The determination of glycans and glycopeptides was performed with the most commonly used methods for the analysis of biomolecules, including peptides and proteins, including Matrix Assisted Laser Desorption/Ionisation-Time of Flight (MALDI-TOF-TOF), Liquid Chromatography - Electrospray Ionization-Mass Spectrometry (LC/ESI-MS), Liquid Chromatography (LC-Q-trap-MS/MS) or Nano- Electrospray Ionization-Mass Spectrometry (nano-ESI-MS) and others. The molluscan hemocyanins have complex carbohydrate structures with predominant N-linked glycans. Of interest are identified structures with methylated hexoses and xyloses arranged at different positions in the carbohydrate moieties of molluscan hemocyanins. Novel acidic glycan structures with specific glycosylation positions, e.g., hemocyanins that enable a deeper insight into the glycosylation process, were observed in Rapana venosa, Helix lucorum, and Haliotis tuberculata. Recent studies demonstrate that glycosylation plays a crucial physiological role in the immunostimulatory and therapeutic effect of glycoproteins. The remarkable diversity of hemocyanin glycan content is an important feature of their immune function and provides a new concept in the antibody-antigen interaction through clustered carbohydrate epitopes.","author":[{"dropping-particle":"","family":"Dolashka","given":"Pavlina","non-dropping-particle":"","parse-names":false,"suffix":""},{"dropping-particle":"","family":"Daskalova","given":"Asya","non-dropping-particle":"","parse-names":false,"suffix":""},{"dropping-particle":"","family":"Dolashki","given":"Aleksandar","non-dropping-particle":"","parse-names":false,"suffix":""},{"dropping-particle":"","family":"Voelter","given":"Wolfgang","non-dropping-particle":"","parse-names":false,"suffix":""}],"container-title":"Biomolecules","id":"ITEM-3","issued":{"date-parts":[["2020"]]},"title":"De novo structural determination of the oligosaccharide structure of hemocyanins from molluscs","type":"article"},"uris":["http://www.mendeley.com/documents/?uuid=9568e9b1-8997-40b6-8590-6011c33b7123","http://www.mendeley.com/documents/?uuid=798dbe1f-d360-43c6-b2a4-7a454053ea83"]},{"id":"ITEM-4","itemData":{"DOI":"10.1016/j.bbagen.2016.02.003","ISSN":"18728006","PMID":"26854953","abstract":"Background Diverse varieties of often heterogeneous glycans are ubiquitous in nature. They play critical roles in recognition events, act as energy stores and provide structural stability at both molecular and cellular levels. Technologies capable of fully elucidating the structures of glycans are far behind the other '-omic' fields. Liquid chromatography (LC) and mass spectrometry (MS) are currently the most useful techniques for high-throughput analysis of glycans. However, these techniques do not provide full unambiguous structural information and instead the gap in full sequence assignment is frequently filled by a priori knowledge of the biosynthetic pathways and the assumption that these pathways are highly conserved. Scope of the review This comprehensive review details the rise of the emerging analytical technique ion mobility spectrometry (IMS) (coupled to MS) to facilitate the determination of three-dimensional shape: the separation and characterization of isobaric glycans, glyco(peptides/proteins), glycolipids, glycosaminoglycans and other polysaccharides; localization of sites of glycosylation; or interpretation of the conformational change to proteins upon glycan binding. Major conclusions IMS is a highly promising new analytical route, able to provide rapid isomeric separation (ms timescale) of either precursor or product ions facilitating MS characterization. This additional separation also enables the deconvolution of carbohydrate MS(/MS) information from contaminating ions, improving sensitivity and reducing chemical noise. Derivation of collision cross sections (CCS) from IM-MS(/MS) data and subsequent calculations validate putative structures of carbohydrates from ab initio derived candidates. IM-MS has demonstrated that amounts of specific glycan isomers vary between disease states, which would be challenging to detect using standard analytical approaches. General significance IM-MS is a promising technique that fills an important gap within the Glycomics toolbox, namely identifying and differentiating the three-dimensional structure of chemically similar carbohydrates and glycoconjugates. This article is part of a Special Issue entitled \"Glycans in personalised medicine\" Guest Editor: Professor Gordan Lauc.","author":[{"dropping-particle":"","family":"Gray","given":"C. J.","non-dropping-particle":"","parse-names":false,"suffix":""},{"dropping-particle":"","family":"Thomas","given":"B.","non-dropping-particle":"","parse-names":false,"suffix":""},{"dropping-particle":"","family":"Upton","given":"R.","non-dropping-particle":"","parse-names":false,"suffix":""},{"dropping-particle":"","family":"Migas","given":"L. G.","non-dropping-particle":"","parse-names":false,"suffix":""},{"dropping-particle":"","family":"Eyers","given":"C. E.","non-dropping-particle":"","parse-names":false,"suffix":""},{"dropping-particle":"","family":"Barran","given":"P. E.","non-dropping-particle":"","parse-names":false,"suffix":""},{"dropping-particle":"","family":"Flitsch","given":"S. L.","non-dropping-particle":"","parse-names":false,"suffix":""}],"container-title":"Biochimica et Biophysica Acta - General Subjects","id":"ITEM-4","issued":{"date-parts":[["2016"]]},"title":"Applications of ion mobility mass spectrometry for high throughput, high resolution glycan analysis","type":"article-journal"},"uris":["http://www.mendeley.com/documents/?uuid=876ae264-9c18-416d-89ba-a6d02f503e64","http://www.mendeley.com/documents/?uuid=68193023-9271-4186-a9f2-e44a1f21bb5d"]}],"mendeley":{"formattedCitation":"(Dolashka et al., 2020; Gray et al., 2020, 2016; Manz et al., 2022)","plainTextFormattedCitation":"(Dolashka et al., 2020; Gray et al., 2020, 2016; Manz et al., 2022)","previouslyFormattedCitation":"(Dolashka et al., 2020; Gray et al., 2020, 2016; Manz et al., 2022)"},"properties":{"noteIndex":0},"schema":"https://github.com/citation-style-language/schema/raw/master/csl-citation.json"}</w:instrText>
      </w:r>
      <w:r w:rsidR="00704E5E">
        <w:rPr>
          <w:rFonts w:ascii="Times New Roman" w:hAnsi="Times New Roman" w:cs="Times New Roman"/>
          <w:sz w:val="24"/>
          <w:szCs w:val="24"/>
        </w:rPr>
        <w:fldChar w:fldCharType="separate"/>
      </w:r>
      <w:r w:rsidR="00704E5E" w:rsidRPr="00704E5E">
        <w:rPr>
          <w:rFonts w:ascii="Times New Roman" w:hAnsi="Times New Roman" w:cs="Times New Roman"/>
          <w:noProof/>
          <w:sz w:val="24"/>
          <w:szCs w:val="24"/>
        </w:rPr>
        <w:t>(Dolashka et al., 2020; Gray et al., 2020, 2016; Manz et al., 2022)</w:t>
      </w:r>
      <w:r w:rsidR="00704E5E">
        <w:rPr>
          <w:rFonts w:ascii="Times New Roman" w:hAnsi="Times New Roman" w:cs="Times New Roman"/>
          <w:sz w:val="24"/>
          <w:szCs w:val="24"/>
        </w:rPr>
        <w:fldChar w:fldCharType="end"/>
      </w:r>
      <w:r w:rsidRPr="00067946">
        <w:rPr>
          <w:rFonts w:ascii="Times New Roman" w:hAnsi="Times New Roman" w:cs="Times New Roman"/>
          <w:sz w:val="24"/>
          <w:szCs w:val="24"/>
        </w:rPr>
        <w:t>.</w:t>
      </w:r>
    </w:p>
    <w:p w14:paraId="540CD84E" w14:textId="24EFB815" w:rsidR="00067946" w:rsidRPr="00067946" w:rsidRDefault="00067946" w:rsidP="009047E0">
      <w:pPr>
        <w:pStyle w:val="Heading2"/>
        <w:numPr>
          <w:ilvl w:val="1"/>
          <w:numId w:val="1"/>
        </w:numPr>
      </w:pPr>
      <w:r w:rsidRPr="00067946">
        <w:t>Modified Nucleotides</w:t>
      </w:r>
    </w:p>
    <w:p w14:paraId="3C9F20A3" w14:textId="14206FFC" w:rsidR="00067946" w:rsidRPr="00067946" w:rsidRDefault="00067946" w:rsidP="00067946">
      <w:pPr>
        <w:jc w:val="both"/>
        <w:rPr>
          <w:rFonts w:ascii="Times New Roman" w:hAnsi="Times New Roman" w:cs="Times New Roman"/>
          <w:sz w:val="24"/>
          <w:szCs w:val="24"/>
        </w:rPr>
      </w:pPr>
      <w:r w:rsidRPr="00067946">
        <w:rPr>
          <w:rFonts w:ascii="Times New Roman" w:hAnsi="Times New Roman" w:cs="Times New Roman"/>
          <w:sz w:val="24"/>
          <w:szCs w:val="24"/>
        </w:rPr>
        <w:t>LC-MS plays a vital role in the analysis of modified nucleotides, which are altered forms of DNA and RNA bases resulting from epigenetic modifications or DNA damage. These modifications are crucial in regulating gene expression and have implications in various biological processes, including development and disease. LC-MS-based approaches allow researchers to identify and quantify modified nucleotides in nucleic acid samples, providing insights into epigenetic changes and potential biomarkers associated with specific disease states or environmental exposures</w:t>
      </w:r>
      <w:r w:rsidR="00704E5E">
        <w:rPr>
          <w:rFonts w:ascii="Times New Roman" w:hAnsi="Times New Roman" w:cs="Times New Roman"/>
          <w:sz w:val="24"/>
          <w:szCs w:val="24"/>
        </w:rPr>
        <w:t xml:space="preserve"> </w:t>
      </w:r>
      <w:r w:rsidR="00704E5E">
        <w:rPr>
          <w:rFonts w:ascii="Times New Roman" w:hAnsi="Times New Roman" w:cs="Times New Roman"/>
          <w:sz w:val="24"/>
          <w:szCs w:val="24"/>
        </w:rPr>
        <w:fldChar w:fldCharType="begin" w:fldLock="1"/>
      </w:r>
      <w:r w:rsidR="00704E5E">
        <w:rPr>
          <w:rFonts w:ascii="Times New Roman" w:hAnsi="Times New Roman" w:cs="Times New Roman"/>
          <w:sz w:val="24"/>
          <w:szCs w:val="24"/>
        </w:rPr>
        <w:instrText>ADDIN CSL_CITATION {"citationItems":[{"id":"ITEM-1","itemData":{"DOI":"10.1093/nar/gkv560","ISSN":"13624962","PMID":"26013808","abstract":"We present a liquid chromatography-mass spectrometry (LC-MS)-based method for comprehensive quantitative identification of post-transcriptional modifications (PTMs) of RNA. We incorporated an in vitro-transcribed, heavy isotope-labeled reference RNA into a sample RNA solution, digested the mixture with a number of RNases and detected the posttranscriptionally modified oligonucleotides quantitatively based on shifts in retention time and the MS signal in subsequent LC-MS. This allowed the determination and quantitation of all PTMs in Schizosaccharomyces pombe ribosomal (r)RNAs and generated the first complete PTM maps of eukaryotic rRNAs at single-nucleotide resolution. There were 122 modified sites, most of which appear to locate at the interface of ribosomal subunits where translation takes place. We also identified PTMs at specific locations in rRNAs that were altered in response to growth conditions of yeast cells, suggesting that the cells coordinately regulate the modification levels of RNA.","author":[{"dropping-particle":"","family":"Taoka","given":"Masato","non-dropping-particle":"","parse-names":false,"suffix":""},{"dropping-particle":"","family":"Nobe","given":"Yuko","non-dropping-particle":"","parse-names":false,"suffix":""},{"dropping-particle":"","family":"Hori","given":"Masayuki","non-dropping-particle":"","parse-names":false,"suffix":""},{"dropping-particle":"","family":"Takeuchi","given":"Aiko","non-dropping-particle":"","parse-names":false,"suffix":""},{"dropping-particle":"","family":"Masaki","given":"Shunpei","non-dropping-particle":"","parse-names":false,"suffix":""},{"dropping-particle":"","family":"Yamauchi","given":"Yoshio","non-dropping-particle":"","parse-names":false,"suffix":""},{"dropping-particle":"","family":"Nakayama","given":"Hiroshi","non-dropping-particle":"","parse-names":false,"suffix":""},{"dropping-particle":"","family":"Takahashi","given":"Nobuhiro","non-dropping-particle":"","parse-names":false,"suffix":""},{"dropping-particle":"","family":"Isobe","given":"Toshiaki","non-dropping-particle":"","parse-names":false,"suffix":""}],"container-title":"Nucleic Acids Research","id":"ITEM-1","issued":{"date-parts":[["2015"]]},"title":"A mass spectrometry-based method for comprehensive quantitative determination of post-transcriptional RNA modifications: The complete chemical structure of Schizosaccharomyces pombe ribosomal RNAs","type":"article-journal"},"uris":["http://www.mendeley.com/documents/?uuid=f2fd8659-2b7f-435b-b5f3-04d1d74ce82c","http://www.mendeley.com/documents/?uuid=09016ef9-44d1-4960-903b-914966879216"]},{"id":"ITEM-2","itemData":{"DOI":"10.1186/s13104-018-3885-5","ISSN":"17560500","PMID":"30373660","abstract":"Objective: Clinical research on gene therapy has advanced the field of veterinary medicine, and gene doping, which is the illegal use of gene therapy, has become a major concern in horseracing. Since the International Federation of Horseracing Authorities defined the administration of oligonucleotides and its analogues as a genetic therapy in 2017, the development of therapeutic nucleotide-detection techniques has become an urgent need. Most currently marketed and developed oligonucleotide therapeutics for humans consist of modified nucleotides to increase stability, and phosphorothioate (PS) modification is common. Results: We demonstrated the specific detection of phosphorothioated oligonucleotides (PSOs) using LC/MS/MS. PSOs produce the specific product ion (m/z 94.9362) derived from PS moiety. PS is not derived from endogenous substances in animal body, and the product ion is a suitable marker for the detection of PSOs. With our strategy, reproducible target analyses were achieved for identifying the specific substances, with a LOD of 0.1 ng/mL and a quantification rage of 0.1-200 ng/mL in deproteinated plasma. Non-target analyses could also detect the presence of PSOs selectively with 100 ng/mL in the same matrix. These results suggested that the detection of PSOs in horse blood is possible by targeting the product ion using LC/MS/MS.","author":[{"dropping-particle":"","family":"Tozaki","given":"Teruaki","non-dropping-particle":"","parse-names":false,"suffix":""},{"dropping-particle":"","family":"Karasawa","given":"Kaoru","non-dropping-particle":"","parse-names":false,"suffix":""},{"dropping-particle":"","family":"Minamijima","given":"Yohei","non-dropping-particle":"","parse-names":false,"suffix":""},{"dropping-particle":"","family":"Ishii","given":"Hideaki","non-dropping-particle":"","parse-names":false,"suffix":""},{"dropping-particle":"","family":"Kikuchi","given":"Mio","non-dropping-particle":"","parse-names":false,"suffix":""},{"dropping-particle":"","family":"Kakoi","given":"Hironaga","non-dropping-particle":"","parse-names":false,"suffix":""},{"dropping-particle":"","family":"Hirota","given":"Kei Ichi","non-dropping-particle":"","parse-names":false,"suffix":""},{"dropping-particle":"","family":"Kusano","given":"Kanichi","non-dropping-particle":"","parse-names":false,"suffix":""},{"dropping-particle":"","family":"Nagata","given":"Shun Ichi","non-dropping-particle":"","parse-names":false,"suffix":""}],"container-title":"BMC Research Notes","id":"ITEM-2","issued":{"date-parts":[["2018"]]},"title":"Detection of phosphorothioated (PS) oligonucleotides in horse plasma using a product ion (m/z 94.9362) derived from the PS moiety for doping control","type":"article-journal"},"uris":["http://www.mendeley.com/documents/?uuid=c871e0e8-c4b2-4f78-9ccf-5b0ae0869a0f","http://www.mendeley.com/documents/?uuid=e1c5bd41-4dfd-4970-90d6-85ffe34823c3"]},{"id":"ITEM-3","itemData":{"DOI":"10.1021/acs.analchem.2c03030","ISSN":"15206882","abstract":"In recent years, CRISPR-Cas9 genome editing has become an important technology in biomedical research and has demonstrated tremendous therapeutic potential. With Cas9 endonuclease, the use of single guide ribonucleic acids (sgRNAs) allows for sequence-specific cutting on target double-stranded deoxyribonucleic acids. Therefore, the design and quality of sgRNAs can greatly affect the efficiency and specificity of genome editing. Mass spectrometry (MS) has been a powerful tool to detect molecular features and sequence a variety of biomolecules; however, as the sizes of oligonucleotides get larger, it becomes more challenging to desalt samples and achieve high-quality intact spectra with effective fragmentation. Here, we develop a simple but effective online column-based clean-up method (reversed-phase column in a size exclusion mode) that removes formulation salts and metal adducts from larger oligonucleotides upon entering the mass spectrometer in a consistent manner. Using the top-down approach without any nuclease digestion, we characterized and sequenced 100-nucleotide-long sgRNAs by higher-energy collision dissociation (HCD), collision-induced dissociation (CID), ultraviolet photodissociation (UVPD), and activated electron photodetachment (a-EPD). In a single 10 min liquid chromatography-tandem MS (LC-MS/MS) run, CID yielded the best sequence coverage, of 67%. When adding complementary UVPD and a-EPD runs, we achieved 80% overall sequence coverage and 100% cleavages for the variable sequence, the first 20 nucleotides from the 5′ end. This LC-MS/MS platform provides a facile top-down workflow to analyze and sequence larger chemically modified oligonucleotides with no sample treatment.","author":[{"dropping-particle":"","family":"Crittenden","given":"Christopher M.","non-dropping-particle":"","parse-names":false,"suffix":""},{"dropping-particle":"","family":"Lanzillotti","given":"Michael B.","non-dropping-particle":"","parse-names":false,"suffix":""},{"dropping-particle":"","family":"Chen","given":"Bifan","non-dropping-particle":"","parse-names":false,"suffix":""}],"container-title":"Analytical Chemistry","id":"ITEM-3","issued":{"date-parts":[["2023"]]},"title":"Top-Down Mass Spectrometry of Synthetic Single Guide Ribonucleic Acids Enabled by Facile Sample Clean-Up","type":"article-journal"},"uris":["http://www.mendeley.com/documents/?uuid=7f451e41-931d-4602-8f09-113880a7a364","http://www.mendeley.com/documents/?uuid=2cb2de1a-4a82-4d3a-b141-c9266bdb4e97"]},{"id":"ITEM-4","itemData":{"DOI":"10.1021/acs.biochem.9b01094","ISSN":"15204995","PMID":"32191439","abstract":"We investigate herein the interaction between nucleolin (NCL) and a set of G4 sequences derived from the CEB25 human minisatellite that adopt a parallel topology while differing in the length of the central loop (from nine nucleotides to one nucleotide). It is revealed that NCL strongly binds to long-loop (five to nine nucleotides) G4 while interacting weakly with the shorter variants (loop with fewer than three nucleotides). Photo-cross-linking experiments using 5-bromo-2′-deoxyuridine (BrU)-modified sequences further confirmed the loop-length dependency, thereby indicating that the WT-CEB25-L191 (nine-nucleotide loop) is the best G4 substrate. Quantitative proteomic analysis (LC-MS/MS) of the product(s) obtained by photo-cross-linking NCL to this sequence enabled the identification of one contact site corresponding to a 15-amino acid fragment located in helix α2 of RNA binding domain 2 (RBD2), which sheds light on the role of this structural element in G4-loop recognition. Then, the ability of a panel of benchmark G4 ligands to prevent the NCL-G4 interaction was explored. It was found that only the most potent ligand PhenDC3 can inhibit NCL binding, thereby suggesting that the terminal guanine quartet is also a strong determinant of G4 recognition, putatively through interaction with the RGG domain. This study describes the molecular mechanism by which NCL recognizes G4-containing long loops and leads to the proposal of a model implying a concerted action of RBD2 and RGG domains to achieve specific G4 recognition via a dual loop-quartet interaction.","author":[{"dropping-particle":"","family":"Saha","given":"Abhijit","non-dropping-particle":"","parse-names":false,"suffix":""},{"dropping-particle":"","family":"Duchambon","given":"Patricia","non-dropping-particle":"","parse-names":false,"suffix":""},{"dropping-particle":"","family":"Masson","given":"Vanessa","non-dropping-particle":"","parse-names":false,"suffix":""},{"dropping-particle":"","family":"Loew","given":"Damarys","non-dropping-particle":"","parse-names":false,"suffix":""},{"dropping-particle":"","family":"Bombard","given":"Sophie","non-dropping-particle":"","parse-names":false,"suffix":""},{"dropping-particle":"","family":"Teulade-Fichou","given":"Marie Paule","non-dropping-particle":"","parse-names":false,"suffix":""}],"container-title":"Biochemistry","id":"ITEM-4","issued":{"date-parts":[["2020"]]},"title":"Nucleolin Discriminates Drastically between Long-Loop and Short-Loop Quadruplexes","type":"article-journal"},"uris":["http://www.mendeley.com/documents/?uuid=baaf1adf-c6c4-41c2-9479-a841b69ab8da","http://www.mendeley.com/documents/?uuid=b67dbdae-1a54-427a-a612-c62795b64e61"]}],"mendeley":{"formattedCitation":"(Crittenden et al., 2023; Saha et al., 2020; Taoka et al., 2015; Tozaki et al., 2018)","plainTextFormattedCitation":"(Crittenden et al., 2023; Saha et al., 2020; Taoka et al., 2015; Tozaki et al., 2018)","previouslyFormattedCitation":"(Crittenden et al., 2023; Saha et al., 2020; Taoka et al., 2015; Tozaki et al., 2018)"},"properties":{"noteIndex":0},"schema":"https://github.com/citation-style-language/schema/raw/master/csl-citation.json"}</w:instrText>
      </w:r>
      <w:r w:rsidR="00704E5E">
        <w:rPr>
          <w:rFonts w:ascii="Times New Roman" w:hAnsi="Times New Roman" w:cs="Times New Roman"/>
          <w:sz w:val="24"/>
          <w:szCs w:val="24"/>
        </w:rPr>
        <w:fldChar w:fldCharType="separate"/>
      </w:r>
      <w:r w:rsidR="00704E5E" w:rsidRPr="00704E5E">
        <w:rPr>
          <w:rFonts w:ascii="Times New Roman" w:hAnsi="Times New Roman" w:cs="Times New Roman"/>
          <w:noProof/>
          <w:sz w:val="24"/>
          <w:szCs w:val="24"/>
        </w:rPr>
        <w:t>(Crittenden et al., 2023; Saha et al., 2020; Taoka et al., 2015; Tozaki et al., 2018)</w:t>
      </w:r>
      <w:r w:rsidR="00704E5E">
        <w:rPr>
          <w:rFonts w:ascii="Times New Roman" w:hAnsi="Times New Roman" w:cs="Times New Roman"/>
          <w:sz w:val="24"/>
          <w:szCs w:val="24"/>
        </w:rPr>
        <w:fldChar w:fldCharType="end"/>
      </w:r>
      <w:r w:rsidRPr="00067946">
        <w:rPr>
          <w:rFonts w:ascii="Times New Roman" w:hAnsi="Times New Roman" w:cs="Times New Roman"/>
          <w:sz w:val="24"/>
          <w:szCs w:val="24"/>
        </w:rPr>
        <w:t>.</w:t>
      </w:r>
    </w:p>
    <w:p w14:paraId="3FB3D838" w14:textId="03EE8E8E" w:rsidR="00067946" w:rsidRPr="00067946" w:rsidRDefault="00067946" w:rsidP="009047E0">
      <w:pPr>
        <w:pStyle w:val="Heading2"/>
        <w:numPr>
          <w:ilvl w:val="1"/>
          <w:numId w:val="1"/>
        </w:numPr>
      </w:pPr>
      <w:r w:rsidRPr="00067946">
        <w:lastRenderedPageBreak/>
        <w:t>Isotopes and Stable-Isotope Labeled Compounds</w:t>
      </w:r>
    </w:p>
    <w:p w14:paraId="0AA66685" w14:textId="0AD504FE" w:rsidR="00067946" w:rsidRPr="00067946" w:rsidRDefault="00067946" w:rsidP="00067946">
      <w:pPr>
        <w:jc w:val="both"/>
        <w:rPr>
          <w:rFonts w:ascii="Times New Roman" w:hAnsi="Times New Roman" w:cs="Times New Roman"/>
          <w:sz w:val="24"/>
          <w:szCs w:val="24"/>
        </w:rPr>
      </w:pPr>
      <w:r w:rsidRPr="00067946">
        <w:rPr>
          <w:rFonts w:ascii="Times New Roman" w:hAnsi="Times New Roman" w:cs="Times New Roman"/>
          <w:sz w:val="24"/>
          <w:szCs w:val="24"/>
        </w:rPr>
        <w:t>LC-MS is frequently used in quantitative analysis, and stable-isotope labeling techniques have become essential tools in biomarker studies. Stable isotopes are non-radioactive isotopes of elements that can be incorporated into biomolecules as internal standards. By introducing stable-isotope labeled compounds into samples and using LC-MS for quantification, researchers can accurately determine the concentration of target biomolecules in complex matrices. This approach ensures precise and reliable quantification of biomarkers, particularly in metabolomics and pharmacokinetic studies</w:t>
      </w:r>
      <w:r w:rsidR="00704E5E">
        <w:rPr>
          <w:rFonts w:ascii="Times New Roman" w:hAnsi="Times New Roman" w:cs="Times New Roman"/>
          <w:sz w:val="24"/>
          <w:szCs w:val="24"/>
        </w:rPr>
        <w:t xml:space="preserve"> </w:t>
      </w:r>
      <w:r w:rsidR="00704E5E">
        <w:rPr>
          <w:rFonts w:ascii="Times New Roman" w:hAnsi="Times New Roman" w:cs="Times New Roman"/>
          <w:sz w:val="24"/>
          <w:szCs w:val="24"/>
        </w:rPr>
        <w:fldChar w:fldCharType="begin" w:fldLock="1"/>
      </w:r>
      <w:r w:rsidR="00704E5E">
        <w:rPr>
          <w:rFonts w:ascii="Times New Roman" w:hAnsi="Times New Roman" w:cs="Times New Roman"/>
          <w:sz w:val="24"/>
          <w:szCs w:val="24"/>
        </w:rPr>
        <w:instrText>ADDIN CSL_CITATION {"citationItems":[{"id":"ITEM-1","itemData":{"DOI":"10.1016/j.jpba.2022.114829","ISSN":"1873264X","PMID":"35636006","abstract":"IOA-289 is a novel small molecule inhibitor of autotaxin developed as a first-in-class therapy of fibrotic pathologies including cancer. A method for quantitation of IOA-289 in human plasma was developed using a stable isotope labeled compound ([13C4]IOA-289) as internal standard. The analytes were extracted from human plasma by protein precipitation and the analysis was performed by liquid chromatography coupled with tandem mass spectrometric detection (LCMS/MS). The chromatographic separation was performed with a gradient elution from a BEH C18 column and under these conditions the retention time and the run time were 1 and 2 min, respectively. The assay was fully validated over the range 3–3000 ng/mL, proved to be accurate, precise and selective and was successfully applied to quantitate IOA-289 in plasma samples from subjects in a first-in-humanclinical trial.","author":[{"dropping-particle":"","family":"Mameli","given":"M.","non-dropping-particle":"","parse-names":false,"suffix":""},{"dropping-particle":"","family":"Franchi","given":"J.","non-dropping-particle":"","parse-names":false,"suffix":""},{"dropping-particle":"","family":"Calusi","given":"G.","non-dropping-particle":"","parse-names":false,"suffix":""},{"dropping-particle":"","family":"Deken","given":"M. A.","non-dropping-particle":"","parse-names":false,"suffix":""},{"dropping-particle":"","family":"Johnson","given":"Z.","non-dropping-particle":"","parse-names":false,"suffix":""},{"dropping-particle":"","family":"Veen","given":"L.","non-dropping-particle":"van der","parse-names":false,"suffix":""},{"dropping-particle":"","family":"Lahn","given":"M.","non-dropping-particle":"","parse-names":false,"suffix":""},{"dropping-particle":"","family":"Vezzelli","given":"A.","non-dropping-particle":"","parse-names":false,"suffix":""},{"dropping-particle":"","family":"Cardin","given":"R.","non-dropping-particle":"","parse-names":false,"suffix":""},{"dropping-particle":"","family":"Greco","given":"A.","non-dropping-particle":"","parse-names":false,"suffix":""},{"dropping-particle":"","family":"Breda","given":"M.","non-dropping-particle":"","parse-names":false,"suffix":""}],"container-title":"Journal of Pharmaceutical and Biomedical Analysis","id":"ITEM-1","issued":{"date-parts":[["2022"]]},"title":"Validation of an LC–MS/MS method for the quantification IOA-289 in human plasma and its application in a first-in-human clinical trial","type":"article-journal"},"uris":["http://www.mendeley.com/documents/?uuid=72cc4a5d-cd4c-4eb1-8433-0ddb6efb4ea0","http://www.mendeley.com/documents/?uuid=1b5e8246-05eb-4e71-9fc5-87ec2ccb3f86"]},{"id":"ITEM-2","itemData":{"DOI":"10.1002/jlcr.1235","ISSN":"03624803","abstract":"Stable isotopically labelled (SIL) versions of Glimepiride 1 (10 steps, 11% overall yield), a blood glucose lowering drug, and Melagatran 13 (9 steps, 17% overall yield), an anticoagulant with similar uses to warfarin, were synthesized as internal standards for LCMS assays. Modifications of known routes (Weyer et al., US Patent 4379785, Hocchst, 1983; Antonsson et al., PCT International Application W09429336, 1994) to these compounds are examples of the introduction of stable isotopes via heterocyclic intermediates. Copyright © 2007 John Wiley &amp; Sons, Ltd.","author":[{"dropping-particle":"","family":"Burton","given":"Andrew J.","non-dropping-particle":"","parse-names":false,"suffix":""},{"dropping-particle":"","family":"Wadsworth","given":"Alan H.","non-dropping-particle":"","parse-names":false,"suffix":""}],"container-title":"Journal of Labelled Compounds and Radiopharmaceuticals","id":"ITEM-2","issued":{"date-parts":[["2007"]]},"title":"Stable isotopic labelling of heterocyclic compounds","type":"paper-conference"},"uris":["http://www.mendeley.com/documents/?uuid=07c6d380-279e-4426-a47a-5e87514554c5","http://www.mendeley.com/documents/?uuid=2568af7f-b12b-4f3e-97f3-aed79f06a346"]},{"id":"ITEM-3","itemData":{"DOI":"10.1002/jms.3200","ISSN":"10765174","PMID":"23674286","abstract":"Because of the large variability in the pharmacokinetics of anti-HIV drugs, therapeutic drug monitoring in patients may contribute to optimize the overall efficacy and safety of antiretroviral therapy. An LC-MS/MS method for the simultaneous assay in plasma of the novel antiretroviral agents rilpivirine (RPV) and elvitegravir (EVG) has been developed to that endeavor. Plasma samples (100 μL) extraction is performed by protein precipitation with acetonitrile, and the supernatant is subsequently diluted 1:1 with 20-mM ammonium acetate/MeOH 50:50. After reverse-phase chromatography, quantification of RPV and EVG, using matrix-matched calibration samples, is performed by electrospray ionization-triple quadrupole mass spectrometry by selected reaction monitoring detection using the positive mode. The stable isotopic-labeled compounds RPV-13C6 and EVG-D6 were used as internal standards. The method was validated according to FDA recommendations, including assessment of extraction yield, matrix effects variability (&lt;6.4%), as well as EVG and RPV short and long-term stability in plasma. Calibration curves were validated over the clinically relevant concentrations ranging from 5 to 2500 ng/ml for RPV and from 50 to 5000 ng/ml for EVG. The method is precise (inter-day CV%: 3-6.3%) and accurate (3.8-7.2%). Plasma samples were found to be stable (&lt;15%) in all considered conditions (RT/48 h, +4°C/48 h, -20°C/3 months and 60°C/1 h). Selected metabolite profiles analysis in patients' samples revealed the presence of EVG glucuronide, that was well separated from parent EVG, allowing to exclude potential interferences through the in-source dissociation of glucuronide to parent drug. This new, rapid and robust LCMS/MS assay for the simultaneous quantification of plasma concentrations of these two major new anti-HIV drugs EVG and RPV offers an efficient analytical tool for clinical pharmacokinetics studies and routine therapeutic drug monitoring service. Copyright © 2013 John Wiley &amp; Sons, Ltd.","author":[{"dropping-particle":"","family":"Aouri","given":"Manel","non-dropping-particle":"","parse-names":false,"suffix":""},{"dropping-particle":"","family":"Calmy","given":"Alexandra","non-dropping-particle":"","parse-names":false,"suffix":""},{"dropping-particle":"","family":"Hirschel","given":"Bernard","non-dropping-particle":"","parse-names":false,"suffix":""},{"dropping-particle":"","family":"Telenti","given":"Amalio","non-dropping-particle":"","parse-names":false,"suffix":""},{"dropping-particle":"","family":"Buclin","given":"Thierry","non-dropping-particle":"","parse-names":false,"suffix":""},{"dropping-particle":"","family":"Cavassini","given":"Matthias","non-dropping-particle":"","parse-names":false,"suffix":""},{"dropping-particle":"","family":"Rauch","given":"Andri","non-dropping-particle":"","parse-names":false,"suffix":""},{"dropping-particle":"","family":"Decosterd","given":"Laurent A.","non-dropping-particle":"","parse-names":false,"suffix":""}],"container-title":"Journal of Mass Spectrometry","id":"ITEM-3","issued":{"date-parts":[["2013"]]},"title":"A validated assay by liquid chromatography-tandem mass spectrometry for the simultaneous quantification of elvitegravir and rilpivirine in HIV positive patients","type":"article-journal"},"uris":["http://www.mendeley.com/documents/?uuid=65599b78-3a1a-4491-a6ed-a3724aa6f5db","http://www.mendeley.com/documents/?uuid=67910cb8-0278-4815-a156-549b63196248"]}],"mendeley":{"formattedCitation":"(Aouri et al., 2013; Burton and Wadsworth, 2007; Mameli et al., 2022)","plainTextFormattedCitation":"(Aouri et al., 2013; Burton and Wadsworth, 2007; Mameli et al., 2022)","previouslyFormattedCitation":"(Aouri et al., 2013; Burton and Wadsworth, 2007; Mameli et al., 2022)"},"properties":{"noteIndex":0},"schema":"https://github.com/citation-style-language/schema/raw/master/csl-citation.json"}</w:instrText>
      </w:r>
      <w:r w:rsidR="00704E5E">
        <w:rPr>
          <w:rFonts w:ascii="Times New Roman" w:hAnsi="Times New Roman" w:cs="Times New Roman"/>
          <w:sz w:val="24"/>
          <w:szCs w:val="24"/>
        </w:rPr>
        <w:fldChar w:fldCharType="separate"/>
      </w:r>
      <w:r w:rsidR="00704E5E" w:rsidRPr="00704E5E">
        <w:rPr>
          <w:rFonts w:ascii="Times New Roman" w:hAnsi="Times New Roman" w:cs="Times New Roman"/>
          <w:noProof/>
          <w:sz w:val="24"/>
          <w:szCs w:val="24"/>
        </w:rPr>
        <w:t>(Aouri et al., 2013; Burton and Wadsworth, 2007; Mameli et al., 2022)</w:t>
      </w:r>
      <w:r w:rsidR="00704E5E">
        <w:rPr>
          <w:rFonts w:ascii="Times New Roman" w:hAnsi="Times New Roman" w:cs="Times New Roman"/>
          <w:sz w:val="24"/>
          <w:szCs w:val="24"/>
        </w:rPr>
        <w:fldChar w:fldCharType="end"/>
      </w:r>
      <w:r w:rsidRPr="00067946">
        <w:rPr>
          <w:rFonts w:ascii="Times New Roman" w:hAnsi="Times New Roman" w:cs="Times New Roman"/>
          <w:sz w:val="24"/>
          <w:szCs w:val="24"/>
        </w:rPr>
        <w:t>.</w:t>
      </w:r>
    </w:p>
    <w:p w14:paraId="2CB7A6CD" w14:textId="3D6B859A" w:rsidR="00067946" w:rsidRPr="00067946" w:rsidRDefault="00067946" w:rsidP="009047E0">
      <w:pPr>
        <w:pStyle w:val="Heading2"/>
        <w:numPr>
          <w:ilvl w:val="1"/>
          <w:numId w:val="1"/>
        </w:numPr>
      </w:pPr>
      <w:r w:rsidRPr="00067946">
        <w:t>Xenobiotics and Metabolites</w:t>
      </w:r>
    </w:p>
    <w:p w14:paraId="7D49CF61" w14:textId="2C07E619" w:rsidR="00067946" w:rsidRPr="00067946" w:rsidRDefault="00067946" w:rsidP="00067946">
      <w:pPr>
        <w:jc w:val="both"/>
        <w:rPr>
          <w:rFonts w:ascii="Times New Roman" w:hAnsi="Times New Roman" w:cs="Times New Roman"/>
          <w:sz w:val="24"/>
          <w:szCs w:val="24"/>
        </w:rPr>
      </w:pPr>
      <w:r w:rsidRPr="00067946">
        <w:rPr>
          <w:rFonts w:ascii="Times New Roman" w:hAnsi="Times New Roman" w:cs="Times New Roman"/>
          <w:sz w:val="24"/>
          <w:szCs w:val="24"/>
        </w:rPr>
        <w:t>LC-MS is extensively used in drug metabolism and pharmacokinetics studies, enabling the identification and quantification of drugs and their metabolites in biological samples. Understanding the fate of drugs in the body is critical for drug development and optimization, as well as for monitoring therapeutic drug levels in patients. LC-MS also plays a role in the analysis of xenobiotics and environmental contaminants, facilitating their detection and quantification in various samples to assess exposure levels and potential health risks</w:t>
      </w:r>
      <w:r w:rsidR="00704E5E">
        <w:rPr>
          <w:rFonts w:ascii="Times New Roman" w:hAnsi="Times New Roman" w:cs="Times New Roman"/>
          <w:sz w:val="24"/>
          <w:szCs w:val="24"/>
        </w:rPr>
        <w:t xml:space="preserve"> </w:t>
      </w:r>
      <w:r w:rsidR="00704E5E">
        <w:rPr>
          <w:rFonts w:ascii="Times New Roman" w:hAnsi="Times New Roman" w:cs="Times New Roman"/>
          <w:sz w:val="24"/>
          <w:szCs w:val="24"/>
        </w:rPr>
        <w:fldChar w:fldCharType="begin" w:fldLock="1"/>
      </w:r>
      <w:r w:rsidR="003C2C0D">
        <w:rPr>
          <w:rFonts w:ascii="Times New Roman" w:hAnsi="Times New Roman" w:cs="Times New Roman"/>
          <w:sz w:val="24"/>
          <w:szCs w:val="24"/>
        </w:rPr>
        <w:instrText>ADDIN CSL_CITATION {"citationItems":[{"id":"ITEM-1","itemData":{"DOI":"10.1111/bph.15440","ISSN":"14765381","PMID":"33751575","abstract":"Background and Purpose: The analysis of human faecal metabolites can provide an insight into metabolic interactions between gut microbiota and the host organism. The creation of metabolic profiles in faeces has received little attention until now, and reference values, especially in the context of dietary and therapeutic interventions, are missing. Exposure to xenobiotics significantly affects the physiology of the microbiome, and microbiota manipulation and short-chain fatty acid administration have been proposed as treatment targets for several diseases. The aim of the present study is to give concomitant concentration ranges of faecal sterol species, bile acids and short-chain fatty acids, based on a large cohort. Experimental Approach: Sterol species, bile acids and short-chain fatty acids in human faeces from 165 study participants were quantified by LC–MS/MS. For standardization, we refer all values to dry weight of faeces. Based on the individual intestinal sterol conversion, we classified participants into low and high converters according to their coprostanol/cholesterol ratio. Key Results: Low converters excrete more straight-chain fatty acids and bile acids than high converters; 5th and 95th percentile and median of bile acids and short-chain fatty acids were calculated for both groups. Conclusion and Implications: We give concentration ranges for 16 faecal metabolites that can serve as reference values. Patient stratification into high or low sterol converter groups is associated with significant differences in faecal metabolites with biological activities. Such stratification should then allow better assessment of faecal metabolites before therapeutic interventions. LINKED ARTICLES: This article is part of a themed issue on Oxysterols, Lifelong Health and Therapeutics. To view the other articles in this section visit http://onlinelibrary.wiley.com/doi/10.1111/bph.v178.16/issuetoc.","author":[{"dropping-particle":"","family":"Matysik","given":"Silke","non-dropping-particle":"","parse-names":false,"suffix":""},{"dropping-particle":"","family":"Krautbauer","given":"Sabrina","non-dropping-particle":"","parse-names":false,"suffix":""},{"dropping-particle":"","family":"Liebisch","given":"Gerhard","non-dropping-particle":"","parse-names":false,"suffix":""},{"dropping-particle":"","family":"Schött","given":"Hans Frieder","non-dropping-particle":"","parse-names":false,"suffix":""},{"dropping-particle":"","family":"Kjølbæk","given":"Louise","non-dropping-particle":"","parse-names":false,"suffix":""},{"dropping-particle":"","family":"Astrup","given":"Arne","non-dropping-particle":"","parse-names":false,"suffix":""},{"dropping-particle":"","family":"Blachier","given":"Francois","non-dropping-particle":"","parse-names":false,"suffix":""},{"dropping-particle":"","family":"Beaumont","given":"Martin","non-dropping-particle":"","parse-names":false,"suffix":""},{"dropping-particle":"","family":"Nieuwdorp","given":"Max","non-dropping-particle":"","parse-names":false,"suffix":""},{"dropping-particle":"","family":"Hartstra","given":"Annick","non-dropping-particle":"","parse-names":false,"suffix":""},{"dropping-particle":"","family":"Rampelli","given":"Simone","non-dropping-particle":"","parse-names":false,"suffix":""},{"dropping-particle":"","family":"Pagotto","given":"Uberto","non-dropping-particle":"","parse-names":false,"suffix":""},{"dropping-particle":"","family":"Iozzo","given":"Patricia","non-dropping-particle":"","parse-names":false,"suffix":""}],"container-title":"British Journal of Pharmacology","id":"ITEM-1","issued":{"date-parts":[["2021"]]},"title":"Short-chain fatty acids and bile acids in human faeces are associated with the intestinal cholesterol conversion status","type":"article-journal"},"uris":["http://www.mendeley.com/documents/?uuid=e0da16d0-c396-42aa-a910-b718177099c1","http://www.mendeley.com/documents/?uuid=1ee97fd4-eda6-4d0a-ad9d-a2d22d56c4e6"]},{"id":"ITEM-2","itemData":{"DOI":"10.1002/lom3.10470","ISSN":"15415856","abstract":"Anthropogenic imprints have become a fundamental part of most ecosystems. Our chemical footprint is often detected using targeted approaches, whereas xenobiotics are embedded within the large pool of dissolved metabolites, altered by biotic and abiotic mechanisms. Thus, it is necessary to simultaneously study anthropogenic signals entwined with the variety of organic signatures that exist in aquatic environments. However, methods for non-targeted analysis of natural metabolites are not always well suited for the analysis of pollutants. Here, we report the reassessment of styrene-divinylbenzene polymer-based Priority PolLutant (PPL) solid-phase extraction (PPL-SPE), which is typically used to extract marine dissolved organic matter (DOM) for biogeochemical studies, to analyze a set of xenobiotics commonly observed in coastal North Pacific seawater. After PPL extraction and analysis by nontargeted liquid chromatography tandem mass spectrometry (LC–MS/MS), we successfully detected 23 out of 25 selected pharmaceuticals, personal care products, biocides, perfluorocarbons, and polymer additives in a complex marine DOM sample using positive and negative electrospray ionization. We tested two pH conditions to mimic typical marine DOM extraction studies and found mean recovery rates of xenobiotics were approximately 10% higher in seawater pH (pH ~ 8) than in acidified samples (pH ~ 2) for both negative and positive modes, although overall, mean recovery rates were 10% lower in negative mode. Our results indicate that PPL-SPE in combination with non-targeted LC–MS/MS is capable of capturing the tested set of xenobiotics, thus allowing the repurposing of biogeochemical sampling strategies as well as existing DOM samples and MS data for the subsequent assessment of anthropogenic impacts in marine environments.","author":[{"dropping-particle":"","family":"Cancelada","given":"Lucia","non-dropping-particle":"","parse-names":false,"suffix":""},{"dropping-particle":"","family":"Torres","given":"Ralph R.","non-dropping-particle":"","parse-names":false,"suffix":""},{"dropping-particle":"","family":"Garrafa Luna","given":"James","non-dropping-particle":"","parse-names":false,"suffix":""},{"dropping-particle":"","family":"Dorrestein","given":"Pieter C.","non-dropping-particle":"","parse-names":false,"suffix":""},{"dropping-particle":"","family":"Aluwihare","given":"Lihini I.","non-dropping-particle":"","parse-names":false,"suffix":""},{"dropping-particle":"","family":"Prather","given":"Kimberly A.","non-dropping-particle":"","parse-names":false,"suffix":""},{"dropping-particle":"","family":"Petras","given":"Daniel","non-dropping-particle":"","parse-names":false,"suffix":""}],"container-title":"Limnology and Oceanography: Methods","id":"ITEM-2","issued":{"date-parts":[["2022"]]},"title":"Assessment of styrene-divinylbenzene polymer (PPL) solid-phase extraction and non-targeted tandem mass spectrometry for the analysis of xenobiotics in seawater","type":"article-journal"},"uris":["http://www.mendeley.com/documents/?uuid=524c09f7-4306-4c63-9d75-5beaa10a83f1","http://www.mendeley.com/documents/?uuid=cc10324f-bff0-4bd8-b0d1-4237db502333"]},{"id":"ITEM-3","itemData":{"DOI":"10.1016/j.scitotenv.2019.07.249","ISSN":"18791026","PMID":"31362232","abstract":"Mass-spectrometry based metabolomics has recently emerged as a valuable technique in understanding the ecotoxicity and mode of action of a wide range of xenobiotics in the environment, including engineered nanomaterials (ENMs). However, the applications of metabolomics in elucidating the biochemical pathways affected by xenobiotics have been mostly performed using targeted analysis. In this study, the effects of copper oxide nanoparticles (CuO NPs) on Arabidopsis thaliana, a model plant, was investigated using untargeted metabolite profiling based on two platforms of high-resolution mass spectrometry (MS): (1) liquid chromatography quadrupole time-of-flight mass spectrometry (LC-QToF-MS) and (2) LC Q Exactive™ Hybrid Quadrupole-Orbitrap™-MS (LC-Orbitrap-MS). This approach was performed to identify specific features (mass-to-charge ratios, m/z's) that are significantly changed in a reproducible manner regardless of the MS platform used in metabolomics. In addition, the total copper concentrations taken up in plant tissues were quantified using inductively coupled plasma mass spectrometry (ICP-MS), which provided evidence of translocation of CuO NPs from roots to leaves and flowering shoots. Results from untargeted metabolomics showed that there were 65 plant metabolites that were altered commonly in both LC/MS platforms resulting from CuO NPs exposure of Arabidopsis thaliana. These metabolites belong to the jasmonic acid and glucosinolates pathways, suggesting the stress response induced by CuO NPs in Arabidopsis. This study demonstrated the effectiveness of high-resolution LC/MS in providing insight on the mechanism of nanotoxicity of CuO NPs in plants.","author":[{"dropping-particle":"","family":"Chavez Soria","given":"Nita G.","non-dropping-particle":"","parse-names":false,"suffix":""},{"dropping-particle":"","family":"Bisson","given":"Mary A.","non-dropping-particle":"","parse-names":false,"suffix":""},{"dropping-particle":"","family":"Atilla-Gokcumen","given":"G. Ekin","non-dropping-particle":"","parse-names":false,"suffix":""},{"dropping-particle":"","family":"Aga","given":"Diana S.","non-dropping-particle":"","parse-names":false,"suffix":""}],"container-title":"Science of the Total Environment","id":"ITEM-3","issued":{"date-parts":[["2019"]]},"title":"High-resolution mass spectrometry-based metabolomics reveal the disruption of jasmonic pathway in Arabidopsis thaliana upon copper oxide nanoparticle exposure","type":"article-journal"},"uris":["http://www.mendeley.com/documents/?uuid=1aac0601-8db6-48ea-9ec4-3ac5a8f8cdc1","http://www.mendeley.com/documents/?uuid=8ec54112-d458-4471-b58a-257e7a8b4217"]},{"id":"ITEM-4","itemData":{"DOI":"10.1002/cbdv.201800133","ISSN":"16121880","PMID":"29851264","abstract":"Secondary metabolites from the cultures of the dark septate fungal endophyte (DSE) Drechslera sp., isolated from the roots of rye grass (Lollium sp.) and cultured under different experimental conditions, are described here for the first time. The use of suberoylanilidehydroxamic acid (SAHA) and other histone deacetylase inhibitors as epigenetic modifiers in the culture medium was evaluated by LC/MS and LC/MS/MS. Several differences in the metabolite production were detected by means of supervised principal component analysis (PCA) of LC/MS data. The presence of the compounds in the culture medium or in the mycelium was compared. In order to confirm their structure, many of these natural products were isolated from a larger scale culture. These metabolites were characterized as prenylhydroxybenzoic acids and chromans, two compounds, one of each class were previously undescribed, prenylquinoids, diketopiperazines and macrosphelides. Some of the compounds, which were released to the medium, showed good antifungal activity, suggesting that these compounds could protect Lollium from fungal phytopatogens. The use of SAHA as an additive of the cultures also induced the release of hexosylphytosphyngosine to the culture medium. The biotransformation of the inhibitors was observed in addition to the production of antifungal metabolites, showing the ability of this endophytic strain to control xenobiotics.","author":[{"dropping-particle":"","family":"Siless","given":"Gastón E.","non-dropping-particle":"","parse-names":false,"suffix":""},{"dropping-particle":"","family":"Gallardo","given":"Gabriela L.","non-dropping-particle":"","parse-names":false,"suffix":""},{"dropping-particle":"","family":"Rodriguez","given":"María Alejandra","non-dropping-particle":"","parse-names":false,"suffix":""},{"dropping-particle":"","family":"Rincón","given":"Yuliet A.","non-dropping-particle":"","parse-names":false,"suffix":""},{"dropping-particle":"","family":"Godeas","given":"Alicia M.","non-dropping-particle":"","parse-names":false,"suffix":""},{"dropping-particle":"","family":"Cabrera","given":"Gabriela M.","non-dropping-particle":"","parse-names":false,"suffix":""}],"container-title":"Chemistry and Biodiversity","id":"ITEM-4","issued":{"date-parts":[["2018"]]},"title":"Metabolites from the Dark Septate Endophyte Drechslera sp. Evaluation by LC/MS and Principal Component Analysis of Culture Extracts with Histone Deacetylase Inhibitors","type":"article-journal"},"uris":["http://www.mendeley.com/documents/?uuid=3a4cb170-7c92-4df4-8c33-a5aaff464422","http://www.mendeley.com/documents/?uuid=baf12fc8-18c6-42cc-b01d-1c7ed71a59bf"]}],"mendeley":{"formattedCitation":"(Cancelada et al., 2022; Chavez Soria et al., 2019; Matysik et al., 2021; Siless et al., 2018)","plainTextFormattedCitation":"(Cancelada et al., 2022; Chavez Soria et al., 2019; Matysik et al., 2021; Siless et al., 2018)","previouslyFormattedCitation":"(Cancelada et al., 2022; Chavez Soria et al., 2019; Matysik et al., 2021; Siless et al., 2018)"},"properties":{"noteIndex":0},"schema":"https://github.com/citation-style-language/schema/raw/master/csl-citation.json"}</w:instrText>
      </w:r>
      <w:r w:rsidR="00704E5E">
        <w:rPr>
          <w:rFonts w:ascii="Times New Roman" w:hAnsi="Times New Roman" w:cs="Times New Roman"/>
          <w:sz w:val="24"/>
          <w:szCs w:val="24"/>
        </w:rPr>
        <w:fldChar w:fldCharType="separate"/>
      </w:r>
      <w:r w:rsidR="00704E5E" w:rsidRPr="00704E5E">
        <w:rPr>
          <w:rFonts w:ascii="Times New Roman" w:hAnsi="Times New Roman" w:cs="Times New Roman"/>
          <w:noProof/>
          <w:sz w:val="24"/>
          <w:szCs w:val="24"/>
        </w:rPr>
        <w:t>(Cancelada et al., 2022; Chavez Soria et al., 2019; Matysik et al., 2021; Siless et al., 2018)</w:t>
      </w:r>
      <w:r w:rsidR="00704E5E">
        <w:rPr>
          <w:rFonts w:ascii="Times New Roman" w:hAnsi="Times New Roman" w:cs="Times New Roman"/>
          <w:sz w:val="24"/>
          <w:szCs w:val="24"/>
        </w:rPr>
        <w:fldChar w:fldCharType="end"/>
      </w:r>
      <w:r w:rsidRPr="00067946">
        <w:rPr>
          <w:rFonts w:ascii="Times New Roman" w:hAnsi="Times New Roman" w:cs="Times New Roman"/>
          <w:sz w:val="24"/>
          <w:szCs w:val="24"/>
        </w:rPr>
        <w:t>.</w:t>
      </w:r>
    </w:p>
    <w:p w14:paraId="13A5AA3C" w14:textId="4EC68191" w:rsidR="00067946" w:rsidRPr="00067946" w:rsidRDefault="00067946" w:rsidP="009047E0">
      <w:pPr>
        <w:pStyle w:val="Heading2"/>
        <w:numPr>
          <w:ilvl w:val="1"/>
          <w:numId w:val="1"/>
        </w:numPr>
      </w:pPr>
      <w:r w:rsidRPr="00067946">
        <w:t>Biomarkers of Disease</w:t>
      </w:r>
    </w:p>
    <w:p w14:paraId="3F8D6B2A" w14:textId="22431B26" w:rsidR="00067946" w:rsidRPr="00067946" w:rsidRDefault="00067946" w:rsidP="00067946">
      <w:pPr>
        <w:jc w:val="both"/>
        <w:rPr>
          <w:rFonts w:ascii="Times New Roman" w:hAnsi="Times New Roman" w:cs="Times New Roman"/>
          <w:sz w:val="24"/>
          <w:szCs w:val="24"/>
        </w:rPr>
      </w:pPr>
      <w:r w:rsidRPr="00067946">
        <w:rPr>
          <w:rFonts w:ascii="Times New Roman" w:hAnsi="Times New Roman" w:cs="Times New Roman"/>
          <w:sz w:val="24"/>
          <w:szCs w:val="24"/>
        </w:rPr>
        <w:t>LC-MS has significantly contributed to the discovery and validation of biomarkers associated with specific diseases or pathological conditions. By analyzing complex biological samples, such as blood, urine, or tissue extracts, LC-MS allows for the identification of disease-specific biomolecules, including proteins, metabolites, and lipids. These biomarkers can serve as diagnostic, prognostic, or predictive indicators, aiding in early disease detection, disease monitoring, and treatment response assessments. LC-MS-based biomarker discovery has promising applications in cancer research, cardiovascular diseases, neurodegenerative disorders, and other clinical fields</w:t>
      </w:r>
      <w:r w:rsidR="00704E5E">
        <w:rPr>
          <w:rFonts w:ascii="Times New Roman" w:hAnsi="Times New Roman" w:cs="Times New Roman"/>
          <w:sz w:val="24"/>
          <w:szCs w:val="24"/>
        </w:rPr>
        <w:t xml:space="preserve"> </w:t>
      </w:r>
      <w:r w:rsidR="003C2C0D">
        <w:rPr>
          <w:rFonts w:ascii="Times New Roman" w:hAnsi="Times New Roman" w:cs="Times New Roman"/>
          <w:sz w:val="24"/>
          <w:szCs w:val="24"/>
        </w:rPr>
        <w:fldChar w:fldCharType="begin" w:fldLock="1"/>
      </w:r>
      <w:r w:rsidR="003C2C0D">
        <w:rPr>
          <w:rFonts w:ascii="Times New Roman" w:hAnsi="Times New Roman" w:cs="Times New Roman"/>
          <w:sz w:val="24"/>
          <w:szCs w:val="24"/>
        </w:rPr>
        <w:instrText>ADDIN CSL_CITATION {"citationItems":[{"id":"ITEM-1","itemData":{"DOI":"10.1186/s12014-019-9237-1","ISSN":"15590275","abstract":"Background: Blood-based protein measurement is a routine practice for detecting biomarkers in human disease. Comprehensive profiling of blood/plasma/serum proteome is a challenge due to an extremely large dynamic range, as exemplified by a small subset of highly abundant proteins. Antibody-based depletion of these abundant proteins alleviates the problem but introduces experimental variations. We aimed to establish a method for direct profiling of undepleted human serum and apply the method toward biomarker discovery for Alzheimer's disease (AD), as AD is the most common form of dementia without available blood-based biomarkers in clinic. Methods: We present an ultra-deep analysis of undepleted human serum proteome by combining the latest 11-plex tandem-mass-tag (TMT) labeling, exhaustive two-dimensional liquid chromatography (LC/LC) fractionation (the 1st LC: 3 h for 180 fractions, and the 2nd LC: 3 h gradient per fraction), coupled with high resolution tandem mass spectrometry (MS/MS). AD (n = 6) and control (n = 5) sera were analyzed in this pilot study. In addition, we implemented a multiplexed targeted LC-MS3 method (TOMAHAQ) for the validation of selected target proteins. Results: The TMT-LC/LC-MS/MS platform is capable of analyzing 4826 protein components (4368 genes), covering at least 6 orders of magnitude in dynamic range, representing one of the deepest serum proteome analysis. We defined intra- and inter- group variability in the AD and control groups. Statistical analysis revealed differentially expressed proteins in AD (26 decreased and 4 increased). Notably, these altered proteins are enriched in the known pathways of mitochondria, fatty acid beta oxidation, and AGE/RAGE. Finally, we set up a TOMAHAQ method to confirm the decrease of PCK2 and AK2 in our AD samples. Conclusions: Our results show an ultra-deep serum discovery study by TMT-LC/LC-MS/MS, and a validation experiment by TOMAHAQ targeted LC-MS3. The MS-based discovery and validation methods are of general use for biomarker discovery from complex biofluids (e.g. serum proteome). This pilot study also identified deregulated proteins, in particular proteins associated with mitochondrial function in the AD serum samples. These proteins may serve as novel AD candidate biomarkers.","author":[{"dropping-particle":"","family":"Dey","given":"Kaushik Kumar","non-dropping-particle":"","parse-names":false,"suffix":""},{"dropping-particle":"","family":"Wang","given":"Hong","non-dropping-particle":"","parse-names":false,"suffix":""},{"dropping-particle":"","family":"Niu","given":"Mingming","non-dropping-particle":"","parse-names":false,"suffix":""},{"dropping-particle":"","family":"Bai","given":"Bing","non-dropping-particle":"","parse-names":false,"suffix":""},{"dropping-particle":"","family":"Wang","given":"Xusheng","non-dropping-particle":"","parse-names":false,"suffix":""},{"dropping-particle":"","family":"Li","given":"Yuxin","non-dropping-particle":"","parse-names":false,"suffix":""},{"dropping-particle":"","family":"Cho","given":"Ji Hoon","non-dropping-particle":"","parse-names":false,"suffix":""},{"dropping-particle":"","family":"Tan","given":"Haiyan","non-dropping-particle":"","parse-names":false,"suffix":""},{"dropping-particle":"","family":"Mishra","given":"Ashutosh","non-dropping-particle":"","parse-names":false,"suffix":""},{"dropping-particle":"","family":"High","given":"Anthony A.","non-dropping-particle":"","parse-names":false,"suffix":""},{"dropping-particle":"","family":"Chen","given":"Ping Chung","non-dropping-particle":"","parse-names":false,"suffix":""},{"dropping-particle":"","family":"Wu","given":"Zhiping","non-dropping-particle":"","parse-names":false,"suffix":""},{"dropping-particle":"","family":"Beach","given":"Thomas G.","non-dropping-particle":"","parse-names":false,"suffix":""},{"dropping-particle":"","family":"Peng","given":"Junmin","non-dropping-particle":"","parse-names":false,"suffix":""}],"container-title":"Clinical Proteomics","id":"ITEM-1","issued":{"date-parts":[["2019"]]},"title":"Deep undepleted human serum proteome profiling toward biomarker discovery for Alzheimer's disease","type":"article-journal"},"uris":["http://www.mendeley.com/documents/?uuid=af286757-ffb0-476e-ad31-ab00984b0818","http://www.mendeley.com/documents/?uuid=3d5b25d5-a042-4651-9010-8d5d64a67ce9"]},{"id":"ITEM-2","itemData":{"DOI":"10.1002/mas.21691","ISSN":"10982787","PMID":"33759206","abstract":"The lacrimal film has attracted increasing interest in the last decades as a potential source of biomarkers of physiopathological states, due to its accessibility, moderate complexity, and responsiveness to ocular and systemic diseases. High-performance liquid chromatography-mass spectrometry (LC-MS) has led to effective approaches to tear proteomics, despite the intrinsic limitations in sample amounts. This review focuses on the recent progress in strategy and technology, with an emphasis on the potential for personalized medicine. After an introduction on lacrimal-film composition, examples of applications to biomarker discovery are discussed, comparing approaches based on pooled-sample and single-tear analysis. Then, the most critical steps of the experimental pipeline, that is, tear collection, sample fractionation, and LC-MS implementation, are discussed with reference to proteome-coverage optimization. Advantages and challenges of the alternative procedures are highlighted. Despite the still limited number of studies, tear quantitative proteomics, including single-tear investigation, could offer unique contributions to the identification of low-invasiveness, sustained-accessibility biomarkers, and to the development of personalized approaches to therapy and diagnosis.","author":[{"dropping-particle":"","family":"Ponzini","given":"Erika","non-dropping-particle":"","parse-names":false,"suffix":""},{"dropping-particle":"","family":"Santambrogio","given":"Carlo","non-dropping-particle":"","parse-names":false,"suffix":""},{"dropping-particle":"","family":"Palma","given":"Antonella","non-dropping-particle":"De","parse-names":false,"suffix":""},{"dropping-particle":"","family":"Mauri","given":"Pierluigi","non-dropping-particle":"","parse-names":false,"suffix":""},{"dropping-particle":"","family":"Tavazzi","given":"Silvia","non-dropping-particle":"","parse-names":false,"suffix":""},{"dropping-particle":"","family":"Grandori","given":"Rita","non-dropping-particle":"","parse-names":false,"suffix":""}],"container-title":"Mass Spectrometry Reviews","id":"ITEM-2","issued":{"date-parts":[["2022"]]},"title":"Mass spectrometry-based tear proteomics for noninvasive biomarker discovery","type":"article"},"uris":["http://www.mendeley.com/documents/?uuid=19698a67-c142-41c3-943b-a2a165aeb2e3","http://www.mendeley.com/documents/?uuid=5d4c6cf0-bf26-4b94-84c2-ea11c8bf1620"]},{"id":"ITEM-3","itemData":{"DOI":"10.5702/massspectrometry.A0111","ISSN":"21865116","abstract":"Niemann–Pick disease type C (NPC) is an autosomal recessive disorder that is characterized by progres-sive neuronal degeneration. Patients with NPC have a wide age of onset and various clinical symptoms. Therefore, the discovery and diagnosis of NPC are very difficult. Conventional laboratory tests are com-plicated and time consuming. In this context, biomarker searches have recently been performed. Our research group has previously also investigated NPC biomarkers based on liquid chromatography/tandem mass spectrometry (LC/MS/MS) and related techniques. To identify biomarker candidates, nontargeted analysis with high-resolution MS and MS/MS scanning is commonly used. Structural speculation has been performed using LC/MS/MS fragmentation and chemical derivatization, while identification is performed by matching authentic standards and sample specimens. Diagnostic performance evaluation was performed using the validated LC/MS/MS method and analysis of samples from patients and control subjects. NPC biomarkers, which have been identified and evaluated in terms of performance, are various classes of lipid molecules. Oxysterols, cholenoic acids, and conjugates are cholesterol-derived molecules detected in the blood or urine. Plasma lyso-sphingolipids are biomarkers for both NPC and other lysosomal diseases. N-palmitoyl-O-phosphocholine-serine is a novel class of lipid biomarkers for NPC. This article reviews biomarkers for NPC and the analysis methods employed to that end.","author":[{"dropping-particle":"","family":"Maekawa","given":"Masamitsu","non-dropping-particle":"","parse-names":false,"suffix":""},{"dropping-particle":"","family":"Mano","given":"Nariyasu","non-dropping-particle":"","parse-names":false,"suffix":""}],"container-title":"Mass Spectrometry","id":"ITEM-3","issued":{"date-parts":[["2022"]]},"title":"Searching, Structural Determination, and Diagnostic Performance Evaluation of Biomarker Molecules for Niemann–Pick Disease Type C Using Liquid Chromatography/Tandem Mass Spectrometry","type":"article"},"uris":["http://www.mendeley.com/documents/?uuid=83905076-6413-4c6a-89cd-064233d85fff","http://www.mendeley.com/documents/?uuid=479c869c-84bb-4ed4-94b4-9fac49b9a650"]},{"id":"ITEM-4","itemData":{"DOI":"10.1016/j.redox.2021.101872","ISSN":"22132317","PMID":"33579665","abstract":"Oxidatively generated damage to DNA has been implicated in the pathogenesis of a wide variety of diseases. Increasingly, interest is also focusing upon the effects of damage to the other nucleic acids, RNA and the (2′-deoxy-)ribonucleotide pools, and evidence is growing that these too may have an important role in disease. LC-MS/MS has the ability to provide absolute quantification of specific biomarkers, such as 8-oxo-7,8-dihydro-2′-deoxyGuo (8-oxodG), in both nuclear and mitochondrial DNA, and 8-oxoGuo in RNA. However, significant quantities of tissue are needed, limiting its use in human biomonitoring studies. In contrast, the comet assay requires much less material, and as little as 5 μL of blood may be used, offering a minimally invasive means of assessing oxidative stress in vivo, but this is restricted to nuclear DNA damage only. Urine is an ideal matrix in which to non-invasively study nucleic acid-derived biomarkers of oxidative stress, and considerable progress has been made towards robustly validating these measurements, not least through the efforts of the European Standards Committee on Urinary (DNA) Lesion Analysis. For urine, LC-MS/MS is considered the gold standard approach, and although there have been improvements to the ELISA methodology, this is largely limited to 8-oxodG. Emerging DNA adductomics approaches, which either comprehensively assess the totality of adducts in DNA, or map DNA damage across the nuclear and mitochondrial genomes, offer the potential to considerably advance our understanding of the mechanistic role of oxidatively damaged nucleic acids in disease.","author":[{"dropping-particle":"","family":"Chao","given":"Mu Rong","non-dropping-particle":"","parse-names":false,"suffix":""},{"dropping-particle":"","family":"Evans","given":"Mark D.","non-dropping-particle":"","parse-names":false,"suffix":""},{"dropping-particle":"","family":"Hu","given":"Chiung Wen","non-dropping-particle":"","parse-names":false,"suffix":""},{"dropping-particle":"","family":"Ji","given":"Yunhee","non-dropping-particle":"","parse-names":false,"suffix":""},{"dropping-particle":"","family":"Møller","given":"Peter","non-dropping-particle":"","parse-names":false,"suffix":""},{"dropping-particle":"","family":"Rossner","given":"Pavel","non-dropping-particle":"","parse-names":false,"suffix":""},{"dropping-particle":"","family":"Cooke","given":"Marcus S.","non-dropping-particle":"","parse-names":false,"suffix":""}],"container-title":"Redox Biology","id":"ITEM-4","issued":{"date-parts":[["2021"]]},"title":"Biomarkers of nucleic acid oxidation – A summary state-of-the-art","type":"article-journal"},"uris":["http://www.mendeley.com/documents/?uuid=198cf25d-ac73-45bc-9185-ee4bcb8d808e","http://www.mendeley.com/documents/?uuid=11ce1cf8-b2bf-49ec-8f54-386e9535a07f"]}],"mendeley":{"formattedCitation":"(Chao et al., 2021; Dey et al., 2019; Maekawa and Mano, 2022; Ponzini et al., 2022)","plainTextFormattedCitation":"(Chao et al., 2021; Dey et al., 2019; Maekawa and Mano, 2022; Ponzini et al., 2022)","previouslyFormattedCitation":"(Chao et al., 2021; Dey et al., 2019; Maekawa and Mano, 2022; Ponzini et al., 2022)"},"properties":{"noteIndex":0},"schema":"https://github.com/citation-style-language/schema/raw/master/csl-citation.json"}</w:instrText>
      </w:r>
      <w:r w:rsidR="003C2C0D">
        <w:rPr>
          <w:rFonts w:ascii="Times New Roman" w:hAnsi="Times New Roman" w:cs="Times New Roman"/>
          <w:sz w:val="24"/>
          <w:szCs w:val="24"/>
        </w:rPr>
        <w:fldChar w:fldCharType="separate"/>
      </w:r>
      <w:r w:rsidR="003C2C0D" w:rsidRPr="003C2C0D">
        <w:rPr>
          <w:rFonts w:ascii="Times New Roman" w:hAnsi="Times New Roman" w:cs="Times New Roman"/>
          <w:noProof/>
          <w:sz w:val="24"/>
          <w:szCs w:val="24"/>
        </w:rPr>
        <w:t>(Chao et al., 2021; Dey et al., 2019; Maekawa and Mano, 2022; Ponzini et al., 2022)</w:t>
      </w:r>
      <w:r w:rsidR="003C2C0D">
        <w:rPr>
          <w:rFonts w:ascii="Times New Roman" w:hAnsi="Times New Roman" w:cs="Times New Roman"/>
          <w:sz w:val="24"/>
          <w:szCs w:val="24"/>
        </w:rPr>
        <w:fldChar w:fldCharType="end"/>
      </w:r>
      <w:r w:rsidRPr="00067946">
        <w:rPr>
          <w:rFonts w:ascii="Times New Roman" w:hAnsi="Times New Roman" w:cs="Times New Roman"/>
          <w:sz w:val="24"/>
          <w:szCs w:val="24"/>
        </w:rPr>
        <w:t>.</w:t>
      </w:r>
    </w:p>
    <w:p w14:paraId="2F551089" w14:textId="4CFF2E9E" w:rsidR="00067946" w:rsidRPr="00067946" w:rsidRDefault="00067946" w:rsidP="009047E0">
      <w:pPr>
        <w:pStyle w:val="Heading2"/>
        <w:numPr>
          <w:ilvl w:val="1"/>
          <w:numId w:val="1"/>
        </w:numPr>
      </w:pPr>
      <w:r w:rsidRPr="00067946">
        <w:t>Natural Products</w:t>
      </w:r>
    </w:p>
    <w:p w14:paraId="50EAE35A" w14:textId="38783310" w:rsidR="00067946" w:rsidRPr="00067946" w:rsidRDefault="00067946" w:rsidP="00067946">
      <w:pPr>
        <w:jc w:val="both"/>
        <w:rPr>
          <w:rFonts w:ascii="Times New Roman" w:hAnsi="Times New Roman" w:cs="Times New Roman"/>
          <w:sz w:val="24"/>
          <w:szCs w:val="24"/>
        </w:rPr>
      </w:pPr>
      <w:r w:rsidRPr="00067946">
        <w:rPr>
          <w:rFonts w:ascii="Times New Roman" w:hAnsi="Times New Roman" w:cs="Times New Roman"/>
          <w:sz w:val="24"/>
          <w:szCs w:val="24"/>
        </w:rPr>
        <w:t>Natural products are biologically active compounds derived from plants, animals, fungi, and microorganisms. They have served as a rich source of pharmacologically active molecules for drug discovery and development. LC-MS plays a crucial role in the analysis of natural products, enabling researchers to identify and characterize bioactive compounds with potential therapeutic applications. By profiling natural product extracts using LC-MS, researchers can pinpoint the presence of specific compounds and assess their potential as lead candidates for drug development.</w:t>
      </w:r>
    </w:p>
    <w:p w14:paraId="2A0CC622" w14:textId="253F8769" w:rsidR="00726C2E" w:rsidRDefault="00067946" w:rsidP="00067946">
      <w:pPr>
        <w:jc w:val="both"/>
        <w:rPr>
          <w:rFonts w:ascii="Times New Roman" w:hAnsi="Times New Roman" w:cs="Times New Roman"/>
          <w:sz w:val="24"/>
          <w:szCs w:val="24"/>
        </w:rPr>
      </w:pPr>
      <w:r w:rsidRPr="00067946">
        <w:rPr>
          <w:rFonts w:ascii="Times New Roman" w:hAnsi="Times New Roman" w:cs="Times New Roman"/>
          <w:sz w:val="24"/>
          <w:szCs w:val="24"/>
        </w:rPr>
        <w:t xml:space="preserve">In conclusion, liquid chromatography-mass spectrometry (LC-MS) is a versatile and indispensable analytical technique for biomarker analysis. From proteins and peptides to metabolites, lipids, and modified nucleotides, LC-MS allows researchers to delve into the molecular complexity of biological systems and identify potential biomarkers associated with various physiological and disease states. The development of high-resolution mass spectrometers, advanced </w:t>
      </w:r>
      <w:r w:rsidRPr="00067946">
        <w:rPr>
          <w:rFonts w:ascii="Times New Roman" w:hAnsi="Times New Roman" w:cs="Times New Roman"/>
          <w:sz w:val="24"/>
          <w:szCs w:val="24"/>
        </w:rPr>
        <w:lastRenderedPageBreak/>
        <w:t>chromatographic techniques, and sophisticated data analysis tools has further expanded the capabilities of LC-M</w:t>
      </w:r>
      <w:r w:rsidR="00D30BA0">
        <w:rPr>
          <w:rFonts w:ascii="Times New Roman" w:hAnsi="Times New Roman" w:cs="Times New Roman"/>
          <w:sz w:val="24"/>
          <w:szCs w:val="24"/>
        </w:rPr>
        <w:t>s</w:t>
      </w:r>
      <w:r w:rsidRPr="00067946">
        <w:rPr>
          <w:rFonts w:ascii="Times New Roman" w:hAnsi="Times New Roman" w:cs="Times New Roman"/>
          <w:sz w:val="24"/>
          <w:szCs w:val="24"/>
        </w:rPr>
        <w:t>S, making it a cornerstone technology in biomedical research, clinical diagnostics, and drug development. As technology continues to evolve, LC-MS will undoubtedly play an even more prominent role in biomarker discovery, contributing to advances in personalized medicine, disease diagnostics, and therapeutic interventions.</w:t>
      </w:r>
    </w:p>
    <w:p w14:paraId="2F7D2178" w14:textId="74AC32AB" w:rsidR="00740F9B" w:rsidRPr="009047E0" w:rsidRDefault="009047E0" w:rsidP="00740F9B">
      <w:pPr>
        <w:pStyle w:val="Caption"/>
        <w:keepNext/>
        <w:rPr>
          <w:rFonts w:ascii="Times New Roman" w:hAnsi="Times New Roman" w:cs="Times New Roman"/>
          <w:i w:val="0"/>
          <w:iCs w:val="0"/>
          <w:color w:val="000000" w:themeColor="text1"/>
          <w:sz w:val="24"/>
          <w:szCs w:val="24"/>
        </w:rPr>
      </w:pPr>
      <w:r>
        <w:rPr>
          <w:rFonts w:ascii="Times New Roman" w:hAnsi="Times New Roman" w:cs="Times New Roman"/>
          <w:b/>
          <w:bCs/>
          <w:i w:val="0"/>
          <w:iCs w:val="0"/>
          <w:color w:val="000000" w:themeColor="text1"/>
          <w:sz w:val="24"/>
          <w:szCs w:val="24"/>
        </w:rPr>
        <w:br w:type="column"/>
      </w:r>
      <w:r w:rsidR="00740F9B" w:rsidRPr="009047E0">
        <w:rPr>
          <w:rFonts w:ascii="Times New Roman" w:hAnsi="Times New Roman" w:cs="Times New Roman"/>
          <w:b/>
          <w:bCs/>
          <w:i w:val="0"/>
          <w:iCs w:val="0"/>
          <w:color w:val="000000" w:themeColor="text1"/>
          <w:sz w:val="24"/>
          <w:szCs w:val="24"/>
        </w:rPr>
        <w:lastRenderedPageBreak/>
        <w:t xml:space="preserve">Table </w:t>
      </w:r>
      <w:r w:rsidR="00740F9B" w:rsidRPr="009047E0">
        <w:rPr>
          <w:rFonts w:ascii="Times New Roman" w:hAnsi="Times New Roman" w:cs="Times New Roman"/>
          <w:b/>
          <w:bCs/>
          <w:i w:val="0"/>
          <w:iCs w:val="0"/>
          <w:color w:val="000000" w:themeColor="text1"/>
          <w:sz w:val="24"/>
          <w:szCs w:val="24"/>
        </w:rPr>
        <w:fldChar w:fldCharType="begin"/>
      </w:r>
      <w:r w:rsidR="00740F9B" w:rsidRPr="009047E0">
        <w:rPr>
          <w:rFonts w:ascii="Times New Roman" w:hAnsi="Times New Roman" w:cs="Times New Roman"/>
          <w:b/>
          <w:bCs/>
          <w:i w:val="0"/>
          <w:iCs w:val="0"/>
          <w:color w:val="000000" w:themeColor="text1"/>
          <w:sz w:val="24"/>
          <w:szCs w:val="24"/>
        </w:rPr>
        <w:instrText xml:space="preserve"> SEQ Table \* ARABIC </w:instrText>
      </w:r>
      <w:r w:rsidR="00740F9B" w:rsidRPr="009047E0">
        <w:rPr>
          <w:rFonts w:ascii="Times New Roman" w:hAnsi="Times New Roman" w:cs="Times New Roman"/>
          <w:b/>
          <w:bCs/>
          <w:i w:val="0"/>
          <w:iCs w:val="0"/>
          <w:color w:val="000000" w:themeColor="text1"/>
          <w:sz w:val="24"/>
          <w:szCs w:val="24"/>
        </w:rPr>
        <w:fldChar w:fldCharType="separate"/>
      </w:r>
      <w:r w:rsidR="00740F9B" w:rsidRPr="009047E0">
        <w:rPr>
          <w:rFonts w:ascii="Times New Roman" w:hAnsi="Times New Roman" w:cs="Times New Roman"/>
          <w:b/>
          <w:bCs/>
          <w:i w:val="0"/>
          <w:iCs w:val="0"/>
          <w:noProof/>
          <w:color w:val="000000" w:themeColor="text1"/>
          <w:sz w:val="24"/>
          <w:szCs w:val="24"/>
        </w:rPr>
        <w:t>1</w:t>
      </w:r>
      <w:r w:rsidR="00740F9B" w:rsidRPr="009047E0">
        <w:rPr>
          <w:rFonts w:ascii="Times New Roman" w:hAnsi="Times New Roman" w:cs="Times New Roman"/>
          <w:b/>
          <w:bCs/>
          <w:i w:val="0"/>
          <w:iCs w:val="0"/>
          <w:color w:val="000000" w:themeColor="text1"/>
          <w:sz w:val="24"/>
          <w:szCs w:val="24"/>
        </w:rPr>
        <w:fldChar w:fldCharType="end"/>
      </w:r>
      <w:r w:rsidR="00740F9B" w:rsidRPr="009047E0">
        <w:rPr>
          <w:rFonts w:ascii="Times New Roman" w:hAnsi="Times New Roman" w:cs="Times New Roman"/>
          <w:b/>
          <w:bCs/>
          <w:i w:val="0"/>
          <w:iCs w:val="0"/>
          <w:color w:val="000000" w:themeColor="text1"/>
          <w:sz w:val="24"/>
          <w:szCs w:val="24"/>
        </w:rPr>
        <w:t>:</w:t>
      </w:r>
      <w:r w:rsidR="00740F9B" w:rsidRPr="009047E0">
        <w:rPr>
          <w:rFonts w:ascii="Times New Roman" w:hAnsi="Times New Roman" w:cs="Times New Roman"/>
          <w:i w:val="0"/>
          <w:iCs w:val="0"/>
          <w:color w:val="000000" w:themeColor="text1"/>
          <w:sz w:val="24"/>
          <w:szCs w:val="24"/>
        </w:rPr>
        <w:t xml:space="preserve"> The role of LC-MS in high-throughput screening of biomarkers along with suitable examples</w:t>
      </w:r>
    </w:p>
    <w:tbl>
      <w:tblPr>
        <w:tblStyle w:val="TableGrid"/>
        <w:tblW w:w="9795" w:type="dxa"/>
        <w:tblLook w:val="04A0" w:firstRow="1" w:lastRow="0" w:firstColumn="1" w:lastColumn="0" w:noHBand="0" w:noVBand="1"/>
      </w:tblPr>
      <w:tblGrid>
        <w:gridCol w:w="2287"/>
        <w:gridCol w:w="3570"/>
        <w:gridCol w:w="3938"/>
      </w:tblGrid>
      <w:tr w:rsidR="00740F9B" w:rsidRPr="00740F9B" w14:paraId="6CF1FBA2" w14:textId="77777777" w:rsidTr="00740F9B">
        <w:tc>
          <w:tcPr>
            <w:tcW w:w="0" w:type="auto"/>
            <w:hideMark/>
          </w:tcPr>
          <w:p w14:paraId="7E4FA639" w14:textId="77777777" w:rsidR="00740F9B" w:rsidRPr="00740F9B" w:rsidRDefault="00740F9B" w:rsidP="00740F9B">
            <w:pPr>
              <w:spacing w:after="0" w:line="240" w:lineRule="auto"/>
              <w:jc w:val="center"/>
              <w:rPr>
                <w:rFonts w:ascii="Times New Roman" w:eastAsia="Times New Roman" w:hAnsi="Times New Roman" w:cs="Times New Roman"/>
                <w:b/>
                <w:bCs/>
                <w:sz w:val="24"/>
                <w:szCs w:val="24"/>
                <w:lang w:bidi="hi-IN"/>
              </w:rPr>
            </w:pPr>
            <w:r w:rsidRPr="00740F9B">
              <w:rPr>
                <w:rFonts w:ascii="Times New Roman" w:eastAsia="Times New Roman" w:hAnsi="Times New Roman" w:cs="Times New Roman"/>
                <w:b/>
                <w:bCs/>
                <w:sz w:val="24"/>
                <w:szCs w:val="24"/>
                <w:lang w:bidi="hi-IN"/>
              </w:rPr>
              <w:t>Biomolecule Type</w:t>
            </w:r>
          </w:p>
        </w:tc>
        <w:tc>
          <w:tcPr>
            <w:tcW w:w="0" w:type="auto"/>
            <w:hideMark/>
          </w:tcPr>
          <w:p w14:paraId="50A8C7E6" w14:textId="77777777" w:rsidR="00740F9B" w:rsidRPr="00740F9B" w:rsidRDefault="00740F9B" w:rsidP="00740F9B">
            <w:pPr>
              <w:spacing w:after="0" w:line="240" w:lineRule="auto"/>
              <w:jc w:val="center"/>
              <w:rPr>
                <w:rFonts w:ascii="Times New Roman" w:eastAsia="Times New Roman" w:hAnsi="Times New Roman" w:cs="Times New Roman"/>
                <w:b/>
                <w:bCs/>
                <w:sz w:val="24"/>
                <w:szCs w:val="24"/>
                <w:lang w:bidi="hi-IN"/>
              </w:rPr>
            </w:pPr>
            <w:r w:rsidRPr="00740F9B">
              <w:rPr>
                <w:rFonts w:ascii="Times New Roman" w:eastAsia="Times New Roman" w:hAnsi="Times New Roman" w:cs="Times New Roman"/>
                <w:b/>
                <w:bCs/>
                <w:sz w:val="24"/>
                <w:szCs w:val="24"/>
                <w:lang w:bidi="hi-IN"/>
              </w:rPr>
              <w:t>Role of LC-MS in HTS of Biomarker Analysis</w:t>
            </w:r>
          </w:p>
        </w:tc>
        <w:tc>
          <w:tcPr>
            <w:tcW w:w="0" w:type="auto"/>
            <w:hideMark/>
          </w:tcPr>
          <w:p w14:paraId="7609B1AC" w14:textId="77777777" w:rsidR="00740F9B" w:rsidRPr="00740F9B" w:rsidRDefault="00740F9B" w:rsidP="00740F9B">
            <w:pPr>
              <w:spacing w:after="0" w:line="240" w:lineRule="auto"/>
              <w:jc w:val="center"/>
              <w:rPr>
                <w:rFonts w:ascii="Times New Roman" w:eastAsia="Times New Roman" w:hAnsi="Times New Roman" w:cs="Times New Roman"/>
                <w:b/>
                <w:bCs/>
                <w:sz w:val="24"/>
                <w:szCs w:val="24"/>
                <w:lang w:bidi="hi-IN"/>
              </w:rPr>
            </w:pPr>
            <w:r w:rsidRPr="00740F9B">
              <w:rPr>
                <w:rFonts w:ascii="Times New Roman" w:eastAsia="Times New Roman" w:hAnsi="Times New Roman" w:cs="Times New Roman"/>
                <w:b/>
                <w:bCs/>
                <w:sz w:val="24"/>
                <w:szCs w:val="24"/>
                <w:lang w:bidi="hi-IN"/>
              </w:rPr>
              <w:t>Examples</w:t>
            </w:r>
          </w:p>
        </w:tc>
      </w:tr>
      <w:tr w:rsidR="00A37364" w:rsidRPr="00740F9B" w14:paraId="6B132E62" w14:textId="77777777" w:rsidTr="00740F9B">
        <w:tc>
          <w:tcPr>
            <w:tcW w:w="0" w:type="auto"/>
            <w:vMerge w:val="restart"/>
            <w:hideMark/>
          </w:tcPr>
          <w:p w14:paraId="1A4F6247"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Proteins and Peptides</w:t>
            </w:r>
          </w:p>
        </w:tc>
        <w:tc>
          <w:tcPr>
            <w:tcW w:w="0" w:type="auto"/>
            <w:hideMark/>
          </w:tcPr>
          <w:p w14:paraId="7279EAF9"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Identifying and quantifying proteins and peptides in complex mixtures</w:t>
            </w:r>
          </w:p>
        </w:tc>
        <w:tc>
          <w:tcPr>
            <w:tcW w:w="0" w:type="auto"/>
            <w:hideMark/>
          </w:tcPr>
          <w:p w14:paraId="4A38409A"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Example: LC-MS is used to identify specific protein biomarkers in blood samples for early cancer detection.</w:t>
            </w:r>
          </w:p>
        </w:tc>
      </w:tr>
      <w:tr w:rsidR="00A37364" w:rsidRPr="00740F9B" w14:paraId="499C1D87" w14:textId="77777777" w:rsidTr="00740F9B">
        <w:tc>
          <w:tcPr>
            <w:tcW w:w="0" w:type="auto"/>
            <w:vMerge/>
            <w:hideMark/>
          </w:tcPr>
          <w:p w14:paraId="59E748A8"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p>
        </w:tc>
        <w:tc>
          <w:tcPr>
            <w:tcW w:w="0" w:type="auto"/>
            <w:hideMark/>
          </w:tcPr>
          <w:p w14:paraId="18DB33F8"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High-resolution analysis for protein isoforms and post-translational modifications</w:t>
            </w:r>
          </w:p>
        </w:tc>
        <w:tc>
          <w:tcPr>
            <w:tcW w:w="0" w:type="auto"/>
            <w:hideMark/>
          </w:tcPr>
          <w:p w14:paraId="2C6569E4"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Example: LC-MS/MS is utilized to study phosphorylation sites in proteins associated with Alzheimer's disease.</w:t>
            </w:r>
          </w:p>
        </w:tc>
      </w:tr>
      <w:tr w:rsidR="00A37364" w:rsidRPr="00740F9B" w14:paraId="6EADD686" w14:textId="77777777" w:rsidTr="00740F9B">
        <w:tc>
          <w:tcPr>
            <w:tcW w:w="0" w:type="auto"/>
            <w:vMerge/>
            <w:hideMark/>
          </w:tcPr>
          <w:p w14:paraId="0525ABBF"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p>
        </w:tc>
        <w:tc>
          <w:tcPr>
            <w:tcW w:w="0" w:type="auto"/>
            <w:hideMark/>
          </w:tcPr>
          <w:p w14:paraId="113A80DA"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Enabling large-scale proteomic studies to discover disease-specific biomarkers</w:t>
            </w:r>
          </w:p>
        </w:tc>
        <w:tc>
          <w:tcPr>
            <w:tcW w:w="0" w:type="auto"/>
            <w:hideMark/>
          </w:tcPr>
          <w:p w14:paraId="0C6DE318"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Example: LC-MS-based proteomics identifies candidate biomarkers for heart failure in plasma samples.</w:t>
            </w:r>
          </w:p>
        </w:tc>
      </w:tr>
      <w:tr w:rsidR="00A37364" w:rsidRPr="00740F9B" w14:paraId="4312D5B8" w14:textId="77777777" w:rsidTr="00740F9B">
        <w:tc>
          <w:tcPr>
            <w:tcW w:w="0" w:type="auto"/>
            <w:vMerge/>
            <w:hideMark/>
          </w:tcPr>
          <w:p w14:paraId="1E0BC579"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p>
        </w:tc>
        <w:tc>
          <w:tcPr>
            <w:tcW w:w="0" w:type="auto"/>
            <w:hideMark/>
          </w:tcPr>
          <w:p w14:paraId="44A370EC"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Facilitating protein-protein interaction studies for network analysis</w:t>
            </w:r>
          </w:p>
        </w:tc>
        <w:tc>
          <w:tcPr>
            <w:tcW w:w="0" w:type="auto"/>
            <w:hideMark/>
          </w:tcPr>
          <w:p w14:paraId="4D2FEFE4"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Example: LC-MS is employed to investigate protein-protein interactions in a signaling pathway in cells.</w:t>
            </w:r>
          </w:p>
        </w:tc>
      </w:tr>
      <w:tr w:rsidR="00A37364" w:rsidRPr="00740F9B" w14:paraId="1E064EDD" w14:textId="77777777" w:rsidTr="00740F9B">
        <w:tc>
          <w:tcPr>
            <w:tcW w:w="0" w:type="auto"/>
            <w:vMerge w:val="restart"/>
            <w:hideMark/>
          </w:tcPr>
          <w:p w14:paraId="449DD028"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Metabolites</w:t>
            </w:r>
          </w:p>
        </w:tc>
        <w:tc>
          <w:tcPr>
            <w:tcW w:w="0" w:type="auto"/>
            <w:hideMark/>
          </w:tcPr>
          <w:p w14:paraId="75475FFA"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Profiling metabolic pathways and understanding disease-related changes</w:t>
            </w:r>
          </w:p>
        </w:tc>
        <w:tc>
          <w:tcPr>
            <w:tcW w:w="0" w:type="auto"/>
            <w:hideMark/>
          </w:tcPr>
          <w:p w14:paraId="4E39E4AB"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Example: LC-MS-based metabolomics reveals metabolic alterations in diabetes mellitus.</w:t>
            </w:r>
          </w:p>
        </w:tc>
      </w:tr>
      <w:tr w:rsidR="00A37364" w:rsidRPr="00740F9B" w14:paraId="4624E6D5" w14:textId="77777777" w:rsidTr="00740F9B">
        <w:tc>
          <w:tcPr>
            <w:tcW w:w="0" w:type="auto"/>
            <w:vMerge/>
            <w:hideMark/>
          </w:tcPr>
          <w:p w14:paraId="730C267C"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p>
        </w:tc>
        <w:tc>
          <w:tcPr>
            <w:tcW w:w="0" w:type="auto"/>
            <w:hideMark/>
          </w:tcPr>
          <w:p w14:paraId="342D57B6"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Quantifying small molecules for personalized medicine and disease monitoring</w:t>
            </w:r>
          </w:p>
        </w:tc>
        <w:tc>
          <w:tcPr>
            <w:tcW w:w="0" w:type="auto"/>
            <w:hideMark/>
          </w:tcPr>
          <w:p w14:paraId="4A8AB3EA"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Example: LC-MS measures drug metabolites in patient plasma to optimize medication dosages.</w:t>
            </w:r>
          </w:p>
        </w:tc>
      </w:tr>
      <w:tr w:rsidR="00A37364" w:rsidRPr="00740F9B" w14:paraId="7310649D" w14:textId="77777777" w:rsidTr="00740F9B">
        <w:tc>
          <w:tcPr>
            <w:tcW w:w="0" w:type="auto"/>
            <w:vMerge/>
            <w:hideMark/>
          </w:tcPr>
          <w:p w14:paraId="10B85685"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p>
        </w:tc>
        <w:tc>
          <w:tcPr>
            <w:tcW w:w="0" w:type="auto"/>
            <w:hideMark/>
          </w:tcPr>
          <w:p w14:paraId="0ADBD754"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Identifying biomarkers for metabolic diseases and drug responses</w:t>
            </w:r>
          </w:p>
        </w:tc>
        <w:tc>
          <w:tcPr>
            <w:tcW w:w="0" w:type="auto"/>
            <w:hideMark/>
          </w:tcPr>
          <w:p w14:paraId="2EE06F08"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Example: LC-MS identifies metabolic biomarkers associated with drug-induced liver injury.</w:t>
            </w:r>
          </w:p>
        </w:tc>
      </w:tr>
      <w:tr w:rsidR="00A37364" w:rsidRPr="00740F9B" w14:paraId="03B56BA9" w14:textId="77777777" w:rsidTr="00740F9B">
        <w:tc>
          <w:tcPr>
            <w:tcW w:w="0" w:type="auto"/>
            <w:vMerge/>
            <w:hideMark/>
          </w:tcPr>
          <w:p w14:paraId="56F0CBA7"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p>
        </w:tc>
        <w:tc>
          <w:tcPr>
            <w:tcW w:w="0" w:type="auto"/>
            <w:hideMark/>
          </w:tcPr>
          <w:p w14:paraId="6EC19FCE"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Enabling pharmacokinetic studies and drug metabolism analysis</w:t>
            </w:r>
          </w:p>
        </w:tc>
        <w:tc>
          <w:tcPr>
            <w:tcW w:w="0" w:type="auto"/>
            <w:hideMark/>
          </w:tcPr>
          <w:p w14:paraId="151C8F62"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Example: LC-MS quantifies drug levels in blood samples to assess drug clearance rates.</w:t>
            </w:r>
          </w:p>
        </w:tc>
      </w:tr>
      <w:tr w:rsidR="00A37364" w:rsidRPr="00740F9B" w14:paraId="3E73EB4C" w14:textId="77777777" w:rsidTr="00740F9B">
        <w:tc>
          <w:tcPr>
            <w:tcW w:w="0" w:type="auto"/>
            <w:vMerge w:val="restart"/>
            <w:hideMark/>
          </w:tcPr>
          <w:p w14:paraId="61EFE9B1"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Lipids</w:t>
            </w:r>
          </w:p>
        </w:tc>
        <w:tc>
          <w:tcPr>
            <w:tcW w:w="0" w:type="auto"/>
            <w:hideMark/>
          </w:tcPr>
          <w:p w14:paraId="4BE50716"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Identifying and quantifying lipid species in biological samples</w:t>
            </w:r>
          </w:p>
        </w:tc>
        <w:tc>
          <w:tcPr>
            <w:tcW w:w="0" w:type="auto"/>
            <w:hideMark/>
          </w:tcPr>
          <w:p w14:paraId="2C4DC464"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xml:space="preserve">Example: LC-MS </w:t>
            </w:r>
            <w:proofErr w:type="spellStart"/>
            <w:r w:rsidRPr="00740F9B">
              <w:rPr>
                <w:rFonts w:ascii="Times New Roman" w:eastAsia="Times New Roman" w:hAnsi="Times New Roman" w:cs="Times New Roman"/>
                <w:sz w:val="24"/>
                <w:szCs w:val="24"/>
                <w:lang w:bidi="hi-IN"/>
              </w:rPr>
              <w:t>lipidomics</w:t>
            </w:r>
            <w:proofErr w:type="spellEnd"/>
            <w:r w:rsidRPr="00740F9B">
              <w:rPr>
                <w:rFonts w:ascii="Times New Roman" w:eastAsia="Times New Roman" w:hAnsi="Times New Roman" w:cs="Times New Roman"/>
                <w:sz w:val="24"/>
                <w:szCs w:val="24"/>
                <w:lang w:bidi="hi-IN"/>
              </w:rPr>
              <w:t xml:space="preserve"> characterizes lipid profiles in cancer tissue for biomarker discovery.</w:t>
            </w:r>
          </w:p>
        </w:tc>
      </w:tr>
      <w:tr w:rsidR="00A37364" w:rsidRPr="00740F9B" w14:paraId="052D5A91" w14:textId="77777777" w:rsidTr="00740F9B">
        <w:tc>
          <w:tcPr>
            <w:tcW w:w="0" w:type="auto"/>
            <w:vMerge/>
            <w:hideMark/>
          </w:tcPr>
          <w:p w14:paraId="00169A94"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p>
        </w:tc>
        <w:tc>
          <w:tcPr>
            <w:tcW w:w="0" w:type="auto"/>
            <w:hideMark/>
          </w:tcPr>
          <w:p w14:paraId="7E34DCAE"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xml:space="preserve">- Linking </w:t>
            </w:r>
            <w:proofErr w:type="spellStart"/>
            <w:r w:rsidRPr="00740F9B">
              <w:rPr>
                <w:rFonts w:ascii="Times New Roman" w:eastAsia="Times New Roman" w:hAnsi="Times New Roman" w:cs="Times New Roman"/>
                <w:sz w:val="24"/>
                <w:szCs w:val="24"/>
                <w:lang w:bidi="hi-IN"/>
              </w:rPr>
              <w:t>lipidomics</w:t>
            </w:r>
            <w:proofErr w:type="spellEnd"/>
            <w:r w:rsidRPr="00740F9B">
              <w:rPr>
                <w:rFonts w:ascii="Times New Roman" w:eastAsia="Times New Roman" w:hAnsi="Times New Roman" w:cs="Times New Roman"/>
                <w:sz w:val="24"/>
                <w:szCs w:val="24"/>
                <w:lang w:bidi="hi-IN"/>
              </w:rPr>
              <w:t xml:space="preserve"> to diseases like obesity, cardiovascular disorders, and cancer</w:t>
            </w:r>
          </w:p>
        </w:tc>
        <w:tc>
          <w:tcPr>
            <w:tcW w:w="0" w:type="auto"/>
            <w:hideMark/>
          </w:tcPr>
          <w:p w14:paraId="4D02F2E7"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Example: LC-MS identifies specific lipids associated with coronary artery disease in blood samples.</w:t>
            </w:r>
          </w:p>
        </w:tc>
      </w:tr>
      <w:tr w:rsidR="00A37364" w:rsidRPr="00740F9B" w14:paraId="69A568A8" w14:textId="77777777" w:rsidTr="00740F9B">
        <w:tc>
          <w:tcPr>
            <w:tcW w:w="0" w:type="auto"/>
            <w:vMerge/>
            <w:hideMark/>
          </w:tcPr>
          <w:p w14:paraId="37F82D91"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p>
        </w:tc>
        <w:tc>
          <w:tcPr>
            <w:tcW w:w="0" w:type="auto"/>
            <w:hideMark/>
          </w:tcPr>
          <w:p w14:paraId="46F8D2B1"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Understanding lipid metabolism and its implications in cellular function</w:t>
            </w:r>
          </w:p>
        </w:tc>
        <w:tc>
          <w:tcPr>
            <w:tcW w:w="0" w:type="auto"/>
            <w:hideMark/>
          </w:tcPr>
          <w:p w14:paraId="52B7A0EC"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xml:space="preserve">Example: LC-MS </w:t>
            </w:r>
            <w:proofErr w:type="spellStart"/>
            <w:r w:rsidRPr="00740F9B">
              <w:rPr>
                <w:rFonts w:ascii="Times New Roman" w:eastAsia="Times New Roman" w:hAnsi="Times New Roman" w:cs="Times New Roman"/>
                <w:sz w:val="24"/>
                <w:szCs w:val="24"/>
                <w:lang w:bidi="hi-IN"/>
              </w:rPr>
              <w:t>lipidomics</w:t>
            </w:r>
            <w:proofErr w:type="spellEnd"/>
            <w:r w:rsidRPr="00740F9B">
              <w:rPr>
                <w:rFonts w:ascii="Times New Roman" w:eastAsia="Times New Roman" w:hAnsi="Times New Roman" w:cs="Times New Roman"/>
                <w:sz w:val="24"/>
                <w:szCs w:val="24"/>
                <w:lang w:bidi="hi-IN"/>
              </w:rPr>
              <w:t xml:space="preserve"> reveals changes in lipid metabolism during cell differentiation.</w:t>
            </w:r>
          </w:p>
        </w:tc>
      </w:tr>
      <w:tr w:rsidR="00A37364" w:rsidRPr="00740F9B" w14:paraId="51ACC2D7" w14:textId="77777777" w:rsidTr="00740F9B">
        <w:tc>
          <w:tcPr>
            <w:tcW w:w="0" w:type="auto"/>
            <w:vMerge/>
            <w:hideMark/>
          </w:tcPr>
          <w:p w14:paraId="09ACD697"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p>
        </w:tc>
        <w:tc>
          <w:tcPr>
            <w:tcW w:w="0" w:type="auto"/>
            <w:hideMark/>
          </w:tcPr>
          <w:p w14:paraId="46B1255D"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Identifying lipid biomarkers for various diseases and therapeutic responses</w:t>
            </w:r>
          </w:p>
        </w:tc>
        <w:tc>
          <w:tcPr>
            <w:tcW w:w="0" w:type="auto"/>
            <w:hideMark/>
          </w:tcPr>
          <w:p w14:paraId="14F337B4"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Example: LC-MS identifies lipid biomarkers for evaluating treatment response in multiple sclerosis.</w:t>
            </w:r>
          </w:p>
        </w:tc>
      </w:tr>
      <w:tr w:rsidR="00A37364" w:rsidRPr="00740F9B" w14:paraId="52C569A6" w14:textId="77777777" w:rsidTr="00740F9B">
        <w:tc>
          <w:tcPr>
            <w:tcW w:w="0" w:type="auto"/>
            <w:vMerge w:val="restart"/>
            <w:hideMark/>
          </w:tcPr>
          <w:p w14:paraId="6BBB92C3"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Modified Nucleotides</w:t>
            </w:r>
          </w:p>
        </w:tc>
        <w:tc>
          <w:tcPr>
            <w:tcW w:w="0" w:type="auto"/>
            <w:hideMark/>
          </w:tcPr>
          <w:p w14:paraId="15FA28D2"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Detecting epigenetic changes and DNA/RNA base modifications</w:t>
            </w:r>
          </w:p>
        </w:tc>
        <w:tc>
          <w:tcPr>
            <w:tcW w:w="0" w:type="auto"/>
            <w:hideMark/>
          </w:tcPr>
          <w:p w14:paraId="38FCBC02"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Example: LC-MS detects methylated DNA bases in cancer cells to study epigenetic changes.</w:t>
            </w:r>
          </w:p>
        </w:tc>
      </w:tr>
      <w:tr w:rsidR="00A37364" w:rsidRPr="00740F9B" w14:paraId="4280D0E8" w14:textId="77777777" w:rsidTr="00740F9B">
        <w:tc>
          <w:tcPr>
            <w:tcW w:w="0" w:type="auto"/>
            <w:vMerge/>
            <w:hideMark/>
          </w:tcPr>
          <w:p w14:paraId="7A72E5BC"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p>
        </w:tc>
        <w:tc>
          <w:tcPr>
            <w:tcW w:w="0" w:type="auto"/>
            <w:hideMark/>
          </w:tcPr>
          <w:p w14:paraId="24E454BC"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Investigating their role in gene regulation and disease development</w:t>
            </w:r>
          </w:p>
        </w:tc>
        <w:tc>
          <w:tcPr>
            <w:tcW w:w="0" w:type="auto"/>
            <w:hideMark/>
          </w:tcPr>
          <w:p w14:paraId="66937873"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Example: LC-MS characterizes RNA modifications to understand their role in cellular processes.</w:t>
            </w:r>
          </w:p>
        </w:tc>
      </w:tr>
      <w:tr w:rsidR="00A37364" w:rsidRPr="00740F9B" w14:paraId="35E8DD7D" w14:textId="77777777" w:rsidTr="00740F9B">
        <w:tc>
          <w:tcPr>
            <w:tcW w:w="0" w:type="auto"/>
            <w:vMerge/>
            <w:hideMark/>
          </w:tcPr>
          <w:p w14:paraId="62DB3B28"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p>
        </w:tc>
        <w:tc>
          <w:tcPr>
            <w:tcW w:w="0" w:type="auto"/>
            <w:hideMark/>
          </w:tcPr>
          <w:p w14:paraId="0F79566F"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Identifying DNA damage and its association with environmental exposures</w:t>
            </w:r>
          </w:p>
        </w:tc>
        <w:tc>
          <w:tcPr>
            <w:tcW w:w="0" w:type="auto"/>
            <w:hideMark/>
          </w:tcPr>
          <w:p w14:paraId="3CF59F31"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Example: LC-MS quantifies DNA adducts as biomarkers of exposure to environmental carcinogens.</w:t>
            </w:r>
          </w:p>
        </w:tc>
      </w:tr>
      <w:tr w:rsidR="00A37364" w:rsidRPr="00740F9B" w14:paraId="244E0F92" w14:textId="77777777" w:rsidTr="00740F9B">
        <w:tc>
          <w:tcPr>
            <w:tcW w:w="0" w:type="auto"/>
            <w:vMerge/>
            <w:hideMark/>
          </w:tcPr>
          <w:p w14:paraId="4185D136"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p>
        </w:tc>
        <w:tc>
          <w:tcPr>
            <w:tcW w:w="0" w:type="auto"/>
            <w:hideMark/>
          </w:tcPr>
          <w:p w14:paraId="45B7E56D"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Discovering potential biomarkers for cancer and other diseases</w:t>
            </w:r>
          </w:p>
        </w:tc>
        <w:tc>
          <w:tcPr>
            <w:tcW w:w="0" w:type="auto"/>
            <w:hideMark/>
          </w:tcPr>
          <w:p w14:paraId="3AE95426"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Example: LC-MS identifies modified nucleotides as potential biomarkers for breast cancer.</w:t>
            </w:r>
          </w:p>
        </w:tc>
      </w:tr>
      <w:tr w:rsidR="00A37364" w:rsidRPr="00740F9B" w14:paraId="64D9A01C" w14:textId="77777777" w:rsidTr="00740F9B">
        <w:tc>
          <w:tcPr>
            <w:tcW w:w="0" w:type="auto"/>
            <w:vMerge w:val="restart"/>
            <w:hideMark/>
          </w:tcPr>
          <w:p w14:paraId="61B81EBE"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Small Molecules</w:t>
            </w:r>
          </w:p>
        </w:tc>
        <w:tc>
          <w:tcPr>
            <w:tcW w:w="0" w:type="auto"/>
            <w:hideMark/>
          </w:tcPr>
          <w:p w14:paraId="6F803C88"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Quantifying drugs and their metabolites for pharmacokinetic studies</w:t>
            </w:r>
          </w:p>
        </w:tc>
        <w:tc>
          <w:tcPr>
            <w:tcW w:w="0" w:type="auto"/>
            <w:hideMark/>
          </w:tcPr>
          <w:p w14:paraId="259F219F"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Example: LC-MS measures drug levels in blood to assess drug distribution and clearance.</w:t>
            </w:r>
          </w:p>
        </w:tc>
      </w:tr>
      <w:tr w:rsidR="00A37364" w:rsidRPr="00740F9B" w14:paraId="79F6C4C3" w14:textId="77777777" w:rsidTr="00740F9B">
        <w:tc>
          <w:tcPr>
            <w:tcW w:w="0" w:type="auto"/>
            <w:vMerge/>
            <w:hideMark/>
          </w:tcPr>
          <w:p w14:paraId="0BE039BA"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p>
        </w:tc>
        <w:tc>
          <w:tcPr>
            <w:tcW w:w="0" w:type="auto"/>
            <w:hideMark/>
          </w:tcPr>
          <w:p w14:paraId="34134919"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Detecting environmental contaminants and toxins</w:t>
            </w:r>
          </w:p>
        </w:tc>
        <w:tc>
          <w:tcPr>
            <w:tcW w:w="0" w:type="auto"/>
            <w:hideMark/>
          </w:tcPr>
          <w:p w14:paraId="62E80438"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Example: LC-MS identifies pesticide residues in food samples to ensure food safety.</w:t>
            </w:r>
          </w:p>
        </w:tc>
      </w:tr>
      <w:tr w:rsidR="00A37364" w:rsidRPr="00740F9B" w14:paraId="022A275E" w14:textId="77777777" w:rsidTr="00740F9B">
        <w:tc>
          <w:tcPr>
            <w:tcW w:w="0" w:type="auto"/>
            <w:vMerge/>
            <w:hideMark/>
          </w:tcPr>
          <w:p w14:paraId="0AE766AD"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p>
        </w:tc>
        <w:tc>
          <w:tcPr>
            <w:tcW w:w="0" w:type="auto"/>
            <w:hideMark/>
          </w:tcPr>
          <w:p w14:paraId="6A5ABBCF"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Analyzing endogenous metabolites for disease biomarker discovery</w:t>
            </w:r>
          </w:p>
        </w:tc>
        <w:tc>
          <w:tcPr>
            <w:tcW w:w="0" w:type="auto"/>
            <w:hideMark/>
          </w:tcPr>
          <w:p w14:paraId="35E3E08C"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Example: LC-MS-based metabolomics identifies metabolic biomarkers for liver disease.</w:t>
            </w:r>
          </w:p>
        </w:tc>
      </w:tr>
      <w:tr w:rsidR="00A37364" w:rsidRPr="00740F9B" w14:paraId="7F7A1272" w14:textId="77777777" w:rsidTr="00740F9B">
        <w:tc>
          <w:tcPr>
            <w:tcW w:w="0" w:type="auto"/>
            <w:vMerge/>
            <w:hideMark/>
          </w:tcPr>
          <w:p w14:paraId="2634DFB9"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p>
        </w:tc>
        <w:tc>
          <w:tcPr>
            <w:tcW w:w="0" w:type="auto"/>
            <w:hideMark/>
          </w:tcPr>
          <w:p w14:paraId="557773E1"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Understanding metabolic pathways and their regulation</w:t>
            </w:r>
          </w:p>
        </w:tc>
        <w:tc>
          <w:tcPr>
            <w:tcW w:w="0" w:type="auto"/>
            <w:hideMark/>
          </w:tcPr>
          <w:p w14:paraId="62A56E01"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Example: LC-MS quantifies metabolites in a metabolic pathway to study enzyme activity regulation.</w:t>
            </w:r>
          </w:p>
        </w:tc>
      </w:tr>
      <w:tr w:rsidR="00A37364" w:rsidRPr="00740F9B" w14:paraId="3698CF27" w14:textId="77777777" w:rsidTr="00740F9B">
        <w:tc>
          <w:tcPr>
            <w:tcW w:w="0" w:type="auto"/>
            <w:vMerge w:val="restart"/>
            <w:hideMark/>
          </w:tcPr>
          <w:p w14:paraId="0922A9CF"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proofErr w:type="spellStart"/>
            <w:r w:rsidRPr="00740F9B">
              <w:rPr>
                <w:rFonts w:ascii="Times New Roman" w:eastAsia="Times New Roman" w:hAnsi="Times New Roman" w:cs="Times New Roman"/>
                <w:sz w:val="24"/>
                <w:szCs w:val="24"/>
                <w:lang w:bidi="hi-IN"/>
              </w:rPr>
              <w:t>Peptidomics</w:t>
            </w:r>
            <w:proofErr w:type="spellEnd"/>
          </w:p>
        </w:tc>
        <w:tc>
          <w:tcPr>
            <w:tcW w:w="0" w:type="auto"/>
            <w:hideMark/>
          </w:tcPr>
          <w:p w14:paraId="11D9308F"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Identifying and characterizing endogenous peptides</w:t>
            </w:r>
          </w:p>
        </w:tc>
        <w:tc>
          <w:tcPr>
            <w:tcW w:w="0" w:type="auto"/>
            <w:hideMark/>
          </w:tcPr>
          <w:p w14:paraId="5428A6EE"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xml:space="preserve">Example: LC-MS-based </w:t>
            </w:r>
            <w:proofErr w:type="spellStart"/>
            <w:r w:rsidRPr="00740F9B">
              <w:rPr>
                <w:rFonts w:ascii="Times New Roman" w:eastAsia="Times New Roman" w:hAnsi="Times New Roman" w:cs="Times New Roman"/>
                <w:sz w:val="24"/>
                <w:szCs w:val="24"/>
                <w:lang w:bidi="hi-IN"/>
              </w:rPr>
              <w:t>peptidomics</w:t>
            </w:r>
            <w:proofErr w:type="spellEnd"/>
            <w:r w:rsidRPr="00740F9B">
              <w:rPr>
                <w:rFonts w:ascii="Times New Roman" w:eastAsia="Times New Roman" w:hAnsi="Times New Roman" w:cs="Times New Roman"/>
                <w:sz w:val="24"/>
                <w:szCs w:val="24"/>
                <w:lang w:bidi="hi-IN"/>
              </w:rPr>
              <w:t xml:space="preserve"> discovers novel bioactive peptides in brain tissue.</w:t>
            </w:r>
          </w:p>
        </w:tc>
      </w:tr>
      <w:tr w:rsidR="00A37364" w:rsidRPr="00740F9B" w14:paraId="4171A510" w14:textId="77777777" w:rsidTr="00740F9B">
        <w:tc>
          <w:tcPr>
            <w:tcW w:w="0" w:type="auto"/>
            <w:vMerge/>
            <w:hideMark/>
          </w:tcPr>
          <w:p w14:paraId="1F4FEB14"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p>
        </w:tc>
        <w:tc>
          <w:tcPr>
            <w:tcW w:w="0" w:type="auto"/>
            <w:hideMark/>
          </w:tcPr>
          <w:p w14:paraId="57FA24EC"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Exploring their roles as signaling molecules and disease regulators</w:t>
            </w:r>
          </w:p>
        </w:tc>
        <w:tc>
          <w:tcPr>
            <w:tcW w:w="0" w:type="auto"/>
            <w:hideMark/>
          </w:tcPr>
          <w:p w14:paraId="32675697"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Example: LC-MS identifies neuropeptides associated with pain signaling in the nervous system.</w:t>
            </w:r>
          </w:p>
        </w:tc>
      </w:tr>
      <w:tr w:rsidR="00A37364" w:rsidRPr="00740F9B" w14:paraId="261F4B58" w14:textId="77777777" w:rsidTr="00740F9B">
        <w:tc>
          <w:tcPr>
            <w:tcW w:w="0" w:type="auto"/>
            <w:vMerge/>
            <w:hideMark/>
          </w:tcPr>
          <w:p w14:paraId="3FD63838"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p>
        </w:tc>
        <w:tc>
          <w:tcPr>
            <w:tcW w:w="0" w:type="auto"/>
            <w:hideMark/>
          </w:tcPr>
          <w:p w14:paraId="18379B48"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Discovering novel bioactive peptides for drug development</w:t>
            </w:r>
          </w:p>
        </w:tc>
        <w:tc>
          <w:tcPr>
            <w:tcW w:w="0" w:type="auto"/>
            <w:hideMark/>
          </w:tcPr>
          <w:p w14:paraId="284CD1F4"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Example: LC-MS identifies bioactive peptides in venoms for potential therapeutic applications.</w:t>
            </w:r>
          </w:p>
        </w:tc>
      </w:tr>
      <w:tr w:rsidR="00A37364" w:rsidRPr="00740F9B" w14:paraId="5F34ED56" w14:textId="77777777" w:rsidTr="00740F9B">
        <w:tc>
          <w:tcPr>
            <w:tcW w:w="0" w:type="auto"/>
            <w:vMerge/>
            <w:hideMark/>
          </w:tcPr>
          <w:p w14:paraId="199A304F"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p>
        </w:tc>
        <w:tc>
          <w:tcPr>
            <w:tcW w:w="0" w:type="auto"/>
            <w:hideMark/>
          </w:tcPr>
          <w:p w14:paraId="4B3C0929"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Studying neuropeptides and hormone-derived peptides</w:t>
            </w:r>
          </w:p>
        </w:tc>
        <w:tc>
          <w:tcPr>
            <w:tcW w:w="0" w:type="auto"/>
            <w:hideMark/>
          </w:tcPr>
          <w:p w14:paraId="59384827"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Example: LC-MS characterizes hormone-derived peptides in blood for endocrine disorder research.</w:t>
            </w:r>
          </w:p>
        </w:tc>
      </w:tr>
      <w:tr w:rsidR="00A37364" w:rsidRPr="00740F9B" w14:paraId="3D8A25AF" w14:textId="77777777" w:rsidTr="00740F9B">
        <w:tc>
          <w:tcPr>
            <w:tcW w:w="0" w:type="auto"/>
            <w:vMerge w:val="restart"/>
            <w:hideMark/>
          </w:tcPr>
          <w:p w14:paraId="0C81EF09"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Glycans</w:t>
            </w:r>
          </w:p>
        </w:tc>
        <w:tc>
          <w:tcPr>
            <w:tcW w:w="0" w:type="auto"/>
            <w:hideMark/>
          </w:tcPr>
          <w:p w14:paraId="6FBBEA3C"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Analyzing the structural complexity of glycans</w:t>
            </w:r>
          </w:p>
        </w:tc>
        <w:tc>
          <w:tcPr>
            <w:tcW w:w="0" w:type="auto"/>
            <w:hideMark/>
          </w:tcPr>
          <w:p w14:paraId="1715E1F5"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Example: LC-MS analyzes glycans on proteins for understanding cell surface receptor interactions.</w:t>
            </w:r>
          </w:p>
        </w:tc>
      </w:tr>
      <w:tr w:rsidR="00A37364" w:rsidRPr="00740F9B" w14:paraId="09CFB622" w14:textId="77777777" w:rsidTr="00740F9B">
        <w:tc>
          <w:tcPr>
            <w:tcW w:w="0" w:type="auto"/>
            <w:vMerge/>
            <w:hideMark/>
          </w:tcPr>
          <w:p w14:paraId="77D46E75"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p>
        </w:tc>
        <w:tc>
          <w:tcPr>
            <w:tcW w:w="0" w:type="auto"/>
            <w:hideMark/>
          </w:tcPr>
          <w:p w14:paraId="2B9E6E13"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xml:space="preserve">- Linking </w:t>
            </w:r>
            <w:proofErr w:type="spellStart"/>
            <w:r w:rsidRPr="00740F9B">
              <w:rPr>
                <w:rFonts w:ascii="Times New Roman" w:eastAsia="Times New Roman" w:hAnsi="Times New Roman" w:cs="Times New Roman"/>
                <w:sz w:val="24"/>
                <w:szCs w:val="24"/>
                <w:lang w:bidi="hi-IN"/>
              </w:rPr>
              <w:t>glycomics</w:t>
            </w:r>
            <w:proofErr w:type="spellEnd"/>
            <w:r w:rsidRPr="00740F9B">
              <w:rPr>
                <w:rFonts w:ascii="Times New Roman" w:eastAsia="Times New Roman" w:hAnsi="Times New Roman" w:cs="Times New Roman"/>
                <w:sz w:val="24"/>
                <w:szCs w:val="24"/>
                <w:lang w:bidi="hi-IN"/>
              </w:rPr>
              <w:t xml:space="preserve"> to diseases and biological processes</w:t>
            </w:r>
          </w:p>
        </w:tc>
        <w:tc>
          <w:tcPr>
            <w:tcW w:w="0" w:type="auto"/>
            <w:hideMark/>
          </w:tcPr>
          <w:p w14:paraId="77F19435"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xml:space="preserve">Example: LC-MS </w:t>
            </w:r>
            <w:proofErr w:type="spellStart"/>
            <w:r w:rsidRPr="00740F9B">
              <w:rPr>
                <w:rFonts w:ascii="Times New Roman" w:eastAsia="Times New Roman" w:hAnsi="Times New Roman" w:cs="Times New Roman"/>
                <w:sz w:val="24"/>
                <w:szCs w:val="24"/>
                <w:lang w:bidi="hi-IN"/>
              </w:rPr>
              <w:t>glycomics</w:t>
            </w:r>
            <w:proofErr w:type="spellEnd"/>
            <w:r w:rsidRPr="00740F9B">
              <w:rPr>
                <w:rFonts w:ascii="Times New Roman" w:eastAsia="Times New Roman" w:hAnsi="Times New Roman" w:cs="Times New Roman"/>
                <w:sz w:val="24"/>
                <w:szCs w:val="24"/>
                <w:lang w:bidi="hi-IN"/>
              </w:rPr>
              <w:t xml:space="preserve"> identifies altered glycosylation patterns in cancer cells.</w:t>
            </w:r>
          </w:p>
        </w:tc>
      </w:tr>
      <w:tr w:rsidR="00A37364" w:rsidRPr="00740F9B" w14:paraId="51B12427" w14:textId="77777777" w:rsidTr="00740F9B">
        <w:tc>
          <w:tcPr>
            <w:tcW w:w="0" w:type="auto"/>
            <w:vMerge/>
            <w:hideMark/>
          </w:tcPr>
          <w:p w14:paraId="008AFA04"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p>
        </w:tc>
        <w:tc>
          <w:tcPr>
            <w:tcW w:w="0" w:type="auto"/>
            <w:hideMark/>
          </w:tcPr>
          <w:p w14:paraId="6EA61FC0"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Identifying glycan biomarkers for cancer and other diseases</w:t>
            </w:r>
          </w:p>
        </w:tc>
        <w:tc>
          <w:tcPr>
            <w:tcW w:w="0" w:type="auto"/>
            <w:hideMark/>
          </w:tcPr>
          <w:p w14:paraId="761D00B5"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Example: LC-MS identifies specific glycan biomarkers in serum for cancer diagnosis.</w:t>
            </w:r>
          </w:p>
        </w:tc>
      </w:tr>
      <w:tr w:rsidR="00A37364" w:rsidRPr="00740F9B" w14:paraId="7D6665A8" w14:textId="77777777" w:rsidTr="00740F9B">
        <w:tc>
          <w:tcPr>
            <w:tcW w:w="0" w:type="auto"/>
            <w:vMerge/>
            <w:hideMark/>
          </w:tcPr>
          <w:p w14:paraId="13C4C483"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p>
        </w:tc>
        <w:tc>
          <w:tcPr>
            <w:tcW w:w="0" w:type="auto"/>
            <w:hideMark/>
          </w:tcPr>
          <w:p w14:paraId="7EB38EFB"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Investigating glycan-mediated cellular interactions</w:t>
            </w:r>
          </w:p>
        </w:tc>
        <w:tc>
          <w:tcPr>
            <w:tcW w:w="0" w:type="auto"/>
            <w:hideMark/>
          </w:tcPr>
          <w:p w14:paraId="498138A1"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Example: LC-MS reveals glycan ligands involved in pathogen recognition by immune cells.</w:t>
            </w:r>
          </w:p>
        </w:tc>
      </w:tr>
      <w:tr w:rsidR="00A37364" w:rsidRPr="00740F9B" w14:paraId="2E965E7A" w14:textId="77777777" w:rsidTr="00740F9B">
        <w:tc>
          <w:tcPr>
            <w:tcW w:w="0" w:type="auto"/>
            <w:vMerge w:val="restart"/>
            <w:hideMark/>
          </w:tcPr>
          <w:p w14:paraId="5C56D0D2"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lastRenderedPageBreak/>
              <w:t>Isotopes and Stable-Isotope Labeled Compounds</w:t>
            </w:r>
          </w:p>
        </w:tc>
        <w:tc>
          <w:tcPr>
            <w:tcW w:w="0" w:type="auto"/>
            <w:hideMark/>
          </w:tcPr>
          <w:p w14:paraId="0995EC9F"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Accurate quantification of biomarkers using stable-isotope internal standards</w:t>
            </w:r>
          </w:p>
        </w:tc>
        <w:tc>
          <w:tcPr>
            <w:tcW w:w="0" w:type="auto"/>
            <w:hideMark/>
          </w:tcPr>
          <w:p w14:paraId="57A34B8E"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Example: LC-MS quantifies drug metabolites using stable-isotope labeled internal standards.</w:t>
            </w:r>
          </w:p>
        </w:tc>
      </w:tr>
      <w:tr w:rsidR="00A37364" w:rsidRPr="00740F9B" w14:paraId="79AF0317" w14:textId="77777777" w:rsidTr="00740F9B">
        <w:tc>
          <w:tcPr>
            <w:tcW w:w="0" w:type="auto"/>
            <w:vMerge/>
            <w:hideMark/>
          </w:tcPr>
          <w:p w14:paraId="59B34AA1"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p>
        </w:tc>
        <w:tc>
          <w:tcPr>
            <w:tcW w:w="0" w:type="auto"/>
            <w:hideMark/>
          </w:tcPr>
          <w:p w14:paraId="4E42FA4C"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Ensuring reliable and reproducible measurements in metabolomics and pharmacokinetics</w:t>
            </w:r>
          </w:p>
        </w:tc>
        <w:tc>
          <w:tcPr>
            <w:tcW w:w="0" w:type="auto"/>
            <w:hideMark/>
          </w:tcPr>
          <w:p w14:paraId="7A892074"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Example: LC-MS quantifies metabolites in biological samples with stable-isotope labeled standards.</w:t>
            </w:r>
          </w:p>
        </w:tc>
      </w:tr>
      <w:tr w:rsidR="00A37364" w:rsidRPr="00740F9B" w14:paraId="4D01C453" w14:textId="77777777" w:rsidTr="00740F9B">
        <w:tc>
          <w:tcPr>
            <w:tcW w:w="0" w:type="auto"/>
            <w:vMerge/>
            <w:hideMark/>
          </w:tcPr>
          <w:p w14:paraId="4A167A6C"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p>
        </w:tc>
        <w:tc>
          <w:tcPr>
            <w:tcW w:w="0" w:type="auto"/>
            <w:hideMark/>
          </w:tcPr>
          <w:p w14:paraId="5B635ED2"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Improving data accuracy and comparability in biomarker studies</w:t>
            </w:r>
          </w:p>
        </w:tc>
        <w:tc>
          <w:tcPr>
            <w:tcW w:w="0" w:type="auto"/>
            <w:hideMark/>
          </w:tcPr>
          <w:p w14:paraId="0E39731C"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Example: LC-MS uses stable-isotope labeled peptides to standardize quantitative proteomics experiments.</w:t>
            </w:r>
          </w:p>
        </w:tc>
      </w:tr>
      <w:tr w:rsidR="00A37364" w:rsidRPr="00740F9B" w14:paraId="5172E4D3" w14:textId="77777777" w:rsidTr="00740F9B">
        <w:tc>
          <w:tcPr>
            <w:tcW w:w="0" w:type="auto"/>
            <w:vMerge/>
            <w:hideMark/>
          </w:tcPr>
          <w:p w14:paraId="57D5851C"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p>
        </w:tc>
        <w:tc>
          <w:tcPr>
            <w:tcW w:w="0" w:type="auto"/>
            <w:hideMark/>
          </w:tcPr>
          <w:p w14:paraId="35605EA9"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Enabling precise determination of drug concentrations in patient samples</w:t>
            </w:r>
          </w:p>
        </w:tc>
        <w:tc>
          <w:tcPr>
            <w:tcW w:w="0" w:type="auto"/>
            <w:hideMark/>
          </w:tcPr>
          <w:p w14:paraId="4D1C4AEB"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Example: LC-MS quantifies drug levels in blood to optimize drug dosing in patients.</w:t>
            </w:r>
          </w:p>
        </w:tc>
      </w:tr>
      <w:tr w:rsidR="00A37364" w:rsidRPr="00740F9B" w14:paraId="782610EF" w14:textId="77777777" w:rsidTr="00740F9B">
        <w:tc>
          <w:tcPr>
            <w:tcW w:w="0" w:type="auto"/>
            <w:vMerge w:val="restart"/>
            <w:hideMark/>
          </w:tcPr>
          <w:p w14:paraId="3FC1491F"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Biomarkers of Disease</w:t>
            </w:r>
          </w:p>
        </w:tc>
        <w:tc>
          <w:tcPr>
            <w:tcW w:w="0" w:type="auto"/>
            <w:hideMark/>
          </w:tcPr>
          <w:p w14:paraId="751EF543"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Discovery of disease-specific biomarkers in various biological samples</w:t>
            </w:r>
          </w:p>
        </w:tc>
        <w:tc>
          <w:tcPr>
            <w:tcW w:w="0" w:type="auto"/>
            <w:hideMark/>
          </w:tcPr>
          <w:p w14:paraId="3FB404B9"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Example: LC-MS identifies protein biomarkers in cerebrospinal fluid for diagnosing Alzheimer's disease.</w:t>
            </w:r>
          </w:p>
        </w:tc>
      </w:tr>
      <w:tr w:rsidR="00A37364" w:rsidRPr="00740F9B" w14:paraId="5331C3FC" w14:textId="77777777" w:rsidTr="00740F9B">
        <w:tc>
          <w:tcPr>
            <w:tcW w:w="0" w:type="auto"/>
            <w:vMerge/>
            <w:hideMark/>
          </w:tcPr>
          <w:p w14:paraId="676497F5"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p>
        </w:tc>
        <w:tc>
          <w:tcPr>
            <w:tcW w:w="0" w:type="auto"/>
            <w:hideMark/>
          </w:tcPr>
          <w:p w14:paraId="19268B04"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Early detection and diagnosis of diseases using targeted LC-MS assays</w:t>
            </w:r>
          </w:p>
        </w:tc>
        <w:tc>
          <w:tcPr>
            <w:tcW w:w="0" w:type="auto"/>
            <w:hideMark/>
          </w:tcPr>
          <w:p w14:paraId="76AFD957"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Example: LC-MS identifies specific metabolites in blood for early detection of kidney disease.</w:t>
            </w:r>
          </w:p>
        </w:tc>
      </w:tr>
      <w:tr w:rsidR="00A37364" w:rsidRPr="00740F9B" w14:paraId="046FA0CD" w14:textId="77777777" w:rsidTr="00740F9B">
        <w:tc>
          <w:tcPr>
            <w:tcW w:w="0" w:type="auto"/>
            <w:vMerge/>
            <w:hideMark/>
          </w:tcPr>
          <w:p w14:paraId="37386B3F"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p>
        </w:tc>
        <w:tc>
          <w:tcPr>
            <w:tcW w:w="0" w:type="auto"/>
            <w:hideMark/>
          </w:tcPr>
          <w:p w14:paraId="0A771B6B"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Validation of biomarkers for disease prognosis and treatment response</w:t>
            </w:r>
          </w:p>
        </w:tc>
        <w:tc>
          <w:tcPr>
            <w:tcW w:w="0" w:type="auto"/>
            <w:hideMark/>
          </w:tcPr>
          <w:p w14:paraId="16638EF2"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Example: LC-MS quantifies protein biomarkers in plasma to assess treatment response in cancer patients.</w:t>
            </w:r>
          </w:p>
        </w:tc>
      </w:tr>
      <w:tr w:rsidR="00A37364" w:rsidRPr="00740F9B" w14:paraId="1483DDE9" w14:textId="77777777" w:rsidTr="00740F9B">
        <w:tc>
          <w:tcPr>
            <w:tcW w:w="0" w:type="auto"/>
            <w:vMerge/>
            <w:hideMark/>
          </w:tcPr>
          <w:p w14:paraId="49788581"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p>
        </w:tc>
        <w:tc>
          <w:tcPr>
            <w:tcW w:w="0" w:type="auto"/>
            <w:hideMark/>
          </w:tcPr>
          <w:p w14:paraId="2FA68613"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Enabling precision medicine and personalized treatment strategies</w:t>
            </w:r>
          </w:p>
        </w:tc>
        <w:tc>
          <w:tcPr>
            <w:tcW w:w="0" w:type="auto"/>
            <w:hideMark/>
          </w:tcPr>
          <w:p w14:paraId="22724312"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Example: LC-MS-based profiling of cancer tissue guides personalized therapeutic approaches.</w:t>
            </w:r>
          </w:p>
        </w:tc>
      </w:tr>
      <w:tr w:rsidR="00A37364" w:rsidRPr="00740F9B" w14:paraId="413F8DF4" w14:textId="77777777" w:rsidTr="00740F9B">
        <w:tc>
          <w:tcPr>
            <w:tcW w:w="0" w:type="auto"/>
            <w:vMerge w:val="restart"/>
            <w:hideMark/>
          </w:tcPr>
          <w:p w14:paraId="21E4FB5A"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Natural Products</w:t>
            </w:r>
          </w:p>
        </w:tc>
        <w:tc>
          <w:tcPr>
            <w:tcW w:w="0" w:type="auto"/>
            <w:hideMark/>
          </w:tcPr>
          <w:p w14:paraId="688B7F03"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Identifying and characterizing bioactive compounds from natural sources</w:t>
            </w:r>
          </w:p>
        </w:tc>
        <w:tc>
          <w:tcPr>
            <w:tcW w:w="0" w:type="auto"/>
            <w:hideMark/>
          </w:tcPr>
          <w:p w14:paraId="4A9495B1"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Example: LC-MS identifies bioactive compounds in medicinal plants for drug discovery.</w:t>
            </w:r>
          </w:p>
        </w:tc>
      </w:tr>
      <w:tr w:rsidR="00A37364" w:rsidRPr="00740F9B" w14:paraId="7612152F" w14:textId="77777777" w:rsidTr="00740F9B">
        <w:tc>
          <w:tcPr>
            <w:tcW w:w="0" w:type="auto"/>
            <w:vMerge/>
            <w:hideMark/>
          </w:tcPr>
          <w:p w14:paraId="3E359DA3"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p>
        </w:tc>
        <w:tc>
          <w:tcPr>
            <w:tcW w:w="0" w:type="auto"/>
            <w:hideMark/>
          </w:tcPr>
          <w:p w14:paraId="29ED4172"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Screening for potential lead molecules in drug discovery and development</w:t>
            </w:r>
          </w:p>
        </w:tc>
        <w:tc>
          <w:tcPr>
            <w:tcW w:w="0" w:type="auto"/>
            <w:hideMark/>
          </w:tcPr>
          <w:p w14:paraId="0DF473FB"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Example: LC-MS identifies novel bioactive compounds from marine organisms for drug development.</w:t>
            </w:r>
          </w:p>
        </w:tc>
      </w:tr>
      <w:tr w:rsidR="00A37364" w:rsidRPr="00740F9B" w14:paraId="01C94563" w14:textId="77777777" w:rsidTr="00740F9B">
        <w:tc>
          <w:tcPr>
            <w:tcW w:w="0" w:type="auto"/>
            <w:vMerge/>
            <w:hideMark/>
          </w:tcPr>
          <w:p w14:paraId="2EC3A456"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p>
        </w:tc>
        <w:tc>
          <w:tcPr>
            <w:tcW w:w="0" w:type="auto"/>
            <w:hideMark/>
          </w:tcPr>
          <w:p w14:paraId="22843F40"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Determining the composition and quality of natural product extracts</w:t>
            </w:r>
          </w:p>
        </w:tc>
        <w:tc>
          <w:tcPr>
            <w:tcW w:w="0" w:type="auto"/>
            <w:hideMark/>
          </w:tcPr>
          <w:p w14:paraId="467B4315"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Example: LC-MS assesses the chemical profile of herbal extracts for quality control and standardization.</w:t>
            </w:r>
          </w:p>
        </w:tc>
      </w:tr>
      <w:tr w:rsidR="00A37364" w:rsidRPr="00740F9B" w14:paraId="7EB0D6D4" w14:textId="77777777" w:rsidTr="00740F9B">
        <w:tc>
          <w:tcPr>
            <w:tcW w:w="0" w:type="auto"/>
            <w:vMerge/>
            <w:hideMark/>
          </w:tcPr>
          <w:p w14:paraId="2177A8C1"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p>
        </w:tc>
        <w:tc>
          <w:tcPr>
            <w:tcW w:w="0" w:type="auto"/>
            <w:hideMark/>
          </w:tcPr>
          <w:p w14:paraId="0691BA07"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 Assessing the biological activity and therapeutic potential of natural products</w:t>
            </w:r>
          </w:p>
        </w:tc>
        <w:tc>
          <w:tcPr>
            <w:tcW w:w="0" w:type="auto"/>
            <w:hideMark/>
          </w:tcPr>
          <w:p w14:paraId="1F9A54B8" w14:textId="77777777" w:rsidR="00A37364" w:rsidRPr="00740F9B" w:rsidRDefault="00A37364" w:rsidP="00740F9B">
            <w:pPr>
              <w:spacing w:after="0" w:line="240" w:lineRule="auto"/>
              <w:rPr>
                <w:rFonts w:ascii="Times New Roman" w:eastAsia="Times New Roman" w:hAnsi="Times New Roman" w:cs="Times New Roman"/>
                <w:sz w:val="24"/>
                <w:szCs w:val="24"/>
                <w:lang w:bidi="hi-IN"/>
              </w:rPr>
            </w:pPr>
            <w:r w:rsidRPr="00740F9B">
              <w:rPr>
                <w:rFonts w:ascii="Times New Roman" w:eastAsia="Times New Roman" w:hAnsi="Times New Roman" w:cs="Times New Roman"/>
                <w:sz w:val="24"/>
                <w:szCs w:val="24"/>
                <w:lang w:bidi="hi-IN"/>
              </w:rPr>
              <w:t>Example</w:t>
            </w:r>
          </w:p>
        </w:tc>
      </w:tr>
    </w:tbl>
    <w:p w14:paraId="2E1270F0" w14:textId="77777777" w:rsidR="00740F9B" w:rsidRPr="00740F9B" w:rsidRDefault="00740F9B" w:rsidP="00740F9B">
      <w:pPr>
        <w:pBdr>
          <w:bottom w:val="single" w:sz="6" w:space="1" w:color="auto"/>
        </w:pBdr>
        <w:spacing w:after="0" w:line="240" w:lineRule="auto"/>
        <w:jc w:val="center"/>
        <w:rPr>
          <w:rFonts w:ascii="Arial" w:eastAsia="Times New Roman" w:hAnsi="Arial" w:cs="Mangal"/>
          <w:vanish/>
          <w:sz w:val="16"/>
          <w:szCs w:val="14"/>
          <w:lang w:bidi="hi-IN"/>
        </w:rPr>
      </w:pPr>
      <w:r w:rsidRPr="00740F9B">
        <w:rPr>
          <w:rFonts w:ascii="Arial" w:eastAsia="Times New Roman" w:hAnsi="Arial" w:cs="Mangal"/>
          <w:vanish/>
          <w:sz w:val="16"/>
          <w:szCs w:val="14"/>
          <w:lang w:bidi="hi-IN"/>
        </w:rPr>
        <w:t>Top of Form</w:t>
      </w:r>
    </w:p>
    <w:p w14:paraId="65E107A7" w14:textId="77777777" w:rsidR="00740F9B" w:rsidRDefault="00740F9B" w:rsidP="00067946">
      <w:pPr>
        <w:jc w:val="both"/>
        <w:rPr>
          <w:rFonts w:ascii="Times New Roman" w:hAnsi="Times New Roman" w:cs="Times New Roman"/>
          <w:sz w:val="24"/>
          <w:szCs w:val="24"/>
        </w:rPr>
      </w:pPr>
    </w:p>
    <w:p w14:paraId="74345800" w14:textId="7B073110" w:rsidR="00016981" w:rsidRPr="00016981" w:rsidRDefault="00016981" w:rsidP="00420679">
      <w:pPr>
        <w:pStyle w:val="Heading1"/>
        <w:numPr>
          <w:ilvl w:val="0"/>
          <w:numId w:val="1"/>
        </w:numPr>
      </w:pPr>
      <w:r w:rsidRPr="00016981">
        <w:t>Conclusion</w:t>
      </w:r>
    </w:p>
    <w:p w14:paraId="64A86E30" w14:textId="4E43DE63" w:rsidR="00016981" w:rsidRDefault="00016981" w:rsidP="00067946">
      <w:pPr>
        <w:jc w:val="both"/>
        <w:rPr>
          <w:rFonts w:ascii="Times New Roman" w:hAnsi="Times New Roman" w:cs="Times New Roman"/>
          <w:sz w:val="24"/>
          <w:szCs w:val="24"/>
        </w:rPr>
      </w:pPr>
      <w:r w:rsidRPr="00016981">
        <w:rPr>
          <w:rFonts w:ascii="Times New Roman" w:hAnsi="Times New Roman" w:cs="Times New Roman"/>
          <w:sz w:val="24"/>
          <w:szCs w:val="24"/>
        </w:rPr>
        <w:t xml:space="preserve">In conclusion, liquid chromatography-mass spectrometry (LC-MS) has emerged as a pivotal technology in high-throughput screening of biomarkers. Its exceptional sensitivity, selectivity, and versatility have revolutionized biomarker analysis, enabling the identification and quantification of a diverse array of biomolecules, including proteins, peptides, metabolites, lipids, and modified nucleotides. LC-MS's ability to rapidly analyze large sample cohorts and its capacity for </w:t>
      </w:r>
      <w:r w:rsidRPr="00016981">
        <w:rPr>
          <w:rFonts w:ascii="Times New Roman" w:hAnsi="Times New Roman" w:cs="Times New Roman"/>
          <w:sz w:val="24"/>
          <w:szCs w:val="24"/>
        </w:rPr>
        <w:lastRenderedPageBreak/>
        <w:t>multiplexed analysis have propelled biomarker research to new heights, facilitating the discovery and validation of diagnostic, prognostic, and predictive biomarkers. Through its integration with other omics technologies, LC-MS has provided a holistic view of complex biological systems and disease mechanisms. As a result, LC-MS plays a pivotal role in advancing personalized medicine, early disease detection, patient stratification, and drug development. Continual advancements in LC-MS technology and data analysis methodologies will undoubtedly strengthen its impact in biomarker research, paving the way for more precise and effective healthcare strategies.</w:t>
      </w:r>
    </w:p>
    <w:p w14:paraId="1CB75EB7" w14:textId="151AA0F4" w:rsidR="003B0BAE" w:rsidRPr="003B0BAE" w:rsidRDefault="003B0BAE" w:rsidP="00067946">
      <w:pPr>
        <w:jc w:val="both"/>
        <w:rPr>
          <w:rFonts w:ascii="Times New Roman" w:hAnsi="Times New Roman" w:cs="Times New Roman"/>
          <w:b/>
          <w:bCs/>
          <w:sz w:val="24"/>
          <w:szCs w:val="24"/>
        </w:rPr>
      </w:pPr>
      <w:r w:rsidRPr="003B0BAE">
        <w:rPr>
          <w:rFonts w:ascii="Times New Roman" w:hAnsi="Times New Roman" w:cs="Times New Roman"/>
          <w:b/>
          <w:bCs/>
          <w:sz w:val="24"/>
          <w:szCs w:val="24"/>
        </w:rPr>
        <w:t xml:space="preserve">Conflict of interest </w:t>
      </w:r>
    </w:p>
    <w:p w14:paraId="399D738D" w14:textId="61813CC1" w:rsidR="003B0BAE" w:rsidRDefault="003B0BAE" w:rsidP="00067946">
      <w:pPr>
        <w:jc w:val="both"/>
        <w:rPr>
          <w:rFonts w:ascii="Times New Roman" w:hAnsi="Times New Roman" w:cs="Times New Roman"/>
          <w:sz w:val="24"/>
          <w:szCs w:val="24"/>
        </w:rPr>
      </w:pPr>
      <w:r>
        <w:rPr>
          <w:rFonts w:ascii="Times New Roman" w:hAnsi="Times New Roman" w:cs="Times New Roman"/>
          <w:sz w:val="24"/>
          <w:szCs w:val="24"/>
        </w:rPr>
        <w:t>Author</w:t>
      </w:r>
      <w:r w:rsidR="006307E4">
        <w:rPr>
          <w:rFonts w:ascii="Times New Roman" w:hAnsi="Times New Roman" w:cs="Times New Roman"/>
          <w:sz w:val="24"/>
          <w:szCs w:val="24"/>
        </w:rPr>
        <w:t>s</w:t>
      </w:r>
      <w:r>
        <w:rPr>
          <w:rFonts w:ascii="Times New Roman" w:hAnsi="Times New Roman" w:cs="Times New Roman"/>
          <w:sz w:val="24"/>
          <w:szCs w:val="24"/>
        </w:rPr>
        <w:t xml:space="preserve"> declare no conflict of interest. </w:t>
      </w:r>
    </w:p>
    <w:p w14:paraId="3604B2EC" w14:textId="7CD253B0" w:rsidR="006307E4" w:rsidRPr="006307E4" w:rsidRDefault="006307E4" w:rsidP="00067946">
      <w:pPr>
        <w:jc w:val="both"/>
        <w:rPr>
          <w:rFonts w:ascii="Times New Roman" w:hAnsi="Times New Roman" w:cs="Times New Roman"/>
          <w:b/>
          <w:bCs/>
          <w:sz w:val="24"/>
          <w:szCs w:val="24"/>
        </w:rPr>
      </w:pPr>
      <w:r w:rsidRPr="006307E4">
        <w:rPr>
          <w:rFonts w:ascii="Times New Roman" w:hAnsi="Times New Roman" w:cs="Times New Roman"/>
          <w:b/>
          <w:bCs/>
          <w:sz w:val="24"/>
          <w:szCs w:val="24"/>
        </w:rPr>
        <w:t xml:space="preserve">Acknowledgement </w:t>
      </w:r>
    </w:p>
    <w:p w14:paraId="19BBAA5E" w14:textId="55321F39" w:rsidR="00BB6AAB" w:rsidRDefault="006307E4" w:rsidP="00067946">
      <w:pPr>
        <w:jc w:val="both"/>
        <w:rPr>
          <w:rFonts w:ascii="Times New Roman" w:hAnsi="Times New Roman" w:cs="Times New Roman"/>
          <w:sz w:val="24"/>
          <w:szCs w:val="24"/>
        </w:rPr>
      </w:pPr>
      <w:r>
        <w:rPr>
          <w:rFonts w:ascii="Times New Roman" w:hAnsi="Times New Roman" w:cs="Times New Roman"/>
          <w:sz w:val="24"/>
          <w:szCs w:val="24"/>
        </w:rPr>
        <w:t xml:space="preserve">Authors would like to acknowledge Dr. Gaurav, IIMT college of medical sciences, IIMT university, Meerut, Uttar Pradesh-250001 for conceptualization and drafting the study. </w:t>
      </w:r>
    </w:p>
    <w:p w14:paraId="20A1E3C9" w14:textId="7DAC69C9" w:rsidR="00A5269D" w:rsidRDefault="00A5269D" w:rsidP="00067946">
      <w:pPr>
        <w:jc w:val="both"/>
        <w:rPr>
          <w:rFonts w:ascii="Times New Roman" w:hAnsi="Times New Roman" w:cs="Times New Roman"/>
          <w:sz w:val="24"/>
          <w:szCs w:val="24"/>
        </w:rPr>
      </w:pPr>
    </w:p>
    <w:p w14:paraId="5A634711" w14:textId="7A7B44BC" w:rsidR="00A5269D" w:rsidRPr="00A5269D" w:rsidRDefault="00A5269D" w:rsidP="00067946">
      <w:pPr>
        <w:jc w:val="both"/>
        <w:rPr>
          <w:rFonts w:ascii="Times New Roman" w:hAnsi="Times New Roman" w:cs="Times New Roman"/>
          <w:b/>
          <w:bCs/>
          <w:sz w:val="24"/>
          <w:szCs w:val="24"/>
        </w:rPr>
      </w:pPr>
      <w:r>
        <w:rPr>
          <w:rFonts w:ascii="Times New Roman" w:hAnsi="Times New Roman" w:cs="Times New Roman"/>
          <w:sz w:val="24"/>
          <w:szCs w:val="24"/>
        </w:rPr>
        <w:br w:type="column"/>
      </w:r>
      <w:r w:rsidRPr="00A5269D">
        <w:rPr>
          <w:rFonts w:ascii="Times New Roman" w:hAnsi="Times New Roman" w:cs="Times New Roman"/>
          <w:b/>
          <w:bCs/>
          <w:sz w:val="24"/>
          <w:szCs w:val="24"/>
        </w:rPr>
        <w:lastRenderedPageBreak/>
        <w:t>References</w:t>
      </w:r>
    </w:p>
    <w:p w14:paraId="4A387285" w14:textId="77777777" w:rsidR="00016981" w:rsidRPr="00726C2E" w:rsidRDefault="00016981" w:rsidP="003C2C0D">
      <w:pPr>
        <w:jc w:val="both"/>
        <w:rPr>
          <w:rFonts w:ascii="Times New Roman" w:hAnsi="Times New Roman" w:cs="Times New Roman"/>
          <w:sz w:val="24"/>
          <w:szCs w:val="24"/>
        </w:rPr>
      </w:pPr>
    </w:p>
    <w:p w14:paraId="1CD11264" w14:textId="010D755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3C2C0D">
        <w:rPr>
          <w:rFonts w:ascii="Times New Roman" w:hAnsi="Times New Roman" w:cs="Times New Roman"/>
          <w:noProof/>
          <w:sz w:val="24"/>
          <w:szCs w:val="24"/>
        </w:rPr>
        <w:t>Ahmad, S., Zahiruddin, S., Parveen, B., Basist, P., Parveen, A., Gaurav, Parveen, R., Ahmad, M., 2021. Indian Medicinal Plants and Formulations and Their Potential Against COVID-19–Preclinical and Clinical Research. Front. Pharmacol. https://doi.org/10.3389/fphar.2020.578970</w:t>
      </w:r>
    </w:p>
    <w:p w14:paraId="1BBB55AE"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Alqahtani, M.J., Mostafa, S.A., Hussein, I.A., Elhawary, S., Mokhtar, F.A., Albogami, S., Tomczyk, M., Batiha, G.E.S., Negm, W.A., 2022. Metabolic Profiling of Jasminum grandiflorum L. Flowers and Protective Role against Cisplatin-Induced Nephrotoxicity: Network Pharmacology and In Vivo Validation. Metabolites 12. https://doi.org/10.3390/metabo12090792</w:t>
      </w:r>
    </w:p>
    <w:p w14:paraId="7CD2B565"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Aouri, M., Calmy, A., Hirschel, B., Telenti, A., Buclin, T., Cavassini, M., Rauch, A., Decosterd, L.A., 2013. A validated assay by liquid chromatography-tandem mass spectrometry for the simultaneous quantification of elvitegravir and rilpivirine in HIV positive patients. J. Mass Spectrom. https://doi.org/10.1002/jms.3200</w:t>
      </w:r>
    </w:p>
    <w:p w14:paraId="3A85E4F2"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Burton, A.J., Wadsworth, A.H., 2007. Stable isotopic labelling of heterocyclic compounds, in: Journal of Labelled Compounds and Radiopharmaceuticals. https://doi.org/10.1002/jlcr.1235</w:t>
      </w:r>
    </w:p>
    <w:p w14:paraId="3DACD821"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Camperi, J., Goyon, A., Guillarme, D., Zhang, K., Stella, C., 2021. Multi-dimensional LC-MS: The next generation characterization of antibody-based therapeutics by unified online bottom-up, middle-up and intact approaches. Analyst 146, 747–769. https://doi.org/10.1039/d0an01963a</w:t>
      </w:r>
    </w:p>
    <w:p w14:paraId="2AEC3704"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Cancelada, L., Torres, R.R., Garrafa Luna, J., Dorrestein, P.C., Aluwihare, L.I., Prather, K.A., Petras, D., 2022. Assessment of styrene-divinylbenzene polymer (PPL) solid-phase extraction and non-targeted tandem mass spectrometry for the analysis of xenobiotics in seawater. Limnol. Oceanogr. Methods. https://doi.org/10.1002/lom3.10470</w:t>
      </w:r>
    </w:p>
    <w:p w14:paraId="430763CD"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Chao, M.R., Evans, M.D., Hu, C.W., Ji, Y., Møller, P., Rossner, P., Cooke, M.S., 2021. Biomarkers of nucleic acid oxidation – A summary state-of-the-art. Redox Biol. https://doi.org/10.1016/j.redox.2021.101872</w:t>
      </w:r>
    </w:p>
    <w:p w14:paraId="0D8C9707"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Chavez Soria, N.G., Bisson, M.A., Atilla-Gokcumen, G.E., Aga, D.S., 2019. High-resolution mass spectrometry-based metabolomics reveal the disruption of jasmonic pathway in Arabidopsis thaliana upon copper oxide nanoparticle exposure. Sci. Total Environ. https://doi.org/10.1016/j.scitotenv.2019.07.249</w:t>
      </w:r>
    </w:p>
    <w:p w14:paraId="658A9C11"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Crittenden, C.M., Lanzillotti, M.B., Chen, B., 2023. Top-Down Mass Spectrometry of Synthetic Single Guide Ribonucleic Acids Enabled by Facile Sample Clean-Up. Anal. Chem. https://doi.org/10.1021/acs.analchem.2c03030</w:t>
      </w:r>
    </w:p>
    <w:p w14:paraId="11921EAE"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Deseo, M.A., Elkins, A., Rochfort, S., Kitchen, B., 2020. Antioxidant activity and polyphenol composition of sugarcane molasses extract. Food Chem. https://doi.org/10.1016/j.foodchem.2020.126180</w:t>
      </w:r>
    </w:p>
    <w:p w14:paraId="2DAFBF45"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lastRenderedPageBreak/>
        <w:t>Dey, K.K., Wang, H., Niu, M., Bai, B., Wang, X., Li, Y., Cho, J.H., Tan, H., Mishra, A., High, A.A., Chen, P.C., Wu, Z., Beach, T.G., Peng, J., 2019. Deep undepleted human serum proteome profiling toward biomarker discovery for Alzheimer’s disease. Clin. Proteomics. https://doi.org/10.1186/s12014-019-9237-1</w:t>
      </w:r>
    </w:p>
    <w:p w14:paraId="4A498D89"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Dolashka, P., Daskalova, A., Dolashki, A., Voelter, W., 2020. De novo structural determination of the oligosaccharide structure of hemocyanins from molluscs. Biomolecules. https://doi.org/10.3390/biom10111470</w:t>
      </w:r>
    </w:p>
    <w:p w14:paraId="02C7A7F3"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Gaurav, 2022. GC–MS metabolomics and network pharmacology-based investigation of molecular mechanism of identified metabolites from Tinospora cordifolia (Willd.) miers for the treatment of kidney diseases. Pharmacogn. Mag. 18, 548–558. https://doi.org/10.4103/pm.pm_582_21</w:t>
      </w:r>
    </w:p>
    <w:p w14:paraId="4082CD53"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Gaurav, Khan, M.U., Basist, P., Zahiruddin, S., Ibrahim, M., Parveen, R., Krishnan, A., Ahmad, S., 2022. Nephroprotective potential of Boerhaavia diffusa and Tinospora cordifolia herbal combination against diclofenac induced nephrotoxicity. South African J. Bot. 000. https://doi.org/10.1016/j.sajb.2022.01.038</w:t>
      </w:r>
    </w:p>
    <w:p w14:paraId="750BBDE5"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Gaurav, Sharma, I., Khan, M.U., Zahiruddin, S., Basist, P., Ahmad, S., 2023. Multi-Mechanistic and Therapeutic Exploration of Nephroprotective Effect of Traditional Ayurvedic Polyherbal Formulation Using In Silico, In Vitro and In Vivo Approaches. Biomedicines 11. https://doi.org/10.3390/biomedicines11010168</w:t>
      </w:r>
    </w:p>
    <w:p w14:paraId="5E80FBBE"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Gaurav, Zahiruddin, S., Parveen, B., Ibrahim, M., Sharma, I., Sharma, S., Sharma, A.K., Parveen, R., Ahmad, S., 2020. TLC-MS bioautography-based identification of free-radical scavenging, α‑amylase, and α‑glucosidase inhibitor compounds of antidiabetic tablet BGR-34. ACS Omega. https://doi.org/10.1021/acsomega.0c02995</w:t>
      </w:r>
    </w:p>
    <w:p w14:paraId="1546841D"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Gautam, G., 2022. Network Pharmacology-Based Validation of Traditional Therapeutic Claim of Momordica Charantiain Alleviating Diabetic Nephropathy. J. CAM Res. Prog. 1, 1–10.</w:t>
      </w:r>
    </w:p>
    <w:p w14:paraId="4D470914"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Gautam, G., Parveen, R., Ahmad, S., 2023. LC-MS-based Metabolomics of Medicinal Plants, in: Omics Studies of Medicinal Plants. https://doi.org/10.1201/9781003179139-9</w:t>
      </w:r>
    </w:p>
    <w:p w14:paraId="3934151D"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Gray, C.J., Compagnon, I., Flitsch, S.L., 2020. Mass spectrometry hybridized with gas-phase InfraRed spectroscopy for glycan sequencing. Curr. Opin. Struct. Biol. https://doi.org/10.1016/j.sbi.2019.12.014</w:t>
      </w:r>
    </w:p>
    <w:p w14:paraId="1E1AD300"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Gray, C.J., Thomas, B., Upton, R., Migas, L.G., Eyers, C.E., Barran, P.E., Flitsch, S.L., 2016. Applications of ion mobility mass spectrometry for high throughput, high resolution glycan analysis. Biochim. Biophys. Acta - Gen. Subj. https://doi.org/10.1016/j.bbagen.2016.02.003</w:t>
      </w:r>
    </w:p>
    <w:p w14:paraId="061D7C33"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Guenette, S.A., Beaudry, F., Marier, J.F., Vachon, P., 2006. Pharmacokinetics and anesthetic activity of eugenol in male Sprague-Dawley rats. J. Vet. Pharmacol. Ther. https://doi.org/10.1111/j.1365-2885.2006.00740.x</w:t>
      </w:r>
    </w:p>
    <w:p w14:paraId="343251CC"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 xml:space="preserve">Hollis, B.W., Horst, R.L., 2007. The assessment of circulating 25(OH)D and 1,25(OH)2D: Where we are and where we are going. J. Steroid Biochem. Mol. Biol. </w:t>
      </w:r>
      <w:r w:rsidRPr="003C2C0D">
        <w:rPr>
          <w:rFonts w:ascii="Times New Roman" w:hAnsi="Times New Roman" w:cs="Times New Roman"/>
          <w:noProof/>
          <w:sz w:val="24"/>
          <w:szCs w:val="24"/>
        </w:rPr>
        <w:lastRenderedPageBreak/>
        <w:t>https://doi.org/10.1016/j.jsbmb.2006.11.004</w:t>
      </w:r>
    </w:p>
    <w:p w14:paraId="0978CB77"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Huang, Y.P., Robinson, R.C., Dias, F.F.G., de Moura Bell, J.M.L.N., Barile, D., 2022. Solid-Phase Extraction Approaches for Improving Oligosaccharide and Small Peptide Identification with Liquid Chromatography-High-Resolution Mass Spectrometry: A Case Study on Proteolyzed Almond Extract. Foods. https://doi.org/10.3390/foods11030340</w:t>
      </w:r>
    </w:p>
    <w:p w14:paraId="7A224B3A"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Ibrahim, M., Parveen, B., Zahiruddin, S., Gautam, G., Parveen, R., Ahmed, M., Arun, K., Sayeed, G., 2021. Analysis of polyphenols in Aegle marmelos leaf and ameliorative efficacy against diabetic mice through restoration of antioxidant and anti- ­ inflammatory status 1–15. https://doi.org/10.1111/jfbc.13852</w:t>
      </w:r>
    </w:p>
    <w:p w14:paraId="10ACD65A"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Khan, A., Zahiruddin, S., Ibrahim, M., Basist, P., Gaurav, Parveen, R., Umar, S., Ahmad, S., 2021. Thin layer chromatography-mass spectrometry bioautographic identification of free radical scavenging compounds and metabolomic profile of Carica papaya linn. fruit and seeds using high-performance thin-layer chromatography, gas chromatography-mass spectro. Pharmacogn. Mag. https://doi.org/10.4103/pm.pm_326_20</w:t>
      </w:r>
    </w:p>
    <w:p w14:paraId="51A7EBEC"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Khan, M.U., Gaurav, Zahiruddin, S., Basist, P., Krishnan, A., Parveen, R., Ahmad, S., 2022a. Nephroprotective potential of Sharbat-e-Bazoori Motadil (sugar-free) in HEK-293 cells and Wistar rats against cisplatin induced nephrotoxicity. J. King Saud Univ. - Sci. 34, 101839. https://doi.org/10.1016/j.jksus.2022.101839</w:t>
      </w:r>
    </w:p>
    <w:p w14:paraId="3212A38A"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Khan, M.U., Gautam, G., Jan, B., Zahiruddin, S., Parveen, R., Ahmad, S., 2022b. Vitamin D from Vegetable VV Sources: Hope for the Future. Phytomedicine Plus. https://doi.org/10.1016/j.phyplu.2022.100248</w:t>
      </w:r>
    </w:p>
    <w:p w14:paraId="1018A0B4"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Lai, K.M., Cheng, Y.Y., Tsai, T.H., 2015. Integrated LC-MS/MS analytical systems and physical inspection for the analysis of a botanical herbal preparation. Molecules. https://doi.org/10.3390/molecules200610641</w:t>
      </w:r>
    </w:p>
    <w:p w14:paraId="1BD9DC61"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Maekawa, M., Mano, N., 2022. Searching, Structural Determination, and Diagnostic Performance Evaluation of Biomarker Molecules for Niemann–Pick Disease Type C Using Liquid Chromatography/Tandem Mass Spectrometry. Mass Spectrom. https://doi.org/10.5702/massspectrometry.A0111</w:t>
      </w:r>
    </w:p>
    <w:p w14:paraId="0FE8378E"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Mameli, M., Franchi, J., Calusi, G., Deken, M.A., Johnson, Z., van der Veen, L., Lahn, M., Vezzelli, A., Cardin, R., Greco, A., Breda, M., 2022. Validation of an LC–MS/MS method for the quantification IOA-289 in human plasma and its application in a first-in-human clinical trial. J. Pharm. Biomed. Anal. https://doi.org/10.1016/j.jpba.2022.114829</w:t>
      </w:r>
    </w:p>
    <w:p w14:paraId="5AA7EC8B"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Manz, C., Mancera-Arteu, M., Zappe, A., Hanozin, E., Polewski, L., Giménez, E., Sanz-Nebot, V., Pagel, K., 2022. Determination of Sialic Acid Isomers from Released N-Glycans Using Ion Mobility Spectrometry. Anal. Chem. https://doi.org/10.1021/acs.analchem.2c00783</w:t>
      </w:r>
    </w:p>
    <w:p w14:paraId="772A85E8"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Matysik, S., Krautbauer, S., Liebisch, G., Schött, H.F., Kjølbæk, L., Astrup, A., Blachier, F., Beaumont, M., Nieuwdorp, M., Hartstra, A., Rampelli, S., Pagotto, U., Iozzo, P., 2021. Short-chain fatty acids and bile acids in human faeces are associated with the intestinal cholesterol conversion status. Br. J. Pharmacol. https://doi.org/10.1111/bph.15440</w:t>
      </w:r>
    </w:p>
    <w:p w14:paraId="35600753"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lastRenderedPageBreak/>
        <w:t>Miedzybrodzka, E.L., Foreman, R.E., Galvin, S.G., Larraufie, P., George, A.L., Goldspink, D.A., Reimann, F., Gribble, F.M., Kay, R.G., 2020. Organoid Sample Preparation and Extraction for LC-MS Peptidomics. STAR Protoc. https://doi.org/10.1016/j.xpro.2020.100164</w:t>
      </w:r>
    </w:p>
    <w:p w14:paraId="4005C050"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Muir, R.M., Ibáñez, A.M., Uratsu, S.L., Ingham, E.S., Leslie, C.A., McGranahan, G.H., Batra, N., Goyal, S., Joseph, J., Jemmis, E.D., Dandekar, A.M., 2011. Mechanism of gallic acid biosynthesis in bacteria (Escherichia coli) and walnut (Juglans regia). Plant Mol. Biol. https://doi.org/10.1007/s11103-011-9739-3</w:t>
      </w:r>
    </w:p>
    <w:p w14:paraId="37AF89A4"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Parveen, R., Khan, N., Zahiruddin, S., Ibrahim, M., Anjum, V., Parveen, B., Khan, M.A., 2020. TLC-Bioautographic Evaluation for High-Throughput Screening and Identification of Free Radical Scavenging and Antidiabetic Compounds from Traditional Unani Medicinal Plant: Citrullus colocynthis Schrad. J. AOAC Int. https://doi.org/10.5740/jaoacint.19-0287</w:t>
      </w:r>
    </w:p>
    <w:p w14:paraId="6440247B"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Ponzini, E., Santambrogio, C., De Palma, A., Mauri, P., Tavazzi, S., Grandori, R., 2022. Mass spectrometry-based tear proteomics for noninvasive biomarker discovery. Mass Spectrom. Rev. https://doi.org/10.1002/mas.21691</w:t>
      </w:r>
    </w:p>
    <w:p w14:paraId="0BC45C9A"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Rao Gajula, S.N., Nanjappan, S., 2021. Metabolomics: a recent advanced omics technology in herbal medicine research, in: Medicinal and Aromatic Plants. pp. 97–117. https://doi.org/10.1016/b978-0-12-819590-1.00005-7</w:t>
      </w:r>
    </w:p>
    <w:p w14:paraId="0721323A"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Saha, A., Duchambon, P., Masson, V., Loew, D., Bombard, S., Teulade-Fichou, M.P., 2020. Nucleolin Discriminates Drastically between Long-Loop and Short-Loop Quadruplexes. Biochemistry. https://doi.org/10.1021/acs.biochem.9b01094</w:t>
      </w:r>
    </w:p>
    <w:p w14:paraId="1F9089FA"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Siddiqui, G., Srivastava, A., Russell, A.S., Creek, D.J., 2017. Multi-omics based identification of specific biochemical changes associated with PfKelch13-mutant artemisinin-resistant plasmodium falciparum. J. Infect. Dis. https://doi.org/10.1093/infdis/jix156</w:t>
      </w:r>
    </w:p>
    <w:p w14:paraId="070A0A6D"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Sigdel, T.K., Nicora, C.D., Hsieh, S.C., Dai, H., Qian, W.J., Camp, D.G., Sarwal, M.M., 2014. Optimization for peptide sample preparation for urine peptidomics. Clin. Proteomics. https://doi.org/10.1186/1559-0275-11-7</w:t>
      </w:r>
    </w:p>
    <w:p w14:paraId="273E9978"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Siless, G.E., Gallardo, G.L., Rodriguez, M.A., Rincón, Y.A., Godeas, A.M., Cabrera, G.M., 2018. Metabolites from the Dark Septate Endophyte Drechslera sp. Evaluation by LC/MS and Principal Component Analysis of Culture Extracts with Histone Deacetylase Inhibitors. Chem. Biodivers. https://doi.org/10.1002/cbdv.201800133</w:t>
      </w:r>
    </w:p>
    <w:p w14:paraId="279247F8"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Singh, A., Tandon, S., Nandi, S.P., Kaur, T., Tandon, C., 2021. Downregulation of inflammatory mediators by ethanolic extract of Bergenia ligulata (Wall.) in oxalate injured renal epithelial cells. J. Ethnopharmacol. https://doi.org/10.1016/j.jep.2021.114104</w:t>
      </w:r>
    </w:p>
    <w:p w14:paraId="31DFB17D"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Sun, Y., Li, W., Fitzloff, J.F., Van Breemen, R.B., 2005. Liquid chromatography/electrospray tandem mass spectrometry of terpenoid lactones in Ginkgo biloba. J. Mass Spectrom. https://doi.org/10.1002/jms.795</w:t>
      </w:r>
    </w:p>
    <w:p w14:paraId="6DA8CB52"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 xml:space="preserve">Taoka, M., Nobe, Y., Hori, M., Takeuchi, A., Masaki, S., Yamauchi, Y., Nakayama, H., Takahashi, N., Isobe, T., 2015. A mass spectrometry-based method for comprehensive </w:t>
      </w:r>
      <w:r w:rsidRPr="003C2C0D">
        <w:rPr>
          <w:rFonts w:ascii="Times New Roman" w:hAnsi="Times New Roman" w:cs="Times New Roman"/>
          <w:noProof/>
          <w:sz w:val="24"/>
          <w:szCs w:val="24"/>
        </w:rPr>
        <w:lastRenderedPageBreak/>
        <w:t>quantitative determination of post-transcriptional RNA modifications: The complete chemical structure of Schizosaccharomyces pombe ribosomal RNAs. Nucleic Acids Res. https://doi.org/10.1093/nar/gkv560</w:t>
      </w:r>
    </w:p>
    <w:p w14:paraId="7F8CEA7E"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Tozaki, T., Karasawa, K., Minamijima, Y., Ishii, H., Kikuchi, M., Kakoi, H., Hirota, K.I., Kusano, K., Nagata, S.I., 2018. Detection of phosphorothioated (PS) oligonucleotides in horse plasma using a product ion (m/z 94.9362) derived from the PS moiety for doping control. BMC Res. Notes. https://doi.org/10.1186/s13104-018-3885-5</w:t>
      </w:r>
    </w:p>
    <w:p w14:paraId="5C0CDE94"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Tuli, L., Ressom, H.W., 2009. LC-MS based detection of differential protein expression. J. Proteomics Bioinforma. https://doi.org/10.4172/jpb.1000102</w:t>
      </w:r>
    </w:p>
    <w:p w14:paraId="74C3C8E0"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C2C0D">
        <w:rPr>
          <w:rFonts w:ascii="Times New Roman" w:hAnsi="Times New Roman" w:cs="Times New Roman"/>
          <w:noProof/>
          <w:sz w:val="24"/>
          <w:szCs w:val="24"/>
        </w:rPr>
        <w:t>Zahiruddin, S., Parveen, A., Khan, W., Parveen, R., Ahmad, S., 2021. TLC-Based Metabolite Profiling and Bioactivity-Based Scientific Validation for Use of Water Extracts in AYUSH Formulations 2021.</w:t>
      </w:r>
    </w:p>
    <w:p w14:paraId="15FE35E9" w14:textId="77777777" w:rsidR="003C2C0D" w:rsidRPr="003C2C0D" w:rsidRDefault="003C2C0D" w:rsidP="003C2C0D">
      <w:pPr>
        <w:widowControl w:val="0"/>
        <w:autoSpaceDE w:val="0"/>
        <w:autoSpaceDN w:val="0"/>
        <w:adjustRightInd w:val="0"/>
        <w:spacing w:line="240" w:lineRule="auto"/>
        <w:ind w:left="480" w:hanging="480"/>
        <w:jc w:val="both"/>
        <w:rPr>
          <w:rFonts w:ascii="Times New Roman" w:hAnsi="Times New Roman" w:cs="Times New Roman"/>
          <w:noProof/>
          <w:sz w:val="24"/>
        </w:rPr>
      </w:pPr>
      <w:r w:rsidRPr="003C2C0D">
        <w:rPr>
          <w:rFonts w:ascii="Times New Roman" w:hAnsi="Times New Roman" w:cs="Times New Roman"/>
          <w:noProof/>
          <w:sz w:val="24"/>
          <w:szCs w:val="24"/>
        </w:rPr>
        <w:t>Zhou, B., Xiao, J.F., Tuli, L., Ressom, H.W., 2012. LC-MS-based metabolomics. Mol. Biosyst. https://doi.org/10.1039/c1mb05350g</w:t>
      </w:r>
    </w:p>
    <w:p w14:paraId="4719DB9F" w14:textId="08E9812E" w:rsidR="00726C2E" w:rsidRPr="00726C2E" w:rsidRDefault="003C2C0D" w:rsidP="003C2C0D">
      <w:pPr>
        <w:jc w:val="both"/>
        <w:rPr>
          <w:rFonts w:ascii="Times New Roman" w:hAnsi="Times New Roman" w:cs="Times New Roman"/>
          <w:sz w:val="24"/>
          <w:szCs w:val="24"/>
        </w:rPr>
      </w:pPr>
      <w:r>
        <w:rPr>
          <w:rFonts w:ascii="Times New Roman" w:hAnsi="Times New Roman" w:cs="Times New Roman"/>
          <w:sz w:val="24"/>
          <w:szCs w:val="24"/>
        </w:rPr>
        <w:fldChar w:fldCharType="end"/>
      </w:r>
    </w:p>
    <w:p w14:paraId="460B315D" w14:textId="77777777" w:rsidR="00726C2E" w:rsidRPr="00726C2E" w:rsidRDefault="00726C2E" w:rsidP="00726C2E">
      <w:pPr>
        <w:jc w:val="both"/>
        <w:rPr>
          <w:rFonts w:ascii="Times New Roman" w:hAnsi="Times New Roman" w:cs="Times New Roman"/>
          <w:sz w:val="24"/>
          <w:szCs w:val="24"/>
        </w:rPr>
      </w:pPr>
    </w:p>
    <w:p w14:paraId="36718504" w14:textId="77777777" w:rsidR="00726C2E" w:rsidRPr="00726C2E" w:rsidRDefault="00726C2E" w:rsidP="00726C2E">
      <w:pPr>
        <w:jc w:val="both"/>
        <w:rPr>
          <w:rFonts w:ascii="Times New Roman" w:hAnsi="Times New Roman" w:cs="Times New Roman"/>
          <w:sz w:val="24"/>
          <w:szCs w:val="24"/>
        </w:rPr>
      </w:pPr>
    </w:p>
    <w:p w14:paraId="3C08C830" w14:textId="77777777" w:rsidR="00726C2E" w:rsidRPr="00726C2E" w:rsidRDefault="00726C2E" w:rsidP="00726C2E">
      <w:pPr>
        <w:jc w:val="both"/>
        <w:rPr>
          <w:rFonts w:ascii="Times New Roman" w:hAnsi="Times New Roman" w:cs="Times New Roman"/>
          <w:sz w:val="24"/>
          <w:szCs w:val="24"/>
        </w:rPr>
      </w:pPr>
    </w:p>
    <w:p w14:paraId="3227DA01" w14:textId="77777777" w:rsidR="005C2844" w:rsidRPr="00511B3E" w:rsidRDefault="005C2844" w:rsidP="00511B3E">
      <w:pPr>
        <w:jc w:val="both"/>
        <w:rPr>
          <w:rFonts w:ascii="Times New Roman" w:hAnsi="Times New Roman" w:cs="Times New Roman"/>
          <w:sz w:val="24"/>
          <w:szCs w:val="24"/>
        </w:rPr>
      </w:pPr>
    </w:p>
    <w:p w14:paraId="4244E5AB" w14:textId="77777777" w:rsidR="00511B3E" w:rsidRPr="00511B3E" w:rsidRDefault="00511B3E" w:rsidP="00511B3E">
      <w:pPr>
        <w:jc w:val="both"/>
        <w:rPr>
          <w:rFonts w:ascii="Times New Roman" w:hAnsi="Times New Roman" w:cs="Times New Roman"/>
          <w:sz w:val="24"/>
          <w:szCs w:val="24"/>
        </w:rPr>
      </w:pPr>
    </w:p>
    <w:p w14:paraId="68D3DE40" w14:textId="22D2214E" w:rsidR="00511B3E" w:rsidRDefault="00511B3E" w:rsidP="009022FC">
      <w:pPr>
        <w:jc w:val="both"/>
        <w:rPr>
          <w:rFonts w:ascii="Times New Roman" w:hAnsi="Times New Roman" w:cs="Times New Roman"/>
          <w:sz w:val="24"/>
          <w:szCs w:val="24"/>
        </w:rPr>
      </w:pPr>
    </w:p>
    <w:p w14:paraId="0BF1CB37" w14:textId="77777777" w:rsidR="00911E4B" w:rsidRDefault="00911E4B"/>
    <w:sectPr w:rsidR="00911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97B74"/>
    <w:multiLevelType w:val="multilevel"/>
    <w:tmpl w:val="F4C8262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64CA74DE"/>
    <w:multiLevelType w:val="multilevel"/>
    <w:tmpl w:val="F4C8262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B2"/>
    <w:rsid w:val="00016981"/>
    <w:rsid w:val="00067946"/>
    <w:rsid w:val="000A2060"/>
    <w:rsid w:val="000C7D24"/>
    <w:rsid w:val="000E3501"/>
    <w:rsid w:val="0010755C"/>
    <w:rsid w:val="00131B7F"/>
    <w:rsid w:val="00177BF6"/>
    <w:rsid w:val="001856DC"/>
    <w:rsid w:val="001A30FA"/>
    <w:rsid w:val="00263376"/>
    <w:rsid w:val="00270711"/>
    <w:rsid w:val="0029713A"/>
    <w:rsid w:val="002B0835"/>
    <w:rsid w:val="003B0BAE"/>
    <w:rsid w:val="003C2C0D"/>
    <w:rsid w:val="003C4065"/>
    <w:rsid w:val="003D10EB"/>
    <w:rsid w:val="003F73CF"/>
    <w:rsid w:val="00420679"/>
    <w:rsid w:val="0043765B"/>
    <w:rsid w:val="00437713"/>
    <w:rsid w:val="004B73EE"/>
    <w:rsid w:val="00511B3E"/>
    <w:rsid w:val="005252F1"/>
    <w:rsid w:val="00572E04"/>
    <w:rsid w:val="005B5C3E"/>
    <w:rsid w:val="005C2844"/>
    <w:rsid w:val="006220DB"/>
    <w:rsid w:val="006307E4"/>
    <w:rsid w:val="006873D0"/>
    <w:rsid w:val="006C12F3"/>
    <w:rsid w:val="00704E5E"/>
    <w:rsid w:val="00716FF8"/>
    <w:rsid w:val="00726C2E"/>
    <w:rsid w:val="00740F9B"/>
    <w:rsid w:val="007E67B2"/>
    <w:rsid w:val="008321ED"/>
    <w:rsid w:val="009022FC"/>
    <w:rsid w:val="009047E0"/>
    <w:rsid w:val="00911E4B"/>
    <w:rsid w:val="0093757C"/>
    <w:rsid w:val="009511ED"/>
    <w:rsid w:val="0098753D"/>
    <w:rsid w:val="009D38E1"/>
    <w:rsid w:val="00A37364"/>
    <w:rsid w:val="00A5269D"/>
    <w:rsid w:val="00A87053"/>
    <w:rsid w:val="00AF1D4F"/>
    <w:rsid w:val="00B91E2F"/>
    <w:rsid w:val="00BB6AAB"/>
    <w:rsid w:val="00C17477"/>
    <w:rsid w:val="00C70EF2"/>
    <w:rsid w:val="00CB2501"/>
    <w:rsid w:val="00D30BA0"/>
    <w:rsid w:val="00D9630A"/>
    <w:rsid w:val="00DF2787"/>
    <w:rsid w:val="00E433B9"/>
    <w:rsid w:val="00E43768"/>
    <w:rsid w:val="00F22AE5"/>
    <w:rsid w:val="00F31ED0"/>
    <w:rsid w:val="00F74B0F"/>
    <w:rsid w:val="00FF783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F8499"/>
  <w15:chartTrackingRefBased/>
  <w15:docId w15:val="{F980F0B8-CF75-4D78-BFF4-14F1A6C1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835"/>
    <w:pPr>
      <w:spacing w:after="200" w:line="276" w:lineRule="auto"/>
    </w:pPr>
    <w:rPr>
      <w:rFonts w:eastAsiaTheme="minorEastAsia"/>
    </w:rPr>
  </w:style>
  <w:style w:type="paragraph" w:styleId="Heading1">
    <w:name w:val="heading 1"/>
    <w:basedOn w:val="Normal"/>
    <w:next w:val="Normal"/>
    <w:link w:val="Heading1Char"/>
    <w:uiPriority w:val="9"/>
    <w:qFormat/>
    <w:rsid w:val="0029713A"/>
    <w:pPr>
      <w:keepNext/>
      <w:keepLines/>
      <w:spacing w:before="240" w:after="0"/>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29713A"/>
    <w:pPr>
      <w:keepNext/>
      <w:keepLines/>
      <w:spacing w:before="40" w:after="0"/>
      <w:outlineLvl w:val="1"/>
    </w:pPr>
    <w:rPr>
      <w:rFonts w:ascii="Times New Roman" w:eastAsiaTheme="majorEastAsia" w:hAnsi="Times New Roman"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1E4B"/>
    <w:rPr>
      <w:color w:val="0563C1" w:themeColor="hyperlink"/>
      <w:u w:val="single"/>
    </w:rPr>
  </w:style>
  <w:style w:type="table" w:styleId="TableGrid">
    <w:name w:val="Table Grid"/>
    <w:basedOn w:val="TableNormal"/>
    <w:uiPriority w:val="39"/>
    <w:rsid w:val="00740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40F9B"/>
    <w:pPr>
      <w:spacing w:line="240" w:lineRule="auto"/>
    </w:pPr>
    <w:rPr>
      <w:i/>
      <w:iCs/>
      <w:color w:val="44546A" w:themeColor="text2"/>
      <w:sz w:val="18"/>
      <w:szCs w:val="18"/>
    </w:rPr>
  </w:style>
  <w:style w:type="character" w:customStyle="1" w:styleId="Heading1Char">
    <w:name w:val="Heading 1 Char"/>
    <w:basedOn w:val="DefaultParagraphFont"/>
    <w:link w:val="Heading1"/>
    <w:uiPriority w:val="9"/>
    <w:rsid w:val="0029713A"/>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29713A"/>
    <w:rPr>
      <w:rFonts w:ascii="Times New Roman" w:eastAsiaTheme="majorEastAsia" w:hAnsi="Times New Roman" w:cstheme="majorBidi"/>
      <w:b/>
      <w:color w:val="000000" w:themeColor="text1"/>
      <w:sz w:val="24"/>
      <w:szCs w:val="26"/>
    </w:rPr>
  </w:style>
  <w:style w:type="paragraph" w:styleId="ListParagraph">
    <w:name w:val="List Paragraph"/>
    <w:basedOn w:val="Normal"/>
    <w:uiPriority w:val="34"/>
    <w:qFormat/>
    <w:rsid w:val="00297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649523">
      <w:bodyDiv w:val="1"/>
      <w:marLeft w:val="0"/>
      <w:marRight w:val="0"/>
      <w:marTop w:val="0"/>
      <w:marBottom w:val="0"/>
      <w:divBdr>
        <w:top w:val="none" w:sz="0" w:space="0" w:color="auto"/>
        <w:left w:val="none" w:sz="0" w:space="0" w:color="auto"/>
        <w:bottom w:val="none" w:sz="0" w:space="0" w:color="auto"/>
        <w:right w:val="none" w:sz="0" w:space="0" w:color="auto"/>
      </w:divBdr>
    </w:div>
    <w:div w:id="2116631358">
      <w:bodyDiv w:val="1"/>
      <w:marLeft w:val="0"/>
      <w:marRight w:val="0"/>
      <w:marTop w:val="0"/>
      <w:marBottom w:val="0"/>
      <w:divBdr>
        <w:top w:val="none" w:sz="0" w:space="0" w:color="auto"/>
        <w:left w:val="none" w:sz="0" w:space="0" w:color="auto"/>
        <w:bottom w:val="none" w:sz="0" w:space="0" w:color="auto"/>
        <w:right w:val="none" w:sz="0" w:space="0" w:color="auto"/>
      </w:divBdr>
    </w:div>
    <w:div w:id="2134933451">
      <w:bodyDiv w:val="1"/>
      <w:marLeft w:val="0"/>
      <w:marRight w:val="0"/>
      <w:marTop w:val="0"/>
      <w:marBottom w:val="0"/>
      <w:divBdr>
        <w:top w:val="none" w:sz="0" w:space="0" w:color="auto"/>
        <w:left w:val="none" w:sz="0" w:space="0" w:color="auto"/>
        <w:bottom w:val="none" w:sz="0" w:space="0" w:color="auto"/>
        <w:right w:val="none" w:sz="0" w:space="0" w:color="auto"/>
      </w:divBdr>
      <w:divsChild>
        <w:div w:id="1036152112">
          <w:marLeft w:val="0"/>
          <w:marRight w:val="0"/>
          <w:marTop w:val="0"/>
          <w:marBottom w:val="0"/>
          <w:divBdr>
            <w:top w:val="single" w:sz="2" w:space="0" w:color="D9D9E3"/>
            <w:left w:val="single" w:sz="2" w:space="0" w:color="D9D9E3"/>
            <w:bottom w:val="single" w:sz="2" w:space="0" w:color="D9D9E3"/>
            <w:right w:val="single" w:sz="2" w:space="0" w:color="D9D9E3"/>
          </w:divBdr>
          <w:divsChild>
            <w:div w:id="546456786">
              <w:marLeft w:val="0"/>
              <w:marRight w:val="0"/>
              <w:marTop w:val="0"/>
              <w:marBottom w:val="0"/>
              <w:divBdr>
                <w:top w:val="single" w:sz="2" w:space="0" w:color="D9D9E3"/>
                <w:left w:val="single" w:sz="2" w:space="0" w:color="D9D9E3"/>
                <w:bottom w:val="single" w:sz="2" w:space="0" w:color="D9D9E3"/>
                <w:right w:val="single" w:sz="2" w:space="0" w:color="D9D9E3"/>
              </w:divBdr>
              <w:divsChild>
                <w:div w:id="952328887">
                  <w:marLeft w:val="0"/>
                  <w:marRight w:val="0"/>
                  <w:marTop w:val="0"/>
                  <w:marBottom w:val="0"/>
                  <w:divBdr>
                    <w:top w:val="single" w:sz="2" w:space="0" w:color="D9D9E3"/>
                    <w:left w:val="single" w:sz="2" w:space="0" w:color="D9D9E3"/>
                    <w:bottom w:val="single" w:sz="2" w:space="0" w:color="D9D9E3"/>
                    <w:right w:val="single" w:sz="2" w:space="0" w:color="D9D9E3"/>
                  </w:divBdr>
                  <w:divsChild>
                    <w:div w:id="225653335">
                      <w:marLeft w:val="0"/>
                      <w:marRight w:val="0"/>
                      <w:marTop w:val="0"/>
                      <w:marBottom w:val="0"/>
                      <w:divBdr>
                        <w:top w:val="single" w:sz="2" w:space="0" w:color="D9D9E3"/>
                        <w:left w:val="single" w:sz="2" w:space="0" w:color="D9D9E3"/>
                        <w:bottom w:val="single" w:sz="2" w:space="0" w:color="D9D9E3"/>
                        <w:right w:val="single" w:sz="2" w:space="0" w:color="D9D9E3"/>
                      </w:divBdr>
                      <w:divsChild>
                        <w:div w:id="414015642">
                          <w:marLeft w:val="0"/>
                          <w:marRight w:val="0"/>
                          <w:marTop w:val="0"/>
                          <w:marBottom w:val="0"/>
                          <w:divBdr>
                            <w:top w:val="single" w:sz="2" w:space="0" w:color="auto"/>
                            <w:left w:val="single" w:sz="2" w:space="0" w:color="auto"/>
                            <w:bottom w:val="single" w:sz="6" w:space="0" w:color="auto"/>
                            <w:right w:val="single" w:sz="2" w:space="0" w:color="auto"/>
                          </w:divBdr>
                          <w:divsChild>
                            <w:div w:id="942882681">
                              <w:marLeft w:val="0"/>
                              <w:marRight w:val="0"/>
                              <w:marTop w:val="100"/>
                              <w:marBottom w:val="100"/>
                              <w:divBdr>
                                <w:top w:val="single" w:sz="2" w:space="0" w:color="D9D9E3"/>
                                <w:left w:val="single" w:sz="2" w:space="0" w:color="D9D9E3"/>
                                <w:bottom w:val="single" w:sz="2" w:space="0" w:color="D9D9E3"/>
                                <w:right w:val="single" w:sz="2" w:space="0" w:color="D9D9E3"/>
                              </w:divBdr>
                              <w:divsChild>
                                <w:div w:id="893082375">
                                  <w:marLeft w:val="0"/>
                                  <w:marRight w:val="0"/>
                                  <w:marTop w:val="0"/>
                                  <w:marBottom w:val="0"/>
                                  <w:divBdr>
                                    <w:top w:val="single" w:sz="2" w:space="0" w:color="D9D9E3"/>
                                    <w:left w:val="single" w:sz="2" w:space="0" w:color="D9D9E3"/>
                                    <w:bottom w:val="single" w:sz="2" w:space="0" w:color="D9D9E3"/>
                                    <w:right w:val="single" w:sz="2" w:space="0" w:color="D9D9E3"/>
                                  </w:divBdr>
                                  <w:divsChild>
                                    <w:div w:id="1942756787">
                                      <w:marLeft w:val="0"/>
                                      <w:marRight w:val="0"/>
                                      <w:marTop w:val="0"/>
                                      <w:marBottom w:val="0"/>
                                      <w:divBdr>
                                        <w:top w:val="single" w:sz="2" w:space="0" w:color="D9D9E3"/>
                                        <w:left w:val="single" w:sz="2" w:space="0" w:color="D9D9E3"/>
                                        <w:bottom w:val="single" w:sz="2" w:space="0" w:color="D9D9E3"/>
                                        <w:right w:val="single" w:sz="2" w:space="0" w:color="D9D9E3"/>
                                      </w:divBdr>
                                      <w:divsChild>
                                        <w:div w:id="1823425901">
                                          <w:marLeft w:val="0"/>
                                          <w:marRight w:val="0"/>
                                          <w:marTop w:val="0"/>
                                          <w:marBottom w:val="0"/>
                                          <w:divBdr>
                                            <w:top w:val="single" w:sz="2" w:space="0" w:color="D9D9E3"/>
                                            <w:left w:val="single" w:sz="2" w:space="0" w:color="D9D9E3"/>
                                            <w:bottom w:val="single" w:sz="2" w:space="0" w:color="D9D9E3"/>
                                            <w:right w:val="single" w:sz="2" w:space="0" w:color="D9D9E3"/>
                                          </w:divBdr>
                                          <w:divsChild>
                                            <w:div w:id="9216397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12064653">
                                      <w:marLeft w:val="0"/>
                                      <w:marRight w:val="0"/>
                                      <w:marTop w:val="0"/>
                                      <w:marBottom w:val="0"/>
                                      <w:divBdr>
                                        <w:top w:val="single" w:sz="2" w:space="0" w:color="D9D9E3"/>
                                        <w:left w:val="single" w:sz="2" w:space="0" w:color="D9D9E3"/>
                                        <w:bottom w:val="single" w:sz="2" w:space="0" w:color="D9D9E3"/>
                                        <w:right w:val="single" w:sz="2" w:space="0" w:color="D9D9E3"/>
                                      </w:divBdr>
                                      <w:divsChild>
                                        <w:div w:id="68843120">
                                          <w:marLeft w:val="0"/>
                                          <w:marRight w:val="0"/>
                                          <w:marTop w:val="0"/>
                                          <w:marBottom w:val="0"/>
                                          <w:divBdr>
                                            <w:top w:val="single" w:sz="2" w:space="0" w:color="D9D9E3"/>
                                            <w:left w:val="single" w:sz="2" w:space="0" w:color="D9D9E3"/>
                                            <w:bottom w:val="single" w:sz="2" w:space="0" w:color="D9D9E3"/>
                                            <w:right w:val="single" w:sz="2" w:space="0" w:color="D9D9E3"/>
                                          </w:divBdr>
                                          <w:divsChild>
                                            <w:div w:id="20771260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7505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ivagangwar007@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2762D-42FF-402B-9E31-047CA28F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17</Pages>
  <Words>27711</Words>
  <Characters>157959</Characters>
  <Application>Microsoft Office Word</Application>
  <DocSecurity>0</DocSecurity>
  <Lines>1316</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Gautam Gaurav</dc:creator>
  <cp:keywords/>
  <dc:description/>
  <cp:lastModifiedBy>Gautam Gaurav</cp:lastModifiedBy>
  <cp:revision>50</cp:revision>
  <dcterms:created xsi:type="dcterms:W3CDTF">2023-07-17T19:17:00Z</dcterms:created>
  <dcterms:modified xsi:type="dcterms:W3CDTF">2023-08-01T11:19:00Z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a4eec97ac5df416f2a1dd60a52469f0a3af6c5e93ce775e4d0e6b5831560c782</vt:lpwstr>
  </property>
  <property fmtid="{D5CDD505-2E9C-101B-9397-08002B2CF9AE}" pid="3" name="Mendeley Recent Style Id 0_1">
    <vt:lpwstr>http://www.zotero.org/styles/acs-chemical-biology</vt:lpwstr>
  </property>
  <property fmtid="{D5CDD505-2E9C-101B-9397-08002B2CF9AE}" pid="4" name="Mendeley Recent Style Name 0_1">
    <vt:lpwstr>ACS Chemical Biology</vt:lpwstr>
  </property>
  <property fmtid="{D5CDD505-2E9C-101B-9397-08002B2CF9AE}" pid="5" name="Mendeley Recent Style Id 1_1">
    <vt:lpwstr>http://www.zotero.org/styles/evidence-based-complementary-and-alternative-medicine</vt:lpwstr>
  </property>
  <property fmtid="{D5CDD505-2E9C-101B-9397-08002B2CF9AE}" pid="6" name="Mendeley Recent Style Name 1_1">
    <vt:lpwstr>Evidence-Based Complementary and Alternative Medicine</vt:lpwstr>
  </property>
  <property fmtid="{D5CDD505-2E9C-101B-9397-08002B2CF9AE}" pid="7" name="Mendeley Recent Style Id 2_1">
    <vt:lpwstr>http://www.zotero.org/styles/fitoterapia</vt:lpwstr>
  </property>
  <property fmtid="{D5CDD505-2E9C-101B-9397-08002B2CF9AE}" pid="8" name="Mendeley Recent Style Name 2_1">
    <vt:lpwstr>Fitoterapia</vt:lpwstr>
  </property>
  <property fmtid="{D5CDD505-2E9C-101B-9397-08002B2CF9AE}" pid="9" name="Mendeley Recent Style Id 3_1">
    <vt:lpwstr>http://www.zotero.org/styles/journal-of-ayurveda-and-integrative-medicine</vt:lpwstr>
  </property>
  <property fmtid="{D5CDD505-2E9C-101B-9397-08002B2CF9AE}" pid="10" name="Mendeley Recent Style Name 3_1">
    <vt:lpwstr>Journal of Ayurveda and Integrative Medicine</vt:lpwstr>
  </property>
  <property fmtid="{D5CDD505-2E9C-101B-9397-08002B2CF9AE}" pid="11" name="Mendeley Recent Style Id 4_1">
    <vt:lpwstr>http://www.zotero.org/styles/journal-of-biological-regulators-and-homeostatic-agents</vt:lpwstr>
  </property>
  <property fmtid="{D5CDD505-2E9C-101B-9397-08002B2CF9AE}" pid="12" name="Mendeley Recent Style Name 4_1">
    <vt:lpwstr>Journal of Biological Regulators &amp; Homeostatic Agents</vt:lpwstr>
  </property>
  <property fmtid="{D5CDD505-2E9C-101B-9397-08002B2CF9AE}" pid="13" name="Mendeley Recent Style Id 5_1">
    <vt:lpwstr>http://www.zotero.org/styles/journal-of-ethnopharmacology</vt:lpwstr>
  </property>
  <property fmtid="{D5CDD505-2E9C-101B-9397-08002B2CF9AE}" pid="14" name="Mendeley Recent Style Name 5_1">
    <vt:lpwstr>Journal of Ethnopharmacology</vt:lpwstr>
  </property>
  <property fmtid="{D5CDD505-2E9C-101B-9397-08002B2CF9AE}" pid="15" name="Mendeley Recent Style Id 6_1">
    <vt:lpwstr>http://www.zotero.org/styles/journal-of-food-and-drug-analysis</vt:lpwstr>
  </property>
  <property fmtid="{D5CDD505-2E9C-101B-9397-08002B2CF9AE}" pid="16" name="Mendeley Recent Style Name 6_1">
    <vt:lpwstr>Journal of Food and Drug Analysis</vt:lpwstr>
  </property>
  <property fmtid="{D5CDD505-2E9C-101B-9397-08002B2CF9AE}" pid="17" name="Mendeley Recent Style Id 7_1">
    <vt:lpwstr>http://www.zotero.org/styles/journal-of-herbal-medicine</vt:lpwstr>
  </property>
  <property fmtid="{D5CDD505-2E9C-101B-9397-08002B2CF9AE}" pid="18" name="Mendeley Recent Style Name 7_1">
    <vt:lpwstr>Journal of Herbal Medicine</vt:lpwstr>
  </property>
  <property fmtid="{D5CDD505-2E9C-101B-9397-08002B2CF9AE}" pid="19" name="Mendeley Recent Style Id 8_1">
    <vt:lpwstr>http://www.zotero.org/styles/journal-of-reproductive-immunology</vt:lpwstr>
  </property>
  <property fmtid="{D5CDD505-2E9C-101B-9397-08002B2CF9AE}" pid="20" name="Mendeley Recent Style Name 8_1">
    <vt:lpwstr>Journal of Reproductive Immunology</vt:lpwstr>
  </property>
  <property fmtid="{D5CDD505-2E9C-101B-9397-08002B2CF9AE}" pid="21" name="Mendeley Recent Style Id 9_1">
    <vt:lpwstr>http://www.zotero.org/styles/saudi-journal-of-biological-sciences</vt:lpwstr>
  </property>
  <property fmtid="{D5CDD505-2E9C-101B-9397-08002B2CF9AE}" pid="22" name="Mendeley Recent Style Name 9_1">
    <vt:lpwstr>Saudi Journal of Biological Sciences</vt:lpwstr>
  </property>
  <property fmtid="{D5CDD505-2E9C-101B-9397-08002B2CF9AE}" pid="23" name="Mendeley Document_1">
    <vt:lpwstr>True</vt:lpwstr>
  </property>
  <property fmtid="{D5CDD505-2E9C-101B-9397-08002B2CF9AE}" pid="24" name="Mendeley Unique User Id_1">
    <vt:lpwstr>9a6702b9-982b-3bc3-a0a6-d67b562ebad1</vt:lpwstr>
  </property>
  <property fmtid="{D5CDD505-2E9C-101B-9397-08002B2CF9AE}" pid="25" name="Mendeley Citation Style_1">
    <vt:lpwstr>http://www.zotero.org/styles/journal-of-ethnopharmacology</vt:lpwstr>
  </property>
</Properties>
</file>