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85F0B" w14:textId="535C016D" w:rsidR="003E1B16" w:rsidRDefault="00BB4C00" w:rsidP="00DA4AA9">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Title</w:t>
      </w:r>
    </w:p>
    <w:p w14:paraId="29BEE5BF" w14:textId="5ED56033" w:rsidR="00F83531" w:rsidRDefault="00BB4C00" w:rsidP="00DA4AA9">
      <w:pPr>
        <w:spacing w:line="360" w:lineRule="auto"/>
        <w:jc w:val="both"/>
        <w:rPr>
          <w:rFonts w:ascii="Times New Roman" w:hAnsi="Times New Roman" w:cs="Times New Roman"/>
          <w:b/>
          <w:bCs/>
          <w:color w:val="000000" w:themeColor="text1"/>
          <w:sz w:val="24"/>
          <w:szCs w:val="24"/>
        </w:rPr>
      </w:pPr>
      <w:r w:rsidRPr="004F0A7F">
        <w:rPr>
          <w:rFonts w:ascii="Times New Roman" w:hAnsi="Times New Roman" w:cs="Times New Roman"/>
          <w:b/>
          <w:bCs/>
          <w:color w:val="000000" w:themeColor="text1"/>
          <w:sz w:val="24"/>
          <w:szCs w:val="24"/>
        </w:rPr>
        <w:t>Current analytical approaches in quality evaluation of medicinal plants</w:t>
      </w:r>
    </w:p>
    <w:p w14:paraId="70DB3D56" w14:textId="16767DE6" w:rsidR="009E57EB" w:rsidRPr="00A109B3" w:rsidRDefault="00BB4C00" w:rsidP="00EE5569">
      <w:pPr>
        <w:tabs>
          <w:tab w:val="left" w:pos="720"/>
        </w:tabs>
        <w:spacing w:after="0" w:line="360" w:lineRule="auto"/>
        <w:jc w:val="both"/>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Sapna Salar</w:t>
      </w:r>
      <w:r>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Rustam Ekbbal</w:t>
      </w:r>
      <w:r w:rsidR="00A109B3">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Shamim</w:t>
      </w:r>
      <w:r w:rsidR="00A109B3">
        <w:rPr>
          <w:rFonts w:ascii="Times New Roman" w:hAnsi="Times New Roman" w:cs="Times New Roman"/>
          <w:color w:val="000000" w:themeColor="text1"/>
          <w:sz w:val="24"/>
          <w:szCs w:val="24"/>
          <w:vertAlign w:val="superscript"/>
        </w:rPr>
        <w:t>2</w:t>
      </w:r>
    </w:p>
    <w:p w14:paraId="25CCF2D2" w14:textId="77777777" w:rsidR="009E57EB" w:rsidRDefault="009E57EB" w:rsidP="009E57EB">
      <w:pPr>
        <w:spacing w:after="0" w:line="360" w:lineRule="auto"/>
        <w:jc w:val="both"/>
        <w:rPr>
          <w:rFonts w:ascii="Times New Roman" w:hAnsi="Times New Roman" w:cs="Times New Roman"/>
          <w:color w:val="000000" w:themeColor="text1"/>
          <w:sz w:val="24"/>
          <w:szCs w:val="24"/>
        </w:rPr>
      </w:pPr>
    </w:p>
    <w:p w14:paraId="428C2F64" w14:textId="77777777" w:rsidR="009E57EB" w:rsidRDefault="00BB4C00" w:rsidP="009E57EB">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Department of Pharmaceutical Sciences, Apex University, Jaipur, Rajasthan-302018</w:t>
      </w:r>
    </w:p>
    <w:p w14:paraId="572E8CEE" w14:textId="5AF5E386" w:rsidR="009E57EB" w:rsidRDefault="00BB4C00" w:rsidP="009E57EB">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xml:space="preserve">IIMT College of Medical Sciences, IIMT University, </w:t>
      </w:r>
      <w:r w:rsidRPr="009E57EB">
        <w:rPr>
          <w:rFonts w:ascii="Times New Roman" w:hAnsi="Times New Roman" w:cs="Times New Roman"/>
          <w:color w:val="000000" w:themeColor="text1"/>
          <w:sz w:val="24"/>
          <w:szCs w:val="24"/>
        </w:rPr>
        <w:t>'O' Pocket, Ganga Nagar Colony, Mawana Road, Meerut</w:t>
      </w:r>
      <w:r>
        <w:rPr>
          <w:rFonts w:ascii="Times New Roman" w:hAnsi="Times New Roman" w:cs="Times New Roman"/>
          <w:color w:val="000000" w:themeColor="text1"/>
          <w:sz w:val="24"/>
          <w:szCs w:val="24"/>
        </w:rPr>
        <w:t>, Uttar Pradesh-250001</w:t>
      </w:r>
    </w:p>
    <w:p w14:paraId="262667EB" w14:textId="2A6D6CDA" w:rsidR="00FC54AC" w:rsidRDefault="00FC54AC" w:rsidP="009E57EB">
      <w:pPr>
        <w:spacing w:line="360" w:lineRule="auto"/>
        <w:jc w:val="both"/>
        <w:rPr>
          <w:rFonts w:ascii="Times New Roman" w:hAnsi="Times New Roman" w:cs="Times New Roman"/>
          <w:color w:val="000000" w:themeColor="text1"/>
          <w:sz w:val="24"/>
          <w:szCs w:val="24"/>
        </w:rPr>
      </w:pPr>
    </w:p>
    <w:p w14:paraId="560D5DB4" w14:textId="568F656B" w:rsidR="00FC54AC" w:rsidRDefault="00BB4C00" w:rsidP="00FC54AC">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Address for correspondence </w:t>
      </w:r>
    </w:p>
    <w:p w14:paraId="59D0B04F" w14:textId="77777777" w:rsidR="00FC54AC" w:rsidRDefault="00BB4C00" w:rsidP="00FC54AC">
      <w:pPr>
        <w:spacing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Sapna Salar</w:t>
      </w:r>
    </w:p>
    <w:p w14:paraId="3608B272" w14:textId="77777777" w:rsidR="00FC54AC" w:rsidRDefault="00BB4C00" w:rsidP="00FC54AC">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Assistant Professor</w:t>
      </w:r>
    </w:p>
    <w:p w14:paraId="06B2A0E6" w14:textId="77777777" w:rsidR="00FC54AC" w:rsidRDefault="00BB4C00" w:rsidP="00FC54A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Department of Pharmaceutical Sciences, </w:t>
      </w:r>
    </w:p>
    <w:p w14:paraId="0DD35719" w14:textId="77777777" w:rsidR="00FC54AC" w:rsidRDefault="00BB4C00" w:rsidP="00FC54A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Apex University, Jaipur, </w:t>
      </w:r>
    </w:p>
    <w:p w14:paraId="7FC10EC1" w14:textId="77777777" w:rsidR="00FC54AC" w:rsidRDefault="00BB4C00" w:rsidP="00FC54A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Rajasthan-302018</w:t>
      </w:r>
    </w:p>
    <w:p w14:paraId="2C5FF68E" w14:textId="77777777" w:rsidR="00FC54AC" w:rsidRDefault="00BB4C00" w:rsidP="00FC54A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Email: sapnasalar50@gmail.com</w:t>
      </w:r>
    </w:p>
    <w:p w14:paraId="7882638C" w14:textId="77777777" w:rsidR="00FC54AC" w:rsidRDefault="00BB4C00" w:rsidP="00FC54AC">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Phone No.: 81786 35762</w:t>
      </w:r>
    </w:p>
    <w:p w14:paraId="77C09F16" w14:textId="77777777" w:rsidR="00FC54AC" w:rsidRDefault="00FC54AC" w:rsidP="009E57EB">
      <w:pPr>
        <w:spacing w:line="360" w:lineRule="auto"/>
        <w:jc w:val="both"/>
        <w:rPr>
          <w:rFonts w:ascii="Times New Roman" w:hAnsi="Times New Roman" w:cs="Times New Roman"/>
          <w:color w:val="000000" w:themeColor="text1"/>
          <w:sz w:val="24"/>
          <w:szCs w:val="24"/>
        </w:rPr>
      </w:pPr>
    </w:p>
    <w:p w14:paraId="0CD917C6" w14:textId="77777777" w:rsidR="009C2089" w:rsidRPr="009C2089" w:rsidRDefault="00BB4C00" w:rsidP="009C2089">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column"/>
      </w:r>
      <w:r w:rsidRPr="009C2089">
        <w:rPr>
          <w:rFonts w:ascii="Times New Roman" w:hAnsi="Times New Roman" w:cs="Times New Roman"/>
          <w:b/>
          <w:bCs/>
          <w:color w:val="000000" w:themeColor="text1"/>
          <w:sz w:val="24"/>
          <w:szCs w:val="24"/>
        </w:rPr>
        <w:lastRenderedPageBreak/>
        <w:t>Abstract</w:t>
      </w:r>
    </w:p>
    <w:p w14:paraId="7F71BF33" w14:textId="77777777" w:rsidR="009C2089" w:rsidRPr="009C2089" w:rsidRDefault="00BB4C00" w:rsidP="009C2089">
      <w:pPr>
        <w:spacing w:line="360" w:lineRule="auto"/>
        <w:jc w:val="both"/>
        <w:rPr>
          <w:rFonts w:ascii="Times New Roman" w:hAnsi="Times New Roman" w:cs="Times New Roman"/>
          <w:color w:val="000000" w:themeColor="text1"/>
          <w:sz w:val="24"/>
          <w:szCs w:val="24"/>
        </w:rPr>
      </w:pPr>
      <w:r w:rsidRPr="009C2089">
        <w:rPr>
          <w:rFonts w:ascii="Times New Roman" w:hAnsi="Times New Roman" w:cs="Times New Roman"/>
          <w:color w:val="000000" w:themeColor="text1"/>
          <w:sz w:val="24"/>
          <w:szCs w:val="24"/>
        </w:rPr>
        <w:t xml:space="preserve">Medicinal plants have been used for centuries as a source of natural remedies for various ailments. However, </w:t>
      </w:r>
      <w:r w:rsidRPr="009C2089">
        <w:rPr>
          <w:rFonts w:ascii="Times New Roman" w:hAnsi="Times New Roman" w:cs="Times New Roman"/>
          <w:color w:val="000000" w:themeColor="text1"/>
          <w:sz w:val="24"/>
          <w:szCs w:val="24"/>
        </w:rPr>
        <w:t>ensuring the quality and efficacy of medicinal plants is crucial to guarantee their safety and therapeutic benefits. This review highlights the current analytical approaches employed in the quality evaluation of medicinal plants</w:t>
      </w:r>
      <w:r>
        <w:rPr>
          <w:rFonts w:ascii="Times New Roman" w:hAnsi="Times New Roman" w:cs="Times New Roman"/>
          <w:color w:val="000000" w:themeColor="text1"/>
          <w:sz w:val="24"/>
          <w:szCs w:val="24"/>
        </w:rPr>
        <w:t xml:space="preserve">. </w:t>
      </w:r>
      <w:r w:rsidRPr="009C2089">
        <w:rPr>
          <w:rFonts w:ascii="Times New Roman" w:hAnsi="Times New Roman" w:cs="Times New Roman"/>
          <w:color w:val="000000" w:themeColor="text1"/>
          <w:sz w:val="24"/>
          <w:szCs w:val="24"/>
        </w:rPr>
        <w:t xml:space="preserve">The quality evaluation of </w:t>
      </w:r>
      <w:r w:rsidRPr="009C2089">
        <w:rPr>
          <w:rFonts w:ascii="Times New Roman" w:hAnsi="Times New Roman" w:cs="Times New Roman"/>
          <w:color w:val="000000" w:themeColor="text1"/>
          <w:sz w:val="24"/>
          <w:szCs w:val="24"/>
        </w:rPr>
        <w:t>medicinal plants involves the assessment of various parameters, including the identification of plant species, the determination of phytochemical constituents, and the quantification of bioactive compounds. Advanced analytical techniques such as chromatogr</w:t>
      </w:r>
      <w:r w:rsidRPr="009C2089">
        <w:rPr>
          <w:rFonts w:ascii="Times New Roman" w:hAnsi="Times New Roman" w:cs="Times New Roman"/>
          <w:color w:val="000000" w:themeColor="text1"/>
          <w:sz w:val="24"/>
          <w:szCs w:val="24"/>
        </w:rPr>
        <w:t>aphy (HPLC, TLC), spectroscopy (UV-Vis, FT-IR, NMR), and mass spectrometry (LC-MS, GC-MS) are extensively used for the qualitative and quantitative analysis of phytochemicals.</w:t>
      </w:r>
      <w:r>
        <w:rPr>
          <w:rFonts w:ascii="Times New Roman" w:hAnsi="Times New Roman" w:cs="Times New Roman"/>
          <w:color w:val="000000" w:themeColor="text1"/>
          <w:sz w:val="24"/>
          <w:szCs w:val="24"/>
        </w:rPr>
        <w:t xml:space="preserve"> </w:t>
      </w:r>
      <w:r w:rsidRPr="009C2089">
        <w:rPr>
          <w:rFonts w:ascii="Times New Roman" w:hAnsi="Times New Roman" w:cs="Times New Roman"/>
          <w:color w:val="000000" w:themeColor="text1"/>
          <w:sz w:val="24"/>
          <w:szCs w:val="24"/>
        </w:rPr>
        <w:t>Moreover, fingerprinting techniques, such as high-performance thin-layer chromat</w:t>
      </w:r>
      <w:r w:rsidRPr="009C2089">
        <w:rPr>
          <w:rFonts w:ascii="Times New Roman" w:hAnsi="Times New Roman" w:cs="Times New Roman"/>
          <w:color w:val="000000" w:themeColor="text1"/>
          <w:sz w:val="24"/>
          <w:szCs w:val="24"/>
        </w:rPr>
        <w:t>ography (HPTLC) and high-performance liquid chromatography (HPLC), are employed to establish the chemical profiles of medicinal plants, ensuring their authenticity and consistency. Additionally, bioassays and pharmacological studies are conducted to assess</w:t>
      </w:r>
      <w:r w:rsidRPr="009C2089">
        <w:rPr>
          <w:rFonts w:ascii="Times New Roman" w:hAnsi="Times New Roman" w:cs="Times New Roman"/>
          <w:color w:val="000000" w:themeColor="text1"/>
          <w:sz w:val="24"/>
          <w:szCs w:val="24"/>
        </w:rPr>
        <w:t xml:space="preserve"> the biological activities and therapeutic potential of medicinal plant extracts.</w:t>
      </w:r>
      <w:r>
        <w:rPr>
          <w:rFonts w:ascii="Times New Roman" w:hAnsi="Times New Roman" w:cs="Times New Roman"/>
          <w:color w:val="000000" w:themeColor="text1"/>
          <w:sz w:val="24"/>
          <w:szCs w:val="24"/>
        </w:rPr>
        <w:t xml:space="preserve"> </w:t>
      </w:r>
      <w:r w:rsidRPr="009C2089">
        <w:rPr>
          <w:rFonts w:ascii="Times New Roman" w:hAnsi="Times New Roman" w:cs="Times New Roman"/>
          <w:color w:val="000000" w:themeColor="text1"/>
          <w:sz w:val="24"/>
          <w:szCs w:val="24"/>
        </w:rPr>
        <w:t>The application of modern analytical techniques in quality evaluation allows for the detection of adulteration, contamination, and variability in medicinal plant samples. The</w:t>
      </w:r>
      <w:r w:rsidRPr="009C2089">
        <w:rPr>
          <w:rFonts w:ascii="Times New Roman" w:hAnsi="Times New Roman" w:cs="Times New Roman"/>
          <w:color w:val="000000" w:themeColor="text1"/>
          <w:sz w:val="24"/>
          <w:szCs w:val="24"/>
        </w:rPr>
        <w:t>se techniques also facilitate the standardization of herbal medicines, ensuring batch-to-batch consistency and promoting their safe and effective use.</w:t>
      </w:r>
      <w:r>
        <w:rPr>
          <w:rFonts w:ascii="Times New Roman" w:hAnsi="Times New Roman" w:cs="Times New Roman"/>
          <w:color w:val="000000" w:themeColor="text1"/>
          <w:sz w:val="24"/>
          <w:szCs w:val="24"/>
        </w:rPr>
        <w:t xml:space="preserve"> </w:t>
      </w:r>
      <w:r w:rsidRPr="009C2089">
        <w:rPr>
          <w:rFonts w:ascii="Times New Roman" w:hAnsi="Times New Roman" w:cs="Times New Roman"/>
          <w:color w:val="000000" w:themeColor="text1"/>
          <w:sz w:val="24"/>
          <w:szCs w:val="24"/>
        </w:rPr>
        <w:t>In conclusion, current analytical approaches play a vital role in the quality evaluation of medicinal pla</w:t>
      </w:r>
      <w:r w:rsidRPr="009C2089">
        <w:rPr>
          <w:rFonts w:ascii="Times New Roman" w:hAnsi="Times New Roman" w:cs="Times New Roman"/>
          <w:color w:val="000000" w:themeColor="text1"/>
          <w:sz w:val="24"/>
          <w:szCs w:val="24"/>
        </w:rPr>
        <w:t>nts by providing accurate and reliable information regarding their chemical composition, authenticity, and therapeutic potential. These approaches contribute to the standardization and regulation of herbal medicines, thereby ensuring their quality, efficac</w:t>
      </w:r>
      <w:r w:rsidRPr="009C2089">
        <w:rPr>
          <w:rFonts w:ascii="Times New Roman" w:hAnsi="Times New Roman" w:cs="Times New Roman"/>
          <w:color w:val="000000" w:themeColor="text1"/>
          <w:sz w:val="24"/>
          <w:szCs w:val="24"/>
        </w:rPr>
        <w:t>y, and safety for consumers.</w:t>
      </w:r>
    </w:p>
    <w:p w14:paraId="64A6294B" w14:textId="12312B6D" w:rsidR="009E57EB" w:rsidRDefault="00BB4C00" w:rsidP="00DA4AA9">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Keywords: </w:t>
      </w:r>
      <w:r w:rsidRPr="009C2089">
        <w:rPr>
          <w:rFonts w:ascii="Times New Roman" w:hAnsi="Times New Roman" w:cs="Times New Roman"/>
          <w:color w:val="000000" w:themeColor="text1"/>
          <w:sz w:val="24"/>
          <w:szCs w:val="24"/>
        </w:rPr>
        <w:t>Medicinal plants, quality evaluation, analytical approaches, chromatography, spectroscopy, mass spectrometry, phytochemicals, fingerprinting, regulation, safety</w:t>
      </w:r>
      <w:r w:rsidRPr="009C2089">
        <w:rPr>
          <w:rFonts w:ascii="Times New Roman" w:hAnsi="Times New Roman" w:cs="Times New Roman"/>
          <w:b/>
          <w:bCs/>
          <w:color w:val="000000" w:themeColor="text1"/>
          <w:sz w:val="24"/>
          <w:szCs w:val="24"/>
        </w:rPr>
        <w:t>.</w:t>
      </w:r>
    </w:p>
    <w:p w14:paraId="636B274C" w14:textId="20CF6A8C" w:rsidR="00FC54AC" w:rsidRDefault="00FC54AC" w:rsidP="00DA4AA9">
      <w:pPr>
        <w:spacing w:line="360" w:lineRule="auto"/>
        <w:jc w:val="both"/>
        <w:rPr>
          <w:rFonts w:ascii="Times New Roman" w:hAnsi="Times New Roman" w:cs="Times New Roman"/>
          <w:b/>
          <w:bCs/>
          <w:color w:val="000000" w:themeColor="text1"/>
          <w:sz w:val="24"/>
          <w:szCs w:val="24"/>
        </w:rPr>
      </w:pPr>
    </w:p>
    <w:p w14:paraId="503751D4" w14:textId="754B0B1A" w:rsidR="00FC54AC" w:rsidRPr="004F0A7F" w:rsidRDefault="00BB4C00" w:rsidP="00DA4AA9">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column"/>
      </w:r>
    </w:p>
    <w:p w14:paraId="66D04696" w14:textId="2A539281" w:rsidR="00394744" w:rsidRPr="004F0A7F" w:rsidRDefault="00BB4C00" w:rsidP="00394744">
      <w:pPr>
        <w:pStyle w:val="Heading1"/>
        <w:numPr>
          <w:ilvl w:val="0"/>
          <w:numId w:val="5"/>
        </w:numPr>
        <w:rPr>
          <w:rFonts w:ascii="Times New Roman" w:hAnsi="Times New Roman" w:cs="Times New Roman"/>
          <w:b/>
          <w:bCs/>
          <w:color w:val="000000" w:themeColor="text1"/>
          <w:sz w:val="24"/>
          <w:szCs w:val="24"/>
        </w:rPr>
      </w:pPr>
      <w:r w:rsidRPr="004F0A7F">
        <w:rPr>
          <w:rFonts w:ascii="Times New Roman" w:hAnsi="Times New Roman" w:cs="Times New Roman"/>
          <w:b/>
          <w:bCs/>
          <w:color w:val="000000" w:themeColor="text1"/>
          <w:sz w:val="24"/>
          <w:szCs w:val="24"/>
        </w:rPr>
        <w:t>Introduction</w:t>
      </w:r>
    </w:p>
    <w:p w14:paraId="0BC036CB" w14:textId="7A52EFC0" w:rsidR="00574309" w:rsidRPr="004F0A7F" w:rsidRDefault="00BB4C00"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 xml:space="preserve">Quality control refers to a set of </w:t>
      </w:r>
      <w:r w:rsidRPr="004F0A7F">
        <w:rPr>
          <w:rFonts w:ascii="Times New Roman" w:hAnsi="Times New Roman" w:cs="Times New Roman"/>
          <w:color w:val="000000" w:themeColor="text1"/>
          <w:sz w:val="24"/>
          <w:szCs w:val="24"/>
        </w:rPr>
        <w:t>activities and techniques employed to ensure that medicinal plants and their derived products meet specific quality standards and comply with regulatory requirements. Quality control for medicinal plants aims to ensure the safety, efficacy, and consistency</w:t>
      </w:r>
      <w:r w:rsidRPr="004F0A7F">
        <w:rPr>
          <w:rFonts w:ascii="Times New Roman" w:hAnsi="Times New Roman" w:cs="Times New Roman"/>
          <w:color w:val="000000" w:themeColor="text1"/>
          <w:sz w:val="24"/>
          <w:szCs w:val="24"/>
        </w:rPr>
        <w:t xml:space="preserve"> of these products throughout their lifecycle, from cultivation and harvesting to processing, manufacturing, and distribution. Quality control measures are implemented to identify and minimize potential risks associated with medicinal plants, such as the p</w:t>
      </w:r>
      <w:r w:rsidRPr="004F0A7F">
        <w:rPr>
          <w:rFonts w:ascii="Times New Roman" w:hAnsi="Times New Roman" w:cs="Times New Roman"/>
          <w:color w:val="000000" w:themeColor="text1"/>
          <w:sz w:val="24"/>
          <w:szCs w:val="24"/>
        </w:rPr>
        <w:t>resence of contaminants (e.g., heavy metals, pesticides, microbial pathogens) or toxic substances. By ensuring the safety of medicinal plant products, quality control helps protect the health and well-being of consumers</w:t>
      </w:r>
      <w:r w:rsidR="00AD10B6">
        <w:rPr>
          <w:rFonts w:ascii="Times New Roman" w:hAnsi="Times New Roman" w:cs="Times New Roman"/>
          <w:color w:val="000000" w:themeColor="text1"/>
          <w:sz w:val="24"/>
          <w:szCs w:val="24"/>
        </w:rPr>
        <w:t xml:space="preserve"> </w:t>
      </w:r>
      <w:r w:rsidR="008F4B24">
        <w:rPr>
          <w:rFonts w:ascii="Times New Roman" w:hAnsi="Times New Roman" w:cs="Times New Roman"/>
          <w:color w:val="000000" w:themeColor="text1"/>
          <w:sz w:val="24"/>
          <w:szCs w:val="24"/>
        </w:rPr>
        <w:fldChar w:fldCharType="begin" w:fldLock="1"/>
      </w:r>
      <w:r w:rsidR="008F4B24">
        <w:rPr>
          <w:rFonts w:ascii="Times New Roman" w:hAnsi="Times New Roman" w:cs="Times New Roman"/>
          <w:color w:val="000000" w:themeColor="text1"/>
          <w:sz w:val="24"/>
          <w:szCs w:val="24"/>
        </w:rPr>
        <w:instrText>ADDIN CSL_CITATION {"citationItems":[{"id":"ITEM-1","itemData":{"DOI":"10.4103/pm.pm_582_21","author":[{"dropping-particle":"","family":"Gaurav","given":"","non-dropping-particle":"","parse-names":false,"suffix":""}],"container-title":"Pharmacognosy Magazine","id":"ITEM-1","issue":"79","issued":{"date-parts":[["2022"]]},"page":"548-558","title":"GC–MS metabolomics and network pharmacology-based investigation of molecular mechanism of identified metabolites from Tinospora cordifolia (Willd.) miers for the treatment of kidney diseases","type":"article-journal","volume":"18"},"uris":["http://www.mendeley.com/documents/?uuid=1266cacc-268f-453d-a7ac-37d784319f42"]},{"id":"ITEM-2","itemData":{"DOI":"10.1201/9781003179139-9","author":[{"dropping-particle":"","family":"Gautam","given":"Gaurav","non-dropping-particle":"","parse-names":false,"suffix":""},{"dropping-particle":"","family":"Parveen","given":"Rabea","non-dropping-particle":"","parse-names":false,"suffix":""},{"dropping-particle":"","family":"Ahmad","given":"Sayeed","non-dropping-particle":"","parse-names":false,"suffix":""}],"container-title":"Omics Studies of Medicinal Plants","id":"ITEM-2","issued":{"date-parts":[["2023"]]},"title":"LC-MS-based Metabolomics of Medicinal Plants","type":"chapter"},"uris":["http://www.mendeley.com/documents/?uuid=f0525073-21d1-48b2-a262-f6d790ac5532"]}],"mendeley":{"formattedCitation":"[1,2]","plainTextFormattedCitation":"[1,2]","previouslyFormattedCitation":"[1,2]"},"properties":{"noteIndex":0},"schema":"https://github.com/citation-style-language/schema/raw/master/csl-citation.json"}</w:instrText>
      </w:r>
      <w:r w:rsidR="008F4B24">
        <w:rPr>
          <w:rFonts w:ascii="Times New Roman" w:hAnsi="Times New Roman" w:cs="Times New Roman"/>
          <w:color w:val="000000" w:themeColor="text1"/>
          <w:sz w:val="24"/>
          <w:szCs w:val="24"/>
        </w:rPr>
        <w:fldChar w:fldCharType="separate"/>
      </w:r>
      <w:r w:rsidR="008F4B24" w:rsidRPr="008F4B24">
        <w:rPr>
          <w:rFonts w:ascii="Times New Roman" w:hAnsi="Times New Roman" w:cs="Times New Roman"/>
          <w:noProof/>
          <w:color w:val="000000" w:themeColor="text1"/>
          <w:sz w:val="24"/>
          <w:szCs w:val="24"/>
        </w:rPr>
        <w:t>[1,2]</w:t>
      </w:r>
      <w:r w:rsidR="008F4B24">
        <w:rPr>
          <w:rFonts w:ascii="Times New Roman" w:hAnsi="Times New Roman" w:cs="Times New Roman"/>
          <w:color w:val="000000" w:themeColor="text1"/>
          <w:sz w:val="24"/>
          <w:szCs w:val="24"/>
        </w:rPr>
        <w:fldChar w:fldCharType="end"/>
      </w:r>
      <w:r w:rsidRPr="004F0A7F">
        <w:rPr>
          <w:rFonts w:ascii="Times New Roman" w:hAnsi="Times New Roman" w:cs="Times New Roman"/>
          <w:color w:val="000000" w:themeColor="text1"/>
          <w:sz w:val="24"/>
          <w:szCs w:val="24"/>
        </w:rPr>
        <w:t>.</w:t>
      </w:r>
    </w:p>
    <w:p w14:paraId="58CF78F5" w14:textId="215F2562" w:rsidR="00574309" w:rsidRPr="004F0A7F" w:rsidRDefault="00BB4C00"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Quality control aims to verify the presence and potency of bioactive compounds in medicinal plants. It involves assessing the levels of active constituents, such as alkaloids, flavonoids, or terpenoids, th</w:t>
      </w:r>
      <w:r w:rsidRPr="004F0A7F">
        <w:rPr>
          <w:rFonts w:ascii="Times New Roman" w:hAnsi="Times New Roman" w:cs="Times New Roman"/>
          <w:color w:val="000000" w:themeColor="text1"/>
          <w:sz w:val="24"/>
          <w:szCs w:val="24"/>
        </w:rPr>
        <w:t>at contribute to the therapeutic effects of the plant</w:t>
      </w:r>
      <w:r w:rsidR="008F4B24">
        <w:rPr>
          <w:rFonts w:ascii="Times New Roman" w:hAnsi="Times New Roman" w:cs="Times New Roman"/>
          <w:color w:val="000000" w:themeColor="text1"/>
          <w:sz w:val="24"/>
          <w:szCs w:val="24"/>
        </w:rPr>
        <w:t xml:space="preserve"> </w:t>
      </w:r>
      <w:r w:rsidR="008F4B24">
        <w:rPr>
          <w:rFonts w:ascii="Times New Roman" w:hAnsi="Times New Roman" w:cs="Times New Roman"/>
          <w:color w:val="000000" w:themeColor="text1"/>
          <w:sz w:val="24"/>
          <w:szCs w:val="24"/>
        </w:rPr>
        <w:fldChar w:fldCharType="begin" w:fldLock="1"/>
      </w:r>
      <w:r w:rsidR="008F4B24">
        <w:rPr>
          <w:rFonts w:ascii="Times New Roman" w:hAnsi="Times New Roman" w:cs="Times New Roman"/>
          <w:color w:val="000000" w:themeColor="text1"/>
          <w:sz w:val="24"/>
          <w:szCs w:val="24"/>
        </w:rPr>
        <w:instrText>ADDIN CSL_CITATION {"citationItems":[{"id":"ITEM-1","itemData":{"DOI":"10.1201/9781003179139-9","author":[{"dropping-particle":"","family":"Gautam","given":"Gaurav","non-dropping-particle":"","parse-names":false,"suffix":""},{"dropping-particle":"","family":"Parveen","given":"Rabea","non-dropping-particle":"","parse-names":false,"suffix":""},{"dropping-particle":"","family":"Ahmad","given":"Sayeed","non-dropping-particle":"","parse-names":false,"suffix":""}],"container-title":"Omics Studies of Medicinal Plants","id":"ITEM-1","issued":{"date-parts":[["2023"]]},"title":"LC-MS-based Metabolomics of Medicinal Plants","type":"chapter"},"uris":["http://www.mendeley.com/documents/?uuid=f0525073-21d1-48b2-a262-f6d790ac5532"]}],"mendeley":{"formattedCitation":"[2]","plainTextFormattedCitation":"[2]","previouslyFormattedCitation":"[2]"},"properties":{"noteIndex":0},"schema":"https://github.com/citation-style-language/schema/raw/master/csl-citation.json"}</w:instrText>
      </w:r>
      <w:r w:rsidR="008F4B24">
        <w:rPr>
          <w:rFonts w:ascii="Times New Roman" w:hAnsi="Times New Roman" w:cs="Times New Roman"/>
          <w:color w:val="000000" w:themeColor="text1"/>
          <w:sz w:val="24"/>
          <w:szCs w:val="24"/>
        </w:rPr>
        <w:fldChar w:fldCharType="separate"/>
      </w:r>
      <w:r w:rsidR="008F4B24" w:rsidRPr="008F4B24">
        <w:rPr>
          <w:rFonts w:ascii="Times New Roman" w:hAnsi="Times New Roman" w:cs="Times New Roman"/>
          <w:noProof/>
          <w:color w:val="000000" w:themeColor="text1"/>
          <w:sz w:val="24"/>
          <w:szCs w:val="24"/>
        </w:rPr>
        <w:t>[2]</w:t>
      </w:r>
      <w:r w:rsidR="008F4B24">
        <w:rPr>
          <w:rFonts w:ascii="Times New Roman" w:hAnsi="Times New Roman" w:cs="Times New Roman"/>
          <w:color w:val="000000" w:themeColor="text1"/>
          <w:sz w:val="24"/>
          <w:szCs w:val="24"/>
        </w:rPr>
        <w:fldChar w:fldCharType="end"/>
      </w:r>
      <w:r w:rsidRPr="004F0A7F">
        <w:rPr>
          <w:rFonts w:ascii="Times New Roman" w:hAnsi="Times New Roman" w:cs="Times New Roman"/>
          <w:color w:val="000000" w:themeColor="text1"/>
          <w:sz w:val="24"/>
          <w:szCs w:val="24"/>
        </w:rPr>
        <w:t>. By e</w:t>
      </w:r>
      <w:r w:rsidRPr="004F0A7F">
        <w:rPr>
          <w:rFonts w:ascii="Times New Roman" w:hAnsi="Times New Roman" w:cs="Times New Roman"/>
          <w:color w:val="000000" w:themeColor="text1"/>
          <w:sz w:val="24"/>
          <w:szCs w:val="24"/>
        </w:rPr>
        <w:t>nsuring consistent levels of active compounds, quality control supports the efficacy and reliability of medicinal plant products.</w:t>
      </w:r>
      <w:r w:rsidR="008F4B24">
        <w:rPr>
          <w:rFonts w:ascii="Times New Roman" w:hAnsi="Times New Roman" w:cs="Times New Roman"/>
          <w:color w:val="000000" w:themeColor="text1"/>
          <w:sz w:val="24"/>
          <w:szCs w:val="24"/>
        </w:rPr>
        <w:t xml:space="preserve"> It </w:t>
      </w:r>
      <w:r w:rsidRPr="004F0A7F">
        <w:rPr>
          <w:rFonts w:ascii="Times New Roman" w:hAnsi="Times New Roman" w:cs="Times New Roman"/>
          <w:color w:val="000000" w:themeColor="text1"/>
          <w:sz w:val="24"/>
          <w:szCs w:val="24"/>
        </w:rPr>
        <w:t>includes macroscopic and microscopic examination, DNA barcoding, and other analytical methods, which are used to authentica</w:t>
      </w:r>
      <w:r w:rsidRPr="004F0A7F">
        <w:rPr>
          <w:rFonts w:ascii="Times New Roman" w:hAnsi="Times New Roman" w:cs="Times New Roman"/>
          <w:color w:val="000000" w:themeColor="text1"/>
          <w:sz w:val="24"/>
          <w:szCs w:val="24"/>
        </w:rPr>
        <w:t>te medicinal plant materials. These methods help confirm the correct species, verify the absence of adulterants or substitutes, and ensure the accurate identification of the plant material used in products</w:t>
      </w:r>
      <w:r w:rsidR="008F4B24">
        <w:rPr>
          <w:rFonts w:ascii="Times New Roman" w:hAnsi="Times New Roman" w:cs="Times New Roman"/>
          <w:color w:val="000000" w:themeColor="text1"/>
          <w:sz w:val="24"/>
          <w:szCs w:val="24"/>
        </w:rPr>
        <w:t xml:space="preserve"> </w:t>
      </w:r>
      <w:r w:rsidR="008F4B24">
        <w:rPr>
          <w:rFonts w:ascii="Times New Roman" w:hAnsi="Times New Roman" w:cs="Times New Roman"/>
          <w:color w:val="000000" w:themeColor="text1"/>
          <w:sz w:val="24"/>
          <w:szCs w:val="24"/>
        </w:rPr>
        <w:fldChar w:fldCharType="begin" w:fldLock="1"/>
      </w:r>
      <w:r w:rsidR="008F4B24">
        <w:rPr>
          <w:rFonts w:ascii="Times New Roman" w:hAnsi="Times New Roman" w:cs="Times New Roman"/>
          <w:color w:val="000000" w:themeColor="text1"/>
          <w:sz w:val="24"/>
          <w:szCs w:val="24"/>
        </w:rPr>
        <w:instrText>ADDIN CSL_CITATION {"citationItems":[{"id":"ITEM-1","itemData":{"DOI":"10.1016/j.aca.2009.10.024","ISSN":"00032670","PMID":"19951752","abstract":"Traditional Chinese medicines (TCMs) are gaining more and more attention all over the world, due to their specific theory and long historical clinical practice. But the uncontrollable quality is a bottleneck for its modernization and globalization. This paper reviewed the recent analytical methods in the quality control of TCMs, including screening strategies of bioactive markers from TCMs through biochromatographic methods, the traditional chromatographic methods, DNA methods, as well as the spectroscopic methods, including FT-IR, NIR and NMR. The comprehensive methods, such as fingerprint and multi-component quantification are emphasized; hyphenated techniques, like HPLC-MS, GC-MS, CE-MS, LC-NMR, chemometric methods, and combination of chemical and biological methods, such as biofingerprint, metabolic fingerprint are now more and more widely used in TCMs. In a few word, the analysis and quality control of TCMs are moving towards an integrative and comprehensive direction, in order to better address the inherent holistic nature of TCMs. © 2009 Elsevier B.V. All rights reserved.","author":[{"dropping-particle":"","family":"Jiang","given":"Yong","non-dropping-particle":"","parse-names":false,"suffix":""},{"dropping-particle":"","family":"David","given":"Bruno","non-dropping-particle":"","parse-names":false,"suffix":""},{"dropping-particle":"","family":"Tu","given":"Pengfei","non-dropping-particle":"","parse-names":false,"suffix":""},{"dropping-particle":"","family":"Barbin","given":"Yves","non-dropping-particle":"","parse-names":false,"suffix":""}],"container-title":"Analytica Chimica Acta","id":"ITEM-1","issued":{"date-parts":[["2010"]]},"title":"Recent analytical approaches in quality control of traditional Chinese medicines-A review","type":"article"},"uris":["http://www.mendeley.com/documents/?uuid=4f32b4e5-ca56-4e2f-bede-19ec2aaefa7b"]},{"id":"ITEM-2","itemData":{"DOI":"10.1016/j.btre.2019.e00318","ISSN":"2215017X","abstract":"Genomic DNA of Strychnos minor (Dennst) of sixteen geographical regions were amplified using thirteen primers. The analyses of products of Radom Amplified Polymorphic DNA (RAPD) revealed polymorphism among the samples. The polymorphic information content (PIC) was maximum for the primer of OPB-04 (0.40) followed by the primer OPB-20 (0.39). Clustering analysis by Jaccard's coefficient index exhibited similarity matrix and distance matrix. The amplified products of the 13 primers collectively showed similarity index ranged from 0.654 to 0.986. The phylogenetic trees were constructed by UPGMA cluster analysis. Significant variations in the amplified genomic DNA suggest genetic variability of population but low inter-population genetic segregation.","author":[{"dropping-particle":"","family":"Arumugam","given":"T.","non-dropping-particle":"","parse-names":false,"suffix":""},{"dropping-particle":"","family":"Jayapriya","given":"G.","non-dropping-particle":"","parse-names":false,"suffix":""},{"dropping-particle":"","family":"Sekar","given":"T.","non-dropping-particle":"","parse-names":false,"suffix":""}],"container-title":"Biotechnology Reports","id":"ITEM-2","issued":{"date-parts":[["2019"]]},"title":"Molecular fingerprinting of the Indian medicinal plant Strychnos minor Dennst","type":"article-journal"},"uris":["http://www.mendeley.com/documents/?uuid=8b9100ef-9b3d-4a9d-9e36-940845fd807b"]}],"mendeley":{"formattedCitation":"[3,4]","plainTextFormattedCitation":"[3,4]","previouslyFormattedCitation":"[3,4]"},"properties":{"noteIndex":0},"schema":"https://github.com/citation-style-language/schema/raw/master/csl-citation.json"}</w:instrText>
      </w:r>
      <w:r w:rsidR="008F4B24">
        <w:rPr>
          <w:rFonts w:ascii="Times New Roman" w:hAnsi="Times New Roman" w:cs="Times New Roman"/>
          <w:color w:val="000000" w:themeColor="text1"/>
          <w:sz w:val="24"/>
          <w:szCs w:val="24"/>
        </w:rPr>
        <w:fldChar w:fldCharType="separate"/>
      </w:r>
      <w:r w:rsidR="008F4B24" w:rsidRPr="008F4B24">
        <w:rPr>
          <w:rFonts w:ascii="Times New Roman" w:hAnsi="Times New Roman" w:cs="Times New Roman"/>
          <w:noProof/>
          <w:color w:val="000000" w:themeColor="text1"/>
          <w:sz w:val="24"/>
          <w:szCs w:val="24"/>
        </w:rPr>
        <w:t>[3,4]</w:t>
      </w:r>
      <w:r w:rsidR="008F4B24">
        <w:rPr>
          <w:rFonts w:ascii="Times New Roman" w:hAnsi="Times New Roman" w:cs="Times New Roman"/>
          <w:color w:val="000000" w:themeColor="text1"/>
          <w:sz w:val="24"/>
          <w:szCs w:val="24"/>
        </w:rPr>
        <w:fldChar w:fldCharType="end"/>
      </w:r>
      <w:r w:rsidRPr="004F0A7F">
        <w:rPr>
          <w:rFonts w:ascii="Times New Roman" w:hAnsi="Times New Roman" w:cs="Times New Roman"/>
          <w:color w:val="000000" w:themeColor="text1"/>
          <w:sz w:val="24"/>
          <w:szCs w:val="24"/>
        </w:rPr>
        <w:t>.</w:t>
      </w:r>
    </w:p>
    <w:p w14:paraId="290918DA" w14:textId="445C6221" w:rsidR="00574309" w:rsidRPr="004F0A7F" w:rsidRDefault="00BB4C00"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Quality control ensures that medicinal plant products are manufactured with consistent quality and meet predetermined spec</w:t>
      </w:r>
      <w:r w:rsidRPr="004F0A7F">
        <w:rPr>
          <w:rFonts w:ascii="Times New Roman" w:hAnsi="Times New Roman" w:cs="Times New Roman"/>
          <w:color w:val="000000" w:themeColor="text1"/>
          <w:sz w:val="24"/>
          <w:szCs w:val="24"/>
        </w:rPr>
        <w:t>ifications. This involves controlling factors such as cultivation practices, harvesting methods, processing techniques, and storage conditions to minimize variability and maintain uniformity in the composition and properties of the plant material.</w:t>
      </w:r>
      <w:r w:rsidR="008F4B24">
        <w:rPr>
          <w:rFonts w:ascii="Times New Roman" w:hAnsi="Times New Roman" w:cs="Times New Roman"/>
          <w:color w:val="000000" w:themeColor="text1"/>
          <w:sz w:val="24"/>
          <w:szCs w:val="24"/>
        </w:rPr>
        <w:t xml:space="preserve"> </w:t>
      </w:r>
      <w:r w:rsidRPr="004F0A7F">
        <w:rPr>
          <w:rFonts w:ascii="Times New Roman" w:hAnsi="Times New Roman" w:cs="Times New Roman"/>
          <w:color w:val="000000" w:themeColor="text1"/>
          <w:sz w:val="24"/>
          <w:szCs w:val="24"/>
        </w:rPr>
        <w:t xml:space="preserve">Quality </w:t>
      </w:r>
      <w:r w:rsidRPr="004F0A7F">
        <w:rPr>
          <w:rFonts w:ascii="Times New Roman" w:hAnsi="Times New Roman" w:cs="Times New Roman"/>
          <w:color w:val="000000" w:themeColor="text1"/>
          <w:sz w:val="24"/>
          <w:szCs w:val="24"/>
        </w:rPr>
        <w:t>control in medicinal plants ensures compliance with national and international regulatory standards and guidelines. This includes adherence to good agricultural and collection practices, good manufacturing practices (GMP), and the implementation of quality</w:t>
      </w:r>
      <w:r w:rsidRPr="004F0A7F">
        <w:rPr>
          <w:rFonts w:ascii="Times New Roman" w:hAnsi="Times New Roman" w:cs="Times New Roman"/>
          <w:color w:val="000000" w:themeColor="text1"/>
          <w:sz w:val="24"/>
          <w:szCs w:val="24"/>
        </w:rPr>
        <w:t xml:space="preserve"> management systems. By meeting regulatory requirements, quality control helps maintain the integrity and legality of medicinal plant products</w:t>
      </w:r>
      <w:r w:rsidR="008F4B24">
        <w:rPr>
          <w:rFonts w:ascii="Times New Roman" w:hAnsi="Times New Roman" w:cs="Times New Roman"/>
          <w:color w:val="000000" w:themeColor="text1"/>
          <w:sz w:val="24"/>
          <w:szCs w:val="24"/>
        </w:rPr>
        <w:t xml:space="preserve"> </w:t>
      </w:r>
      <w:r w:rsidR="008F4B24">
        <w:rPr>
          <w:rFonts w:ascii="Times New Roman" w:hAnsi="Times New Roman" w:cs="Times New Roman"/>
          <w:color w:val="000000" w:themeColor="text1"/>
          <w:sz w:val="24"/>
          <w:szCs w:val="24"/>
        </w:rPr>
        <w:fldChar w:fldCharType="begin" w:fldLock="1"/>
      </w:r>
      <w:r w:rsidR="008F4B24">
        <w:rPr>
          <w:rFonts w:ascii="Times New Roman" w:hAnsi="Times New Roman" w:cs="Times New Roman"/>
          <w:color w:val="000000" w:themeColor="text1"/>
          <w:sz w:val="24"/>
          <w:szCs w:val="24"/>
        </w:rPr>
        <w:instrText>ADDIN CSL_CITATION {"citationItems":[{"id":"ITEM-1","itemData":{"DOI":"10.3389/fphar.2020.578970","ISSN":"16639812","PMID":"33737875","abstract":"The cases of COVID-19 are still increasing day-by-day worldwide, even after a year of its first occurrence in Wuhan city of China. The spreading of SARS-CoV-2 infection is very fast and different from other SARS-CoV infections possibly due to structural differences in S proteins. The patients with severe diseases may die due to acute respiratory distress syndrome (ARDS) caused by systemic inflammatory reactions due to the excessive release of pro-inflammatory cytokines and chemokines by the immune effector cells. In India too, it is spreading very rapidly, although the case fatality rate is below 1.50% (https://www.statista.com), which is markedly less than in other countries, despite the dense population and minimal health infrastructure in rural areas. This may be due to the routine use of many immunomodulator medicinal plants and traditional AYUSH formulations by the Indian people. This communication reviews the AYUSH recommended formulations and their ingredients, routinely used medicinal plants and formulations by Indian population as well as other promising Indian medicinal plants, which can be tested against COVID-19. Special emphasis is placed on Indian medicinal plants reported for antiviral, immunomodulatory and anti-allergic/anti-inflammatory activities and they are categorized for prioritization in research on the basis of earlier reports. The traditional AYUSH medicines currently under clinical trials against COVID-19 are also discussed as well as furtherance of pre-clinical and clinical testing of the potential traditional medicines against COVID-19 and SARS-CoV-2. The results of the clinical studies on AYUSH drugs will guide the policymakers from the AYUSH systems of medicines to maneuver their policies for public health, provide information to the global scientific community and could form a platform for collaborative studies at national and global levels. It is thereby suggested that promising AYUSH formulations and Indian medicinal plants must be investigated on a priority basis to solve the current crisis.","author":[{"dropping-particle":"","family":"Ahmad","given":"Sayeed","non-dropping-particle":"","parse-names":false,"suffix":""},{"dropping-particle":"","family":"Zahiruddin","given":"Sultan","non-dropping-particle":"","parse-names":false,"suffix":""},{"dropping-particle":"","family":"Parveen","given":"Bushra","non-dropping-particle":"","parse-names":false,"suffix":""},{"dropping-particle":"","family":"Basist","given":"Parakh","non-dropping-particle":"","parse-names":false,"suffix":""},{"dropping-particle":"","family":"Parveen","given":"Abida","non-dropping-particle":"","parse-names":false,"suffix":""},{"dropping-particle":"","family":"Gaurav","given":"","non-dropping-particle":"","parse-names":false,"suffix":""},{"dropping-particle":"","family":"Parveen","given":"Rabea","non-dropping-particle":"","parse-names":false,"suffix":""},{"dropping-particle":"","family":"Ahmad","given":"Minhaj","non-dropping-particle":"","parse-names":false,"suffix":""}],"container-title":"Frontiers in Pharmacology","id":"ITEM-1","issued":{"date-parts":[["2021"]]},"title":"Indian Medicinal Plants and Formulations and Their Potential Against COVID-19–Preclinical and Clinical Research","type":"article"},"uris":["http://www.mendeley.com/documents/?uuid=ec27f100-fff1-46be-86f0-2690af16a4ac"]},{"id":"ITEM-2","itemData":{"DOI":"10.5740/jaoacint.19-0287","ISSN":"1060-3271","PMID":"31570115","abstract":"Background: Interest in the antioxidant and antidiabetic activity of natural products are growing vastly in the modern world. Thin layer chromatography-bioautography-mass spectroscopy (TLC-bioautography-MS) plays an important role in chemico-biological screening of natural sources. TLC combined with 2, 2-Diphenyl-1-picrylhydrazyl (DPPH) free radical, α-amylase and α-glucosidase bioassay were used to evaluate antioxidant and antidiabetic activities, respectively, in different extracts of Citrullus colocynthis (Hanzal), a well-known traditional Indian Unani medicinal plant. Objective: To develop a TLC-bioautographic-MS method for DPPH, α-amylase, and glucosidase inhibitors in different extract of C. colocynthis fruits. Method: Fruits of C. colocynthis were successively extracted with toluene, dichloromethane, ethyl acetate, methanol, and water. TLC solvents were developed, and bioautographic-MS analysis was carried out to identify the antioxidant and antidiabetic compounds. Results: HPTLC fingerprinting analysis showed maximum numbers of band separated in dichloromethane and ethyl acetate extracts of C. colocynthis, fourteen and thirteen at 254 and 366 nm, respectively. Whereas six and five separated bands were observed in toluene extract at 254 and 366 nm, respectively showed minimum numbers of metabolites. Based on TLC-bioautography-MS, maximum number of antioxidant compounds were identified in dichloromethane extract. Except aqueous extract of C. colocynthis, all the extracts have shown antidiabetic activity. On the other hand, there were no antioxidant compounds in methanolic extract of C. colocynthis. Conclusions: The results of this study reveal that TLC-bioautography-MS–guided strategy used to identify antioxidant and antidiabetic compounds of C. colocynthis is very useful technique for high-throughput screening of bioactive compounds. Highlights: TLC-MS bioautography is a simple and fast to enables bioactive compounds present in extracts.","author":[{"dropping-particle":"","family":"Parveen","given":"Rabea","non-dropping-particle":"","parse-names":false,"suffix":""},{"dropping-particle":"","family":"Khan","given":"Nausheen","non-dropping-particle":"","parse-names":false,"suffix":""},{"dropping-particle":"","family":"Zahiruddin","given":"Sultan","non-dropping-particle":"","parse-names":false,"suffix":""},{"dropping-particle":"","family":"Ibrahim","given":"Mohammad","non-dropping-particle":"","parse-names":false,"suffix":""},{"dropping-particle":"","family":"Anjum","given":"Varisha","non-dropping-particle":"","parse-names":false,"suffix":""},{"dropping-particle":"","family":"Parveen","given":"Bushra","non-dropping-particle":"","parse-names":false,"suffix":""},{"dropping-particle":"","family":"Khan","given":"Mohammad Ahmad","non-dropping-particle":"","parse-names":false,"suffix":""}],"container-title":"Journal of AOAC INTERNATIONAL","id":"ITEM-2","issued":{"date-parts":[["2020"]]},"title":"TLC-Bioautographic Evaluation for High-Throughput Screening and Identification of Free Radical Scavenging and Antidiabetic Compounds from Traditional Unani Medicinal Plant: Citrullus colocynthis Schrad","type":"article-journal"},"uris":["http://www.mendeley.com/documents/?uuid=430dff76-fe92-4957-a447-349446153dc0"]},{"id":"ITEM-3","itemData":{"author":[{"dropping-particle":"","family":"Zahiruddin","given":"Sultan","non-dropping-particle":"","parse-names":false,"suffix":""},{"dropping-particle":"","family":"Parveen","given":"Abida","non-dropping-particle":"","parse-names":false,"suffix":""},{"dropping-particle":"","family":"Khan","given":"Washim","non-dropping-particle":"","parse-names":false,"suffix":""},{"dropping-particle":"","family":"Parveen","given":"Rabea","non-dropping-particle":"","parse-names":false,"suffix":""},{"dropping-particle":"","family":"Ahmad","given":"Sayeed","non-dropping-particle":"","parse-names":false,"suffix":""}],"id":"ITEM-3","issued":{"date-parts":[["2021"]]},"title":"TLC-Based Metabolite Profiling and Bioactivity-Based Scientific Validation for Use of Water Extracts in AYUSH Formulations","type":"article-journal","volume":"2021"},"uris":["http://www.mendeley.com/documents/?uuid=7bf3f729-b845-4c04-b1e2-2afb10206b09"]}],"mendeley":{"formattedCitation":"[5–7]","plainTextFormattedCitation":"[5–7]","previouslyFormattedCitation":"[5–7]"},"properties":{"noteIndex":0},"schema":"https://github.com/citation-style-language/schema/raw/master/csl-citation.json"}</w:instrText>
      </w:r>
      <w:r w:rsidR="008F4B24">
        <w:rPr>
          <w:rFonts w:ascii="Times New Roman" w:hAnsi="Times New Roman" w:cs="Times New Roman"/>
          <w:color w:val="000000" w:themeColor="text1"/>
          <w:sz w:val="24"/>
          <w:szCs w:val="24"/>
        </w:rPr>
        <w:fldChar w:fldCharType="separate"/>
      </w:r>
      <w:r w:rsidR="008F4B24" w:rsidRPr="008F4B24">
        <w:rPr>
          <w:rFonts w:ascii="Times New Roman" w:hAnsi="Times New Roman" w:cs="Times New Roman"/>
          <w:noProof/>
          <w:color w:val="000000" w:themeColor="text1"/>
          <w:sz w:val="24"/>
          <w:szCs w:val="24"/>
        </w:rPr>
        <w:t>[5–7]</w:t>
      </w:r>
      <w:r w:rsidR="008F4B24">
        <w:rPr>
          <w:rFonts w:ascii="Times New Roman" w:hAnsi="Times New Roman" w:cs="Times New Roman"/>
          <w:color w:val="000000" w:themeColor="text1"/>
          <w:sz w:val="24"/>
          <w:szCs w:val="24"/>
        </w:rPr>
        <w:fldChar w:fldCharType="end"/>
      </w:r>
      <w:r w:rsidRPr="004F0A7F">
        <w:rPr>
          <w:rFonts w:ascii="Times New Roman" w:hAnsi="Times New Roman" w:cs="Times New Roman"/>
          <w:color w:val="000000" w:themeColor="text1"/>
          <w:sz w:val="24"/>
          <w:szCs w:val="24"/>
        </w:rPr>
        <w:t>.</w:t>
      </w:r>
    </w:p>
    <w:p w14:paraId="108E1B4A" w14:textId="04BE0D6A" w:rsidR="00574309" w:rsidRPr="004F0A7F" w:rsidRDefault="00BB4C00"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 xml:space="preserve">Quality control involves maintaining comprehensive documentation and traceability of medicinal plant materials throughout the supply chain. This includes recording information about cultivation, </w:t>
      </w:r>
      <w:r w:rsidRPr="004F0A7F">
        <w:rPr>
          <w:rFonts w:ascii="Times New Roman" w:hAnsi="Times New Roman" w:cs="Times New Roman"/>
          <w:color w:val="000000" w:themeColor="text1"/>
          <w:sz w:val="24"/>
          <w:szCs w:val="24"/>
        </w:rPr>
        <w:lastRenderedPageBreak/>
        <w:t>harvesting, processing, testing, and distribution. T</w:t>
      </w:r>
      <w:r w:rsidRPr="004F0A7F">
        <w:rPr>
          <w:rFonts w:ascii="Times New Roman" w:hAnsi="Times New Roman" w:cs="Times New Roman"/>
          <w:color w:val="000000" w:themeColor="text1"/>
          <w:sz w:val="24"/>
          <w:szCs w:val="24"/>
        </w:rPr>
        <w:t>raceability ensures transparency and enables effective monitoring, recall, and investigation of any quality issues that may arise.</w:t>
      </w:r>
      <w:r w:rsidR="008F4B24">
        <w:rPr>
          <w:rFonts w:ascii="Times New Roman" w:hAnsi="Times New Roman" w:cs="Times New Roman"/>
          <w:color w:val="000000" w:themeColor="text1"/>
          <w:sz w:val="24"/>
          <w:szCs w:val="24"/>
        </w:rPr>
        <w:t xml:space="preserve"> </w:t>
      </w:r>
      <w:r w:rsidRPr="004F0A7F">
        <w:rPr>
          <w:rFonts w:ascii="Times New Roman" w:hAnsi="Times New Roman" w:cs="Times New Roman"/>
          <w:color w:val="000000" w:themeColor="text1"/>
          <w:sz w:val="24"/>
          <w:szCs w:val="24"/>
        </w:rPr>
        <w:t>By implementing quality control measures, stakeholders in the medicinal plant industry, including growers, manufacturers, and</w:t>
      </w:r>
      <w:r w:rsidRPr="004F0A7F">
        <w:rPr>
          <w:rFonts w:ascii="Times New Roman" w:hAnsi="Times New Roman" w:cs="Times New Roman"/>
          <w:color w:val="000000" w:themeColor="text1"/>
          <w:sz w:val="24"/>
          <w:szCs w:val="24"/>
        </w:rPr>
        <w:t xml:space="preserve"> regulatory authorities, can ensure that medicinal plant products are of consistent quality, free from contaminants, and deliver the intended therapeutic benefits. Quality control is vital for building trust among consumers, healthcare professionals, and r</w:t>
      </w:r>
      <w:r w:rsidRPr="004F0A7F">
        <w:rPr>
          <w:rFonts w:ascii="Times New Roman" w:hAnsi="Times New Roman" w:cs="Times New Roman"/>
          <w:color w:val="000000" w:themeColor="text1"/>
          <w:sz w:val="24"/>
          <w:szCs w:val="24"/>
        </w:rPr>
        <w:t>egulatory agencies and plays a crucial role in promoting the safe and effective use of medicinal plants</w:t>
      </w:r>
      <w:r w:rsidR="008F4B24">
        <w:rPr>
          <w:rFonts w:ascii="Times New Roman" w:hAnsi="Times New Roman" w:cs="Times New Roman"/>
          <w:color w:val="000000" w:themeColor="text1"/>
          <w:sz w:val="24"/>
          <w:szCs w:val="24"/>
        </w:rPr>
        <w:t xml:space="preserve"> </w:t>
      </w:r>
      <w:r w:rsidR="008F4B24">
        <w:rPr>
          <w:rFonts w:ascii="Times New Roman" w:hAnsi="Times New Roman" w:cs="Times New Roman"/>
          <w:color w:val="000000" w:themeColor="text1"/>
          <w:sz w:val="24"/>
          <w:szCs w:val="24"/>
        </w:rPr>
        <w:fldChar w:fldCharType="begin" w:fldLock="1"/>
      </w:r>
      <w:r w:rsidR="008F4B24">
        <w:rPr>
          <w:rFonts w:ascii="Times New Roman" w:hAnsi="Times New Roman" w:cs="Times New Roman"/>
          <w:color w:val="000000" w:themeColor="text1"/>
          <w:sz w:val="24"/>
          <w:szCs w:val="24"/>
        </w:rPr>
        <w:instrText>ADDIN CSL_CITATION {"citationItems":[{"id":"ITEM-1","itemData":{"DOI":"10.1016/j.jep.2020.112876","ISSN":"18727573","PMID":"32305638","abstract":"Ethnopharmacological relevance: Withania somnifera (Family: Solanaceae), commonly known as Ashwagandha or Indian ginseng is distributed widely in India, Nepal, China and Yemen. The roots of plant consist of active phytoconstituents mainly withanolides, alkaloids and sitoindosides and are conventionally used for the treatment of multiple brain disorders. Aim of the review: This review aims to critically assess and summarize the current state and implication of Ashwagandha in brain disorders. We have mainly focussed on the reported neuroactive phytoconstituents, available marketed products, pharmacological studies, mechanism of action and recent patents published related to neuroprotective effects of Ashwagandha in brain disorders. Materials and methods: All the information and data was collected on Ashwagandha using keywords “Ashwagandha” along with “Phytoconstituents”, “Ayurvedic, Unani and Homeopathy marketed formulation”, “Brain disorders”, “Mechanism” and “Patents”. Following sources were searched for data collection: electronic scientific databases such as Science Direct, Google Scholar, Elsevier, PubMed, Wiley On-line Library, Taylor and Francis, Springer; books such as AYUSH Pharmacopoeia; authentic textbooks and formularies. Results: Identified neuroprotective phytoconstituents of Ashwagandha are sitoindosides VII–X, withaferin A, withanosides IV, withanols, withanolide A, withanolide B, anaferine, beta-sitosterol, withanolide D with key pharmacological effects in brain disorders mainly anxiety, Alzheimer's, Parkinson's, Schizophrenia, Huntington's disease, dyslexia, depression, autism, addiction, amyotrophic lateral sclerosis, attention deficit hyperactivity disorder and bipolar disorders. The literature survey does not highlight any toxic effects of Ashwagandha. Further, multiple available marketed products and patents recognized its beneficial role in various brain disorders; however, very few data is available on mechanistic pathway and clinical studies of Ashwagandha for various brain disorders is scarce and not promising. Conclusion: The review concludes the results of recent studies on Ashwagandha suggesting its extensive potential as neuroprotective in various brain disorders as supported by preclinical studies, clinical trials and published patents. However vague understanding of the mechanistic pathways involved in imparting the neuroprotective effect of Ashwagandha warrants further study to promote it as a promising drug candidate.","author":[{"dropping-particle":"","family":"Zahiruddin","given":"Sultan","non-dropping-particle":"","parse-names":false,"suffix":""},{"dropping-particle":"","family":"Basist","given":"Parakh","non-dropping-particle":"","parse-names":false,"suffix":""},{"dropping-particle":"","family":"Parveen","given":"Abida","non-dropping-particle":"","parse-names":false,"suffix":""},{"dropping-particle":"","family":"Parveen","given":"Rabea","non-dropping-particle":"","parse-names":false,"suffix":""},{"dropping-particle":"","family":"Khan","given":"Washim","non-dropping-particle":"","parse-names":false,"suffix":""},{"dropping-particle":"","family":"Gaurav","given":"","non-dropping-particle":"","parse-names":false,"suffix":""},{"dropping-particle":"","family":"Ahmad","given":"Sayeed","non-dropping-particle":"","parse-names":false,"suffix":""}],"container-title":"Journal of Ethnopharmacology","id":"ITEM-1","issued":{"date-parts":[["2020"]]},"title":"Ashwagandha in brain disorders: A review of recent developments","type":"article"},"uris":["http://www.mendeley.com/documents/?uuid=d3e38eb2-35ae-4bab-992b-6d988fb1cf19"]},{"id":"ITEM-2","itemData":{"DOI":"10.1016/j.sajb.2022.01.038","ISSN":"02546299","abstract":"Synergism among herbals or phytochemicals potentiates incredible biological effects thus mitigating several acute and chronic ailments. Boerhaavia diffusa (BD) and Tinospora cordifolia (TC) are well-known medicinal plants used as the folk medicinal regimen for treating various ailments. Due to lack of scientific evidence, the study is aimed to evaluate the synergistic nephroprotective potential of BD and TC herbal combination against diclofenac (DCF)-induced nephrotoxicity. HPTLC analysis was performed for quantification of polyphenols followed by network pharmacological analysis to investigate the multi-mechanistic role of polyphenols in alleviating chronic kidney disease (CKD). The herbal combination exhibited significant (p &lt; 0.05) nephroprotective effect by reducing renal oxidative, and inflammatory stress. Network pharmacological analysis showed multiple physiological roles of polyphenols in kidney malfunction by regulating several genomes involved in inflammation, oxidative stress, renin-angiotensin system (RAS), etc. and thus providing an effective therapeutic regimen as BD and TC in the glance of naturals.","author":[{"dropping-particle":"","family":"Gaurav","given":"","non-dropping-particle":"","parse-names":false,"suffix":""},{"dropping-particle":"","family":"Khan","given":"Mohammad Umar","non-dropping-particle":"","parse-names":false,"suffix":""},{"dropping-particle":"","family":"Basist","given":"Parakh","non-dropping-particle":"","parse-names":false,"suffix":""},{"dropping-particle":"","family":"Zahiruddin","given":"Sultan","non-dropping-particle":"","parse-names":false,"suffix":""},{"dropping-particle":"","family":"Ibrahim","given":"Mohammad","non-dropping-particle":"","parse-names":false,"suffix":""},{"dropping-particle":"","family":"Parveen","given":"Rabea","non-dropping-particle":"","parse-names":false,"suffix":""},{"dropping-particle":"","family":"Krishnan","given":"Anuja","non-dropping-particle":"","parse-names":false,"suffix":""},{"dropping-particle":"","family":"Ahmad","given":"Sayeed","non-dropping-particle":"","parse-names":false,"suffix":""}],"container-title":"South African Journal of Botany","id":"ITEM-2","issued":{"date-parts":[["2022"]]},"publisher":"Elsevier B.V.","title":"Nephroprotective potential of Boerhaavia diffusa and Tinospora cordifolia herbal combination against diclofenac induced nephrotoxicity","type":"article-journal","volume":"000"},"uris":["http://www.mendeley.com/documents/?uuid=c100ed2d-8d94-487a-bf99-55e84bc4b2c1"]},{"id":"ITEM-3","itemData":{"DOI":"10.1016/j.jep.2021.114743","ISSN":"03788741","author":[{"dropping-particle":"","family":"Basist","given":"Parakh","non-dropping-particle":"","parse-names":false,"suffix":""},{"dropping-particle":"","family":"Parveen","given":"Bushra","non-dropping-particle":"","parse-names":false,"suffix":""},{"dropping-particle":"","family":"Zahiruddin","given":"Sultan","non-dropping-particle":"","parse-names":false,"suffix":""},{"dropping-particle":"","family":"Gautam","given":"Gaurav","non-dropping-particle":"","parse-names":false,"suffix":""},{"dropping-particle":"","family":"Parveen","given":"Rabea","non-dropping-particle":"","parse-names":false,"suffix":""},{"dropping-particle":"","family":"Khan","given":"Mohammad Ahmed","non-dropping-particle":"","parse-names":false,"suffix":""},{"dropping-particle":"","family":"Krishnan","given":"Anuja","non-dropping-particle":"","parse-names":false,"suffix":""},{"dropping-particle":"","family":"Shahid","given":"Mohd","non-dropping-particle":"","parse-names":false,"suffix":""},{"dropping-particle":"","family":"Ahmad","given":"Sayeed","non-dropping-particle":"","parse-names":false,"suffix":""}],"container-title":"Journal of Ethnopharmacology","id":"ITEM-3","issued":{"date-parts":[["2022"]]},"title":"Potential nephroprotective phytochemicals: Mechanism and future prospects","type":"article-journal"},"uris":["http://www.mendeley.com/documents/?uuid=d3aae0a0-03a8-49f3-822a-c8716fc696b7"]},{"id":"ITEM-4","itemData":{"DOI":"10.1016/j.jksus.2022.101839","ISSN":"10183647","abstract":"Sharbat-e-Bazoori Motadil (SBM) is a traditional Unani syrupy formulation, widely used for the management of kidney diseases. Due to lack of scientific evidence, the present work prospective is aimed to evaluate the protective effect of sugar-free SBM against cisplatin (CP)-induced nephrotoxicity using in vitro and in vivo followed by phytochemical studies. The sugar-free SBM formulation was chromatographically characterized for chemical analysis through HPTLC and evaluated for its metabolic contents. Thereafter, in vitro phytochemicals and free radical scavenging assays were performed to evaluate the total phenols and flavonoid content and antioxidant potential of sugar-free SBM. Human embryonic kidney-293 (HEK-293) cell was used to assess nephroprotective and antioxidant studies of sugar-free SBM. Further, in vivo nephroprotective studies were performed in female Wistar albino rats at different dose (32.1, 64.2, 128.4 mg/kg/day, p.o.) of SBM by assessment of biochemical markers, antioxidants status, inflammatory cytokines, and histopathological analysis. Qualitative and quantitative HPTLC analysis of SBM revealed eleven and eight metabolites at 254 and 366 nm, respectively, while the content of caffeic acid and trans ferulic acid was found as 5.63 ± 0.29 and 12.64 ± 0.71 µg/mg, respectively. In vitro free radical scavenging assays showed the significant antioxidant potential of sugar-free SBM. The in vitro assay for nephroprotective and cellular antioxidant analysis of SBM showed significant (p &lt; 0.001) nephroprotective and antioxidant potential. Additionally, in vivo studies of different doses of SBM showed significant (p &lt; 0.001) amelioration in kidney and liver biomarkers. Besides, it also manifests antioxidant, anti-inflammatory and anti-apoptosis activity confirmed by regulation of CAT, GPx, GSH, SOD, TNF-α, IL-1β, NO and caspase-3 levels. Additionally, normalization in histopathological changes of kidney tissue against cisplatin toxicity was also observed in SBM. The sugar-free SBM significantly ameliorated cisplatin induced nephrotoxicity by exerting normalcy in biochemical markers, antioxidant, and anti-inflammatory activity. These findings indicated an opportunity to develop a sugar-free formulation from SBM composition, as well as scientific validation of its traditional claim in the Unani system of medicine.","author":[{"dropping-particle":"","family":"Khan","given":"Mohammad Umar","non-dropping-particle":"","parse-names":false,"suffix":""},{"dropping-particle":"","family":"Gaurav","given":"","non-dropping-particle":"","parse-names":false,"suffix":""},{"dropping-particle":"","family":"Zahiruddin","given":"Sultan","non-dropping-particle":"","parse-names":false,"suffix":""},{"dropping-particle":"","family":"Basist","given":"Parakh","non-dropping-particle":"","parse-names":false,"suffix":""},{"dropping-particle":"","family":"Krishnan","given":"Anuja","non-dropping-particle":"","parse-names":false,"suffix":""},{"dropping-particle":"","family":"Parveen","given":"Rabea","non-dropping-particle":"","parse-names":false,"suffix":""},{"dropping-particle":"","family":"Ahmad","given":"Sayeed","non-dropping-particle":"","parse-names":false,"suffix":""}],"container-title":"Journal of King Saud University - Science","id":"ITEM-4","issue":"3","issued":{"date-parts":[["2022"]]},"page":"101839","publisher":"The Authors","title":"Nephroprotective potential of Sharbat-e-Bazoori Motadil (sugar-free) in HEK-293 cells and Wistar rats against cisplatin induced nephrotoxicity","type":"article-journal","volume":"34"},"uris":["http://www.mendeley.com/documents/?uuid=780c15a2-45d3-46e8-af1d-da461a7b9422"]}],"mendeley":{"formattedCitation":"[8–11]","plainTextFormattedCitation":"[8–11]","previouslyFormattedCitation":"[8–11]"},"properties":{"noteIndex":0},"schema":"https://github.com/citation-style-language/schema/raw/master/csl-citation.json"}</w:instrText>
      </w:r>
      <w:r w:rsidR="008F4B24">
        <w:rPr>
          <w:rFonts w:ascii="Times New Roman" w:hAnsi="Times New Roman" w:cs="Times New Roman"/>
          <w:color w:val="000000" w:themeColor="text1"/>
          <w:sz w:val="24"/>
          <w:szCs w:val="24"/>
        </w:rPr>
        <w:fldChar w:fldCharType="separate"/>
      </w:r>
      <w:r w:rsidR="008F4B24" w:rsidRPr="008F4B24">
        <w:rPr>
          <w:rFonts w:ascii="Times New Roman" w:hAnsi="Times New Roman" w:cs="Times New Roman"/>
          <w:noProof/>
          <w:color w:val="000000" w:themeColor="text1"/>
          <w:sz w:val="24"/>
          <w:szCs w:val="24"/>
        </w:rPr>
        <w:t>[8–11]</w:t>
      </w:r>
      <w:r w:rsidR="008F4B24">
        <w:rPr>
          <w:rFonts w:ascii="Times New Roman" w:hAnsi="Times New Roman" w:cs="Times New Roman"/>
          <w:color w:val="000000" w:themeColor="text1"/>
          <w:sz w:val="24"/>
          <w:szCs w:val="24"/>
        </w:rPr>
        <w:fldChar w:fldCharType="end"/>
      </w:r>
      <w:r w:rsidRPr="004F0A7F">
        <w:rPr>
          <w:rFonts w:ascii="Times New Roman" w:hAnsi="Times New Roman" w:cs="Times New Roman"/>
          <w:color w:val="000000" w:themeColor="text1"/>
          <w:sz w:val="24"/>
          <w:szCs w:val="24"/>
        </w:rPr>
        <w:t>.</w:t>
      </w:r>
    </w:p>
    <w:p w14:paraId="0AE2ACC2" w14:textId="350A42A1" w:rsidR="00394744" w:rsidRPr="004F0A7F" w:rsidRDefault="00BB4C00" w:rsidP="00394744">
      <w:pPr>
        <w:pStyle w:val="Heading1"/>
        <w:numPr>
          <w:ilvl w:val="0"/>
          <w:numId w:val="5"/>
        </w:numPr>
        <w:rPr>
          <w:rFonts w:ascii="Times New Roman" w:hAnsi="Times New Roman" w:cs="Times New Roman"/>
          <w:b/>
          <w:bCs/>
          <w:color w:val="000000" w:themeColor="text1"/>
          <w:sz w:val="24"/>
          <w:szCs w:val="24"/>
        </w:rPr>
      </w:pPr>
      <w:r w:rsidRPr="004F0A7F">
        <w:rPr>
          <w:rFonts w:ascii="Times New Roman" w:hAnsi="Times New Roman" w:cs="Times New Roman"/>
          <w:b/>
          <w:bCs/>
          <w:color w:val="000000" w:themeColor="text1"/>
          <w:sz w:val="24"/>
          <w:szCs w:val="24"/>
        </w:rPr>
        <w:t>Quality control techniques</w:t>
      </w:r>
    </w:p>
    <w:p w14:paraId="3C8E30BF" w14:textId="11B5EA1A" w:rsidR="00574309" w:rsidRPr="004F0A7F" w:rsidRDefault="00BB4C00"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 xml:space="preserve">Quality control techniques for medicinal plants involve a range of </w:t>
      </w:r>
      <w:r w:rsidRPr="004F0A7F">
        <w:rPr>
          <w:rFonts w:ascii="Times New Roman" w:hAnsi="Times New Roman" w:cs="Times New Roman"/>
          <w:color w:val="000000" w:themeColor="text1"/>
          <w:sz w:val="24"/>
          <w:szCs w:val="24"/>
        </w:rPr>
        <w:t>methods and tests to ensure the safety, efficacy, and consistency of plant-based products. Here are some common quality control techniques used in the evaluation of medicinal plants:</w:t>
      </w:r>
    </w:p>
    <w:p w14:paraId="4973BEAB" w14:textId="502114F8" w:rsidR="00F83531" w:rsidRPr="004F0A7F" w:rsidRDefault="00BB4C00" w:rsidP="00394744">
      <w:pPr>
        <w:pStyle w:val="Heading2"/>
        <w:numPr>
          <w:ilvl w:val="1"/>
          <w:numId w:val="5"/>
        </w:numPr>
        <w:rPr>
          <w:rFonts w:ascii="Times New Roman" w:hAnsi="Times New Roman" w:cs="Times New Roman"/>
          <w:b/>
          <w:bCs/>
          <w:color w:val="000000" w:themeColor="text1"/>
          <w:sz w:val="24"/>
          <w:szCs w:val="24"/>
        </w:rPr>
      </w:pPr>
      <w:r w:rsidRPr="004F0A7F">
        <w:rPr>
          <w:rFonts w:ascii="Times New Roman" w:hAnsi="Times New Roman" w:cs="Times New Roman"/>
          <w:b/>
          <w:bCs/>
          <w:color w:val="000000" w:themeColor="text1"/>
          <w:sz w:val="24"/>
          <w:szCs w:val="24"/>
        </w:rPr>
        <w:t>Pharmacognostic Evaluation</w:t>
      </w:r>
    </w:p>
    <w:p w14:paraId="35F0DB24" w14:textId="3C66A925" w:rsidR="00574309" w:rsidRPr="004F0A7F" w:rsidRDefault="00BB4C00"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Pharmacognosy is the science of identifying an</w:t>
      </w:r>
      <w:r w:rsidRPr="004F0A7F">
        <w:rPr>
          <w:rFonts w:ascii="Times New Roman" w:hAnsi="Times New Roman" w:cs="Times New Roman"/>
          <w:color w:val="000000" w:themeColor="text1"/>
          <w:sz w:val="24"/>
          <w:szCs w:val="24"/>
        </w:rPr>
        <w:t>d characterizing medicinal plants based on their macroscopic, microscopic, and organoleptic properties. Pharmacognostic evaluation involves a comprehensive examination of the plant material, including its morphological features, histological structures, an</w:t>
      </w:r>
      <w:r w:rsidRPr="004F0A7F">
        <w:rPr>
          <w:rFonts w:ascii="Times New Roman" w:hAnsi="Times New Roman" w:cs="Times New Roman"/>
          <w:color w:val="000000" w:themeColor="text1"/>
          <w:sz w:val="24"/>
          <w:szCs w:val="24"/>
        </w:rPr>
        <w:t>d chemical composition.</w:t>
      </w:r>
    </w:p>
    <w:p w14:paraId="7E596189" w14:textId="59418136" w:rsidR="00574309" w:rsidRPr="004F0A7F" w:rsidRDefault="00BB4C00" w:rsidP="00A940A5">
      <w:pPr>
        <w:pStyle w:val="Heading2"/>
        <w:numPr>
          <w:ilvl w:val="1"/>
          <w:numId w:val="5"/>
        </w:numPr>
        <w:rPr>
          <w:rFonts w:ascii="Times New Roman" w:hAnsi="Times New Roman" w:cs="Times New Roman"/>
          <w:b/>
          <w:bCs/>
          <w:color w:val="000000" w:themeColor="text1"/>
          <w:sz w:val="24"/>
          <w:szCs w:val="24"/>
        </w:rPr>
      </w:pPr>
      <w:r w:rsidRPr="004F0A7F">
        <w:rPr>
          <w:rFonts w:ascii="Times New Roman" w:hAnsi="Times New Roman" w:cs="Times New Roman"/>
          <w:b/>
          <w:bCs/>
          <w:color w:val="000000" w:themeColor="text1"/>
          <w:sz w:val="24"/>
          <w:szCs w:val="24"/>
        </w:rPr>
        <w:t>Macroscopic and Microscopic Examination</w:t>
      </w:r>
    </w:p>
    <w:p w14:paraId="7413C00D" w14:textId="6E3B2C59" w:rsidR="00574309" w:rsidRPr="004F0A7F" w:rsidRDefault="00BB4C00"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Visual inspection of the plant material is performed to assess its macroscopic characteristics such as color, odor, texture, and presence of foreign matter. The microscopic examination involve</w:t>
      </w:r>
      <w:r w:rsidRPr="004F0A7F">
        <w:rPr>
          <w:rFonts w:ascii="Times New Roman" w:hAnsi="Times New Roman" w:cs="Times New Roman"/>
          <w:color w:val="000000" w:themeColor="text1"/>
          <w:sz w:val="24"/>
          <w:szCs w:val="24"/>
        </w:rPr>
        <w:t>s the study of plant tissue structures using a microscope, which can help identify specific plant parts and detect adulteration</w:t>
      </w:r>
      <w:r w:rsidR="008F4B24">
        <w:rPr>
          <w:rFonts w:ascii="Times New Roman" w:hAnsi="Times New Roman" w:cs="Times New Roman"/>
          <w:color w:val="000000" w:themeColor="text1"/>
          <w:sz w:val="24"/>
          <w:szCs w:val="24"/>
        </w:rPr>
        <w:t xml:space="preserve"> </w:t>
      </w:r>
      <w:r w:rsidR="008F4B24">
        <w:rPr>
          <w:rFonts w:ascii="Times New Roman" w:hAnsi="Times New Roman" w:cs="Times New Roman"/>
          <w:color w:val="000000" w:themeColor="text1"/>
          <w:sz w:val="24"/>
          <w:szCs w:val="24"/>
        </w:rPr>
        <w:fldChar w:fldCharType="begin" w:fldLock="1"/>
      </w:r>
      <w:r w:rsidR="008F4B24">
        <w:rPr>
          <w:rFonts w:ascii="Times New Roman" w:hAnsi="Times New Roman" w:cs="Times New Roman"/>
          <w:color w:val="000000" w:themeColor="text1"/>
          <w:sz w:val="24"/>
          <w:szCs w:val="24"/>
        </w:rPr>
        <w:instrText>ADDIN CSL_CITATION {"citationItems":[{"id":"ITEM-1","itemData":{"DOI":"10.2174/0929867043365206","ISSN":"09298673","PMID":"15180573","abstract":"Medicinal plants have become extremely popular in the United States as botanical supplements, herbal medicines and sources of lead compounds for pharmaceutical development. It is estimated that in 1997 Americans used or consumed 5.1 billion US dollars worth of herbal medicines. For the protection of consumers, authentication of medicinal plants is a critical issue. Ideally, authentication should occur from the harvesting of the plant material to the final product. Unfortunately there is no single or superior method to assure 100 percent authentication during the entire process, but the goal can be achieved through the application of a variety of different methodologies. The whole process starts with good voucher specimens that act as reference material and to prove chain of custody. Macroscopic and microscopic examinations can be used as rapid and inexpensive identification techniques. Chemical analysis is by far the best method for the detection of contaminants and can be an excellent method for plant identification. Each of these methodologies has limitations and more analytical methods are needed to assist in the authentication process. Molecular biology offers an assortment of techniques that can be very useful for authentication of medicinal plants. This review covers various aspects of authentication methods, with special emphasis on molecular biology techniques.","author":[{"dropping-particle":"","family":"Techen","given":"N.","non-dropping-particle":"","parse-names":false,"suffix":""},{"dropping-particle":"","family":"Crockett","given":"S.","non-dropping-particle":"","parse-names":false,"suffix":""},{"dropping-particle":"","family":"Khan","given":"I.","non-dropping-particle":"","parse-names":false,"suffix":""},{"dropping-particle":"","family":"Scheffler","given":"B.","non-dropping-particle":"","parse-names":false,"suffix":""}],"container-title":"Current Medicinal Chemistry","id":"ITEM-1","issued":{"date-parts":[["2012"]]},"title":"Authentication of Medicinal Plants Using Molecular Biology Techniques to Compliment Conventional Methods","type":"article-journal"},"uris":["http://www.mendeley.com/documents/?uuid=a668540d-ce06-4fad-987e-230c8129ff26"]}],"mendeley":{"formattedCitation":"[12]","plainTextFormattedCitation":"[12]","previouslyFormattedCitation":"[12]"},"properties":{"noteIndex":0},"schema":"https://github.com/citation-style-language/schema/raw/master/csl-citation.json"}</w:instrText>
      </w:r>
      <w:r w:rsidR="008F4B24">
        <w:rPr>
          <w:rFonts w:ascii="Times New Roman" w:hAnsi="Times New Roman" w:cs="Times New Roman"/>
          <w:color w:val="000000" w:themeColor="text1"/>
          <w:sz w:val="24"/>
          <w:szCs w:val="24"/>
        </w:rPr>
        <w:fldChar w:fldCharType="separate"/>
      </w:r>
      <w:r w:rsidR="008F4B24" w:rsidRPr="008F4B24">
        <w:rPr>
          <w:rFonts w:ascii="Times New Roman" w:hAnsi="Times New Roman" w:cs="Times New Roman"/>
          <w:noProof/>
          <w:color w:val="000000" w:themeColor="text1"/>
          <w:sz w:val="24"/>
          <w:szCs w:val="24"/>
        </w:rPr>
        <w:t>[12]</w:t>
      </w:r>
      <w:r w:rsidR="008F4B24">
        <w:rPr>
          <w:rFonts w:ascii="Times New Roman" w:hAnsi="Times New Roman" w:cs="Times New Roman"/>
          <w:color w:val="000000" w:themeColor="text1"/>
          <w:sz w:val="24"/>
          <w:szCs w:val="24"/>
        </w:rPr>
        <w:fldChar w:fldCharType="end"/>
      </w:r>
      <w:r w:rsidRPr="004F0A7F">
        <w:rPr>
          <w:rFonts w:ascii="Times New Roman" w:hAnsi="Times New Roman" w:cs="Times New Roman"/>
          <w:color w:val="000000" w:themeColor="text1"/>
          <w:sz w:val="24"/>
          <w:szCs w:val="24"/>
        </w:rPr>
        <w:t>.</w:t>
      </w:r>
    </w:p>
    <w:p w14:paraId="5F0923F8" w14:textId="786671DF" w:rsidR="00574309" w:rsidRPr="004F0A7F" w:rsidRDefault="00BB4C00"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Macroscopic and microscopic examination are essential techniques used in the evaluation of medicinal plants</w:t>
      </w:r>
      <w:r w:rsidRPr="004F0A7F">
        <w:rPr>
          <w:rFonts w:ascii="Times New Roman" w:hAnsi="Times New Roman" w:cs="Times New Roman"/>
          <w:color w:val="000000" w:themeColor="text1"/>
          <w:sz w:val="24"/>
          <w:szCs w:val="24"/>
        </w:rPr>
        <w:t>. These techniques provide valuable information about the identity, authenticity, and quality of plant materials. Here's an overview of macroscopic and microscopic examination of medicinal plants:</w:t>
      </w:r>
    </w:p>
    <w:p w14:paraId="7CB5CD23" w14:textId="393ADA88" w:rsidR="00574309" w:rsidRPr="004F0A7F" w:rsidRDefault="00BB4C00" w:rsidP="00A940A5">
      <w:pPr>
        <w:pStyle w:val="Heading3"/>
        <w:numPr>
          <w:ilvl w:val="2"/>
          <w:numId w:val="6"/>
        </w:numPr>
        <w:rPr>
          <w:rFonts w:ascii="Times New Roman" w:hAnsi="Times New Roman" w:cs="Times New Roman"/>
          <w:b/>
          <w:bCs/>
          <w:color w:val="000000" w:themeColor="text1"/>
        </w:rPr>
      </w:pPr>
      <w:r w:rsidRPr="004F0A7F">
        <w:rPr>
          <w:rFonts w:ascii="Times New Roman" w:hAnsi="Times New Roman" w:cs="Times New Roman"/>
          <w:b/>
          <w:bCs/>
          <w:color w:val="000000" w:themeColor="text1"/>
        </w:rPr>
        <w:t>Macroscopic Examination</w:t>
      </w:r>
    </w:p>
    <w:p w14:paraId="658BB511" w14:textId="472A0F04" w:rsidR="00574309" w:rsidRPr="004F0A7F" w:rsidRDefault="00BB4C00" w:rsidP="00DA4AA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macroscopic</w:t>
      </w:r>
      <w:r w:rsidRPr="004F0A7F">
        <w:rPr>
          <w:rFonts w:ascii="Times New Roman" w:hAnsi="Times New Roman" w:cs="Times New Roman"/>
          <w:color w:val="000000" w:themeColor="text1"/>
          <w:sz w:val="24"/>
          <w:szCs w:val="24"/>
        </w:rPr>
        <w:t xml:space="preserve"> examination involves the visual inspection of the physical characteristics of medicinal plant materials. It includes observing the plant's external features, such as size, shape, </w:t>
      </w:r>
      <w:r w:rsidRPr="004F0A7F">
        <w:rPr>
          <w:rFonts w:ascii="Times New Roman" w:hAnsi="Times New Roman" w:cs="Times New Roman"/>
          <w:color w:val="000000" w:themeColor="text1"/>
          <w:sz w:val="24"/>
          <w:szCs w:val="24"/>
        </w:rPr>
        <w:lastRenderedPageBreak/>
        <w:t>color, texture, and the presence of any distinctive markings or p</w:t>
      </w:r>
      <w:r w:rsidRPr="004F0A7F">
        <w:rPr>
          <w:rFonts w:ascii="Times New Roman" w:hAnsi="Times New Roman" w:cs="Times New Roman"/>
          <w:color w:val="000000" w:themeColor="text1"/>
          <w:sz w:val="24"/>
          <w:szCs w:val="24"/>
        </w:rPr>
        <w:t>atterns. Some key aspects of macroscopic examination include:</w:t>
      </w:r>
    </w:p>
    <w:p w14:paraId="3BAE4908" w14:textId="77777777" w:rsidR="00574309" w:rsidRPr="004F0A7F" w:rsidRDefault="00BB4C00" w:rsidP="00DA4AA9">
      <w:pPr>
        <w:pStyle w:val="ListParagraph"/>
        <w:numPr>
          <w:ilvl w:val="0"/>
          <w:numId w:val="2"/>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Size and Shape:</w:t>
      </w:r>
      <w:r w:rsidRPr="004F0A7F">
        <w:rPr>
          <w:rFonts w:ascii="Times New Roman" w:hAnsi="Times New Roman" w:cs="Times New Roman"/>
          <w:color w:val="000000" w:themeColor="text1"/>
          <w:sz w:val="24"/>
          <w:szCs w:val="24"/>
        </w:rPr>
        <w:t xml:space="preserve"> Examining the overall size and shape of the plant, including its leaves, stems, flowers, and fruits.</w:t>
      </w:r>
    </w:p>
    <w:p w14:paraId="28349B6A" w14:textId="77777777" w:rsidR="00574309" w:rsidRPr="004F0A7F" w:rsidRDefault="00BB4C00" w:rsidP="00DA4AA9">
      <w:pPr>
        <w:pStyle w:val="ListParagraph"/>
        <w:numPr>
          <w:ilvl w:val="0"/>
          <w:numId w:val="2"/>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Color:</w:t>
      </w:r>
      <w:r w:rsidRPr="004F0A7F">
        <w:rPr>
          <w:rFonts w:ascii="Times New Roman" w:hAnsi="Times New Roman" w:cs="Times New Roman"/>
          <w:color w:val="000000" w:themeColor="text1"/>
          <w:sz w:val="24"/>
          <w:szCs w:val="24"/>
        </w:rPr>
        <w:t xml:space="preserve"> Noting the color of different plant parts, such as the leaves, flowers</w:t>
      </w:r>
      <w:r w:rsidRPr="004F0A7F">
        <w:rPr>
          <w:rFonts w:ascii="Times New Roman" w:hAnsi="Times New Roman" w:cs="Times New Roman"/>
          <w:color w:val="000000" w:themeColor="text1"/>
          <w:sz w:val="24"/>
          <w:szCs w:val="24"/>
        </w:rPr>
        <w:t>, or roots, which can vary and provide diagnostic information.</w:t>
      </w:r>
    </w:p>
    <w:p w14:paraId="053AED61" w14:textId="77777777" w:rsidR="00574309" w:rsidRPr="004F0A7F" w:rsidRDefault="00BB4C00" w:rsidP="00DA4AA9">
      <w:pPr>
        <w:pStyle w:val="ListParagraph"/>
        <w:numPr>
          <w:ilvl w:val="0"/>
          <w:numId w:val="2"/>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Texture:</w:t>
      </w:r>
      <w:r w:rsidRPr="004F0A7F">
        <w:rPr>
          <w:rFonts w:ascii="Times New Roman" w:hAnsi="Times New Roman" w:cs="Times New Roman"/>
          <w:color w:val="000000" w:themeColor="text1"/>
          <w:sz w:val="24"/>
          <w:szCs w:val="24"/>
        </w:rPr>
        <w:t xml:space="preserve"> Assessing the texture of plant parts, such as the presence of hairs, ridges, or smooth surfaces.</w:t>
      </w:r>
    </w:p>
    <w:p w14:paraId="40B15ABC" w14:textId="77777777" w:rsidR="00574309" w:rsidRPr="004F0A7F" w:rsidRDefault="00BB4C00" w:rsidP="00DA4AA9">
      <w:pPr>
        <w:pStyle w:val="ListParagraph"/>
        <w:numPr>
          <w:ilvl w:val="0"/>
          <w:numId w:val="2"/>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Odor:</w:t>
      </w:r>
      <w:r w:rsidRPr="004F0A7F">
        <w:rPr>
          <w:rFonts w:ascii="Times New Roman" w:hAnsi="Times New Roman" w:cs="Times New Roman"/>
          <w:color w:val="000000" w:themeColor="text1"/>
          <w:sz w:val="24"/>
          <w:szCs w:val="24"/>
        </w:rPr>
        <w:t xml:space="preserve"> Detecting and documenting any specific or characteristic odor emitted by the plan</w:t>
      </w:r>
      <w:r w:rsidRPr="004F0A7F">
        <w:rPr>
          <w:rFonts w:ascii="Times New Roman" w:hAnsi="Times New Roman" w:cs="Times New Roman"/>
          <w:color w:val="000000" w:themeColor="text1"/>
          <w:sz w:val="24"/>
          <w:szCs w:val="24"/>
        </w:rPr>
        <w:t>t material.</w:t>
      </w:r>
    </w:p>
    <w:p w14:paraId="6EF2B67C" w14:textId="77777777" w:rsidR="00574309" w:rsidRPr="004F0A7F" w:rsidRDefault="00BB4C00" w:rsidP="00DA4AA9">
      <w:pPr>
        <w:pStyle w:val="ListParagraph"/>
        <w:numPr>
          <w:ilvl w:val="0"/>
          <w:numId w:val="2"/>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Taste:</w:t>
      </w:r>
      <w:r w:rsidRPr="004F0A7F">
        <w:rPr>
          <w:rFonts w:ascii="Times New Roman" w:hAnsi="Times New Roman" w:cs="Times New Roman"/>
          <w:color w:val="000000" w:themeColor="text1"/>
          <w:sz w:val="24"/>
          <w:szCs w:val="24"/>
        </w:rPr>
        <w:t xml:space="preserve"> Occasionally, the taste of plant parts may be evaluated, as some medicinal plants possess distinctive flavors.</w:t>
      </w:r>
    </w:p>
    <w:p w14:paraId="3B68DDC3" w14:textId="64EC91BD" w:rsidR="00574309" w:rsidRPr="004F0A7F" w:rsidRDefault="00BB4C00"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These macroscopic characteristics help in the initial identification of medicinal plants and can assist in distinguishing betw</w:t>
      </w:r>
      <w:r w:rsidRPr="004F0A7F">
        <w:rPr>
          <w:rFonts w:ascii="Times New Roman" w:hAnsi="Times New Roman" w:cs="Times New Roman"/>
          <w:color w:val="000000" w:themeColor="text1"/>
          <w:sz w:val="24"/>
          <w:szCs w:val="24"/>
        </w:rPr>
        <w:t>een different species or varieties.</w:t>
      </w:r>
    </w:p>
    <w:p w14:paraId="411047E6" w14:textId="3913B3CE" w:rsidR="00574309" w:rsidRPr="004F0A7F" w:rsidRDefault="00BB4C00" w:rsidP="00A940A5">
      <w:pPr>
        <w:pStyle w:val="Heading3"/>
        <w:numPr>
          <w:ilvl w:val="2"/>
          <w:numId w:val="7"/>
        </w:numPr>
        <w:rPr>
          <w:rFonts w:ascii="Times New Roman" w:hAnsi="Times New Roman" w:cs="Times New Roman"/>
          <w:b/>
          <w:bCs/>
          <w:color w:val="000000" w:themeColor="text1"/>
        </w:rPr>
      </w:pPr>
      <w:r w:rsidRPr="004F0A7F">
        <w:rPr>
          <w:rFonts w:ascii="Times New Roman" w:hAnsi="Times New Roman" w:cs="Times New Roman"/>
          <w:b/>
          <w:bCs/>
          <w:color w:val="000000" w:themeColor="text1"/>
        </w:rPr>
        <w:t>Microscopic Examination</w:t>
      </w:r>
    </w:p>
    <w:p w14:paraId="28A31607" w14:textId="77777777" w:rsidR="00574309" w:rsidRPr="004F0A7F" w:rsidRDefault="00BB4C00"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 xml:space="preserve">The microscopic examination involves the study of the internal structures of plant materials using a microscope. This technique provides more detailed information about the cellular and </w:t>
      </w:r>
      <w:r w:rsidRPr="004F0A7F">
        <w:rPr>
          <w:rFonts w:ascii="Times New Roman" w:hAnsi="Times New Roman" w:cs="Times New Roman"/>
          <w:color w:val="000000" w:themeColor="text1"/>
          <w:sz w:val="24"/>
          <w:szCs w:val="24"/>
        </w:rPr>
        <w:t>tissue characteristics of medicinal plants. Here are some aspects of microscopic examination:</w:t>
      </w:r>
    </w:p>
    <w:p w14:paraId="1390CB5C" w14:textId="77777777" w:rsidR="00574309" w:rsidRPr="004F0A7F" w:rsidRDefault="00BB4C00" w:rsidP="00DA4AA9">
      <w:pPr>
        <w:pStyle w:val="ListParagraph"/>
        <w:numPr>
          <w:ilvl w:val="0"/>
          <w:numId w:val="3"/>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Epidermal Cells:</w:t>
      </w:r>
      <w:r w:rsidRPr="004F0A7F">
        <w:rPr>
          <w:rFonts w:ascii="Times New Roman" w:hAnsi="Times New Roman" w:cs="Times New Roman"/>
          <w:color w:val="000000" w:themeColor="text1"/>
          <w:sz w:val="24"/>
          <w:szCs w:val="24"/>
        </w:rPr>
        <w:t xml:space="preserve"> Observing the outer layer of cells (epidermis) of plant parts, such as leaves, stems, or roots, to identify specific features like cell shape, si</w:t>
      </w:r>
      <w:r w:rsidRPr="004F0A7F">
        <w:rPr>
          <w:rFonts w:ascii="Times New Roman" w:hAnsi="Times New Roman" w:cs="Times New Roman"/>
          <w:color w:val="000000" w:themeColor="text1"/>
          <w:sz w:val="24"/>
          <w:szCs w:val="24"/>
        </w:rPr>
        <w:t>ze, and the presence of stomata (pores).</w:t>
      </w:r>
    </w:p>
    <w:p w14:paraId="34D64078" w14:textId="77777777" w:rsidR="00574309" w:rsidRPr="004F0A7F" w:rsidRDefault="00BB4C00" w:rsidP="00DA4AA9">
      <w:pPr>
        <w:pStyle w:val="ListParagraph"/>
        <w:numPr>
          <w:ilvl w:val="0"/>
          <w:numId w:val="3"/>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Trichomes:</w:t>
      </w:r>
      <w:r w:rsidRPr="004F0A7F">
        <w:rPr>
          <w:rFonts w:ascii="Times New Roman" w:hAnsi="Times New Roman" w:cs="Times New Roman"/>
          <w:color w:val="000000" w:themeColor="text1"/>
          <w:sz w:val="24"/>
          <w:szCs w:val="24"/>
        </w:rPr>
        <w:t xml:space="preserve"> Examining specialized hair-like structures on the plant surface, which can be glandular or non-glandular and aid in identification.</w:t>
      </w:r>
    </w:p>
    <w:p w14:paraId="1A741057" w14:textId="77777777" w:rsidR="00574309" w:rsidRPr="004F0A7F" w:rsidRDefault="00BB4C00" w:rsidP="00DA4AA9">
      <w:pPr>
        <w:pStyle w:val="ListParagraph"/>
        <w:numPr>
          <w:ilvl w:val="0"/>
          <w:numId w:val="3"/>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Vascular Tissues:</w:t>
      </w:r>
      <w:r w:rsidRPr="004F0A7F">
        <w:rPr>
          <w:rFonts w:ascii="Times New Roman" w:hAnsi="Times New Roman" w:cs="Times New Roman"/>
          <w:color w:val="000000" w:themeColor="text1"/>
          <w:sz w:val="24"/>
          <w:szCs w:val="24"/>
        </w:rPr>
        <w:t xml:space="preserve"> Investigating the arrangement and types of vascular ti</w:t>
      </w:r>
      <w:r w:rsidRPr="004F0A7F">
        <w:rPr>
          <w:rFonts w:ascii="Times New Roman" w:hAnsi="Times New Roman" w:cs="Times New Roman"/>
          <w:color w:val="000000" w:themeColor="text1"/>
          <w:sz w:val="24"/>
          <w:szCs w:val="24"/>
        </w:rPr>
        <w:t>ssues, including the xylem and phloem, which transport water, nutrients, and metabolites within the plant.</w:t>
      </w:r>
    </w:p>
    <w:p w14:paraId="71A39DCA" w14:textId="77777777" w:rsidR="00574309" w:rsidRPr="004F0A7F" w:rsidRDefault="00BB4C00" w:rsidP="00DA4AA9">
      <w:pPr>
        <w:pStyle w:val="ListParagraph"/>
        <w:numPr>
          <w:ilvl w:val="0"/>
          <w:numId w:val="3"/>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Secretory Structures:</w:t>
      </w:r>
      <w:r w:rsidRPr="004F0A7F">
        <w:rPr>
          <w:rFonts w:ascii="Times New Roman" w:hAnsi="Times New Roman" w:cs="Times New Roman"/>
          <w:color w:val="000000" w:themeColor="text1"/>
          <w:sz w:val="24"/>
          <w:szCs w:val="24"/>
        </w:rPr>
        <w:t xml:space="preserve"> Identifying glandular structures or cells that may contain essential oils, resins, or other secondary metabolites.</w:t>
      </w:r>
    </w:p>
    <w:p w14:paraId="2CE93376" w14:textId="77777777" w:rsidR="00574309" w:rsidRPr="004F0A7F" w:rsidRDefault="00BB4C00" w:rsidP="00DA4AA9">
      <w:pPr>
        <w:pStyle w:val="ListParagraph"/>
        <w:numPr>
          <w:ilvl w:val="0"/>
          <w:numId w:val="3"/>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Powder Analy</w:t>
      </w:r>
      <w:r w:rsidRPr="004F0A7F">
        <w:rPr>
          <w:rFonts w:ascii="Times New Roman" w:hAnsi="Times New Roman" w:cs="Times New Roman"/>
          <w:b/>
          <w:bCs/>
          <w:color w:val="000000" w:themeColor="text1"/>
          <w:sz w:val="24"/>
          <w:szCs w:val="24"/>
        </w:rPr>
        <w:t>sis:</w:t>
      </w:r>
      <w:r w:rsidRPr="004F0A7F">
        <w:rPr>
          <w:rFonts w:ascii="Times New Roman" w:hAnsi="Times New Roman" w:cs="Times New Roman"/>
          <w:color w:val="000000" w:themeColor="text1"/>
          <w:sz w:val="24"/>
          <w:szCs w:val="24"/>
        </w:rPr>
        <w:t xml:space="preserve"> Preparing a fine powder of plant material and examining it under a microscope to assess particle characteristics, including size, shape, and presence of distinctive cell fragments.</w:t>
      </w:r>
    </w:p>
    <w:p w14:paraId="6DFDC38C" w14:textId="1EDCB80F" w:rsidR="00574309" w:rsidRPr="004F0A7F" w:rsidRDefault="00BB4C00" w:rsidP="00DA4AA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The microscopic</w:t>
      </w:r>
      <w:r w:rsidRPr="004F0A7F">
        <w:rPr>
          <w:rFonts w:ascii="Times New Roman" w:hAnsi="Times New Roman" w:cs="Times New Roman"/>
          <w:color w:val="000000" w:themeColor="text1"/>
          <w:sz w:val="24"/>
          <w:szCs w:val="24"/>
        </w:rPr>
        <w:t xml:space="preserve"> examination allows for more accurate identification and di</w:t>
      </w:r>
      <w:r w:rsidRPr="004F0A7F">
        <w:rPr>
          <w:rFonts w:ascii="Times New Roman" w:hAnsi="Times New Roman" w:cs="Times New Roman"/>
          <w:color w:val="000000" w:themeColor="text1"/>
          <w:sz w:val="24"/>
          <w:szCs w:val="24"/>
        </w:rPr>
        <w:t>fferentiation of medicinal plant species. It can also help detect the presence of adulterants or substitutes by comparing microscopic features with reference standards.</w:t>
      </w:r>
    </w:p>
    <w:p w14:paraId="7B0795DB" w14:textId="45147376" w:rsidR="00574309" w:rsidRPr="004F0A7F" w:rsidRDefault="00BB4C00" w:rsidP="00A940A5">
      <w:pPr>
        <w:pStyle w:val="Heading2"/>
        <w:numPr>
          <w:ilvl w:val="1"/>
          <w:numId w:val="7"/>
        </w:numPr>
        <w:rPr>
          <w:rFonts w:ascii="Times New Roman" w:hAnsi="Times New Roman" w:cs="Times New Roman"/>
          <w:b/>
          <w:bCs/>
          <w:color w:val="000000" w:themeColor="text1"/>
          <w:sz w:val="24"/>
          <w:szCs w:val="24"/>
        </w:rPr>
      </w:pPr>
      <w:r w:rsidRPr="004F0A7F">
        <w:rPr>
          <w:rFonts w:ascii="Times New Roman" w:hAnsi="Times New Roman" w:cs="Times New Roman"/>
          <w:b/>
          <w:bCs/>
          <w:color w:val="000000" w:themeColor="text1"/>
          <w:sz w:val="24"/>
          <w:szCs w:val="24"/>
        </w:rPr>
        <w:t>Physicochemical Analysis</w:t>
      </w:r>
    </w:p>
    <w:p w14:paraId="5F0CD7BD" w14:textId="1B2FD4C4" w:rsidR="00574309" w:rsidRPr="004F0A7F" w:rsidRDefault="00BB4C00"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Various physicochemical parameters are measured to evaluate th</w:t>
      </w:r>
      <w:r w:rsidRPr="004F0A7F">
        <w:rPr>
          <w:rFonts w:ascii="Times New Roman" w:hAnsi="Times New Roman" w:cs="Times New Roman"/>
          <w:color w:val="000000" w:themeColor="text1"/>
          <w:sz w:val="24"/>
          <w:szCs w:val="24"/>
        </w:rPr>
        <w:t>e quality and consistency of medicinal plants. This includes the determination of moisture content, ash value (total ash, acid-insoluble ash, water-soluble ash), extractive values (solvent-soluble extractives), pH, and specific gravity. These tests provide</w:t>
      </w:r>
      <w:r w:rsidRPr="004F0A7F">
        <w:rPr>
          <w:rFonts w:ascii="Times New Roman" w:hAnsi="Times New Roman" w:cs="Times New Roman"/>
          <w:color w:val="000000" w:themeColor="text1"/>
          <w:sz w:val="24"/>
          <w:szCs w:val="24"/>
        </w:rPr>
        <w:t xml:space="preserve"> information about the purity, contamination, and chemical composition of the plant material.</w:t>
      </w:r>
      <w:r w:rsidR="008F4B24">
        <w:rPr>
          <w:rFonts w:ascii="Times New Roman" w:hAnsi="Times New Roman" w:cs="Times New Roman"/>
          <w:color w:val="000000" w:themeColor="text1"/>
          <w:sz w:val="24"/>
          <w:szCs w:val="24"/>
        </w:rPr>
        <w:t xml:space="preserve"> </w:t>
      </w:r>
      <w:r w:rsidRPr="004F0A7F">
        <w:rPr>
          <w:rFonts w:ascii="Times New Roman" w:hAnsi="Times New Roman" w:cs="Times New Roman"/>
          <w:color w:val="000000" w:themeColor="text1"/>
          <w:sz w:val="24"/>
          <w:szCs w:val="24"/>
        </w:rPr>
        <w:t xml:space="preserve">Physicochemical analysis is an important component of the characterization and quality assessment of medicinal plants. It involves the evaluation of </w:t>
      </w:r>
      <w:r w:rsidRPr="004F0A7F">
        <w:rPr>
          <w:rFonts w:ascii="Times New Roman" w:hAnsi="Times New Roman" w:cs="Times New Roman"/>
          <w:color w:val="000000" w:themeColor="text1"/>
          <w:sz w:val="24"/>
          <w:szCs w:val="24"/>
        </w:rPr>
        <w:t>various physical and chemical properties of plant materials. Physicochemical analysis provides valuable information about the composition, purity, and potential therapeutic activity of medicinal plants</w:t>
      </w:r>
      <w:r w:rsidR="008F4B24">
        <w:rPr>
          <w:rFonts w:ascii="Times New Roman" w:hAnsi="Times New Roman" w:cs="Times New Roman"/>
          <w:color w:val="000000" w:themeColor="text1"/>
          <w:sz w:val="24"/>
          <w:szCs w:val="24"/>
        </w:rPr>
        <w:t xml:space="preserve"> </w:t>
      </w:r>
      <w:r w:rsidR="008F4B24">
        <w:rPr>
          <w:rFonts w:ascii="Times New Roman" w:hAnsi="Times New Roman" w:cs="Times New Roman"/>
          <w:color w:val="000000" w:themeColor="text1"/>
          <w:sz w:val="24"/>
          <w:szCs w:val="24"/>
        </w:rPr>
        <w:fldChar w:fldCharType="begin" w:fldLock="1"/>
      </w:r>
      <w:r w:rsidR="008F4B24">
        <w:rPr>
          <w:rFonts w:ascii="Times New Roman" w:hAnsi="Times New Roman" w:cs="Times New Roman"/>
          <w:color w:val="000000" w:themeColor="text1"/>
          <w:sz w:val="24"/>
          <w:szCs w:val="24"/>
        </w:rPr>
        <w:instrText>ADDIN CSL_CITATION {"citationItems":[{"id":"ITEM-1","itemData":{"DOI":"10.1007/BF02858720","ISSN":"18749364","abstract":"The data reported in the literature concerning the uses and composition of yarrow, Achillea millefolium aggr., Compositae, are compiled and discussed. Historically, this plant has been extensively used as a herbal remedy for numerous afflictions by many cultures on several continents. It has also been the subject of a considerable number of scientific investigations. It has, however, not been previously reviewed. Analysis of available information demonstrates the value of continued phytochemical investigations of folklore remedies. © 1982 The New York Botanical Garden, Bronx, NY 10458.","author":[{"dropping-particle":"","family":"Chandler","given":"R. F.","non-dropping-particle":"","parse-names":false,"suffix":""},{"dropping-particle":"","family":"Hooper","given":"S. N.","non-dropping-particle":"","parse-names":false,"suffix":""},{"dropping-particle":"","family":"Harvey","given":"M. J.","non-dropping-particle":"","parse-names":false,"suffix":""}],"container-title":"Economic Botany","id":"ITEM-1","issue":"2","issued":{"date-parts":[["1982"]]},"page":"203-223","title":"Ethnobotany and phytochemistry of yarrow, Achillea millefolium, compositae","type":"article-journal","volume":"36"},"uris":["http://www.mendeley.com/documents/?uuid=be5d84d4-7a73-49b5-af83-428d51178ce5"]},{"id":"ITEM-2","itemData":{"DOI":"10.4103/pm.pm_326_20","ISSN":"0973-1296","author":[{"dropping-particle":"","family":"Khan","given":"Asna","non-dropping-particle":"","parse-names":false,"suffix":""},{"dropping-particle":"","family":"Zahiruddin","given":"Sultan","non-dropping-particle":"","parse-names":false,"suffix":""},{"dropping-particle":"","family":"Ibrahim","given":"Mohammad","non-dropping-particle":"","parse-names":false,"suffix":""},{"dropping-particle":"","family":"Basist","given":"Parakh","non-dropping-particle":"","parse-names":false,"suffix":""},{"dropping-particle":"","family":"Gaurav","given":"","non-dropping-particle":"","parse-names":false,"suffix":""},{"dropping-particle":"","family":"Parveen","given":"Rabea","non-dropping-particle":"","parse-names":false,"suffix":""},{"dropping-particle":"","family":"Umar","given":"Shahid","non-dropping-particle":"","parse-names":false,"suffix":""},{"dropping-particle":"","family":"Ahmad","given":"Sayeed","non-dropping-particle":"","parse-names":false,"suffix":""}],"container-title":"Pharmacognosy Magazine","id":"ITEM-2","issued":{"date-parts":[["2021"]]},"title":"Thin layer chromatography-mass spectrometry bioautographic identification of free radical scavenging compounds and metabolomic profile of Carica papaya linn. fruit and seeds using high-performance thin-layer chromatography, gas chromatography-mass spectro","type":"article-journal"},"uris":["http://www.mendeley.com/documents/?uuid=9271ae6c-370f-4dd4-80ad-c43f8aadd1d6"]},{"id":"ITEM-3","itemData":{"author":[{"dropping-particle":"","family":"Zahiruddin","given":"Sultan","non-dropping-particle":"","parse-names":false,"suffix":""},{"dropping-particle":"","family":"Parveen","given":"Abida","non-dropping-particle":"","parse-names":false,"suffix":""},{"dropping-particle":"","family":"Khan","given":"Washim","non-dropping-particle":"","parse-names":false,"suffix":""},{"dropping-particle":"","family":"Parveen","given":"Rabea","non-dropping-particle":"","parse-names":false,"suffix":""},{"dropping-particle":"","family":"Ahmad","given":"Sayeed","non-dropping-particle":"","parse-names":false,"suffix":""}],"id":"ITEM-3","issued":{"date-parts":[["2021"]]},"title":"TLC-Based Metabolite Profiling and Bioactivity-Based Scientific Validation for Use of Water Extracts in AYUSH Formulations","type":"article-journal","volume":"2021"},"uris":["http://www.mendeley.com/documents/?uuid=7bf3f729-b845-4c04-b1e2-2afb10206b09"]}],"mendeley":{"formattedCitation":"[7,13,14]","plainTextFormattedCitation":"[7,13,14]","previouslyFormattedCitation":"[7,13,14]"},"properties":{"noteIndex":0},"schema":"https://github.com/citation-style-language/schema/raw/master/csl-citation.json"}</w:instrText>
      </w:r>
      <w:r w:rsidR="008F4B24">
        <w:rPr>
          <w:rFonts w:ascii="Times New Roman" w:hAnsi="Times New Roman" w:cs="Times New Roman"/>
          <w:color w:val="000000" w:themeColor="text1"/>
          <w:sz w:val="24"/>
          <w:szCs w:val="24"/>
        </w:rPr>
        <w:fldChar w:fldCharType="separate"/>
      </w:r>
      <w:r w:rsidR="008F4B24" w:rsidRPr="008F4B24">
        <w:rPr>
          <w:rFonts w:ascii="Times New Roman" w:hAnsi="Times New Roman" w:cs="Times New Roman"/>
          <w:noProof/>
          <w:color w:val="000000" w:themeColor="text1"/>
          <w:sz w:val="24"/>
          <w:szCs w:val="24"/>
        </w:rPr>
        <w:t>[7,13,14]</w:t>
      </w:r>
      <w:r w:rsidR="008F4B24">
        <w:rPr>
          <w:rFonts w:ascii="Times New Roman" w:hAnsi="Times New Roman" w:cs="Times New Roman"/>
          <w:color w:val="000000" w:themeColor="text1"/>
          <w:sz w:val="24"/>
          <w:szCs w:val="24"/>
        </w:rPr>
        <w:fldChar w:fldCharType="end"/>
      </w:r>
      <w:r w:rsidRPr="004F0A7F">
        <w:rPr>
          <w:rFonts w:ascii="Times New Roman" w:hAnsi="Times New Roman" w:cs="Times New Roman"/>
          <w:color w:val="000000" w:themeColor="text1"/>
          <w:sz w:val="24"/>
          <w:szCs w:val="24"/>
        </w:rPr>
        <w:t>. Here are some commonly per</w:t>
      </w:r>
      <w:r w:rsidRPr="004F0A7F">
        <w:rPr>
          <w:rFonts w:ascii="Times New Roman" w:hAnsi="Times New Roman" w:cs="Times New Roman"/>
          <w:color w:val="000000" w:themeColor="text1"/>
          <w:sz w:val="24"/>
          <w:szCs w:val="24"/>
        </w:rPr>
        <w:t>formed physicochemical analyses in the characterization of medicinal plants:</w:t>
      </w:r>
    </w:p>
    <w:p w14:paraId="1AC3074B" w14:textId="1142C266" w:rsidR="00574309" w:rsidRPr="004F0A7F" w:rsidRDefault="00BB4C00" w:rsidP="00EF3CDA">
      <w:pPr>
        <w:pStyle w:val="ListParagraph"/>
        <w:numPr>
          <w:ilvl w:val="0"/>
          <w:numId w:val="4"/>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Moisture Content:</w:t>
      </w:r>
      <w:r w:rsidRPr="004F0A7F">
        <w:rPr>
          <w:rFonts w:ascii="Times New Roman" w:hAnsi="Times New Roman" w:cs="Times New Roman"/>
          <w:color w:val="000000" w:themeColor="text1"/>
          <w:sz w:val="24"/>
          <w:szCs w:val="24"/>
        </w:rPr>
        <w:t xml:space="preserve"> Determining the amount of water present in the plant material is crucial for assessing its stability and susceptibility to microbial growth and degradation.</w:t>
      </w:r>
    </w:p>
    <w:p w14:paraId="3D2D072F" w14:textId="3E17AC97" w:rsidR="00574309" w:rsidRPr="004F0A7F" w:rsidRDefault="00BB4C00" w:rsidP="00EF3CDA">
      <w:pPr>
        <w:pStyle w:val="ListParagraph"/>
        <w:numPr>
          <w:ilvl w:val="0"/>
          <w:numId w:val="4"/>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 xml:space="preserve">Ash </w:t>
      </w:r>
      <w:r w:rsidRPr="004F0A7F">
        <w:rPr>
          <w:rFonts w:ascii="Times New Roman" w:hAnsi="Times New Roman" w:cs="Times New Roman"/>
          <w:b/>
          <w:bCs/>
          <w:color w:val="000000" w:themeColor="text1"/>
          <w:sz w:val="24"/>
          <w:szCs w:val="24"/>
        </w:rPr>
        <w:t>Content:</w:t>
      </w:r>
      <w:r w:rsidRPr="004F0A7F">
        <w:rPr>
          <w:rFonts w:ascii="Times New Roman" w:hAnsi="Times New Roman" w:cs="Times New Roman"/>
          <w:color w:val="000000" w:themeColor="text1"/>
          <w:sz w:val="24"/>
          <w:szCs w:val="24"/>
        </w:rPr>
        <w:t xml:space="preserve"> Ash content analysis involves determining the total mineral content in the plant material after incineration. It provides information about the inorganic residue and helps identify the presence of impurities or contaminants.</w:t>
      </w:r>
    </w:p>
    <w:p w14:paraId="6414FDB2" w14:textId="4928787A" w:rsidR="00574309" w:rsidRPr="004F0A7F" w:rsidRDefault="00BB4C00" w:rsidP="00EF3CDA">
      <w:pPr>
        <w:pStyle w:val="ListParagraph"/>
        <w:numPr>
          <w:ilvl w:val="0"/>
          <w:numId w:val="4"/>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Extractive Values:</w:t>
      </w:r>
      <w:r w:rsidRPr="004F0A7F">
        <w:rPr>
          <w:rFonts w:ascii="Times New Roman" w:hAnsi="Times New Roman" w:cs="Times New Roman"/>
          <w:color w:val="000000" w:themeColor="text1"/>
          <w:sz w:val="24"/>
          <w:szCs w:val="24"/>
        </w:rPr>
        <w:t xml:space="preserve"> Ext</w:t>
      </w:r>
      <w:r w:rsidRPr="004F0A7F">
        <w:rPr>
          <w:rFonts w:ascii="Times New Roman" w:hAnsi="Times New Roman" w:cs="Times New Roman"/>
          <w:color w:val="000000" w:themeColor="text1"/>
          <w:sz w:val="24"/>
          <w:szCs w:val="24"/>
        </w:rPr>
        <w:t xml:space="preserve">ractive values determine the amount of soluble compounds extracted from the plant material using specific solvents. Solvent-soluble extractives reflect the presence of various chemical constituents, including alkaloids, flavonoids, phenolic compounds, and </w:t>
      </w:r>
      <w:r w:rsidRPr="004F0A7F">
        <w:rPr>
          <w:rFonts w:ascii="Times New Roman" w:hAnsi="Times New Roman" w:cs="Times New Roman"/>
          <w:color w:val="000000" w:themeColor="text1"/>
          <w:sz w:val="24"/>
          <w:szCs w:val="24"/>
        </w:rPr>
        <w:t>other bioactive compounds.</w:t>
      </w:r>
    </w:p>
    <w:p w14:paraId="305DCE9A" w14:textId="30A2CDB8" w:rsidR="00574309" w:rsidRPr="004F0A7F" w:rsidRDefault="00BB4C00" w:rsidP="00EF3CDA">
      <w:pPr>
        <w:pStyle w:val="ListParagraph"/>
        <w:numPr>
          <w:ilvl w:val="0"/>
          <w:numId w:val="4"/>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pH:</w:t>
      </w:r>
      <w:r w:rsidRPr="004F0A7F">
        <w:rPr>
          <w:rFonts w:ascii="Times New Roman" w:hAnsi="Times New Roman" w:cs="Times New Roman"/>
          <w:color w:val="000000" w:themeColor="text1"/>
          <w:sz w:val="24"/>
          <w:szCs w:val="24"/>
        </w:rPr>
        <w:t xml:space="preserve"> Measuring the pH of aqueous extracts or solutions prepared from medicinal plants can indicate their acidity or alkalinity. pH affects the stability and solubility of bioactive compounds and can influence the extraction and fo</w:t>
      </w:r>
      <w:r w:rsidRPr="004F0A7F">
        <w:rPr>
          <w:rFonts w:ascii="Times New Roman" w:hAnsi="Times New Roman" w:cs="Times New Roman"/>
          <w:color w:val="000000" w:themeColor="text1"/>
          <w:sz w:val="24"/>
          <w:szCs w:val="24"/>
        </w:rPr>
        <w:t>rmulation processes.</w:t>
      </w:r>
    </w:p>
    <w:p w14:paraId="35403470" w14:textId="70BAC6CF" w:rsidR="00574309" w:rsidRPr="004F0A7F" w:rsidRDefault="00BB4C00" w:rsidP="00EF3CDA">
      <w:pPr>
        <w:pStyle w:val="ListParagraph"/>
        <w:numPr>
          <w:ilvl w:val="0"/>
          <w:numId w:val="4"/>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Specific Gravity:</w:t>
      </w:r>
      <w:r w:rsidRPr="004F0A7F">
        <w:rPr>
          <w:rFonts w:ascii="Times New Roman" w:hAnsi="Times New Roman" w:cs="Times New Roman"/>
          <w:color w:val="000000" w:themeColor="text1"/>
          <w:sz w:val="24"/>
          <w:szCs w:val="24"/>
        </w:rPr>
        <w:t xml:space="preserve"> Specific gravity determination assesses the density of the plant material or its extracts relative to the density of water. It provides information about the concentration and purity of active constituents.</w:t>
      </w:r>
    </w:p>
    <w:p w14:paraId="5DA3B05E" w14:textId="4869F187" w:rsidR="00574309" w:rsidRPr="004F0A7F" w:rsidRDefault="00BB4C00" w:rsidP="00EF3CDA">
      <w:pPr>
        <w:pStyle w:val="ListParagraph"/>
        <w:numPr>
          <w:ilvl w:val="0"/>
          <w:numId w:val="4"/>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lastRenderedPageBreak/>
        <w:t>Refractive</w:t>
      </w:r>
      <w:r w:rsidRPr="004F0A7F">
        <w:rPr>
          <w:rFonts w:ascii="Times New Roman" w:hAnsi="Times New Roman" w:cs="Times New Roman"/>
          <w:b/>
          <w:bCs/>
          <w:color w:val="000000" w:themeColor="text1"/>
          <w:sz w:val="24"/>
          <w:szCs w:val="24"/>
        </w:rPr>
        <w:t xml:space="preserve"> Index:</w:t>
      </w:r>
      <w:r w:rsidRPr="004F0A7F">
        <w:rPr>
          <w:rFonts w:ascii="Times New Roman" w:hAnsi="Times New Roman" w:cs="Times New Roman"/>
          <w:color w:val="000000" w:themeColor="text1"/>
          <w:sz w:val="24"/>
          <w:szCs w:val="24"/>
        </w:rPr>
        <w:t xml:space="preserve"> Refractive index is a measure of how light bends as it passes through a substance. It can help determine the purity and concentration of plant extracts, as well as identify any adulteration.</w:t>
      </w:r>
    </w:p>
    <w:p w14:paraId="24352434" w14:textId="2363AB7A" w:rsidR="00574309" w:rsidRPr="004F0A7F" w:rsidRDefault="00BB4C00" w:rsidP="00EF3CDA">
      <w:pPr>
        <w:pStyle w:val="ListParagraph"/>
        <w:numPr>
          <w:ilvl w:val="0"/>
          <w:numId w:val="4"/>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Bulk Density and Tapped Density:</w:t>
      </w:r>
      <w:r w:rsidRPr="004F0A7F">
        <w:rPr>
          <w:rFonts w:ascii="Times New Roman" w:hAnsi="Times New Roman" w:cs="Times New Roman"/>
          <w:color w:val="000000" w:themeColor="text1"/>
          <w:sz w:val="24"/>
          <w:szCs w:val="24"/>
        </w:rPr>
        <w:t xml:space="preserve"> Bulk density and tapped </w:t>
      </w:r>
      <w:r w:rsidRPr="004F0A7F">
        <w:rPr>
          <w:rFonts w:ascii="Times New Roman" w:hAnsi="Times New Roman" w:cs="Times New Roman"/>
          <w:color w:val="000000" w:themeColor="text1"/>
          <w:sz w:val="24"/>
          <w:szCs w:val="24"/>
        </w:rPr>
        <w:t>density measurements assess the flow properties and compressibility of plant powders. These parameters are important for formulation development and manufacturing processes.</w:t>
      </w:r>
    </w:p>
    <w:p w14:paraId="0200ECA7" w14:textId="41B61C38" w:rsidR="00574309" w:rsidRPr="004F0A7F" w:rsidRDefault="00BB4C00" w:rsidP="00EF3CDA">
      <w:pPr>
        <w:pStyle w:val="ListParagraph"/>
        <w:numPr>
          <w:ilvl w:val="0"/>
          <w:numId w:val="4"/>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Particle Size Analysis:</w:t>
      </w:r>
      <w:r w:rsidRPr="004F0A7F">
        <w:rPr>
          <w:rFonts w:ascii="Times New Roman" w:hAnsi="Times New Roman" w:cs="Times New Roman"/>
          <w:color w:val="000000" w:themeColor="text1"/>
          <w:sz w:val="24"/>
          <w:szCs w:val="24"/>
        </w:rPr>
        <w:t xml:space="preserve"> Particle size distribution analysis evaluates the size ran</w:t>
      </w:r>
      <w:r w:rsidRPr="004F0A7F">
        <w:rPr>
          <w:rFonts w:ascii="Times New Roman" w:hAnsi="Times New Roman" w:cs="Times New Roman"/>
          <w:color w:val="000000" w:themeColor="text1"/>
          <w:sz w:val="24"/>
          <w:szCs w:val="24"/>
        </w:rPr>
        <w:t>ge and distribution of particles in the plant material. It is relevant for optimizing extraction efficiency, determining dissolution properties, and ensuring uniformity in formulations.</w:t>
      </w:r>
    </w:p>
    <w:p w14:paraId="64920F8C" w14:textId="02657354" w:rsidR="00574309" w:rsidRPr="004F0A7F" w:rsidRDefault="00BB4C00" w:rsidP="00EF3CDA">
      <w:pPr>
        <w:pStyle w:val="ListParagraph"/>
        <w:numPr>
          <w:ilvl w:val="0"/>
          <w:numId w:val="4"/>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Melting Point and Boiling Point:</w:t>
      </w:r>
      <w:r w:rsidRPr="004F0A7F">
        <w:rPr>
          <w:rFonts w:ascii="Times New Roman" w:hAnsi="Times New Roman" w:cs="Times New Roman"/>
          <w:color w:val="000000" w:themeColor="text1"/>
          <w:sz w:val="24"/>
          <w:szCs w:val="24"/>
        </w:rPr>
        <w:t xml:space="preserve"> Determining the melting and boiling p</w:t>
      </w:r>
      <w:r w:rsidRPr="004F0A7F">
        <w:rPr>
          <w:rFonts w:ascii="Times New Roman" w:hAnsi="Times New Roman" w:cs="Times New Roman"/>
          <w:color w:val="000000" w:themeColor="text1"/>
          <w:sz w:val="24"/>
          <w:szCs w:val="24"/>
        </w:rPr>
        <w:t>oints of specific compounds isolated from medicinal plants can aid in their identification and characterization.</w:t>
      </w:r>
    </w:p>
    <w:p w14:paraId="310A2227" w14:textId="035078AB" w:rsidR="00574309" w:rsidRPr="004F0A7F" w:rsidRDefault="00BB4C00" w:rsidP="00EF3CDA">
      <w:pPr>
        <w:pStyle w:val="ListParagraph"/>
        <w:numPr>
          <w:ilvl w:val="0"/>
          <w:numId w:val="4"/>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Solubility Profile:</w:t>
      </w:r>
      <w:r w:rsidRPr="004F0A7F">
        <w:rPr>
          <w:rFonts w:ascii="Times New Roman" w:hAnsi="Times New Roman" w:cs="Times New Roman"/>
          <w:color w:val="000000" w:themeColor="text1"/>
          <w:sz w:val="24"/>
          <w:szCs w:val="24"/>
        </w:rPr>
        <w:t xml:space="preserve"> Evaluating the solubility of medicinal plant extracts or isolated compounds in different solvents provides insight into the</w:t>
      </w:r>
      <w:r w:rsidRPr="004F0A7F">
        <w:rPr>
          <w:rFonts w:ascii="Times New Roman" w:hAnsi="Times New Roman" w:cs="Times New Roman"/>
          <w:color w:val="000000" w:themeColor="text1"/>
          <w:sz w:val="24"/>
          <w:szCs w:val="24"/>
        </w:rPr>
        <w:t>ir chemical nature and helps determine suitable extraction or formulation strategies.</w:t>
      </w:r>
    </w:p>
    <w:p w14:paraId="20FD530B" w14:textId="2D4500BD" w:rsidR="00574309" w:rsidRPr="004F0A7F" w:rsidRDefault="00BB4C00" w:rsidP="00EF3CDA">
      <w:pPr>
        <w:pStyle w:val="ListParagraph"/>
        <w:numPr>
          <w:ilvl w:val="0"/>
          <w:numId w:val="4"/>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Loss on Drying:</w:t>
      </w:r>
      <w:r w:rsidRPr="004F0A7F">
        <w:rPr>
          <w:rFonts w:ascii="Times New Roman" w:hAnsi="Times New Roman" w:cs="Times New Roman"/>
          <w:color w:val="000000" w:themeColor="text1"/>
          <w:sz w:val="24"/>
          <w:szCs w:val="24"/>
        </w:rPr>
        <w:t xml:space="preserve"> Loss on drying is a measurement of the weight loss that occurs when plant material is dried under specific conditions. It helps determine the moisture con</w:t>
      </w:r>
      <w:r w:rsidRPr="004F0A7F">
        <w:rPr>
          <w:rFonts w:ascii="Times New Roman" w:hAnsi="Times New Roman" w:cs="Times New Roman"/>
          <w:color w:val="000000" w:themeColor="text1"/>
          <w:sz w:val="24"/>
          <w:szCs w:val="24"/>
        </w:rPr>
        <w:t>tent and indirectly assesses the stability and potential for microbial growth or degradation.</w:t>
      </w:r>
    </w:p>
    <w:p w14:paraId="6D9292C7" w14:textId="09060EF9" w:rsidR="00574309" w:rsidRPr="004F0A7F" w:rsidRDefault="00BB4C00" w:rsidP="00EF3CDA">
      <w:pPr>
        <w:pStyle w:val="ListParagraph"/>
        <w:numPr>
          <w:ilvl w:val="0"/>
          <w:numId w:val="4"/>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Density:</w:t>
      </w:r>
      <w:r w:rsidRPr="004F0A7F">
        <w:rPr>
          <w:rFonts w:ascii="Times New Roman" w:hAnsi="Times New Roman" w:cs="Times New Roman"/>
          <w:color w:val="000000" w:themeColor="text1"/>
          <w:sz w:val="24"/>
          <w:szCs w:val="24"/>
        </w:rPr>
        <w:t xml:space="preserve"> Density refers to the mass per unit volume of a substance. Determining the density of plant extracts or formulations provides information about their con</w:t>
      </w:r>
      <w:r w:rsidRPr="004F0A7F">
        <w:rPr>
          <w:rFonts w:ascii="Times New Roman" w:hAnsi="Times New Roman" w:cs="Times New Roman"/>
          <w:color w:val="000000" w:themeColor="text1"/>
          <w:sz w:val="24"/>
          <w:szCs w:val="24"/>
        </w:rPr>
        <w:t>centration and physical properties, which can impact dosing accuracy and formulation stability.</w:t>
      </w:r>
    </w:p>
    <w:p w14:paraId="7F03D98A" w14:textId="48791570" w:rsidR="00574309" w:rsidRPr="004F0A7F" w:rsidRDefault="00BB4C00" w:rsidP="00EF3CDA">
      <w:pPr>
        <w:pStyle w:val="ListParagraph"/>
        <w:numPr>
          <w:ilvl w:val="0"/>
          <w:numId w:val="4"/>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Optical Rotation:</w:t>
      </w:r>
      <w:r w:rsidRPr="004F0A7F">
        <w:rPr>
          <w:rFonts w:ascii="Times New Roman" w:hAnsi="Times New Roman" w:cs="Times New Roman"/>
          <w:color w:val="000000" w:themeColor="text1"/>
          <w:sz w:val="24"/>
          <w:szCs w:val="24"/>
        </w:rPr>
        <w:t xml:space="preserve"> Optical rotation measures the rotation of plane-polarized light as it passes through a chiral compound, such as a specific molecule in a medic</w:t>
      </w:r>
      <w:r w:rsidRPr="004F0A7F">
        <w:rPr>
          <w:rFonts w:ascii="Times New Roman" w:hAnsi="Times New Roman" w:cs="Times New Roman"/>
          <w:color w:val="000000" w:themeColor="text1"/>
          <w:sz w:val="24"/>
          <w:szCs w:val="24"/>
        </w:rPr>
        <w:t>inal plant. It is used to determine the presence and quantify the amount of optically active compounds, such as enantiomers.</w:t>
      </w:r>
    </w:p>
    <w:p w14:paraId="6B818D4C" w14:textId="6838563F" w:rsidR="00574309" w:rsidRPr="004F0A7F" w:rsidRDefault="00BB4C00" w:rsidP="00EF3CDA">
      <w:pPr>
        <w:pStyle w:val="ListParagraph"/>
        <w:numPr>
          <w:ilvl w:val="0"/>
          <w:numId w:val="4"/>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Colorimetric Analysis:</w:t>
      </w:r>
      <w:r w:rsidRPr="004F0A7F">
        <w:rPr>
          <w:rFonts w:ascii="Times New Roman" w:hAnsi="Times New Roman" w:cs="Times New Roman"/>
          <w:color w:val="000000" w:themeColor="text1"/>
          <w:sz w:val="24"/>
          <w:szCs w:val="24"/>
        </w:rPr>
        <w:t xml:space="preserve"> Colorimetric analysis involves the measurement of absorbance or color intensity of a specific compound or class of compounds using spectrophotometry. It allows for the quantification of various constituents, such as phenolics, flavonoids, or specific chem</w:t>
      </w:r>
      <w:r w:rsidRPr="004F0A7F">
        <w:rPr>
          <w:rFonts w:ascii="Times New Roman" w:hAnsi="Times New Roman" w:cs="Times New Roman"/>
          <w:color w:val="000000" w:themeColor="text1"/>
          <w:sz w:val="24"/>
          <w:szCs w:val="24"/>
        </w:rPr>
        <w:t>ical markers.</w:t>
      </w:r>
    </w:p>
    <w:p w14:paraId="4131F56A" w14:textId="64169B3C" w:rsidR="00574309" w:rsidRPr="004F0A7F" w:rsidRDefault="00BB4C00" w:rsidP="00EF3CDA">
      <w:pPr>
        <w:pStyle w:val="ListParagraph"/>
        <w:numPr>
          <w:ilvl w:val="0"/>
          <w:numId w:val="4"/>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Elemental Analysis:</w:t>
      </w:r>
      <w:r w:rsidRPr="004F0A7F">
        <w:rPr>
          <w:rFonts w:ascii="Times New Roman" w:hAnsi="Times New Roman" w:cs="Times New Roman"/>
          <w:color w:val="000000" w:themeColor="text1"/>
          <w:sz w:val="24"/>
          <w:szCs w:val="24"/>
        </w:rPr>
        <w:t xml:space="preserve"> Elemental analysis determines the elemental composition of plant materials using techniques like atomic absorption spectroscopy (AAS) or inductively </w:t>
      </w:r>
      <w:r w:rsidRPr="004F0A7F">
        <w:rPr>
          <w:rFonts w:ascii="Times New Roman" w:hAnsi="Times New Roman" w:cs="Times New Roman"/>
          <w:color w:val="000000" w:themeColor="text1"/>
          <w:sz w:val="24"/>
          <w:szCs w:val="24"/>
        </w:rPr>
        <w:lastRenderedPageBreak/>
        <w:t>coupled plasma spectroscopy (ICP). It helps identify and quantify essenti</w:t>
      </w:r>
      <w:r w:rsidRPr="004F0A7F">
        <w:rPr>
          <w:rFonts w:ascii="Times New Roman" w:hAnsi="Times New Roman" w:cs="Times New Roman"/>
          <w:color w:val="000000" w:themeColor="text1"/>
          <w:sz w:val="24"/>
          <w:szCs w:val="24"/>
        </w:rPr>
        <w:t>al and trace elements present in the plant, which can have implications for nutritional value or potential contaminants.</w:t>
      </w:r>
    </w:p>
    <w:p w14:paraId="55F399CD" w14:textId="6E1CE94D" w:rsidR="00A940A5" w:rsidRPr="004F0A7F" w:rsidRDefault="00BB4C00" w:rsidP="00A940A5">
      <w:pPr>
        <w:pStyle w:val="Heading2"/>
        <w:numPr>
          <w:ilvl w:val="1"/>
          <w:numId w:val="7"/>
        </w:numPr>
        <w:rPr>
          <w:rFonts w:ascii="Times New Roman" w:hAnsi="Times New Roman" w:cs="Times New Roman"/>
          <w:b/>
          <w:bCs/>
          <w:color w:val="000000" w:themeColor="text1"/>
          <w:sz w:val="24"/>
          <w:szCs w:val="24"/>
        </w:rPr>
      </w:pPr>
      <w:r w:rsidRPr="004F0A7F">
        <w:rPr>
          <w:rFonts w:ascii="Times New Roman" w:hAnsi="Times New Roman" w:cs="Times New Roman"/>
          <w:b/>
          <w:bCs/>
          <w:color w:val="000000" w:themeColor="text1"/>
          <w:sz w:val="24"/>
          <w:szCs w:val="24"/>
        </w:rPr>
        <w:t>Chromatographic Techniques</w:t>
      </w:r>
    </w:p>
    <w:p w14:paraId="20CA4C3A" w14:textId="440B7460" w:rsidR="00574309" w:rsidRPr="004F0A7F" w:rsidRDefault="00BB4C00"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 xml:space="preserve">Chromatographic techniques, such as thin-layer chromatography (TLC), high-performance liquid </w:t>
      </w:r>
      <w:r w:rsidRPr="004F0A7F">
        <w:rPr>
          <w:rFonts w:ascii="Times New Roman" w:hAnsi="Times New Roman" w:cs="Times New Roman"/>
          <w:color w:val="000000" w:themeColor="text1"/>
          <w:sz w:val="24"/>
          <w:szCs w:val="24"/>
        </w:rPr>
        <w:t>chromatography (HPLC), or gas chromatography (GC), are commonly used in the analysis of medicinal plants. These techniques separate and quantify individual compounds or classes of compounds, providing information about their presence, purity, and concentra</w:t>
      </w:r>
      <w:r w:rsidRPr="004F0A7F">
        <w:rPr>
          <w:rFonts w:ascii="Times New Roman" w:hAnsi="Times New Roman" w:cs="Times New Roman"/>
          <w:color w:val="000000" w:themeColor="text1"/>
          <w:sz w:val="24"/>
          <w:szCs w:val="24"/>
        </w:rPr>
        <w:t>tion</w:t>
      </w:r>
      <w:r w:rsidR="008F4B24">
        <w:rPr>
          <w:rFonts w:ascii="Times New Roman" w:hAnsi="Times New Roman" w:cs="Times New Roman"/>
          <w:color w:val="000000" w:themeColor="text1"/>
          <w:sz w:val="24"/>
          <w:szCs w:val="24"/>
        </w:rPr>
        <w:t xml:space="preserve"> </w:t>
      </w:r>
      <w:r w:rsidR="008F4B24">
        <w:rPr>
          <w:rFonts w:ascii="Times New Roman" w:hAnsi="Times New Roman" w:cs="Times New Roman"/>
          <w:color w:val="000000" w:themeColor="text1"/>
          <w:sz w:val="24"/>
          <w:szCs w:val="24"/>
        </w:rPr>
        <w:fldChar w:fldCharType="begin" w:fldLock="1"/>
      </w:r>
      <w:r w:rsidR="008F4B24">
        <w:rPr>
          <w:rFonts w:ascii="Times New Roman" w:hAnsi="Times New Roman" w:cs="Times New Roman"/>
          <w:color w:val="000000" w:themeColor="text1"/>
          <w:sz w:val="24"/>
          <w:szCs w:val="24"/>
        </w:rPr>
        <w:instrText>ADDIN CSL_CITATION {"citationItems":[{"id":"ITEM-1","itemData":{"DOI":"10.1021/acsomega.0c02995","ISSN":"24701343","abstract":"BGR-34 is a polyherbal formulation frequently used to combat diabetes around the globe especially in Asian countries. It provides an attractive treatment option to prediabetics, diabetics, and in metabolic disorders by controlling the altered blood glucose level. The lack of phytopharmacological studies on BGR-34 prompted as to reveal the compounds responsible for the antidiabetic and free-radical scavenging activity of BGR-34. An attempt was made to assess in vitro α-amylase and α-glucosidase enzyme inhibition of BGR-34 along with its free-radical scavenging potential via DPPH scavenging activity. Further, HPTLC profiling and quantitative analysis of berberine and palmatine in BGR-34 were carried out. Thereafter, the TLC-bioautographic-MS analysis was performed to identify the compounds responsible for antidiabetic and antioxidant activities in BGR-34. The results had shown a significant and dose-dependent inhibition potential of BGR-34 against in vitro α-amylase and α-glucosidase enzymatic reactions along with significant inhibition in DPPH free-radical scavenging activity. The HPTLC profiling and quantitative validation studies showed the presence of berberine and palmatine 44.926 ± 0.2907 and 10.507 ± 0.154 μg/g, respectively. The TLC-MS bioautography revealed a total of four DPPH-active, two α-amylase-active, and nine α-glucosidaseactive compounds in BGR-34. It was observed from the study that BGR-34 possesses verities of bioactive compounds, which are reasonable not only for its antidiabetic effect but also for its antioxidant activity.","author":[{"dropping-particle":"","family":"Gaurav","given":"","non-dropping-particle":"","parse-names":false,"suffix":""},{"dropping-particle":"","family":"Zahiruddin","given":"Sultan","non-dropping-particle":"","parse-names":false,"suffix":""},{"dropping-particle":"","family":"Parveen","given":"Bushra","non-dropping-particle":"","parse-names":false,"suffix":""},{"dropping-particle":"","family":"Ibrahim","given":"Mohammad","non-dropping-particle":"","parse-names":false,"suffix":""},{"dropping-particle":"","family":"Sharma","given":"Ikshit","non-dropping-particle":"","parse-names":false,"suffix":""},{"dropping-particle":"","family":"Sharma","given":"Sanchit","non-dropping-particle":"","parse-names":false,"suffix":""},{"dropping-particle":"","family":"Sharma","given":"Anil Kumar","non-dropping-particle":"","parse-names":false,"suffix":""},{"dropping-particle":"","family":"Parveen","given":"Rabea","non-dropping-particle":"","parse-names":false,"suffix":""},{"dropping-particle":"","family":"Ahmad","given":"Sayeed","non-dropping-particle":"","parse-names":false,"suffix":""}],"container-title":"ACS Omega","id":"ITEM-1","issued":{"date-parts":[["2020"]]},"title":"TLC-MS bioautography-based identification of free-radical scavenging, α‑amylase, and α‑glucosidase inhibitor compounds of antidiabetic tablet BGR-34","type":"article-journal"},"uris":["http://www.mendeley.com/documents/?uuid=03233ac1-eb07-4505-a907-fd7d9989759c"]},{"id":"ITEM-2","itemData":{"DOI":"10.3390/biomedicines11010168","ISSN":"22279059","abstract":"Based on traditional therapeutic claims, NEERI KFT (a traditional Ayurvedic polyherbal preparation) has been innovatively developed in recent time on the decades of experience for treating kidney dysfunction. Due to the lack of scientific evidence, the present investigations are needed to support the rationale use of NEERI KFT. Considering the facts, the study investigated the nephroprotective effect of NEERI KFT against kidney dysfunction using in silico, in vitro and in vivo approaches. In this study, phytochemical and network pharmacology studies were performed for the developed formulation to evaluate the molecular mechanism of NEERI KFT in the amelioration of kidney disease. In vitro nephroprotective and antioxidant effect of NEERI KFT was determined on HEK 293 cells against cisplatin-induced cytotoxicity and oxidative stress. In vivo nephroprotective effect of NEERI KFT was determined against cisplatin-induced nephrotoxicity in Wistar rats, via assessing biochemical markers, antioxidant enzymes and inflammatory cytokines such as TNF-α, IL-1β, CASP-3, etc. The results showed that the compounds such as gallic acid, caffeic acid and ferulic acid are the major constituents of NEERI KFT, while network pharmacology analysis indicated a strong interaction between polyphenols and several genes (CASPs, ILs, AGTR1, AKT, ACE2, SOD1, etc.) involved in the pathophysiology of kidney disease. In vivo studies showed a significant (p &lt; 0.05) ameliorative effect on biochemical markers and antioxidant enzymes (SOD, CAT, GSH, etc.), and regulates inflammatory cytokine (TNF-α, IL-1β, CASP-3) expression in kidney tissue. Hence, it can be concluded that NEERI KFT subsequently alleviates renal dysfunction mediated by cisplatin via attenuating oxidative and inflammatory stress, thus preserving the normalcy of kidney function.","author":[{"dropping-particle":"","family":"Gaurav","given":"","non-dropping-particle":"","parse-names":false,"suffix":""},{"dropping-particle":"","family":"Sharma","given":"Ikshit","non-dropping-particle":"","parse-names":false,"suffix":""},{"dropping-particle":"","family":"Khan","given":"Mohammad Umar","non-dropping-particle":"","parse-names":false,"suffix":""},{"dropping-particle":"","family":"Zahiruddin","given":"Sultan","non-dropping-particle":"","parse-names":false,"suffix":""},{"dropping-particle":"","family":"Basist","given":"Parakh","non-dropping-particle":"","parse-names":false,"suffix":""},{"dropping-particle":"","family":"Ahmad","given":"Sayeed","non-dropping-particle":"","parse-names":false,"suffix":""}],"container-title":"Biomedicines","id":"ITEM-2","issue":"1","issued":{"date-parts":[["2023"]]},"title":"Multi-Mechanistic and Therapeutic Exploration of Nephroprotective Effect of Traditional Ayurvedic Polyherbal Formulation Using In Silico, In Vitro and In Vivo Approaches","type":"article-journal","volume":"11"},"uris":["http://www.mendeley.com/documents/?uuid=e136172c-3eeb-4fb7-a2b4-4590c8755890"]},{"id":"ITEM-3","itemData":{"DOI":"10.1016/J.SJBS.2021.07.008","ISSN":"1319-562X","author":[{"dropping-particle":"","family":"Gautam","given":"Gaurav","non-dropping-particle":"","parse-names":false,"suffix":""},{"dropping-particle":"","family":"Parveen","given":"Bushra","non-dropping-particle":"","parse-names":false,"suffix":""},{"dropping-particle":"","family":"Umar Khan","given":"Mohammad","non-dropping-particle":"","parse-names":false,"suffix":""},{"dropping-particle":"","family":"Sharma","given":"Ikshit","non-dropping-particle":"","parse-names":false,"suffix":""},{"dropping-particle":"","family":"Kumar Sharma","given":"Anil","non-dropping-particle":"","parse-names":false,"suffix":""},{"dropping-particle":"","family":"Parveen","given":"Rabea","non-dropping-particle":"","parse-names":false,"suffix":""},{"dropping-particle":"","family":"Ahmad","given":"Sayeed","non-dropping-particle":"","parse-names":false,"suffix":""}],"container-title":"Saudi Journal of Biological Sciences","id":"ITEM-3","issued":{"date-parts":[["2021","7","12"]]},"publisher":"Elsevier","title":"A systematic review on nephron protective AYUSH drugs as constituents of NEERI-KFT (A traditional Indian polyherbal formulation) for the management of chronic kidney disease","type":"article-journal"},"uris":["http://www.mendeley.com/documents/?uuid=6845a323-3002-3e8f-b5a3-944805c88207"]},{"id":"ITEM-4","itemData":{"DOI":"10.1016/j.sajb.2022.01.038","ISSN":"02546299","abstract":"Synergism among herbals or phytochemicals potentiates incredible biological effects thus mitigating several acute and chronic ailments. Boerhaavia diffusa (BD) and Tinospora cordifolia (TC) are well-known medicinal plants used as the folk medicinal regimen for treating various ailments. Due to lack of scientific evidence, the study is aimed to evaluate the synergistic nephroprotective potential of BD and TC herbal combination against diclofenac (DCF)-induced nephrotoxicity. HPTLC analysis was performed for quantification of polyphenols followed by network pharmacological analysis to investigate the multi-mechanistic role of polyphenols in alleviating chronic kidney disease (CKD). The herbal combination exhibited significant (p &lt; 0.05) nephroprotective effect by reducing renal oxidative, and inflammatory stress. Network pharmacological analysis showed multiple physiological roles of polyphenols in kidney malfunction by regulating several genomes involved in inflammation, oxidative stress, renin-angiotensin system (RAS), etc. and thus providing an effective therapeutic regimen as BD and TC in the glance of naturals.","author":[{"dropping-particle":"","family":"Gaurav","given":"","non-dropping-particle":"","parse-names":false,"suffix":""},{"dropping-particle":"","family":"Khan","given":"Mohammad Umar","non-dropping-particle":"","parse-names":false,"suffix":""},{"dropping-particle":"","family":"Basist","given":"Parakh","non-dropping-particle":"","parse-names":false,"suffix":""},{"dropping-particle":"","family":"Zahiruddin","given":"Sultan","non-dropping-particle":"","parse-names":false,"suffix":""},{"dropping-particle":"","family":"Ibrahim","given":"Mohammad","non-dropping-particle":"","parse-names":false,"suffix":""},{"dropping-particle":"","family":"Parveen","given":"Rabea","non-dropping-particle":"","parse-names":false,"suffix":""},{"dropping-particle":"","family":"Krishnan","given":"Anuja","non-dropping-particle":"","parse-names":false,"suffix":""},{"dropping-particle":"","family":"Ahmad","given":"Sayeed","non-dropping-particle":"","parse-names":false,"suffix":""}],"container-title":"South African Journal of Botany","id":"ITEM-4","issued":{"date-parts":[["2022"]]},"publisher":"Elsevier B.V.","title":"Nephroprotective potential of Boerhaavia diffusa and Tinospora cordifolia herbal combination against diclofenac induced nephrotoxicity","type":"article-journal","volume":"000"},"uris":["http://www.mendeley.com/documents/?uuid=c100ed2d-8d94-487a-bf99-55e84bc4b2c1"]}],"mendeley":{"formattedCitation":"[9,15–17]","plainTextFormattedCitation":"[9,15–17]","previouslyFormattedCitation":"[9,15–17]"},"properties":{"noteIndex":0},"schema":"https://github.com/citation-style-language/schema/raw/master/csl-citation.json"}</w:instrText>
      </w:r>
      <w:r w:rsidR="008F4B24">
        <w:rPr>
          <w:rFonts w:ascii="Times New Roman" w:hAnsi="Times New Roman" w:cs="Times New Roman"/>
          <w:color w:val="000000" w:themeColor="text1"/>
          <w:sz w:val="24"/>
          <w:szCs w:val="24"/>
        </w:rPr>
        <w:fldChar w:fldCharType="separate"/>
      </w:r>
      <w:r w:rsidR="008F4B24" w:rsidRPr="008F4B24">
        <w:rPr>
          <w:rFonts w:ascii="Times New Roman" w:hAnsi="Times New Roman" w:cs="Times New Roman"/>
          <w:noProof/>
          <w:color w:val="000000" w:themeColor="text1"/>
          <w:sz w:val="24"/>
          <w:szCs w:val="24"/>
        </w:rPr>
        <w:t>[9,15–17]</w:t>
      </w:r>
      <w:r w:rsidR="008F4B24">
        <w:rPr>
          <w:rFonts w:ascii="Times New Roman" w:hAnsi="Times New Roman" w:cs="Times New Roman"/>
          <w:color w:val="000000" w:themeColor="text1"/>
          <w:sz w:val="24"/>
          <w:szCs w:val="24"/>
        </w:rPr>
        <w:fldChar w:fldCharType="end"/>
      </w:r>
      <w:r w:rsidRPr="004F0A7F">
        <w:rPr>
          <w:rFonts w:ascii="Times New Roman" w:hAnsi="Times New Roman" w:cs="Times New Roman"/>
          <w:color w:val="000000" w:themeColor="text1"/>
          <w:sz w:val="24"/>
          <w:szCs w:val="24"/>
        </w:rPr>
        <w:t>.</w:t>
      </w:r>
    </w:p>
    <w:p w14:paraId="209806FA" w14:textId="196F6AC8" w:rsidR="00574309" w:rsidRPr="004F0A7F" w:rsidRDefault="00BB4C00" w:rsidP="00A940A5">
      <w:pPr>
        <w:pStyle w:val="Heading3"/>
        <w:numPr>
          <w:ilvl w:val="2"/>
          <w:numId w:val="8"/>
        </w:numPr>
        <w:rPr>
          <w:rFonts w:ascii="Times New Roman" w:hAnsi="Times New Roman" w:cs="Times New Roman"/>
          <w:b/>
          <w:bCs/>
          <w:color w:val="000000" w:themeColor="text1"/>
        </w:rPr>
      </w:pPr>
      <w:r w:rsidRPr="004F0A7F">
        <w:rPr>
          <w:rFonts w:ascii="Times New Roman" w:hAnsi="Times New Roman" w:cs="Times New Roman"/>
          <w:b/>
          <w:bCs/>
          <w:color w:val="000000" w:themeColor="text1"/>
        </w:rPr>
        <w:t>Thin-Layer Chromatography (TLC)</w:t>
      </w:r>
    </w:p>
    <w:p w14:paraId="6CCCEEDC" w14:textId="74ACB491" w:rsidR="00574309" w:rsidRPr="004F0A7F" w:rsidRDefault="00BB4C00"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 xml:space="preserve">TLC is a common technique </w:t>
      </w:r>
      <w:r w:rsidRPr="004F0A7F">
        <w:rPr>
          <w:rFonts w:ascii="Times New Roman" w:hAnsi="Times New Roman" w:cs="Times New Roman"/>
          <w:color w:val="000000" w:themeColor="text1"/>
          <w:sz w:val="24"/>
          <w:szCs w:val="24"/>
        </w:rPr>
        <w:t>used for the identification and qualitative analysis of chemical constituents in medicinal plants. It involves the separation of compounds on a thin layer of adsorbent material and subsequent visualization using suitable reagents or UV light.</w:t>
      </w:r>
    </w:p>
    <w:p w14:paraId="6B2A103A" w14:textId="0735F82E" w:rsidR="00B50B8E" w:rsidRPr="004F0A7F" w:rsidRDefault="00BB4C00"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Thin-Layer Ch</w:t>
      </w:r>
      <w:r w:rsidRPr="004F0A7F">
        <w:rPr>
          <w:rFonts w:ascii="Times New Roman" w:hAnsi="Times New Roman" w:cs="Times New Roman"/>
          <w:color w:val="000000" w:themeColor="text1"/>
          <w:sz w:val="24"/>
          <w:szCs w:val="24"/>
        </w:rPr>
        <w:t>romatography (TLC) is a chromatographic technique used to separate and analyze the components of a mixture based on their different affinities to a stationary phase and a mobile phase. It is a simple and cost-effective method commonly employed in the analy</w:t>
      </w:r>
      <w:r w:rsidRPr="004F0A7F">
        <w:rPr>
          <w:rFonts w:ascii="Times New Roman" w:hAnsi="Times New Roman" w:cs="Times New Roman"/>
          <w:color w:val="000000" w:themeColor="text1"/>
          <w:sz w:val="24"/>
          <w:szCs w:val="24"/>
        </w:rPr>
        <w:t>sis of medicinal plants, pharmaceuticals, and other organic compounds. TLC is particularly useful for qualitative analysis, identification, and purity assessment of compounds in a sample.</w:t>
      </w:r>
    </w:p>
    <w:p w14:paraId="47B9DE5B" w14:textId="5451A75F" w:rsidR="00B50B8E" w:rsidRPr="004F0A7F" w:rsidRDefault="00BB4C00"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 xml:space="preserve">The basic principle of TLC involves the application of a small spot </w:t>
      </w:r>
      <w:r w:rsidRPr="004F0A7F">
        <w:rPr>
          <w:rFonts w:ascii="Times New Roman" w:hAnsi="Times New Roman" w:cs="Times New Roman"/>
          <w:color w:val="000000" w:themeColor="text1"/>
          <w:sz w:val="24"/>
          <w:szCs w:val="24"/>
        </w:rPr>
        <w:t>or line of the sample mixture onto a thin layer of a stationary phase, typically a polar adsorbent material, such as silica gel or alumina, coated on a flat, inert support, such as a glass or plastic plate. The sample is applied near the bottom of the plat</w:t>
      </w:r>
      <w:r w:rsidRPr="004F0A7F">
        <w:rPr>
          <w:rFonts w:ascii="Times New Roman" w:hAnsi="Times New Roman" w:cs="Times New Roman"/>
          <w:color w:val="000000" w:themeColor="text1"/>
          <w:sz w:val="24"/>
          <w:szCs w:val="24"/>
        </w:rPr>
        <w:t xml:space="preserve">e, and the plate is then placed in a developing chamber containing a suitable solvent system, which serves as the mobile phase. As the solvent migrates up the plate by capillary action, it carries the sample components with it. The different components of </w:t>
      </w:r>
      <w:r w:rsidRPr="004F0A7F">
        <w:rPr>
          <w:rFonts w:ascii="Times New Roman" w:hAnsi="Times New Roman" w:cs="Times New Roman"/>
          <w:color w:val="000000" w:themeColor="text1"/>
          <w:sz w:val="24"/>
          <w:szCs w:val="24"/>
        </w:rPr>
        <w:t>the mixture separate based on their varying affinities to the stationary phase and the mobile phase.</w:t>
      </w:r>
    </w:p>
    <w:p w14:paraId="61F37A7A" w14:textId="629145E9" w:rsidR="00B50B8E" w:rsidRPr="004F0A7F" w:rsidRDefault="00BB4C00"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The separation of compounds on the TLC plate is visualized by either direct observation or by using specific visualization techniques. Common methods inclu</w:t>
      </w:r>
      <w:r w:rsidRPr="004F0A7F">
        <w:rPr>
          <w:rFonts w:ascii="Times New Roman" w:hAnsi="Times New Roman" w:cs="Times New Roman"/>
          <w:color w:val="000000" w:themeColor="text1"/>
          <w:sz w:val="24"/>
          <w:szCs w:val="24"/>
        </w:rPr>
        <w:t>de</w:t>
      </w:r>
      <w:r w:rsidR="0078114B" w:rsidRPr="004F0A7F">
        <w:rPr>
          <w:rFonts w:ascii="Times New Roman" w:hAnsi="Times New Roman" w:cs="Times New Roman"/>
          <w:color w:val="000000" w:themeColor="text1"/>
          <w:sz w:val="24"/>
          <w:szCs w:val="24"/>
        </w:rPr>
        <w:t xml:space="preserve"> </w:t>
      </w:r>
      <w:r w:rsidRPr="004F0A7F">
        <w:rPr>
          <w:rFonts w:ascii="Times New Roman" w:hAnsi="Times New Roman" w:cs="Times New Roman"/>
          <w:color w:val="000000" w:themeColor="text1"/>
          <w:sz w:val="24"/>
          <w:szCs w:val="24"/>
        </w:rPr>
        <w:t>UV Absorption</w:t>
      </w:r>
      <w:r w:rsidR="0078114B" w:rsidRPr="004F0A7F">
        <w:rPr>
          <w:rFonts w:ascii="Times New Roman" w:hAnsi="Times New Roman" w:cs="Times New Roman"/>
          <w:color w:val="000000" w:themeColor="text1"/>
          <w:sz w:val="24"/>
          <w:szCs w:val="24"/>
        </w:rPr>
        <w:t xml:space="preserve"> where s</w:t>
      </w:r>
      <w:r w:rsidRPr="004F0A7F">
        <w:rPr>
          <w:rFonts w:ascii="Times New Roman" w:hAnsi="Times New Roman" w:cs="Times New Roman"/>
          <w:color w:val="000000" w:themeColor="text1"/>
          <w:sz w:val="24"/>
          <w:szCs w:val="24"/>
        </w:rPr>
        <w:t>ome compounds exhibit natural or enhanced UV absorption properties, allowing them to be visualized under UV light.</w:t>
      </w:r>
    </w:p>
    <w:p w14:paraId="7251AD2D" w14:textId="3D7ECD0B" w:rsidR="0078114B" w:rsidRPr="004F0A7F" w:rsidRDefault="00BB4C00" w:rsidP="00DC4244">
      <w:pPr>
        <w:pStyle w:val="Heading4"/>
        <w:numPr>
          <w:ilvl w:val="3"/>
          <w:numId w:val="8"/>
        </w:numPr>
        <w:rPr>
          <w:rFonts w:ascii="Times New Roman" w:hAnsi="Times New Roman" w:cs="Times New Roman"/>
          <w:b/>
          <w:bCs/>
          <w:i w:val="0"/>
          <w:iCs w:val="0"/>
          <w:color w:val="000000" w:themeColor="text1"/>
          <w:sz w:val="24"/>
          <w:szCs w:val="24"/>
        </w:rPr>
      </w:pPr>
      <w:r w:rsidRPr="004F0A7F">
        <w:rPr>
          <w:rFonts w:ascii="Times New Roman" w:hAnsi="Times New Roman" w:cs="Times New Roman"/>
          <w:b/>
          <w:bCs/>
          <w:i w:val="0"/>
          <w:iCs w:val="0"/>
          <w:color w:val="000000" w:themeColor="text1"/>
          <w:sz w:val="24"/>
          <w:szCs w:val="24"/>
        </w:rPr>
        <w:lastRenderedPageBreak/>
        <w:t>Staining Agents</w:t>
      </w:r>
    </w:p>
    <w:p w14:paraId="47B30C23" w14:textId="56672164" w:rsidR="00B50B8E" w:rsidRPr="004F0A7F" w:rsidRDefault="00BB4C00"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 xml:space="preserve">Staining agents, such as iodine vapor or specific chemical reagents, can be used to reveal the </w:t>
      </w:r>
      <w:r w:rsidRPr="004F0A7F">
        <w:rPr>
          <w:rFonts w:ascii="Times New Roman" w:hAnsi="Times New Roman" w:cs="Times New Roman"/>
          <w:color w:val="000000" w:themeColor="text1"/>
          <w:sz w:val="24"/>
          <w:szCs w:val="24"/>
        </w:rPr>
        <w:t>presence of compounds on the TLC plate by producing colored spots or bands</w:t>
      </w:r>
      <w:r w:rsidR="008F4B24">
        <w:rPr>
          <w:rFonts w:ascii="Times New Roman" w:hAnsi="Times New Roman" w:cs="Times New Roman"/>
          <w:color w:val="000000" w:themeColor="text1"/>
          <w:sz w:val="24"/>
          <w:szCs w:val="24"/>
        </w:rPr>
        <w:t xml:space="preserve"> </w:t>
      </w:r>
      <w:r w:rsidR="008F4B24">
        <w:rPr>
          <w:rFonts w:ascii="Times New Roman" w:hAnsi="Times New Roman" w:cs="Times New Roman"/>
          <w:color w:val="000000" w:themeColor="text1"/>
          <w:sz w:val="24"/>
          <w:szCs w:val="24"/>
        </w:rPr>
        <w:fldChar w:fldCharType="begin" w:fldLock="1"/>
      </w:r>
      <w:r w:rsidR="008F4B24">
        <w:rPr>
          <w:rFonts w:ascii="Times New Roman" w:hAnsi="Times New Roman" w:cs="Times New Roman"/>
          <w:color w:val="000000" w:themeColor="text1"/>
          <w:sz w:val="24"/>
          <w:szCs w:val="24"/>
        </w:rPr>
        <w:instrText>ADDIN CSL_CITATION {"citationItems":[{"id":"ITEM-1","itemData":{"DOI":"10.3791/51411","ISSN":"1940087X","abstract":"A common screen for plant antimicrobial compounds consists of separating plant extracts by paper or thin-layer chromatography (PC or TLC), exposing the chromatograms to microbial suspensions (e.g. fungi or bacteria in broth or agar), allowing time for the microbes to grow in a humid environment, and visualizing zones with no microbial growth. The effectiveness of this screening method, known as bioautography, depends on both the quality of the chromatographic separation and the care taken with microbial culture conditions. This paper describes standard protocols for TLC and contact bioautography with a novel application to amino acid-fermenting bacteria. The extract is separated on flexible (aluminum-backed) silica TLC plates, and bands are visualized under ultraviolet (UV) light. Zones are cut out and incubated face down onto agar inoculated with the test microorganism. Inhibitory bands are visualized by staining the agar plates with tetrazolium red. The method is applied to the separation of red clover (Trifolium pratense cv. Kenland) phenolic compounds and their screening for activity against Clostridium sticklandii, a hyper ammonia-producing bacterium (HAB) that is native to the bovine rumen. The TLC methods apply to many types of plant extracts and other bacterial species (aerobic or anaerobic), as well as fungi, can be used as test organisms if culture conditions are modified to fit the growth requirements of the species. © JoVE 2006-2014. All Rights Reserved.","author":[{"dropping-particle":"","family":"Kagan","given":"Isabelle A.","non-dropping-particle":"","parse-names":false,"suffix":""},{"dropping-particle":"","family":"Flythe","given":"Michael D.","non-dropping-particle":"","parse-names":false,"suffix":""}],"container-title":"Journal of Visualized Experiments","id":"ITEM-1","issued":{"date-parts":[["2014"]]},"title":"Thin-Layer Chromatographic (TLC) separations and bioassays of plant extracts to identify antimicrobial compounds","type":"article-journal"},"uris":["http://www.mendeley.com/documents/?uuid=4a5949d9-77a2-4aca-8864-8af9dfb1058d","http://www.mendeley.com/documents/?uuid=8f071991-b7bb-4260-9d6c-25b2569a24af"]}],"mendeley":{"formattedCitation":"[18]","plainTextFormattedCitation":"[18]","previouslyFormattedCitation":"[18]"},"properties":{"noteIndex":0},"schema":"https://github.com/citation-style-language/schema/raw/master/csl-citation.json"}</w:instrText>
      </w:r>
      <w:r w:rsidR="008F4B24">
        <w:rPr>
          <w:rFonts w:ascii="Times New Roman" w:hAnsi="Times New Roman" w:cs="Times New Roman"/>
          <w:color w:val="000000" w:themeColor="text1"/>
          <w:sz w:val="24"/>
          <w:szCs w:val="24"/>
        </w:rPr>
        <w:fldChar w:fldCharType="separate"/>
      </w:r>
      <w:r w:rsidR="008F4B24" w:rsidRPr="008F4B24">
        <w:rPr>
          <w:rFonts w:ascii="Times New Roman" w:hAnsi="Times New Roman" w:cs="Times New Roman"/>
          <w:noProof/>
          <w:color w:val="000000" w:themeColor="text1"/>
          <w:sz w:val="24"/>
          <w:szCs w:val="24"/>
        </w:rPr>
        <w:t>[18]</w:t>
      </w:r>
      <w:r w:rsidR="008F4B24">
        <w:rPr>
          <w:rFonts w:ascii="Times New Roman" w:hAnsi="Times New Roman" w:cs="Times New Roman"/>
          <w:color w:val="000000" w:themeColor="text1"/>
          <w:sz w:val="24"/>
          <w:szCs w:val="24"/>
        </w:rPr>
        <w:fldChar w:fldCharType="end"/>
      </w:r>
      <w:r w:rsidRPr="004F0A7F">
        <w:rPr>
          <w:rFonts w:ascii="Times New Roman" w:hAnsi="Times New Roman" w:cs="Times New Roman"/>
          <w:color w:val="000000" w:themeColor="text1"/>
          <w:sz w:val="24"/>
          <w:szCs w:val="24"/>
        </w:rPr>
        <w:t>.</w:t>
      </w:r>
    </w:p>
    <w:p w14:paraId="0214CAB3" w14:textId="049C7DCC" w:rsidR="0085503B" w:rsidRPr="004F0A7F" w:rsidRDefault="00BB4C00" w:rsidP="0078114B">
      <w:pPr>
        <w:pStyle w:val="ListParagraph"/>
        <w:numPr>
          <w:ilvl w:val="0"/>
          <w:numId w:val="10"/>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Iodine Vapor:</w:t>
      </w:r>
      <w:r w:rsidRPr="004F0A7F">
        <w:rPr>
          <w:rFonts w:ascii="Times New Roman" w:hAnsi="Times New Roman" w:cs="Times New Roman"/>
          <w:color w:val="000000" w:themeColor="text1"/>
          <w:sz w:val="24"/>
          <w:szCs w:val="24"/>
        </w:rPr>
        <w:t xml:space="preserve"> Iodine vapor is a widely used staining agent in TLC. It is produced by placing iodine crystals in a closed chamber or by using iodine crystals on filter paper placed inside a TLC chamber. When the TLC</w:t>
      </w:r>
      <w:r w:rsidRPr="004F0A7F">
        <w:rPr>
          <w:rFonts w:ascii="Times New Roman" w:hAnsi="Times New Roman" w:cs="Times New Roman"/>
          <w:color w:val="000000" w:themeColor="text1"/>
          <w:sz w:val="24"/>
          <w:szCs w:val="24"/>
        </w:rPr>
        <w:t xml:space="preserve"> plate is exposed to iodine vapor, compounds on the plate react with iodine, resulting in the formation of visible spots or bands. Different compounds show varying intensities of staining, allowing for their visualization and identification.</w:t>
      </w:r>
    </w:p>
    <w:p w14:paraId="08E86220" w14:textId="66C825A1" w:rsidR="0085503B" w:rsidRPr="004F0A7F" w:rsidRDefault="00BB4C00" w:rsidP="0078114B">
      <w:pPr>
        <w:pStyle w:val="ListParagraph"/>
        <w:numPr>
          <w:ilvl w:val="0"/>
          <w:numId w:val="10"/>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Anisaldehyde-Sulfuric Acid:</w:t>
      </w:r>
      <w:r w:rsidRPr="004F0A7F">
        <w:rPr>
          <w:rFonts w:ascii="Times New Roman" w:hAnsi="Times New Roman" w:cs="Times New Roman"/>
          <w:color w:val="000000" w:themeColor="text1"/>
          <w:sz w:val="24"/>
          <w:szCs w:val="24"/>
        </w:rPr>
        <w:t xml:space="preserve"> This staining agent involves a mixture of anisaldehyde (p-methoxybenzaldehyde) and concentrated sulfuric acid. After the separation of compounds on the TLC plate, the plate is sprayed with or dipped into the anisaldehyde-sulfuri</w:t>
      </w:r>
      <w:r w:rsidRPr="004F0A7F">
        <w:rPr>
          <w:rFonts w:ascii="Times New Roman" w:hAnsi="Times New Roman" w:cs="Times New Roman"/>
          <w:color w:val="000000" w:themeColor="text1"/>
          <w:sz w:val="24"/>
          <w:szCs w:val="24"/>
        </w:rPr>
        <w:t>c acid reagent. The presence of certain functional groups, such as aldehydes and phenols, results in the formation of colored spots or bands</w:t>
      </w:r>
      <w:r w:rsidR="008F4B24">
        <w:rPr>
          <w:rFonts w:ascii="Times New Roman" w:hAnsi="Times New Roman" w:cs="Times New Roman"/>
          <w:color w:val="000000" w:themeColor="text1"/>
          <w:sz w:val="24"/>
          <w:szCs w:val="24"/>
        </w:rPr>
        <w:t xml:space="preserve"> </w:t>
      </w:r>
      <w:r w:rsidR="008F4B24">
        <w:rPr>
          <w:rFonts w:ascii="Times New Roman" w:hAnsi="Times New Roman" w:cs="Times New Roman"/>
          <w:color w:val="000000" w:themeColor="text1"/>
          <w:sz w:val="24"/>
          <w:szCs w:val="24"/>
        </w:rPr>
        <w:fldChar w:fldCharType="begin" w:fldLock="1"/>
      </w:r>
      <w:r w:rsidR="008F4B24">
        <w:rPr>
          <w:rFonts w:ascii="Times New Roman" w:hAnsi="Times New Roman" w:cs="Times New Roman"/>
          <w:color w:val="000000" w:themeColor="text1"/>
          <w:sz w:val="24"/>
          <w:szCs w:val="24"/>
        </w:rPr>
        <w:instrText>ADDIN CSL_CITATION {"citationItems":[{"id":"ITEM-1","itemData":{"DOI":"10.1021/acsomega.0c02995","ISSN":"24701343","abstract":"BGR-34 is a polyherbal formulation frequently used to combat diabetes around the globe especially in Asian countries. It provides an attractive treatment option to prediabetics, diabetics, and in metabolic disorders by controlling the altered blood glucose level. The lack of phytopharmacological studies on BGR-34 prompted as to reveal the compounds responsible for the antidiabetic and free-radical scavenging activity of BGR-34. An attempt was made to assess in vitro α-amylase and α-glucosidase enzyme inhibition of BGR-34 along with its free-radical scavenging potential via DPPH scavenging activity. Further, HPTLC profiling and quantitative analysis of berberine and palmatine in BGR-34 were carried out. Thereafter, the TLC-bioautographic-MS analysis was performed to identify the compounds responsible for antidiabetic and antioxidant activities in BGR-34. The results had shown a significant and dose-dependent inhibition potential of BGR-34 against in vitro α-amylase and α-glucosidase enzymatic reactions along with significant inhibition in DPPH free-radical scavenging activity. The HPTLC profiling and quantitative validation studies showed the presence of berberine and palmatine 44.926 ± 0.2907 and 10.507 ± 0.154 μg/g, respectively. The TLC-MS bioautography revealed a total of four DPPH-active, two α-amylase-active, and nine α-glucosidaseactive compounds in BGR-34. It was observed from the study that BGR-34 possesses verities of bioactive compounds, which are reasonable not only for its antidiabetic effect but also for its antioxidant activity.","author":[{"dropping-particle":"","family":"Gaurav","given":"","non-dropping-particle":"","parse-names":false,"suffix":""},{"dropping-particle":"","family":"Zahiruddin","given":"Sultan","non-dropping-particle":"","parse-names":false,"suffix":""},{"dropping-particle":"","family":"Parveen","given":"Bushra","non-dropping-particle":"","parse-names":false,"suffix":""},{"dropping-particle":"","family":"Ibrahim","given":"Mohammad","non-dropping-particle":"","parse-names":false,"suffix":""},{"dropping-particle":"","family":"Sharma","given":"Ikshit","non-dropping-particle":"","parse-names":false,"suffix":""},{"dropping-particle":"","family":"Sharma","given":"Sanchit","non-dropping-particle":"","parse-names":false,"suffix":""},{"dropping-particle":"","family":"Sharma","given":"Anil Kumar","non-dropping-particle":"","parse-names":false,"suffix":""},{"dropping-particle":"","family":"Parveen","given":"Rabea","non-dropping-particle":"","parse-names":false,"suffix":""},{"dropping-particle":"","family":"Ahmad","given":"Sayeed","non-dropping-particle":"","parse-names":false,"suffix":""}],"container-title":"ACS Omega","id":"ITEM-1","issued":{"date-parts":[["2020"]]},"title":"TLC-MS bioautography-based identification of free-radical scavenging, α‑amylase, and α‑glucosidase inhibitor compounds of antidiabetic tablet BGR-34","type":"article-journal"},"uris":["http://www.mendeley.com/documents/?uuid=03233ac1-eb07-4505-a907-fd7d9989759c"]}],"mendeley":{"formattedCitation":"[15]","plainTextFormattedCitation":"[15]","previouslyFormattedCitation":"[15]"},"properties":{"noteIndex":0},"schema":"https://github.com/citation-style-language/schema/raw/master/csl-citation.json"}</w:instrText>
      </w:r>
      <w:r w:rsidR="008F4B24">
        <w:rPr>
          <w:rFonts w:ascii="Times New Roman" w:hAnsi="Times New Roman" w:cs="Times New Roman"/>
          <w:color w:val="000000" w:themeColor="text1"/>
          <w:sz w:val="24"/>
          <w:szCs w:val="24"/>
        </w:rPr>
        <w:fldChar w:fldCharType="separate"/>
      </w:r>
      <w:r w:rsidR="008F4B24" w:rsidRPr="008F4B24">
        <w:rPr>
          <w:rFonts w:ascii="Times New Roman" w:hAnsi="Times New Roman" w:cs="Times New Roman"/>
          <w:noProof/>
          <w:color w:val="000000" w:themeColor="text1"/>
          <w:sz w:val="24"/>
          <w:szCs w:val="24"/>
        </w:rPr>
        <w:t>[15]</w:t>
      </w:r>
      <w:r w:rsidR="008F4B24">
        <w:rPr>
          <w:rFonts w:ascii="Times New Roman" w:hAnsi="Times New Roman" w:cs="Times New Roman"/>
          <w:color w:val="000000" w:themeColor="text1"/>
          <w:sz w:val="24"/>
          <w:szCs w:val="24"/>
        </w:rPr>
        <w:fldChar w:fldCharType="end"/>
      </w:r>
      <w:r w:rsidRPr="004F0A7F">
        <w:rPr>
          <w:rFonts w:ascii="Times New Roman" w:hAnsi="Times New Roman" w:cs="Times New Roman"/>
          <w:color w:val="000000" w:themeColor="text1"/>
          <w:sz w:val="24"/>
          <w:szCs w:val="24"/>
        </w:rPr>
        <w:t>.</w:t>
      </w:r>
    </w:p>
    <w:p w14:paraId="37ACF9C1" w14:textId="3564C903" w:rsidR="0085503B" w:rsidRPr="004F0A7F" w:rsidRDefault="00BB4C00" w:rsidP="0078114B">
      <w:pPr>
        <w:pStyle w:val="ListParagraph"/>
        <w:numPr>
          <w:ilvl w:val="0"/>
          <w:numId w:val="10"/>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Ninhydrin:</w:t>
      </w:r>
      <w:r w:rsidRPr="004F0A7F">
        <w:rPr>
          <w:rFonts w:ascii="Times New Roman" w:hAnsi="Times New Roman" w:cs="Times New Roman"/>
          <w:color w:val="000000" w:themeColor="text1"/>
          <w:sz w:val="24"/>
          <w:szCs w:val="24"/>
        </w:rPr>
        <w:t xml:space="preserve"> Ninhydrin is a commonly used staining agent for dete</w:t>
      </w:r>
      <w:r w:rsidRPr="004F0A7F">
        <w:rPr>
          <w:rFonts w:ascii="Times New Roman" w:hAnsi="Times New Roman" w:cs="Times New Roman"/>
          <w:color w:val="000000" w:themeColor="text1"/>
          <w:sz w:val="24"/>
          <w:szCs w:val="24"/>
        </w:rPr>
        <w:t>cting amino acids and primary amines in TLC. The TLC plate is sprayed with a solution of ninhydrin, which reacts with amino compounds to produce purple or blue spots upon heating. This staining method is particularly useful for analyzing protein hydrolysat</w:t>
      </w:r>
      <w:r w:rsidRPr="004F0A7F">
        <w:rPr>
          <w:rFonts w:ascii="Times New Roman" w:hAnsi="Times New Roman" w:cs="Times New Roman"/>
          <w:color w:val="000000" w:themeColor="text1"/>
          <w:sz w:val="24"/>
          <w:szCs w:val="24"/>
        </w:rPr>
        <w:t>es or samples containing amino acids.</w:t>
      </w:r>
    </w:p>
    <w:p w14:paraId="5CB985E6" w14:textId="5D24DE55" w:rsidR="0085503B" w:rsidRPr="004F0A7F" w:rsidRDefault="00BB4C00" w:rsidP="0078114B">
      <w:pPr>
        <w:pStyle w:val="ListParagraph"/>
        <w:numPr>
          <w:ilvl w:val="0"/>
          <w:numId w:val="10"/>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Dragendorff's Reagent:</w:t>
      </w:r>
      <w:r w:rsidRPr="004F0A7F">
        <w:rPr>
          <w:rFonts w:ascii="Times New Roman" w:hAnsi="Times New Roman" w:cs="Times New Roman"/>
          <w:color w:val="000000" w:themeColor="text1"/>
          <w:sz w:val="24"/>
          <w:szCs w:val="24"/>
        </w:rPr>
        <w:t xml:space="preserve"> Dragendorff's reagent is a solution containing bismuth nitrate and potassium iodide. It is commonly used for alkaloid detection in TLC. The TLC plate is sprayed with Dragendorff's reagent, and al</w:t>
      </w:r>
      <w:r w:rsidRPr="004F0A7F">
        <w:rPr>
          <w:rFonts w:ascii="Times New Roman" w:hAnsi="Times New Roman" w:cs="Times New Roman"/>
          <w:color w:val="000000" w:themeColor="text1"/>
          <w:sz w:val="24"/>
          <w:szCs w:val="24"/>
        </w:rPr>
        <w:t>kaloids present in the sample form orange or brown spots upon reaction with the reagent</w:t>
      </w:r>
      <w:r w:rsidR="008F4B24">
        <w:rPr>
          <w:rFonts w:ascii="Times New Roman" w:hAnsi="Times New Roman" w:cs="Times New Roman"/>
          <w:color w:val="000000" w:themeColor="text1"/>
          <w:sz w:val="24"/>
          <w:szCs w:val="24"/>
        </w:rPr>
        <w:t xml:space="preserve"> </w:t>
      </w:r>
      <w:r w:rsidR="008F4B24">
        <w:rPr>
          <w:rFonts w:ascii="Times New Roman" w:hAnsi="Times New Roman" w:cs="Times New Roman"/>
          <w:color w:val="000000" w:themeColor="text1"/>
          <w:sz w:val="24"/>
          <w:szCs w:val="24"/>
        </w:rPr>
        <w:fldChar w:fldCharType="begin" w:fldLock="1"/>
      </w:r>
      <w:r w:rsidR="009E57EB">
        <w:rPr>
          <w:rFonts w:ascii="Times New Roman" w:hAnsi="Times New Roman" w:cs="Times New Roman"/>
          <w:color w:val="000000" w:themeColor="text1"/>
          <w:sz w:val="24"/>
          <w:szCs w:val="24"/>
        </w:rPr>
        <w:instrText>ADDIN CSL_CITATION {"citationItems":[{"id":"ITEM-1","itemData":{"DOI":"10.15373/22778160/apr2014/2","ISSN":"22778160","abstract":"The present study was performed for the development of physico-chemical parameters of Carica papaya Linn. Leaves (CP) belong to family Caricaceae. The study comprises physico-chemical and phytochemical evaluation to confirm the Secondary metabolites present in Carica papaya leaf. The TLC fingerprinting profile of different extracts developed which exhibited the presence of several secondary metabolites. The methods adopted here for the identification of Secondary Metabolites is simple, specific, accurate and rapid also. Extraction from the plant is an empirical exercise in which different solvents are utilized under a variety of conditions such as time and temperature during extraction. After extraction, the bioactive components were separated from the co extractives. Further steps for the isolation involved is the solvent partition of the co extractives of chromatographic methods in order to fractionate the compounds based on their acidity, polarity or molecular size and Qualitative Methods also. For purification, some structural analysis, may be accomplished by appropriate techniques such as recrystallisation, sublimation, distillation/extraction. Here, the distillation process was done. The main purpose for this study is to find out the role of phytochemicals, particularly secondary metabolites present in Carica papaya L. leaves in curing the disease Dengue/DHF directly or indirectly.","author":[{"dropping-particle":"","family":"Sharma","given":"Dinesh Kumar","non-dropping-particle":"","parse-names":false,"suffix":""},{"dropping-particle":"","family":"Prof. B. tiwari","given":"Prof. B. tiwari","non-dropping-particle":"","parse-names":false,"suffix":""}],"container-title":"Global Journal For Research Analysis","id":"ITEM-1","issued":{"date-parts":[["2012"]]},"title":"Identification of Secondary Metabolites Present in Carica Papaya L. Leaf Extract Found in Northern India by HPtLC &amp; Other test Procedures, its Significance and Role in Curing Dengue/DHF Disease","type":"article-journal"},"uris":["http://www.mendeley.com/documents/?uuid=2f69dadc-30f5-4542-95be-641cec267171","http://www.mendeley.com/documents/?uuid=7776de7f-9076-453c-a28c-898934d7dc60"]}],"mendeley":{"formattedCitation":"[19]","plainTextFormattedCitation":"[19]","previouslyFormattedCitation":"[19]"},"properties":{"noteIndex":0},"schema":"https://github.com/citation-style-language/schema/raw/master/csl-citation.json"}</w:instrText>
      </w:r>
      <w:r w:rsidR="008F4B24">
        <w:rPr>
          <w:rFonts w:ascii="Times New Roman" w:hAnsi="Times New Roman" w:cs="Times New Roman"/>
          <w:color w:val="000000" w:themeColor="text1"/>
          <w:sz w:val="24"/>
          <w:szCs w:val="24"/>
        </w:rPr>
        <w:fldChar w:fldCharType="separate"/>
      </w:r>
      <w:r w:rsidR="008F4B24" w:rsidRPr="008F4B24">
        <w:rPr>
          <w:rFonts w:ascii="Times New Roman" w:hAnsi="Times New Roman" w:cs="Times New Roman"/>
          <w:noProof/>
          <w:color w:val="000000" w:themeColor="text1"/>
          <w:sz w:val="24"/>
          <w:szCs w:val="24"/>
        </w:rPr>
        <w:t>[19]</w:t>
      </w:r>
      <w:r w:rsidR="008F4B24">
        <w:rPr>
          <w:rFonts w:ascii="Times New Roman" w:hAnsi="Times New Roman" w:cs="Times New Roman"/>
          <w:color w:val="000000" w:themeColor="text1"/>
          <w:sz w:val="24"/>
          <w:szCs w:val="24"/>
        </w:rPr>
        <w:fldChar w:fldCharType="end"/>
      </w:r>
      <w:r w:rsidRPr="004F0A7F">
        <w:rPr>
          <w:rFonts w:ascii="Times New Roman" w:hAnsi="Times New Roman" w:cs="Times New Roman"/>
          <w:color w:val="000000" w:themeColor="text1"/>
          <w:sz w:val="24"/>
          <w:szCs w:val="24"/>
        </w:rPr>
        <w:t>.</w:t>
      </w:r>
    </w:p>
    <w:p w14:paraId="7DA1E229" w14:textId="5452B953" w:rsidR="0085503B" w:rsidRPr="004F0A7F" w:rsidRDefault="00BB4C00" w:rsidP="0078114B">
      <w:pPr>
        <w:pStyle w:val="ListParagraph"/>
        <w:numPr>
          <w:ilvl w:val="0"/>
          <w:numId w:val="10"/>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Vanillin-Sulfuric Acid:</w:t>
      </w:r>
      <w:r w:rsidRPr="004F0A7F">
        <w:rPr>
          <w:rFonts w:ascii="Times New Roman" w:hAnsi="Times New Roman" w:cs="Times New Roman"/>
          <w:color w:val="000000" w:themeColor="text1"/>
          <w:sz w:val="24"/>
          <w:szCs w:val="24"/>
        </w:rPr>
        <w:t xml:space="preserve"> This staining agent involves the use of a mixture of vanillin and concentrated sulfuric acid. The TLC plate is sprayed with the vanillin-sulfur</w:t>
      </w:r>
      <w:r w:rsidRPr="004F0A7F">
        <w:rPr>
          <w:rFonts w:ascii="Times New Roman" w:hAnsi="Times New Roman" w:cs="Times New Roman"/>
          <w:color w:val="000000" w:themeColor="text1"/>
          <w:sz w:val="24"/>
          <w:szCs w:val="24"/>
        </w:rPr>
        <w:t>ic acid reagent, and compounds containing phenolic groups produce colored spots upon heating. This staining method is often used for the detection of phenolic compounds in plant extracts.</w:t>
      </w:r>
    </w:p>
    <w:p w14:paraId="12250132" w14:textId="5CD05A2A" w:rsidR="00B50B8E" w:rsidRPr="004F0A7F" w:rsidRDefault="00BB4C00" w:rsidP="0078114B">
      <w:pPr>
        <w:pStyle w:val="ListParagraph"/>
        <w:numPr>
          <w:ilvl w:val="0"/>
          <w:numId w:val="10"/>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Fluorescent Indicators:</w:t>
      </w:r>
      <w:r w:rsidRPr="004F0A7F">
        <w:rPr>
          <w:rFonts w:ascii="Times New Roman" w:hAnsi="Times New Roman" w:cs="Times New Roman"/>
          <w:color w:val="000000" w:themeColor="text1"/>
          <w:sz w:val="24"/>
          <w:szCs w:val="24"/>
        </w:rPr>
        <w:t xml:space="preserve"> Specific fluorescent indicators can be incor</w:t>
      </w:r>
      <w:r w:rsidRPr="004F0A7F">
        <w:rPr>
          <w:rFonts w:ascii="Times New Roman" w:hAnsi="Times New Roman" w:cs="Times New Roman"/>
          <w:color w:val="000000" w:themeColor="text1"/>
          <w:sz w:val="24"/>
          <w:szCs w:val="24"/>
        </w:rPr>
        <w:t>porated into the stationary phase, allowing for the visualization of compounds under UV light.</w:t>
      </w:r>
    </w:p>
    <w:p w14:paraId="44716E60" w14:textId="00D489F9" w:rsidR="00B50B8E" w:rsidRPr="004F0A7F" w:rsidRDefault="00BB4C00"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After separation, the Rf (retention factor) value of each separated compound is calculated by dividing the distance traveled by the compound by the distance trav</w:t>
      </w:r>
      <w:r w:rsidRPr="004F0A7F">
        <w:rPr>
          <w:rFonts w:ascii="Times New Roman" w:hAnsi="Times New Roman" w:cs="Times New Roman"/>
          <w:color w:val="000000" w:themeColor="text1"/>
          <w:sz w:val="24"/>
          <w:szCs w:val="24"/>
        </w:rPr>
        <w:t xml:space="preserve">eled by the solvent front. The </w:t>
      </w:r>
      <w:r w:rsidRPr="004F0A7F">
        <w:rPr>
          <w:rFonts w:ascii="Times New Roman" w:hAnsi="Times New Roman" w:cs="Times New Roman"/>
          <w:color w:val="000000" w:themeColor="text1"/>
          <w:sz w:val="24"/>
          <w:szCs w:val="24"/>
        </w:rPr>
        <w:lastRenderedPageBreak/>
        <w:t>Rf value serves as a characteristic parameter that helps in the identification and comparison of compounds</w:t>
      </w:r>
      <w:r w:rsidR="008F4B24">
        <w:rPr>
          <w:rFonts w:ascii="Times New Roman" w:hAnsi="Times New Roman" w:cs="Times New Roman"/>
          <w:color w:val="000000" w:themeColor="text1"/>
          <w:sz w:val="24"/>
          <w:szCs w:val="24"/>
        </w:rPr>
        <w:t xml:space="preserve"> </w:t>
      </w:r>
      <w:r w:rsidR="008F4B24">
        <w:rPr>
          <w:rFonts w:ascii="Times New Roman" w:hAnsi="Times New Roman" w:cs="Times New Roman"/>
          <w:color w:val="000000" w:themeColor="text1"/>
          <w:sz w:val="24"/>
          <w:szCs w:val="24"/>
        </w:rPr>
        <w:fldChar w:fldCharType="begin" w:fldLock="1"/>
      </w:r>
      <w:r w:rsidR="008F4B24">
        <w:rPr>
          <w:rFonts w:ascii="Times New Roman" w:hAnsi="Times New Roman" w:cs="Times New Roman"/>
          <w:color w:val="000000" w:themeColor="text1"/>
          <w:sz w:val="24"/>
          <w:szCs w:val="24"/>
        </w:rPr>
        <w:instrText>ADDIN CSL_CITATION {"citationItems":[{"id":"ITEM-1","itemData":{"DOI":"10.1016/j.jksus.2022.101839","ISSN":"10183647","abstract":"Sharbat-e-Bazoori Motadil (SBM) is a traditional Unani syrupy formulation, widely used for the management of kidney diseases. Due to lack of scientific evidence, the present work prospective is aimed to evaluate the protective effect of sugar-free SBM against cisplatin (CP)-induced nephrotoxicity using in vitro and in vivo followed by phytochemical studies. The sugar-free SBM formulation was chromatographically characterized for chemical analysis through HPTLC and evaluated for its metabolic contents. Thereafter, in vitro phytochemicals and free radical scavenging assays were performed to evaluate the total phenols and flavonoid content and antioxidant potential of sugar-free SBM. Human embryonic kidney-293 (HEK-293) cell was used to assess nephroprotective and antioxidant studies of sugar-free SBM. Further, in vivo nephroprotective studies were performed in female Wistar albino rats at different dose (32.1, 64.2, 128.4 mg/kg/day, p.o.) of SBM by assessment of biochemical markers, antioxidants status, inflammatory cytokines, and histopathological analysis. Qualitative and quantitative HPTLC analysis of SBM revealed eleven and eight metabolites at 254 and 366 nm, respectively, while the content of caffeic acid and trans ferulic acid was found as 5.63 ± 0.29 and 12.64 ± 0.71 µg/mg, respectively. In vitro free radical scavenging assays showed the significant antioxidant potential of sugar-free SBM. The in vitro assay for nephroprotective and cellular antioxidant analysis of SBM showed significant (p &lt; 0.001) nephroprotective and antioxidant potential. Additionally, in vivo studies of different doses of SBM showed significant (p &lt; 0.001) amelioration in kidney and liver biomarkers. Besides, it also manifests antioxidant, anti-inflammatory and anti-apoptosis activity confirmed by regulation of CAT, GPx, GSH, SOD, TNF-α, IL-1β, NO and caspase-3 levels. Additionally, normalization in histopathological changes of kidney tissue against cisplatin toxicity was also observed in SBM. The sugar-free SBM significantly ameliorated cisplatin induced nephrotoxicity by exerting normalcy in biochemical markers, antioxidant, and anti-inflammatory activity. These findings indicated an opportunity to develop a sugar-free formulation from SBM composition, as well as scientific validation of its traditional claim in the Unani system of medicine.","author":[{"dropping-particle":"","family":"Khan","given":"Mohammad Umar","non-dropping-particle":"","parse-names":false,"suffix":""},{"dropping-particle":"","family":"Gaurav","given":"","non-dropping-particle":"","parse-names":false,"suffix":""},{"dropping-particle":"","family":"Zahiruddin","given":"Sultan","non-dropping-particle":"","parse-names":false,"suffix":""},{"dropping-particle":"","family":"Basist","given":"Parakh","non-dropping-particle":"","parse-names":false,"suffix":""},{"dropping-particle":"","family":"Krishnan","given":"Anuja","non-dropping-particle":"","parse-names":false,"suffix":""},{"dropping-particle":"","family":"Parveen","given":"Rabea","non-dropping-particle":"","parse-names":false,"suffix":""},{"dropping-particle":"","family":"Ahmad","given":"Sayeed","non-dropping-particle":"","parse-names":false,"suffix":""}],"container-title":"Journal of King Saud University - Science","id":"ITEM-1","issue":"3","issued":{"date-parts":[["2022"]]},"page":"101839","publisher":"The Authors","title":"Nephroprotective potential of Sharbat-e-Bazoori Motadil (sugar-free) in HEK-293 cells and Wistar rats against cisplatin induced nephrotoxicity","type":"article-journal","volume":"34"},"uris":["http://www.mendeley.com/documents/?uuid=780c15a2-45d3-46e8-af1d-da461a7b9422"]}],"mendeley":{"formattedCitation":"[11]","plainTextFormattedCitation":"[11]","previouslyFormattedCitation":"[11]"},"properties":{"noteIndex":0},"schema":"https://github.com/citation-style-language/schema/raw/master/csl-citation.json"}</w:instrText>
      </w:r>
      <w:r w:rsidR="008F4B24">
        <w:rPr>
          <w:rFonts w:ascii="Times New Roman" w:hAnsi="Times New Roman" w:cs="Times New Roman"/>
          <w:color w:val="000000" w:themeColor="text1"/>
          <w:sz w:val="24"/>
          <w:szCs w:val="24"/>
        </w:rPr>
        <w:fldChar w:fldCharType="separate"/>
      </w:r>
      <w:r w:rsidR="008F4B24" w:rsidRPr="008F4B24">
        <w:rPr>
          <w:rFonts w:ascii="Times New Roman" w:hAnsi="Times New Roman" w:cs="Times New Roman"/>
          <w:noProof/>
          <w:color w:val="000000" w:themeColor="text1"/>
          <w:sz w:val="24"/>
          <w:szCs w:val="24"/>
        </w:rPr>
        <w:t>[11]</w:t>
      </w:r>
      <w:r w:rsidR="008F4B24">
        <w:rPr>
          <w:rFonts w:ascii="Times New Roman" w:hAnsi="Times New Roman" w:cs="Times New Roman"/>
          <w:color w:val="000000" w:themeColor="text1"/>
          <w:sz w:val="24"/>
          <w:szCs w:val="24"/>
        </w:rPr>
        <w:fldChar w:fldCharType="end"/>
      </w:r>
      <w:r w:rsidRPr="004F0A7F">
        <w:rPr>
          <w:rFonts w:ascii="Times New Roman" w:hAnsi="Times New Roman" w:cs="Times New Roman"/>
          <w:color w:val="000000" w:themeColor="text1"/>
          <w:sz w:val="24"/>
          <w:szCs w:val="24"/>
        </w:rPr>
        <w:t>.</w:t>
      </w:r>
    </w:p>
    <w:p w14:paraId="3ED7EB04" w14:textId="13AE1A81" w:rsidR="00B50B8E" w:rsidRPr="004F0A7F" w:rsidRDefault="00BB4C00"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TLC offers several advantages in the analysis of medicinal plants. It is relatively quick, requires minimal sample preparation, and allows for the simultaneous analysis of multiple sam</w:t>
      </w:r>
      <w:r w:rsidRPr="004F0A7F">
        <w:rPr>
          <w:rFonts w:ascii="Times New Roman" w:hAnsi="Times New Roman" w:cs="Times New Roman"/>
          <w:color w:val="000000" w:themeColor="text1"/>
          <w:sz w:val="24"/>
          <w:szCs w:val="24"/>
        </w:rPr>
        <w:t>ples. TLC is also useful for monitoring the progress of reactions, assessing the purity of isolated compounds, and detecting the presence of impurities or adulterants. However, it should be noted that TLC is a qualitative technique and may not provide accu</w:t>
      </w:r>
      <w:r w:rsidRPr="004F0A7F">
        <w:rPr>
          <w:rFonts w:ascii="Times New Roman" w:hAnsi="Times New Roman" w:cs="Times New Roman"/>
          <w:color w:val="000000" w:themeColor="text1"/>
          <w:sz w:val="24"/>
          <w:szCs w:val="24"/>
        </w:rPr>
        <w:t>rate quantitative information</w:t>
      </w:r>
      <w:r w:rsidR="008F4B24">
        <w:rPr>
          <w:rFonts w:ascii="Times New Roman" w:hAnsi="Times New Roman" w:cs="Times New Roman"/>
          <w:color w:val="000000" w:themeColor="text1"/>
          <w:sz w:val="24"/>
          <w:szCs w:val="24"/>
        </w:rPr>
        <w:t xml:space="preserve"> </w:t>
      </w:r>
      <w:r w:rsidR="008F4B24">
        <w:rPr>
          <w:rFonts w:ascii="Times New Roman" w:hAnsi="Times New Roman" w:cs="Times New Roman"/>
          <w:color w:val="000000" w:themeColor="text1"/>
          <w:sz w:val="24"/>
          <w:szCs w:val="24"/>
        </w:rPr>
        <w:fldChar w:fldCharType="begin" w:fldLock="1"/>
      </w:r>
      <w:r w:rsidR="008F4B24">
        <w:rPr>
          <w:rFonts w:ascii="Times New Roman" w:hAnsi="Times New Roman" w:cs="Times New Roman"/>
          <w:color w:val="000000" w:themeColor="text1"/>
          <w:sz w:val="24"/>
          <w:szCs w:val="24"/>
        </w:rPr>
        <w:instrText>ADDIN CSL_CITATION {"citationItems":[{"id":"ITEM-1","itemData":{"DOI":"10.1021/acsomega.0c02995","ISSN":"24701343","abstract":"BGR-34 is a polyherbal formulation frequently used to combat diabetes around the globe especially in Asian countries. It provides an attractive treatment option to prediabetics, diabetics, and in metabolic disorders by controlling the altered blood glucose level. The lack of phytopharmacological studies on BGR-34 prompted as to reveal the compounds responsible for the antidiabetic and free-radical scavenging activity of BGR-34. An attempt was made to assess in vitro α-amylase and α-glucosidase enzyme inhibition of BGR-34 along with its free-radical scavenging potential via DPPH scavenging activity. Further, HPTLC profiling and quantitative analysis of berberine and palmatine in BGR-34 were carried out. Thereafter, the TLC-bioautographic-MS analysis was performed to identify the compounds responsible for antidiabetic and antioxidant activities in BGR-34. The results had shown a significant and dose-dependent inhibition potential of BGR-34 against in vitro α-amylase and α-glucosidase enzymatic reactions along with significant inhibition in DPPH free-radical scavenging activity. The HPTLC profiling and quantitative validation studies showed the presence of berberine and palmatine 44.926 ± 0.2907 and 10.507 ± 0.154 μg/g, respectively. The TLC-MS bioautography revealed a total of four DPPH-active, two α-amylase-active, and nine α-glucosidaseactive compounds in BGR-34. It was observed from the study that BGR-34 possesses verities of bioactive compounds, which are reasonable not only for its antidiabetic effect but also for its antioxidant activity.","author":[{"dropping-particle":"","family":"Gaurav","given":"","non-dropping-particle":"","parse-names":false,"suffix":""},{"dropping-particle":"","family":"Zahiruddin","given":"Sultan","non-dropping-particle":"","parse-names":false,"suffix":""},{"dropping-particle":"","family":"Parveen","given":"Bushra","non-dropping-particle":"","parse-names":false,"suffix":""},{"dropping-particle":"","family":"Ibrahim","given":"Mohammad","non-dropping-particle":"","parse-names":false,"suffix":""},{"dropping-particle":"","family":"Sharma","given":"Ikshit","non-dropping-particle":"","parse-names":false,"suffix":""},{"dropping-particle":"","family":"Sharma","given":"Sanchit","non-dropping-particle":"","parse-names":false,"suffix":""},{"dropping-particle":"","family":"Sharma","given":"Anil Kumar","non-dropping-particle":"","parse-names":false,"suffix":""},{"dropping-particle":"","family":"Parveen","given":"Rabea","non-dropping-particle":"","parse-names":false,"suffix":""},{"dropping-particle":"","family":"Ahmad","given":"Sayeed","non-dropping-particle":"","parse-names":false,"suffix":""}],"container-title":"ACS Omega","id":"ITEM-1","issued":{"date-parts":[["2020"]]},"title":"TLC-MS bioautography-based identification of free-radical scavenging, α‑amylase, and α‑glucosidase inhibitor compounds of antidiabetic tablet BGR-34","type":"article-journal"},"uris":["http://www.mendeley.com/documents/?uuid=03233ac1-eb07-4505-a907-fd7d9989759c"]}],"mendeley":{"formattedCitation":"[15]","plainTextFormattedCitation":"[15]","previouslyFormattedCitation":"[15]"},"properties":{"noteIndex":0},"schema":"https://github.com/citation-style-language/schema/raw/master/csl-citation.json"}</w:instrText>
      </w:r>
      <w:r w:rsidR="008F4B24">
        <w:rPr>
          <w:rFonts w:ascii="Times New Roman" w:hAnsi="Times New Roman" w:cs="Times New Roman"/>
          <w:color w:val="000000" w:themeColor="text1"/>
          <w:sz w:val="24"/>
          <w:szCs w:val="24"/>
        </w:rPr>
        <w:fldChar w:fldCharType="separate"/>
      </w:r>
      <w:r w:rsidR="008F4B24" w:rsidRPr="008F4B24">
        <w:rPr>
          <w:rFonts w:ascii="Times New Roman" w:hAnsi="Times New Roman" w:cs="Times New Roman"/>
          <w:noProof/>
          <w:color w:val="000000" w:themeColor="text1"/>
          <w:sz w:val="24"/>
          <w:szCs w:val="24"/>
        </w:rPr>
        <w:t>[15]</w:t>
      </w:r>
      <w:r w:rsidR="008F4B24">
        <w:rPr>
          <w:rFonts w:ascii="Times New Roman" w:hAnsi="Times New Roman" w:cs="Times New Roman"/>
          <w:color w:val="000000" w:themeColor="text1"/>
          <w:sz w:val="24"/>
          <w:szCs w:val="24"/>
        </w:rPr>
        <w:fldChar w:fldCharType="end"/>
      </w:r>
      <w:r w:rsidRPr="004F0A7F">
        <w:rPr>
          <w:rFonts w:ascii="Times New Roman" w:hAnsi="Times New Roman" w:cs="Times New Roman"/>
          <w:color w:val="000000" w:themeColor="text1"/>
          <w:sz w:val="24"/>
          <w:szCs w:val="24"/>
        </w:rPr>
        <w:t>.</w:t>
      </w:r>
    </w:p>
    <w:p w14:paraId="40482C95" w14:textId="57A9DE6C" w:rsidR="00F31DA8" w:rsidRPr="004F0A7F" w:rsidRDefault="00BB4C00" w:rsidP="00B469E9">
      <w:pPr>
        <w:pStyle w:val="Heading3"/>
        <w:numPr>
          <w:ilvl w:val="2"/>
          <w:numId w:val="8"/>
        </w:numPr>
        <w:rPr>
          <w:rFonts w:ascii="Times New Roman" w:hAnsi="Times New Roman" w:cs="Times New Roman"/>
          <w:color w:val="000000" w:themeColor="text1"/>
        </w:rPr>
      </w:pPr>
      <w:r w:rsidRPr="004F0A7F">
        <w:rPr>
          <w:rFonts w:ascii="Times New Roman" w:hAnsi="Times New Roman" w:cs="Times New Roman"/>
          <w:color w:val="000000" w:themeColor="text1"/>
        </w:rPr>
        <w:t>High-Performance Liquid Chromatography (HPLC)</w:t>
      </w:r>
    </w:p>
    <w:p w14:paraId="6D116F5D" w14:textId="2358B9FA" w:rsidR="00F31DA8" w:rsidRPr="004F0A7F" w:rsidRDefault="00BB4C00" w:rsidP="00F31DA8">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 xml:space="preserve">HPLC is a more advanced technique that allows for the quantitative analysis of specific compounds in medicinal plants. It </w:t>
      </w:r>
      <w:r w:rsidRPr="004F0A7F">
        <w:rPr>
          <w:rFonts w:ascii="Times New Roman" w:hAnsi="Times New Roman" w:cs="Times New Roman"/>
          <w:color w:val="000000" w:themeColor="text1"/>
          <w:sz w:val="24"/>
          <w:szCs w:val="24"/>
        </w:rPr>
        <w:t>enables the identification and quantification of active constituents, such as alkaloids, flavonoids, phenolic compounds, and other bioactive compounds.</w:t>
      </w:r>
      <w:r w:rsidR="008F4B24">
        <w:rPr>
          <w:rFonts w:ascii="Times New Roman" w:hAnsi="Times New Roman" w:cs="Times New Roman"/>
          <w:color w:val="000000" w:themeColor="text1"/>
          <w:sz w:val="24"/>
          <w:szCs w:val="24"/>
        </w:rPr>
        <w:t xml:space="preserve"> </w:t>
      </w:r>
      <w:r w:rsidRPr="004F0A7F">
        <w:rPr>
          <w:rFonts w:ascii="Times New Roman" w:hAnsi="Times New Roman" w:cs="Times New Roman"/>
          <w:color w:val="000000" w:themeColor="text1"/>
          <w:sz w:val="24"/>
          <w:szCs w:val="24"/>
        </w:rPr>
        <w:t>HPLC is used to separate, identify, and quantify components in a mixture. It is widely employed in vario</w:t>
      </w:r>
      <w:r w:rsidRPr="004F0A7F">
        <w:rPr>
          <w:rFonts w:ascii="Times New Roman" w:hAnsi="Times New Roman" w:cs="Times New Roman"/>
          <w:color w:val="000000" w:themeColor="text1"/>
          <w:sz w:val="24"/>
          <w:szCs w:val="24"/>
        </w:rPr>
        <w:t>us fields, including pharmaceutical analysis, environmental analysis, food analysis, and forensic science. HPLC offers high resolution, sensitivity, and versatility, making it a preferred choice for complex sample analysis.</w:t>
      </w:r>
      <w:r w:rsidR="008F4B24">
        <w:rPr>
          <w:rFonts w:ascii="Times New Roman" w:hAnsi="Times New Roman" w:cs="Times New Roman"/>
          <w:color w:val="000000" w:themeColor="text1"/>
          <w:sz w:val="24"/>
          <w:szCs w:val="24"/>
        </w:rPr>
        <w:t xml:space="preserve"> </w:t>
      </w:r>
      <w:r w:rsidRPr="004F0A7F">
        <w:rPr>
          <w:rFonts w:ascii="Times New Roman" w:hAnsi="Times New Roman" w:cs="Times New Roman"/>
          <w:color w:val="000000" w:themeColor="text1"/>
          <w:sz w:val="24"/>
          <w:szCs w:val="24"/>
        </w:rPr>
        <w:t>In HPLC, a liquid mobile phase i</w:t>
      </w:r>
      <w:r w:rsidRPr="004F0A7F">
        <w:rPr>
          <w:rFonts w:ascii="Times New Roman" w:hAnsi="Times New Roman" w:cs="Times New Roman"/>
          <w:color w:val="000000" w:themeColor="text1"/>
          <w:sz w:val="24"/>
          <w:szCs w:val="24"/>
        </w:rPr>
        <w:t>s passed through a column packed with a stationary phase, which consists of porous particles with specific chemical and physical properties. The sample mixture is injected into the HPLC system, and different components in the mixture interact differently w</w:t>
      </w:r>
      <w:r w:rsidRPr="004F0A7F">
        <w:rPr>
          <w:rFonts w:ascii="Times New Roman" w:hAnsi="Times New Roman" w:cs="Times New Roman"/>
          <w:color w:val="000000" w:themeColor="text1"/>
          <w:sz w:val="24"/>
          <w:szCs w:val="24"/>
        </w:rPr>
        <w:t>ith the stationary phase based on their physicochemical characteristics such as size, polarity, and charge</w:t>
      </w:r>
      <w:r w:rsidR="008F4B24">
        <w:rPr>
          <w:rFonts w:ascii="Times New Roman" w:hAnsi="Times New Roman" w:cs="Times New Roman"/>
          <w:color w:val="000000" w:themeColor="text1"/>
          <w:sz w:val="24"/>
          <w:szCs w:val="24"/>
        </w:rPr>
        <w:t xml:space="preserve"> </w:t>
      </w:r>
      <w:r w:rsidR="008F4B24">
        <w:rPr>
          <w:rFonts w:ascii="Times New Roman" w:hAnsi="Times New Roman" w:cs="Times New Roman"/>
          <w:color w:val="000000" w:themeColor="text1"/>
          <w:sz w:val="24"/>
          <w:szCs w:val="24"/>
        </w:rPr>
        <w:fldChar w:fldCharType="begin" w:fldLock="1"/>
      </w:r>
      <w:r w:rsidR="008F4B24">
        <w:rPr>
          <w:rFonts w:ascii="Times New Roman" w:hAnsi="Times New Roman" w:cs="Times New Roman"/>
          <w:color w:val="000000" w:themeColor="text1"/>
          <w:sz w:val="24"/>
          <w:szCs w:val="24"/>
        </w:rPr>
        <w:instrText>ADDIN CSL_CITATION {"citationItems":[{"id":"ITEM-1","itemData":{"DOI":"10.1016/j.jep.2016.07.072","ISSN":"18727573","abstract":"Ethno-pharmacological relevance Picrosides I, II and apocynin are the main active principles present in the roots and rhizomes of Picrorhiza kurroa Royle ex. Benth (Kutki). Ethno-medicinally, the plant is used for the treatment of liver, upper respiratory tract disorders and dyspepsia, since long in Ayurveda. Aim of the study This study attempts to determine the pharmacokinetic profile of picrosides I, II and apocynin in rats after oral administration of iridoid enriched fraction (IRF) and to recognize the pattern of its metabolites as such in IRF and in plasma. Materials and methods A simple, precise, specific and sensitive RP-HPLC method was developed for simultaneous quantification of picrosides I, II and apocynin in rat plasma and in plant extract. Acetonitrile (ACN) and water was used as a solvent system with a gradient elution for pharmacokinetic studies using HPLC-PDA (Flow rate: 1.0 mL/min) and metabolic profiling through UPLC-MS (Flow rate: 0.5 mL/min) in selected reaction monitoring. A comparative study was performed in order to recognize the pattern and fate of metabolites in rat plasma up to 24 h after single oral administration of IRF. Results Developed method produced more than 85% recovery of the targeted metabolites in rat plasma. The content of picrosides I, II and apocynin in IRF were found 5.7%, 18.3% and 27.3% w/w, respectively. The mean plasma concentration versus time profiles of picroside I, II and apocynin resulted in peak plasma concentration (Cmax) 244.9, 104.6 and 504.2 ng/mL with half-life (t1/2) 14, 8 and 6 h, respectively. Other pharmacokinetic parameters such as time to reach Cmax (tmax), area under curve (AUC), absorption (ka) and elimination (ke) constant, volume of distribution (Vd) were also determined. Pattern recognition analysis showed fate of 18 metabolites in rat plasma up to 24 h out of 26 present in IRF. Conclusion The information gained from this study postulates the basic pharmacokinetic profiling of picroside I, II and apocynin as well as fate of other metabolites after oral administration of IRF, demonstrating scientific basis of its traditional use in Ayurveda.","author":[{"dropping-particle":"","family":"Zahiruddin","given":"Sultan","non-dropping-particle":"","parse-names":false,"suffix":""},{"dropping-particle":"","family":"Khan","given":"Washim","non-dropping-particle":"","parse-names":false,"suffix":""},{"dropping-particle":"","family":"Nehra","given":"Rinki","non-dropping-particle":"","parse-names":false,"suffix":""},{"dropping-particle":"","family":"Alam","given":"Md Javed","non-dropping-particle":"","parse-names":false,"suffix":""},{"dropping-particle":"","family":"Mallick","given":"Md Nasar","non-dropping-particle":"","parse-names":false,"suffix":""},{"dropping-particle":"","family":"Parveen","given":"Rabea","non-dropping-particle":"","parse-names":false,"suffix":""},{"dropping-particle":"","family":"Ahmad","given":"Sayeed","non-dropping-particle":"","parse-names":false,"suffix":""}],"container-title":"Journal of Ethnopharmacology","id":"ITEM-1","issued":{"date-parts":[["2017"]]},"title":"Pharmacokinetics and comparative metabolic profiling of iridoid enriched fraction of Picrorhiza kurroa – An Ayurvedic Herb","type":"article-journal"},"uris":["http://www.mendeley.com/documents/?uuid=c6fde00b-2b76-4bc3-af0d-08bb1c81050b"]},{"id":"ITEM-2","itemData":{"DOI":"10.3389/fphar.2017.00577","ISSN":"16639812","abstract":"Moringa oleifera Lam. (family; Moringaceae), commonly known as drumstick, have been used for centuries as a part of the Ayurvedic system for several diseases without having any scientific data. Demineralized water was used to prepare aqueous extract by maceration for 24 h and complete metabolic profiling was performed using GC-MS and HPLC. Hypoglycemic properties of extract have been tested on carbohydrate digesting enzyme activity, yeast cell uptake, muscle glucose uptake, and intestinal glucose absorption. Type 2 diabetes was induced by feeding high-fat diet (HFD) for 8 weeks and a single injection of streptozotocin (STZ, 45 mg/kg body weight, intraperitoneally) was used for the induction of type 1 diabetes. Aqueous extract of M. oleifera leaf was given orally at a dose of 100 mg/kg to STZ-induced rats and 200 mg/kg in HFD mice for 3 weeks after diabetes induction. Aqueous extract remarkably inhibited the activity of a-amylase and a-glucosidase and it displayed improved antioxidant capacity, glucose tolerance and rate of glucose uptake in yeast cell. In STZ-induced diabetic rats, it produces a maximum fall up to 47.86% in acute effect whereas, in chronic effect, it was 44.5% as compared to control. The fasting blood glucose, lipid profile, liver marker enzyme level were significantly (p &lt; 0.05) restored in both HFD and STZ experimental model. Multivariate principal component analysis on polar and lipophilic metabolites revealed clear distinctions in the metabolite pattern in extract and in blood after its oral administration. Thus, the aqueous extract can be used as phytopharmaceuticals for the management of diabetes by using as adjuvants or alone.","author":[{"dropping-particle":"","family":"Khan","given":"Washim","non-dropping-particle":"","parse-names":false,"suffix":""},{"dropping-particle":"","family":"Parveen","given":"Rabea","non-dropping-particle":"","parse-names":false,"suffix":""},{"dropping-particle":"","family":"Chester","given":"Karishma","non-dropping-particle":"","parse-names":false,"suffix":""},{"dropping-particle":"","family":"Parveen","given":"Shabana","non-dropping-particle":"","parse-names":false,"suffix":""},{"dropping-particle":"","family":"Ahmad","given":"Sayeed","non-dropping-particle":"","parse-names":false,"suffix":""}],"container-title":"Frontiers in Pharmacology","id":"ITEM-2","issued":{"date-parts":[["2017"]]},"title":"Hypoglycemic potential of aqueous extract of Moringa oleifera leaf and in vivo GC-MS metabolomics","type":"article-journal"},"uris":["http://www.mendeley.com/documents/?uuid=c4b4b759-e7d9-4eb3-8441-4b5f9ffb8624"]},{"id":"ITEM-3","itemData":{"DOI":"10.1016/j.foodchem.2011.11.005","ISSN":"18737072","PMID":"26434305","abstract":"Foeniculum vulgare fruits are routinely consumed for their carminative and mouth freshening effect. The plant was evaluated for aldose reductase inhibition and anti-diabetic action. Bioguided fractionation using silica gel column chromatography, HPLC, and GC-MS analysis revealed trans-anethole as the bioactive constituent possessing potent aldose reductase inhibitory action, with an IC50 value of 3.8 μg/ml. Prolonged treatment with the pet ether fraction of the F. vulgare distillate demonstrated improvement in blood glucose, lipid profile, glycated haemoglobin and other parameters in streptozotocin-induced diabetic rats. Trans-anethole could effectively show anti-cataract activity through the increase in soluble lens protein, reduced glutathione, catalase and SOD activity on in vitro incubation of the eye lens with 55 mM glucose. Trans-anethole demonstrated noncompetitive to mixed type of inhibition of lens aldose reductase using Lineweaver Burk plot. © 2011 Elsevier Ltd. All rights reserved.","author":[{"dropping-particle":"","family":"Dongare","given":"Vandana","non-dropping-particle":"","parse-names":false,"suffix":""},{"dropping-particle":"","family":"Kulkarni","given":"Chaitanya","non-dropping-particle":"","parse-names":false,"suffix":""},{"dropping-particle":"","family":"Kondawar","given":"Manish","non-dropping-particle":"","parse-names":false,"suffix":""},{"dropping-particle":"","family":"Magdum","given":"Chandrakant","non-dropping-particle":"","parse-names":false,"suffix":""},{"dropping-particle":"","family":"Haldavnekar","given":"Vivek","non-dropping-particle":"","parse-names":false,"suffix":""},{"dropping-particle":"","family":"Arvindekar","given":"Akalpita","non-dropping-particle":"","parse-names":false,"suffix":""}],"container-title":"Food Chemistry","id":"ITEM-3","issued":{"date-parts":[["2012"]]},"title":"Inhibition of aldose reductase and anti-cataract action of trans-anethole isolated from Foeniculum vulgare Mill. fruits","type":"article-journal"},"uris":["http://www.mendeley.com/documents/?uuid=a07fded3-97ed-41a3-ac29-5bdf9d5239f6"]}],"mendeley":{"formattedCitation":"[20–22]","plainTextFormattedCitation":"[20–22]","previouslyFormattedCitation":"[20–22]"},"properties":{"noteIndex":0},"schema":"https://github.com/citation-style-language/schema/raw/master/csl-citation.json"}</w:instrText>
      </w:r>
      <w:r w:rsidR="008F4B24">
        <w:rPr>
          <w:rFonts w:ascii="Times New Roman" w:hAnsi="Times New Roman" w:cs="Times New Roman"/>
          <w:color w:val="000000" w:themeColor="text1"/>
          <w:sz w:val="24"/>
          <w:szCs w:val="24"/>
        </w:rPr>
        <w:fldChar w:fldCharType="separate"/>
      </w:r>
      <w:r w:rsidR="008F4B24" w:rsidRPr="008F4B24">
        <w:rPr>
          <w:rFonts w:ascii="Times New Roman" w:hAnsi="Times New Roman" w:cs="Times New Roman"/>
          <w:noProof/>
          <w:color w:val="000000" w:themeColor="text1"/>
          <w:sz w:val="24"/>
          <w:szCs w:val="24"/>
        </w:rPr>
        <w:t>[20–22]</w:t>
      </w:r>
      <w:r w:rsidR="008F4B24">
        <w:rPr>
          <w:rFonts w:ascii="Times New Roman" w:hAnsi="Times New Roman" w:cs="Times New Roman"/>
          <w:color w:val="000000" w:themeColor="text1"/>
          <w:sz w:val="24"/>
          <w:szCs w:val="24"/>
        </w:rPr>
        <w:fldChar w:fldCharType="end"/>
      </w:r>
      <w:r w:rsidRPr="004F0A7F">
        <w:rPr>
          <w:rFonts w:ascii="Times New Roman" w:hAnsi="Times New Roman" w:cs="Times New Roman"/>
          <w:color w:val="000000" w:themeColor="text1"/>
          <w:sz w:val="24"/>
          <w:szCs w:val="24"/>
        </w:rPr>
        <w:t>.</w:t>
      </w:r>
    </w:p>
    <w:p w14:paraId="45411F48" w14:textId="2AC6B538" w:rsidR="00F31DA8" w:rsidRPr="004F0A7F" w:rsidRDefault="00BB4C00" w:rsidP="00F31DA8">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There are different modes of HPLC, including:</w:t>
      </w:r>
    </w:p>
    <w:p w14:paraId="0A41B356" w14:textId="77D361DC" w:rsidR="00F31DA8" w:rsidRPr="004F0A7F" w:rsidRDefault="00BB4C00" w:rsidP="00F31DA8">
      <w:pPr>
        <w:pStyle w:val="ListParagraph"/>
        <w:numPr>
          <w:ilvl w:val="0"/>
          <w:numId w:val="11"/>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Reverse-Phase Chromatography:</w:t>
      </w:r>
      <w:r w:rsidRPr="004F0A7F">
        <w:rPr>
          <w:rFonts w:ascii="Times New Roman" w:hAnsi="Times New Roman" w:cs="Times New Roman"/>
          <w:color w:val="000000" w:themeColor="text1"/>
          <w:sz w:val="24"/>
          <w:szCs w:val="24"/>
        </w:rPr>
        <w:t xml:space="preserve"> The stationary phase is nonpolar, and the mobile phase is a polar solvent. Nonpolar compounds in the sample have stronger interactions with the stationary phase</w:t>
      </w:r>
      <w:r w:rsidRPr="004F0A7F">
        <w:rPr>
          <w:rFonts w:ascii="Times New Roman" w:hAnsi="Times New Roman" w:cs="Times New Roman"/>
          <w:color w:val="000000" w:themeColor="text1"/>
          <w:sz w:val="24"/>
          <w:szCs w:val="24"/>
        </w:rPr>
        <w:t xml:space="preserve"> and elute later, while polar compounds elute earlier.</w:t>
      </w:r>
    </w:p>
    <w:p w14:paraId="5E710B1D" w14:textId="5910E0DB" w:rsidR="00F31DA8" w:rsidRPr="004F0A7F" w:rsidRDefault="00BB4C00" w:rsidP="00F31DA8">
      <w:pPr>
        <w:pStyle w:val="ListParagraph"/>
        <w:numPr>
          <w:ilvl w:val="0"/>
          <w:numId w:val="11"/>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Normal-Phase Chromatography:</w:t>
      </w:r>
      <w:r w:rsidRPr="004F0A7F">
        <w:rPr>
          <w:rFonts w:ascii="Times New Roman" w:hAnsi="Times New Roman" w:cs="Times New Roman"/>
          <w:color w:val="000000" w:themeColor="text1"/>
          <w:sz w:val="24"/>
          <w:szCs w:val="24"/>
        </w:rPr>
        <w:t xml:space="preserve"> The stationary phase is polar, and the mobile phase is a nonpolar solvent. Polar compounds in the sample have stronger interactions with the stationary phase and elute late</w:t>
      </w:r>
      <w:r w:rsidRPr="004F0A7F">
        <w:rPr>
          <w:rFonts w:ascii="Times New Roman" w:hAnsi="Times New Roman" w:cs="Times New Roman"/>
          <w:color w:val="000000" w:themeColor="text1"/>
          <w:sz w:val="24"/>
          <w:szCs w:val="24"/>
        </w:rPr>
        <w:t>r, while nonpolar compounds elute earlier.</w:t>
      </w:r>
    </w:p>
    <w:p w14:paraId="51086621" w14:textId="778F101D" w:rsidR="00F31DA8" w:rsidRPr="004F0A7F" w:rsidRDefault="00BB4C00" w:rsidP="00F31DA8">
      <w:pPr>
        <w:pStyle w:val="ListParagraph"/>
        <w:numPr>
          <w:ilvl w:val="0"/>
          <w:numId w:val="11"/>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Ion-Exchange Chromatography:</w:t>
      </w:r>
      <w:r w:rsidRPr="004F0A7F">
        <w:rPr>
          <w:rFonts w:ascii="Times New Roman" w:hAnsi="Times New Roman" w:cs="Times New Roman"/>
          <w:color w:val="000000" w:themeColor="text1"/>
          <w:sz w:val="24"/>
          <w:szCs w:val="24"/>
        </w:rPr>
        <w:t xml:space="preserve"> The stationary phase contains charged functional groups that interact with charged analytes in the sample. Analytes with opposite charges are retained, while those with similar charges</w:t>
      </w:r>
      <w:r w:rsidRPr="004F0A7F">
        <w:rPr>
          <w:rFonts w:ascii="Times New Roman" w:hAnsi="Times New Roman" w:cs="Times New Roman"/>
          <w:color w:val="000000" w:themeColor="text1"/>
          <w:sz w:val="24"/>
          <w:szCs w:val="24"/>
        </w:rPr>
        <w:t xml:space="preserve"> elute earlier.</w:t>
      </w:r>
    </w:p>
    <w:p w14:paraId="02E79D77" w14:textId="466A3194" w:rsidR="00F31DA8" w:rsidRPr="004F0A7F" w:rsidRDefault="00BB4C00" w:rsidP="00F31DA8">
      <w:pPr>
        <w:pStyle w:val="ListParagraph"/>
        <w:numPr>
          <w:ilvl w:val="0"/>
          <w:numId w:val="11"/>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lastRenderedPageBreak/>
        <w:t>Size-Exclusion Chromatography:</w:t>
      </w:r>
      <w:r w:rsidRPr="004F0A7F">
        <w:rPr>
          <w:rFonts w:ascii="Times New Roman" w:hAnsi="Times New Roman" w:cs="Times New Roman"/>
          <w:color w:val="000000" w:themeColor="text1"/>
          <w:sz w:val="24"/>
          <w:szCs w:val="24"/>
        </w:rPr>
        <w:t xml:space="preserve"> The stationary phase contains porous particles that allow separation based on molecular size. Larger molecules are excluded from the pores and elute earlier, while smaller molecules penetrate the pores and elu</w:t>
      </w:r>
      <w:r w:rsidRPr="004F0A7F">
        <w:rPr>
          <w:rFonts w:ascii="Times New Roman" w:hAnsi="Times New Roman" w:cs="Times New Roman"/>
          <w:color w:val="000000" w:themeColor="text1"/>
          <w:sz w:val="24"/>
          <w:szCs w:val="24"/>
        </w:rPr>
        <w:t>te later.</w:t>
      </w:r>
    </w:p>
    <w:p w14:paraId="682F930C" w14:textId="72FCDD25" w:rsidR="00F31DA8" w:rsidRPr="004F0A7F" w:rsidRDefault="00BB4C00" w:rsidP="00F31DA8">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During the separation process, the components in the sample are detected by a detector, such as a UV/Vis detector or a mass spectrometer. The detector generates a signal that is recorded as a chromatogram, which represents the intensity of the an</w:t>
      </w:r>
      <w:r w:rsidRPr="004F0A7F">
        <w:rPr>
          <w:rFonts w:ascii="Times New Roman" w:hAnsi="Times New Roman" w:cs="Times New Roman"/>
          <w:color w:val="000000" w:themeColor="text1"/>
          <w:sz w:val="24"/>
          <w:szCs w:val="24"/>
        </w:rPr>
        <w:t>alyte as a function of time.</w:t>
      </w:r>
    </w:p>
    <w:p w14:paraId="36B22A44" w14:textId="69BCC13C" w:rsidR="00F31DA8" w:rsidRPr="004F0A7F" w:rsidRDefault="00BB4C00" w:rsidP="00F31DA8">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HPLC is known for its high sensitivity, as it can detect and quantify components in a sample at very low concentrations. It also allows for accurate quantification through the use of calibration curves constructed with standard</w:t>
      </w:r>
      <w:r w:rsidRPr="004F0A7F">
        <w:rPr>
          <w:rFonts w:ascii="Times New Roman" w:hAnsi="Times New Roman" w:cs="Times New Roman"/>
          <w:color w:val="000000" w:themeColor="text1"/>
          <w:sz w:val="24"/>
          <w:szCs w:val="24"/>
        </w:rPr>
        <w:t xml:space="preserve"> solutions of known concentrations. HPLC methods can be validated to ensure accuracy, precision, selectivity, and robustness.</w:t>
      </w:r>
    </w:p>
    <w:p w14:paraId="6C0C3A2F" w14:textId="77777777" w:rsidR="00F31DA8" w:rsidRPr="004F0A7F" w:rsidRDefault="00BB4C00" w:rsidP="00F31DA8">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The advantages of HPLC include its versatility for analyzing a wide range of compounds, its ability to handle complex mixtures, an</w:t>
      </w:r>
      <w:r w:rsidRPr="004F0A7F">
        <w:rPr>
          <w:rFonts w:ascii="Times New Roman" w:hAnsi="Times New Roman" w:cs="Times New Roman"/>
          <w:color w:val="000000" w:themeColor="text1"/>
          <w:sz w:val="24"/>
          <w:szCs w:val="24"/>
        </w:rPr>
        <w:t>d its high reproducibility. It is widely used for the analysis of pharmaceuticals, natural products, food and beverages, environmental samples, and various other applications requiring separation and quantification of components in a mixture.</w:t>
      </w:r>
    </w:p>
    <w:p w14:paraId="7901139C" w14:textId="4EBEE328" w:rsidR="00AD2A56" w:rsidRPr="004F0A7F" w:rsidRDefault="00BB4C00"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 xml:space="preserve">Furthermore, several other techniques have been extensively </w:t>
      </w:r>
      <w:r w:rsidR="007C774D" w:rsidRPr="004F0A7F">
        <w:rPr>
          <w:rFonts w:ascii="Times New Roman" w:hAnsi="Times New Roman" w:cs="Times New Roman"/>
          <w:color w:val="000000" w:themeColor="text1"/>
          <w:sz w:val="24"/>
          <w:szCs w:val="24"/>
        </w:rPr>
        <w:t>u</w:t>
      </w:r>
      <w:r w:rsidRPr="004F0A7F">
        <w:rPr>
          <w:rFonts w:ascii="Times New Roman" w:hAnsi="Times New Roman" w:cs="Times New Roman"/>
          <w:color w:val="000000" w:themeColor="text1"/>
          <w:sz w:val="24"/>
          <w:szCs w:val="24"/>
        </w:rPr>
        <w:t xml:space="preserve">sed for </w:t>
      </w:r>
      <w:r>
        <w:rPr>
          <w:rFonts w:ascii="Times New Roman" w:hAnsi="Times New Roman" w:cs="Times New Roman"/>
          <w:color w:val="000000" w:themeColor="text1"/>
          <w:sz w:val="24"/>
          <w:szCs w:val="24"/>
        </w:rPr>
        <w:t xml:space="preserve">the </w:t>
      </w:r>
      <w:r w:rsidRPr="004F0A7F">
        <w:rPr>
          <w:rFonts w:ascii="Times New Roman" w:hAnsi="Times New Roman" w:cs="Times New Roman"/>
          <w:color w:val="000000" w:themeColor="text1"/>
          <w:sz w:val="24"/>
          <w:szCs w:val="24"/>
        </w:rPr>
        <w:t>characterization of phytochemicals from plants</w:t>
      </w:r>
      <w:r w:rsidR="007C774D" w:rsidRPr="004F0A7F">
        <w:rPr>
          <w:rFonts w:ascii="Times New Roman" w:hAnsi="Times New Roman" w:cs="Times New Roman"/>
          <w:color w:val="000000" w:themeColor="text1"/>
          <w:sz w:val="24"/>
          <w:szCs w:val="24"/>
        </w:rPr>
        <w:t xml:space="preserve">. These techniques </w:t>
      </w:r>
      <w:r>
        <w:rPr>
          <w:rFonts w:ascii="Times New Roman" w:hAnsi="Times New Roman" w:cs="Times New Roman"/>
          <w:color w:val="000000" w:themeColor="text1"/>
          <w:sz w:val="24"/>
          <w:szCs w:val="24"/>
        </w:rPr>
        <w:t>are followed</w:t>
      </w:r>
      <w:r w:rsidR="007C774D" w:rsidRPr="004F0A7F">
        <w:rPr>
          <w:rFonts w:ascii="Times New Roman" w:hAnsi="Times New Roman" w:cs="Times New Roman"/>
          <w:color w:val="000000" w:themeColor="text1"/>
          <w:sz w:val="24"/>
          <w:szCs w:val="24"/>
        </w:rPr>
        <w:t xml:space="preserve"> as </w:t>
      </w:r>
    </w:p>
    <w:p w14:paraId="505EDE9E" w14:textId="3D0493F1" w:rsidR="00B469E9" w:rsidRPr="004F0A7F" w:rsidRDefault="00BB4C00" w:rsidP="004F0A7F">
      <w:pPr>
        <w:pStyle w:val="Heading3"/>
        <w:numPr>
          <w:ilvl w:val="2"/>
          <w:numId w:val="8"/>
        </w:numPr>
        <w:rPr>
          <w:rFonts w:ascii="Times New Roman" w:hAnsi="Times New Roman" w:cs="Times New Roman"/>
          <w:b/>
          <w:bCs/>
          <w:color w:val="000000" w:themeColor="text1"/>
        </w:rPr>
      </w:pPr>
      <w:r w:rsidRPr="004F0A7F">
        <w:rPr>
          <w:rFonts w:ascii="Times New Roman" w:hAnsi="Times New Roman" w:cs="Times New Roman"/>
          <w:b/>
          <w:bCs/>
          <w:color w:val="000000" w:themeColor="text1"/>
        </w:rPr>
        <w:t>Heavy Metal Analysis</w:t>
      </w:r>
    </w:p>
    <w:p w14:paraId="57463074" w14:textId="30E83F82" w:rsidR="00574309" w:rsidRPr="004F0A7F" w:rsidRDefault="00BB4C00"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Medicinal plants are often tested for the presence of heavy metals, which can pose he</w:t>
      </w:r>
      <w:r w:rsidRPr="004F0A7F">
        <w:rPr>
          <w:rFonts w:ascii="Times New Roman" w:hAnsi="Times New Roman" w:cs="Times New Roman"/>
          <w:color w:val="000000" w:themeColor="text1"/>
          <w:sz w:val="24"/>
          <w:szCs w:val="24"/>
        </w:rPr>
        <w:t>alth risks if present above permissible limits. Techniques such as atomic absorption spectroscopy (AAS) or inductively coupled plasma mass spectrometry (ICP-MS) are commonly employed for heavy metal analysis</w:t>
      </w:r>
      <w:r w:rsidR="008F4B24">
        <w:rPr>
          <w:rFonts w:ascii="Times New Roman" w:hAnsi="Times New Roman" w:cs="Times New Roman"/>
          <w:color w:val="000000" w:themeColor="text1"/>
          <w:sz w:val="24"/>
          <w:szCs w:val="24"/>
        </w:rPr>
        <w:t xml:space="preserve"> </w:t>
      </w:r>
      <w:r w:rsidR="008F4B24">
        <w:rPr>
          <w:rFonts w:ascii="Times New Roman" w:hAnsi="Times New Roman" w:cs="Times New Roman"/>
          <w:color w:val="000000" w:themeColor="text1"/>
          <w:sz w:val="24"/>
          <w:szCs w:val="24"/>
        </w:rPr>
        <w:fldChar w:fldCharType="begin" w:fldLock="1"/>
      </w:r>
      <w:r w:rsidR="008F4B24">
        <w:rPr>
          <w:rFonts w:ascii="Times New Roman" w:hAnsi="Times New Roman" w:cs="Times New Roman"/>
          <w:color w:val="000000" w:themeColor="text1"/>
          <w:sz w:val="24"/>
          <w:szCs w:val="24"/>
        </w:rPr>
        <w:instrText>ADDIN CSL_CITATION {"citationItems":[{"id":"ITEM-1","itemData":{"DOI":"10.5530/ctbp.2022.3s.57","ISSN":"22307303","abstract":"Herbs are rich source of secondary metabolites that have been found to have medicinal properties. The present study was conducted to evaluate the phytochemical and heavy metal analysis whole plant of Erygium foetidium Linn. The obtained results revealed that Petroleum ether and Chloroform extract contains less phytochemical constituents when compared with, Ethyl acetate and Ethanolic extracts in maximum quantity. The Heavy metals anlaysis for powder were determined by atomic absorption spectroscopy method (AAS). The results showed doesn’t contains high toxic levels of heavy metals; (Arsenic-0.022 mg/L; below the detectable level, Chromium 0.005 mg/L; and Lead 0.006 mg/L below the detectable level).","author":[{"dropping-particle":"","family":"Basha","given":"Shaik Chand","non-dropping-particle":"","parse-names":false,"suffix":""},{"dropping-particle":"","family":"Alagusundaram","given":"M.","non-dropping-particle":"","parse-names":false,"suffix":""}],"container-title":"Current Trends in Biotechnology and Pharmacy","id":"ITEM-1","issued":{"date-parts":[["2022"]]},"title":"Phytochemical investigation and heavy metal analysis of a miracle plant Eryngium foetidum Linn.","type":"article-journal"},"uris":["http://www.mendeley.com/documents/?uuid=f940fbf4-930a-499f-8510-7dd5c3d8c4ff","http://www.mendeley.com/documents/?uuid=cf11224d-797f-4bc3-a893-dbf9b5f4e91a"]},{"id":"ITEM-2","itemData":{"DOI":"10.3389/fenvs.2020.603668","ISSN":"2296665X","abstract":"Plant endophytic bacteria have received special attention in recent decades for their ability to improve plant response to multiple stresses. A positive effect of endophytes on plant’s ability to cope with drought, salinity, nitrogen deficiency, and pathogens have already been demonstrated in numerous studies, and recently this evidence was consolidated in a meta-analysis of published data. Endophytic bacteria have also been implicated in increasing resistance to heavy metals in plants; despite the important biotechnological applications of such effect in heavy metal bioremediation and agriculture, efforts to systematically analyze studies in this field have been limited. In this study, we address this task with the objective of establishing whether the findings made for other types of stresses extend to the response to heavy metals. Specifically, we seek to establish if plant inoculation with plant-growth promoting endophytic bacteria have an impact on their tolerance to heavy metal stress? We carried out a meta-analysis of the effect size of inoculation with endophytic bacteria on the host plant biomass in response to heavy metal stress (aluminum, arsenic, cadmium, copper, chromium, manganese, nickel, lead, and zinc), which included 27 (from 76 published in the last 10 years) studies under controlled conditions that evaluated 19 host plants and 20 bacterial genera. Our results suggest that endophytic bacteria increase the biomass production of host plants subjected to different heavy metals, indicating their effectiveness in protecting plants from a wide range of metal toxicities. Stress mitigation by the bacteria was similar among the different plant groups with the exception of non-accumulating plants that benefit most from the symbiotic association. Host identity and heavy metal concentration seem to influence the effect of the bacteria. Our analysis revealed that bacterial consortia provide the greatest benefit although the most common biotechnological applications are not directed towards them, and support the value of endophytic bacteria as an alternative to mitigate heavy metal stress in a wide variety of hosts.","author":[{"dropping-particle":"","family":"Franco-Franklin","given":"Valeria","non-dropping-particle":"","parse-names":false,"suffix":""},{"dropping-particle":"","family":"Moreno-Riascos","given":"Sandra","non-dropping-particle":"","parse-names":false,"suffix":""},{"dropping-particle":"","family":"Ghneim-Herrera","given":"Thaura","non-dropping-particle":"","parse-names":false,"suffix":""}],"container-title":"Frontiers in Environmental Science","id":"ITEM-2","issued":{"date-parts":[["2021"]]},"title":"Are Endophytic Bacteria an Option for Increasing Heavy Metal Tolerance of Plants? A Meta-Analysis of the Effect Size","type":"article-journal"},"uris":["http://www.mendeley.com/documents/?uuid=639efb7e-d41d-4ae7-9c68-b8269c569f52","http://www.mendeley.com/documents/?uuid=d9aafae3-9bb3-4dd7-b0ca-c6d19d11d8f7"]}],"mendeley":{"formattedCitation":"[23,24]","plainTextFormattedCitation":"[23,24]","previouslyFormattedCitation":"[23,24]"},"properties":{"noteIndex":0},"schema":"https://github.com/citation-style-language/schema/raw/master/csl-citation.json"}</w:instrText>
      </w:r>
      <w:r w:rsidR="008F4B24">
        <w:rPr>
          <w:rFonts w:ascii="Times New Roman" w:hAnsi="Times New Roman" w:cs="Times New Roman"/>
          <w:color w:val="000000" w:themeColor="text1"/>
          <w:sz w:val="24"/>
          <w:szCs w:val="24"/>
        </w:rPr>
        <w:fldChar w:fldCharType="separate"/>
      </w:r>
      <w:r w:rsidR="008F4B24" w:rsidRPr="008F4B24">
        <w:rPr>
          <w:rFonts w:ascii="Times New Roman" w:hAnsi="Times New Roman" w:cs="Times New Roman"/>
          <w:noProof/>
          <w:color w:val="000000" w:themeColor="text1"/>
          <w:sz w:val="24"/>
          <w:szCs w:val="24"/>
        </w:rPr>
        <w:t>[23,24]</w:t>
      </w:r>
      <w:r w:rsidR="008F4B24">
        <w:rPr>
          <w:rFonts w:ascii="Times New Roman" w:hAnsi="Times New Roman" w:cs="Times New Roman"/>
          <w:color w:val="000000" w:themeColor="text1"/>
          <w:sz w:val="24"/>
          <w:szCs w:val="24"/>
        </w:rPr>
        <w:fldChar w:fldCharType="end"/>
      </w:r>
      <w:r w:rsidRPr="004F0A7F">
        <w:rPr>
          <w:rFonts w:ascii="Times New Roman" w:hAnsi="Times New Roman" w:cs="Times New Roman"/>
          <w:color w:val="000000" w:themeColor="text1"/>
          <w:sz w:val="24"/>
          <w:szCs w:val="24"/>
        </w:rPr>
        <w:t>.</w:t>
      </w:r>
    </w:p>
    <w:p w14:paraId="36685ACF" w14:textId="35DC2B07" w:rsidR="00B469E9" w:rsidRPr="004F0A7F" w:rsidRDefault="00BB4C00" w:rsidP="004F0A7F">
      <w:pPr>
        <w:pStyle w:val="Heading3"/>
        <w:numPr>
          <w:ilvl w:val="2"/>
          <w:numId w:val="8"/>
        </w:numPr>
        <w:rPr>
          <w:rFonts w:ascii="Times New Roman" w:hAnsi="Times New Roman" w:cs="Times New Roman"/>
          <w:b/>
          <w:bCs/>
          <w:color w:val="000000" w:themeColor="text1"/>
        </w:rPr>
      </w:pPr>
      <w:r w:rsidRPr="004F0A7F">
        <w:rPr>
          <w:rFonts w:ascii="Times New Roman" w:hAnsi="Times New Roman" w:cs="Times New Roman"/>
          <w:b/>
          <w:bCs/>
          <w:color w:val="000000" w:themeColor="text1"/>
        </w:rPr>
        <w:t>Infrared Spectroscopy (IR)</w:t>
      </w:r>
    </w:p>
    <w:p w14:paraId="052C5D04" w14:textId="597429A5" w:rsidR="00B50B8E" w:rsidRPr="004F0A7F" w:rsidRDefault="00BB4C00"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Infrared spectroscopy involves the measurement of the ab</w:t>
      </w:r>
      <w:r w:rsidRPr="004F0A7F">
        <w:rPr>
          <w:rFonts w:ascii="Times New Roman" w:hAnsi="Times New Roman" w:cs="Times New Roman"/>
          <w:color w:val="000000" w:themeColor="text1"/>
          <w:sz w:val="24"/>
          <w:szCs w:val="24"/>
        </w:rPr>
        <w:t>sorption, reflection, or transmission of infrared radiation by molecules. It provides information about the functional groups present in medicinal plant compounds. Different regions of the infrared spectrum correspond to specific vibrational frequencies of</w:t>
      </w:r>
      <w:r w:rsidRPr="004F0A7F">
        <w:rPr>
          <w:rFonts w:ascii="Times New Roman" w:hAnsi="Times New Roman" w:cs="Times New Roman"/>
          <w:color w:val="000000" w:themeColor="text1"/>
          <w:sz w:val="24"/>
          <w:szCs w:val="24"/>
        </w:rPr>
        <w:t xml:space="preserve"> chemical bonds, allowing for the identification of characteristic functional groups such as carbonyl, hydroxyl, or amino groups. IR spectroscopy is valuable for the structural elucidation and identification of compounds in medicinal plants</w:t>
      </w:r>
      <w:r w:rsidR="008F4B24">
        <w:rPr>
          <w:rFonts w:ascii="Times New Roman" w:hAnsi="Times New Roman" w:cs="Times New Roman"/>
          <w:color w:val="000000" w:themeColor="text1"/>
          <w:sz w:val="24"/>
          <w:szCs w:val="24"/>
        </w:rPr>
        <w:t xml:space="preserve"> </w:t>
      </w:r>
      <w:r w:rsidR="008F4B24">
        <w:rPr>
          <w:rFonts w:ascii="Times New Roman" w:hAnsi="Times New Roman" w:cs="Times New Roman"/>
          <w:color w:val="000000" w:themeColor="text1"/>
          <w:sz w:val="24"/>
          <w:szCs w:val="24"/>
        </w:rPr>
        <w:fldChar w:fldCharType="begin" w:fldLock="1"/>
      </w:r>
      <w:r w:rsidR="008F4B24">
        <w:rPr>
          <w:rFonts w:ascii="Times New Roman" w:hAnsi="Times New Roman" w:cs="Times New Roman"/>
          <w:color w:val="000000" w:themeColor="text1"/>
          <w:sz w:val="24"/>
          <w:szCs w:val="24"/>
        </w:rPr>
        <w:instrText>ADDIN CSL_CITATION {"citationItems":[{"id":"ITEM-1","itemData":{"DOI":"10.31838/ijpr/2020.SP2.169","ISSN":"09752366","abstract":"New topical pharmaceutical options are critically needed to obviate fungal infections. Luliconazole is a potent antifungal drug for the treatment of fungal infection. Due to bioavailability barriers of luliconazole, the current study is associated to develop an optimized topical luliconazole solid lipid nanoparticles (SLN) gel formulation against tropical fungal infection with prolonged therapeutic potential. Luliconazole loaded SLN were prepared through the solvent diffusion method using stearic acid &amp; poloxamer 188 and optimized as per their entrapment efficacy. Thereafter, the optimized SLN wes subjected to physicochemical evaluation, followed by the preparation of different gel formulation. The physicochemical parameters of the optimized gel formulation (G3) were evaluated. Further anti-fungal activity of the G3 was determined against the growth of Candida albicans by TLC-Bioautography assay. The results reveal that SLN F6 shows a significant entrapment with 92.13%±0.975 entrapment efficacy. In particle size, size distribution and zeta potential analysis, SLN exhibit a mean particle diameter of ~344.3 nm, PDI of 0.168, intercept value 0.98 and zeta potential ~18.8 mV. The G3 shows a higher entrapment with 91.39%±0.187 entrapment efficacy and in-vitro drug release profile of the G3 with 1.5 % carbopol 934 w/v shown a sustained release profile with 79.57%±0.213 desolvation rate even after 24 hrs. The anti-fungal activity of SLN G3 gel showed a strong zone of inhibition of the growth of C. albicans. Hence, the study concludes that luliconazole loaded SLN G3 gel formulation containing 1.5% w/v carbopol 934 is suitable for topical application and having strong anti-fungal activity.","author":[{"dropping-particle":"","family":"Kumar","given":"Vijay","non-dropping-particle":"","parse-names":false,"suffix":""},{"dropping-particle":"","family":"Ain","given":"Shabnam","non-dropping-particle":"","parse-names":false,"suffix":""},{"dropping-particle":"","family":"Kumar","given":"Babita","non-dropping-particle":"","parse-names":false,"suffix":""},{"dropping-particle":"","family":"Ain","given":"Qurratul","non-dropping-particle":"","parse-names":false,"suffix":""},{"dropping-particle":"","family":"Gaurav","given":"","non-dropping-particle":"","parse-names":false,"suffix":""}],"container-title":"International Journal of Pharmaceutical Research","id":"ITEM-1","issued":{"date-parts":[["2020"]]},"title":"Optimization and evaluation of topical gel containing solid lipid nanoparticles loaded with luliconazole and its anti-fungal activity","type":"article-journal"},"uris":["http://www.mendeley.com/documents/?uuid=80cae69a-22a0-47f5-ab90-611bb9ea504c"]}],"mendeley":{"formattedCitation":"[25]","plainTextFormattedCitation":"[25]","previouslyFormattedCitation":"[25]"},"properties":{"noteIndex":0},"schema":"https://github.com/citation-style-language/schema/raw/master/csl-citation.json"}</w:instrText>
      </w:r>
      <w:r w:rsidR="008F4B24">
        <w:rPr>
          <w:rFonts w:ascii="Times New Roman" w:hAnsi="Times New Roman" w:cs="Times New Roman"/>
          <w:color w:val="000000" w:themeColor="text1"/>
          <w:sz w:val="24"/>
          <w:szCs w:val="24"/>
        </w:rPr>
        <w:fldChar w:fldCharType="separate"/>
      </w:r>
      <w:r w:rsidR="008F4B24" w:rsidRPr="008F4B24">
        <w:rPr>
          <w:rFonts w:ascii="Times New Roman" w:hAnsi="Times New Roman" w:cs="Times New Roman"/>
          <w:noProof/>
          <w:color w:val="000000" w:themeColor="text1"/>
          <w:sz w:val="24"/>
          <w:szCs w:val="24"/>
        </w:rPr>
        <w:t>[25]</w:t>
      </w:r>
      <w:r w:rsidR="008F4B24">
        <w:rPr>
          <w:rFonts w:ascii="Times New Roman" w:hAnsi="Times New Roman" w:cs="Times New Roman"/>
          <w:color w:val="000000" w:themeColor="text1"/>
          <w:sz w:val="24"/>
          <w:szCs w:val="24"/>
        </w:rPr>
        <w:fldChar w:fldCharType="end"/>
      </w:r>
      <w:r w:rsidRPr="004F0A7F">
        <w:rPr>
          <w:rFonts w:ascii="Times New Roman" w:hAnsi="Times New Roman" w:cs="Times New Roman"/>
          <w:color w:val="000000" w:themeColor="text1"/>
          <w:sz w:val="24"/>
          <w:szCs w:val="24"/>
        </w:rPr>
        <w:t>.</w:t>
      </w:r>
    </w:p>
    <w:p w14:paraId="021BF88B" w14:textId="2B53BE62" w:rsidR="00B469E9" w:rsidRPr="004F0A7F" w:rsidRDefault="00BB4C00" w:rsidP="004F0A7F">
      <w:pPr>
        <w:pStyle w:val="Heading3"/>
        <w:numPr>
          <w:ilvl w:val="2"/>
          <w:numId w:val="8"/>
        </w:numPr>
        <w:rPr>
          <w:rFonts w:ascii="Times New Roman" w:hAnsi="Times New Roman" w:cs="Times New Roman"/>
          <w:b/>
          <w:bCs/>
          <w:color w:val="000000" w:themeColor="text1"/>
        </w:rPr>
      </w:pPr>
      <w:r w:rsidRPr="004F0A7F">
        <w:rPr>
          <w:rFonts w:ascii="Times New Roman" w:hAnsi="Times New Roman" w:cs="Times New Roman"/>
          <w:b/>
          <w:bCs/>
          <w:color w:val="000000" w:themeColor="text1"/>
        </w:rPr>
        <w:lastRenderedPageBreak/>
        <w:t xml:space="preserve">Nuclear Magnetic </w:t>
      </w:r>
      <w:r w:rsidRPr="004F0A7F">
        <w:rPr>
          <w:rFonts w:ascii="Times New Roman" w:hAnsi="Times New Roman" w:cs="Times New Roman"/>
          <w:b/>
          <w:bCs/>
          <w:color w:val="000000" w:themeColor="text1"/>
        </w:rPr>
        <w:t>Resonance (NMR)</w:t>
      </w:r>
    </w:p>
    <w:p w14:paraId="1DA847AB" w14:textId="1EA75990" w:rsidR="00B50B8E" w:rsidRPr="004F0A7F" w:rsidRDefault="00BB4C00"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NMR spectroscopy is a powerful technique used to study the structure and dynamics of molecules. It relies on the interaction of atomic nuclei with a strong magnetic field and radiofrequency pulses. By measuring the chemical shifts and coupl</w:t>
      </w:r>
      <w:r w:rsidRPr="004F0A7F">
        <w:rPr>
          <w:rFonts w:ascii="Times New Roman" w:hAnsi="Times New Roman" w:cs="Times New Roman"/>
          <w:color w:val="000000" w:themeColor="text1"/>
          <w:sz w:val="24"/>
          <w:szCs w:val="24"/>
        </w:rPr>
        <w:t>ing patterns of nuclei, NMR provides information about the connectivity, stereochemistry, and conformation of compounds. Proton NMR (^1H-NMR) is commonly used to analyze medicinal plants and can identify specific compounds or chemical markers. Carbon-13 NM</w:t>
      </w:r>
      <w:r w:rsidRPr="004F0A7F">
        <w:rPr>
          <w:rFonts w:ascii="Times New Roman" w:hAnsi="Times New Roman" w:cs="Times New Roman"/>
          <w:color w:val="000000" w:themeColor="text1"/>
          <w:sz w:val="24"/>
          <w:szCs w:val="24"/>
        </w:rPr>
        <w:t>R (^13C-NMR) provides further structural information about the carbon atoms in a molecule</w:t>
      </w:r>
      <w:r w:rsidR="008F4B24">
        <w:rPr>
          <w:rFonts w:ascii="Times New Roman" w:hAnsi="Times New Roman" w:cs="Times New Roman"/>
          <w:color w:val="000000" w:themeColor="text1"/>
          <w:sz w:val="24"/>
          <w:szCs w:val="24"/>
        </w:rPr>
        <w:t xml:space="preserve"> </w:t>
      </w:r>
      <w:r w:rsidR="008F4B24">
        <w:rPr>
          <w:rFonts w:ascii="Times New Roman" w:hAnsi="Times New Roman" w:cs="Times New Roman"/>
          <w:color w:val="000000" w:themeColor="text1"/>
          <w:sz w:val="24"/>
          <w:szCs w:val="24"/>
        </w:rPr>
        <w:fldChar w:fldCharType="begin" w:fldLock="1"/>
      </w:r>
      <w:r w:rsidR="008F4B24">
        <w:rPr>
          <w:rFonts w:ascii="Times New Roman" w:hAnsi="Times New Roman" w:cs="Times New Roman"/>
          <w:color w:val="000000" w:themeColor="text1"/>
          <w:sz w:val="24"/>
          <w:szCs w:val="24"/>
        </w:rPr>
        <w:instrText>ADDIN CSL_CITATION {"citationItems":[{"id":"ITEM-1","itemData":{"DOI":"10.4103/pm.pm_500_20","ISSN":"0973-1296","author":[{"dropping-particle":"","family":"Ekbbal","given":"Rustam","non-dropping-particle":"","parse-names":false,"suffix":""},{"dropping-particle":"","family":"Iqubal","given":"Ashif","non-dropping-particle":"","parse-names":false,"suffix":""},{"dropping-particle":"","family":"Ansari","given":"MohdAsif","non-dropping-particle":"","parse-names":false,"suffix":""},{"dropping-particle":"","family":"Ahmad","given":"Sayeed","non-dropping-particle":"","parse-names":false,"suffix":""},{"dropping-particle":"","family":"Haque","given":"SyedEhtaishamul","non-dropping-particle":"","parse-names":false,"suffix":""}],"container-title":"Pharmacognosy Magazine","id":"ITEM-1","issued":{"date-parts":[["2022"]]},"title":"Evaluation of cardioprotective potential of isolated swerchirin against the isoproterenol-induced cardiotoxicity in wistar albino rats","type":"article-journal"},"uris":["http://www.mendeley.com/documents/?uuid=f178523e-b076-4b62-bc45-359096d73e2e"]}],"mendeley":{"formattedCitation":"[26]","plainTextFormattedCitation":"[26]","previouslyFormattedCitation":"[26]"},"properties":{"noteIndex":0},"schema":"https://github.com/citation-style-language/schema/raw/master/csl-citation.json"}</w:instrText>
      </w:r>
      <w:r w:rsidR="008F4B24">
        <w:rPr>
          <w:rFonts w:ascii="Times New Roman" w:hAnsi="Times New Roman" w:cs="Times New Roman"/>
          <w:color w:val="000000" w:themeColor="text1"/>
          <w:sz w:val="24"/>
          <w:szCs w:val="24"/>
        </w:rPr>
        <w:fldChar w:fldCharType="separate"/>
      </w:r>
      <w:r w:rsidR="008F4B24" w:rsidRPr="008F4B24">
        <w:rPr>
          <w:rFonts w:ascii="Times New Roman" w:hAnsi="Times New Roman" w:cs="Times New Roman"/>
          <w:noProof/>
          <w:color w:val="000000" w:themeColor="text1"/>
          <w:sz w:val="24"/>
          <w:szCs w:val="24"/>
        </w:rPr>
        <w:t>[26]</w:t>
      </w:r>
      <w:r w:rsidR="008F4B24">
        <w:rPr>
          <w:rFonts w:ascii="Times New Roman" w:hAnsi="Times New Roman" w:cs="Times New Roman"/>
          <w:color w:val="000000" w:themeColor="text1"/>
          <w:sz w:val="24"/>
          <w:szCs w:val="24"/>
        </w:rPr>
        <w:fldChar w:fldCharType="end"/>
      </w:r>
      <w:r w:rsidR="008F4B24">
        <w:rPr>
          <w:rFonts w:ascii="Times New Roman" w:hAnsi="Times New Roman" w:cs="Times New Roman"/>
          <w:color w:val="000000" w:themeColor="text1"/>
          <w:sz w:val="24"/>
          <w:szCs w:val="24"/>
        </w:rPr>
        <w:t xml:space="preserve">, </w:t>
      </w:r>
      <w:r w:rsidR="008F4B24">
        <w:rPr>
          <w:rFonts w:ascii="Times New Roman" w:hAnsi="Times New Roman" w:cs="Times New Roman"/>
          <w:color w:val="000000" w:themeColor="text1"/>
          <w:sz w:val="24"/>
          <w:szCs w:val="24"/>
        </w:rPr>
        <w:fldChar w:fldCharType="begin" w:fldLock="1"/>
      </w:r>
      <w:r w:rsidR="00FF7432">
        <w:rPr>
          <w:rFonts w:ascii="Times New Roman" w:hAnsi="Times New Roman" w:cs="Times New Roman"/>
          <w:color w:val="000000" w:themeColor="text1"/>
          <w:sz w:val="24"/>
          <w:szCs w:val="24"/>
        </w:rPr>
        <w:instrText>ADDIN CSL_CITATION {"citationItems":[{"id":"ITEM-1","itemData":{"DOI":"10.4103/2229-4708.72222","ISSN":"2229-4708","abstract":"The hyphenated technique is developed from the coupling of a separation technique and an on-line spectroscopic detection technology. The remarkable improvements in hyphenated analytical methods over the last two decades have significantly broadened their applications in the analysis of biomaterials, especially natural products. In this article, recent advances in the applications of various hyphenated techniques, e.g., GC-MS, LC-MS, LC-FTIR, LC-NMR, CE-MS, etc. in the context of pre-isolation analyses of crude extracts or fraction from various natural sources, isolation and on-line detection of natural products, chemotaxonomic studies, chemical fingerprinting, quality control of herbal products, dereplication of natural products, and metabolomic studies are discussed with appropriate examples.","author":[{"dropping-particle":"","family":"Patel","given":"KalpeshN","non-dropping-particle":"","parse-names":false,"suffix":""},{"dropping-particle":"","family":"Patel","given":"JayvadanK","non-dropping-particle":"","parse-names":false,"suffix":""},{"dropping-particle":"","family":"Patel","given":"ManishP","non-dropping-particle":"","parse-names":false,"suffix":""},{"dropping-particle":"","family":"Rajput","given":"GaneshC","non-dropping-particle":"","parse-names":false,"suffix":""},{"dropping-particle":"","family":"Patel","given":"HiteshA","non-dropping-particle":"","parse-names":false,"suffix":""}],"container-title":"Pharmaceutical Methods","id":"ITEM-1","issued":{"date-parts":[["2010"]]},"title":"Introduction to hyphenated techniques and their applications in pharmacy","type":"article-journal"},"uris":["http://www.mendeley.com/documents/?uuid=9faccfcb-1249-4888-8f75-7fc38d9b2988"]}],"mendeley":{"formattedCitation":"[27]","plainTextFormattedCitation":"[27]","previouslyFormattedCitation":"[27]"},"properties":{"noteIndex":0},"schema":"https://github.com/citation-style-language/schema/raw/master/csl-citation.json"}</w:instrText>
      </w:r>
      <w:r w:rsidR="008F4B24">
        <w:rPr>
          <w:rFonts w:ascii="Times New Roman" w:hAnsi="Times New Roman" w:cs="Times New Roman"/>
          <w:color w:val="000000" w:themeColor="text1"/>
          <w:sz w:val="24"/>
          <w:szCs w:val="24"/>
        </w:rPr>
        <w:fldChar w:fldCharType="separate"/>
      </w:r>
      <w:r w:rsidR="008F4B24" w:rsidRPr="008F4B24">
        <w:rPr>
          <w:rFonts w:ascii="Times New Roman" w:hAnsi="Times New Roman" w:cs="Times New Roman"/>
          <w:noProof/>
          <w:color w:val="000000" w:themeColor="text1"/>
          <w:sz w:val="24"/>
          <w:szCs w:val="24"/>
        </w:rPr>
        <w:t>[27]</w:t>
      </w:r>
      <w:r w:rsidR="008F4B24">
        <w:rPr>
          <w:rFonts w:ascii="Times New Roman" w:hAnsi="Times New Roman" w:cs="Times New Roman"/>
          <w:color w:val="000000" w:themeColor="text1"/>
          <w:sz w:val="24"/>
          <w:szCs w:val="24"/>
        </w:rPr>
        <w:fldChar w:fldCharType="end"/>
      </w:r>
      <w:r w:rsidRPr="004F0A7F">
        <w:rPr>
          <w:rFonts w:ascii="Times New Roman" w:hAnsi="Times New Roman" w:cs="Times New Roman"/>
          <w:color w:val="000000" w:themeColor="text1"/>
          <w:sz w:val="24"/>
          <w:szCs w:val="24"/>
        </w:rPr>
        <w:t>.</w:t>
      </w:r>
    </w:p>
    <w:p w14:paraId="64D878C5" w14:textId="5DE7F2C3" w:rsidR="00B469E9" w:rsidRPr="004F0A7F" w:rsidRDefault="00BB4C00" w:rsidP="004F0A7F">
      <w:pPr>
        <w:pStyle w:val="Heading3"/>
        <w:numPr>
          <w:ilvl w:val="2"/>
          <w:numId w:val="8"/>
        </w:numPr>
        <w:rPr>
          <w:rFonts w:ascii="Times New Roman" w:hAnsi="Times New Roman" w:cs="Times New Roman"/>
          <w:b/>
          <w:bCs/>
          <w:color w:val="000000" w:themeColor="text1"/>
        </w:rPr>
      </w:pPr>
      <w:r w:rsidRPr="004F0A7F">
        <w:rPr>
          <w:rFonts w:ascii="Times New Roman" w:hAnsi="Times New Roman" w:cs="Times New Roman"/>
          <w:b/>
          <w:bCs/>
          <w:color w:val="000000" w:themeColor="text1"/>
        </w:rPr>
        <w:t>Mass Spectrometry (MS)</w:t>
      </w:r>
    </w:p>
    <w:p w14:paraId="35236CD0" w14:textId="0B56E5D7" w:rsidR="00B50B8E" w:rsidRPr="004F0A7F" w:rsidRDefault="00BB4C00"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Mass spectrometry is a technique that ionizes molecules and measures their m</w:t>
      </w:r>
      <w:r w:rsidRPr="004F0A7F">
        <w:rPr>
          <w:rFonts w:ascii="Times New Roman" w:hAnsi="Times New Roman" w:cs="Times New Roman"/>
          <w:color w:val="000000" w:themeColor="text1"/>
          <w:sz w:val="24"/>
          <w:szCs w:val="24"/>
        </w:rPr>
        <w:t>ass-to-charge ratio. It helps determine the molecular weight, fragmentation pattern, and elemental composition of compounds in medicinal plants. Mass spectrometry can be coupled with various ionization techniques, such as electrospray ionization (ESI) or m</w:t>
      </w:r>
      <w:r w:rsidRPr="004F0A7F">
        <w:rPr>
          <w:rFonts w:ascii="Times New Roman" w:hAnsi="Times New Roman" w:cs="Times New Roman"/>
          <w:color w:val="000000" w:themeColor="text1"/>
          <w:sz w:val="24"/>
          <w:szCs w:val="24"/>
        </w:rPr>
        <w:t>atrix-assisted laser desorption/ionization (MALDI), to generate ions that are detected and analyzed. MS analysis can identify known compounds based on their mass spectra and can also aid in the discovery of new or unknown compounds.</w:t>
      </w:r>
      <w:r w:rsidR="008F4B24">
        <w:rPr>
          <w:rFonts w:ascii="Times New Roman" w:hAnsi="Times New Roman" w:cs="Times New Roman"/>
          <w:color w:val="000000" w:themeColor="text1"/>
          <w:sz w:val="24"/>
          <w:szCs w:val="24"/>
        </w:rPr>
        <w:t xml:space="preserve"> </w:t>
      </w:r>
      <w:r w:rsidRPr="004F0A7F">
        <w:rPr>
          <w:rFonts w:ascii="Times New Roman" w:hAnsi="Times New Roman" w:cs="Times New Roman"/>
          <w:color w:val="000000" w:themeColor="text1"/>
          <w:sz w:val="24"/>
          <w:szCs w:val="24"/>
        </w:rPr>
        <w:t>These spectroscopic tec</w:t>
      </w:r>
      <w:r w:rsidRPr="004F0A7F">
        <w:rPr>
          <w:rFonts w:ascii="Times New Roman" w:hAnsi="Times New Roman" w:cs="Times New Roman"/>
          <w:color w:val="000000" w:themeColor="text1"/>
          <w:sz w:val="24"/>
          <w:szCs w:val="24"/>
        </w:rPr>
        <w:t>hniques provide complementary information for the structural elucidation and identification of compounds in medicinal plants. They enable researchers to determine the chemical composition, functional groups, connectivity, and stereochemistry of the compoun</w:t>
      </w:r>
      <w:r w:rsidRPr="004F0A7F">
        <w:rPr>
          <w:rFonts w:ascii="Times New Roman" w:hAnsi="Times New Roman" w:cs="Times New Roman"/>
          <w:color w:val="000000" w:themeColor="text1"/>
          <w:sz w:val="24"/>
          <w:szCs w:val="24"/>
        </w:rPr>
        <w:t>ds present. By comparing the spectral data obtained from these techniques with reference standards or spectral databases, specific compounds can be identified or confirmed in medicinal plant extracts or isolated fractions</w:t>
      </w:r>
      <w:r w:rsidR="00FF7432">
        <w:rPr>
          <w:rFonts w:ascii="Times New Roman" w:hAnsi="Times New Roman" w:cs="Times New Roman"/>
          <w:color w:val="000000" w:themeColor="text1"/>
          <w:sz w:val="24"/>
          <w:szCs w:val="24"/>
        </w:rPr>
        <w:t xml:space="preserve"> </w:t>
      </w:r>
      <w:r w:rsidR="00FF7432">
        <w:rPr>
          <w:rFonts w:ascii="Times New Roman" w:hAnsi="Times New Roman" w:cs="Times New Roman"/>
          <w:color w:val="000000" w:themeColor="text1"/>
          <w:sz w:val="24"/>
          <w:szCs w:val="24"/>
        </w:rPr>
        <w:fldChar w:fldCharType="begin" w:fldLock="1"/>
      </w:r>
      <w:r w:rsidR="00FF7432">
        <w:rPr>
          <w:rFonts w:ascii="Times New Roman" w:hAnsi="Times New Roman" w:cs="Times New Roman"/>
          <w:color w:val="000000" w:themeColor="text1"/>
          <w:sz w:val="24"/>
          <w:szCs w:val="24"/>
        </w:rPr>
        <w:instrText>ADDIN CSL_CITATION {"citationItems":[{"id":"ITEM-1","itemData":{"DOI":"10.1201/9781003179139-9","author":[{"dropping-particle":"","family":"Gautam","given":"Gaurav","non-dropping-particle":"","parse-names":false,"suffix":""},{"dropping-particle":"","family":"Parveen","given":"Rabea","non-dropping-particle":"","parse-names":false,"suffix":""},{"dropping-particle":"","family":"Ahmad","given":"Sayeed","non-dropping-particle":"","parse-names":false,"suffix":""}],"container-title":"Omics Studies of Medicinal Plants","id":"ITEM-1","issued":{"date-parts":[["2023"]]},"title":"LC-MS-based Metabolomics of Medicinal Plants","type":"chapter"},"uris":["http://www.mendeley.com/documents/?uuid=f0525073-21d1-48b2-a262-f6d790ac5532"]}],"mendeley":{"formattedCitation":"[2]","plainTextFormattedCitation":"[2]","previouslyFormattedCitation":"[2]"},"properties":{"noteIndex":0},"schema":"https://github.com/citation-style-language/schema/raw/master/csl-citation.json"}</w:instrText>
      </w:r>
      <w:r w:rsidR="00FF7432">
        <w:rPr>
          <w:rFonts w:ascii="Times New Roman" w:hAnsi="Times New Roman" w:cs="Times New Roman"/>
          <w:color w:val="000000" w:themeColor="text1"/>
          <w:sz w:val="24"/>
          <w:szCs w:val="24"/>
        </w:rPr>
        <w:fldChar w:fldCharType="separate"/>
      </w:r>
      <w:r w:rsidR="00FF7432" w:rsidRPr="00FF7432">
        <w:rPr>
          <w:rFonts w:ascii="Times New Roman" w:hAnsi="Times New Roman" w:cs="Times New Roman"/>
          <w:noProof/>
          <w:color w:val="000000" w:themeColor="text1"/>
          <w:sz w:val="24"/>
          <w:szCs w:val="24"/>
        </w:rPr>
        <w:t>[2]</w:t>
      </w:r>
      <w:r w:rsidR="00FF7432">
        <w:rPr>
          <w:rFonts w:ascii="Times New Roman" w:hAnsi="Times New Roman" w:cs="Times New Roman"/>
          <w:color w:val="000000" w:themeColor="text1"/>
          <w:sz w:val="24"/>
          <w:szCs w:val="24"/>
        </w:rPr>
        <w:fldChar w:fldCharType="end"/>
      </w:r>
      <w:r w:rsidRPr="004F0A7F">
        <w:rPr>
          <w:rFonts w:ascii="Times New Roman" w:hAnsi="Times New Roman" w:cs="Times New Roman"/>
          <w:color w:val="000000" w:themeColor="text1"/>
          <w:sz w:val="24"/>
          <w:szCs w:val="24"/>
        </w:rPr>
        <w:t>.</w:t>
      </w:r>
    </w:p>
    <w:p w14:paraId="654BABA1" w14:textId="3C396BFA" w:rsidR="00B50B8E" w:rsidRDefault="00BB4C00"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 xml:space="preserve">Furthermore, spectroscopic techniques can assist in the quality control and </w:t>
      </w:r>
      <w:r w:rsidRPr="004F0A7F">
        <w:rPr>
          <w:rFonts w:ascii="Times New Roman" w:hAnsi="Times New Roman" w:cs="Times New Roman"/>
          <w:color w:val="000000" w:themeColor="text1"/>
          <w:sz w:val="24"/>
          <w:szCs w:val="24"/>
        </w:rPr>
        <w:t xml:space="preserve">standardization of medicinal plants by quantifying the concentrations of active compounds and detecting the presence of any impurities or contaminants. They are indispensable tools in the analysis of complex mixtures and contribute to the understanding of </w:t>
      </w:r>
      <w:r w:rsidRPr="004F0A7F">
        <w:rPr>
          <w:rFonts w:ascii="Times New Roman" w:hAnsi="Times New Roman" w:cs="Times New Roman"/>
          <w:color w:val="000000" w:themeColor="text1"/>
          <w:sz w:val="24"/>
          <w:szCs w:val="24"/>
        </w:rPr>
        <w:t>the chemical constituents responsible for the therapeutic properties of medicinal plants.</w:t>
      </w:r>
    </w:p>
    <w:p w14:paraId="01F02181" w14:textId="172DF38E" w:rsidR="00FF7432" w:rsidRPr="004F0A7F" w:rsidRDefault="00BB4C00" w:rsidP="00DA4AA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There are several other approaches also that play a significant role in the </w:t>
      </w:r>
      <w:r>
        <w:rPr>
          <w:rFonts w:ascii="Times New Roman" w:hAnsi="Times New Roman" w:cs="Times New Roman"/>
          <w:color w:val="000000" w:themeColor="text1"/>
          <w:sz w:val="24"/>
          <w:szCs w:val="24"/>
        </w:rPr>
        <w:t xml:space="preserve">quality evaluation of medicinal plants </w:t>
      </w:r>
      <w:r>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w:instrText>
      </w:r>
      <w:r>
        <w:rPr>
          <w:rFonts w:ascii="Times New Roman" w:hAnsi="Times New Roman" w:cs="Times New Roman"/>
          <w:color w:val="000000" w:themeColor="text1"/>
          <w:sz w:val="24"/>
          <w:szCs w:val="24"/>
        </w:rPr>
        <w:instrText xml:space="preserve">emData":{"DOI":"10.1063/5.0100675","ISBN":"9780735443785","ISSN":"15517616","abstract":"Food waste refers to wasted food nutrients of high quality intended for human consumption and it usually has a high nutritional value. As a result of the lower cost of </w:instrText>
      </w:r>
      <w:r>
        <w:rPr>
          <w:rFonts w:ascii="Times New Roman" w:hAnsi="Times New Roman" w:cs="Times New Roman"/>
          <w:color w:val="000000" w:themeColor="text1"/>
          <w:sz w:val="24"/>
          <w:szCs w:val="24"/>
        </w:rPr>
        <w:instrText>food waste compared to conventional feeds, manufacturing expenses might be reduced. This present study is aimed to evaluate the potential of plant-based food waste such as soybean waste, pineapple waste, and coconut waste to be developed as animal feed. In</w:instrText>
      </w:r>
      <w:r>
        <w:rPr>
          <w:rFonts w:ascii="Times New Roman" w:hAnsi="Times New Roman" w:cs="Times New Roman"/>
          <w:color w:val="000000" w:themeColor="text1"/>
          <w:sz w:val="24"/>
          <w:szCs w:val="24"/>
        </w:rPr>
        <w:instrText xml:space="preserve"> this study, there were two main analyses conducted which are physicochemical and microbial analysis of the plant-based food waste. The physicochemical analysis conducted was total yield recovery, particle size, and moisture content followed by proximate q</w:instrText>
      </w:r>
      <w:r>
        <w:rPr>
          <w:rFonts w:ascii="Times New Roman" w:hAnsi="Times New Roman" w:cs="Times New Roman"/>
          <w:color w:val="000000" w:themeColor="text1"/>
          <w:sz w:val="24"/>
          <w:szCs w:val="24"/>
        </w:rPr>
        <w:instrText>uantification of fat, protein, crude fiber, and ash. For the microbial analysis, pH, Total Titratable Acidity, and Total Plate Count analysis were conducted. From the results, it was shown that coconut waste gave the highest reading of the total yield reco</w:instrText>
      </w:r>
      <w:r>
        <w:rPr>
          <w:rFonts w:ascii="Times New Roman" w:hAnsi="Times New Roman" w:cs="Times New Roman"/>
          <w:color w:val="000000" w:themeColor="text1"/>
          <w:sz w:val="24"/>
          <w:szCs w:val="24"/>
        </w:rPr>
        <w:instrText>very which was 43.60%, followed by soybean waste 27.58% and pineapple waste 22.91%. For the particle size determination, it was revealed that all the samples size ranges from 600 μm – 850 μm. Moreover, it was found that all samples have a good moisture con</w:instrText>
      </w:r>
      <w:r>
        <w:rPr>
          <w:rFonts w:ascii="Times New Roman" w:hAnsi="Times New Roman" w:cs="Times New Roman"/>
          <w:color w:val="000000" w:themeColor="text1"/>
          <w:sz w:val="24"/>
          <w:szCs w:val="24"/>
        </w:rPr>
        <w:instrText xml:space="preserve">tent below 10% which was suitable to be used as animal feed. Besides, it was revealed that coconut waste gave the highest fat content (39.17±0.58%) while soybean waste has the highest protein (7.27±0.67%) and fiber content (101.17±0.1%). For the microbial </w:instrText>
      </w:r>
      <w:r>
        <w:rPr>
          <w:rFonts w:ascii="Times New Roman" w:hAnsi="Times New Roman" w:cs="Times New Roman"/>
          <w:color w:val="000000" w:themeColor="text1"/>
          <w:sz w:val="24"/>
          <w:szCs w:val="24"/>
        </w:rPr>
        <w:instrText>analysis, the soybean waste (soy dreg) was found to have the lowest pH (4.4±0.10) and highest Total Titratable Acidity (TTA) value (14.25±0.69). Meanwhile, for the Total Plate Count (TPC) analysis, it was revealed that the soybean waste has the least growt</w:instrText>
      </w:r>
      <w:r>
        <w:rPr>
          <w:rFonts w:ascii="Times New Roman" w:hAnsi="Times New Roman" w:cs="Times New Roman"/>
          <w:color w:val="000000" w:themeColor="text1"/>
          <w:sz w:val="24"/>
          <w:szCs w:val="24"/>
        </w:rPr>
        <w:instrText>h of the bacterial colony. From the findings, it was shown that the soybean waste has the potential to be used or formulated as animal feed to support the sustainable food waste management system in Malaysia.","author":[{"dropping-particle":"","family":"Wa</w:instrText>
      </w:r>
      <w:r>
        <w:rPr>
          <w:rFonts w:ascii="Times New Roman" w:hAnsi="Times New Roman" w:cs="Times New Roman"/>
          <w:color w:val="000000" w:themeColor="text1"/>
          <w:sz w:val="24"/>
          <w:szCs w:val="24"/>
        </w:rPr>
        <w:instrText>hab","given":"Nordalilah","non-dropping-particle":"","parse-names":false,"suffix":""},{"dropping-particle":"","family":"Hassan","given":"Husna Hawa Mohd","non-dropping-particle":"","parse-names":false,"suffix":""},{"dropping-particle":"","family":"Yusuf","</w:instrText>
      </w:r>
      <w:r>
        <w:rPr>
          <w:rFonts w:ascii="Times New Roman" w:hAnsi="Times New Roman" w:cs="Times New Roman"/>
          <w:color w:val="000000" w:themeColor="text1"/>
          <w:sz w:val="24"/>
          <w:szCs w:val="24"/>
        </w:rPr>
        <w:instrText>given":"Wan Nur Suzilla Wan","non-dropping-particle":"","parse-names":false,"suffix":""},{"dropping-particle":"","family":"Jahwi","given":"Rabiatul Alawiyah","non-dropping-particle":"","parse-names":false,"suffix":""},{"dropping-particle":"","family":"Kasi</w:instrText>
      </w:r>
      <w:r>
        <w:rPr>
          <w:rFonts w:ascii="Times New Roman" w:hAnsi="Times New Roman" w:cs="Times New Roman"/>
          <w:color w:val="000000" w:themeColor="text1"/>
          <w:sz w:val="24"/>
          <w:szCs w:val="24"/>
        </w:rPr>
        <w:instrText xml:space="preserve">m","given":"Mohd Mukriz Mohd","non-dropping-particle":"","parse-names":false,"suffix":""},{"dropping-particle":"","family":"Rashid","given":"Mohd Ridzuan Abdul","non-dropping-particle":"","parse-names":false,"suffix":""}],"container-title":"AIP Conference </w:instrText>
      </w:r>
      <w:r>
        <w:rPr>
          <w:rFonts w:ascii="Times New Roman" w:hAnsi="Times New Roman" w:cs="Times New Roman"/>
          <w:color w:val="000000" w:themeColor="text1"/>
          <w:sz w:val="24"/>
          <w:szCs w:val="24"/>
        </w:rPr>
        <w:instrText>Proceedings","id":"ITEM-1","issued":{"date-parts":[["2022"]]},"title":"Physicochemical and Microbial Analysis of Plant-Based Food Waste for Potential Used as an Animal Feed","type":"paper-conference"},"uris":["http://www.mendeley.com/documents/?uuid=ab9a46</w:instrText>
      </w:r>
      <w:r>
        <w:rPr>
          <w:rFonts w:ascii="Times New Roman" w:hAnsi="Times New Roman" w:cs="Times New Roman"/>
          <w:color w:val="000000" w:themeColor="text1"/>
          <w:sz w:val="24"/>
          <w:szCs w:val="24"/>
        </w:rPr>
        <w:instrText>7f-2b10-42ca-b280-2bab6e64d20b","http://www.mendeley.com/documents/?uuid=820c4334-5d8b-492d-a306-5ab13f7af333"]},{"id":"ITEM-2","itemData":{"DOI":"10.1016/j.isci.2022.104523","ISSN":"25890042","abstract":"Soil microbes play a central role in ecosystem elem</w:instrText>
      </w:r>
      <w:r>
        <w:rPr>
          <w:rFonts w:ascii="Times New Roman" w:hAnsi="Times New Roman" w:cs="Times New Roman"/>
          <w:color w:val="000000" w:themeColor="text1"/>
          <w:sz w:val="24"/>
          <w:szCs w:val="24"/>
        </w:rPr>
        <w:instrText xml:space="preserve">ent cycling. Yet a central question in microbial ecology remains unanswered: to what extent does the taxonomic composition of soil microbial communities mediate biogeochemical process rates? In this quantitative review, we explore the mechanisms that lead </w:instrText>
      </w:r>
      <w:r>
        <w:rPr>
          <w:rFonts w:ascii="Times New Roman" w:hAnsi="Times New Roman" w:cs="Times New Roman"/>
          <w:color w:val="000000" w:themeColor="text1"/>
          <w:sz w:val="24"/>
          <w:szCs w:val="24"/>
        </w:rPr>
        <w:instrText>to variation in the strength of microbial community structure-function relationships over space and time. To evaluate these mechanisms, we conduct a meta-analysis of studies that have monitored the decomposition of sterilized plant litter inoculated with d</w:instrText>
      </w:r>
      <w:r>
        <w:rPr>
          <w:rFonts w:ascii="Times New Roman" w:hAnsi="Times New Roman" w:cs="Times New Roman"/>
          <w:color w:val="000000" w:themeColor="text1"/>
          <w:sz w:val="24"/>
          <w:szCs w:val="24"/>
        </w:rPr>
        <w:instrText>ifferent microbial assemblages. We find that the influence of microbial community composition on litter decay is pervasive and strong, rivalling in magnitude the influence of litter chemistry on decomposition. However, no single environmental or experiment</w:instrText>
      </w:r>
      <w:r>
        <w:rPr>
          <w:rFonts w:ascii="Times New Roman" w:hAnsi="Times New Roman" w:cs="Times New Roman"/>
          <w:color w:val="000000" w:themeColor="text1"/>
          <w:sz w:val="24"/>
          <w:szCs w:val="24"/>
        </w:rPr>
        <w:instrText>al attribute was correlated with variation in the inoculum effect. These results emphasize the need to better understand ecological dynamics within microbial communities, particularly emergent features such as cross-feeding networks, to improve predictions</w:instrText>
      </w:r>
      <w:r>
        <w:rPr>
          <w:rFonts w:ascii="Times New Roman" w:hAnsi="Times New Roman" w:cs="Times New Roman"/>
          <w:color w:val="000000" w:themeColor="text1"/>
          <w:sz w:val="24"/>
          <w:szCs w:val="24"/>
        </w:rPr>
        <w:instrText xml:space="preserve"> of soil biogeochemical function.","author":[{"dropping-particle":"","family":"Waring","given":"Bonnie","non-dropping-particle":"","parse-names":false,"suffix":""},{"dropping-particle":"","family":"Gee","given":"Anna","non-dropping-particle":"","parse-name</w:instrText>
      </w:r>
      <w:r>
        <w:rPr>
          <w:rFonts w:ascii="Times New Roman" w:hAnsi="Times New Roman" w:cs="Times New Roman"/>
          <w:color w:val="000000" w:themeColor="text1"/>
          <w:sz w:val="24"/>
          <w:szCs w:val="24"/>
        </w:rPr>
        <w:instrText>s":false,"suffix":""},{"dropping-particle":"","family":"Liang","given":"Guopeng","non-dropping-particle":"","parse-names":false,"suffix":""},{"dropping-particle":"","family":"Adkins","given":"Savannah","non-dropping-particle":"","parse-names":false,"suffix</w:instrText>
      </w:r>
      <w:r>
        <w:rPr>
          <w:rFonts w:ascii="Times New Roman" w:hAnsi="Times New Roman" w:cs="Times New Roman"/>
          <w:color w:val="000000" w:themeColor="text1"/>
          <w:sz w:val="24"/>
          <w:szCs w:val="24"/>
        </w:rPr>
        <w:instrText>":""}],"container-title":"iScience","id":"ITEM-2","issued":{"date-parts":[["2022"]]},"title":"A quantitative analysis of microbial community structure-function relationships in plant litter decay","type":"article"},"uris":["http://www.mendeley.com/document</w:instrText>
      </w:r>
      <w:r>
        <w:rPr>
          <w:rFonts w:ascii="Times New Roman" w:hAnsi="Times New Roman" w:cs="Times New Roman"/>
          <w:color w:val="000000" w:themeColor="text1"/>
          <w:sz w:val="24"/>
          <w:szCs w:val="24"/>
        </w:rPr>
        <w:instrText>s/?uuid=0d89f94f-078e-45c1-8adc-bbe320063824","http://www.mendeley.com/documents/?uuid=efc14656-5532-4f9c-96fe-9b91e687b5ec"]}],"mendeley":{"formattedCitation":"[28,29]","plainTextFormattedCitation":"[28,29]","previouslyFormattedCitation":"[28,29]"},"prope</w:instrText>
      </w:r>
      <w:r>
        <w:rPr>
          <w:rFonts w:ascii="Times New Roman" w:hAnsi="Times New Roman" w:cs="Times New Roman"/>
          <w:color w:val="000000" w:themeColor="text1"/>
          <w:sz w:val="24"/>
          <w:szCs w:val="24"/>
        </w:rPr>
        <w:instrText>rties":{"noteIndex":0},"schema":"https://github.com/citation-style-language/schema/raw/master/csl-citation.json"}</w:instrText>
      </w:r>
      <w:r>
        <w:rPr>
          <w:rFonts w:ascii="Times New Roman" w:hAnsi="Times New Roman" w:cs="Times New Roman"/>
          <w:color w:val="000000" w:themeColor="text1"/>
          <w:sz w:val="24"/>
          <w:szCs w:val="24"/>
        </w:rPr>
        <w:fldChar w:fldCharType="separate"/>
      </w:r>
      <w:r w:rsidRPr="00FF7432">
        <w:rPr>
          <w:rFonts w:ascii="Times New Roman" w:hAnsi="Times New Roman" w:cs="Times New Roman"/>
          <w:noProof/>
          <w:color w:val="000000" w:themeColor="text1"/>
          <w:sz w:val="24"/>
          <w:szCs w:val="24"/>
        </w:rPr>
        <w:t>[28,29]</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The approaches are described as </w:t>
      </w:r>
    </w:p>
    <w:p w14:paraId="1A0B52DB" w14:textId="4D73144D" w:rsidR="00574309" w:rsidRPr="004F0A7F" w:rsidRDefault="00BB4C00" w:rsidP="00A940A5">
      <w:pPr>
        <w:pStyle w:val="ListParagraph"/>
        <w:numPr>
          <w:ilvl w:val="0"/>
          <w:numId w:val="9"/>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Microbiological Analysis:</w:t>
      </w:r>
      <w:r w:rsidRPr="004F0A7F">
        <w:rPr>
          <w:rFonts w:ascii="Times New Roman" w:hAnsi="Times New Roman" w:cs="Times New Roman"/>
          <w:color w:val="000000" w:themeColor="text1"/>
          <w:sz w:val="24"/>
          <w:szCs w:val="24"/>
        </w:rPr>
        <w:t xml:space="preserve"> Microbial contamination is a concern for medicinal plant products. Micro</w:t>
      </w:r>
      <w:r w:rsidRPr="004F0A7F">
        <w:rPr>
          <w:rFonts w:ascii="Times New Roman" w:hAnsi="Times New Roman" w:cs="Times New Roman"/>
          <w:color w:val="000000" w:themeColor="text1"/>
          <w:sz w:val="24"/>
          <w:szCs w:val="24"/>
        </w:rPr>
        <w:t xml:space="preserve">biological analysis involves testing for the presence of microorganisms </w:t>
      </w:r>
      <w:r w:rsidRPr="004F0A7F">
        <w:rPr>
          <w:rFonts w:ascii="Times New Roman" w:hAnsi="Times New Roman" w:cs="Times New Roman"/>
          <w:color w:val="000000" w:themeColor="text1"/>
          <w:sz w:val="24"/>
          <w:szCs w:val="24"/>
        </w:rPr>
        <w:lastRenderedPageBreak/>
        <w:t>such as bacteria, fungi, and yeast, which can cause spoilage or contamination. Techniques like microbial culture, colony counting, and identification methods are used for microbiologic</w:t>
      </w:r>
      <w:r w:rsidRPr="004F0A7F">
        <w:rPr>
          <w:rFonts w:ascii="Times New Roman" w:hAnsi="Times New Roman" w:cs="Times New Roman"/>
          <w:color w:val="000000" w:themeColor="text1"/>
          <w:sz w:val="24"/>
          <w:szCs w:val="24"/>
        </w:rPr>
        <w:t>al evaluation.</w:t>
      </w:r>
    </w:p>
    <w:p w14:paraId="3B1BA2EA" w14:textId="68970DF5" w:rsidR="00574309" w:rsidRPr="004F0A7F" w:rsidRDefault="00BB4C00" w:rsidP="00A940A5">
      <w:pPr>
        <w:pStyle w:val="ListParagraph"/>
        <w:numPr>
          <w:ilvl w:val="0"/>
          <w:numId w:val="9"/>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Pesticide Residue Analysis:</w:t>
      </w:r>
      <w:r w:rsidRPr="004F0A7F">
        <w:rPr>
          <w:rFonts w:ascii="Times New Roman" w:hAnsi="Times New Roman" w:cs="Times New Roman"/>
          <w:color w:val="000000" w:themeColor="text1"/>
          <w:sz w:val="24"/>
          <w:szCs w:val="24"/>
        </w:rPr>
        <w:t xml:space="preserve"> Medicinal plants may be tested for pesticide residues to ensure compliance with safety standards. Analytical techniques like gas chromatography (GC) or liquid chromatography (LC) coupled with mass spectrometry (MS</w:t>
      </w:r>
      <w:r w:rsidRPr="004F0A7F">
        <w:rPr>
          <w:rFonts w:ascii="Times New Roman" w:hAnsi="Times New Roman" w:cs="Times New Roman"/>
          <w:color w:val="000000" w:themeColor="text1"/>
          <w:sz w:val="24"/>
          <w:szCs w:val="24"/>
        </w:rPr>
        <w:t>) are commonly employed for pesticide residue analysis</w:t>
      </w:r>
      <w:r w:rsidR="00FF7432">
        <w:rPr>
          <w:rFonts w:ascii="Times New Roman" w:hAnsi="Times New Roman" w:cs="Times New Roman"/>
          <w:color w:val="000000" w:themeColor="text1"/>
          <w:sz w:val="24"/>
          <w:szCs w:val="24"/>
        </w:rPr>
        <w:t xml:space="preserve"> </w:t>
      </w:r>
      <w:r w:rsidR="00FF7432">
        <w:rPr>
          <w:rFonts w:ascii="Times New Roman" w:hAnsi="Times New Roman" w:cs="Times New Roman"/>
          <w:color w:val="000000" w:themeColor="text1"/>
          <w:sz w:val="24"/>
          <w:szCs w:val="24"/>
        </w:rPr>
        <w:fldChar w:fldCharType="begin" w:fldLock="1"/>
      </w:r>
      <w:r w:rsidR="00FF7432">
        <w:rPr>
          <w:rFonts w:ascii="Times New Roman" w:hAnsi="Times New Roman" w:cs="Times New Roman"/>
          <w:color w:val="000000" w:themeColor="text1"/>
          <w:sz w:val="24"/>
          <w:szCs w:val="24"/>
        </w:rPr>
        <w:instrText>ADDIN CSL_CITATION {"citationItems":[{"id":"ITEM-1","itemData":{"DOI":"10.4103/jpbs.JPBS_46_19","ISSN":"09757406","abstract":"Objective: The main objective of the current study was to perform pharmacognostical, physiochemical analysis and in vitro antioxidant activity of Tamarindus indica Linn. (Family: Fabaceae) fruit. Materials and Methods: The present study deals with pharmacognostical characters as identification parameters of the fruit, which were subjected to macro- and microscopical studies. Physiochemical analysis was performed as per World Health Organization-recommended parameters. Toxicological parameters such as heavy metals, aflatoxins, and pesticide residue and presence of microbial count were analyzed. This study also deals with the thin layer chromatography/high performance thin layer chromatography fingerprinting and antioxidant activity. Results: The microscopy study revealed the presence of epidermis, vascular bundles, parenchyma cells, mucilage fiber, starch grain, and nonlignified fibers. Physiochemical parameters such as loss on drying, moisture content, ash value, and extractive value were also determined. Heavy metal, aflatoxin, total microbial load, and pesticide residues were found to be variable but under the permissible limits. Conclusion: It is critical to analyze these parameters in each crude herbal drug before further processing to ensure their safety and efficacy for better approval at the international podium. This study revealed precise identification for the meticulous crude drug which will be valuable in detection and manage to adulterations of the raw material.","author":[{"dropping-particle":"","family":"Amir","given":"Mohd","non-dropping-particle":"","parse-names":false,"suffix":""},{"dropping-particle":"","family":"Ahmad","given":"Niyaz","non-dropping-particle":"","parse-names":false,"suffix":""},{"dropping-particle":"","family":"Sarfaroz","given":"Md","non-dropping-particle":"","parse-names":false,"suffix":""},{"dropping-particle":"","family":"Ahmad","given":"Wasim","non-dropping-particle":"","parse-names":false,"suffix":""},{"dropping-particle":"","family":"Ahmad","given":"Sayeed","non-dropping-particle":"","parse-names":false,"suffix":""},{"dropping-particle":"","family":"Mujeeb","given":"Mohd","non-dropping-particle":"","parse-names":false,"suffix":""},{"dropping-particle":"","family":"Pottoo","given":"Faheem","non-dropping-particle":"","parse-names":false,"suffix":""}],"container-title":"Journal of Pharmacy and Bioallied Sciences","id":"ITEM-1","issued":{"date-parts":[["2019"]]},"title":"Tamarindus indica fruit: Pharmacognostical standardization, detection of contaminant, and in vitro antioxidant activity","type":"article-journal"},"uris":["http://www.mendeley.com/documents/?uuid=7a6700a5-0ca7-47b3-8a3d-490171cfaf4e"]}],"mendeley":{"formattedCitation":"[30]","plainTextFormattedCitation":"[30]","previouslyFormattedCitation":"[30]"},"properties":{"noteIndex":0},"schema":"https://github.com/citation-style-language/schema/raw/master/csl-citation.json"}</w:instrText>
      </w:r>
      <w:r w:rsidR="00FF7432">
        <w:rPr>
          <w:rFonts w:ascii="Times New Roman" w:hAnsi="Times New Roman" w:cs="Times New Roman"/>
          <w:color w:val="000000" w:themeColor="text1"/>
          <w:sz w:val="24"/>
          <w:szCs w:val="24"/>
        </w:rPr>
        <w:fldChar w:fldCharType="separate"/>
      </w:r>
      <w:r w:rsidR="00FF7432" w:rsidRPr="00FF7432">
        <w:rPr>
          <w:rFonts w:ascii="Times New Roman" w:hAnsi="Times New Roman" w:cs="Times New Roman"/>
          <w:noProof/>
          <w:color w:val="000000" w:themeColor="text1"/>
          <w:sz w:val="24"/>
          <w:szCs w:val="24"/>
        </w:rPr>
        <w:t>[30]</w:t>
      </w:r>
      <w:r w:rsidR="00FF7432">
        <w:rPr>
          <w:rFonts w:ascii="Times New Roman" w:hAnsi="Times New Roman" w:cs="Times New Roman"/>
          <w:color w:val="000000" w:themeColor="text1"/>
          <w:sz w:val="24"/>
          <w:szCs w:val="24"/>
        </w:rPr>
        <w:fldChar w:fldCharType="end"/>
      </w:r>
      <w:r w:rsidRPr="004F0A7F">
        <w:rPr>
          <w:rFonts w:ascii="Times New Roman" w:hAnsi="Times New Roman" w:cs="Times New Roman"/>
          <w:color w:val="000000" w:themeColor="text1"/>
          <w:sz w:val="24"/>
          <w:szCs w:val="24"/>
        </w:rPr>
        <w:t>.</w:t>
      </w:r>
    </w:p>
    <w:p w14:paraId="08B1C136" w14:textId="362CD26B" w:rsidR="00574309" w:rsidRPr="004F0A7F" w:rsidRDefault="00BB4C00" w:rsidP="00A940A5">
      <w:pPr>
        <w:pStyle w:val="ListParagraph"/>
        <w:numPr>
          <w:ilvl w:val="0"/>
          <w:numId w:val="9"/>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Stability Testing:</w:t>
      </w:r>
      <w:r w:rsidRPr="004F0A7F">
        <w:rPr>
          <w:rFonts w:ascii="Times New Roman" w:hAnsi="Times New Roman" w:cs="Times New Roman"/>
          <w:color w:val="000000" w:themeColor="text1"/>
          <w:sz w:val="24"/>
          <w:szCs w:val="24"/>
        </w:rPr>
        <w:t xml:space="preserve"> Stability studies are conducted to assess the shelf life and storage conditions of medicinal plant products. These studies involve subjecting the products to various environmental conditions (temperature, humidity, light) over a specified period to evalua</w:t>
      </w:r>
      <w:r w:rsidRPr="004F0A7F">
        <w:rPr>
          <w:rFonts w:ascii="Times New Roman" w:hAnsi="Times New Roman" w:cs="Times New Roman"/>
          <w:color w:val="000000" w:themeColor="text1"/>
          <w:sz w:val="24"/>
          <w:szCs w:val="24"/>
        </w:rPr>
        <w:t>te changes in quality, potency, and degradation</w:t>
      </w:r>
      <w:r w:rsidR="00FF7432">
        <w:rPr>
          <w:rFonts w:ascii="Times New Roman" w:hAnsi="Times New Roman" w:cs="Times New Roman"/>
          <w:color w:val="000000" w:themeColor="text1"/>
          <w:sz w:val="24"/>
          <w:szCs w:val="24"/>
        </w:rPr>
        <w:t xml:space="preserve"> </w:t>
      </w:r>
      <w:r w:rsidR="00FF7432">
        <w:rPr>
          <w:rFonts w:ascii="Times New Roman" w:hAnsi="Times New Roman" w:cs="Times New Roman"/>
          <w:color w:val="000000" w:themeColor="text1"/>
          <w:sz w:val="24"/>
          <w:szCs w:val="24"/>
        </w:rPr>
        <w:fldChar w:fldCharType="begin" w:fldLock="1"/>
      </w:r>
      <w:r w:rsidR="00FF7432">
        <w:rPr>
          <w:rFonts w:ascii="Times New Roman" w:hAnsi="Times New Roman" w:cs="Times New Roman"/>
          <w:color w:val="000000" w:themeColor="text1"/>
          <w:sz w:val="24"/>
          <w:szCs w:val="24"/>
        </w:rPr>
        <w:instrText>ADDIN CSL_CITATION {"citationItems":[{"id":"ITEM-1","itemData":{"DOI":"10.1080/07391102.2020.1787226","ISSN":"15380254","PMID":"32627715","abstract":"In the present study, we explored phytochemical constituents of Tinospora cordifolia in terms of its binding affinity targeting the active site pocket of the main protease (3CL pro) of SARS-CoV-2 using molecular docking study and assessed the stability of top docking complex of tinosponone and 3CL pro using molecular dynamics simulations with GROMACS 2020.2 version. Out of 11 curated screened compounds, we found the significant docking score for tinosponone, xanosporic acid, cardiofolioside B, tembetarine and berberine in Tinospora cordifolia. Based on the findings of the docking study, it was confirmed that tinosponone is the potent inhibitor of main protease of SARS-CoV-2 with the best binding affinity of −7.7 kcal/mol. Further, ADME along with toxicity analysis was studied to predict the pharmacokinetics and drug-likeness properties of five top hits compounds. The molecular dynamics simulation analysis confirmed the stability of tinosponone and 3CL pro complex with a random mean square deviation (RMSD) value of 0.1 nm. The computer-aided drug design approach proved that the compound tinosponone from T. cordifolia is a potent inhibitor of 3CL main protease of SARS-CoV-2. Further, the in vitro and in vivo-based testing will be required to confirm its inhibitory effect on SARS-CoV-2. Communicated by Ramaswamy H. Sarma.","author":[{"dropping-particle":"","family":"Krupanidhi","given":"S.","non-dropping-particle":"","parse-names":false,"suffix":""},{"dropping-particle":"","family":"Abraham Peele","given":"K.","non-dropping-particle":"","parse-names":false,"suffix":""},{"dropping-particle":"","family":"Venkateswarulu","given":"T. C.","non-dropping-particle":"","parse-names":false,"suffix":""},{"dropping-particle":"","family":"Ayyagari","given":"Vijaya Sai","non-dropping-particle":"","parse-names":false,"suffix":""},{"dropping-particle":"","family":"Nazneen Bobby","given":"Md","non-dropping-particle":"","parse-names":false,"suffix":""},{"dropping-particle":"","family":"John Babu","given":"D.","non-dropping-particle":"","parse-names":false,"suffix":""},{"dropping-particle":"","family":"Venkata Narayana","given":"A.","non-dropping-particle":"","parse-names":false,"suffix":""},{"dropping-particle":"","family":"Aishwarya","given":"G.","non-dropping-particle":"","parse-names":false,"suffix":""}],"container-title":"Journal of Biomolecular Structure and Dynamics","id":"ITEM-1","issued":{"date-parts":[["2020"]]},"title":"Screening of phytochemical compounds of Tinospora cordifolia for their inhibitory activity on SARS-CoV-2: an in silico study","type":"article-journal"},"uris":["http://www.mendeley.com/documents/?uuid=e069fc9b-93c9-4d06-8fc6-d2ac306fc818"]}],"mendeley":{"formattedCitation":"[31]","plainTextFormattedCitation":"[31]","previouslyFormattedCitation":"[31]"},"properties":{"noteIndex":0},"schema":"https://github.com/citation-style-language/schema/raw/master/csl-citation.json"}</w:instrText>
      </w:r>
      <w:r w:rsidR="00FF7432">
        <w:rPr>
          <w:rFonts w:ascii="Times New Roman" w:hAnsi="Times New Roman" w:cs="Times New Roman"/>
          <w:color w:val="000000" w:themeColor="text1"/>
          <w:sz w:val="24"/>
          <w:szCs w:val="24"/>
        </w:rPr>
        <w:fldChar w:fldCharType="separate"/>
      </w:r>
      <w:r w:rsidR="00FF7432" w:rsidRPr="00FF7432">
        <w:rPr>
          <w:rFonts w:ascii="Times New Roman" w:hAnsi="Times New Roman" w:cs="Times New Roman"/>
          <w:noProof/>
          <w:color w:val="000000" w:themeColor="text1"/>
          <w:sz w:val="24"/>
          <w:szCs w:val="24"/>
        </w:rPr>
        <w:t>[31]</w:t>
      </w:r>
      <w:r w:rsidR="00FF7432">
        <w:rPr>
          <w:rFonts w:ascii="Times New Roman" w:hAnsi="Times New Roman" w:cs="Times New Roman"/>
          <w:color w:val="000000" w:themeColor="text1"/>
          <w:sz w:val="24"/>
          <w:szCs w:val="24"/>
        </w:rPr>
        <w:fldChar w:fldCharType="end"/>
      </w:r>
      <w:r w:rsidRPr="004F0A7F">
        <w:rPr>
          <w:rFonts w:ascii="Times New Roman" w:hAnsi="Times New Roman" w:cs="Times New Roman"/>
          <w:color w:val="000000" w:themeColor="text1"/>
          <w:sz w:val="24"/>
          <w:szCs w:val="24"/>
        </w:rPr>
        <w:t>.</w:t>
      </w:r>
    </w:p>
    <w:p w14:paraId="1768BFE6" w14:textId="2A0B40F1" w:rsidR="00574309" w:rsidRPr="004F0A7F" w:rsidRDefault="00BB4C00" w:rsidP="00A940A5">
      <w:pPr>
        <w:pStyle w:val="ListParagraph"/>
        <w:numPr>
          <w:ilvl w:val="0"/>
          <w:numId w:val="9"/>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DNA Barcoding:</w:t>
      </w:r>
      <w:r w:rsidRPr="004F0A7F">
        <w:rPr>
          <w:rFonts w:ascii="Times New Roman" w:hAnsi="Times New Roman" w:cs="Times New Roman"/>
          <w:color w:val="000000" w:themeColor="text1"/>
          <w:sz w:val="24"/>
          <w:szCs w:val="24"/>
        </w:rPr>
        <w:t xml:space="preserve"> DNA barcoding is a molecular technique used to identify and authenticate medicinal plants. It involves sequencing specific regions of the plant's DNA and comparing them with a ref</w:t>
      </w:r>
      <w:r w:rsidRPr="004F0A7F">
        <w:rPr>
          <w:rFonts w:ascii="Times New Roman" w:hAnsi="Times New Roman" w:cs="Times New Roman"/>
          <w:color w:val="000000" w:themeColor="text1"/>
          <w:sz w:val="24"/>
          <w:szCs w:val="24"/>
        </w:rPr>
        <w:t>erence database to confirm the plant's identity and detect any potential adulteration or substitution</w:t>
      </w:r>
      <w:r w:rsidR="00FF7432">
        <w:rPr>
          <w:rFonts w:ascii="Times New Roman" w:hAnsi="Times New Roman" w:cs="Times New Roman"/>
          <w:color w:val="000000" w:themeColor="text1"/>
          <w:sz w:val="24"/>
          <w:szCs w:val="24"/>
        </w:rPr>
        <w:t xml:space="preserve"> </w:t>
      </w:r>
      <w:r w:rsidR="00FF7432">
        <w:rPr>
          <w:rFonts w:ascii="Times New Roman" w:hAnsi="Times New Roman" w:cs="Times New Roman"/>
          <w:color w:val="000000" w:themeColor="text1"/>
          <w:sz w:val="24"/>
          <w:szCs w:val="24"/>
        </w:rPr>
        <w:fldChar w:fldCharType="begin" w:fldLock="1"/>
      </w:r>
      <w:r w:rsidR="00FF7432">
        <w:rPr>
          <w:rFonts w:ascii="Times New Roman" w:hAnsi="Times New Roman" w:cs="Times New Roman"/>
          <w:color w:val="000000" w:themeColor="text1"/>
          <w:sz w:val="24"/>
          <w:szCs w:val="24"/>
        </w:rPr>
        <w:instrText>ADDIN CSL_CITATION {"citationItems":[{"id":"ITEM-1","itemData":{"DOI":"10.1016/j.jpba.2015.06.024","ISSN":"1873264X","abstract":"Focus of the study is to identify a safe alternate to Hormone Replacement Therapy by identifying the presence of β-sitosterol and stigmasterol in the hydroalcoholic extract of Bambusa bambos using HPTLC and RP-HPLC-PDA; by evaluating the estrogenic effects of extract containing β-sitosterol and stigmasterol on the growth of MCF-7 cells in vitro. Plant material was identified by DNA sequencing analysis. Presence of β-sitosterol and stigmasterol was confirmed by HPTLC and direct RP-HPLC-PDA. Peaks with retention time about 19.13 and 21.16. min were found to be stigmasterol and β-sitosterol in extract. Extract was not cytotoxic to MCF-7 cells in any of the dilutions. It induced cell proliferation and all the dilutions except &lt;500. μg/ml have significantly increased cell multiplication. 15.6, 31.2, 62.5 and 125. μg/ml of HEBB have shown influence on the proliferation rates similar to the standard 17β-estradiol. The results suggest that HEBB might be used as a safe alternative to estrogen replacement therapies.","author":[{"dropping-particle":"","family":"Sriraman","given":"Sandhiya","non-dropping-particle":"","parse-names":false,"suffix":""},{"dropping-particle":"","family":"Ramanujam","given":"Ganesh Munuswamy","non-dropping-particle":"","parse-names":false,"suffix":""},{"dropping-particle":"","family":"Ramasamy","given":"Mohan Kumar","non-dropping-particle":"","parse-names":false,"suffix":""},{"dropping-particle":"","family":"Dubey","given":"Govind Prasad","non-dropping-particle":"","parse-names":false,"suffix":""}],"container-title":"Journal of Pharmaceutical and Biomedical Analysis","id":"ITEM-1","issued":{"date-parts":[["2015"]]},"title":"Identification of beta-sitosterol and stigmasterol in Bambusa bambos (L.) Voss leaf extract using HPLC and its estrogenic effect in vitro","type":"article-journal"},"uris":["http://www.mendeley.com/documents/?uuid=770ea836-ff50-426e-8d24-443a4f1827c2"]}],"mendeley":{"formattedCitation":"[32]","plainTextFormattedCitation":"[32]","previouslyFormattedCitation":"[32]"},"properties":{"noteIndex":0},"schema":"https://github.com/citation-style-language/schema/raw/master/csl-citation.json"}</w:instrText>
      </w:r>
      <w:r w:rsidR="00FF7432">
        <w:rPr>
          <w:rFonts w:ascii="Times New Roman" w:hAnsi="Times New Roman" w:cs="Times New Roman"/>
          <w:color w:val="000000" w:themeColor="text1"/>
          <w:sz w:val="24"/>
          <w:szCs w:val="24"/>
        </w:rPr>
        <w:fldChar w:fldCharType="separate"/>
      </w:r>
      <w:r w:rsidR="00FF7432" w:rsidRPr="00FF7432">
        <w:rPr>
          <w:rFonts w:ascii="Times New Roman" w:hAnsi="Times New Roman" w:cs="Times New Roman"/>
          <w:noProof/>
          <w:color w:val="000000" w:themeColor="text1"/>
          <w:sz w:val="24"/>
          <w:szCs w:val="24"/>
        </w:rPr>
        <w:t>[32]</w:t>
      </w:r>
      <w:r w:rsidR="00FF7432">
        <w:rPr>
          <w:rFonts w:ascii="Times New Roman" w:hAnsi="Times New Roman" w:cs="Times New Roman"/>
          <w:color w:val="000000" w:themeColor="text1"/>
          <w:sz w:val="24"/>
          <w:szCs w:val="24"/>
        </w:rPr>
        <w:fldChar w:fldCharType="end"/>
      </w:r>
      <w:r w:rsidRPr="004F0A7F">
        <w:rPr>
          <w:rFonts w:ascii="Times New Roman" w:hAnsi="Times New Roman" w:cs="Times New Roman"/>
          <w:color w:val="000000" w:themeColor="text1"/>
          <w:sz w:val="24"/>
          <w:szCs w:val="24"/>
        </w:rPr>
        <w:t>.</w:t>
      </w:r>
    </w:p>
    <w:p w14:paraId="366E5111" w14:textId="317EFB50" w:rsidR="00574309" w:rsidRPr="004F0A7F" w:rsidRDefault="00BB4C00" w:rsidP="00A940A5">
      <w:pPr>
        <w:pStyle w:val="ListParagraph"/>
        <w:numPr>
          <w:ilvl w:val="0"/>
          <w:numId w:val="9"/>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Bioassays:</w:t>
      </w:r>
      <w:r w:rsidRPr="004F0A7F">
        <w:rPr>
          <w:rFonts w:ascii="Times New Roman" w:hAnsi="Times New Roman" w:cs="Times New Roman"/>
          <w:color w:val="000000" w:themeColor="text1"/>
          <w:sz w:val="24"/>
          <w:szCs w:val="24"/>
        </w:rPr>
        <w:t xml:space="preserve"> Bioassays are biological tests conducted to evaluate the biological activity and potency of medicinal plants. These tests can involve assessing antimicrob</w:t>
      </w:r>
      <w:r w:rsidRPr="004F0A7F">
        <w:rPr>
          <w:rFonts w:ascii="Times New Roman" w:hAnsi="Times New Roman" w:cs="Times New Roman"/>
          <w:color w:val="000000" w:themeColor="text1"/>
          <w:sz w:val="24"/>
          <w:szCs w:val="24"/>
        </w:rPr>
        <w:t>ial activity, antioxidant activity, anti-inflammatory properties, or other specific therapeutic effects. Bioassays help determine the quality and efficacy of medicinal plant extracts or preparations</w:t>
      </w:r>
      <w:r w:rsidR="00FF7432">
        <w:rPr>
          <w:rFonts w:ascii="Times New Roman" w:hAnsi="Times New Roman" w:cs="Times New Roman"/>
          <w:color w:val="000000" w:themeColor="text1"/>
          <w:sz w:val="24"/>
          <w:szCs w:val="24"/>
        </w:rPr>
        <w:t xml:space="preserve"> </w:t>
      </w:r>
      <w:r w:rsidR="00FF7432">
        <w:rPr>
          <w:rFonts w:ascii="Times New Roman" w:hAnsi="Times New Roman" w:cs="Times New Roman"/>
          <w:color w:val="000000" w:themeColor="text1"/>
          <w:sz w:val="24"/>
          <w:szCs w:val="24"/>
        </w:rPr>
        <w:fldChar w:fldCharType="begin" w:fldLock="1"/>
      </w:r>
      <w:r w:rsidR="00FF7432">
        <w:rPr>
          <w:rFonts w:ascii="Times New Roman" w:hAnsi="Times New Roman" w:cs="Times New Roman"/>
          <w:color w:val="000000" w:themeColor="text1"/>
          <w:sz w:val="24"/>
          <w:szCs w:val="24"/>
        </w:rPr>
        <w:instrText>ADDIN CSL_CITATION {"citationItems":[{"id":"ITEM-1","itemData":{"DOI":"10.1021/acsomega.0c02995","ISSN":"24701343","abstract":"BGR-34 is a polyherbal formulation frequently used to combat diabetes around the globe especially in Asian countries. It provides an attractive treatment option to prediabetics, diabetics, and in metabolic disorders by controlling the altered blood glucose level. The lack of phytopharmacological studies on BGR-34 prompted as to reveal the compounds responsible for the antidiabetic and free-radical scavenging activity of BGR-34. An attempt was made to assess in vitro α-amylase and α-glucosidase enzyme inhibition of BGR-34 along with its free-radical scavenging potential via DPPH scavenging activity. Further, HPTLC profiling and quantitative analysis of berberine and palmatine in BGR-34 were carried out. Thereafter, the TLC-bioautographic-MS analysis was performed to identify the compounds responsible for antidiabetic and antioxidant activities in BGR-34. The results had shown a significant and dose-dependent inhibition potential of BGR-34 against in vitro α-amylase and α-glucosidase enzymatic reactions along with significant inhibition in DPPH free-radical scavenging activity. The HPTLC profiling and quantitative validation studies showed the presence of berberine and palmatine 44.926 ± 0.2907 and 10.507 ± 0.154 μg/g, respectively. The TLC-MS bioautography revealed a total of four DPPH-active, two α-amylase-active, and nine α-glucosidaseactive compounds in BGR-34. It was observed from the study that BGR-34 possesses verities of bioactive compounds, which are reasonable not only for its antidiabetic effect but also for its antioxidant activity.","author":[{"dropping-particle":"","family":"Gaurav","given":"","non-dropping-particle":"","parse-names":false,"suffix":""},{"dropping-particle":"","family":"Zahiruddin","given":"Sultan","non-dropping-particle":"","parse-names":false,"suffix":""},{"dropping-particle":"","family":"Parveen","given":"Bushra","non-dropping-particle":"","parse-names":false,"suffix":""},{"dropping-particle":"","family":"Ibrahim","given":"Mohammad","non-dropping-particle":"","parse-names":false,"suffix":""},{"dropping-particle":"","family":"Sharma","given":"Ikshit","non-dropping-particle":"","parse-names":false,"suffix":""},{"dropping-particle":"","family":"Sharma","given":"Sanchit","non-dropping-particle":"","parse-names":false,"suffix":""},{"dropping-particle":"","family":"Sharma","given":"Anil Kumar","non-dropping-particle":"","parse-names":false,"suffix":""},{"dropping-particle":"","family":"Parveen","given":"Rabea","non-dropping-particle":"","parse-names":false,"suffix":""},{"dropping-particle":"","family":"Ahmad","given":"Sayeed","non-dropping-particle":"","parse-names":false,"suffix":""}],"container-title":"ACS Omega","id":"ITEM-1","issued":{"date-parts":[["2020"]]},"title":"TLC-MS bioautography-based identification of free-radical scavenging, α‑amylase, and α‑glucosidase inhibitor compounds of antidiabetic tablet BGR-34","type":"article-journal"},"uris":["http://www.mendeley.com/documents/?uuid=03233ac1-eb07-4505-a907-fd7d9989759c"]}],"mendeley":{"formattedCitation":"[15]","plainTextFormattedCitation":"[15]","previouslyFormattedCitation":"[15]"},"properties":{"noteIndex":0},"schema":"https://github.com/citation-style-language/schema/raw/master/csl-citation.json"}</w:instrText>
      </w:r>
      <w:r w:rsidR="00FF7432">
        <w:rPr>
          <w:rFonts w:ascii="Times New Roman" w:hAnsi="Times New Roman" w:cs="Times New Roman"/>
          <w:color w:val="000000" w:themeColor="text1"/>
          <w:sz w:val="24"/>
          <w:szCs w:val="24"/>
        </w:rPr>
        <w:fldChar w:fldCharType="separate"/>
      </w:r>
      <w:r w:rsidR="00FF7432" w:rsidRPr="00FF7432">
        <w:rPr>
          <w:rFonts w:ascii="Times New Roman" w:hAnsi="Times New Roman" w:cs="Times New Roman"/>
          <w:noProof/>
          <w:color w:val="000000" w:themeColor="text1"/>
          <w:sz w:val="24"/>
          <w:szCs w:val="24"/>
        </w:rPr>
        <w:t>[15]</w:t>
      </w:r>
      <w:r w:rsidR="00FF7432">
        <w:rPr>
          <w:rFonts w:ascii="Times New Roman" w:hAnsi="Times New Roman" w:cs="Times New Roman"/>
          <w:color w:val="000000" w:themeColor="text1"/>
          <w:sz w:val="24"/>
          <w:szCs w:val="24"/>
        </w:rPr>
        <w:fldChar w:fldCharType="end"/>
      </w:r>
      <w:r w:rsidRPr="004F0A7F">
        <w:rPr>
          <w:rFonts w:ascii="Times New Roman" w:hAnsi="Times New Roman" w:cs="Times New Roman"/>
          <w:color w:val="000000" w:themeColor="text1"/>
          <w:sz w:val="24"/>
          <w:szCs w:val="24"/>
        </w:rPr>
        <w:t>.</w:t>
      </w:r>
    </w:p>
    <w:p w14:paraId="535CD2D8" w14:textId="2D7AA15C" w:rsidR="00574309" w:rsidRPr="004F0A7F" w:rsidRDefault="00BB4C00" w:rsidP="00A940A5">
      <w:pPr>
        <w:pStyle w:val="ListParagraph"/>
        <w:numPr>
          <w:ilvl w:val="0"/>
          <w:numId w:val="9"/>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Resid</w:t>
      </w:r>
      <w:r w:rsidRPr="004F0A7F">
        <w:rPr>
          <w:rFonts w:ascii="Times New Roman" w:hAnsi="Times New Roman" w:cs="Times New Roman"/>
          <w:b/>
          <w:bCs/>
          <w:color w:val="000000" w:themeColor="text1"/>
          <w:sz w:val="24"/>
          <w:szCs w:val="24"/>
        </w:rPr>
        <w:t>ual Solvent Analysis:</w:t>
      </w:r>
      <w:r w:rsidRPr="004F0A7F">
        <w:rPr>
          <w:rFonts w:ascii="Times New Roman" w:hAnsi="Times New Roman" w:cs="Times New Roman"/>
          <w:color w:val="000000" w:themeColor="text1"/>
          <w:sz w:val="24"/>
          <w:szCs w:val="24"/>
        </w:rPr>
        <w:t xml:space="preserve"> Medicinal plant extracts are often prepared using solvents. Residual solvent analysis involves testing for the presence of residual solvents in the final product. Gas chromatography (GC) or other analytical techniques are used to ensu</w:t>
      </w:r>
      <w:r w:rsidRPr="004F0A7F">
        <w:rPr>
          <w:rFonts w:ascii="Times New Roman" w:hAnsi="Times New Roman" w:cs="Times New Roman"/>
          <w:color w:val="000000" w:themeColor="text1"/>
          <w:sz w:val="24"/>
          <w:szCs w:val="24"/>
        </w:rPr>
        <w:t>re that the levels of residual solvents are within acceptable limits, as per regulatory guidelines</w:t>
      </w:r>
      <w:r w:rsidR="00FF7432">
        <w:rPr>
          <w:rFonts w:ascii="Times New Roman" w:hAnsi="Times New Roman" w:cs="Times New Roman"/>
          <w:color w:val="000000" w:themeColor="text1"/>
          <w:sz w:val="24"/>
          <w:szCs w:val="24"/>
        </w:rPr>
        <w:t xml:space="preserve"> </w:t>
      </w:r>
      <w:r w:rsidR="00FF7432">
        <w:rPr>
          <w:rFonts w:ascii="Times New Roman" w:hAnsi="Times New Roman" w:cs="Times New Roman"/>
          <w:color w:val="000000" w:themeColor="text1"/>
          <w:sz w:val="24"/>
          <w:szCs w:val="24"/>
        </w:rPr>
        <w:fldChar w:fldCharType="begin" w:fldLock="1"/>
      </w:r>
      <w:r w:rsidR="009E57EB">
        <w:rPr>
          <w:rFonts w:ascii="Times New Roman" w:hAnsi="Times New Roman" w:cs="Times New Roman"/>
          <w:color w:val="000000" w:themeColor="text1"/>
          <w:sz w:val="24"/>
          <w:szCs w:val="24"/>
        </w:rPr>
        <w:instrText>ADDIN CSL_CITATION {"citationItems":[{"id":"ITEM-1","itemData":{"DOI":"10.4103/pm.pm_582_21","author":[{"dropping-particle":"","family":"Gaurav","given":"","non-dropping-particle":"","parse-names":false,"suffix":""}],"container-title":"Pharmacognosy Magazine","id":"ITEM-1","issue":"79","issued":{"date-parts":[["2022"]]},"page":"548-558","title":"GC–MS metabolomics and network pharmacology-based investigation of molecular mechanism of identified metabolites from Tinospora cordifolia (Willd.) miers for the treatment of kidney diseases","type":"article-journal","volume":"18"},"uris":["http://www.mendeley.com/documents/?uuid=1266cacc-268f-453d-a7ac-37d784319f42"]}],"mendeley":{"formattedCitation":"[1]","plainTextFormattedCitation":"[1]","previouslyFormattedCitation":"[1]"},"properties":{"noteIndex":0},"schema":"https://github.com/citation-style-language/schema/raw/master/csl-citation.json"}</w:instrText>
      </w:r>
      <w:r w:rsidR="00FF7432">
        <w:rPr>
          <w:rFonts w:ascii="Times New Roman" w:hAnsi="Times New Roman" w:cs="Times New Roman"/>
          <w:color w:val="000000" w:themeColor="text1"/>
          <w:sz w:val="24"/>
          <w:szCs w:val="24"/>
        </w:rPr>
        <w:fldChar w:fldCharType="separate"/>
      </w:r>
      <w:r w:rsidR="00FF7432" w:rsidRPr="00FF7432">
        <w:rPr>
          <w:rFonts w:ascii="Times New Roman" w:hAnsi="Times New Roman" w:cs="Times New Roman"/>
          <w:noProof/>
          <w:color w:val="000000" w:themeColor="text1"/>
          <w:sz w:val="24"/>
          <w:szCs w:val="24"/>
        </w:rPr>
        <w:t>[1]</w:t>
      </w:r>
      <w:r w:rsidR="00FF7432">
        <w:rPr>
          <w:rFonts w:ascii="Times New Roman" w:hAnsi="Times New Roman" w:cs="Times New Roman"/>
          <w:color w:val="000000" w:themeColor="text1"/>
          <w:sz w:val="24"/>
          <w:szCs w:val="24"/>
        </w:rPr>
        <w:fldChar w:fldCharType="end"/>
      </w:r>
      <w:r w:rsidRPr="004F0A7F">
        <w:rPr>
          <w:rFonts w:ascii="Times New Roman" w:hAnsi="Times New Roman" w:cs="Times New Roman"/>
          <w:color w:val="000000" w:themeColor="text1"/>
          <w:sz w:val="24"/>
          <w:szCs w:val="24"/>
        </w:rPr>
        <w:t>.</w:t>
      </w:r>
    </w:p>
    <w:p w14:paraId="5AB53761" w14:textId="38303F8A" w:rsidR="00574309" w:rsidRPr="004F0A7F" w:rsidRDefault="00BB4C00" w:rsidP="00A940A5">
      <w:pPr>
        <w:pStyle w:val="ListParagraph"/>
        <w:numPr>
          <w:ilvl w:val="0"/>
          <w:numId w:val="9"/>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Foreign Matter Ana</w:t>
      </w:r>
      <w:r w:rsidRPr="004F0A7F">
        <w:rPr>
          <w:rFonts w:ascii="Times New Roman" w:hAnsi="Times New Roman" w:cs="Times New Roman"/>
          <w:b/>
          <w:bCs/>
          <w:color w:val="000000" w:themeColor="text1"/>
          <w:sz w:val="24"/>
          <w:szCs w:val="24"/>
        </w:rPr>
        <w:t>lysis:</w:t>
      </w:r>
      <w:r w:rsidRPr="004F0A7F">
        <w:rPr>
          <w:rFonts w:ascii="Times New Roman" w:hAnsi="Times New Roman" w:cs="Times New Roman"/>
          <w:color w:val="000000" w:themeColor="text1"/>
          <w:sz w:val="24"/>
          <w:szCs w:val="24"/>
        </w:rPr>
        <w:t xml:space="preserve"> Medicinal plant materials should be free from any extraneous matter or contaminants. Foreign matter analysis involves the visual inspection and microscopic examination of the plant material to detect the presence of any foreign particles, such as so</w:t>
      </w:r>
      <w:r w:rsidRPr="004F0A7F">
        <w:rPr>
          <w:rFonts w:ascii="Times New Roman" w:hAnsi="Times New Roman" w:cs="Times New Roman"/>
          <w:color w:val="000000" w:themeColor="text1"/>
          <w:sz w:val="24"/>
          <w:szCs w:val="24"/>
        </w:rPr>
        <w:t>il, insects, or other plant parts.</w:t>
      </w:r>
    </w:p>
    <w:p w14:paraId="0EC62062" w14:textId="2E0252D9" w:rsidR="00574309" w:rsidRPr="004F0A7F" w:rsidRDefault="00BB4C00" w:rsidP="00A940A5">
      <w:pPr>
        <w:pStyle w:val="ListParagraph"/>
        <w:numPr>
          <w:ilvl w:val="0"/>
          <w:numId w:val="9"/>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Allergen Testing:</w:t>
      </w:r>
      <w:r w:rsidRPr="004F0A7F">
        <w:rPr>
          <w:rFonts w:ascii="Times New Roman" w:hAnsi="Times New Roman" w:cs="Times New Roman"/>
          <w:color w:val="000000" w:themeColor="text1"/>
          <w:sz w:val="24"/>
          <w:szCs w:val="24"/>
        </w:rPr>
        <w:t xml:space="preserve"> Some medicinal plants may contain allergenic compounds that can trigger allergic reactions in sensitive individuals. Allergen testing involves screening for </w:t>
      </w:r>
      <w:r w:rsidRPr="004F0A7F">
        <w:rPr>
          <w:rFonts w:ascii="Times New Roman" w:hAnsi="Times New Roman" w:cs="Times New Roman"/>
          <w:color w:val="000000" w:themeColor="text1"/>
          <w:sz w:val="24"/>
          <w:szCs w:val="24"/>
        </w:rPr>
        <w:lastRenderedPageBreak/>
        <w:t>specific allergens associated with the plant m</w:t>
      </w:r>
      <w:r w:rsidRPr="004F0A7F">
        <w:rPr>
          <w:rFonts w:ascii="Times New Roman" w:hAnsi="Times New Roman" w:cs="Times New Roman"/>
          <w:color w:val="000000" w:themeColor="text1"/>
          <w:sz w:val="24"/>
          <w:szCs w:val="24"/>
        </w:rPr>
        <w:t>aterial, ensuring that the product is safe for consumption or use by individuals with known allergies.</w:t>
      </w:r>
    </w:p>
    <w:p w14:paraId="09F247F3" w14:textId="15A2148C" w:rsidR="00574309" w:rsidRDefault="00BB4C00"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 xml:space="preserve">These quality control techniques collectively help ensure the safety, efficacy, and consistency of medicinal plants and their products. By </w:t>
      </w:r>
      <w:r w:rsidRPr="004F0A7F">
        <w:rPr>
          <w:rFonts w:ascii="Times New Roman" w:hAnsi="Times New Roman" w:cs="Times New Roman"/>
          <w:color w:val="000000" w:themeColor="text1"/>
          <w:sz w:val="24"/>
          <w:szCs w:val="24"/>
        </w:rPr>
        <w:t>employing these methods, manufacturers and regulatory authorities can uphold quality standards, protect consumer health, and support the reliable use of medicinal plants in healthcare.</w:t>
      </w:r>
    </w:p>
    <w:p w14:paraId="05FAFF74" w14:textId="507211DC" w:rsidR="00D74C40" w:rsidRPr="00BB4C00" w:rsidRDefault="00BB4C00" w:rsidP="00BB4C00">
      <w:pPr>
        <w:pStyle w:val="Heading1"/>
        <w:numPr>
          <w:ilvl w:val="0"/>
          <w:numId w:val="8"/>
        </w:numPr>
        <w:rPr>
          <w:rFonts w:ascii="Times New Roman" w:hAnsi="Times New Roman" w:cs="Times New Roman"/>
          <w:b/>
          <w:bCs/>
        </w:rPr>
      </w:pPr>
      <w:r w:rsidRPr="00BB4C00">
        <w:rPr>
          <w:rFonts w:ascii="Times New Roman" w:hAnsi="Times New Roman" w:cs="Times New Roman"/>
          <w:b/>
          <w:bCs/>
          <w:color w:val="000000" w:themeColor="text1"/>
          <w:sz w:val="24"/>
          <w:szCs w:val="24"/>
        </w:rPr>
        <w:t xml:space="preserve">Conclusion </w:t>
      </w:r>
    </w:p>
    <w:p w14:paraId="355AE59F" w14:textId="18E1D213" w:rsidR="00D74C40" w:rsidRPr="00D74C40" w:rsidRDefault="00BB4C00" w:rsidP="00D74C40">
      <w:pPr>
        <w:spacing w:line="360" w:lineRule="auto"/>
        <w:jc w:val="both"/>
        <w:rPr>
          <w:rFonts w:ascii="Times New Roman" w:hAnsi="Times New Roman" w:cs="Times New Roman"/>
          <w:color w:val="000000" w:themeColor="text1"/>
          <w:sz w:val="24"/>
          <w:szCs w:val="24"/>
        </w:rPr>
      </w:pPr>
      <w:r w:rsidRPr="00D74C40">
        <w:rPr>
          <w:rFonts w:ascii="Times New Roman" w:hAnsi="Times New Roman" w:cs="Times New Roman"/>
          <w:color w:val="000000" w:themeColor="text1"/>
          <w:sz w:val="24"/>
          <w:szCs w:val="24"/>
        </w:rPr>
        <w:t>In conclusion, the current analytical approaches to quality</w:t>
      </w:r>
      <w:r w:rsidRPr="00D74C40">
        <w:rPr>
          <w:rFonts w:ascii="Times New Roman" w:hAnsi="Times New Roman" w:cs="Times New Roman"/>
          <w:color w:val="000000" w:themeColor="text1"/>
          <w:sz w:val="24"/>
          <w:szCs w:val="24"/>
        </w:rPr>
        <w:t xml:space="preserve"> evaluation of medicinal plants have significantly advanced our understanding and assessment of their therapeutic potential. These approaches combine tra</w:t>
      </w:r>
      <w:bookmarkStart w:id="0" w:name="_GoBack"/>
      <w:bookmarkEnd w:id="0"/>
      <w:r w:rsidRPr="00D74C40">
        <w:rPr>
          <w:rFonts w:ascii="Times New Roman" w:hAnsi="Times New Roman" w:cs="Times New Roman"/>
          <w:color w:val="000000" w:themeColor="text1"/>
          <w:sz w:val="24"/>
          <w:szCs w:val="24"/>
        </w:rPr>
        <w:t>ditional knowledge with modern scientific techniques to ensure the safety, efficacy, and consistency of</w:t>
      </w:r>
      <w:r w:rsidRPr="00D74C40">
        <w:rPr>
          <w:rFonts w:ascii="Times New Roman" w:hAnsi="Times New Roman" w:cs="Times New Roman"/>
          <w:color w:val="000000" w:themeColor="text1"/>
          <w:sz w:val="24"/>
          <w:szCs w:val="24"/>
        </w:rPr>
        <w:t xml:space="preserve"> medicinal plant products.</w:t>
      </w:r>
    </w:p>
    <w:p w14:paraId="3FC23797" w14:textId="58E5553E" w:rsidR="00D74C40" w:rsidRPr="00D74C40" w:rsidRDefault="00BB4C00" w:rsidP="00D74C40">
      <w:pPr>
        <w:spacing w:line="360" w:lineRule="auto"/>
        <w:jc w:val="both"/>
        <w:rPr>
          <w:rFonts w:ascii="Times New Roman" w:hAnsi="Times New Roman" w:cs="Times New Roman"/>
          <w:color w:val="000000" w:themeColor="text1"/>
          <w:sz w:val="24"/>
          <w:szCs w:val="24"/>
        </w:rPr>
      </w:pPr>
      <w:r w:rsidRPr="00D74C40">
        <w:rPr>
          <w:rFonts w:ascii="Times New Roman" w:hAnsi="Times New Roman" w:cs="Times New Roman"/>
          <w:color w:val="000000" w:themeColor="text1"/>
          <w:sz w:val="24"/>
          <w:szCs w:val="24"/>
        </w:rPr>
        <w:t>Analytical methods such as chromatography</w:t>
      </w:r>
      <w:r w:rsidRPr="00D74C40">
        <w:rPr>
          <w:rFonts w:ascii="Times New Roman" w:hAnsi="Times New Roman" w:cs="Times New Roman"/>
          <w:color w:val="000000" w:themeColor="text1"/>
          <w:sz w:val="24"/>
          <w:szCs w:val="24"/>
        </w:rPr>
        <w:t xml:space="preserve"> and spectrophotometry</w:t>
      </w:r>
      <w:r>
        <w:rPr>
          <w:rFonts w:ascii="Times New Roman" w:hAnsi="Times New Roman" w:cs="Times New Roman"/>
          <w:color w:val="000000" w:themeColor="text1"/>
          <w:sz w:val="24"/>
          <w:szCs w:val="24"/>
        </w:rPr>
        <w:t xml:space="preserve"> </w:t>
      </w:r>
      <w:r w:rsidRPr="00D74C40">
        <w:rPr>
          <w:rFonts w:ascii="Times New Roman" w:hAnsi="Times New Roman" w:cs="Times New Roman"/>
          <w:color w:val="000000" w:themeColor="text1"/>
          <w:sz w:val="24"/>
          <w:szCs w:val="24"/>
        </w:rPr>
        <w:t>are extensively utilized to identify and quantify bioactive compounds, contaminants, and adulterants in medicinal plants. These techniques enable the detection of a</w:t>
      </w:r>
      <w:r w:rsidRPr="00D74C40">
        <w:rPr>
          <w:rFonts w:ascii="Times New Roman" w:hAnsi="Times New Roman" w:cs="Times New Roman"/>
          <w:color w:val="000000" w:themeColor="text1"/>
          <w:sz w:val="24"/>
          <w:szCs w:val="24"/>
        </w:rPr>
        <w:t>ctive constituents and ensure compliance with regulatory standards, providing reliable and reproducible results.</w:t>
      </w:r>
    </w:p>
    <w:p w14:paraId="1E7B00E3" w14:textId="559FCABF" w:rsidR="009E57EB" w:rsidRDefault="00BB4C00" w:rsidP="00D74C40">
      <w:pPr>
        <w:spacing w:line="360" w:lineRule="auto"/>
        <w:jc w:val="both"/>
        <w:rPr>
          <w:rFonts w:ascii="Times New Roman" w:hAnsi="Times New Roman" w:cs="Times New Roman"/>
          <w:color w:val="000000" w:themeColor="text1"/>
          <w:sz w:val="24"/>
          <w:szCs w:val="24"/>
        </w:rPr>
      </w:pPr>
      <w:r w:rsidRPr="00D74C40">
        <w:rPr>
          <w:rFonts w:ascii="Times New Roman" w:hAnsi="Times New Roman" w:cs="Times New Roman"/>
          <w:color w:val="000000" w:themeColor="text1"/>
          <w:sz w:val="24"/>
          <w:szCs w:val="24"/>
        </w:rPr>
        <w:t>Overall, the current analytical approaches in the quality evaluation of medicinal plants contribute to the development of standardized protocol</w:t>
      </w:r>
      <w:r w:rsidRPr="00D74C40">
        <w:rPr>
          <w:rFonts w:ascii="Times New Roman" w:hAnsi="Times New Roman" w:cs="Times New Roman"/>
          <w:color w:val="000000" w:themeColor="text1"/>
          <w:sz w:val="24"/>
          <w:szCs w:val="24"/>
        </w:rPr>
        <w:t>s, quality control measures, and evidence-based guidelines for the utilization of these natural resources in healthcare. Continued research and innovation in this field will further enhance our understanding of medicinal plants, their bioactive components,</w:t>
      </w:r>
      <w:r w:rsidRPr="00D74C40">
        <w:rPr>
          <w:rFonts w:ascii="Times New Roman" w:hAnsi="Times New Roman" w:cs="Times New Roman"/>
          <w:color w:val="000000" w:themeColor="text1"/>
          <w:sz w:val="24"/>
          <w:szCs w:val="24"/>
        </w:rPr>
        <w:t xml:space="preserve"> and their therapeutic potential, ultimately benefiting both traditional medicine practitioners and modern healthcare systems.</w:t>
      </w:r>
    </w:p>
    <w:p w14:paraId="075A25FB" w14:textId="77777777" w:rsidR="009E57EB" w:rsidRDefault="00BB4C00" w:rsidP="00DA4AA9">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br w:type="column"/>
      </w:r>
      <w:r w:rsidRPr="009E57EB">
        <w:rPr>
          <w:rFonts w:ascii="Times New Roman" w:hAnsi="Times New Roman" w:cs="Times New Roman"/>
          <w:b/>
          <w:bCs/>
          <w:color w:val="000000" w:themeColor="text1"/>
          <w:sz w:val="24"/>
          <w:szCs w:val="24"/>
        </w:rPr>
        <w:lastRenderedPageBreak/>
        <w:t>References</w:t>
      </w:r>
    </w:p>
    <w:p w14:paraId="5495B70F" w14:textId="50CCDDF4" w:rsidR="009E57EB" w:rsidRPr="009E57EB" w:rsidRDefault="00BB4C00"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fldChar w:fldCharType="begin" w:fldLock="1"/>
      </w:r>
      <w:r>
        <w:rPr>
          <w:rFonts w:ascii="Times New Roman" w:hAnsi="Times New Roman" w:cs="Times New Roman"/>
          <w:b/>
          <w:bCs/>
          <w:color w:val="000000" w:themeColor="text1"/>
          <w:sz w:val="24"/>
          <w:szCs w:val="24"/>
        </w:rPr>
        <w:instrText xml:space="preserve">ADDIN Mendeley Bibliography CSL_BIBLIOGRAPHY </w:instrText>
      </w:r>
      <w:r>
        <w:rPr>
          <w:rFonts w:ascii="Times New Roman" w:hAnsi="Times New Roman" w:cs="Times New Roman"/>
          <w:b/>
          <w:bCs/>
          <w:color w:val="000000" w:themeColor="text1"/>
          <w:sz w:val="24"/>
          <w:szCs w:val="24"/>
        </w:rPr>
        <w:fldChar w:fldCharType="separate"/>
      </w:r>
      <w:r w:rsidRPr="009E57EB">
        <w:rPr>
          <w:rFonts w:ascii="Times New Roman" w:hAnsi="Times New Roman" w:cs="Times New Roman"/>
          <w:noProof/>
          <w:sz w:val="24"/>
          <w:szCs w:val="24"/>
        </w:rPr>
        <w:t xml:space="preserve">1. </w:t>
      </w:r>
      <w:r w:rsidRPr="009E57EB">
        <w:rPr>
          <w:rFonts w:ascii="Times New Roman" w:hAnsi="Times New Roman" w:cs="Times New Roman"/>
          <w:noProof/>
          <w:sz w:val="24"/>
          <w:szCs w:val="24"/>
        </w:rPr>
        <w:tab/>
      </w:r>
      <w:r w:rsidRPr="009E57EB">
        <w:rPr>
          <w:rFonts w:ascii="Times New Roman" w:hAnsi="Times New Roman" w:cs="Times New Roman"/>
          <w:noProof/>
          <w:sz w:val="24"/>
          <w:szCs w:val="24"/>
        </w:rPr>
        <w:t xml:space="preserve">Gaurav GC–MS Metabolomics and Network Pharmacology-Based Investigation of Molecular Mechanism of Identified Metabolites from Tinospora Cordifolia (Willd.) Miers for the Treatment of Kidney Diseases. </w:t>
      </w:r>
      <w:r w:rsidRPr="009E57EB">
        <w:rPr>
          <w:rFonts w:ascii="Times New Roman" w:hAnsi="Times New Roman" w:cs="Times New Roman"/>
          <w:i/>
          <w:iCs/>
          <w:noProof/>
          <w:sz w:val="24"/>
          <w:szCs w:val="24"/>
        </w:rPr>
        <w:t>Pharmacogn. Mag.</w:t>
      </w:r>
      <w:r w:rsidRPr="009E57EB">
        <w:rPr>
          <w:rFonts w:ascii="Times New Roman" w:hAnsi="Times New Roman" w:cs="Times New Roman"/>
          <w:noProof/>
          <w:sz w:val="24"/>
          <w:szCs w:val="24"/>
        </w:rPr>
        <w:t xml:space="preserve"> </w:t>
      </w:r>
      <w:r w:rsidRPr="009E57EB">
        <w:rPr>
          <w:rFonts w:ascii="Times New Roman" w:hAnsi="Times New Roman" w:cs="Times New Roman"/>
          <w:b/>
          <w:bCs/>
          <w:noProof/>
          <w:sz w:val="24"/>
          <w:szCs w:val="24"/>
        </w:rPr>
        <w:t>2022</w:t>
      </w:r>
      <w:r w:rsidRPr="009E57EB">
        <w:rPr>
          <w:rFonts w:ascii="Times New Roman" w:hAnsi="Times New Roman" w:cs="Times New Roman"/>
          <w:noProof/>
          <w:sz w:val="24"/>
          <w:szCs w:val="24"/>
        </w:rPr>
        <w:t xml:space="preserve">, </w:t>
      </w:r>
      <w:r w:rsidRPr="009E57EB">
        <w:rPr>
          <w:rFonts w:ascii="Times New Roman" w:hAnsi="Times New Roman" w:cs="Times New Roman"/>
          <w:i/>
          <w:iCs/>
          <w:noProof/>
          <w:sz w:val="24"/>
          <w:szCs w:val="24"/>
        </w:rPr>
        <w:t>18</w:t>
      </w:r>
      <w:r w:rsidRPr="009E57EB">
        <w:rPr>
          <w:rFonts w:ascii="Times New Roman" w:hAnsi="Times New Roman" w:cs="Times New Roman"/>
          <w:noProof/>
          <w:sz w:val="24"/>
          <w:szCs w:val="24"/>
        </w:rPr>
        <w:t>, 548–558, doi:10.4103/pm.pm_582</w:t>
      </w:r>
      <w:r w:rsidRPr="009E57EB">
        <w:rPr>
          <w:rFonts w:ascii="Times New Roman" w:hAnsi="Times New Roman" w:cs="Times New Roman"/>
          <w:noProof/>
          <w:sz w:val="24"/>
          <w:szCs w:val="24"/>
        </w:rPr>
        <w:t>_21.</w:t>
      </w:r>
    </w:p>
    <w:p w14:paraId="0E9CA9CC" w14:textId="77777777" w:rsidR="009E57EB" w:rsidRPr="009E57EB" w:rsidRDefault="00BB4C00"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2. </w:t>
      </w:r>
      <w:r w:rsidRPr="009E57EB">
        <w:rPr>
          <w:rFonts w:ascii="Times New Roman" w:hAnsi="Times New Roman" w:cs="Times New Roman"/>
          <w:noProof/>
          <w:sz w:val="24"/>
          <w:szCs w:val="24"/>
        </w:rPr>
        <w:tab/>
        <w:t xml:space="preserve">Gautam, G.; Parveen, R.; Ahmad, S. LC-MS-Based Metabolomics of Medicinal Plants. In </w:t>
      </w:r>
      <w:r w:rsidRPr="009E57EB">
        <w:rPr>
          <w:rFonts w:ascii="Times New Roman" w:hAnsi="Times New Roman" w:cs="Times New Roman"/>
          <w:i/>
          <w:iCs/>
          <w:noProof/>
          <w:sz w:val="24"/>
          <w:szCs w:val="24"/>
        </w:rPr>
        <w:t>Omics Studies of Medicinal Plants</w:t>
      </w:r>
      <w:r w:rsidRPr="009E57EB">
        <w:rPr>
          <w:rFonts w:ascii="Times New Roman" w:hAnsi="Times New Roman" w:cs="Times New Roman"/>
          <w:noProof/>
          <w:sz w:val="24"/>
          <w:szCs w:val="24"/>
        </w:rPr>
        <w:t>; 2023.</w:t>
      </w:r>
    </w:p>
    <w:p w14:paraId="2B2AA771" w14:textId="77777777" w:rsidR="009E57EB" w:rsidRPr="009E57EB" w:rsidRDefault="00BB4C00"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3. </w:t>
      </w:r>
      <w:r w:rsidRPr="009E57EB">
        <w:rPr>
          <w:rFonts w:ascii="Times New Roman" w:hAnsi="Times New Roman" w:cs="Times New Roman"/>
          <w:noProof/>
          <w:sz w:val="24"/>
          <w:szCs w:val="24"/>
        </w:rPr>
        <w:tab/>
        <w:t>Jiang, Y.; David, B.; Tu, P.; Barbin, Y. Recent Analytical Approaches in Quality Control of Traditional Chinese Medici</w:t>
      </w:r>
      <w:r w:rsidRPr="009E57EB">
        <w:rPr>
          <w:rFonts w:ascii="Times New Roman" w:hAnsi="Times New Roman" w:cs="Times New Roman"/>
          <w:noProof/>
          <w:sz w:val="24"/>
          <w:szCs w:val="24"/>
        </w:rPr>
        <w:t xml:space="preserve">nes-A Review. </w:t>
      </w:r>
      <w:r w:rsidRPr="009E57EB">
        <w:rPr>
          <w:rFonts w:ascii="Times New Roman" w:hAnsi="Times New Roman" w:cs="Times New Roman"/>
          <w:i/>
          <w:iCs/>
          <w:noProof/>
          <w:sz w:val="24"/>
          <w:szCs w:val="24"/>
        </w:rPr>
        <w:t>Anal. Chim. Acta</w:t>
      </w:r>
      <w:r w:rsidRPr="009E57EB">
        <w:rPr>
          <w:rFonts w:ascii="Times New Roman" w:hAnsi="Times New Roman" w:cs="Times New Roman"/>
          <w:noProof/>
          <w:sz w:val="24"/>
          <w:szCs w:val="24"/>
        </w:rPr>
        <w:t xml:space="preserve"> 2010.</w:t>
      </w:r>
    </w:p>
    <w:p w14:paraId="1E665399" w14:textId="77777777" w:rsidR="009E57EB" w:rsidRPr="009E57EB" w:rsidRDefault="00BB4C00"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4. </w:t>
      </w:r>
      <w:r w:rsidRPr="009E57EB">
        <w:rPr>
          <w:rFonts w:ascii="Times New Roman" w:hAnsi="Times New Roman" w:cs="Times New Roman"/>
          <w:noProof/>
          <w:sz w:val="24"/>
          <w:szCs w:val="24"/>
        </w:rPr>
        <w:tab/>
        <w:t xml:space="preserve">Arumugam, T.; Jayapriya, G.; Sekar, T. Molecular Fingerprinting of the Indian Medicinal Plant Strychnos Minor Dennst. </w:t>
      </w:r>
      <w:r w:rsidRPr="009E57EB">
        <w:rPr>
          <w:rFonts w:ascii="Times New Roman" w:hAnsi="Times New Roman" w:cs="Times New Roman"/>
          <w:i/>
          <w:iCs/>
          <w:noProof/>
          <w:sz w:val="24"/>
          <w:szCs w:val="24"/>
        </w:rPr>
        <w:t>Biotechnol. Reports</w:t>
      </w:r>
      <w:r w:rsidRPr="009E57EB">
        <w:rPr>
          <w:rFonts w:ascii="Times New Roman" w:hAnsi="Times New Roman" w:cs="Times New Roman"/>
          <w:noProof/>
          <w:sz w:val="24"/>
          <w:szCs w:val="24"/>
        </w:rPr>
        <w:t xml:space="preserve"> </w:t>
      </w:r>
      <w:r w:rsidRPr="009E57EB">
        <w:rPr>
          <w:rFonts w:ascii="Times New Roman" w:hAnsi="Times New Roman" w:cs="Times New Roman"/>
          <w:b/>
          <w:bCs/>
          <w:noProof/>
          <w:sz w:val="24"/>
          <w:szCs w:val="24"/>
        </w:rPr>
        <w:t>2019</w:t>
      </w:r>
      <w:r w:rsidRPr="009E57EB">
        <w:rPr>
          <w:rFonts w:ascii="Times New Roman" w:hAnsi="Times New Roman" w:cs="Times New Roman"/>
          <w:noProof/>
          <w:sz w:val="24"/>
          <w:szCs w:val="24"/>
        </w:rPr>
        <w:t>, doi:10.1016/j.btre.2019.e00318.</w:t>
      </w:r>
    </w:p>
    <w:p w14:paraId="56A1DB3D" w14:textId="77777777" w:rsidR="009E57EB" w:rsidRPr="009E57EB" w:rsidRDefault="00BB4C00"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5. </w:t>
      </w:r>
      <w:r w:rsidRPr="009E57EB">
        <w:rPr>
          <w:rFonts w:ascii="Times New Roman" w:hAnsi="Times New Roman" w:cs="Times New Roman"/>
          <w:noProof/>
          <w:sz w:val="24"/>
          <w:szCs w:val="24"/>
        </w:rPr>
        <w:tab/>
        <w:t>Ahmad, S.; Zahiruddin, S.; Parveen,</w:t>
      </w:r>
      <w:r w:rsidRPr="009E57EB">
        <w:rPr>
          <w:rFonts w:ascii="Times New Roman" w:hAnsi="Times New Roman" w:cs="Times New Roman"/>
          <w:noProof/>
          <w:sz w:val="24"/>
          <w:szCs w:val="24"/>
        </w:rPr>
        <w:t xml:space="preserve"> B.; Basist, P.; Parveen, A.; Gaurav; Parveen, R.; Ahmad, M. Indian Medicinal Plants and Formulations and Their Potential Against COVID-19–Preclinical and Clinical Research. </w:t>
      </w:r>
      <w:r w:rsidRPr="009E57EB">
        <w:rPr>
          <w:rFonts w:ascii="Times New Roman" w:hAnsi="Times New Roman" w:cs="Times New Roman"/>
          <w:i/>
          <w:iCs/>
          <w:noProof/>
          <w:sz w:val="24"/>
          <w:szCs w:val="24"/>
        </w:rPr>
        <w:t>Front. Pharmacol.</w:t>
      </w:r>
      <w:r w:rsidRPr="009E57EB">
        <w:rPr>
          <w:rFonts w:ascii="Times New Roman" w:hAnsi="Times New Roman" w:cs="Times New Roman"/>
          <w:noProof/>
          <w:sz w:val="24"/>
          <w:szCs w:val="24"/>
        </w:rPr>
        <w:t xml:space="preserve"> 2021.</w:t>
      </w:r>
    </w:p>
    <w:p w14:paraId="1A649804" w14:textId="77777777" w:rsidR="009E57EB" w:rsidRPr="009E57EB" w:rsidRDefault="00BB4C00"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6. </w:t>
      </w:r>
      <w:r w:rsidRPr="009E57EB">
        <w:rPr>
          <w:rFonts w:ascii="Times New Roman" w:hAnsi="Times New Roman" w:cs="Times New Roman"/>
          <w:noProof/>
          <w:sz w:val="24"/>
          <w:szCs w:val="24"/>
        </w:rPr>
        <w:tab/>
        <w:t>Parveen, R.; Khan, N.; Zahiruddin, S.; Ibrahim, M.; An</w:t>
      </w:r>
      <w:r w:rsidRPr="009E57EB">
        <w:rPr>
          <w:rFonts w:ascii="Times New Roman" w:hAnsi="Times New Roman" w:cs="Times New Roman"/>
          <w:noProof/>
          <w:sz w:val="24"/>
          <w:szCs w:val="24"/>
        </w:rPr>
        <w:t xml:space="preserve">jum, V.; Parveen, B.; Khan, M.A. TLC-Bioautographic Evaluation for High-Throughput Screening and Identification of Free Radical Scavenging and Antidiabetic Compounds from Traditional Unani Medicinal Plant: Citrullus Colocynthis Schrad. </w:t>
      </w:r>
      <w:r w:rsidRPr="009E57EB">
        <w:rPr>
          <w:rFonts w:ascii="Times New Roman" w:hAnsi="Times New Roman" w:cs="Times New Roman"/>
          <w:i/>
          <w:iCs/>
          <w:noProof/>
          <w:sz w:val="24"/>
          <w:szCs w:val="24"/>
        </w:rPr>
        <w:t>J. AOAC Int.</w:t>
      </w:r>
      <w:r w:rsidRPr="009E57EB">
        <w:rPr>
          <w:rFonts w:ascii="Times New Roman" w:hAnsi="Times New Roman" w:cs="Times New Roman"/>
          <w:noProof/>
          <w:sz w:val="24"/>
          <w:szCs w:val="24"/>
        </w:rPr>
        <w:t xml:space="preserve"> </w:t>
      </w:r>
      <w:r w:rsidRPr="009E57EB">
        <w:rPr>
          <w:rFonts w:ascii="Times New Roman" w:hAnsi="Times New Roman" w:cs="Times New Roman"/>
          <w:b/>
          <w:bCs/>
          <w:noProof/>
          <w:sz w:val="24"/>
          <w:szCs w:val="24"/>
        </w:rPr>
        <w:t>2020</w:t>
      </w:r>
      <w:r w:rsidRPr="009E57EB">
        <w:rPr>
          <w:rFonts w:ascii="Times New Roman" w:hAnsi="Times New Roman" w:cs="Times New Roman"/>
          <w:noProof/>
          <w:sz w:val="24"/>
          <w:szCs w:val="24"/>
        </w:rPr>
        <w:t>, d</w:t>
      </w:r>
      <w:r w:rsidRPr="009E57EB">
        <w:rPr>
          <w:rFonts w:ascii="Times New Roman" w:hAnsi="Times New Roman" w:cs="Times New Roman"/>
          <w:noProof/>
          <w:sz w:val="24"/>
          <w:szCs w:val="24"/>
        </w:rPr>
        <w:t>oi:10.5740/jaoacint.19-0287.</w:t>
      </w:r>
    </w:p>
    <w:p w14:paraId="202897AA" w14:textId="77777777" w:rsidR="009E57EB" w:rsidRPr="009E57EB" w:rsidRDefault="00BB4C00"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7. </w:t>
      </w:r>
      <w:r w:rsidRPr="009E57EB">
        <w:rPr>
          <w:rFonts w:ascii="Times New Roman" w:hAnsi="Times New Roman" w:cs="Times New Roman"/>
          <w:noProof/>
          <w:sz w:val="24"/>
          <w:szCs w:val="24"/>
        </w:rPr>
        <w:tab/>
        <w:t xml:space="preserve">Zahiruddin, S.; Parveen, A.; Khan, W.; Parveen, R.; Ahmad, S. TLC-Based Metabolite Profiling and Bioactivity-Based Scientific Validation for Use of Water Extracts in AYUSH Formulations. </w:t>
      </w:r>
      <w:r w:rsidRPr="009E57EB">
        <w:rPr>
          <w:rFonts w:ascii="Times New Roman" w:hAnsi="Times New Roman" w:cs="Times New Roman"/>
          <w:b/>
          <w:bCs/>
          <w:noProof/>
          <w:sz w:val="24"/>
          <w:szCs w:val="24"/>
        </w:rPr>
        <w:t>2021</w:t>
      </w:r>
      <w:r w:rsidRPr="009E57EB">
        <w:rPr>
          <w:rFonts w:ascii="Times New Roman" w:hAnsi="Times New Roman" w:cs="Times New Roman"/>
          <w:noProof/>
          <w:sz w:val="24"/>
          <w:szCs w:val="24"/>
        </w:rPr>
        <w:t xml:space="preserve">, </w:t>
      </w:r>
      <w:r w:rsidRPr="009E57EB">
        <w:rPr>
          <w:rFonts w:ascii="Times New Roman" w:hAnsi="Times New Roman" w:cs="Times New Roman"/>
          <w:i/>
          <w:iCs/>
          <w:noProof/>
          <w:sz w:val="24"/>
          <w:szCs w:val="24"/>
        </w:rPr>
        <w:t>2021</w:t>
      </w:r>
      <w:r w:rsidRPr="009E57EB">
        <w:rPr>
          <w:rFonts w:ascii="Times New Roman" w:hAnsi="Times New Roman" w:cs="Times New Roman"/>
          <w:noProof/>
          <w:sz w:val="24"/>
          <w:szCs w:val="24"/>
        </w:rPr>
        <w:t>.</w:t>
      </w:r>
    </w:p>
    <w:p w14:paraId="504F0FCD" w14:textId="77777777" w:rsidR="009E57EB" w:rsidRPr="009E57EB" w:rsidRDefault="00BB4C00"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8. </w:t>
      </w:r>
      <w:r w:rsidRPr="009E57EB">
        <w:rPr>
          <w:rFonts w:ascii="Times New Roman" w:hAnsi="Times New Roman" w:cs="Times New Roman"/>
          <w:noProof/>
          <w:sz w:val="24"/>
          <w:szCs w:val="24"/>
        </w:rPr>
        <w:tab/>
        <w:t>Zahiruddin, S.; Basis</w:t>
      </w:r>
      <w:r w:rsidRPr="009E57EB">
        <w:rPr>
          <w:rFonts w:ascii="Times New Roman" w:hAnsi="Times New Roman" w:cs="Times New Roman"/>
          <w:noProof/>
          <w:sz w:val="24"/>
          <w:szCs w:val="24"/>
        </w:rPr>
        <w:t xml:space="preserve">t, P.; Parveen, A.; Parveen, R.; Khan, W.; Gaurav; Ahmad, S. Ashwagandha in Brain Disorders: A Review of Recent Developments. </w:t>
      </w:r>
      <w:r w:rsidRPr="009E57EB">
        <w:rPr>
          <w:rFonts w:ascii="Times New Roman" w:hAnsi="Times New Roman" w:cs="Times New Roman"/>
          <w:i/>
          <w:iCs/>
          <w:noProof/>
          <w:sz w:val="24"/>
          <w:szCs w:val="24"/>
        </w:rPr>
        <w:t>J. Ethnopharmacol.</w:t>
      </w:r>
      <w:r w:rsidRPr="009E57EB">
        <w:rPr>
          <w:rFonts w:ascii="Times New Roman" w:hAnsi="Times New Roman" w:cs="Times New Roman"/>
          <w:noProof/>
          <w:sz w:val="24"/>
          <w:szCs w:val="24"/>
        </w:rPr>
        <w:t xml:space="preserve"> 2020.</w:t>
      </w:r>
    </w:p>
    <w:p w14:paraId="041E0A69" w14:textId="77777777" w:rsidR="009E57EB" w:rsidRPr="009E57EB" w:rsidRDefault="00BB4C00"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9. </w:t>
      </w:r>
      <w:r w:rsidRPr="009E57EB">
        <w:rPr>
          <w:rFonts w:ascii="Times New Roman" w:hAnsi="Times New Roman" w:cs="Times New Roman"/>
          <w:noProof/>
          <w:sz w:val="24"/>
          <w:szCs w:val="24"/>
        </w:rPr>
        <w:tab/>
        <w:t>Gaurav; Khan, M.U.; Basist, P.; Zahiruddin, S.; Ibrahim, M.; Parveen, R.; Krishnan, A.; Ahmad, S. Nep</w:t>
      </w:r>
      <w:r w:rsidRPr="009E57EB">
        <w:rPr>
          <w:rFonts w:ascii="Times New Roman" w:hAnsi="Times New Roman" w:cs="Times New Roman"/>
          <w:noProof/>
          <w:sz w:val="24"/>
          <w:szCs w:val="24"/>
        </w:rPr>
        <w:t xml:space="preserve">hroprotective Potential of Boerhaavia Diffusa and Tinospora Cordifolia Herbal Combination against Diclofenac Induced Nephrotoxicity. </w:t>
      </w:r>
      <w:r w:rsidRPr="009E57EB">
        <w:rPr>
          <w:rFonts w:ascii="Times New Roman" w:hAnsi="Times New Roman" w:cs="Times New Roman"/>
          <w:i/>
          <w:iCs/>
          <w:noProof/>
          <w:sz w:val="24"/>
          <w:szCs w:val="24"/>
        </w:rPr>
        <w:t>South African J. Bot.</w:t>
      </w:r>
      <w:r w:rsidRPr="009E57EB">
        <w:rPr>
          <w:rFonts w:ascii="Times New Roman" w:hAnsi="Times New Roman" w:cs="Times New Roman"/>
          <w:noProof/>
          <w:sz w:val="24"/>
          <w:szCs w:val="24"/>
        </w:rPr>
        <w:t xml:space="preserve"> </w:t>
      </w:r>
      <w:r w:rsidRPr="009E57EB">
        <w:rPr>
          <w:rFonts w:ascii="Times New Roman" w:hAnsi="Times New Roman" w:cs="Times New Roman"/>
          <w:b/>
          <w:bCs/>
          <w:noProof/>
          <w:sz w:val="24"/>
          <w:szCs w:val="24"/>
        </w:rPr>
        <w:t>2022</w:t>
      </w:r>
      <w:r w:rsidRPr="009E57EB">
        <w:rPr>
          <w:rFonts w:ascii="Times New Roman" w:hAnsi="Times New Roman" w:cs="Times New Roman"/>
          <w:noProof/>
          <w:sz w:val="24"/>
          <w:szCs w:val="24"/>
        </w:rPr>
        <w:t xml:space="preserve">, </w:t>
      </w:r>
      <w:r w:rsidRPr="009E57EB">
        <w:rPr>
          <w:rFonts w:ascii="Times New Roman" w:hAnsi="Times New Roman" w:cs="Times New Roman"/>
          <w:i/>
          <w:iCs/>
          <w:noProof/>
          <w:sz w:val="24"/>
          <w:szCs w:val="24"/>
        </w:rPr>
        <w:t>000</w:t>
      </w:r>
      <w:r w:rsidRPr="009E57EB">
        <w:rPr>
          <w:rFonts w:ascii="Times New Roman" w:hAnsi="Times New Roman" w:cs="Times New Roman"/>
          <w:noProof/>
          <w:sz w:val="24"/>
          <w:szCs w:val="24"/>
        </w:rPr>
        <w:t>, doi:10.1016/j.sajb.2022.01.038.</w:t>
      </w:r>
    </w:p>
    <w:p w14:paraId="0F8216F2" w14:textId="77777777" w:rsidR="009E57EB" w:rsidRPr="009E57EB" w:rsidRDefault="00BB4C00"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lastRenderedPageBreak/>
        <w:t xml:space="preserve">10. </w:t>
      </w:r>
      <w:r w:rsidRPr="009E57EB">
        <w:rPr>
          <w:rFonts w:ascii="Times New Roman" w:hAnsi="Times New Roman" w:cs="Times New Roman"/>
          <w:noProof/>
          <w:sz w:val="24"/>
          <w:szCs w:val="24"/>
        </w:rPr>
        <w:tab/>
        <w:t xml:space="preserve">Basist, P.; Parveen, B.; Zahiruddin, S.; Gautam, G.; </w:t>
      </w:r>
      <w:r w:rsidRPr="009E57EB">
        <w:rPr>
          <w:rFonts w:ascii="Times New Roman" w:hAnsi="Times New Roman" w:cs="Times New Roman"/>
          <w:noProof/>
          <w:sz w:val="24"/>
          <w:szCs w:val="24"/>
        </w:rPr>
        <w:t xml:space="preserve">Parveen, R.; Khan, M.A.; Krishnan, A.; Shahid, M.; Ahmad, S. Potential Nephroprotective Phytochemicals: Mechanism and Future Prospects. </w:t>
      </w:r>
      <w:r w:rsidRPr="009E57EB">
        <w:rPr>
          <w:rFonts w:ascii="Times New Roman" w:hAnsi="Times New Roman" w:cs="Times New Roman"/>
          <w:i/>
          <w:iCs/>
          <w:noProof/>
          <w:sz w:val="24"/>
          <w:szCs w:val="24"/>
        </w:rPr>
        <w:t>J. Ethnopharmacol.</w:t>
      </w:r>
      <w:r w:rsidRPr="009E57EB">
        <w:rPr>
          <w:rFonts w:ascii="Times New Roman" w:hAnsi="Times New Roman" w:cs="Times New Roman"/>
          <w:noProof/>
          <w:sz w:val="24"/>
          <w:szCs w:val="24"/>
        </w:rPr>
        <w:t xml:space="preserve"> </w:t>
      </w:r>
      <w:r w:rsidRPr="009E57EB">
        <w:rPr>
          <w:rFonts w:ascii="Times New Roman" w:hAnsi="Times New Roman" w:cs="Times New Roman"/>
          <w:b/>
          <w:bCs/>
          <w:noProof/>
          <w:sz w:val="24"/>
          <w:szCs w:val="24"/>
        </w:rPr>
        <w:t>2022</w:t>
      </w:r>
      <w:r w:rsidRPr="009E57EB">
        <w:rPr>
          <w:rFonts w:ascii="Times New Roman" w:hAnsi="Times New Roman" w:cs="Times New Roman"/>
          <w:noProof/>
          <w:sz w:val="24"/>
          <w:szCs w:val="24"/>
        </w:rPr>
        <w:t>, doi:10.1016/j.jep.2021.114743.</w:t>
      </w:r>
    </w:p>
    <w:p w14:paraId="0CB6E941" w14:textId="77777777" w:rsidR="009E57EB" w:rsidRPr="009E57EB" w:rsidRDefault="00BB4C00"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11. </w:t>
      </w:r>
      <w:r w:rsidRPr="009E57EB">
        <w:rPr>
          <w:rFonts w:ascii="Times New Roman" w:hAnsi="Times New Roman" w:cs="Times New Roman"/>
          <w:noProof/>
          <w:sz w:val="24"/>
          <w:szCs w:val="24"/>
        </w:rPr>
        <w:tab/>
      </w:r>
      <w:r w:rsidRPr="009E57EB">
        <w:rPr>
          <w:rFonts w:ascii="Times New Roman" w:hAnsi="Times New Roman" w:cs="Times New Roman"/>
          <w:noProof/>
          <w:sz w:val="24"/>
          <w:szCs w:val="24"/>
        </w:rPr>
        <w:t xml:space="preserve">Khan, M.U.; Gaurav; Zahiruddin, S.; Basist, P.; Krishnan, A.; Parveen, R.; Ahmad, S. Nephroprotective Potential of Sharbat-e-Bazoori Motadil (Sugar-Free) in HEK-293 Cells and Wistar Rats against Cisplatin Induced Nephrotoxicity. </w:t>
      </w:r>
      <w:r w:rsidRPr="009E57EB">
        <w:rPr>
          <w:rFonts w:ascii="Times New Roman" w:hAnsi="Times New Roman" w:cs="Times New Roman"/>
          <w:i/>
          <w:iCs/>
          <w:noProof/>
          <w:sz w:val="24"/>
          <w:szCs w:val="24"/>
        </w:rPr>
        <w:t>J. King Saud Univ. - Sci.</w:t>
      </w:r>
      <w:r w:rsidRPr="009E57EB">
        <w:rPr>
          <w:rFonts w:ascii="Times New Roman" w:hAnsi="Times New Roman" w:cs="Times New Roman"/>
          <w:noProof/>
          <w:sz w:val="24"/>
          <w:szCs w:val="24"/>
        </w:rPr>
        <w:t xml:space="preserve"> </w:t>
      </w:r>
      <w:r w:rsidRPr="009E57EB">
        <w:rPr>
          <w:rFonts w:ascii="Times New Roman" w:hAnsi="Times New Roman" w:cs="Times New Roman"/>
          <w:b/>
          <w:bCs/>
          <w:noProof/>
          <w:sz w:val="24"/>
          <w:szCs w:val="24"/>
        </w:rPr>
        <w:t>2</w:t>
      </w:r>
      <w:r w:rsidRPr="009E57EB">
        <w:rPr>
          <w:rFonts w:ascii="Times New Roman" w:hAnsi="Times New Roman" w:cs="Times New Roman"/>
          <w:b/>
          <w:bCs/>
          <w:noProof/>
          <w:sz w:val="24"/>
          <w:szCs w:val="24"/>
        </w:rPr>
        <w:t>022</w:t>
      </w:r>
      <w:r w:rsidRPr="009E57EB">
        <w:rPr>
          <w:rFonts w:ascii="Times New Roman" w:hAnsi="Times New Roman" w:cs="Times New Roman"/>
          <w:noProof/>
          <w:sz w:val="24"/>
          <w:szCs w:val="24"/>
        </w:rPr>
        <w:t xml:space="preserve">, </w:t>
      </w:r>
      <w:r w:rsidRPr="009E57EB">
        <w:rPr>
          <w:rFonts w:ascii="Times New Roman" w:hAnsi="Times New Roman" w:cs="Times New Roman"/>
          <w:i/>
          <w:iCs/>
          <w:noProof/>
          <w:sz w:val="24"/>
          <w:szCs w:val="24"/>
        </w:rPr>
        <w:t>34</w:t>
      </w:r>
      <w:r w:rsidRPr="009E57EB">
        <w:rPr>
          <w:rFonts w:ascii="Times New Roman" w:hAnsi="Times New Roman" w:cs="Times New Roman"/>
          <w:noProof/>
          <w:sz w:val="24"/>
          <w:szCs w:val="24"/>
        </w:rPr>
        <w:t>, 101839, doi:10.1016/j.jksus.2022.101839.</w:t>
      </w:r>
    </w:p>
    <w:p w14:paraId="601F23F3" w14:textId="77777777" w:rsidR="009E57EB" w:rsidRPr="009E57EB" w:rsidRDefault="00BB4C00"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12. </w:t>
      </w:r>
      <w:r w:rsidRPr="009E57EB">
        <w:rPr>
          <w:rFonts w:ascii="Times New Roman" w:hAnsi="Times New Roman" w:cs="Times New Roman"/>
          <w:noProof/>
          <w:sz w:val="24"/>
          <w:szCs w:val="24"/>
        </w:rPr>
        <w:tab/>
        <w:t xml:space="preserve">Techen, N.; Crockett, S.; Khan, I.; Scheffler, B. Authentication of Medicinal Plants Using Molecular Biology Techniques to Compliment Conventional Methods. </w:t>
      </w:r>
      <w:r w:rsidRPr="009E57EB">
        <w:rPr>
          <w:rFonts w:ascii="Times New Roman" w:hAnsi="Times New Roman" w:cs="Times New Roman"/>
          <w:i/>
          <w:iCs/>
          <w:noProof/>
          <w:sz w:val="24"/>
          <w:szCs w:val="24"/>
        </w:rPr>
        <w:t>Curr. Med. Chem.</w:t>
      </w:r>
      <w:r w:rsidRPr="009E57EB">
        <w:rPr>
          <w:rFonts w:ascii="Times New Roman" w:hAnsi="Times New Roman" w:cs="Times New Roman"/>
          <w:noProof/>
          <w:sz w:val="24"/>
          <w:szCs w:val="24"/>
        </w:rPr>
        <w:t xml:space="preserve"> </w:t>
      </w:r>
      <w:r w:rsidRPr="009E57EB">
        <w:rPr>
          <w:rFonts w:ascii="Times New Roman" w:hAnsi="Times New Roman" w:cs="Times New Roman"/>
          <w:b/>
          <w:bCs/>
          <w:noProof/>
          <w:sz w:val="24"/>
          <w:szCs w:val="24"/>
        </w:rPr>
        <w:t>2012</w:t>
      </w:r>
      <w:r w:rsidRPr="009E57EB">
        <w:rPr>
          <w:rFonts w:ascii="Times New Roman" w:hAnsi="Times New Roman" w:cs="Times New Roman"/>
          <w:noProof/>
          <w:sz w:val="24"/>
          <w:szCs w:val="24"/>
        </w:rPr>
        <w:t>, doi:10.2174/0929867043</w:t>
      </w:r>
      <w:r w:rsidRPr="009E57EB">
        <w:rPr>
          <w:rFonts w:ascii="Times New Roman" w:hAnsi="Times New Roman" w:cs="Times New Roman"/>
          <w:noProof/>
          <w:sz w:val="24"/>
          <w:szCs w:val="24"/>
        </w:rPr>
        <w:t>365206.</w:t>
      </w:r>
    </w:p>
    <w:p w14:paraId="25B30A1B" w14:textId="77777777" w:rsidR="009E57EB" w:rsidRPr="009E57EB" w:rsidRDefault="00BB4C00"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13. </w:t>
      </w:r>
      <w:r w:rsidRPr="009E57EB">
        <w:rPr>
          <w:rFonts w:ascii="Times New Roman" w:hAnsi="Times New Roman" w:cs="Times New Roman"/>
          <w:noProof/>
          <w:sz w:val="24"/>
          <w:szCs w:val="24"/>
        </w:rPr>
        <w:tab/>
        <w:t xml:space="preserve">Chandler, R.F.; Hooper, S.N.; Harvey, M.J. Ethnobotany and Phytochemistry of Yarrow, Achillea Millefolium, Compositae. </w:t>
      </w:r>
      <w:r w:rsidRPr="009E57EB">
        <w:rPr>
          <w:rFonts w:ascii="Times New Roman" w:hAnsi="Times New Roman" w:cs="Times New Roman"/>
          <w:i/>
          <w:iCs/>
          <w:noProof/>
          <w:sz w:val="24"/>
          <w:szCs w:val="24"/>
        </w:rPr>
        <w:t>Econ. Bot.</w:t>
      </w:r>
      <w:r w:rsidRPr="009E57EB">
        <w:rPr>
          <w:rFonts w:ascii="Times New Roman" w:hAnsi="Times New Roman" w:cs="Times New Roman"/>
          <w:noProof/>
          <w:sz w:val="24"/>
          <w:szCs w:val="24"/>
        </w:rPr>
        <w:t xml:space="preserve"> </w:t>
      </w:r>
      <w:r w:rsidRPr="009E57EB">
        <w:rPr>
          <w:rFonts w:ascii="Times New Roman" w:hAnsi="Times New Roman" w:cs="Times New Roman"/>
          <w:b/>
          <w:bCs/>
          <w:noProof/>
          <w:sz w:val="24"/>
          <w:szCs w:val="24"/>
        </w:rPr>
        <w:t>1982</w:t>
      </w:r>
      <w:r w:rsidRPr="009E57EB">
        <w:rPr>
          <w:rFonts w:ascii="Times New Roman" w:hAnsi="Times New Roman" w:cs="Times New Roman"/>
          <w:noProof/>
          <w:sz w:val="24"/>
          <w:szCs w:val="24"/>
        </w:rPr>
        <w:t xml:space="preserve">, </w:t>
      </w:r>
      <w:r w:rsidRPr="009E57EB">
        <w:rPr>
          <w:rFonts w:ascii="Times New Roman" w:hAnsi="Times New Roman" w:cs="Times New Roman"/>
          <w:i/>
          <w:iCs/>
          <w:noProof/>
          <w:sz w:val="24"/>
          <w:szCs w:val="24"/>
        </w:rPr>
        <w:t>36</w:t>
      </w:r>
      <w:r w:rsidRPr="009E57EB">
        <w:rPr>
          <w:rFonts w:ascii="Times New Roman" w:hAnsi="Times New Roman" w:cs="Times New Roman"/>
          <w:noProof/>
          <w:sz w:val="24"/>
          <w:szCs w:val="24"/>
        </w:rPr>
        <w:t>, 203–223, doi:10.1007/BF02858720.</w:t>
      </w:r>
    </w:p>
    <w:p w14:paraId="609765B4" w14:textId="77777777" w:rsidR="009E57EB" w:rsidRPr="009E57EB" w:rsidRDefault="00BB4C00"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14. </w:t>
      </w:r>
      <w:r w:rsidRPr="009E57EB">
        <w:rPr>
          <w:rFonts w:ascii="Times New Roman" w:hAnsi="Times New Roman" w:cs="Times New Roman"/>
          <w:noProof/>
          <w:sz w:val="24"/>
          <w:szCs w:val="24"/>
        </w:rPr>
        <w:tab/>
        <w:t>Khan, A.; Zahiruddin, S.; Ibrahim, M.; Basist, P.; Gaurav; Parvee</w:t>
      </w:r>
      <w:r w:rsidRPr="009E57EB">
        <w:rPr>
          <w:rFonts w:ascii="Times New Roman" w:hAnsi="Times New Roman" w:cs="Times New Roman"/>
          <w:noProof/>
          <w:sz w:val="24"/>
          <w:szCs w:val="24"/>
        </w:rPr>
        <w:t>n, R.; Umar, S.; Ahmad, S. Thin Layer Chromatography-Mass Spectrometry Bioautographic Identification of Free Radical Scavenging Compounds and Metabolomic Profile of Carica Papaya Linn. Fruit and Seeds Using High-Performance Thin-Layer Chromatography, Gas C</w:t>
      </w:r>
      <w:r w:rsidRPr="009E57EB">
        <w:rPr>
          <w:rFonts w:ascii="Times New Roman" w:hAnsi="Times New Roman" w:cs="Times New Roman"/>
          <w:noProof/>
          <w:sz w:val="24"/>
          <w:szCs w:val="24"/>
        </w:rPr>
        <w:t xml:space="preserve">hromatography-Mass Spectro. </w:t>
      </w:r>
      <w:r w:rsidRPr="009E57EB">
        <w:rPr>
          <w:rFonts w:ascii="Times New Roman" w:hAnsi="Times New Roman" w:cs="Times New Roman"/>
          <w:i/>
          <w:iCs/>
          <w:noProof/>
          <w:sz w:val="24"/>
          <w:szCs w:val="24"/>
        </w:rPr>
        <w:t>Pharmacogn. Mag.</w:t>
      </w:r>
      <w:r w:rsidRPr="009E57EB">
        <w:rPr>
          <w:rFonts w:ascii="Times New Roman" w:hAnsi="Times New Roman" w:cs="Times New Roman"/>
          <w:noProof/>
          <w:sz w:val="24"/>
          <w:szCs w:val="24"/>
        </w:rPr>
        <w:t xml:space="preserve"> </w:t>
      </w:r>
      <w:r w:rsidRPr="009E57EB">
        <w:rPr>
          <w:rFonts w:ascii="Times New Roman" w:hAnsi="Times New Roman" w:cs="Times New Roman"/>
          <w:b/>
          <w:bCs/>
          <w:noProof/>
          <w:sz w:val="24"/>
          <w:szCs w:val="24"/>
        </w:rPr>
        <w:t>2021</w:t>
      </w:r>
      <w:r w:rsidRPr="009E57EB">
        <w:rPr>
          <w:rFonts w:ascii="Times New Roman" w:hAnsi="Times New Roman" w:cs="Times New Roman"/>
          <w:noProof/>
          <w:sz w:val="24"/>
          <w:szCs w:val="24"/>
        </w:rPr>
        <w:t>, doi:10.4103/pm.pm_326_20.</w:t>
      </w:r>
    </w:p>
    <w:p w14:paraId="2B259790" w14:textId="77777777" w:rsidR="009E57EB" w:rsidRPr="009E57EB" w:rsidRDefault="00BB4C00"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15. </w:t>
      </w:r>
      <w:r w:rsidRPr="009E57EB">
        <w:rPr>
          <w:rFonts w:ascii="Times New Roman" w:hAnsi="Times New Roman" w:cs="Times New Roman"/>
          <w:noProof/>
          <w:sz w:val="24"/>
          <w:szCs w:val="24"/>
        </w:rPr>
        <w:tab/>
        <w:t>Gaurav; Zahiruddin, S.; Parveen, B.; Ibrahim, M.; Sharma, I.; Sharma, S.; Sharma, A.K.; Parveen, R.; Ahmad, S. TLC-MS Bioautography-Based Identification of Free-Radical Scave</w:t>
      </w:r>
      <w:r w:rsidRPr="009E57EB">
        <w:rPr>
          <w:rFonts w:ascii="Times New Roman" w:hAnsi="Times New Roman" w:cs="Times New Roman"/>
          <w:noProof/>
          <w:sz w:val="24"/>
          <w:szCs w:val="24"/>
        </w:rPr>
        <w:t xml:space="preserve">nging, Α‑amylase, and Α‑glucosidase Inhibitor Compounds of Antidiabetic Tablet BGR-34. </w:t>
      </w:r>
      <w:r w:rsidRPr="009E57EB">
        <w:rPr>
          <w:rFonts w:ascii="Times New Roman" w:hAnsi="Times New Roman" w:cs="Times New Roman"/>
          <w:i/>
          <w:iCs/>
          <w:noProof/>
          <w:sz w:val="24"/>
          <w:szCs w:val="24"/>
        </w:rPr>
        <w:t>ACS Omega</w:t>
      </w:r>
      <w:r w:rsidRPr="009E57EB">
        <w:rPr>
          <w:rFonts w:ascii="Times New Roman" w:hAnsi="Times New Roman" w:cs="Times New Roman"/>
          <w:noProof/>
          <w:sz w:val="24"/>
          <w:szCs w:val="24"/>
        </w:rPr>
        <w:t xml:space="preserve"> </w:t>
      </w:r>
      <w:r w:rsidRPr="009E57EB">
        <w:rPr>
          <w:rFonts w:ascii="Times New Roman" w:hAnsi="Times New Roman" w:cs="Times New Roman"/>
          <w:b/>
          <w:bCs/>
          <w:noProof/>
          <w:sz w:val="24"/>
          <w:szCs w:val="24"/>
        </w:rPr>
        <w:t>2020</w:t>
      </w:r>
      <w:r w:rsidRPr="009E57EB">
        <w:rPr>
          <w:rFonts w:ascii="Times New Roman" w:hAnsi="Times New Roman" w:cs="Times New Roman"/>
          <w:noProof/>
          <w:sz w:val="24"/>
          <w:szCs w:val="24"/>
        </w:rPr>
        <w:t>, doi:10.1021/acsomega.0c02995.</w:t>
      </w:r>
    </w:p>
    <w:p w14:paraId="5C343BBD" w14:textId="77777777" w:rsidR="009E57EB" w:rsidRPr="009E57EB" w:rsidRDefault="00BB4C00"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16. </w:t>
      </w:r>
      <w:r w:rsidRPr="009E57EB">
        <w:rPr>
          <w:rFonts w:ascii="Times New Roman" w:hAnsi="Times New Roman" w:cs="Times New Roman"/>
          <w:noProof/>
          <w:sz w:val="24"/>
          <w:szCs w:val="24"/>
        </w:rPr>
        <w:tab/>
        <w:t>Gaurav; Sharma, I.; Khan, M.U.; Zahiruddin, S.; Basist, P.; Ahmad, S. Multi-Mechanistic and Therapeutic Exploration of</w:t>
      </w:r>
      <w:r w:rsidRPr="009E57EB">
        <w:rPr>
          <w:rFonts w:ascii="Times New Roman" w:hAnsi="Times New Roman" w:cs="Times New Roman"/>
          <w:noProof/>
          <w:sz w:val="24"/>
          <w:szCs w:val="24"/>
        </w:rPr>
        <w:t xml:space="preserve"> Nephroprotective Effect of Traditional Ayurvedic Polyherbal Formulation Using In Silico, In Vitro and In Vivo Approaches. </w:t>
      </w:r>
      <w:r w:rsidRPr="009E57EB">
        <w:rPr>
          <w:rFonts w:ascii="Times New Roman" w:hAnsi="Times New Roman" w:cs="Times New Roman"/>
          <w:i/>
          <w:iCs/>
          <w:noProof/>
          <w:sz w:val="24"/>
          <w:szCs w:val="24"/>
        </w:rPr>
        <w:t>Biomedicines</w:t>
      </w:r>
      <w:r w:rsidRPr="009E57EB">
        <w:rPr>
          <w:rFonts w:ascii="Times New Roman" w:hAnsi="Times New Roman" w:cs="Times New Roman"/>
          <w:noProof/>
          <w:sz w:val="24"/>
          <w:szCs w:val="24"/>
        </w:rPr>
        <w:t xml:space="preserve"> </w:t>
      </w:r>
      <w:r w:rsidRPr="009E57EB">
        <w:rPr>
          <w:rFonts w:ascii="Times New Roman" w:hAnsi="Times New Roman" w:cs="Times New Roman"/>
          <w:b/>
          <w:bCs/>
          <w:noProof/>
          <w:sz w:val="24"/>
          <w:szCs w:val="24"/>
        </w:rPr>
        <w:t>2023</w:t>
      </w:r>
      <w:r w:rsidRPr="009E57EB">
        <w:rPr>
          <w:rFonts w:ascii="Times New Roman" w:hAnsi="Times New Roman" w:cs="Times New Roman"/>
          <w:noProof/>
          <w:sz w:val="24"/>
          <w:szCs w:val="24"/>
        </w:rPr>
        <w:t xml:space="preserve">, </w:t>
      </w:r>
      <w:r w:rsidRPr="009E57EB">
        <w:rPr>
          <w:rFonts w:ascii="Times New Roman" w:hAnsi="Times New Roman" w:cs="Times New Roman"/>
          <w:i/>
          <w:iCs/>
          <w:noProof/>
          <w:sz w:val="24"/>
          <w:szCs w:val="24"/>
        </w:rPr>
        <w:t>11</w:t>
      </w:r>
      <w:r w:rsidRPr="009E57EB">
        <w:rPr>
          <w:rFonts w:ascii="Times New Roman" w:hAnsi="Times New Roman" w:cs="Times New Roman"/>
          <w:noProof/>
          <w:sz w:val="24"/>
          <w:szCs w:val="24"/>
        </w:rPr>
        <w:t>, doi:10.3390/biomedicines11010168.</w:t>
      </w:r>
    </w:p>
    <w:p w14:paraId="5AE4A5FD" w14:textId="77777777" w:rsidR="009E57EB" w:rsidRPr="009E57EB" w:rsidRDefault="00BB4C00"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17. </w:t>
      </w:r>
      <w:r w:rsidRPr="009E57EB">
        <w:rPr>
          <w:rFonts w:ascii="Times New Roman" w:hAnsi="Times New Roman" w:cs="Times New Roman"/>
          <w:noProof/>
          <w:sz w:val="24"/>
          <w:szCs w:val="24"/>
        </w:rPr>
        <w:tab/>
        <w:t>Gautam, G.; Parveen, B.; Umar Khan, M.; Sharma, I.; Kumar Sharma, A.; P</w:t>
      </w:r>
      <w:r w:rsidRPr="009E57EB">
        <w:rPr>
          <w:rFonts w:ascii="Times New Roman" w:hAnsi="Times New Roman" w:cs="Times New Roman"/>
          <w:noProof/>
          <w:sz w:val="24"/>
          <w:szCs w:val="24"/>
        </w:rPr>
        <w:t xml:space="preserve">arveen, R.; Ahmad, S. A Systematic Review on Nephron Protective AYUSH Drugs as Constituents of </w:t>
      </w:r>
      <w:r w:rsidRPr="009E57EB">
        <w:rPr>
          <w:rFonts w:ascii="Times New Roman" w:hAnsi="Times New Roman" w:cs="Times New Roman"/>
          <w:noProof/>
          <w:sz w:val="24"/>
          <w:szCs w:val="24"/>
        </w:rPr>
        <w:lastRenderedPageBreak/>
        <w:t xml:space="preserve">NEERI-KFT (A Traditional Indian Polyherbal Formulation) for the Management of Chronic Kidney Disease. </w:t>
      </w:r>
      <w:r w:rsidRPr="009E57EB">
        <w:rPr>
          <w:rFonts w:ascii="Times New Roman" w:hAnsi="Times New Roman" w:cs="Times New Roman"/>
          <w:i/>
          <w:iCs/>
          <w:noProof/>
          <w:sz w:val="24"/>
          <w:szCs w:val="24"/>
        </w:rPr>
        <w:t>Saudi J. Biol. Sci.</w:t>
      </w:r>
      <w:r w:rsidRPr="009E57EB">
        <w:rPr>
          <w:rFonts w:ascii="Times New Roman" w:hAnsi="Times New Roman" w:cs="Times New Roman"/>
          <w:noProof/>
          <w:sz w:val="24"/>
          <w:szCs w:val="24"/>
        </w:rPr>
        <w:t xml:space="preserve"> </w:t>
      </w:r>
      <w:r w:rsidRPr="009E57EB">
        <w:rPr>
          <w:rFonts w:ascii="Times New Roman" w:hAnsi="Times New Roman" w:cs="Times New Roman"/>
          <w:b/>
          <w:bCs/>
          <w:noProof/>
          <w:sz w:val="24"/>
          <w:szCs w:val="24"/>
        </w:rPr>
        <w:t>2021</w:t>
      </w:r>
      <w:r w:rsidRPr="009E57EB">
        <w:rPr>
          <w:rFonts w:ascii="Times New Roman" w:hAnsi="Times New Roman" w:cs="Times New Roman"/>
          <w:noProof/>
          <w:sz w:val="24"/>
          <w:szCs w:val="24"/>
        </w:rPr>
        <w:t>, doi:10.1016/J.SJBS.2021.07.008.</w:t>
      </w:r>
    </w:p>
    <w:p w14:paraId="10C0BD12" w14:textId="77777777" w:rsidR="009E57EB" w:rsidRPr="009E57EB" w:rsidRDefault="00BB4C00"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1</w:t>
      </w:r>
      <w:r w:rsidRPr="009E57EB">
        <w:rPr>
          <w:rFonts w:ascii="Times New Roman" w:hAnsi="Times New Roman" w:cs="Times New Roman"/>
          <w:noProof/>
          <w:sz w:val="24"/>
          <w:szCs w:val="24"/>
        </w:rPr>
        <w:t xml:space="preserve">8. </w:t>
      </w:r>
      <w:r w:rsidRPr="009E57EB">
        <w:rPr>
          <w:rFonts w:ascii="Times New Roman" w:hAnsi="Times New Roman" w:cs="Times New Roman"/>
          <w:noProof/>
          <w:sz w:val="24"/>
          <w:szCs w:val="24"/>
        </w:rPr>
        <w:tab/>
        <w:t xml:space="preserve">Kagan, I.A.; Flythe, M.D. Thin-Layer Chromatographic (TLC) Separations and Bioassays of Plant Extracts to Identify Antimicrobial Compounds. </w:t>
      </w:r>
      <w:r w:rsidRPr="009E57EB">
        <w:rPr>
          <w:rFonts w:ascii="Times New Roman" w:hAnsi="Times New Roman" w:cs="Times New Roman"/>
          <w:i/>
          <w:iCs/>
          <w:noProof/>
          <w:sz w:val="24"/>
          <w:szCs w:val="24"/>
        </w:rPr>
        <w:t>J. Vis. Exp.</w:t>
      </w:r>
      <w:r w:rsidRPr="009E57EB">
        <w:rPr>
          <w:rFonts w:ascii="Times New Roman" w:hAnsi="Times New Roman" w:cs="Times New Roman"/>
          <w:noProof/>
          <w:sz w:val="24"/>
          <w:szCs w:val="24"/>
        </w:rPr>
        <w:t xml:space="preserve"> </w:t>
      </w:r>
      <w:r w:rsidRPr="009E57EB">
        <w:rPr>
          <w:rFonts w:ascii="Times New Roman" w:hAnsi="Times New Roman" w:cs="Times New Roman"/>
          <w:b/>
          <w:bCs/>
          <w:noProof/>
          <w:sz w:val="24"/>
          <w:szCs w:val="24"/>
        </w:rPr>
        <w:t>2014</w:t>
      </w:r>
      <w:r w:rsidRPr="009E57EB">
        <w:rPr>
          <w:rFonts w:ascii="Times New Roman" w:hAnsi="Times New Roman" w:cs="Times New Roman"/>
          <w:noProof/>
          <w:sz w:val="24"/>
          <w:szCs w:val="24"/>
        </w:rPr>
        <w:t>, doi:10.3791/51411.</w:t>
      </w:r>
    </w:p>
    <w:p w14:paraId="4D220D11" w14:textId="77777777" w:rsidR="009E57EB" w:rsidRPr="009E57EB" w:rsidRDefault="00BB4C00"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19. </w:t>
      </w:r>
      <w:r w:rsidRPr="009E57EB">
        <w:rPr>
          <w:rFonts w:ascii="Times New Roman" w:hAnsi="Times New Roman" w:cs="Times New Roman"/>
          <w:noProof/>
          <w:sz w:val="24"/>
          <w:szCs w:val="24"/>
        </w:rPr>
        <w:tab/>
        <w:t>Sharma, D.K.; Prof. B. tiwari, P.B. tiwari Identification of Secondar</w:t>
      </w:r>
      <w:r w:rsidRPr="009E57EB">
        <w:rPr>
          <w:rFonts w:ascii="Times New Roman" w:hAnsi="Times New Roman" w:cs="Times New Roman"/>
          <w:noProof/>
          <w:sz w:val="24"/>
          <w:szCs w:val="24"/>
        </w:rPr>
        <w:t xml:space="preserve">y Metabolites Present in Carica Papaya L. Leaf Extract Found in Northern India by HPtLC &amp; Other Test Procedures, Its Significance and Role in Curing Dengue/DHF Disease. </w:t>
      </w:r>
      <w:r w:rsidRPr="009E57EB">
        <w:rPr>
          <w:rFonts w:ascii="Times New Roman" w:hAnsi="Times New Roman" w:cs="Times New Roman"/>
          <w:i/>
          <w:iCs/>
          <w:noProof/>
          <w:sz w:val="24"/>
          <w:szCs w:val="24"/>
        </w:rPr>
        <w:t>Glob. J. Res. Anal.</w:t>
      </w:r>
      <w:r w:rsidRPr="009E57EB">
        <w:rPr>
          <w:rFonts w:ascii="Times New Roman" w:hAnsi="Times New Roman" w:cs="Times New Roman"/>
          <w:noProof/>
          <w:sz w:val="24"/>
          <w:szCs w:val="24"/>
        </w:rPr>
        <w:t xml:space="preserve"> </w:t>
      </w:r>
      <w:r w:rsidRPr="009E57EB">
        <w:rPr>
          <w:rFonts w:ascii="Times New Roman" w:hAnsi="Times New Roman" w:cs="Times New Roman"/>
          <w:b/>
          <w:bCs/>
          <w:noProof/>
          <w:sz w:val="24"/>
          <w:szCs w:val="24"/>
        </w:rPr>
        <w:t>2012</w:t>
      </w:r>
      <w:r w:rsidRPr="009E57EB">
        <w:rPr>
          <w:rFonts w:ascii="Times New Roman" w:hAnsi="Times New Roman" w:cs="Times New Roman"/>
          <w:noProof/>
          <w:sz w:val="24"/>
          <w:szCs w:val="24"/>
        </w:rPr>
        <w:t>, doi:10.15373/22778160/apr2014/2.</w:t>
      </w:r>
    </w:p>
    <w:p w14:paraId="2E5C217D" w14:textId="77777777" w:rsidR="009E57EB" w:rsidRPr="009E57EB" w:rsidRDefault="00BB4C00"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20. </w:t>
      </w:r>
      <w:r w:rsidRPr="009E57EB">
        <w:rPr>
          <w:rFonts w:ascii="Times New Roman" w:hAnsi="Times New Roman" w:cs="Times New Roman"/>
          <w:noProof/>
          <w:sz w:val="24"/>
          <w:szCs w:val="24"/>
        </w:rPr>
        <w:tab/>
        <w:t>Zahiruddin, S.; Khan, W</w:t>
      </w:r>
      <w:r w:rsidRPr="009E57EB">
        <w:rPr>
          <w:rFonts w:ascii="Times New Roman" w:hAnsi="Times New Roman" w:cs="Times New Roman"/>
          <w:noProof/>
          <w:sz w:val="24"/>
          <w:szCs w:val="24"/>
        </w:rPr>
        <w:t xml:space="preserve">.; Nehra, R.; Alam, M.J.; Mallick, M.N.; Parveen, R.; Ahmad, S. Pharmacokinetics and Comparative Metabolic Profiling of Iridoid Enriched Fraction of Picrorhiza kurroa – An Ayurvedic Herb. </w:t>
      </w:r>
      <w:r w:rsidRPr="009E57EB">
        <w:rPr>
          <w:rFonts w:ascii="Times New Roman" w:hAnsi="Times New Roman" w:cs="Times New Roman"/>
          <w:i/>
          <w:iCs/>
          <w:noProof/>
          <w:sz w:val="24"/>
          <w:szCs w:val="24"/>
        </w:rPr>
        <w:t>J. Ethnopharmacol.</w:t>
      </w:r>
      <w:r w:rsidRPr="009E57EB">
        <w:rPr>
          <w:rFonts w:ascii="Times New Roman" w:hAnsi="Times New Roman" w:cs="Times New Roman"/>
          <w:noProof/>
          <w:sz w:val="24"/>
          <w:szCs w:val="24"/>
        </w:rPr>
        <w:t xml:space="preserve"> </w:t>
      </w:r>
      <w:r w:rsidRPr="009E57EB">
        <w:rPr>
          <w:rFonts w:ascii="Times New Roman" w:hAnsi="Times New Roman" w:cs="Times New Roman"/>
          <w:b/>
          <w:bCs/>
          <w:noProof/>
          <w:sz w:val="24"/>
          <w:szCs w:val="24"/>
        </w:rPr>
        <w:t>2017</w:t>
      </w:r>
      <w:r w:rsidRPr="009E57EB">
        <w:rPr>
          <w:rFonts w:ascii="Times New Roman" w:hAnsi="Times New Roman" w:cs="Times New Roman"/>
          <w:noProof/>
          <w:sz w:val="24"/>
          <w:szCs w:val="24"/>
        </w:rPr>
        <w:t>, doi:10.1016/j.jep.2016.07.072.</w:t>
      </w:r>
    </w:p>
    <w:p w14:paraId="1F7D89DC" w14:textId="77777777" w:rsidR="009E57EB" w:rsidRPr="009E57EB" w:rsidRDefault="00BB4C00"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21. </w:t>
      </w:r>
      <w:r w:rsidRPr="009E57EB">
        <w:rPr>
          <w:rFonts w:ascii="Times New Roman" w:hAnsi="Times New Roman" w:cs="Times New Roman"/>
          <w:noProof/>
          <w:sz w:val="24"/>
          <w:szCs w:val="24"/>
        </w:rPr>
        <w:tab/>
        <w:t>Khan, W</w:t>
      </w:r>
      <w:r w:rsidRPr="009E57EB">
        <w:rPr>
          <w:rFonts w:ascii="Times New Roman" w:hAnsi="Times New Roman" w:cs="Times New Roman"/>
          <w:noProof/>
          <w:sz w:val="24"/>
          <w:szCs w:val="24"/>
        </w:rPr>
        <w:t xml:space="preserve">.; Parveen, R.; Chester, K.; Parveen, S.; Ahmad, S. Hypoglycemic Potential of Aqueous Extract of Moringa Oleifera Leaf and in Vivo GC-MS Metabolomics. </w:t>
      </w:r>
      <w:r w:rsidRPr="009E57EB">
        <w:rPr>
          <w:rFonts w:ascii="Times New Roman" w:hAnsi="Times New Roman" w:cs="Times New Roman"/>
          <w:i/>
          <w:iCs/>
          <w:noProof/>
          <w:sz w:val="24"/>
          <w:szCs w:val="24"/>
        </w:rPr>
        <w:t>Front. Pharmacol.</w:t>
      </w:r>
      <w:r w:rsidRPr="009E57EB">
        <w:rPr>
          <w:rFonts w:ascii="Times New Roman" w:hAnsi="Times New Roman" w:cs="Times New Roman"/>
          <w:noProof/>
          <w:sz w:val="24"/>
          <w:szCs w:val="24"/>
        </w:rPr>
        <w:t xml:space="preserve"> </w:t>
      </w:r>
      <w:r w:rsidRPr="009E57EB">
        <w:rPr>
          <w:rFonts w:ascii="Times New Roman" w:hAnsi="Times New Roman" w:cs="Times New Roman"/>
          <w:b/>
          <w:bCs/>
          <w:noProof/>
          <w:sz w:val="24"/>
          <w:szCs w:val="24"/>
        </w:rPr>
        <w:t>2017</w:t>
      </w:r>
      <w:r w:rsidRPr="009E57EB">
        <w:rPr>
          <w:rFonts w:ascii="Times New Roman" w:hAnsi="Times New Roman" w:cs="Times New Roman"/>
          <w:noProof/>
          <w:sz w:val="24"/>
          <w:szCs w:val="24"/>
        </w:rPr>
        <w:t>, doi:10.3389/fphar.2017.00577.</w:t>
      </w:r>
    </w:p>
    <w:p w14:paraId="2E1E8168" w14:textId="77777777" w:rsidR="009E57EB" w:rsidRPr="009E57EB" w:rsidRDefault="00BB4C00"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22. </w:t>
      </w:r>
      <w:r w:rsidRPr="009E57EB">
        <w:rPr>
          <w:rFonts w:ascii="Times New Roman" w:hAnsi="Times New Roman" w:cs="Times New Roman"/>
          <w:noProof/>
          <w:sz w:val="24"/>
          <w:szCs w:val="24"/>
        </w:rPr>
        <w:tab/>
      </w:r>
      <w:r w:rsidRPr="009E57EB">
        <w:rPr>
          <w:rFonts w:ascii="Times New Roman" w:hAnsi="Times New Roman" w:cs="Times New Roman"/>
          <w:noProof/>
          <w:sz w:val="24"/>
          <w:szCs w:val="24"/>
        </w:rPr>
        <w:t xml:space="preserve">Dongare, V.; Kulkarni, C.; Kondawar, M.; Magdum, C.; Haldavnekar, V.; Arvindekar, A. Inhibition of Aldose Reductase and Anti-Cataract Action of Trans-Anethole Isolated from Foeniculum Vulgare Mill. Fruits. </w:t>
      </w:r>
      <w:r w:rsidRPr="009E57EB">
        <w:rPr>
          <w:rFonts w:ascii="Times New Roman" w:hAnsi="Times New Roman" w:cs="Times New Roman"/>
          <w:i/>
          <w:iCs/>
          <w:noProof/>
          <w:sz w:val="24"/>
          <w:szCs w:val="24"/>
        </w:rPr>
        <w:t>Food Chem.</w:t>
      </w:r>
      <w:r w:rsidRPr="009E57EB">
        <w:rPr>
          <w:rFonts w:ascii="Times New Roman" w:hAnsi="Times New Roman" w:cs="Times New Roman"/>
          <w:noProof/>
          <w:sz w:val="24"/>
          <w:szCs w:val="24"/>
        </w:rPr>
        <w:t xml:space="preserve"> </w:t>
      </w:r>
      <w:r w:rsidRPr="009E57EB">
        <w:rPr>
          <w:rFonts w:ascii="Times New Roman" w:hAnsi="Times New Roman" w:cs="Times New Roman"/>
          <w:b/>
          <w:bCs/>
          <w:noProof/>
          <w:sz w:val="24"/>
          <w:szCs w:val="24"/>
        </w:rPr>
        <w:t>2012</w:t>
      </w:r>
      <w:r w:rsidRPr="009E57EB">
        <w:rPr>
          <w:rFonts w:ascii="Times New Roman" w:hAnsi="Times New Roman" w:cs="Times New Roman"/>
          <w:noProof/>
          <w:sz w:val="24"/>
          <w:szCs w:val="24"/>
        </w:rPr>
        <w:t>, doi:10.1016/j.foodchem.2011.11.00</w:t>
      </w:r>
      <w:r w:rsidRPr="009E57EB">
        <w:rPr>
          <w:rFonts w:ascii="Times New Roman" w:hAnsi="Times New Roman" w:cs="Times New Roman"/>
          <w:noProof/>
          <w:sz w:val="24"/>
          <w:szCs w:val="24"/>
        </w:rPr>
        <w:t>5.</w:t>
      </w:r>
    </w:p>
    <w:p w14:paraId="63574D5E" w14:textId="7EDA5058" w:rsidR="009E57EB" w:rsidRPr="009E57EB" w:rsidRDefault="00BB4C00"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23. </w:t>
      </w:r>
      <w:r w:rsidRPr="009E57EB">
        <w:rPr>
          <w:rFonts w:ascii="Times New Roman" w:hAnsi="Times New Roman" w:cs="Times New Roman"/>
          <w:noProof/>
          <w:sz w:val="24"/>
          <w:szCs w:val="24"/>
        </w:rPr>
        <w:tab/>
        <w:t xml:space="preserve">Basha, S.C.; Alagusundaram, M. Phytochemical Investigation and Heavy Metal Analysis of a Miracle Plant Eryngium </w:t>
      </w:r>
      <w:r>
        <w:rPr>
          <w:rFonts w:ascii="Times New Roman" w:hAnsi="Times New Roman" w:cs="Times New Roman"/>
          <w:noProof/>
          <w:sz w:val="24"/>
          <w:szCs w:val="24"/>
        </w:rPr>
        <w:t>foetidum</w:t>
      </w:r>
      <w:r w:rsidRPr="009E57EB">
        <w:rPr>
          <w:rFonts w:ascii="Times New Roman" w:hAnsi="Times New Roman" w:cs="Times New Roman"/>
          <w:noProof/>
          <w:sz w:val="24"/>
          <w:szCs w:val="24"/>
        </w:rPr>
        <w:t xml:space="preserve"> Linn. </w:t>
      </w:r>
      <w:r w:rsidRPr="009E57EB">
        <w:rPr>
          <w:rFonts w:ascii="Times New Roman" w:hAnsi="Times New Roman" w:cs="Times New Roman"/>
          <w:i/>
          <w:iCs/>
          <w:noProof/>
          <w:sz w:val="24"/>
          <w:szCs w:val="24"/>
        </w:rPr>
        <w:t>Curr. Trends Biotechnol. Pharm.</w:t>
      </w:r>
      <w:r w:rsidRPr="009E57EB">
        <w:rPr>
          <w:rFonts w:ascii="Times New Roman" w:hAnsi="Times New Roman" w:cs="Times New Roman"/>
          <w:noProof/>
          <w:sz w:val="24"/>
          <w:szCs w:val="24"/>
        </w:rPr>
        <w:t xml:space="preserve"> </w:t>
      </w:r>
      <w:r w:rsidRPr="009E57EB">
        <w:rPr>
          <w:rFonts w:ascii="Times New Roman" w:hAnsi="Times New Roman" w:cs="Times New Roman"/>
          <w:b/>
          <w:bCs/>
          <w:noProof/>
          <w:sz w:val="24"/>
          <w:szCs w:val="24"/>
        </w:rPr>
        <w:t>2022</w:t>
      </w:r>
      <w:r w:rsidRPr="009E57EB">
        <w:rPr>
          <w:rFonts w:ascii="Times New Roman" w:hAnsi="Times New Roman" w:cs="Times New Roman"/>
          <w:noProof/>
          <w:sz w:val="24"/>
          <w:szCs w:val="24"/>
        </w:rPr>
        <w:t>, doi:10.5530/ctbp.2022.3s.57.</w:t>
      </w:r>
    </w:p>
    <w:p w14:paraId="27400024" w14:textId="77777777" w:rsidR="009E57EB" w:rsidRPr="009E57EB" w:rsidRDefault="00BB4C00"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24. </w:t>
      </w:r>
      <w:r w:rsidRPr="009E57EB">
        <w:rPr>
          <w:rFonts w:ascii="Times New Roman" w:hAnsi="Times New Roman" w:cs="Times New Roman"/>
          <w:noProof/>
          <w:sz w:val="24"/>
          <w:szCs w:val="24"/>
        </w:rPr>
        <w:tab/>
        <w:t>Franco-Franklin, V.; Moreno-Riascos, S.; Ghneim-H</w:t>
      </w:r>
      <w:r w:rsidRPr="009E57EB">
        <w:rPr>
          <w:rFonts w:ascii="Times New Roman" w:hAnsi="Times New Roman" w:cs="Times New Roman"/>
          <w:noProof/>
          <w:sz w:val="24"/>
          <w:szCs w:val="24"/>
        </w:rPr>
        <w:t xml:space="preserve">errera, T. Are Endophytic Bacteria an Option for Increasing Heavy Metal Tolerance of Plants? A Meta-Analysis of the Effect Size. </w:t>
      </w:r>
      <w:r w:rsidRPr="009E57EB">
        <w:rPr>
          <w:rFonts w:ascii="Times New Roman" w:hAnsi="Times New Roman" w:cs="Times New Roman"/>
          <w:i/>
          <w:iCs/>
          <w:noProof/>
          <w:sz w:val="24"/>
          <w:szCs w:val="24"/>
        </w:rPr>
        <w:t>Front. Environ. Sci.</w:t>
      </w:r>
      <w:r w:rsidRPr="009E57EB">
        <w:rPr>
          <w:rFonts w:ascii="Times New Roman" w:hAnsi="Times New Roman" w:cs="Times New Roman"/>
          <w:noProof/>
          <w:sz w:val="24"/>
          <w:szCs w:val="24"/>
        </w:rPr>
        <w:t xml:space="preserve"> </w:t>
      </w:r>
      <w:r w:rsidRPr="009E57EB">
        <w:rPr>
          <w:rFonts w:ascii="Times New Roman" w:hAnsi="Times New Roman" w:cs="Times New Roman"/>
          <w:b/>
          <w:bCs/>
          <w:noProof/>
          <w:sz w:val="24"/>
          <w:szCs w:val="24"/>
        </w:rPr>
        <w:t>2021</w:t>
      </w:r>
      <w:r w:rsidRPr="009E57EB">
        <w:rPr>
          <w:rFonts w:ascii="Times New Roman" w:hAnsi="Times New Roman" w:cs="Times New Roman"/>
          <w:noProof/>
          <w:sz w:val="24"/>
          <w:szCs w:val="24"/>
        </w:rPr>
        <w:t>, doi:10.3389/fenvs.2020.603668.</w:t>
      </w:r>
    </w:p>
    <w:p w14:paraId="5D523B9E" w14:textId="77777777" w:rsidR="009E57EB" w:rsidRPr="009E57EB" w:rsidRDefault="00BB4C00"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25. </w:t>
      </w:r>
      <w:r w:rsidRPr="009E57EB">
        <w:rPr>
          <w:rFonts w:ascii="Times New Roman" w:hAnsi="Times New Roman" w:cs="Times New Roman"/>
          <w:noProof/>
          <w:sz w:val="24"/>
          <w:szCs w:val="24"/>
        </w:rPr>
        <w:tab/>
        <w:t xml:space="preserve">Kumar, V.; Ain, S.; Kumar, B.; Ain, Q.; Gaurav Optimization and </w:t>
      </w:r>
      <w:r w:rsidRPr="009E57EB">
        <w:rPr>
          <w:rFonts w:ascii="Times New Roman" w:hAnsi="Times New Roman" w:cs="Times New Roman"/>
          <w:noProof/>
          <w:sz w:val="24"/>
          <w:szCs w:val="24"/>
        </w:rPr>
        <w:t xml:space="preserve">Evaluation of Topical Gel Containing Solid Lipid Nanoparticles Loaded with Luliconazole and Its Anti-Fungal </w:t>
      </w:r>
      <w:r w:rsidRPr="009E57EB">
        <w:rPr>
          <w:rFonts w:ascii="Times New Roman" w:hAnsi="Times New Roman" w:cs="Times New Roman"/>
          <w:noProof/>
          <w:sz w:val="24"/>
          <w:szCs w:val="24"/>
        </w:rPr>
        <w:lastRenderedPageBreak/>
        <w:t xml:space="preserve">Activity. </w:t>
      </w:r>
      <w:r w:rsidRPr="009E57EB">
        <w:rPr>
          <w:rFonts w:ascii="Times New Roman" w:hAnsi="Times New Roman" w:cs="Times New Roman"/>
          <w:i/>
          <w:iCs/>
          <w:noProof/>
          <w:sz w:val="24"/>
          <w:szCs w:val="24"/>
        </w:rPr>
        <w:t>Int. J. Pharm. Res.</w:t>
      </w:r>
      <w:r w:rsidRPr="009E57EB">
        <w:rPr>
          <w:rFonts w:ascii="Times New Roman" w:hAnsi="Times New Roman" w:cs="Times New Roman"/>
          <w:noProof/>
          <w:sz w:val="24"/>
          <w:szCs w:val="24"/>
        </w:rPr>
        <w:t xml:space="preserve"> </w:t>
      </w:r>
      <w:r w:rsidRPr="009E57EB">
        <w:rPr>
          <w:rFonts w:ascii="Times New Roman" w:hAnsi="Times New Roman" w:cs="Times New Roman"/>
          <w:b/>
          <w:bCs/>
          <w:noProof/>
          <w:sz w:val="24"/>
          <w:szCs w:val="24"/>
        </w:rPr>
        <w:t>2020</w:t>
      </w:r>
      <w:r w:rsidRPr="009E57EB">
        <w:rPr>
          <w:rFonts w:ascii="Times New Roman" w:hAnsi="Times New Roman" w:cs="Times New Roman"/>
          <w:noProof/>
          <w:sz w:val="24"/>
          <w:szCs w:val="24"/>
        </w:rPr>
        <w:t>, doi:10.31838/ijpr/2020.SP2.169.</w:t>
      </w:r>
    </w:p>
    <w:p w14:paraId="36C614BC" w14:textId="77777777" w:rsidR="009E57EB" w:rsidRPr="009E57EB" w:rsidRDefault="00BB4C00"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26. </w:t>
      </w:r>
      <w:r w:rsidRPr="009E57EB">
        <w:rPr>
          <w:rFonts w:ascii="Times New Roman" w:hAnsi="Times New Roman" w:cs="Times New Roman"/>
          <w:noProof/>
          <w:sz w:val="24"/>
          <w:szCs w:val="24"/>
        </w:rPr>
        <w:tab/>
        <w:t xml:space="preserve">Ekbbal, R.; </w:t>
      </w:r>
      <w:r w:rsidRPr="009E57EB">
        <w:rPr>
          <w:rFonts w:ascii="Times New Roman" w:hAnsi="Times New Roman" w:cs="Times New Roman"/>
          <w:noProof/>
          <w:sz w:val="24"/>
          <w:szCs w:val="24"/>
        </w:rPr>
        <w:t>Iqubal</w:t>
      </w:r>
      <w:r w:rsidRPr="009E57EB">
        <w:rPr>
          <w:rFonts w:ascii="Times New Roman" w:hAnsi="Times New Roman" w:cs="Times New Roman"/>
          <w:noProof/>
          <w:sz w:val="24"/>
          <w:szCs w:val="24"/>
        </w:rPr>
        <w:t>, A.; Ansari, M.; Ahmad, S.; Haque, S. Evaluation of Card</w:t>
      </w:r>
      <w:r w:rsidRPr="009E57EB">
        <w:rPr>
          <w:rFonts w:ascii="Times New Roman" w:hAnsi="Times New Roman" w:cs="Times New Roman"/>
          <w:noProof/>
          <w:sz w:val="24"/>
          <w:szCs w:val="24"/>
        </w:rPr>
        <w:t xml:space="preserve">ioprotective Potential of Isolated Swerchirin against the Isoproterenol-Induced Cardiotoxicity in Wistar Albino Rats. </w:t>
      </w:r>
      <w:r w:rsidRPr="009E57EB">
        <w:rPr>
          <w:rFonts w:ascii="Times New Roman" w:hAnsi="Times New Roman" w:cs="Times New Roman"/>
          <w:i/>
          <w:iCs/>
          <w:noProof/>
          <w:sz w:val="24"/>
          <w:szCs w:val="24"/>
        </w:rPr>
        <w:t>Pharmacogn. Mag.</w:t>
      </w:r>
      <w:r w:rsidRPr="009E57EB">
        <w:rPr>
          <w:rFonts w:ascii="Times New Roman" w:hAnsi="Times New Roman" w:cs="Times New Roman"/>
          <w:noProof/>
          <w:sz w:val="24"/>
          <w:szCs w:val="24"/>
        </w:rPr>
        <w:t xml:space="preserve"> </w:t>
      </w:r>
      <w:r w:rsidRPr="009E57EB">
        <w:rPr>
          <w:rFonts w:ascii="Times New Roman" w:hAnsi="Times New Roman" w:cs="Times New Roman"/>
          <w:b/>
          <w:bCs/>
          <w:noProof/>
          <w:sz w:val="24"/>
          <w:szCs w:val="24"/>
        </w:rPr>
        <w:t>2022</w:t>
      </w:r>
      <w:r w:rsidRPr="009E57EB">
        <w:rPr>
          <w:rFonts w:ascii="Times New Roman" w:hAnsi="Times New Roman" w:cs="Times New Roman"/>
          <w:noProof/>
          <w:sz w:val="24"/>
          <w:szCs w:val="24"/>
        </w:rPr>
        <w:t>, doi:10.4103/pm.pm_500_20.</w:t>
      </w:r>
    </w:p>
    <w:p w14:paraId="68163F32" w14:textId="77777777" w:rsidR="009E57EB" w:rsidRPr="009E57EB" w:rsidRDefault="00BB4C00"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27. </w:t>
      </w:r>
      <w:r w:rsidRPr="009E57EB">
        <w:rPr>
          <w:rFonts w:ascii="Times New Roman" w:hAnsi="Times New Roman" w:cs="Times New Roman"/>
          <w:noProof/>
          <w:sz w:val="24"/>
          <w:szCs w:val="24"/>
        </w:rPr>
        <w:tab/>
        <w:t>Patel, K.; Patel, J.; Patel, M.; Rajput, G.; Patel, H. Introduction to Hyphenated Te</w:t>
      </w:r>
      <w:r w:rsidRPr="009E57EB">
        <w:rPr>
          <w:rFonts w:ascii="Times New Roman" w:hAnsi="Times New Roman" w:cs="Times New Roman"/>
          <w:noProof/>
          <w:sz w:val="24"/>
          <w:szCs w:val="24"/>
        </w:rPr>
        <w:t xml:space="preserve">chniques and Their Applications in Pharmacy. </w:t>
      </w:r>
      <w:r w:rsidRPr="009E57EB">
        <w:rPr>
          <w:rFonts w:ascii="Times New Roman" w:hAnsi="Times New Roman" w:cs="Times New Roman"/>
          <w:i/>
          <w:iCs/>
          <w:noProof/>
          <w:sz w:val="24"/>
          <w:szCs w:val="24"/>
        </w:rPr>
        <w:t>Pharm. Methods</w:t>
      </w:r>
      <w:r w:rsidRPr="009E57EB">
        <w:rPr>
          <w:rFonts w:ascii="Times New Roman" w:hAnsi="Times New Roman" w:cs="Times New Roman"/>
          <w:noProof/>
          <w:sz w:val="24"/>
          <w:szCs w:val="24"/>
        </w:rPr>
        <w:t xml:space="preserve"> </w:t>
      </w:r>
      <w:r w:rsidRPr="009E57EB">
        <w:rPr>
          <w:rFonts w:ascii="Times New Roman" w:hAnsi="Times New Roman" w:cs="Times New Roman"/>
          <w:b/>
          <w:bCs/>
          <w:noProof/>
          <w:sz w:val="24"/>
          <w:szCs w:val="24"/>
        </w:rPr>
        <w:t>2010</w:t>
      </w:r>
      <w:r w:rsidRPr="009E57EB">
        <w:rPr>
          <w:rFonts w:ascii="Times New Roman" w:hAnsi="Times New Roman" w:cs="Times New Roman"/>
          <w:noProof/>
          <w:sz w:val="24"/>
          <w:szCs w:val="24"/>
        </w:rPr>
        <w:t>, doi:10.4103/2229-4708.72222.</w:t>
      </w:r>
    </w:p>
    <w:p w14:paraId="38834545" w14:textId="77777777" w:rsidR="009E57EB" w:rsidRPr="009E57EB" w:rsidRDefault="00BB4C00"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28. </w:t>
      </w:r>
      <w:r w:rsidRPr="009E57EB">
        <w:rPr>
          <w:rFonts w:ascii="Times New Roman" w:hAnsi="Times New Roman" w:cs="Times New Roman"/>
          <w:noProof/>
          <w:sz w:val="24"/>
          <w:szCs w:val="24"/>
        </w:rPr>
        <w:tab/>
        <w:t xml:space="preserve">Wahab, N.; Hassan, H.H.M.; Yusuf, W.N.S.W.; Jahwi, R.A.; Kasim, M.M.M.; Rashid, M.R.A. Physicochemical and Microbial Analysis of Plant-Based Food Waste for </w:t>
      </w:r>
      <w:r w:rsidRPr="009E57EB">
        <w:rPr>
          <w:rFonts w:ascii="Times New Roman" w:hAnsi="Times New Roman" w:cs="Times New Roman"/>
          <w:noProof/>
          <w:sz w:val="24"/>
          <w:szCs w:val="24"/>
        </w:rPr>
        <w:t>Potential Used as an Animal Feed. In Proceedings of the AIP Conference Proceedings; 2022.</w:t>
      </w:r>
    </w:p>
    <w:p w14:paraId="1F053552" w14:textId="77777777" w:rsidR="009E57EB" w:rsidRPr="009E57EB" w:rsidRDefault="00BB4C00"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29. </w:t>
      </w:r>
      <w:r w:rsidRPr="009E57EB">
        <w:rPr>
          <w:rFonts w:ascii="Times New Roman" w:hAnsi="Times New Roman" w:cs="Times New Roman"/>
          <w:noProof/>
          <w:sz w:val="24"/>
          <w:szCs w:val="24"/>
        </w:rPr>
        <w:tab/>
        <w:t xml:space="preserve">Waring, B.; Gee, A.; Liang, G.; Adkins, S. A Quantitative Analysis of Microbial Community Structure-Function Relationships in Plant Litter Decay. </w:t>
      </w:r>
      <w:r w:rsidRPr="009E57EB">
        <w:rPr>
          <w:rFonts w:ascii="Times New Roman" w:hAnsi="Times New Roman" w:cs="Times New Roman"/>
          <w:i/>
          <w:iCs/>
          <w:noProof/>
          <w:sz w:val="24"/>
          <w:szCs w:val="24"/>
        </w:rPr>
        <w:t>iScience</w:t>
      </w:r>
      <w:r w:rsidRPr="009E57EB">
        <w:rPr>
          <w:rFonts w:ascii="Times New Roman" w:hAnsi="Times New Roman" w:cs="Times New Roman"/>
          <w:noProof/>
          <w:sz w:val="24"/>
          <w:szCs w:val="24"/>
        </w:rPr>
        <w:t xml:space="preserve"> 2022.</w:t>
      </w:r>
    </w:p>
    <w:p w14:paraId="25DB48AF" w14:textId="77777777" w:rsidR="009E57EB" w:rsidRPr="009E57EB" w:rsidRDefault="00BB4C00"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30. </w:t>
      </w:r>
      <w:r w:rsidRPr="009E57EB">
        <w:rPr>
          <w:rFonts w:ascii="Times New Roman" w:hAnsi="Times New Roman" w:cs="Times New Roman"/>
          <w:noProof/>
          <w:sz w:val="24"/>
          <w:szCs w:val="24"/>
        </w:rPr>
        <w:tab/>
        <w:t xml:space="preserve">Amir, M.; Ahmad, N.; Sarfaroz, M.; Ahmad, W.; Ahmad, S.; Mujeeb, M.; Pottoo, F. Tamarindus Indica Fruit: Pharmacognostical Standardization, Detection of Contaminant, and in Vitro Antioxidant Activity. </w:t>
      </w:r>
      <w:r w:rsidRPr="009E57EB">
        <w:rPr>
          <w:rFonts w:ascii="Times New Roman" w:hAnsi="Times New Roman" w:cs="Times New Roman"/>
          <w:i/>
          <w:iCs/>
          <w:noProof/>
          <w:sz w:val="24"/>
          <w:szCs w:val="24"/>
        </w:rPr>
        <w:t>J. Pharm. Bioallied Sci.</w:t>
      </w:r>
      <w:r w:rsidRPr="009E57EB">
        <w:rPr>
          <w:rFonts w:ascii="Times New Roman" w:hAnsi="Times New Roman" w:cs="Times New Roman"/>
          <w:noProof/>
          <w:sz w:val="24"/>
          <w:szCs w:val="24"/>
        </w:rPr>
        <w:t xml:space="preserve"> </w:t>
      </w:r>
      <w:r w:rsidRPr="009E57EB">
        <w:rPr>
          <w:rFonts w:ascii="Times New Roman" w:hAnsi="Times New Roman" w:cs="Times New Roman"/>
          <w:b/>
          <w:bCs/>
          <w:noProof/>
          <w:sz w:val="24"/>
          <w:szCs w:val="24"/>
        </w:rPr>
        <w:t>2019</w:t>
      </w:r>
      <w:r w:rsidRPr="009E57EB">
        <w:rPr>
          <w:rFonts w:ascii="Times New Roman" w:hAnsi="Times New Roman" w:cs="Times New Roman"/>
          <w:noProof/>
          <w:sz w:val="24"/>
          <w:szCs w:val="24"/>
        </w:rPr>
        <w:t>, doi:10.4103/</w:t>
      </w:r>
      <w:r w:rsidRPr="009E57EB">
        <w:rPr>
          <w:rFonts w:ascii="Times New Roman" w:hAnsi="Times New Roman" w:cs="Times New Roman"/>
          <w:noProof/>
          <w:sz w:val="24"/>
          <w:szCs w:val="24"/>
        </w:rPr>
        <w:t>jpbs</w:t>
      </w:r>
      <w:r w:rsidRPr="009E57EB">
        <w:rPr>
          <w:rFonts w:ascii="Times New Roman" w:hAnsi="Times New Roman" w:cs="Times New Roman"/>
          <w:noProof/>
          <w:sz w:val="24"/>
          <w:szCs w:val="24"/>
        </w:rPr>
        <w:t>.JP</w:t>
      </w:r>
      <w:r w:rsidRPr="009E57EB">
        <w:rPr>
          <w:rFonts w:ascii="Times New Roman" w:hAnsi="Times New Roman" w:cs="Times New Roman"/>
          <w:noProof/>
          <w:sz w:val="24"/>
          <w:szCs w:val="24"/>
        </w:rPr>
        <w:t>BS_46_19.</w:t>
      </w:r>
    </w:p>
    <w:p w14:paraId="68801666" w14:textId="77777777" w:rsidR="009E57EB" w:rsidRPr="009E57EB" w:rsidRDefault="00BB4C00"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31. </w:t>
      </w:r>
      <w:r w:rsidRPr="009E57EB">
        <w:rPr>
          <w:rFonts w:ascii="Times New Roman" w:hAnsi="Times New Roman" w:cs="Times New Roman"/>
          <w:noProof/>
          <w:sz w:val="24"/>
          <w:szCs w:val="24"/>
        </w:rPr>
        <w:tab/>
        <w:t>Krupanidhi, S.; Abraham Peele, K.; Venkateswarulu, T.C.; Ayyagari, V.S.; Nazneen Bobby, M.; John Babu, D.; Venkata Narayana, A.; Aishwarya, G. Screening of Phytochemical Compounds of Tinospora Cordifolia for Their Inhibitory Activity on SARS</w:t>
      </w:r>
      <w:r w:rsidRPr="009E57EB">
        <w:rPr>
          <w:rFonts w:ascii="Times New Roman" w:hAnsi="Times New Roman" w:cs="Times New Roman"/>
          <w:noProof/>
          <w:sz w:val="24"/>
          <w:szCs w:val="24"/>
        </w:rPr>
        <w:t xml:space="preserve">-CoV-2: An in Silico Study. </w:t>
      </w:r>
      <w:r w:rsidRPr="009E57EB">
        <w:rPr>
          <w:rFonts w:ascii="Times New Roman" w:hAnsi="Times New Roman" w:cs="Times New Roman"/>
          <w:i/>
          <w:iCs/>
          <w:noProof/>
          <w:sz w:val="24"/>
          <w:szCs w:val="24"/>
        </w:rPr>
        <w:t>J. Biomol. Struct. Dyn.</w:t>
      </w:r>
      <w:r w:rsidRPr="009E57EB">
        <w:rPr>
          <w:rFonts w:ascii="Times New Roman" w:hAnsi="Times New Roman" w:cs="Times New Roman"/>
          <w:noProof/>
          <w:sz w:val="24"/>
          <w:szCs w:val="24"/>
        </w:rPr>
        <w:t xml:space="preserve"> </w:t>
      </w:r>
      <w:r w:rsidRPr="009E57EB">
        <w:rPr>
          <w:rFonts w:ascii="Times New Roman" w:hAnsi="Times New Roman" w:cs="Times New Roman"/>
          <w:b/>
          <w:bCs/>
          <w:noProof/>
          <w:sz w:val="24"/>
          <w:szCs w:val="24"/>
        </w:rPr>
        <w:t>2020</w:t>
      </w:r>
      <w:r w:rsidRPr="009E57EB">
        <w:rPr>
          <w:rFonts w:ascii="Times New Roman" w:hAnsi="Times New Roman" w:cs="Times New Roman"/>
          <w:noProof/>
          <w:sz w:val="24"/>
          <w:szCs w:val="24"/>
        </w:rPr>
        <w:t>, doi:10.1080/07391102.2020.1787226.</w:t>
      </w:r>
    </w:p>
    <w:p w14:paraId="14E82312" w14:textId="77777777" w:rsidR="009E57EB" w:rsidRPr="009E57EB" w:rsidRDefault="00BB4C00" w:rsidP="009E57EB">
      <w:pPr>
        <w:widowControl w:val="0"/>
        <w:autoSpaceDE w:val="0"/>
        <w:autoSpaceDN w:val="0"/>
        <w:adjustRightInd w:val="0"/>
        <w:spacing w:line="360" w:lineRule="auto"/>
        <w:ind w:left="640" w:hanging="640"/>
        <w:rPr>
          <w:rFonts w:ascii="Times New Roman" w:hAnsi="Times New Roman" w:cs="Times New Roman"/>
          <w:noProof/>
          <w:sz w:val="24"/>
        </w:rPr>
      </w:pPr>
      <w:r w:rsidRPr="009E57EB">
        <w:rPr>
          <w:rFonts w:ascii="Times New Roman" w:hAnsi="Times New Roman" w:cs="Times New Roman"/>
          <w:noProof/>
          <w:sz w:val="24"/>
          <w:szCs w:val="24"/>
        </w:rPr>
        <w:t xml:space="preserve">32. </w:t>
      </w:r>
      <w:r w:rsidRPr="009E57EB">
        <w:rPr>
          <w:rFonts w:ascii="Times New Roman" w:hAnsi="Times New Roman" w:cs="Times New Roman"/>
          <w:noProof/>
          <w:sz w:val="24"/>
          <w:szCs w:val="24"/>
        </w:rPr>
        <w:tab/>
        <w:t>Sriraman, S.; Ramanujam, G.M.; Ramasamy, M.K.; Dubey, G.P. Identification of Beta-Sitosterol and Stigmasterol in Bambusa Bambos (L.) Voss Leaf Extract Using H</w:t>
      </w:r>
      <w:r w:rsidRPr="009E57EB">
        <w:rPr>
          <w:rFonts w:ascii="Times New Roman" w:hAnsi="Times New Roman" w:cs="Times New Roman"/>
          <w:noProof/>
          <w:sz w:val="24"/>
          <w:szCs w:val="24"/>
        </w:rPr>
        <w:t xml:space="preserve">PLC and Its Estrogenic Effect in Vitro. </w:t>
      </w:r>
      <w:r w:rsidRPr="009E57EB">
        <w:rPr>
          <w:rFonts w:ascii="Times New Roman" w:hAnsi="Times New Roman" w:cs="Times New Roman"/>
          <w:i/>
          <w:iCs/>
          <w:noProof/>
          <w:sz w:val="24"/>
          <w:szCs w:val="24"/>
        </w:rPr>
        <w:t>J. Pharm. Biomed. Anal.</w:t>
      </w:r>
      <w:r w:rsidRPr="009E57EB">
        <w:rPr>
          <w:rFonts w:ascii="Times New Roman" w:hAnsi="Times New Roman" w:cs="Times New Roman"/>
          <w:noProof/>
          <w:sz w:val="24"/>
          <w:szCs w:val="24"/>
        </w:rPr>
        <w:t xml:space="preserve"> </w:t>
      </w:r>
      <w:r w:rsidRPr="009E57EB">
        <w:rPr>
          <w:rFonts w:ascii="Times New Roman" w:hAnsi="Times New Roman" w:cs="Times New Roman"/>
          <w:b/>
          <w:bCs/>
          <w:noProof/>
          <w:sz w:val="24"/>
          <w:szCs w:val="24"/>
        </w:rPr>
        <w:t>2015</w:t>
      </w:r>
      <w:r w:rsidRPr="009E57EB">
        <w:rPr>
          <w:rFonts w:ascii="Times New Roman" w:hAnsi="Times New Roman" w:cs="Times New Roman"/>
          <w:noProof/>
          <w:sz w:val="24"/>
          <w:szCs w:val="24"/>
        </w:rPr>
        <w:t>, doi:10.1016/j.jpba.2015.06.024.</w:t>
      </w:r>
    </w:p>
    <w:p w14:paraId="27A72D12" w14:textId="22347082" w:rsidR="009E57EB" w:rsidRPr="009E57EB" w:rsidRDefault="00BB4C00" w:rsidP="00DA4AA9">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fldChar w:fldCharType="end"/>
      </w:r>
    </w:p>
    <w:p w14:paraId="19036312" w14:textId="77777777" w:rsidR="0010755C" w:rsidRPr="004F0A7F" w:rsidRDefault="0010755C" w:rsidP="00DA4AA9">
      <w:pPr>
        <w:spacing w:line="360" w:lineRule="auto"/>
        <w:jc w:val="both"/>
        <w:rPr>
          <w:rFonts w:ascii="Times New Roman" w:hAnsi="Times New Roman" w:cs="Times New Roman"/>
          <w:color w:val="000000" w:themeColor="text1"/>
          <w:sz w:val="24"/>
          <w:szCs w:val="24"/>
        </w:rPr>
      </w:pPr>
    </w:p>
    <w:sectPr w:rsidR="0010755C" w:rsidRPr="004F0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4282"/>
    <w:multiLevelType w:val="hybridMultilevel"/>
    <w:tmpl w:val="85661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13E29"/>
    <w:multiLevelType w:val="hybridMultilevel"/>
    <w:tmpl w:val="C116E75E"/>
    <w:lvl w:ilvl="0" w:tplc="E6D2A992">
      <w:start w:val="1"/>
      <w:numFmt w:val="bullet"/>
      <w:lvlText w:val=""/>
      <w:lvlJc w:val="left"/>
      <w:pPr>
        <w:ind w:left="720" w:hanging="360"/>
      </w:pPr>
      <w:rPr>
        <w:rFonts w:ascii="Wingdings" w:hAnsi="Wingdings" w:hint="default"/>
      </w:rPr>
    </w:lvl>
    <w:lvl w:ilvl="1" w:tplc="BD8C1BB8" w:tentative="1">
      <w:start w:val="1"/>
      <w:numFmt w:val="bullet"/>
      <w:lvlText w:val="o"/>
      <w:lvlJc w:val="left"/>
      <w:pPr>
        <w:ind w:left="1440" w:hanging="360"/>
      </w:pPr>
      <w:rPr>
        <w:rFonts w:ascii="Courier New" w:hAnsi="Courier New" w:cs="Courier New" w:hint="default"/>
      </w:rPr>
    </w:lvl>
    <w:lvl w:ilvl="2" w:tplc="EC621F30" w:tentative="1">
      <w:start w:val="1"/>
      <w:numFmt w:val="bullet"/>
      <w:lvlText w:val=""/>
      <w:lvlJc w:val="left"/>
      <w:pPr>
        <w:ind w:left="2160" w:hanging="360"/>
      </w:pPr>
      <w:rPr>
        <w:rFonts w:ascii="Wingdings" w:hAnsi="Wingdings" w:hint="default"/>
      </w:rPr>
    </w:lvl>
    <w:lvl w:ilvl="3" w:tplc="F5EAB016" w:tentative="1">
      <w:start w:val="1"/>
      <w:numFmt w:val="bullet"/>
      <w:lvlText w:val=""/>
      <w:lvlJc w:val="left"/>
      <w:pPr>
        <w:ind w:left="2880" w:hanging="360"/>
      </w:pPr>
      <w:rPr>
        <w:rFonts w:ascii="Symbol" w:hAnsi="Symbol" w:hint="default"/>
      </w:rPr>
    </w:lvl>
    <w:lvl w:ilvl="4" w:tplc="DB444A42" w:tentative="1">
      <w:start w:val="1"/>
      <w:numFmt w:val="bullet"/>
      <w:lvlText w:val="o"/>
      <w:lvlJc w:val="left"/>
      <w:pPr>
        <w:ind w:left="3600" w:hanging="360"/>
      </w:pPr>
      <w:rPr>
        <w:rFonts w:ascii="Courier New" w:hAnsi="Courier New" w:cs="Courier New" w:hint="default"/>
      </w:rPr>
    </w:lvl>
    <w:lvl w:ilvl="5" w:tplc="180268EA" w:tentative="1">
      <w:start w:val="1"/>
      <w:numFmt w:val="bullet"/>
      <w:lvlText w:val=""/>
      <w:lvlJc w:val="left"/>
      <w:pPr>
        <w:ind w:left="4320" w:hanging="360"/>
      </w:pPr>
      <w:rPr>
        <w:rFonts w:ascii="Wingdings" w:hAnsi="Wingdings" w:hint="default"/>
      </w:rPr>
    </w:lvl>
    <w:lvl w:ilvl="6" w:tplc="406CF0AC" w:tentative="1">
      <w:start w:val="1"/>
      <w:numFmt w:val="bullet"/>
      <w:lvlText w:val=""/>
      <w:lvlJc w:val="left"/>
      <w:pPr>
        <w:ind w:left="5040" w:hanging="360"/>
      </w:pPr>
      <w:rPr>
        <w:rFonts w:ascii="Symbol" w:hAnsi="Symbol" w:hint="default"/>
      </w:rPr>
    </w:lvl>
    <w:lvl w:ilvl="7" w:tplc="ADE6C47C" w:tentative="1">
      <w:start w:val="1"/>
      <w:numFmt w:val="bullet"/>
      <w:lvlText w:val="o"/>
      <w:lvlJc w:val="left"/>
      <w:pPr>
        <w:ind w:left="5760" w:hanging="360"/>
      </w:pPr>
      <w:rPr>
        <w:rFonts w:ascii="Courier New" w:hAnsi="Courier New" w:cs="Courier New" w:hint="default"/>
      </w:rPr>
    </w:lvl>
    <w:lvl w:ilvl="8" w:tplc="75E2DB62" w:tentative="1">
      <w:start w:val="1"/>
      <w:numFmt w:val="bullet"/>
      <w:lvlText w:val=""/>
      <w:lvlJc w:val="left"/>
      <w:pPr>
        <w:ind w:left="6480" w:hanging="360"/>
      </w:pPr>
      <w:rPr>
        <w:rFonts w:ascii="Wingdings" w:hAnsi="Wingdings" w:hint="default"/>
      </w:rPr>
    </w:lvl>
  </w:abstractNum>
  <w:abstractNum w:abstractNumId="2" w15:restartNumberingAfterBreak="0">
    <w:nsid w:val="094D12F3"/>
    <w:multiLevelType w:val="hybridMultilevel"/>
    <w:tmpl w:val="2D8E2EE4"/>
    <w:lvl w:ilvl="0" w:tplc="957EABFE">
      <w:start w:val="1"/>
      <w:numFmt w:val="bullet"/>
      <w:lvlText w:val=""/>
      <w:lvlJc w:val="left"/>
      <w:pPr>
        <w:ind w:left="720" w:hanging="360"/>
      </w:pPr>
      <w:rPr>
        <w:rFonts w:ascii="Wingdings" w:hAnsi="Wingdings" w:hint="default"/>
      </w:rPr>
    </w:lvl>
    <w:lvl w:ilvl="1" w:tplc="C7627338" w:tentative="1">
      <w:start w:val="1"/>
      <w:numFmt w:val="bullet"/>
      <w:lvlText w:val="o"/>
      <w:lvlJc w:val="left"/>
      <w:pPr>
        <w:ind w:left="1440" w:hanging="360"/>
      </w:pPr>
      <w:rPr>
        <w:rFonts w:ascii="Courier New" w:hAnsi="Courier New" w:cs="Courier New" w:hint="default"/>
      </w:rPr>
    </w:lvl>
    <w:lvl w:ilvl="2" w:tplc="B82622BC" w:tentative="1">
      <w:start w:val="1"/>
      <w:numFmt w:val="bullet"/>
      <w:lvlText w:val=""/>
      <w:lvlJc w:val="left"/>
      <w:pPr>
        <w:ind w:left="2160" w:hanging="360"/>
      </w:pPr>
      <w:rPr>
        <w:rFonts w:ascii="Wingdings" w:hAnsi="Wingdings" w:hint="default"/>
      </w:rPr>
    </w:lvl>
    <w:lvl w:ilvl="3" w:tplc="EFB0BED2" w:tentative="1">
      <w:start w:val="1"/>
      <w:numFmt w:val="bullet"/>
      <w:lvlText w:val=""/>
      <w:lvlJc w:val="left"/>
      <w:pPr>
        <w:ind w:left="2880" w:hanging="360"/>
      </w:pPr>
      <w:rPr>
        <w:rFonts w:ascii="Symbol" w:hAnsi="Symbol" w:hint="default"/>
      </w:rPr>
    </w:lvl>
    <w:lvl w:ilvl="4" w:tplc="32E26B64" w:tentative="1">
      <w:start w:val="1"/>
      <w:numFmt w:val="bullet"/>
      <w:lvlText w:val="o"/>
      <w:lvlJc w:val="left"/>
      <w:pPr>
        <w:ind w:left="3600" w:hanging="360"/>
      </w:pPr>
      <w:rPr>
        <w:rFonts w:ascii="Courier New" w:hAnsi="Courier New" w:cs="Courier New" w:hint="default"/>
      </w:rPr>
    </w:lvl>
    <w:lvl w:ilvl="5" w:tplc="4B706624" w:tentative="1">
      <w:start w:val="1"/>
      <w:numFmt w:val="bullet"/>
      <w:lvlText w:val=""/>
      <w:lvlJc w:val="left"/>
      <w:pPr>
        <w:ind w:left="4320" w:hanging="360"/>
      </w:pPr>
      <w:rPr>
        <w:rFonts w:ascii="Wingdings" w:hAnsi="Wingdings" w:hint="default"/>
      </w:rPr>
    </w:lvl>
    <w:lvl w:ilvl="6" w:tplc="DE18FD7E" w:tentative="1">
      <w:start w:val="1"/>
      <w:numFmt w:val="bullet"/>
      <w:lvlText w:val=""/>
      <w:lvlJc w:val="left"/>
      <w:pPr>
        <w:ind w:left="5040" w:hanging="360"/>
      </w:pPr>
      <w:rPr>
        <w:rFonts w:ascii="Symbol" w:hAnsi="Symbol" w:hint="default"/>
      </w:rPr>
    </w:lvl>
    <w:lvl w:ilvl="7" w:tplc="7D4EA5DE" w:tentative="1">
      <w:start w:val="1"/>
      <w:numFmt w:val="bullet"/>
      <w:lvlText w:val="o"/>
      <w:lvlJc w:val="left"/>
      <w:pPr>
        <w:ind w:left="5760" w:hanging="360"/>
      </w:pPr>
      <w:rPr>
        <w:rFonts w:ascii="Courier New" w:hAnsi="Courier New" w:cs="Courier New" w:hint="default"/>
      </w:rPr>
    </w:lvl>
    <w:lvl w:ilvl="8" w:tplc="A4A01C3C" w:tentative="1">
      <w:start w:val="1"/>
      <w:numFmt w:val="bullet"/>
      <w:lvlText w:val=""/>
      <w:lvlJc w:val="left"/>
      <w:pPr>
        <w:ind w:left="6480" w:hanging="360"/>
      </w:pPr>
      <w:rPr>
        <w:rFonts w:ascii="Wingdings" w:hAnsi="Wingdings" w:hint="default"/>
      </w:rPr>
    </w:lvl>
  </w:abstractNum>
  <w:abstractNum w:abstractNumId="3" w15:restartNumberingAfterBreak="0">
    <w:nsid w:val="21DE6ACC"/>
    <w:multiLevelType w:val="multilevel"/>
    <w:tmpl w:val="BB205326"/>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6007BFB"/>
    <w:multiLevelType w:val="multilevel"/>
    <w:tmpl w:val="5B58B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B65C4B"/>
    <w:multiLevelType w:val="hybridMultilevel"/>
    <w:tmpl w:val="26DC2A16"/>
    <w:lvl w:ilvl="0" w:tplc="163AF09A">
      <w:start w:val="1"/>
      <w:numFmt w:val="bullet"/>
      <w:lvlText w:val=""/>
      <w:lvlJc w:val="left"/>
      <w:pPr>
        <w:ind w:left="720" w:hanging="360"/>
      </w:pPr>
      <w:rPr>
        <w:rFonts w:ascii="Wingdings" w:hAnsi="Wingdings" w:hint="default"/>
      </w:rPr>
    </w:lvl>
    <w:lvl w:ilvl="1" w:tplc="C39240D2" w:tentative="1">
      <w:start w:val="1"/>
      <w:numFmt w:val="bullet"/>
      <w:lvlText w:val="o"/>
      <w:lvlJc w:val="left"/>
      <w:pPr>
        <w:ind w:left="1440" w:hanging="360"/>
      </w:pPr>
      <w:rPr>
        <w:rFonts w:ascii="Courier New" w:hAnsi="Courier New" w:cs="Courier New" w:hint="default"/>
      </w:rPr>
    </w:lvl>
    <w:lvl w:ilvl="2" w:tplc="0454867E" w:tentative="1">
      <w:start w:val="1"/>
      <w:numFmt w:val="bullet"/>
      <w:lvlText w:val=""/>
      <w:lvlJc w:val="left"/>
      <w:pPr>
        <w:ind w:left="2160" w:hanging="360"/>
      </w:pPr>
      <w:rPr>
        <w:rFonts w:ascii="Wingdings" w:hAnsi="Wingdings" w:hint="default"/>
      </w:rPr>
    </w:lvl>
    <w:lvl w:ilvl="3" w:tplc="180CCABC" w:tentative="1">
      <w:start w:val="1"/>
      <w:numFmt w:val="bullet"/>
      <w:lvlText w:val=""/>
      <w:lvlJc w:val="left"/>
      <w:pPr>
        <w:ind w:left="2880" w:hanging="360"/>
      </w:pPr>
      <w:rPr>
        <w:rFonts w:ascii="Symbol" w:hAnsi="Symbol" w:hint="default"/>
      </w:rPr>
    </w:lvl>
    <w:lvl w:ilvl="4" w:tplc="46440064" w:tentative="1">
      <w:start w:val="1"/>
      <w:numFmt w:val="bullet"/>
      <w:lvlText w:val="o"/>
      <w:lvlJc w:val="left"/>
      <w:pPr>
        <w:ind w:left="3600" w:hanging="360"/>
      </w:pPr>
      <w:rPr>
        <w:rFonts w:ascii="Courier New" w:hAnsi="Courier New" w:cs="Courier New" w:hint="default"/>
      </w:rPr>
    </w:lvl>
    <w:lvl w:ilvl="5" w:tplc="653AE634" w:tentative="1">
      <w:start w:val="1"/>
      <w:numFmt w:val="bullet"/>
      <w:lvlText w:val=""/>
      <w:lvlJc w:val="left"/>
      <w:pPr>
        <w:ind w:left="4320" w:hanging="360"/>
      </w:pPr>
      <w:rPr>
        <w:rFonts w:ascii="Wingdings" w:hAnsi="Wingdings" w:hint="default"/>
      </w:rPr>
    </w:lvl>
    <w:lvl w:ilvl="6" w:tplc="FD24FCFE" w:tentative="1">
      <w:start w:val="1"/>
      <w:numFmt w:val="bullet"/>
      <w:lvlText w:val=""/>
      <w:lvlJc w:val="left"/>
      <w:pPr>
        <w:ind w:left="5040" w:hanging="360"/>
      </w:pPr>
      <w:rPr>
        <w:rFonts w:ascii="Symbol" w:hAnsi="Symbol" w:hint="default"/>
      </w:rPr>
    </w:lvl>
    <w:lvl w:ilvl="7" w:tplc="5F5494B6" w:tentative="1">
      <w:start w:val="1"/>
      <w:numFmt w:val="bullet"/>
      <w:lvlText w:val="o"/>
      <w:lvlJc w:val="left"/>
      <w:pPr>
        <w:ind w:left="5760" w:hanging="360"/>
      </w:pPr>
      <w:rPr>
        <w:rFonts w:ascii="Courier New" w:hAnsi="Courier New" w:cs="Courier New" w:hint="default"/>
      </w:rPr>
    </w:lvl>
    <w:lvl w:ilvl="8" w:tplc="ABB820DE" w:tentative="1">
      <w:start w:val="1"/>
      <w:numFmt w:val="bullet"/>
      <w:lvlText w:val=""/>
      <w:lvlJc w:val="left"/>
      <w:pPr>
        <w:ind w:left="6480" w:hanging="360"/>
      </w:pPr>
      <w:rPr>
        <w:rFonts w:ascii="Wingdings" w:hAnsi="Wingdings" w:hint="default"/>
      </w:rPr>
    </w:lvl>
  </w:abstractNum>
  <w:abstractNum w:abstractNumId="6" w15:restartNumberingAfterBreak="0">
    <w:nsid w:val="37F45770"/>
    <w:multiLevelType w:val="hybridMultilevel"/>
    <w:tmpl w:val="58F05412"/>
    <w:lvl w:ilvl="0" w:tplc="6674DA66">
      <w:start w:val="1"/>
      <w:numFmt w:val="bullet"/>
      <w:lvlText w:val=""/>
      <w:lvlJc w:val="left"/>
      <w:pPr>
        <w:ind w:left="720" w:hanging="360"/>
      </w:pPr>
      <w:rPr>
        <w:rFonts w:ascii="Wingdings" w:hAnsi="Wingdings" w:hint="default"/>
      </w:rPr>
    </w:lvl>
    <w:lvl w:ilvl="1" w:tplc="33BC0A70" w:tentative="1">
      <w:start w:val="1"/>
      <w:numFmt w:val="bullet"/>
      <w:lvlText w:val="o"/>
      <w:lvlJc w:val="left"/>
      <w:pPr>
        <w:ind w:left="1440" w:hanging="360"/>
      </w:pPr>
      <w:rPr>
        <w:rFonts w:ascii="Courier New" w:hAnsi="Courier New" w:cs="Courier New" w:hint="default"/>
      </w:rPr>
    </w:lvl>
    <w:lvl w:ilvl="2" w:tplc="D736C146" w:tentative="1">
      <w:start w:val="1"/>
      <w:numFmt w:val="bullet"/>
      <w:lvlText w:val=""/>
      <w:lvlJc w:val="left"/>
      <w:pPr>
        <w:ind w:left="2160" w:hanging="360"/>
      </w:pPr>
      <w:rPr>
        <w:rFonts w:ascii="Wingdings" w:hAnsi="Wingdings" w:hint="default"/>
      </w:rPr>
    </w:lvl>
    <w:lvl w:ilvl="3" w:tplc="1A5C9B5C" w:tentative="1">
      <w:start w:val="1"/>
      <w:numFmt w:val="bullet"/>
      <w:lvlText w:val=""/>
      <w:lvlJc w:val="left"/>
      <w:pPr>
        <w:ind w:left="2880" w:hanging="360"/>
      </w:pPr>
      <w:rPr>
        <w:rFonts w:ascii="Symbol" w:hAnsi="Symbol" w:hint="default"/>
      </w:rPr>
    </w:lvl>
    <w:lvl w:ilvl="4" w:tplc="AFA28A92" w:tentative="1">
      <w:start w:val="1"/>
      <w:numFmt w:val="bullet"/>
      <w:lvlText w:val="o"/>
      <w:lvlJc w:val="left"/>
      <w:pPr>
        <w:ind w:left="3600" w:hanging="360"/>
      </w:pPr>
      <w:rPr>
        <w:rFonts w:ascii="Courier New" w:hAnsi="Courier New" w:cs="Courier New" w:hint="default"/>
      </w:rPr>
    </w:lvl>
    <w:lvl w:ilvl="5" w:tplc="715AE460" w:tentative="1">
      <w:start w:val="1"/>
      <w:numFmt w:val="bullet"/>
      <w:lvlText w:val=""/>
      <w:lvlJc w:val="left"/>
      <w:pPr>
        <w:ind w:left="4320" w:hanging="360"/>
      </w:pPr>
      <w:rPr>
        <w:rFonts w:ascii="Wingdings" w:hAnsi="Wingdings" w:hint="default"/>
      </w:rPr>
    </w:lvl>
    <w:lvl w:ilvl="6" w:tplc="B9F8ED16" w:tentative="1">
      <w:start w:val="1"/>
      <w:numFmt w:val="bullet"/>
      <w:lvlText w:val=""/>
      <w:lvlJc w:val="left"/>
      <w:pPr>
        <w:ind w:left="5040" w:hanging="360"/>
      </w:pPr>
      <w:rPr>
        <w:rFonts w:ascii="Symbol" w:hAnsi="Symbol" w:hint="default"/>
      </w:rPr>
    </w:lvl>
    <w:lvl w:ilvl="7" w:tplc="0A7EEC78" w:tentative="1">
      <w:start w:val="1"/>
      <w:numFmt w:val="bullet"/>
      <w:lvlText w:val="o"/>
      <w:lvlJc w:val="left"/>
      <w:pPr>
        <w:ind w:left="5760" w:hanging="360"/>
      </w:pPr>
      <w:rPr>
        <w:rFonts w:ascii="Courier New" w:hAnsi="Courier New" w:cs="Courier New" w:hint="default"/>
      </w:rPr>
    </w:lvl>
    <w:lvl w:ilvl="8" w:tplc="449EC66E" w:tentative="1">
      <w:start w:val="1"/>
      <w:numFmt w:val="bullet"/>
      <w:lvlText w:val=""/>
      <w:lvlJc w:val="left"/>
      <w:pPr>
        <w:ind w:left="6480" w:hanging="360"/>
      </w:pPr>
      <w:rPr>
        <w:rFonts w:ascii="Wingdings" w:hAnsi="Wingdings" w:hint="default"/>
      </w:rPr>
    </w:lvl>
  </w:abstractNum>
  <w:abstractNum w:abstractNumId="7" w15:restartNumberingAfterBreak="0">
    <w:nsid w:val="426D009E"/>
    <w:multiLevelType w:val="hybridMultilevel"/>
    <w:tmpl w:val="97A2B50E"/>
    <w:lvl w:ilvl="0" w:tplc="B2645336">
      <w:start w:val="1"/>
      <w:numFmt w:val="bullet"/>
      <w:lvlText w:val=""/>
      <w:lvlJc w:val="left"/>
      <w:pPr>
        <w:ind w:left="720" w:hanging="360"/>
      </w:pPr>
      <w:rPr>
        <w:rFonts w:ascii="Wingdings" w:hAnsi="Wingdings" w:hint="default"/>
      </w:rPr>
    </w:lvl>
    <w:lvl w:ilvl="1" w:tplc="C10A3B4E" w:tentative="1">
      <w:start w:val="1"/>
      <w:numFmt w:val="bullet"/>
      <w:lvlText w:val="o"/>
      <w:lvlJc w:val="left"/>
      <w:pPr>
        <w:ind w:left="1440" w:hanging="360"/>
      </w:pPr>
      <w:rPr>
        <w:rFonts w:ascii="Courier New" w:hAnsi="Courier New" w:cs="Courier New" w:hint="default"/>
      </w:rPr>
    </w:lvl>
    <w:lvl w:ilvl="2" w:tplc="ACACE80E" w:tentative="1">
      <w:start w:val="1"/>
      <w:numFmt w:val="bullet"/>
      <w:lvlText w:val=""/>
      <w:lvlJc w:val="left"/>
      <w:pPr>
        <w:ind w:left="2160" w:hanging="360"/>
      </w:pPr>
      <w:rPr>
        <w:rFonts w:ascii="Wingdings" w:hAnsi="Wingdings" w:hint="default"/>
      </w:rPr>
    </w:lvl>
    <w:lvl w:ilvl="3" w:tplc="0B88BC70" w:tentative="1">
      <w:start w:val="1"/>
      <w:numFmt w:val="bullet"/>
      <w:lvlText w:val=""/>
      <w:lvlJc w:val="left"/>
      <w:pPr>
        <w:ind w:left="2880" w:hanging="360"/>
      </w:pPr>
      <w:rPr>
        <w:rFonts w:ascii="Symbol" w:hAnsi="Symbol" w:hint="default"/>
      </w:rPr>
    </w:lvl>
    <w:lvl w:ilvl="4" w:tplc="8CFC1BF4" w:tentative="1">
      <w:start w:val="1"/>
      <w:numFmt w:val="bullet"/>
      <w:lvlText w:val="o"/>
      <w:lvlJc w:val="left"/>
      <w:pPr>
        <w:ind w:left="3600" w:hanging="360"/>
      </w:pPr>
      <w:rPr>
        <w:rFonts w:ascii="Courier New" w:hAnsi="Courier New" w:cs="Courier New" w:hint="default"/>
      </w:rPr>
    </w:lvl>
    <w:lvl w:ilvl="5" w:tplc="D2F470F0" w:tentative="1">
      <w:start w:val="1"/>
      <w:numFmt w:val="bullet"/>
      <w:lvlText w:val=""/>
      <w:lvlJc w:val="left"/>
      <w:pPr>
        <w:ind w:left="4320" w:hanging="360"/>
      </w:pPr>
      <w:rPr>
        <w:rFonts w:ascii="Wingdings" w:hAnsi="Wingdings" w:hint="default"/>
      </w:rPr>
    </w:lvl>
    <w:lvl w:ilvl="6" w:tplc="358EE0F8" w:tentative="1">
      <w:start w:val="1"/>
      <w:numFmt w:val="bullet"/>
      <w:lvlText w:val=""/>
      <w:lvlJc w:val="left"/>
      <w:pPr>
        <w:ind w:left="5040" w:hanging="360"/>
      </w:pPr>
      <w:rPr>
        <w:rFonts w:ascii="Symbol" w:hAnsi="Symbol" w:hint="default"/>
      </w:rPr>
    </w:lvl>
    <w:lvl w:ilvl="7" w:tplc="1A128E50" w:tentative="1">
      <w:start w:val="1"/>
      <w:numFmt w:val="bullet"/>
      <w:lvlText w:val="o"/>
      <w:lvlJc w:val="left"/>
      <w:pPr>
        <w:ind w:left="5760" w:hanging="360"/>
      </w:pPr>
      <w:rPr>
        <w:rFonts w:ascii="Courier New" w:hAnsi="Courier New" w:cs="Courier New" w:hint="default"/>
      </w:rPr>
    </w:lvl>
    <w:lvl w:ilvl="8" w:tplc="13FC1618" w:tentative="1">
      <w:start w:val="1"/>
      <w:numFmt w:val="bullet"/>
      <w:lvlText w:val=""/>
      <w:lvlJc w:val="left"/>
      <w:pPr>
        <w:ind w:left="6480" w:hanging="360"/>
      </w:pPr>
      <w:rPr>
        <w:rFonts w:ascii="Wingdings" w:hAnsi="Wingdings" w:hint="default"/>
      </w:rPr>
    </w:lvl>
  </w:abstractNum>
  <w:abstractNum w:abstractNumId="8" w15:restartNumberingAfterBreak="0">
    <w:nsid w:val="43E561A5"/>
    <w:multiLevelType w:val="multilevel"/>
    <w:tmpl w:val="881E5B6C"/>
    <w:lvl w:ilvl="0">
      <w:start w:val="2"/>
      <w:numFmt w:val="decimal"/>
      <w:lvlText w:val="%1."/>
      <w:lvlJc w:val="left"/>
      <w:pPr>
        <w:ind w:left="540" w:hanging="540"/>
      </w:pPr>
      <w:rPr>
        <w:rFonts w:hint="default"/>
      </w:rPr>
    </w:lvl>
    <w:lvl w:ilvl="1">
      <w:start w:val="2"/>
      <w:numFmt w:val="decimal"/>
      <w:lvlText w:val="%1.%2."/>
      <w:lvlJc w:val="left"/>
      <w:pPr>
        <w:ind w:left="780" w:hanging="54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15:restartNumberingAfterBreak="0">
    <w:nsid w:val="4B390CC4"/>
    <w:multiLevelType w:val="hybridMultilevel"/>
    <w:tmpl w:val="FFD058A6"/>
    <w:lvl w:ilvl="0" w:tplc="05A4D844">
      <w:start w:val="1"/>
      <w:numFmt w:val="bullet"/>
      <w:lvlText w:val=""/>
      <w:lvlJc w:val="left"/>
      <w:pPr>
        <w:ind w:left="720" w:hanging="360"/>
      </w:pPr>
      <w:rPr>
        <w:rFonts w:ascii="Wingdings" w:hAnsi="Wingdings" w:hint="default"/>
      </w:rPr>
    </w:lvl>
    <w:lvl w:ilvl="1" w:tplc="532086B4" w:tentative="1">
      <w:start w:val="1"/>
      <w:numFmt w:val="bullet"/>
      <w:lvlText w:val="o"/>
      <w:lvlJc w:val="left"/>
      <w:pPr>
        <w:ind w:left="1440" w:hanging="360"/>
      </w:pPr>
      <w:rPr>
        <w:rFonts w:ascii="Courier New" w:hAnsi="Courier New" w:cs="Courier New" w:hint="default"/>
      </w:rPr>
    </w:lvl>
    <w:lvl w:ilvl="2" w:tplc="3362C774" w:tentative="1">
      <w:start w:val="1"/>
      <w:numFmt w:val="bullet"/>
      <w:lvlText w:val=""/>
      <w:lvlJc w:val="left"/>
      <w:pPr>
        <w:ind w:left="2160" w:hanging="360"/>
      </w:pPr>
      <w:rPr>
        <w:rFonts w:ascii="Wingdings" w:hAnsi="Wingdings" w:hint="default"/>
      </w:rPr>
    </w:lvl>
    <w:lvl w:ilvl="3" w:tplc="37ECCBEC" w:tentative="1">
      <w:start w:val="1"/>
      <w:numFmt w:val="bullet"/>
      <w:lvlText w:val=""/>
      <w:lvlJc w:val="left"/>
      <w:pPr>
        <w:ind w:left="2880" w:hanging="360"/>
      </w:pPr>
      <w:rPr>
        <w:rFonts w:ascii="Symbol" w:hAnsi="Symbol" w:hint="default"/>
      </w:rPr>
    </w:lvl>
    <w:lvl w:ilvl="4" w:tplc="A36AAEF2" w:tentative="1">
      <w:start w:val="1"/>
      <w:numFmt w:val="bullet"/>
      <w:lvlText w:val="o"/>
      <w:lvlJc w:val="left"/>
      <w:pPr>
        <w:ind w:left="3600" w:hanging="360"/>
      </w:pPr>
      <w:rPr>
        <w:rFonts w:ascii="Courier New" w:hAnsi="Courier New" w:cs="Courier New" w:hint="default"/>
      </w:rPr>
    </w:lvl>
    <w:lvl w:ilvl="5" w:tplc="0A58558C" w:tentative="1">
      <w:start w:val="1"/>
      <w:numFmt w:val="bullet"/>
      <w:lvlText w:val=""/>
      <w:lvlJc w:val="left"/>
      <w:pPr>
        <w:ind w:left="4320" w:hanging="360"/>
      </w:pPr>
      <w:rPr>
        <w:rFonts w:ascii="Wingdings" w:hAnsi="Wingdings" w:hint="default"/>
      </w:rPr>
    </w:lvl>
    <w:lvl w:ilvl="6" w:tplc="74B26288" w:tentative="1">
      <w:start w:val="1"/>
      <w:numFmt w:val="bullet"/>
      <w:lvlText w:val=""/>
      <w:lvlJc w:val="left"/>
      <w:pPr>
        <w:ind w:left="5040" w:hanging="360"/>
      </w:pPr>
      <w:rPr>
        <w:rFonts w:ascii="Symbol" w:hAnsi="Symbol" w:hint="default"/>
      </w:rPr>
    </w:lvl>
    <w:lvl w:ilvl="7" w:tplc="5B4CC5FE" w:tentative="1">
      <w:start w:val="1"/>
      <w:numFmt w:val="bullet"/>
      <w:lvlText w:val="o"/>
      <w:lvlJc w:val="left"/>
      <w:pPr>
        <w:ind w:left="5760" w:hanging="360"/>
      </w:pPr>
      <w:rPr>
        <w:rFonts w:ascii="Courier New" w:hAnsi="Courier New" w:cs="Courier New" w:hint="default"/>
      </w:rPr>
    </w:lvl>
    <w:lvl w:ilvl="8" w:tplc="48EC0AB4" w:tentative="1">
      <w:start w:val="1"/>
      <w:numFmt w:val="bullet"/>
      <w:lvlText w:val=""/>
      <w:lvlJc w:val="left"/>
      <w:pPr>
        <w:ind w:left="6480" w:hanging="360"/>
      </w:pPr>
      <w:rPr>
        <w:rFonts w:ascii="Wingdings" w:hAnsi="Wingdings" w:hint="default"/>
      </w:rPr>
    </w:lvl>
  </w:abstractNum>
  <w:abstractNum w:abstractNumId="10" w15:restartNumberingAfterBreak="0">
    <w:nsid w:val="625F2146"/>
    <w:multiLevelType w:val="multilevel"/>
    <w:tmpl w:val="F53A5BA0"/>
    <w:lvl w:ilvl="0">
      <w:start w:val="2"/>
      <w:numFmt w:val="decimal"/>
      <w:lvlText w:val="%1."/>
      <w:lvlJc w:val="left"/>
      <w:pPr>
        <w:ind w:left="540" w:hanging="540"/>
      </w:pPr>
      <w:rPr>
        <w:rFonts w:hint="default"/>
        <w:color w:val="000000" w:themeColor="text1"/>
        <w:sz w:val="24"/>
        <w:szCs w:val="24"/>
      </w:rPr>
    </w:lvl>
    <w:lvl w:ilvl="1">
      <w:start w:val="4"/>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1" w15:restartNumberingAfterBreak="0">
    <w:nsid w:val="63271662"/>
    <w:multiLevelType w:val="multilevel"/>
    <w:tmpl w:val="405C588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1"/>
  </w:num>
  <w:num w:numId="3">
    <w:abstractNumId w:val="6"/>
  </w:num>
  <w:num w:numId="4">
    <w:abstractNumId w:val="9"/>
  </w:num>
  <w:num w:numId="5">
    <w:abstractNumId w:val="11"/>
  </w:num>
  <w:num w:numId="6">
    <w:abstractNumId w:val="3"/>
  </w:num>
  <w:num w:numId="7">
    <w:abstractNumId w:val="8"/>
  </w:num>
  <w:num w:numId="8">
    <w:abstractNumId w:val="10"/>
  </w:num>
  <w:num w:numId="9">
    <w:abstractNumId w:val="5"/>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C18"/>
    <w:rsid w:val="0010755C"/>
    <w:rsid w:val="00394744"/>
    <w:rsid w:val="003C4065"/>
    <w:rsid w:val="003C52ED"/>
    <w:rsid w:val="003E1B16"/>
    <w:rsid w:val="0043765B"/>
    <w:rsid w:val="004B73EE"/>
    <w:rsid w:val="004F0A7F"/>
    <w:rsid w:val="00574309"/>
    <w:rsid w:val="005B5C3E"/>
    <w:rsid w:val="0078114B"/>
    <w:rsid w:val="007C774D"/>
    <w:rsid w:val="008540F0"/>
    <w:rsid w:val="0085503B"/>
    <w:rsid w:val="008F4B24"/>
    <w:rsid w:val="009511ED"/>
    <w:rsid w:val="009C2089"/>
    <w:rsid w:val="009E57EB"/>
    <w:rsid w:val="00A109B3"/>
    <w:rsid w:val="00A819C5"/>
    <w:rsid w:val="00A87053"/>
    <w:rsid w:val="00A940A5"/>
    <w:rsid w:val="00AD104B"/>
    <w:rsid w:val="00AD10B6"/>
    <w:rsid w:val="00AD2A56"/>
    <w:rsid w:val="00B469E9"/>
    <w:rsid w:val="00B50B8E"/>
    <w:rsid w:val="00BB4C00"/>
    <w:rsid w:val="00C17477"/>
    <w:rsid w:val="00C203C1"/>
    <w:rsid w:val="00C417C6"/>
    <w:rsid w:val="00CB2501"/>
    <w:rsid w:val="00D74C40"/>
    <w:rsid w:val="00D8624D"/>
    <w:rsid w:val="00DA4AA9"/>
    <w:rsid w:val="00DC4244"/>
    <w:rsid w:val="00E231AD"/>
    <w:rsid w:val="00E25B31"/>
    <w:rsid w:val="00E561E6"/>
    <w:rsid w:val="00EE5569"/>
    <w:rsid w:val="00EF3CDA"/>
    <w:rsid w:val="00F31DA8"/>
    <w:rsid w:val="00F31ED0"/>
    <w:rsid w:val="00F74B0F"/>
    <w:rsid w:val="00F83531"/>
    <w:rsid w:val="00FC3C18"/>
    <w:rsid w:val="00FC54AC"/>
    <w:rsid w:val="00FF743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44927"/>
  <w15:chartTrackingRefBased/>
  <w15:docId w15:val="{6E2BE864-F7E1-442C-AC74-7C0B7865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47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47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947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C424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1AD"/>
    <w:pPr>
      <w:ind w:left="720"/>
      <w:contextualSpacing/>
    </w:pPr>
  </w:style>
  <w:style w:type="character" w:customStyle="1" w:styleId="Heading1Char">
    <w:name w:val="Heading 1 Char"/>
    <w:basedOn w:val="DefaultParagraphFont"/>
    <w:link w:val="Heading1"/>
    <w:uiPriority w:val="9"/>
    <w:rsid w:val="0039474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9474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9474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C424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72CC3-4528-4992-BDFD-529B3F6B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18</Pages>
  <Words>18568</Words>
  <Characters>117722</Characters>
  <Application>Microsoft Office Word</Application>
  <DocSecurity>0</DocSecurity>
  <Lines>1811</Lines>
  <Paragraphs>597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Gautam Gaurav</dc:creator>
  <cp:lastModifiedBy>Gautam Gaurav</cp:lastModifiedBy>
  <cp:revision>36</cp:revision>
  <dcterms:created xsi:type="dcterms:W3CDTF">2023-06-23T18:07:00Z</dcterms:created>
  <dcterms:modified xsi:type="dcterms:W3CDTF">2023-07-14T10:36:00Z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http://www.zotero.org/styles/plants</vt:lpwstr>
  </property>
  <property fmtid="{D5CDD505-2E9C-101B-9397-08002B2CF9AE}" pid="3" name="Mendeley Document_1">
    <vt:lpwstr>True</vt:lpwstr>
  </property>
  <property fmtid="{D5CDD505-2E9C-101B-9397-08002B2CF9AE}" pid="4" name="Mendeley Recent Style Id 0_1">
    <vt:lpwstr>http://www.zotero.org/styles/evidence-based-complementary-and-alternative-medicine</vt:lpwstr>
  </property>
  <property fmtid="{D5CDD505-2E9C-101B-9397-08002B2CF9AE}" pid="5" name="Mendeley Recent Style Id 1_1">
    <vt:lpwstr>http://www.zotero.org/styles/fitoterapia</vt:lpwstr>
  </property>
  <property fmtid="{D5CDD505-2E9C-101B-9397-08002B2CF9AE}" pid="6" name="Mendeley Recent Style Id 2_1">
    <vt:lpwstr>http://www.zotero.org/styles/journal-of-ayurveda-and-integrative-medicine</vt:lpwstr>
  </property>
  <property fmtid="{D5CDD505-2E9C-101B-9397-08002B2CF9AE}" pid="7" name="Mendeley Recent Style Id 3_1">
    <vt:lpwstr>http://www.zotero.org/styles/journal-of-ethnopharmacology</vt:lpwstr>
  </property>
  <property fmtid="{D5CDD505-2E9C-101B-9397-08002B2CF9AE}" pid="8" name="Mendeley Recent Style Id 4_1">
    <vt:lpwstr>http://www.zotero.org/styles/journal-of-food-and-drug-analysis</vt:lpwstr>
  </property>
  <property fmtid="{D5CDD505-2E9C-101B-9397-08002B2CF9AE}" pid="9" name="Mendeley Recent Style Id 5_1">
    <vt:lpwstr>http://www.zotero.org/styles/journal-of-herbal-medicine</vt:lpwstr>
  </property>
  <property fmtid="{D5CDD505-2E9C-101B-9397-08002B2CF9AE}" pid="10" name="Mendeley Recent Style Id 6_1">
    <vt:lpwstr>http://www.zotero.org/styles/journal-of-reproductive-immunology</vt:lpwstr>
  </property>
  <property fmtid="{D5CDD505-2E9C-101B-9397-08002B2CF9AE}" pid="11" name="Mendeley Recent Style Id 7_1">
    <vt:lpwstr>http://www.zotero.org/styles/plants</vt:lpwstr>
  </property>
  <property fmtid="{D5CDD505-2E9C-101B-9397-08002B2CF9AE}" pid="12" name="Mendeley Recent Style Id 8_1">
    <vt:lpwstr>http://www.zotero.org/styles/saudi-journal-of-biological-sciences</vt:lpwstr>
  </property>
  <property fmtid="{D5CDD505-2E9C-101B-9397-08002B2CF9AE}" pid="13" name="Mendeley Recent Style Id 9_1">
    <vt:lpwstr>http://www.zotero.org/styles/vancouver</vt:lpwstr>
  </property>
  <property fmtid="{D5CDD505-2E9C-101B-9397-08002B2CF9AE}" pid="14" name="Mendeley Recent Style Name 0_1">
    <vt:lpwstr>Evidence-Based Complementary and Alternative Medicine</vt:lpwstr>
  </property>
  <property fmtid="{D5CDD505-2E9C-101B-9397-08002B2CF9AE}" pid="15" name="Mendeley Recent Style Name 1_1">
    <vt:lpwstr>Fitoterapia</vt:lpwstr>
  </property>
  <property fmtid="{D5CDD505-2E9C-101B-9397-08002B2CF9AE}" pid="16" name="Mendeley Recent Style Name 2_1">
    <vt:lpwstr>Journal of Ayurveda and Integrative Medicine</vt:lpwstr>
  </property>
  <property fmtid="{D5CDD505-2E9C-101B-9397-08002B2CF9AE}" pid="17" name="Mendeley Recent Style Name 3_1">
    <vt:lpwstr>Journal of Ethnopharmacology</vt:lpwstr>
  </property>
  <property fmtid="{D5CDD505-2E9C-101B-9397-08002B2CF9AE}" pid="18" name="Mendeley Recent Style Name 4_1">
    <vt:lpwstr>Journal of Food and Drug Analysis</vt:lpwstr>
  </property>
  <property fmtid="{D5CDD505-2E9C-101B-9397-08002B2CF9AE}" pid="19" name="Mendeley Recent Style Name 5_1">
    <vt:lpwstr>Journal of Herbal Medicine</vt:lpwstr>
  </property>
  <property fmtid="{D5CDD505-2E9C-101B-9397-08002B2CF9AE}" pid="20" name="Mendeley Recent Style Name 6_1">
    <vt:lpwstr>Journal of Reproductive Immunology</vt:lpwstr>
  </property>
  <property fmtid="{D5CDD505-2E9C-101B-9397-08002B2CF9AE}" pid="21" name="Mendeley Recent Style Name 7_1">
    <vt:lpwstr>Plants</vt:lpwstr>
  </property>
  <property fmtid="{D5CDD505-2E9C-101B-9397-08002B2CF9AE}" pid="22" name="Mendeley Recent Style Name 8_1">
    <vt:lpwstr>Saudi Journal of Biological Sciences</vt:lpwstr>
  </property>
  <property fmtid="{D5CDD505-2E9C-101B-9397-08002B2CF9AE}" pid="23" name="Mendeley Recent Style Name 9_1">
    <vt:lpwstr>Vancouver</vt:lpwstr>
  </property>
  <property fmtid="{D5CDD505-2E9C-101B-9397-08002B2CF9AE}" pid="24" name="Mendeley Unique User Id_1">
    <vt:lpwstr>9a6702b9-982b-3bc3-a0a6-d67b562ebad1</vt:lpwstr>
  </property>
  <property fmtid="{D5CDD505-2E9C-101B-9397-08002B2CF9AE}" pid="25" name="GrammarlyDocumentId">
    <vt:lpwstr>acbc6dea4f9f72fc9e0d6183e87ee18acd0c40eaaa2a342eed8c824f7ba21d6c</vt:lpwstr>
  </property>
</Properties>
</file>