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67" w:rsidRPr="00BC43C6" w:rsidRDefault="00085012" w:rsidP="003A3140">
      <w:pPr>
        <w:spacing w:line="240" w:lineRule="auto"/>
        <w:jc w:val="center"/>
        <w:rPr>
          <w:rFonts w:ascii="Times New Roman" w:hAnsi="Times New Roman" w:cs="Times New Roman"/>
          <w:b/>
          <w:sz w:val="48"/>
          <w:szCs w:val="48"/>
        </w:rPr>
      </w:pPr>
      <w:r w:rsidRPr="00BC43C6">
        <w:rPr>
          <w:rFonts w:ascii="Times New Roman" w:hAnsi="Times New Roman" w:cs="Times New Roman"/>
          <w:b/>
          <w:sz w:val="48"/>
          <w:szCs w:val="48"/>
        </w:rPr>
        <w:t>Current trajector</w:t>
      </w:r>
      <w:r w:rsidR="00107B9E">
        <w:rPr>
          <w:rFonts w:ascii="Times New Roman" w:hAnsi="Times New Roman" w:cs="Times New Roman"/>
          <w:b/>
          <w:sz w:val="48"/>
          <w:szCs w:val="48"/>
        </w:rPr>
        <w:t xml:space="preserve">y and prospective potential of </w:t>
      </w:r>
      <w:proofErr w:type="spellStart"/>
      <w:r w:rsidR="00107B9E">
        <w:rPr>
          <w:rFonts w:ascii="Times New Roman" w:hAnsi="Times New Roman" w:cs="Times New Roman"/>
          <w:b/>
          <w:sz w:val="48"/>
          <w:szCs w:val="48"/>
        </w:rPr>
        <w:t>P</w:t>
      </w:r>
      <w:r w:rsidRPr="00BC43C6">
        <w:rPr>
          <w:rFonts w:ascii="Times New Roman" w:hAnsi="Times New Roman" w:cs="Times New Roman"/>
          <w:b/>
          <w:sz w:val="48"/>
          <w:szCs w:val="48"/>
        </w:rPr>
        <w:t>harmacogenomics</w:t>
      </w:r>
      <w:proofErr w:type="spellEnd"/>
      <w:r w:rsidRPr="00BC43C6">
        <w:rPr>
          <w:rFonts w:ascii="Times New Roman" w:hAnsi="Times New Roman" w:cs="Times New Roman"/>
          <w:b/>
          <w:sz w:val="48"/>
          <w:szCs w:val="48"/>
        </w:rPr>
        <w:t xml:space="preserve"> in personalized medicines</w:t>
      </w:r>
    </w:p>
    <w:p w:rsidR="00085012" w:rsidRPr="00EF3834" w:rsidRDefault="00085012" w:rsidP="003A3140">
      <w:pPr>
        <w:spacing w:line="24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Abhijita</w:t>
      </w:r>
      <w:proofErr w:type="spellEnd"/>
      <w:r>
        <w:rPr>
          <w:rFonts w:ascii="Times New Roman" w:hAnsi="Times New Roman" w:cs="Times New Roman"/>
          <w:sz w:val="24"/>
          <w:szCs w:val="24"/>
        </w:rPr>
        <w:t xml:space="preserve"> Talukder</w:t>
      </w:r>
      <w:r w:rsidR="00EF3834">
        <w:rPr>
          <w:rFonts w:ascii="Times New Roman" w:hAnsi="Times New Roman" w:cs="Times New Roman"/>
          <w:sz w:val="24"/>
          <w:szCs w:val="24"/>
          <w:vertAlign w:val="superscript"/>
        </w:rPr>
        <w:t>1*</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Nayanika</w:t>
      </w:r>
      <w:proofErr w:type="spellEnd"/>
      <w:proofErr w:type="gramEnd"/>
      <w:r>
        <w:rPr>
          <w:rFonts w:ascii="Times New Roman" w:hAnsi="Times New Roman" w:cs="Times New Roman"/>
          <w:sz w:val="24"/>
          <w:szCs w:val="24"/>
        </w:rPr>
        <w:t xml:space="preserve"> Neog</w:t>
      </w:r>
      <w:r w:rsidR="00EF3834">
        <w:rPr>
          <w:rFonts w:ascii="Times New Roman" w:hAnsi="Times New Roman" w:cs="Times New Roman"/>
          <w:sz w:val="24"/>
          <w:szCs w:val="24"/>
          <w:vertAlign w:val="superscript"/>
        </w:rPr>
        <w:t>2</w:t>
      </w:r>
      <w:r>
        <w:rPr>
          <w:rFonts w:ascii="Times New Roman" w:hAnsi="Times New Roman" w:cs="Times New Roman"/>
          <w:sz w:val="24"/>
          <w:szCs w:val="24"/>
        </w:rPr>
        <w:t>,Chayanika Goswami</w:t>
      </w:r>
      <w:r w:rsidR="00EF3834">
        <w:rPr>
          <w:rFonts w:ascii="Times New Roman" w:hAnsi="Times New Roman" w:cs="Times New Roman"/>
          <w:sz w:val="24"/>
          <w:szCs w:val="24"/>
          <w:vertAlign w:val="superscript"/>
        </w:rPr>
        <w:t>3</w:t>
      </w:r>
      <w:r>
        <w:rPr>
          <w:rFonts w:ascii="Times New Roman" w:hAnsi="Times New Roman" w:cs="Times New Roman"/>
          <w:sz w:val="24"/>
          <w:szCs w:val="24"/>
        </w:rPr>
        <w:t>,Chayanika Kalita</w:t>
      </w:r>
      <w:r w:rsidR="00EF3834">
        <w:rPr>
          <w:rFonts w:ascii="Times New Roman" w:hAnsi="Times New Roman" w:cs="Times New Roman"/>
          <w:sz w:val="24"/>
          <w:szCs w:val="24"/>
          <w:vertAlign w:val="superscript"/>
        </w:rPr>
        <w:t>1</w:t>
      </w:r>
    </w:p>
    <w:p w:rsidR="00EF3834" w:rsidRPr="00EF3834" w:rsidRDefault="00207B6F" w:rsidP="003A3140">
      <w:pPr>
        <w:spacing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Pr>
          <w:rFonts w:ascii="Times New Roman" w:hAnsi="Times New Roman" w:cs="Times New Roman"/>
          <w:i/>
          <w:sz w:val="24"/>
          <w:szCs w:val="24"/>
        </w:rPr>
        <w:t xml:space="preserve">Department of Pharmacology, </w:t>
      </w:r>
      <w:r w:rsidR="00EF3834" w:rsidRPr="00207B6F">
        <w:rPr>
          <w:rFonts w:ascii="Times New Roman" w:hAnsi="Times New Roman" w:cs="Times New Roman"/>
          <w:i/>
          <w:sz w:val="24"/>
          <w:szCs w:val="24"/>
        </w:rPr>
        <w:t>NETES</w:t>
      </w:r>
      <w:r w:rsidR="00EF3834">
        <w:rPr>
          <w:rFonts w:ascii="Times New Roman" w:hAnsi="Times New Roman" w:cs="Times New Roman"/>
          <w:i/>
          <w:sz w:val="24"/>
          <w:szCs w:val="24"/>
        </w:rPr>
        <w:t xml:space="preserve"> Institute of Pharmaceutical </w:t>
      </w:r>
      <w:r w:rsidR="00EF3834" w:rsidRPr="00EF3834">
        <w:rPr>
          <w:rFonts w:ascii="Times New Roman" w:hAnsi="Times New Roman" w:cs="Times New Roman"/>
          <w:i/>
          <w:sz w:val="24"/>
          <w:szCs w:val="24"/>
        </w:rPr>
        <w:t>Science</w:t>
      </w:r>
      <w:r w:rsidR="00EF3834">
        <w:rPr>
          <w:rFonts w:ascii="Times New Roman" w:hAnsi="Times New Roman" w:cs="Times New Roman"/>
          <w:i/>
          <w:sz w:val="24"/>
          <w:szCs w:val="24"/>
        </w:rPr>
        <w:t xml:space="preserve"> </w:t>
      </w:r>
      <w:r w:rsidR="00EF3834" w:rsidRPr="00EF3834">
        <w:rPr>
          <w:rFonts w:ascii="Times New Roman" w:hAnsi="Times New Roman" w:cs="Times New Roman"/>
          <w:i/>
          <w:sz w:val="24"/>
          <w:szCs w:val="24"/>
        </w:rPr>
        <w:t>,</w:t>
      </w:r>
      <w:r w:rsidR="00EF3834">
        <w:rPr>
          <w:rFonts w:ascii="Times New Roman" w:hAnsi="Times New Roman" w:cs="Times New Roman"/>
          <w:i/>
          <w:sz w:val="24"/>
          <w:szCs w:val="24"/>
        </w:rPr>
        <w:t xml:space="preserve"> </w:t>
      </w:r>
      <w:r w:rsidR="00EF3834" w:rsidRPr="00EF3834">
        <w:rPr>
          <w:rFonts w:ascii="Times New Roman" w:hAnsi="Times New Roman" w:cs="Times New Roman"/>
          <w:i/>
          <w:sz w:val="24"/>
          <w:szCs w:val="24"/>
        </w:rPr>
        <w:t>NE</w:t>
      </w:r>
      <w:r w:rsidR="00EF3834">
        <w:rPr>
          <w:rFonts w:ascii="Times New Roman" w:hAnsi="Times New Roman" w:cs="Times New Roman"/>
          <w:i/>
          <w:sz w:val="24"/>
          <w:szCs w:val="24"/>
        </w:rPr>
        <w:t xml:space="preserve">MCARE Group of Institution </w:t>
      </w:r>
      <w:proofErr w:type="spellStart"/>
      <w:r w:rsidR="00EF3834" w:rsidRPr="00EF3834">
        <w:rPr>
          <w:rFonts w:ascii="Times New Roman" w:hAnsi="Times New Roman" w:cs="Times New Roman"/>
          <w:i/>
          <w:sz w:val="24"/>
          <w:szCs w:val="24"/>
        </w:rPr>
        <w:t>Santipur</w:t>
      </w:r>
      <w:proofErr w:type="spellEnd"/>
      <w:r w:rsidR="00EF3834" w:rsidRPr="00EF3834">
        <w:rPr>
          <w:rFonts w:ascii="Times New Roman" w:hAnsi="Times New Roman" w:cs="Times New Roman"/>
          <w:i/>
          <w:sz w:val="24"/>
          <w:szCs w:val="24"/>
        </w:rPr>
        <w:t>,</w:t>
      </w:r>
      <w:r w:rsidR="00EF3834">
        <w:rPr>
          <w:rFonts w:ascii="Times New Roman" w:hAnsi="Times New Roman" w:cs="Times New Roman"/>
          <w:i/>
          <w:sz w:val="24"/>
          <w:szCs w:val="24"/>
        </w:rPr>
        <w:t xml:space="preserve"> </w:t>
      </w:r>
      <w:proofErr w:type="spellStart"/>
      <w:r w:rsidR="00EF3834" w:rsidRPr="00EF3834">
        <w:rPr>
          <w:rFonts w:ascii="Times New Roman" w:hAnsi="Times New Roman" w:cs="Times New Roman"/>
          <w:i/>
          <w:sz w:val="24"/>
          <w:szCs w:val="24"/>
        </w:rPr>
        <w:t>Mirza</w:t>
      </w:r>
      <w:proofErr w:type="spellEnd"/>
      <w:r w:rsidR="00EF3834" w:rsidRPr="00EF3834">
        <w:rPr>
          <w:rFonts w:ascii="Times New Roman" w:hAnsi="Times New Roman" w:cs="Times New Roman"/>
          <w:i/>
          <w:sz w:val="24"/>
          <w:szCs w:val="24"/>
        </w:rPr>
        <w:t>,</w:t>
      </w:r>
      <w:r w:rsidR="00EF3834">
        <w:rPr>
          <w:rFonts w:ascii="Times New Roman" w:hAnsi="Times New Roman" w:cs="Times New Roman"/>
          <w:i/>
          <w:sz w:val="24"/>
          <w:szCs w:val="24"/>
        </w:rPr>
        <w:t xml:space="preserve"> </w:t>
      </w:r>
      <w:proofErr w:type="spellStart"/>
      <w:r w:rsidR="00EF3834">
        <w:rPr>
          <w:rFonts w:ascii="Times New Roman" w:hAnsi="Times New Roman" w:cs="Times New Roman"/>
          <w:i/>
          <w:sz w:val="24"/>
          <w:szCs w:val="24"/>
        </w:rPr>
        <w:t>Guwahati</w:t>
      </w:r>
      <w:proofErr w:type="spellEnd"/>
      <w:r w:rsidR="00EF3834">
        <w:rPr>
          <w:rFonts w:ascii="Times New Roman" w:hAnsi="Times New Roman" w:cs="Times New Roman"/>
          <w:i/>
          <w:sz w:val="24"/>
          <w:szCs w:val="24"/>
        </w:rPr>
        <w:t xml:space="preserve">, </w:t>
      </w:r>
      <w:r w:rsidR="00EF3834" w:rsidRPr="00EF3834">
        <w:rPr>
          <w:rFonts w:ascii="Times New Roman" w:hAnsi="Times New Roman" w:cs="Times New Roman"/>
          <w:i/>
          <w:sz w:val="24"/>
          <w:szCs w:val="24"/>
        </w:rPr>
        <w:t>Assam 781125</w:t>
      </w:r>
    </w:p>
    <w:p w:rsidR="00085012" w:rsidRPr="00085012" w:rsidRDefault="00EF3834" w:rsidP="003A3140">
      <w:pPr>
        <w:spacing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2</w:t>
      </w:r>
      <w:r w:rsidR="00085012" w:rsidRPr="00085012">
        <w:rPr>
          <w:rFonts w:ascii="Times New Roman" w:hAnsi="Times New Roman" w:cs="Times New Roman"/>
          <w:i/>
          <w:sz w:val="24"/>
          <w:szCs w:val="24"/>
        </w:rPr>
        <w:t xml:space="preserve">Assam Down Town University, </w:t>
      </w:r>
      <w:proofErr w:type="spellStart"/>
      <w:r w:rsidR="00085012" w:rsidRPr="00085012">
        <w:rPr>
          <w:rFonts w:ascii="Times New Roman" w:hAnsi="Times New Roman" w:cs="Times New Roman"/>
          <w:i/>
          <w:sz w:val="24"/>
          <w:szCs w:val="24"/>
        </w:rPr>
        <w:t>Sankar</w:t>
      </w:r>
      <w:proofErr w:type="spellEnd"/>
      <w:r w:rsidR="00085012" w:rsidRPr="00085012">
        <w:rPr>
          <w:rFonts w:ascii="Times New Roman" w:hAnsi="Times New Roman" w:cs="Times New Roman"/>
          <w:i/>
          <w:sz w:val="24"/>
          <w:szCs w:val="24"/>
        </w:rPr>
        <w:t xml:space="preserve"> </w:t>
      </w:r>
      <w:proofErr w:type="spellStart"/>
      <w:r w:rsidR="00085012" w:rsidRPr="00085012">
        <w:rPr>
          <w:rFonts w:ascii="Times New Roman" w:hAnsi="Times New Roman" w:cs="Times New Roman"/>
          <w:i/>
          <w:sz w:val="24"/>
          <w:szCs w:val="24"/>
        </w:rPr>
        <w:t>Madhab</w:t>
      </w:r>
      <w:proofErr w:type="spellEnd"/>
      <w:r w:rsidR="00085012" w:rsidRPr="00085012">
        <w:rPr>
          <w:rFonts w:ascii="Times New Roman" w:hAnsi="Times New Roman" w:cs="Times New Roman"/>
          <w:i/>
          <w:sz w:val="24"/>
          <w:szCs w:val="24"/>
        </w:rPr>
        <w:t xml:space="preserve"> Path, Gandhi Nagar </w:t>
      </w:r>
      <w:proofErr w:type="spellStart"/>
      <w:r w:rsidR="00085012" w:rsidRPr="00085012">
        <w:rPr>
          <w:rFonts w:ascii="Times New Roman" w:hAnsi="Times New Roman" w:cs="Times New Roman"/>
          <w:i/>
          <w:sz w:val="24"/>
          <w:szCs w:val="24"/>
        </w:rPr>
        <w:t>Panikhaiti</w:t>
      </w:r>
      <w:proofErr w:type="spellEnd"/>
      <w:r w:rsidR="00085012" w:rsidRPr="00085012">
        <w:rPr>
          <w:rFonts w:ascii="Times New Roman" w:hAnsi="Times New Roman" w:cs="Times New Roman"/>
          <w:i/>
          <w:sz w:val="24"/>
          <w:szCs w:val="24"/>
        </w:rPr>
        <w:t xml:space="preserve">, </w:t>
      </w:r>
      <w:proofErr w:type="spellStart"/>
      <w:r w:rsidR="00085012" w:rsidRPr="00085012">
        <w:rPr>
          <w:rFonts w:ascii="Times New Roman" w:hAnsi="Times New Roman" w:cs="Times New Roman"/>
          <w:i/>
          <w:sz w:val="24"/>
          <w:szCs w:val="24"/>
        </w:rPr>
        <w:t>Guwahti</w:t>
      </w:r>
      <w:proofErr w:type="spellEnd"/>
      <w:r w:rsidR="00085012" w:rsidRPr="00085012">
        <w:rPr>
          <w:rFonts w:ascii="Times New Roman" w:hAnsi="Times New Roman" w:cs="Times New Roman"/>
          <w:i/>
          <w:sz w:val="24"/>
          <w:szCs w:val="24"/>
        </w:rPr>
        <w:t>, Assam 781026</w:t>
      </w:r>
    </w:p>
    <w:p w:rsidR="00EF3834" w:rsidRPr="00EF3834" w:rsidRDefault="00EF3834" w:rsidP="003A3140">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vertAlign w:val="superscript"/>
        </w:rPr>
        <w:t>3</w:t>
      </w:r>
      <w:r w:rsidRPr="00EF3834">
        <w:rPr>
          <w:rFonts w:ascii="Times New Roman" w:hAnsi="Times New Roman" w:cs="Times New Roman"/>
          <w:i/>
          <w:sz w:val="24"/>
          <w:szCs w:val="24"/>
        </w:rPr>
        <w:t xml:space="preserve">Department of Pharmacology, Mata </w:t>
      </w:r>
      <w:proofErr w:type="spellStart"/>
      <w:r w:rsidRPr="00EF3834">
        <w:rPr>
          <w:rFonts w:ascii="Times New Roman" w:hAnsi="Times New Roman" w:cs="Times New Roman"/>
          <w:i/>
          <w:sz w:val="24"/>
          <w:szCs w:val="24"/>
        </w:rPr>
        <w:t>Gujri</w:t>
      </w:r>
      <w:proofErr w:type="spellEnd"/>
      <w:r w:rsidRPr="00EF3834">
        <w:rPr>
          <w:rFonts w:ascii="Times New Roman" w:hAnsi="Times New Roman" w:cs="Times New Roman"/>
          <w:i/>
          <w:sz w:val="24"/>
          <w:szCs w:val="24"/>
        </w:rPr>
        <w:t xml:space="preserve"> College of Pharmacy, </w:t>
      </w:r>
      <w:proofErr w:type="spellStart"/>
      <w:r w:rsidRPr="00EF3834">
        <w:rPr>
          <w:rFonts w:ascii="Times New Roman" w:hAnsi="Times New Roman" w:cs="Times New Roman"/>
          <w:i/>
          <w:sz w:val="24"/>
          <w:szCs w:val="24"/>
        </w:rPr>
        <w:t>Kishanganj</w:t>
      </w:r>
      <w:proofErr w:type="spellEnd"/>
      <w:r w:rsidRPr="00EF3834">
        <w:rPr>
          <w:rFonts w:ascii="Times New Roman" w:hAnsi="Times New Roman" w:cs="Times New Roman"/>
          <w:i/>
          <w:sz w:val="24"/>
          <w:szCs w:val="24"/>
        </w:rPr>
        <w:t>, Bihar- 855107</w:t>
      </w:r>
      <w:bookmarkStart w:id="0" w:name="_GoBack"/>
      <w:bookmarkEnd w:id="0"/>
    </w:p>
    <w:p w:rsidR="00207B6F" w:rsidRDefault="00207B6F" w:rsidP="003A3140">
      <w:pPr>
        <w:spacing w:line="240" w:lineRule="auto"/>
        <w:jc w:val="center"/>
        <w:rPr>
          <w:rFonts w:ascii="Times New Roman" w:hAnsi="Times New Roman" w:cs="Times New Roman"/>
          <w:b/>
          <w:sz w:val="24"/>
          <w:szCs w:val="24"/>
        </w:rPr>
      </w:pPr>
    </w:p>
    <w:p w:rsidR="00207B6F" w:rsidRPr="00207B6F" w:rsidRDefault="00207B6F" w:rsidP="003A3140">
      <w:pPr>
        <w:spacing w:line="240" w:lineRule="auto"/>
        <w:jc w:val="center"/>
        <w:rPr>
          <w:rFonts w:ascii="Times New Roman" w:hAnsi="Times New Roman" w:cs="Times New Roman"/>
          <w:b/>
          <w:sz w:val="24"/>
          <w:szCs w:val="24"/>
        </w:rPr>
      </w:pPr>
      <w:r w:rsidRPr="00207B6F">
        <w:rPr>
          <w:rFonts w:ascii="Times New Roman" w:hAnsi="Times New Roman" w:cs="Times New Roman"/>
          <w:b/>
          <w:sz w:val="24"/>
          <w:szCs w:val="24"/>
        </w:rPr>
        <w:t>ABSTRACT</w:t>
      </w:r>
    </w:p>
    <w:p w:rsidR="00E64A90" w:rsidRPr="00F104D0" w:rsidRDefault="009A6867" w:rsidP="003A3140">
      <w:pPr>
        <w:spacing w:line="240" w:lineRule="auto"/>
        <w:jc w:val="both"/>
        <w:rPr>
          <w:rFonts w:ascii="Times New Roman" w:hAnsi="Times New Roman" w:cs="Times New Roman"/>
          <w:sz w:val="20"/>
          <w:szCs w:val="20"/>
        </w:rPr>
      </w:pPr>
      <w:r w:rsidRPr="00F104D0">
        <w:rPr>
          <w:rFonts w:ascii="Times New Roman" w:hAnsi="Times New Roman" w:cs="Times New Roman"/>
          <w:sz w:val="20"/>
          <w:szCs w:val="20"/>
        </w:rPr>
        <w:t xml:space="preserve">The field of </w:t>
      </w: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which investigates how a person's genetic make-up affects how they react to pharmaceuticals, has the potential to have a substantial impact on </w:t>
      </w:r>
      <w:r w:rsidR="00E64A90" w:rsidRPr="00F104D0">
        <w:rPr>
          <w:rFonts w:ascii="Times New Roman" w:hAnsi="Times New Roman" w:cs="Times New Roman"/>
          <w:sz w:val="20"/>
          <w:szCs w:val="20"/>
        </w:rPr>
        <w:t>personalized</w:t>
      </w:r>
      <w:r w:rsidRPr="00F104D0">
        <w:rPr>
          <w:rFonts w:ascii="Times New Roman" w:hAnsi="Times New Roman" w:cs="Times New Roman"/>
          <w:sz w:val="20"/>
          <w:szCs w:val="20"/>
        </w:rPr>
        <w:t xml:space="preserve"> medicine. Healthcare professionals may </w:t>
      </w:r>
      <w:r w:rsidR="00E64A90" w:rsidRPr="00F104D0">
        <w:rPr>
          <w:rFonts w:ascii="Times New Roman" w:hAnsi="Times New Roman" w:cs="Times New Roman"/>
          <w:sz w:val="20"/>
          <w:szCs w:val="20"/>
        </w:rPr>
        <w:t>customize</w:t>
      </w:r>
      <w:r w:rsidRPr="00F104D0">
        <w:rPr>
          <w:rFonts w:ascii="Times New Roman" w:hAnsi="Times New Roman" w:cs="Times New Roman"/>
          <w:sz w:val="20"/>
          <w:szCs w:val="20"/>
        </w:rPr>
        <w:t xml:space="preserve"> medicines for individual patients, </w:t>
      </w:r>
      <w:r w:rsidR="00E64A90" w:rsidRPr="00F104D0">
        <w:rPr>
          <w:rFonts w:ascii="Times New Roman" w:hAnsi="Times New Roman" w:cs="Times New Roman"/>
          <w:sz w:val="20"/>
          <w:szCs w:val="20"/>
        </w:rPr>
        <w:t>maximizing</w:t>
      </w:r>
      <w:r w:rsidRPr="00F104D0">
        <w:rPr>
          <w:rFonts w:ascii="Times New Roman" w:hAnsi="Times New Roman" w:cs="Times New Roman"/>
          <w:sz w:val="20"/>
          <w:szCs w:val="20"/>
        </w:rPr>
        <w:t xml:space="preserve"> efficacy and lowering the risk of adverse effects, by studying the genetic variables that affect medication response and metabolism. An overview of the current state and future possibilities of </w:t>
      </w: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in </w:t>
      </w:r>
      <w:r w:rsidR="00E64A90" w:rsidRPr="00F104D0">
        <w:rPr>
          <w:rFonts w:ascii="Times New Roman" w:hAnsi="Times New Roman" w:cs="Times New Roman"/>
          <w:sz w:val="20"/>
          <w:szCs w:val="20"/>
        </w:rPr>
        <w:t>personalized</w:t>
      </w:r>
      <w:r w:rsidRPr="00F104D0">
        <w:rPr>
          <w:rFonts w:ascii="Times New Roman" w:hAnsi="Times New Roman" w:cs="Times New Roman"/>
          <w:sz w:val="20"/>
          <w:szCs w:val="20"/>
        </w:rPr>
        <w:t xml:space="preserve"> med</w:t>
      </w:r>
      <w:r w:rsidR="00E64A90" w:rsidRPr="00F104D0">
        <w:rPr>
          <w:rFonts w:ascii="Times New Roman" w:hAnsi="Times New Roman" w:cs="Times New Roman"/>
          <w:sz w:val="20"/>
          <w:szCs w:val="20"/>
        </w:rPr>
        <w:t xml:space="preserve">icine are Genomic technology advancements, Healthcare professionals may choose drugs and dosages with more knowledge by screening patients for particular genetic markers, which enhances both safety and </w:t>
      </w:r>
      <w:proofErr w:type="spellStart"/>
      <w:r w:rsidR="00E64A90" w:rsidRPr="00F104D0">
        <w:rPr>
          <w:rFonts w:ascii="Times New Roman" w:hAnsi="Times New Roman" w:cs="Times New Roman"/>
          <w:sz w:val="20"/>
          <w:szCs w:val="20"/>
        </w:rPr>
        <w:t>efficacy,Healthcare</w:t>
      </w:r>
      <w:proofErr w:type="spellEnd"/>
      <w:r w:rsidR="00E64A90" w:rsidRPr="00F104D0">
        <w:rPr>
          <w:rFonts w:ascii="Times New Roman" w:hAnsi="Times New Roman" w:cs="Times New Roman"/>
          <w:sz w:val="20"/>
          <w:szCs w:val="20"/>
        </w:rPr>
        <w:t xml:space="preserve"> professionals can select drugs for each patient with a better possibility of success by taking into consideration these genetic </w:t>
      </w:r>
      <w:proofErr w:type="spellStart"/>
      <w:r w:rsidR="00E64A90" w:rsidRPr="00F104D0">
        <w:rPr>
          <w:rFonts w:ascii="Times New Roman" w:hAnsi="Times New Roman" w:cs="Times New Roman"/>
          <w:sz w:val="20"/>
          <w:szCs w:val="20"/>
        </w:rPr>
        <w:t>variations,</w:t>
      </w:r>
      <w:r w:rsidR="00A75BED" w:rsidRPr="00F104D0">
        <w:rPr>
          <w:rFonts w:ascii="Times New Roman" w:hAnsi="Times New Roman" w:cs="Times New Roman"/>
          <w:sz w:val="20"/>
          <w:szCs w:val="20"/>
        </w:rPr>
        <w:t>In</w:t>
      </w:r>
      <w:proofErr w:type="spellEnd"/>
      <w:r w:rsidR="00A75BED" w:rsidRPr="00F104D0">
        <w:rPr>
          <w:rFonts w:ascii="Times New Roman" w:hAnsi="Times New Roman" w:cs="Times New Roman"/>
          <w:sz w:val="20"/>
          <w:szCs w:val="20"/>
        </w:rPr>
        <w:t xml:space="preserve"> order to prevent under</w:t>
      </w:r>
      <w:r w:rsidR="00E64A90" w:rsidRPr="00F104D0">
        <w:rPr>
          <w:rFonts w:ascii="Times New Roman" w:hAnsi="Times New Roman" w:cs="Times New Roman"/>
          <w:sz w:val="20"/>
          <w:szCs w:val="20"/>
        </w:rPr>
        <w:t xml:space="preserve"> or over-medication situations, </w:t>
      </w:r>
      <w:proofErr w:type="spellStart"/>
      <w:r w:rsidR="00E64A90" w:rsidRPr="00F104D0">
        <w:rPr>
          <w:rFonts w:ascii="Times New Roman" w:hAnsi="Times New Roman" w:cs="Times New Roman"/>
          <w:sz w:val="20"/>
          <w:szCs w:val="20"/>
        </w:rPr>
        <w:t>pharmacogenomics</w:t>
      </w:r>
      <w:proofErr w:type="spellEnd"/>
      <w:r w:rsidR="00E64A90" w:rsidRPr="00F104D0">
        <w:rPr>
          <w:rFonts w:ascii="Times New Roman" w:hAnsi="Times New Roman" w:cs="Times New Roman"/>
          <w:sz w:val="20"/>
          <w:szCs w:val="20"/>
        </w:rPr>
        <w:t xml:space="preserve"> can be used to establish the best dose </w:t>
      </w:r>
      <w:proofErr w:type="spellStart"/>
      <w:r w:rsidR="00E64A90" w:rsidRPr="00F104D0">
        <w:rPr>
          <w:rFonts w:ascii="Times New Roman" w:hAnsi="Times New Roman" w:cs="Times New Roman"/>
          <w:sz w:val="20"/>
          <w:szCs w:val="20"/>
        </w:rPr>
        <w:t>techniques,Clinical</w:t>
      </w:r>
      <w:proofErr w:type="spellEnd"/>
      <w:r w:rsidR="00E64A90" w:rsidRPr="00F104D0">
        <w:rPr>
          <w:rFonts w:ascii="Times New Roman" w:hAnsi="Times New Roman" w:cs="Times New Roman"/>
          <w:sz w:val="20"/>
          <w:szCs w:val="20"/>
        </w:rPr>
        <w:t xml:space="preserve"> decision support systems can be improved by integrating </w:t>
      </w:r>
      <w:proofErr w:type="spellStart"/>
      <w:r w:rsidR="00E64A90" w:rsidRPr="00F104D0">
        <w:rPr>
          <w:rFonts w:ascii="Times New Roman" w:hAnsi="Times New Roman" w:cs="Times New Roman"/>
          <w:sz w:val="20"/>
          <w:szCs w:val="20"/>
        </w:rPr>
        <w:t>pharmacogenomic</w:t>
      </w:r>
      <w:proofErr w:type="spellEnd"/>
      <w:r w:rsidR="00E64A90" w:rsidRPr="00F104D0">
        <w:rPr>
          <w:rFonts w:ascii="Times New Roman" w:hAnsi="Times New Roman" w:cs="Times New Roman"/>
          <w:sz w:val="20"/>
          <w:szCs w:val="20"/>
        </w:rPr>
        <w:t xml:space="preserve"> data with electronic medical records.</w:t>
      </w:r>
    </w:p>
    <w:p w:rsidR="00E64A90" w:rsidRPr="00F104D0" w:rsidRDefault="00E64A90" w:rsidP="003A3140">
      <w:pPr>
        <w:spacing w:line="240" w:lineRule="auto"/>
        <w:jc w:val="both"/>
        <w:rPr>
          <w:rFonts w:ascii="Times New Roman" w:hAnsi="Times New Roman" w:cs="Times New Roman"/>
          <w:sz w:val="20"/>
          <w:szCs w:val="20"/>
        </w:rPr>
      </w:pP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has a lot of potential for </w:t>
      </w:r>
      <w:proofErr w:type="spellStart"/>
      <w:r w:rsidRPr="00F104D0">
        <w:rPr>
          <w:rFonts w:ascii="Times New Roman" w:hAnsi="Times New Roman" w:cs="Times New Roman"/>
          <w:sz w:val="20"/>
          <w:szCs w:val="20"/>
        </w:rPr>
        <w:t>personalised</w:t>
      </w:r>
      <w:proofErr w:type="spellEnd"/>
      <w:r w:rsidRPr="00F104D0">
        <w:rPr>
          <w:rFonts w:ascii="Times New Roman" w:hAnsi="Times New Roman" w:cs="Times New Roman"/>
          <w:sz w:val="20"/>
          <w:szCs w:val="20"/>
        </w:rPr>
        <w:t xml:space="preserve"> medicine overall. </w:t>
      </w: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is anticipated to play a bigger part in improving medication choice, dosage, and overall patient care as our understanding of genetics deepens and the cost of genomic technology falls.</w:t>
      </w:r>
    </w:p>
    <w:p w:rsidR="00A75BED" w:rsidRDefault="00A75BED" w:rsidP="003A3140">
      <w:pPr>
        <w:spacing w:line="240" w:lineRule="auto"/>
        <w:jc w:val="both"/>
        <w:rPr>
          <w:rFonts w:ascii="Times New Roman" w:hAnsi="Times New Roman" w:cs="Times New Roman"/>
          <w:sz w:val="20"/>
          <w:szCs w:val="20"/>
        </w:rPr>
      </w:pPr>
      <w:r w:rsidRPr="00F104D0">
        <w:rPr>
          <w:rFonts w:ascii="Times New Roman" w:hAnsi="Times New Roman" w:cs="Times New Roman"/>
          <w:b/>
          <w:sz w:val="20"/>
          <w:szCs w:val="20"/>
        </w:rPr>
        <w:t>Keywords</w:t>
      </w:r>
      <w:r w:rsidRPr="00F104D0">
        <w:rPr>
          <w:rFonts w:ascii="Times New Roman" w:hAnsi="Times New Roman" w:cs="Times New Roman"/>
          <w:sz w:val="20"/>
          <w:szCs w:val="20"/>
        </w:rPr>
        <w:t>:</w:t>
      </w:r>
      <w:r w:rsidR="00085012" w:rsidRPr="00F104D0">
        <w:rPr>
          <w:rFonts w:ascii="Times New Roman" w:hAnsi="Times New Roman" w:cs="Times New Roman"/>
          <w:sz w:val="20"/>
          <w:szCs w:val="20"/>
        </w:rPr>
        <w:t xml:space="preserve"> </w:t>
      </w:r>
      <w:proofErr w:type="spellStart"/>
      <w:proofErr w:type="gram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,Genomic</w:t>
      </w:r>
      <w:proofErr w:type="gramEnd"/>
      <w:r w:rsidRPr="00F104D0">
        <w:rPr>
          <w:rFonts w:ascii="Times New Roman" w:hAnsi="Times New Roman" w:cs="Times New Roman"/>
          <w:sz w:val="20"/>
          <w:szCs w:val="20"/>
        </w:rPr>
        <w:t xml:space="preserve"> </w:t>
      </w:r>
      <w:proofErr w:type="spellStart"/>
      <w:r w:rsidRPr="00F104D0">
        <w:rPr>
          <w:rFonts w:ascii="Times New Roman" w:hAnsi="Times New Roman" w:cs="Times New Roman"/>
          <w:sz w:val="20"/>
          <w:szCs w:val="20"/>
        </w:rPr>
        <w:t>technology,Personalised</w:t>
      </w:r>
      <w:proofErr w:type="spellEnd"/>
      <w:r w:rsidRPr="00F104D0">
        <w:rPr>
          <w:rFonts w:ascii="Times New Roman" w:hAnsi="Times New Roman" w:cs="Times New Roman"/>
          <w:sz w:val="20"/>
          <w:szCs w:val="20"/>
        </w:rPr>
        <w:t xml:space="preserve"> medicine.</w:t>
      </w:r>
    </w:p>
    <w:p w:rsidR="000645EF" w:rsidRPr="00F104D0" w:rsidRDefault="000645EF" w:rsidP="003A3140">
      <w:pPr>
        <w:spacing w:line="240" w:lineRule="auto"/>
        <w:jc w:val="both"/>
        <w:rPr>
          <w:rFonts w:ascii="Times New Roman" w:hAnsi="Times New Roman" w:cs="Times New Roman"/>
          <w:sz w:val="20"/>
          <w:szCs w:val="20"/>
        </w:rPr>
      </w:pPr>
    </w:p>
    <w:p w:rsidR="00255B0B" w:rsidRPr="00F104D0" w:rsidRDefault="000645EF" w:rsidP="003A3140">
      <w:pPr>
        <w:spacing w:line="240" w:lineRule="auto"/>
        <w:jc w:val="both"/>
        <w:rPr>
          <w:rFonts w:ascii="Times New Roman" w:hAnsi="Times New Roman" w:cs="Times New Roman"/>
          <w:b/>
          <w:sz w:val="20"/>
          <w:szCs w:val="20"/>
        </w:rPr>
      </w:pPr>
      <w:r>
        <w:rPr>
          <w:rFonts w:ascii="Times New Roman" w:hAnsi="Times New Roman" w:cs="Times New Roman"/>
          <w:b/>
          <w:sz w:val="20"/>
          <w:szCs w:val="20"/>
        </w:rPr>
        <w:t>I</w:t>
      </w:r>
      <w:r w:rsidRPr="00F104D0">
        <w:rPr>
          <w:rFonts w:ascii="Times New Roman" w:hAnsi="Times New Roman" w:cs="Times New Roman"/>
          <w:b/>
          <w:sz w:val="20"/>
          <w:szCs w:val="20"/>
        </w:rPr>
        <w:t>.INTRODUCTION</w:t>
      </w:r>
    </w:p>
    <w:p w:rsidR="0045082A" w:rsidRPr="00F104D0" w:rsidRDefault="005D0821" w:rsidP="003A3140">
      <w:pPr>
        <w:spacing w:line="240" w:lineRule="auto"/>
        <w:jc w:val="both"/>
        <w:rPr>
          <w:rFonts w:ascii="Times New Roman" w:hAnsi="Times New Roman" w:cs="Times New Roman"/>
          <w:sz w:val="20"/>
          <w:szCs w:val="20"/>
        </w:rPr>
      </w:pPr>
      <w:r w:rsidRPr="00F104D0">
        <w:rPr>
          <w:rFonts w:ascii="Times New Roman" w:hAnsi="Times New Roman" w:cs="Times New Roman"/>
          <w:sz w:val="20"/>
          <w:szCs w:val="20"/>
        </w:rPr>
        <w:t xml:space="preserve">The field of </w:t>
      </w: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which investigates how a person's genetic composition affects how they react to medications, offers a lot of potential for the development of </w:t>
      </w:r>
      <w:proofErr w:type="spellStart"/>
      <w:r w:rsidRPr="00F104D0">
        <w:rPr>
          <w:rFonts w:ascii="Times New Roman" w:hAnsi="Times New Roman" w:cs="Times New Roman"/>
          <w:sz w:val="20"/>
          <w:szCs w:val="20"/>
        </w:rPr>
        <w:t>personalised</w:t>
      </w:r>
      <w:proofErr w:type="spellEnd"/>
      <w:r w:rsidRPr="00F104D0">
        <w:rPr>
          <w:rFonts w:ascii="Times New Roman" w:hAnsi="Times New Roman" w:cs="Times New Roman"/>
          <w:sz w:val="20"/>
          <w:szCs w:val="20"/>
        </w:rPr>
        <w:t xml:space="preserve"> medicine. </w:t>
      </w: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strives to </w:t>
      </w:r>
      <w:proofErr w:type="spellStart"/>
      <w:r w:rsidRPr="00F104D0">
        <w:rPr>
          <w:rFonts w:ascii="Times New Roman" w:hAnsi="Times New Roman" w:cs="Times New Roman"/>
          <w:sz w:val="20"/>
          <w:szCs w:val="20"/>
        </w:rPr>
        <w:t>optimise</w:t>
      </w:r>
      <w:proofErr w:type="spellEnd"/>
      <w:r w:rsidRPr="00F104D0">
        <w:rPr>
          <w:rFonts w:ascii="Times New Roman" w:hAnsi="Times New Roman" w:cs="Times New Roman"/>
          <w:sz w:val="20"/>
          <w:szCs w:val="20"/>
        </w:rPr>
        <w:t xml:space="preserve"> medication selection and dosing for specific individuals by gaining </w:t>
      </w:r>
      <w:proofErr w:type="gramStart"/>
      <w:r w:rsidRPr="00F104D0">
        <w:rPr>
          <w:rFonts w:ascii="Times New Roman" w:hAnsi="Times New Roman" w:cs="Times New Roman"/>
          <w:sz w:val="20"/>
          <w:szCs w:val="20"/>
        </w:rPr>
        <w:t>a knowledge</w:t>
      </w:r>
      <w:proofErr w:type="gramEnd"/>
      <w:r w:rsidRPr="00F104D0">
        <w:rPr>
          <w:rFonts w:ascii="Times New Roman" w:hAnsi="Times New Roman" w:cs="Times New Roman"/>
          <w:sz w:val="20"/>
          <w:szCs w:val="20"/>
        </w:rPr>
        <w:t xml:space="preserve"> of how genetic variants impact drug metabolism, effectiveness, and adverse responses. </w:t>
      </w:r>
      <w:r w:rsidR="00536527" w:rsidRPr="00F104D0">
        <w:rPr>
          <w:rFonts w:ascii="Times New Roman" w:hAnsi="Times New Roman" w:cs="Times New Roman"/>
          <w:sz w:val="20"/>
          <w:szCs w:val="20"/>
        </w:rPr>
        <w:t xml:space="preserve">Clinical pharmacology, clinical pathology, and a variety of clinicians are all involved in </w:t>
      </w:r>
      <w:proofErr w:type="spellStart"/>
      <w:r w:rsidR="00536527" w:rsidRPr="00F104D0">
        <w:rPr>
          <w:rFonts w:ascii="Times New Roman" w:hAnsi="Times New Roman" w:cs="Times New Roman"/>
          <w:sz w:val="20"/>
          <w:szCs w:val="20"/>
        </w:rPr>
        <w:t>pharmacogenomics</w:t>
      </w:r>
      <w:proofErr w:type="spellEnd"/>
      <w:r w:rsidR="00536527" w:rsidRPr="00F104D0">
        <w:rPr>
          <w:rFonts w:ascii="Times New Roman" w:hAnsi="Times New Roman" w:cs="Times New Roman"/>
          <w:sz w:val="20"/>
          <w:szCs w:val="20"/>
        </w:rPr>
        <w:t xml:space="preserve">, a multidisciplinary collaborative effort with the common goal of enhancing patient care by </w:t>
      </w:r>
      <w:proofErr w:type="spellStart"/>
      <w:r w:rsidR="00536527" w:rsidRPr="00F104D0">
        <w:rPr>
          <w:rFonts w:ascii="Times New Roman" w:hAnsi="Times New Roman" w:cs="Times New Roman"/>
          <w:sz w:val="20"/>
          <w:szCs w:val="20"/>
        </w:rPr>
        <w:t>individualised</w:t>
      </w:r>
      <w:proofErr w:type="spellEnd"/>
      <w:r w:rsidR="00536527" w:rsidRPr="00F104D0">
        <w:rPr>
          <w:rFonts w:ascii="Times New Roman" w:hAnsi="Times New Roman" w:cs="Times New Roman"/>
          <w:sz w:val="20"/>
          <w:szCs w:val="20"/>
        </w:rPr>
        <w:t xml:space="preserve"> prescribing and patient care</w:t>
      </w:r>
      <w:r w:rsidR="00255B0B" w:rsidRPr="00F104D0">
        <w:rPr>
          <w:rFonts w:ascii="Times New Roman" w:hAnsi="Times New Roman" w:cs="Times New Roman"/>
          <w:sz w:val="20"/>
          <w:szCs w:val="20"/>
        </w:rPr>
        <w:t xml:space="preserve"> </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10.5694/mja2.51759","ISSN":"0025-729X","author":[{"dropping-particle":"","family":"White","given":"Cassandra","non-dropping-particle":"","parse-names":false,"suffix":""},{"dropping-particle":"","family":"Scott","given":"Rodney","non-dropping-particle":"","parse-names":false,"suffix":""},{"dropping-particle":"","family":"Paul","given":"Christine L","non-dropping-particle":"","parse-names":false,"suffix":""},{"dropping-particle":"","family":"Ackland","given":"Stephen P","non-dropping-particle":"","parse-names":false,"suffix":""}],"container-title":"Medical Journal of Australia","id":"ITEM-1","issue":"10","issued":{"date-parts":[["2022","11","21"]]},"page":"510-513","title":"Pharmacogenomics in the era of personalised medicine","type":"article-journal","volume":"217"},"uris":["http://www.mendeley.com/documents/?uuid=d9668a22-2ee9-41d4-84bf-b80d04d3b35f"]}],"mendeley":{"formattedCitation":"[1]","plainTextFormattedCitation":"[1]","previouslyFormattedCitation":"[1]"},"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[1]</w:t>
      </w:r>
      <w:r w:rsidR="009A774E" w:rsidRPr="00F104D0">
        <w:rPr>
          <w:rFonts w:ascii="Times New Roman" w:hAnsi="Times New Roman" w:cs="Times New Roman"/>
          <w:sz w:val="20"/>
          <w:szCs w:val="20"/>
        </w:rPr>
        <w:fldChar w:fldCharType="end"/>
      </w:r>
      <w:r w:rsidR="00255B0B" w:rsidRPr="00F104D0">
        <w:rPr>
          <w:rFonts w:ascii="Times New Roman" w:hAnsi="Times New Roman" w:cs="Times New Roman"/>
          <w:sz w:val="20"/>
          <w:szCs w:val="20"/>
        </w:rPr>
        <w:t>.</w:t>
      </w:r>
    </w:p>
    <w:p w:rsidR="00255B0B" w:rsidRPr="00F104D0" w:rsidRDefault="00255B0B" w:rsidP="003A3140">
      <w:pPr>
        <w:spacing w:line="240" w:lineRule="auto"/>
        <w:jc w:val="both"/>
        <w:rPr>
          <w:rFonts w:ascii="Times New Roman" w:hAnsi="Times New Roman" w:cs="Times New Roman"/>
          <w:sz w:val="20"/>
          <w:szCs w:val="20"/>
        </w:rPr>
      </w:pPr>
      <w:r w:rsidRPr="00F104D0">
        <w:rPr>
          <w:rFonts w:ascii="Times New Roman" w:hAnsi="Times New Roman" w:cs="Times New Roman"/>
          <w:sz w:val="20"/>
          <w:szCs w:val="20"/>
        </w:rPr>
        <w:t xml:space="preserve">Historically, medicine has been recommended based on broad criteria and demographic averages, with medical treatments being one-size-fits-all. This method, however, ignores the substantial genetic heterogeneity in medication reactions across individuals. </w:t>
      </w: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studies the intricate connection between a person's genetic make-up and how they react to medications. It entails the investigation of the effects of genetic variants on drug metabolism, transport, receptor binding, and cellular response, including single nucleotide polymorphisms (SNPs), insertions, deletions, and copy number variations. These genetic indicators can give researchers and medical professionals important information into each person's particular medication response profile </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{"citationItems":[{"id":"ITEM-1","itemData":{"DOI":"10.3390/genes11111337","ISSN":"2073-4425","abstract":"Most of the prescribing and dispensing of medicines happens in primary care. Pharmacogenomics (PGx) is the study and clinical application of the role of genetic variation on drug response. Mounting evidence suggests PGx can improve the safety and/or efficacy of several medications commonly prescribed in primary care. However, implementation of PGx has generally been limited to a relatively few academic hospital centres, with little adoption in primary care. Despite this, many primary healthcare providers are optimistic about the role of PGx in their future practice. The increasing prevalence of direct-to-consumer genetic testing and primary care PGx studies herald the plausible gradual introduction of PGx into primary care and highlight the changes needed for optimal translation. In this article, the potential utility of PGx in primary care will be explored and on-going barriers to implementation discussed. The evidence base of several drug-gene pairs relevant to primary care will be outlined with a focus on antidepressants, codeine and tramadol, statins, clopidogrel, warfarin, metoprolol and allopurinol. This review is intended to provide both a general introduction to PGx with a more in-depth overview of elements relevant to primary care.","author":[{"dropping-particle":"","family":"Rollinson","given":"Victoria","non-dropping-particle":"","parse-names":false,"suffix":""},{"dropping-particle":"","family":"Turner","given":"Richard","non-dropping-particle":"","parse-names":false,"suffix":""},{"dropping-particle":"","family":"Pirmohamed","given":"Munir","non-dropping-particle":"","parse-names":false,"suffix":""}],"container-title":"Genes","id":"ITEM-1","issue":"11","issued":{"date-parts":[["2020","11","12"]]},"page":"1337","title":"Pharmacogenomics for Primary Care: An Overview","type":"article-journal","volume":"11"},"uris":["http://www.mendeley.com/documents/?uuid=78896510-78c7-4fc9-838b-f4c0265cf89e"]}],"mendeley":{"formattedCitation":"[2]","plainTextFormattedCitation":"[2]","previouslyFormattedCitation":"[2]"},"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[2]</w:t>
      </w:r>
      <w:r w:rsidR="009A774E" w:rsidRPr="00F104D0">
        <w:rPr>
          <w:rFonts w:ascii="Times New Roman" w:hAnsi="Times New Roman" w:cs="Times New Roman"/>
          <w:sz w:val="20"/>
          <w:szCs w:val="20"/>
        </w:rPr>
        <w:fldChar w:fldCharType="end"/>
      </w:r>
      <w:r w:rsidRPr="00F104D0">
        <w:rPr>
          <w:rFonts w:ascii="Times New Roman" w:hAnsi="Times New Roman" w:cs="Times New Roman"/>
          <w:sz w:val="20"/>
          <w:szCs w:val="20"/>
        </w:rPr>
        <w:t>.</w:t>
      </w:r>
    </w:p>
    <w:p w:rsidR="000645EF" w:rsidRDefault="00536527" w:rsidP="003A3140">
      <w:pPr>
        <w:spacing w:line="240" w:lineRule="auto"/>
        <w:jc w:val="both"/>
        <w:rPr>
          <w:rFonts w:ascii="Times New Roman" w:hAnsi="Times New Roman" w:cs="Times New Roman"/>
          <w:sz w:val="20"/>
          <w:szCs w:val="20"/>
        </w:rPr>
      </w:pPr>
      <w:r w:rsidRPr="00F104D0">
        <w:rPr>
          <w:rFonts w:ascii="Times New Roman" w:hAnsi="Times New Roman" w:cs="Times New Roman"/>
          <w:sz w:val="20"/>
          <w:szCs w:val="20"/>
        </w:rPr>
        <w:lastRenderedPageBreak/>
        <w:t>Multiple</w:t>
      </w:r>
      <w:r w:rsidR="00A6331C" w:rsidRPr="00F104D0">
        <w:rPr>
          <w:rFonts w:ascii="Times New Roman" w:hAnsi="Times New Roman" w:cs="Times New Roman"/>
          <w:sz w:val="20"/>
          <w:szCs w:val="20"/>
        </w:rPr>
        <w:t xml:space="preserve"> </w:t>
      </w:r>
      <w:r w:rsidRPr="00F104D0">
        <w:rPr>
          <w:rFonts w:ascii="Times New Roman" w:hAnsi="Times New Roman" w:cs="Times New Roman"/>
          <w:sz w:val="20"/>
          <w:szCs w:val="20"/>
        </w:rPr>
        <w:t>pharmacological</w:t>
      </w:r>
      <w:r w:rsidR="00A6331C" w:rsidRPr="00F104D0">
        <w:rPr>
          <w:rFonts w:ascii="Times New Roman" w:hAnsi="Times New Roman" w:cs="Times New Roman"/>
          <w:sz w:val="20"/>
          <w:szCs w:val="20"/>
        </w:rPr>
        <w:t xml:space="preserve"> </w:t>
      </w:r>
      <w:r w:rsidRPr="00F104D0">
        <w:rPr>
          <w:rFonts w:ascii="Times New Roman" w:hAnsi="Times New Roman" w:cs="Times New Roman"/>
          <w:sz w:val="20"/>
          <w:szCs w:val="20"/>
        </w:rPr>
        <w:t>classes,</w:t>
      </w:r>
      <w:r w:rsidR="00A6331C" w:rsidRPr="00F104D0">
        <w:rPr>
          <w:rFonts w:ascii="Times New Roman" w:hAnsi="Times New Roman" w:cs="Times New Roman"/>
          <w:sz w:val="20"/>
          <w:szCs w:val="20"/>
        </w:rPr>
        <w:t xml:space="preserve"> </w:t>
      </w:r>
      <w:r w:rsidRPr="00F104D0">
        <w:rPr>
          <w:rFonts w:ascii="Times New Roman" w:hAnsi="Times New Roman" w:cs="Times New Roman"/>
          <w:sz w:val="20"/>
          <w:szCs w:val="20"/>
        </w:rPr>
        <w:t>including</w:t>
      </w:r>
      <w:r w:rsidR="00A6331C" w:rsidRPr="00F104D0">
        <w:rPr>
          <w:rFonts w:ascii="Times New Roman" w:hAnsi="Times New Roman" w:cs="Times New Roman"/>
          <w:sz w:val="20"/>
          <w:szCs w:val="20"/>
        </w:rPr>
        <w:t xml:space="preserve"> immune-</w:t>
      </w:r>
      <w:r w:rsidRPr="00F104D0">
        <w:rPr>
          <w:rFonts w:ascii="Times New Roman" w:hAnsi="Times New Roman" w:cs="Times New Roman"/>
          <w:sz w:val="20"/>
          <w:szCs w:val="20"/>
        </w:rPr>
        <w:t>suppressants,</w:t>
      </w:r>
      <w:r w:rsidR="00A6331C" w:rsidRPr="00F104D0">
        <w:rPr>
          <w:rFonts w:ascii="Times New Roman" w:hAnsi="Times New Roman" w:cs="Times New Roman"/>
          <w:sz w:val="20"/>
          <w:szCs w:val="20"/>
        </w:rPr>
        <w:t xml:space="preserve"> </w:t>
      </w:r>
      <w:proofErr w:type="spellStart"/>
      <w:r w:rsidRPr="00F104D0">
        <w:rPr>
          <w:rFonts w:ascii="Times New Roman" w:hAnsi="Times New Roman" w:cs="Times New Roman"/>
          <w:sz w:val="20"/>
          <w:szCs w:val="20"/>
        </w:rPr>
        <w:t>psychotropics</w:t>
      </w:r>
      <w:proofErr w:type="spellEnd"/>
      <w:r w:rsidRPr="00F104D0">
        <w:rPr>
          <w:rFonts w:ascii="Times New Roman" w:hAnsi="Times New Roman" w:cs="Times New Roman"/>
          <w:sz w:val="20"/>
          <w:szCs w:val="20"/>
        </w:rPr>
        <w:t>,</w:t>
      </w:r>
      <w:r w:rsidR="00A6331C" w:rsidRPr="00F104D0">
        <w:rPr>
          <w:rFonts w:ascii="Times New Roman" w:hAnsi="Times New Roman" w:cs="Times New Roman"/>
          <w:sz w:val="20"/>
          <w:szCs w:val="20"/>
        </w:rPr>
        <w:t xml:space="preserve"> </w:t>
      </w:r>
      <w:r w:rsidRPr="00F104D0">
        <w:rPr>
          <w:rFonts w:ascii="Times New Roman" w:hAnsi="Times New Roman" w:cs="Times New Roman"/>
          <w:sz w:val="20"/>
          <w:szCs w:val="20"/>
        </w:rPr>
        <w:t>antibiotics,</w:t>
      </w:r>
      <w:r w:rsidR="00A6331C" w:rsidRPr="00F104D0">
        <w:rPr>
          <w:rFonts w:ascii="Times New Roman" w:hAnsi="Times New Roman" w:cs="Times New Roman"/>
          <w:sz w:val="20"/>
          <w:szCs w:val="20"/>
        </w:rPr>
        <w:t xml:space="preserve"> </w:t>
      </w:r>
      <w:r w:rsidRPr="00F104D0">
        <w:rPr>
          <w:rFonts w:ascii="Times New Roman" w:hAnsi="Times New Roman" w:cs="Times New Roman"/>
          <w:sz w:val="20"/>
          <w:szCs w:val="20"/>
        </w:rPr>
        <w:t xml:space="preserve">antidepressants, selective </w:t>
      </w:r>
      <w:proofErr w:type="spellStart"/>
      <w:r w:rsidRPr="00F104D0">
        <w:rPr>
          <w:rFonts w:ascii="Times New Roman" w:hAnsi="Times New Roman" w:cs="Times New Roman"/>
          <w:sz w:val="20"/>
          <w:szCs w:val="20"/>
        </w:rPr>
        <w:t>oestrogen</w:t>
      </w:r>
      <w:proofErr w:type="spellEnd"/>
      <w:r w:rsidRPr="00F104D0">
        <w:rPr>
          <w:rFonts w:ascii="Times New Roman" w:hAnsi="Times New Roman" w:cs="Times New Roman"/>
          <w:sz w:val="20"/>
          <w:szCs w:val="20"/>
        </w:rPr>
        <w:t xml:space="preserve"> receptor modulators, beta blockers, </w:t>
      </w:r>
      <w:proofErr w:type="spellStart"/>
      <w:r w:rsidRPr="00F104D0">
        <w:rPr>
          <w:rFonts w:ascii="Times New Roman" w:hAnsi="Times New Roman" w:cs="Times New Roman"/>
          <w:sz w:val="20"/>
          <w:szCs w:val="20"/>
        </w:rPr>
        <w:t>statins</w:t>
      </w:r>
      <w:proofErr w:type="spellEnd"/>
      <w:r w:rsidRPr="00F104D0">
        <w:rPr>
          <w:rFonts w:ascii="Times New Roman" w:hAnsi="Times New Roman" w:cs="Times New Roman"/>
          <w:sz w:val="20"/>
          <w:szCs w:val="20"/>
        </w:rPr>
        <w:t xml:space="preserve">, proton pump inhibitors, anticoagulants, and </w:t>
      </w:r>
      <w:proofErr w:type="spellStart"/>
      <w:r w:rsidRPr="00F104D0">
        <w:rPr>
          <w:rFonts w:ascii="Times New Roman" w:hAnsi="Times New Roman" w:cs="Times New Roman"/>
          <w:sz w:val="20"/>
          <w:szCs w:val="20"/>
        </w:rPr>
        <w:t>antiplatelet</w:t>
      </w:r>
      <w:proofErr w:type="spellEnd"/>
      <w:r w:rsidRPr="00F104D0">
        <w:rPr>
          <w:rFonts w:ascii="Times New Roman" w:hAnsi="Times New Roman" w:cs="Times New Roman"/>
          <w:sz w:val="20"/>
          <w:szCs w:val="20"/>
        </w:rPr>
        <w:t xml:space="preserve"> medicines, have a large number of identified gene-drug combinations.</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10.2174/1381612823666170125155530","ISSN":"13816128","author":[{"dropping-particle":"Del","family":"Re","given":"Marzia","non-dropping-particle":"","parse-names":false,"suffix":""},{"dropping-particle":"","family":"Restante","given":"Giuliana","non-dropping-particle":"","parse-names":false,"suffix":""},{"dropping-particle":"","family":"Paolo","given":"Antonello","non-dropping-particle":"Di","parse-names":false,"suffix":""},{"dropping-particle":"","family":"Crucitta","given":"Stefania","non-dropping-particle":"","parse-names":false,"suffix":""},{"dropping-particle":"","family":"Rofi","given":"Eleonora","non-dropping-particle":"","parse-names":false,"suffix":""},{"dropping-particle":"","family":"Danesi","given":"Romano","non-dropping-particle":"","parse-names":false,"suffix":""}],"container-title":"Current Pharmaceutical Design","id":"ITEM-1","issue":"14","issued":{"date-parts":[["2017","5","30"]]},"title":"Pharmacogenetics and Metabolism from Science to Implementation in Clinical Practice: The Example of Dihydropyrimidine Dehydrogenase","type":"article-journal","volume":"23"},"uris":["http://www.mendeley.com/documents/?uuid=c69a281e-4a3e-4642-ab33-50978788178e"]}],"mendeley":{"formattedCitation":"[3]","plainTextFormattedCitation":"[3]","previouslyFormattedCitation":"[3]"},"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[3]</w:t>
      </w:r>
      <w:r w:rsidR="009A774E" w:rsidRPr="00F104D0">
        <w:rPr>
          <w:rFonts w:ascii="Times New Roman" w:hAnsi="Times New Roman" w:cs="Times New Roman"/>
          <w:sz w:val="20"/>
          <w:szCs w:val="20"/>
        </w:rPr>
        <w:fldChar w:fldCharType="end"/>
      </w:r>
      <w:r w:rsidRPr="00F104D0">
        <w:rPr>
          <w:rFonts w:ascii="Times New Roman" w:hAnsi="Times New Roman" w:cs="Times New Roman"/>
          <w:sz w:val="20"/>
          <w:szCs w:val="20"/>
        </w:rPr>
        <w:t xml:space="preserve"> </w:t>
      </w:r>
      <w:r w:rsidR="00A86F1C" w:rsidRPr="00F104D0">
        <w:rPr>
          <w:rFonts w:ascii="Times New Roman" w:hAnsi="Times New Roman" w:cs="Times New Roman"/>
          <w:sz w:val="20"/>
          <w:szCs w:val="20"/>
        </w:rPr>
        <w:t xml:space="preserve">Not all gene-drug combinations have enough data to support changes in clinical prescription. Furthermore, not all drug toxicity can be explained by the discovery of gene variations; a number of upstream and downstream regulators have an impact on the pharmacokinetic and </w:t>
      </w:r>
      <w:proofErr w:type="spellStart"/>
      <w:r w:rsidR="00A86F1C" w:rsidRPr="00F104D0">
        <w:rPr>
          <w:rFonts w:ascii="Times New Roman" w:hAnsi="Times New Roman" w:cs="Times New Roman"/>
          <w:sz w:val="20"/>
          <w:szCs w:val="20"/>
        </w:rPr>
        <w:t>pharmacodynamic</w:t>
      </w:r>
      <w:proofErr w:type="spellEnd"/>
      <w:r w:rsidR="00A86F1C" w:rsidRPr="00F104D0">
        <w:rPr>
          <w:rFonts w:ascii="Times New Roman" w:hAnsi="Times New Roman" w:cs="Times New Roman"/>
          <w:sz w:val="20"/>
          <w:szCs w:val="20"/>
        </w:rPr>
        <w:t xml:space="preserve"> effects of therapeutic medicines. An evaluation of the cost-utility and cost-effectiveness is necessary before a </w:t>
      </w:r>
      <w:proofErr w:type="spellStart"/>
      <w:r w:rsidR="00A86F1C" w:rsidRPr="00F104D0">
        <w:rPr>
          <w:rFonts w:ascii="Times New Roman" w:hAnsi="Times New Roman" w:cs="Times New Roman"/>
          <w:sz w:val="20"/>
          <w:szCs w:val="20"/>
        </w:rPr>
        <w:t>pharmacogenomics</w:t>
      </w:r>
      <w:proofErr w:type="spellEnd"/>
      <w:r w:rsidR="00A86F1C" w:rsidRPr="00F104D0">
        <w:rPr>
          <w:rFonts w:ascii="Times New Roman" w:hAnsi="Times New Roman" w:cs="Times New Roman"/>
          <w:sz w:val="20"/>
          <w:szCs w:val="20"/>
        </w:rPr>
        <w:t xml:space="preserve"> strategy to </w:t>
      </w:r>
      <w:proofErr w:type="spellStart"/>
      <w:r w:rsidR="00A86F1C" w:rsidRPr="00F104D0">
        <w:rPr>
          <w:rFonts w:ascii="Times New Roman" w:hAnsi="Times New Roman" w:cs="Times New Roman"/>
          <w:sz w:val="20"/>
          <w:szCs w:val="20"/>
        </w:rPr>
        <w:t>customise</w:t>
      </w:r>
      <w:proofErr w:type="spellEnd"/>
      <w:r w:rsidR="00A86F1C" w:rsidRPr="00F104D0">
        <w:rPr>
          <w:rFonts w:ascii="Times New Roman" w:hAnsi="Times New Roman" w:cs="Times New Roman"/>
          <w:sz w:val="20"/>
          <w:szCs w:val="20"/>
        </w:rPr>
        <w:t xml:space="preserve"> medication selection and/o</w:t>
      </w:r>
      <w:r w:rsidR="0045082A" w:rsidRPr="00F104D0">
        <w:rPr>
          <w:rFonts w:ascii="Times New Roman" w:hAnsi="Times New Roman" w:cs="Times New Roman"/>
          <w:sz w:val="20"/>
          <w:szCs w:val="20"/>
        </w:rPr>
        <w:t xml:space="preserve">r dose can be used clinically </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{"citationItems":[{"id":"ITEM-1","itemData":{"DOI":"10.1038/clpt.2011.34","ISSN":"0009-9236","author":[{"dropping-particle":"","family":"Swen","given":"J J","non-dropping-particle":"","parse-names":false,"suffix":""},{"dropping-particle":"","family":"Nijenhuis","given":"M","non-dropping-particle":"","parse-names":false,"suffix":""},{"dropping-particle":"","family":"Boer","given":"A","non-dropping-particle":"de","parse-names":false,"suffix":""},{"dropping-particle":"","family":"Grandia","given":"L","non-dropping-particle":"","parse-names":false,"suffix":""},{"dropping-particle":"","family":"Maitland-van der Zee","given":"A H","non-dropping-particle":"","parse-names":false,"suffix":""},{"dropping-particle":"","family":"Mulder","given":"H","non-dropping-particle":"","parse-names":false,"suffix":""},{"dropping-particle":"","family":"Rongen","given":"G A P J M","non-dropping-particle":"","parse-names":false,"suffix":""},{"dropping-particle":"","family":"Schaik","given":"R H N","non-dropping-particle":"van","parse-names":false,"suffix":""},{"dropping-particle":"","family":"Schalekamp","given":"T","non-dropping-particle":"","parse-names":false,"suffix":""},{"dropping-particle":"","family":"Touw","given":"D J","non-dropping-particle":"","parse-names":false,"suffix":""},{"dropping-particle":"","family":"Weide","given":"J","non-dropping-particle":"van der","parse-names":false,"suffix":""},{"dropping-particle":"","family":"Wilffert","given":"B","non-dropping-particle":"","parse-names":false,"suffix":""},{"dropping-particle":"","family":"Deneer","given":"V H M","non-dropping-particle":"","parse-names":false,"suffix":""},{"dropping-particle":"","family":"Guchelaar","given":"H-J","non-dropping-particle":"","parse-names":false,"suffix":""}],"container-title":"Clinical Pharmacology &amp; Therapeutics","id":"ITEM-1","issue":"5","issued":{"date-parts":[["2011","5","16"]]},"page":"662-673","title":"Pharmacogenetics: From Bench to Byte— An Update of Guidelines","type":"article-journal","volume":"89"},"uris":["http://www.mendeley.com/documents/?uuid=75c22780-72e8-4cab-9ba8-a4dcc4396a73"]}],"mendeley":{"formattedCitation":"[4]","plainTextFormattedCitation":"[4]","previouslyFormattedCitation":"[4]"},"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[4]</w:t>
      </w:r>
      <w:r w:rsidR="009A774E" w:rsidRPr="00F104D0">
        <w:rPr>
          <w:rFonts w:ascii="Times New Roman" w:hAnsi="Times New Roman" w:cs="Times New Roman"/>
          <w:sz w:val="20"/>
          <w:szCs w:val="20"/>
        </w:rPr>
        <w:fldChar w:fldCharType="end"/>
      </w:r>
      <w:r w:rsidR="0045082A" w:rsidRPr="00F104D0">
        <w:rPr>
          <w:rFonts w:ascii="Times New Roman" w:hAnsi="Times New Roman" w:cs="Times New Roman"/>
          <w:sz w:val="20"/>
          <w:szCs w:val="20"/>
        </w:rPr>
        <w:t xml:space="preserve">. </w:t>
      </w:r>
      <w:r w:rsidR="00A86F1C" w:rsidRPr="00F104D0">
        <w:rPr>
          <w:rFonts w:ascii="Times New Roman" w:hAnsi="Times New Roman" w:cs="Times New Roman"/>
          <w:sz w:val="20"/>
          <w:szCs w:val="20"/>
        </w:rPr>
        <w:t>Aside from cost effectiveness, other anticipated advantages include increased patient medication tolerance and thus increased compliance improved m</w:t>
      </w:r>
      <w:r w:rsidR="008938AE" w:rsidRPr="00F104D0">
        <w:rPr>
          <w:rFonts w:ascii="Times New Roman" w:hAnsi="Times New Roman" w:cs="Times New Roman"/>
          <w:sz w:val="20"/>
          <w:szCs w:val="20"/>
        </w:rPr>
        <w:t>anagement results for patients (</w:t>
      </w:r>
      <w:r w:rsidR="00A86F1C" w:rsidRPr="00F104D0">
        <w:rPr>
          <w:rFonts w:ascii="Times New Roman" w:hAnsi="Times New Roman" w:cs="Times New Roman"/>
          <w:sz w:val="20"/>
          <w:szCs w:val="20"/>
        </w:rPr>
        <w:t>disease control, relapse/recurrence of illness, and even overall survival) can be extrapolated from improved compliance.</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{"citationItems":[{"id":"ITEM-1","itemData":{"DOI":"10.1016/j.ejca.2018.11.010","ISSN":"09598049","author":[{"dropping-particle":"","family":"Henricks","given":"Linda M.","non-dropping-particle":"","parse-names":false,"suffix":""},{"dropping-particle":"","family":"Lunenburg","given":"Carin A.T.C.","non-dropping-particle":"","parse-names":false,"suffix":""},{"dropping-particle":"","family":"Man","given":"Femke M.","non-dropping-particle":"de","parse-names":false,"suffix":""},{"dropping-particle":"","family":"Meulendijks","given":"Didier","non-dropping-particle":"","parse-names":false,"suffix":""},{"dropping-particle":"","family":"Frederix","given":"Geert W.J.","non-dropping-particle":"","parse-names":false,"suffix":""},{"dropping-particle":"","family":"Kienhuis","given":"Emma","non-dropping-particle":"","parse-names":false,"suffix":""},{"dropping-particle":"","family":"Creemers","given":"Geert-Jan","non-dropping-particle":"","parse-names":false,"suffix":""},{"dropping-particle":"","family":"Baars","given":"Arnold","non-dropping-particle":"","parse-names":false,"suffix":""},{"dropping-particle":"","family":"Dezentjé","given":"Vincent O.","non-dropping-particle":"","parse-names":false,"suffix":""},{"dropping-particle":"","family":"Imholz","given":"Alexander L.T.","non-dropping-particle":"","parse-names":false,"suffix":""},{"dropping-particle":"","family":"Jeurissen","given":"Frank J.F.","non-dropping-particle":"","parse-names":false,"suffix":""},{"dropping-particle":"","family":"Portielje","given":"Johanna E.A.","non-dropping-particle":"","parse-names":false,"suffix":""},{"dropping-particle":"","family":"Jansen","given":"Rob L.H.","non-dropping-particle":"","parse-names":false,"suffix":""},{"dropping-particle":"","family":"Hamberg","given":"Paul","non-dropping-particle":"","parse-names":false,"suffix":""},{"dropping-particle":"","family":"Tije","given":"Albert J.","non-dropping-particle":"ten","parse-names":false,"suffix":""},{"dropping-particle":"","family":"Droogendijk","given":"Helga J.","non-dropping-particle":"","parse-names":false,"suffix":""},{"dropping-particle":"","family":"Koopman","given":"Miriam","non-dropping-particle":"","parse-names":false,"suffix":""},{"dropping-particle":"","family":"Nieboer","given":"Peter","non-dropping-particle":"","parse-names":false,"suffix":""},{"dropping-particle":"","family":"Poel","given":"Marlène H.W.","non-dropping-particle":"van de","parse-names":false,"suffix":""},{"dropping-particle":"","family":"Mandigers","given":"Caroline M.P.W.","non-dropping-particle":"","parse-names":false,"suffix":""},{"dropping-particle":"","family":"Rosing","given":"Hilde","non-dropping-particle":"","parse-names":false,"suffix":""},{"dropping-particle":"","family":"Beijnen","given":"Jos H.","non-dropping-particle":"","parse-names":false,"suffix":""},{"dropping-particle":"","family":"Werkhoven","given":"Erik","non-dropping-particle":"van","parse-names":false,"suffix":""},{"dropping-particle":"","family":"Kuilenburg","given":"André B.P.","non-dropping-particle":"van","parse-names":false,"suffix":""},{"dropping-particle":"","family":"Schaik","given":"Ron H.N.","non-dropping-particle":"van","parse-names":false,"suffix":""},{"dropping-particle":"","family":"Mathijssen","given":"Ron H.J.","non-dropping-particle":"","parse-names":false,"suffix":""},{"dropping-particle":"","family":"Swen","given":"Jesse J.","non-dropping-particle":"","parse-names":false,"suffix":""},{"dropping-particle":"","family":"Gelderblom","given":"Hans","non-dropping-particle":"","parse-names":false,"suffix":""},{"dropping-particle":"","family":"Cats","given":"Annemieke","non-dropping-particle":"","parse-names":false,"suffix":""},{"dropping-particle":"","family":"Guchelaar","given":"Henk-Jan","non-dropping-particle":"","parse-names":false,"suffix":""},{"dropping-particle":"","family":"Schellens","given":"Jan H.M.","non-dropping-particle":"","parse-names":false,"suffix":""}],"container-title":"European Journal of Cancer","id":"ITEM-1","issued":{"date-parts":[["2019","1"]]},"page":"60-67","title":"A cost analysis of upfront DPYD genotype–guided dose individualisation in fluoropyrimidine-based anticancer therapy","type":"article-journal","volume":"107"},"uris":["http://www.mendeley.com/documents/?uuid=8a1604d8-7e59-46c7-a45f-799f489f8ded"]}],"mendeley":{"formattedCitation":"[5]","plainTextFormattedCitation":"[5]","previouslyFormattedCitation":"[5]"},"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[5]</w:t>
      </w:r>
      <w:r w:rsidR="009A774E" w:rsidRPr="00F104D0">
        <w:rPr>
          <w:rFonts w:ascii="Times New Roman" w:hAnsi="Times New Roman" w:cs="Times New Roman"/>
          <w:sz w:val="20"/>
          <w:szCs w:val="20"/>
        </w:rPr>
        <w:fldChar w:fldCharType="end"/>
      </w:r>
      <w:r w:rsidR="008938AE" w:rsidRPr="00F104D0">
        <w:rPr>
          <w:sz w:val="20"/>
          <w:szCs w:val="20"/>
        </w:rPr>
        <w:t xml:space="preserve"> </w:t>
      </w:r>
      <w:r w:rsidR="008938AE" w:rsidRPr="00F104D0">
        <w:rPr>
          <w:rFonts w:ascii="Times New Roman" w:hAnsi="Times New Roman" w:cs="Times New Roman"/>
          <w:sz w:val="20"/>
          <w:szCs w:val="20"/>
        </w:rPr>
        <w:t xml:space="preserve">The application of </w:t>
      </w:r>
      <w:proofErr w:type="spellStart"/>
      <w:r w:rsidR="008938AE" w:rsidRPr="00F104D0">
        <w:rPr>
          <w:rFonts w:ascii="Times New Roman" w:hAnsi="Times New Roman" w:cs="Times New Roman"/>
          <w:sz w:val="20"/>
          <w:szCs w:val="20"/>
        </w:rPr>
        <w:t>personalised</w:t>
      </w:r>
      <w:proofErr w:type="spellEnd"/>
      <w:r w:rsidR="008938AE" w:rsidRPr="00F104D0">
        <w:rPr>
          <w:rFonts w:ascii="Times New Roman" w:hAnsi="Times New Roman" w:cs="Times New Roman"/>
          <w:sz w:val="20"/>
          <w:szCs w:val="20"/>
        </w:rPr>
        <w:t xml:space="preserve"> medicine may undergo many changes as a result of the incorporation of </w:t>
      </w:r>
      <w:proofErr w:type="spellStart"/>
      <w:r w:rsidR="008938AE" w:rsidRPr="00F104D0">
        <w:rPr>
          <w:rFonts w:ascii="Times New Roman" w:hAnsi="Times New Roman" w:cs="Times New Roman"/>
          <w:sz w:val="20"/>
          <w:szCs w:val="20"/>
        </w:rPr>
        <w:t>pharmacogenomics</w:t>
      </w:r>
      <w:proofErr w:type="spellEnd"/>
      <w:r w:rsidR="008938AE" w:rsidRPr="00F104D0">
        <w:rPr>
          <w:rFonts w:ascii="Times New Roman" w:hAnsi="Times New Roman" w:cs="Times New Roman"/>
          <w:sz w:val="20"/>
          <w:szCs w:val="20"/>
        </w:rPr>
        <w:t xml:space="preserve"> as it reduces the danger of negative responses , while the possibility of therapeutic effectiveness increased </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{"citationItems":[{"id":"ITEM-1","itemData":{"DOI":"10.1016/j.fertnstert.2018.05.006","ISSN":"00150282","author":[{"dropping-particle":"","family":"Goetz","given":"Laura H.","non-dropping-particle":"","parse-names":false,"suffix":""},{"dropping-particle":"","family":"Schork","given":"Nicholas J.","non-dropping-particle":"","parse-names":false,"suffix":""}],"container-title":"Fertility and Sterility","id":"ITEM-1","issue":"6","issued":{"date-parts":[["2018","6"]]},"page":"952-963","title":"Personalized medicine: motivation, challenges, and progress","type":"article-journal","volume":"109"},"uris":["http://www.mendeley.com/documents/?uuid=f341fc87-16fd-4802-a439-c7e274687900"]}],"mendeley":{"formattedCitation":"[6]","plainTextFormattedCitation":"[6]","previouslyFormattedCitation":"[6]"},"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[6]</w:t>
      </w:r>
      <w:r w:rsidR="009A774E" w:rsidRPr="00F104D0">
        <w:rPr>
          <w:rFonts w:ascii="Times New Roman" w:hAnsi="Times New Roman" w:cs="Times New Roman"/>
          <w:sz w:val="20"/>
          <w:szCs w:val="20"/>
        </w:rPr>
        <w:fldChar w:fldCharType="end"/>
      </w:r>
      <w:r w:rsidR="008938AE" w:rsidRPr="00F104D0">
        <w:rPr>
          <w:rFonts w:ascii="Times New Roman" w:hAnsi="Times New Roman" w:cs="Times New Roman"/>
          <w:sz w:val="20"/>
          <w:szCs w:val="20"/>
        </w:rPr>
        <w:t>.</w:t>
      </w:r>
      <w:r w:rsidR="008938AE" w:rsidRPr="00F104D0">
        <w:rPr>
          <w:sz w:val="20"/>
          <w:szCs w:val="20"/>
        </w:rPr>
        <w:t xml:space="preserve"> </w:t>
      </w:r>
      <w:r w:rsidR="008938AE" w:rsidRPr="00F104D0">
        <w:rPr>
          <w:rFonts w:ascii="Times New Roman" w:hAnsi="Times New Roman" w:cs="Times New Roman"/>
          <w:sz w:val="20"/>
          <w:szCs w:val="20"/>
        </w:rPr>
        <w:t xml:space="preserve">The second benefit of </w:t>
      </w:r>
      <w:proofErr w:type="spellStart"/>
      <w:r w:rsidR="008938AE" w:rsidRPr="00F104D0">
        <w:rPr>
          <w:rFonts w:ascii="Times New Roman" w:hAnsi="Times New Roman" w:cs="Times New Roman"/>
          <w:sz w:val="20"/>
          <w:szCs w:val="20"/>
        </w:rPr>
        <w:t>pharmacogenomics</w:t>
      </w:r>
      <w:proofErr w:type="spellEnd"/>
      <w:r w:rsidR="008938AE" w:rsidRPr="00F104D0">
        <w:rPr>
          <w:rFonts w:ascii="Times New Roman" w:hAnsi="Times New Roman" w:cs="Times New Roman"/>
          <w:sz w:val="20"/>
          <w:szCs w:val="20"/>
        </w:rPr>
        <w:t xml:space="preserve"> is improved dosage. Healthcare professionals can choose the ideal dosage for a patient's genetic profile, </w:t>
      </w:r>
      <w:proofErr w:type="spellStart"/>
      <w:r w:rsidR="008938AE" w:rsidRPr="00F104D0">
        <w:rPr>
          <w:rFonts w:ascii="Times New Roman" w:hAnsi="Times New Roman" w:cs="Times New Roman"/>
          <w:sz w:val="20"/>
          <w:szCs w:val="20"/>
        </w:rPr>
        <w:t>maximising</w:t>
      </w:r>
      <w:proofErr w:type="spellEnd"/>
      <w:r w:rsidR="008938AE" w:rsidRPr="00F104D0">
        <w:rPr>
          <w:rFonts w:ascii="Times New Roman" w:hAnsi="Times New Roman" w:cs="Times New Roman"/>
          <w:sz w:val="20"/>
          <w:szCs w:val="20"/>
        </w:rPr>
        <w:t xml:space="preserve"> efficacy while avoiding hazardous or inadequate medication levels</w:t>
      </w:r>
      <w:r w:rsidR="00425F01" w:rsidRPr="00F104D0">
        <w:rPr>
          <w:rFonts w:ascii="Times New Roman" w:hAnsi="Times New Roman" w:cs="Times New Roman"/>
          <w:sz w:val="20"/>
          <w:szCs w:val="20"/>
        </w:rPr>
        <w:t xml:space="preserve"> </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{"citationItems":[{"id":"ITEM-1","itemData":{"DOI":"10.1038/clpt.2012.120","ISSN":"0009-9236","author":[{"dropping-particle":"","family":"Crews","given":"K R","non-dropping-particle":"","parse-names":false,"suffix":""},{"dropping-particle":"","family":"Hicks","given":"J K","non-dropping-particle":"","parse-names":false,"suffix":""},{"dropping-particle":"","family":"Pui","given":"C-H","non-dropping-particle":"","parse-names":false,"suffix":""},{"dropping-particle":"V","family":"Relling","given":"M","non-dropping-particle":"","parse-names":false,"suffix":""},{"dropping-particle":"","family":"Evans","given":"W E","non-dropping-particle":"","parse-names":false,"suffix":""}],"container-title":"Clinical Pharmacology &amp; Therapeutics","id":"ITEM-1","issued":{"date-parts":[["2012","9","5"]]},"title":"Pharmacogenomics and Individualized Medicine: Translating Science Into Practice","type":"article-journal"},"uris":["http://www.mendeley.com/documents/?uuid=2981457a-88bf-4306-9a25-b4fa04b8809b"]}],"mendeley":{"formattedCitation":"[7]","plainTextFormattedCitation":"[7]","previouslyFormattedCitation":"[7]"},"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[7]</w:t>
      </w:r>
      <w:r w:rsidR="009A774E" w:rsidRPr="00F104D0">
        <w:rPr>
          <w:rFonts w:ascii="Times New Roman" w:hAnsi="Times New Roman" w:cs="Times New Roman"/>
          <w:sz w:val="20"/>
          <w:szCs w:val="20"/>
        </w:rPr>
        <w:fldChar w:fldCharType="end"/>
      </w:r>
      <w:r w:rsidR="008938AE" w:rsidRPr="00F104D0">
        <w:rPr>
          <w:rFonts w:ascii="Times New Roman" w:hAnsi="Times New Roman" w:cs="Times New Roman"/>
          <w:sz w:val="20"/>
          <w:szCs w:val="20"/>
        </w:rPr>
        <w:t>.</w:t>
      </w:r>
      <w:r w:rsidR="008938AE" w:rsidRPr="00F104D0">
        <w:rPr>
          <w:sz w:val="20"/>
          <w:szCs w:val="20"/>
        </w:rPr>
        <w:t xml:space="preserve"> </w:t>
      </w:r>
      <w:r w:rsidR="008938AE" w:rsidRPr="00F104D0">
        <w:rPr>
          <w:rFonts w:ascii="Times New Roman" w:hAnsi="Times New Roman" w:cs="Times New Roman"/>
          <w:sz w:val="20"/>
          <w:szCs w:val="20"/>
        </w:rPr>
        <w:t>Third, adverse medication responses, which are a major source of morbidity and mortality, can be greatly decreased throug</w:t>
      </w:r>
      <w:r w:rsidR="00425F01" w:rsidRPr="00F104D0">
        <w:rPr>
          <w:rFonts w:ascii="Times New Roman" w:hAnsi="Times New Roman" w:cs="Times New Roman"/>
          <w:sz w:val="20"/>
          <w:szCs w:val="20"/>
        </w:rPr>
        <w:t xml:space="preserve">h </w:t>
      </w:r>
      <w:proofErr w:type="spellStart"/>
      <w:r w:rsidR="00425F01" w:rsidRPr="00F104D0">
        <w:rPr>
          <w:rFonts w:ascii="Times New Roman" w:hAnsi="Times New Roman" w:cs="Times New Roman"/>
          <w:sz w:val="20"/>
          <w:szCs w:val="20"/>
        </w:rPr>
        <w:t>pharmacogenomic</w:t>
      </w:r>
      <w:proofErr w:type="spellEnd"/>
      <w:r w:rsidR="00425F01" w:rsidRPr="00F104D0">
        <w:rPr>
          <w:rFonts w:ascii="Times New Roman" w:hAnsi="Times New Roman" w:cs="Times New Roman"/>
          <w:sz w:val="20"/>
          <w:szCs w:val="20"/>
        </w:rPr>
        <w:t xml:space="preserve"> </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{"citationItems":[{"id":"ITEM-1","itemData":{"DOI":"10.3389/fphar.2021.651720","ISSN":"1663-9812","abstract":"Adverse drug reactions (ADRs) are an important and frequent cause of morbidity and mortality. ADR can be related to a variety of drugs, including anticonvulsants, anaesthetics, antibiotics, antiretroviral, anticancer, and antiarrhythmics, and can involve every organ or apparatus. The causes of ADRs are still poorly understood due to their clinical heterogeneity and complexity. In this scenario, genetic predisposition toward ADRs is an emerging issue, not only in anticancer chemotherapy, but also in many other fields of medicine, including hemolytic anemia due to glucose-6-phosphate dehydrogenase (G6PD) deficiency, aplastic anemia, porphyria, malignant hyperthermia, epidermal tissue necrosis (Lyell’s Syndrome and Stevens-Johnson Syndrome), epilepsy, thyroid diseases, diabetes, Long QT and Brugada Syndromes. The role of genetic mutations in the ADRs pathogenesis has been shown either for dose-dependent or for dose-independent reactions. In this review, we present an update of the genetic background of ADRs, with phenotypic manifestations involving blood, muscles, heart, thyroid, liver, and skin disorders. This review aims to illustrate the growing usefulness of genetics both to prevent ADRs and to optimize the safe therapeutic use of many common drugs. In this prospective, ADRs could become an untoward “stress test,” leading to new diagnosis of genetic-determined diseases. Thus, the wider use of pharmacogenetic testing in the work-up of ADRs will lead to new clinical diagnosis of previously unsuspected diseases and to improved safety and efficacy of therapies. Improving the genotype-phenotype correlation through new lab techniques and implementation of artificial intelligence in the future may lead to personalized medicine, able to predict ADR and consequently to choose the appropriate compound and dosage for each patient.","author":[{"dropping-particle":"","family":"Micaglio","given":"Emanuele","non-dropping-particle":"","parse-names":false,"suffix":""},{"dropping-particle":"","family":"Locati","given":"Emanuela T.","non-dropping-particle":"","parse-names":false,"suffix":""},{"dropping-particle":"","family":"Monasky","given":"Michelle M.","non-dropping-particle":"","parse-names":false,"suffix":""},{"dropping-particle":"","family":"Romani","given":"Federico","non-dropping-particle":"","parse-names":false,"suffix":""},{"dropping-particle":"","family":"Heilbron","given":"Francesca","non-dropping-particle":"","parse-names":false,"suffix":""},{"dropping-particle":"","family":"Pappone","given":"Carlo","non-dropping-particle":"","parse-names":false,"suffix":""}],"container-title":"Frontiers in Pharmacology","id":"ITEM-1","issued":{"date-parts":[["2021","4","30"]]},"title":"Role of Pharmacogenetics in Adverse Drug Reactions: An Update towards Personalized Medicine","type":"article-journal","volume":"12"},"uris":["http://www.mendeley.com/documents/?uuid=0bcef9d8-16ce-48a6-b2ec-a99ea2737b4c"]}],"mendeley":{"formattedCitation":"[8]","plainTextFormattedCitation":"[8]","previouslyFormattedCitation":"[8]"},"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[8]</w:t>
      </w:r>
      <w:r w:rsidR="009A774E" w:rsidRPr="00F104D0">
        <w:rPr>
          <w:rFonts w:ascii="Times New Roman" w:hAnsi="Times New Roman" w:cs="Times New Roman"/>
          <w:sz w:val="20"/>
          <w:szCs w:val="20"/>
        </w:rPr>
        <w:fldChar w:fldCharType="end"/>
      </w:r>
      <w:r w:rsidR="00425F01" w:rsidRPr="00F104D0">
        <w:rPr>
          <w:rFonts w:ascii="Times New Roman" w:hAnsi="Times New Roman" w:cs="Times New Roman"/>
          <w:sz w:val="20"/>
          <w:szCs w:val="20"/>
        </w:rPr>
        <w:t>.</w:t>
      </w:r>
      <w:r w:rsidR="005C1DEB" w:rsidRPr="00F104D0">
        <w:rPr>
          <w:sz w:val="20"/>
          <w:szCs w:val="20"/>
        </w:rPr>
        <w:t xml:space="preserve"> </w:t>
      </w:r>
      <w:r w:rsidR="005C1DEB" w:rsidRPr="00F104D0">
        <w:rPr>
          <w:rFonts w:ascii="Times New Roman" w:hAnsi="Times New Roman" w:cs="Times New Roman"/>
          <w:sz w:val="20"/>
          <w:szCs w:val="20"/>
        </w:rPr>
        <w:t xml:space="preserve">Additionally, </w:t>
      </w:r>
      <w:proofErr w:type="spellStart"/>
      <w:r w:rsidR="005C1DEB" w:rsidRPr="00F104D0">
        <w:rPr>
          <w:rFonts w:ascii="Times New Roman" w:hAnsi="Times New Roman" w:cs="Times New Roman"/>
          <w:sz w:val="20"/>
          <w:szCs w:val="20"/>
        </w:rPr>
        <w:t>pharmacogenomics</w:t>
      </w:r>
      <w:proofErr w:type="spellEnd"/>
      <w:r w:rsidR="005C1DEB" w:rsidRPr="00F104D0">
        <w:rPr>
          <w:rFonts w:ascii="Times New Roman" w:hAnsi="Times New Roman" w:cs="Times New Roman"/>
          <w:sz w:val="20"/>
          <w:szCs w:val="20"/>
        </w:rPr>
        <w:t xml:space="preserve"> is essential for the creation of novel drugs. Researchers can create focused clinical trials and create medications with enhanced effectiveness and safety profiles by identifying patient subpopulations that are more likely to respond </w:t>
      </w:r>
      <w:proofErr w:type="spellStart"/>
      <w:r w:rsidR="005C1DEB" w:rsidRPr="00F104D0">
        <w:rPr>
          <w:rFonts w:ascii="Times New Roman" w:hAnsi="Times New Roman" w:cs="Times New Roman"/>
          <w:sz w:val="20"/>
          <w:szCs w:val="20"/>
        </w:rPr>
        <w:t>favourably</w:t>
      </w:r>
      <w:proofErr w:type="spellEnd"/>
      <w:r w:rsidR="005C1DEB" w:rsidRPr="00F104D0">
        <w:rPr>
          <w:rFonts w:ascii="Times New Roman" w:hAnsi="Times New Roman" w:cs="Times New Roman"/>
          <w:sz w:val="20"/>
          <w:szCs w:val="20"/>
        </w:rPr>
        <w:t xml:space="preserve"> to a certain therapy</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10.4103/0253-7613.43158","ISSN":"0253-7613","author":[{"dropping-particle":"","family":"Adithan","given":"C","non-dropping-particle":"","parse-names":false,"suffix":""},{"dropping-particle":"","family":"Surendiran","given":"A","non-dropping-particle":"","parse-names":false,"suffix":""},{"dropping-particle":"","family":"Pradhan","given":"SC","non-dropping-particle":"","parse-names":false,"suffix":""}],"container-title":"Indian Journal of Pharmacology","id":"ITEM-1","issue":"4","issued":{"date-parts":[["2008"]]},"page":"137","title":"Role of pharmacogenomics in drug discovery and development","type":"article-journal","volume":"40"},"uris":["http://www.mendeley.com/documents/?uuid=5eab1ddd-6601-4a63-9417-6d25d8addd93"]}],"mendeley":{"formattedCitation":"[9]","plainTextFormattedCitation":"[9]","previouslyFormattedCitation":"[9]"},"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[9]</w:t>
      </w:r>
      <w:r w:rsidR="009A774E" w:rsidRPr="00F104D0">
        <w:rPr>
          <w:rFonts w:ascii="Times New Roman" w:hAnsi="Times New Roman" w:cs="Times New Roman"/>
          <w:sz w:val="20"/>
          <w:szCs w:val="20"/>
        </w:rPr>
        <w:fldChar w:fldCharType="end"/>
      </w:r>
      <w:r w:rsidR="005C1DEB" w:rsidRPr="00F104D0">
        <w:rPr>
          <w:rFonts w:ascii="Times New Roman" w:hAnsi="Times New Roman" w:cs="Times New Roman"/>
          <w:sz w:val="20"/>
          <w:szCs w:val="20"/>
        </w:rPr>
        <w:t>.</w:t>
      </w:r>
      <w:r w:rsidR="005C1DEB" w:rsidRPr="00F104D0">
        <w:rPr>
          <w:sz w:val="20"/>
          <w:szCs w:val="20"/>
        </w:rPr>
        <w:t xml:space="preserve"> </w:t>
      </w:r>
      <w:r w:rsidR="005C1DEB" w:rsidRPr="00F104D0">
        <w:rPr>
          <w:rFonts w:ascii="Times New Roman" w:hAnsi="Times New Roman" w:cs="Times New Roman"/>
          <w:sz w:val="20"/>
          <w:szCs w:val="20"/>
        </w:rPr>
        <w:t>This field has the promise to enhance medication selection, dose, and safety through the use of genetic data, thereby improving patient outcomes.</w:t>
      </w:r>
    </w:p>
    <w:p w:rsidR="004F2BB0" w:rsidRPr="00F104D0" w:rsidRDefault="004F2BB0" w:rsidP="003A3140">
      <w:pPr>
        <w:spacing w:line="240" w:lineRule="auto"/>
        <w:jc w:val="both"/>
        <w:rPr>
          <w:rFonts w:ascii="Times New Roman" w:hAnsi="Times New Roman" w:cs="Times New Roman"/>
          <w:sz w:val="20"/>
          <w:szCs w:val="20"/>
        </w:rPr>
      </w:pPr>
    </w:p>
    <w:p w:rsidR="00536527" w:rsidRPr="00107B9E" w:rsidRDefault="000645EF" w:rsidP="003A3140">
      <w:pPr>
        <w:spacing w:line="240" w:lineRule="auto"/>
        <w:jc w:val="both"/>
        <w:rPr>
          <w:rFonts w:ascii="Times New Roman" w:hAnsi="Times New Roman" w:cs="Times New Roman"/>
          <w:sz w:val="20"/>
          <w:szCs w:val="20"/>
        </w:rPr>
      </w:pPr>
      <w:r w:rsidRPr="00107B9E">
        <w:rPr>
          <w:rFonts w:ascii="Times New Roman" w:hAnsi="Times New Roman" w:cs="Times New Roman"/>
          <w:sz w:val="20"/>
          <w:szCs w:val="20"/>
        </w:rPr>
        <w:t>A</w:t>
      </w:r>
      <w:r w:rsidR="00B83FBE" w:rsidRPr="00107B9E">
        <w:rPr>
          <w:rFonts w:ascii="Times New Roman" w:hAnsi="Times New Roman" w:cs="Times New Roman"/>
          <w:sz w:val="20"/>
          <w:szCs w:val="20"/>
        </w:rPr>
        <w:t>. Understanding genetic variations:</w:t>
      </w:r>
    </w:p>
    <w:p w:rsidR="00F84D51" w:rsidRPr="00F104D0" w:rsidRDefault="00F84D51" w:rsidP="003A3140">
      <w:pPr>
        <w:spacing w:line="240" w:lineRule="auto"/>
        <w:jc w:val="both"/>
        <w:rPr>
          <w:rFonts w:ascii="Times New Roman" w:hAnsi="Times New Roman" w:cs="Times New Roman"/>
          <w:sz w:val="20"/>
          <w:szCs w:val="20"/>
        </w:rPr>
      </w:pP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a science that seeks to understand the link between a person's genetic make-up and their reaction to medications, focuses a strong emphasis on understanding genetic variation.</w:t>
      </w:r>
      <w:r w:rsidRPr="00F104D0">
        <w:rPr>
          <w:sz w:val="20"/>
          <w:szCs w:val="20"/>
        </w:rPr>
        <w:t xml:space="preserve"> </w:t>
      </w: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a science that seeks to understand the link between a person's genetic make-up </w:t>
      </w:r>
      <w:proofErr w:type="gramStart"/>
      <w:r w:rsidRPr="00F104D0">
        <w:rPr>
          <w:rFonts w:ascii="Times New Roman" w:hAnsi="Times New Roman" w:cs="Times New Roman"/>
          <w:sz w:val="20"/>
          <w:szCs w:val="20"/>
        </w:rPr>
        <w:t xml:space="preserve">and </w:t>
      </w:r>
      <w:r w:rsidR="00A51D62" w:rsidRPr="00F104D0">
        <w:rPr>
          <w:rFonts w:ascii="Times New Roman" w:hAnsi="Times New Roman" w:cs="Times New Roman"/>
          <w:sz w:val="20"/>
          <w:szCs w:val="20"/>
        </w:rPr>
        <w:t xml:space="preserve"> </w:t>
      </w:r>
      <w:r w:rsidRPr="00F104D0">
        <w:rPr>
          <w:rFonts w:ascii="Times New Roman" w:hAnsi="Times New Roman" w:cs="Times New Roman"/>
          <w:sz w:val="20"/>
          <w:szCs w:val="20"/>
        </w:rPr>
        <w:t>their</w:t>
      </w:r>
      <w:proofErr w:type="gramEnd"/>
      <w:r w:rsidRPr="00F104D0">
        <w:rPr>
          <w:rFonts w:ascii="Times New Roman" w:hAnsi="Times New Roman" w:cs="Times New Roman"/>
          <w:sz w:val="20"/>
          <w:szCs w:val="20"/>
        </w:rPr>
        <w:t xml:space="preserve"> reaction to medications, focuses a strong emphasis on understanding genetic variation.</w:t>
      </w:r>
      <w:r w:rsidR="00A51D62" w:rsidRPr="00F104D0">
        <w:rPr>
          <w:sz w:val="20"/>
          <w:szCs w:val="20"/>
        </w:rPr>
        <w:t xml:space="preserve"> </w:t>
      </w:r>
      <w:r w:rsidR="00A51D62" w:rsidRPr="00F104D0">
        <w:rPr>
          <w:rFonts w:ascii="Times New Roman" w:hAnsi="Times New Roman" w:cs="Times New Roman"/>
          <w:sz w:val="20"/>
          <w:szCs w:val="20"/>
        </w:rPr>
        <w:t xml:space="preserve">The first, crucial steps were isolating and purifying receptor proteins, whose existence had previously only been </w:t>
      </w:r>
      <w:proofErr w:type="spellStart"/>
      <w:r w:rsidR="00A51D62" w:rsidRPr="00F104D0">
        <w:rPr>
          <w:rFonts w:ascii="Times New Roman" w:hAnsi="Times New Roman" w:cs="Times New Roman"/>
          <w:sz w:val="20"/>
          <w:szCs w:val="20"/>
        </w:rPr>
        <w:t>hypothesised</w:t>
      </w:r>
      <w:proofErr w:type="spellEnd"/>
      <w:r w:rsidR="00A51D62" w:rsidRPr="00F104D0">
        <w:rPr>
          <w:rFonts w:ascii="Times New Roman" w:hAnsi="Times New Roman" w:cs="Times New Roman"/>
          <w:sz w:val="20"/>
          <w:szCs w:val="20"/>
        </w:rPr>
        <w:t xml:space="preserve"> based on their distinctive pharmacological properties. The finding of a far greater multiplicity at the DNA level underlying the pharmacologically specified effects and the cloning of the genes encoding these proteins were the following, significant stages</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{"citationItems":[{"id":"ITEM-1","itemData":{"DOI":"10.31887/DCNS.2004.6.1/mhoehe","ISSN":"1958-5969","author":[{"dropping-particle":"","family":"Hoehe","given":"Margret R.","non-dropping-particle":"","parse-names":false,"suffix":""},{"dropping-particle":"","family":"Kroslak","given":"Thomas","non-dropping-particle":"","parse-names":false,"suffix":""}],"container-title":"Dialogues in Clinical Neuroscience","id":"ITEM-1","issue":"1","issued":{"date-parts":[["2004","3","31"]]},"page":"5-26","title":"Genetic variation and pharmacogenomics: concepts, facts, and challenges","type":"article-journal","volume":"6"},"uris":["http://www.mendeley.com/documents/?uuid=c0164dff-47e2-4901-ac8e-4d070f199f70"]}],"mendeley":{"formattedCitation":"[10]","plainTextFormattedCitation":"[10]","previouslyFormattedCitation":"[10]"},"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[10]</w:t>
      </w:r>
      <w:r w:rsidR="009A774E" w:rsidRPr="00F104D0">
        <w:rPr>
          <w:rFonts w:ascii="Times New Roman" w:hAnsi="Times New Roman" w:cs="Times New Roman"/>
          <w:sz w:val="20"/>
          <w:szCs w:val="20"/>
        </w:rPr>
        <w:fldChar w:fldCharType="end"/>
      </w:r>
      <w:r w:rsidR="00A51D62" w:rsidRPr="00F104D0">
        <w:rPr>
          <w:rFonts w:ascii="Times New Roman" w:hAnsi="Times New Roman" w:cs="Times New Roman"/>
          <w:sz w:val="20"/>
          <w:szCs w:val="20"/>
        </w:rPr>
        <w:t>.</w:t>
      </w:r>
      <w:r w:rsidR="00BF0E88" w:rsidRPr="00BF0E88">
        <w:rPr>
          <w:rFonts w:ascii="Times New Roman" w:hAnsi="Times New Roman" w:cs="Times New Roman"/>
          <w:sz w:val="20"/>
          <w:szCs w:val="20"/>
        </w:rPr>
        <w:t>This progress was made possible by the creation of cloning and high-throughput sequencing techniques, as well as the availability of a complete genome sequence. These developments gave researchers access to all human genes, as well as their regulators, transcripts, and proteins, laying the groundwork for the identification of disease-causing genes and drug targets. Due to reference genome and gene sequences, it was able to compare sequences within and between species. This allowed for the identification of single nucleotide polymorphisms (SNPs), which are differences in DNA sequence</w:t>
      </w:r>
      <w:r w:rsidR="00BF0E88">
        <w:rPr>
          <w:rFonts w:ascii="Times New Roman" w:hAnsi="Times New Roman" w:cs="Times New Roman"/>
          <w:sz w:val="20"/>
          <w:szCs w:val="20"/>
        </w:rPr>
        <w:t>.</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{"citationItems":[{"id":"ITEM-1","itemData":{"DOI":"10.1126/science.278.5343.1580","ISSN":"0036-8075","author":[{"dropping-particle":"","family":"Collins","given":"Francis S.","non-dropping-particle":"","parse-names":false,"suffix":""},{"dropping-particle":"","family":"Guyer","given":"Mark S.","non-dropping-particle":"","parse-names":false,"suffix":""},{"dropping-particle":"","family":"Chakravarti","given":"Aravinda","non-dropping-particle":"","parse-names":false,"suffix":""}],"container-title":"Science","id":"ITEM-1","issue":"5343","issued":{"date-parts":[["1997","11","28"]]},"page":"1580-1581","title":"Variations on a Theme: Cataloging Human DNA Sequence Variation","type":"article-journal","volume":"278"},"uris":["http://www.mendeley.com/documents/?uuid=5ab9cd4a-d1a2-44b6-b8e3-57bd1895231f"]}],"mendeley":{"formattedCitation":"[11]","plainTextFormattedCitation":"[11]","previouslyFormattedCitation":"[11]"},"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[11]</w:t>
      </w:r>
      <w:r w:rsidR="009A774E" w:rsidRPr="00F104D0">
        <w:rPr>
          <w:rFonts w:ascii="Times New Roman" w:hAnsi="Times New Roman" w:cs="Times New Roman"/>
          <w:sz w:val="20"/>
          <w:szCs w:val="20"/>
        </w:rPr>
        <w:fldChar w:fldCharType="end"/>
      </w:r>
      <w:r w:rsidR="00123399" w:rsidRPr="00F104D0">
        <w:rPr>
          <w:rFonts w:ascii="Times New Roman" w:hAnsi="Times New Roman" w:cs="Times New Roman"/>
          <w:sz w:val="20"/>
          <w:szCs w:val="20"/>
        </w:rPr>
        <w:t>.</w:t>
      </w:r>
      <w:r w:rsidR="004A0380" w:rsidRPr="00F104D0">
        <w:rPr>
          <w:rFonts w:ascii="Times New Roman" w:hAnsi="Times New Roman" w:cs="Times New Roman"/>
          <w:sz w:val="20"/>
          <w:szCs w:val="20"/>
        </w:rPr>
        <w:t xml:space="preserve"> </w:t>
      </w:r>
      <w:r w:rsidR="004043B9" w:rsidRPr="00F104D0">
        <w:rPr>
          <w:rFonts w:ascii="Times New Roman" w:hAnsi="Times New Roman" w:cs="Times New Roman"/>
          <w:sz w:val="20"/>
          <w:szCs w:val="20"/>
        </w:rPr>
        <w:t>The types of variants detected and the quantity of detectable polymorphisms were both constrained by the limited accessibility of tools to access genetic variation. In order to conduct fruitful association studies, the number and frequency of alleles, together with the ease and robustness of typing, were crucial. For many years, markers including microsatellites, short tandem repeats (STR), and variable number of tandem repeats (VNTR) markers, as well as restriction fragment length polymorphisms (RFLPs), dominated the list of variable sites used in these research. SNP analysis afterwards took front stage since it is the most common type of variation in the human genome</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10.1038/35057149","ISSN":"0028-0836","author":[{"dropping-particle":"","family":"Sachidanandam","given":"Ravi","non-dropping-particle":"","parse-names":false,"suffix":""},{"dropping-particle":"","family":"Weissman","given":"David","non-dropping-particle":"","parse-names":false,"suffix":""},{"dropping-particle":"","family":"Schmidt","given":"Steven C.","non-dropping-particle":"","parse-names":false,"suffix":""},{"dropping-particle":"","family":"Kakol","given":"Jerzy M.","non-dropping-particle":"","parse-names":false,"suffix":""},{"dropping-particle":"","family":"Stein","given":"Lincoln D.","non-dropping-particle":"","parse-names":false,"suffix":""},{"dropping-particle":"","family":"Marth","given":"Gabor","non-dropping-particle":"","parse-names":false,"suffix":""},{"dropping-particle":"","family":"Sherry","given":"Steve","non-dropping-particle":"","parse-names":false,"suffix":""},{"dropping-particle":"","family":"Mullikin","given":"James C.","non-dropping-particle":"","parse-names":false,"suffix":""},{"dropping-particle":"","family":"Mortimore","given":"Beverley J.","non-dropping-particle":"","parse-names":false,"suffix":""},{"dropping-particle":"","family":"Willey","given":"David L.","non-dropping-particle":"","parse-names":false,"suffix":""},{"dropping-particle":"","family":"Hunt","given":"Sarah E.","non-dropping-particle":"","parse-names":false,"suffix":""},{"dropping-particle":"","family":"Cole","given":"Charlotte G.","non-dropping-particle":"","parse-names":false,"suffix":""},{"dropping-particle":"","family":"Coggill","given":"Penny C.","non-dropping-particle":"","parse-names":false,"suffix":""},{"dropping-particle":"","family":"Rice","given":"Catherine M.","non-dropping-particle":"","parse-names":false,"suffix":""},{"dropping-particle":"","family":"Ning","given":"Zemin","non-dropping-particle":"","parse-names":false,"suffix":""},{"dropping-particle":"","family":"Rogers","given":"Jane","non-dropping-particle":"","parse-names":false,"suffix":""},{"dropping-particle":"","family":"Bentley","given":"David R.","non-dropping-particle":"","parse-names":false,"suffix":""},{"dropping-particle":"","family":"Kwok","given":"Pui-Yan","non-dropping-particle":"","parse-names":false,"suffix":""},{"dropping-particle":"","family":"Mardis","given":"Elaine R.","non-dropping-particle":"","parse-names":false,"suffix":""},{"dropping-particle":"","family":"Yeh","given":"Raymond T.","non-dropping-particle":"","parse-names":false,"suffix":""},{"dropping-particle":"","family":"Schultz","given":"Brian","non-dropping-particle":"","parse-names":false,"suffix":""},{"dropping-particle":"","family":"Cook","given":"Lisa","non-dropping-particle":"","parse-names":false,"suffix":""},{"dropping-particle":"","family":"Davenport","given":"Ruth","non-dropping-particle":"","parse-names":false,"suffix":""},{"dropping-particle":"","family":"Dante","given":"Michael","non-dropping-particle":"","parse-names":false,"suffix":""},{"dropping-particle":"","family":"Fulton","given":"Lucinda","non-dropping-particle":"","parse-names":false,"suffix":""},{"dropping-particle":"","family":"Hillier","given":"LaDeana","non-dropping-particle":"","parse-names":false,"suffix":""},{"dropping-particle":"","family":"Waterston","given":"Robert H.","non-dropping-particle":"","parse-names":false,"suffix":""},{"dropping-particle":"","family":"McPherson","given":"John D.","non-dropping-particle":"","parse-names":false,"suffix":""},{"dropping-particle":"","family":"Gilman","given":"Brian","non-dropping-particle":"","parse-names":false,"suffix":""},{"dropping-particle":"","family":"Schaffner","given":"Stephen","non-dropping-particle":"","parse-names":false,"suffix":""},{"dropping-particle":"","family":"Etten","given":"William J.","non-dropping-particle":"Van","parse-names":false,"suffix":""},{"dropping-particle":"","family":"Reich","given":"David","non-dropping-particle":"","parse-names":false,"suffix":""},{"dropping-particle":"","family":"Higgins","given":"John","non-dropping-particle":"","parse-names":false,"suffix":""},{"dropping-particle":"","family":"Daly","given":"Mark J.","non-dropping-particle":"","parse-names":false,"suffix":""},{"dropping-particle":"","family":"Blumenstiel","given":"Brendan","non-dropping-particle":"","parse-names":false,"suffix":""},{"dropping-particle":"","family":"Baldwin","given":"Jennifer","non-dropping-particle":"","parse-names":false,"suffix":""},{"dropping-particle":"","family":"Stange-Thomann","given":"Nicole","non-dropping-particle":"","parse-names":false,"suffix":""},{"dropping-particle":"","family":"Zody","given":"Michael C.","non-dropping-particle":"","parse-names":false,"suffix":""},{"dropping-particle":"","family":"Linton","given":"Lauren","non-dropping-particle":"","parse-names":false,"suffix":""},{"dropping-particle":"","family":"Lander","given":"Eric S.","non-dropping-particle":"","parse-names":false,"suffix":""},{"dropping-particle":"","family":"Altshuler","given":"David","non-dropping-particle":"","parse-names":false,"suffix":""}],"container-title":"Nature","id":"ITEM-1","issue":"6822","issued":{"date-parts":[["2001","2","15"]]},"page":"928-933","title":"A map of human genome sequence variation containing 1.42 million single nucleotide polymorphisms","type":"article-journal","volume":"409"},"uris":["http://www.mendeley.com/documents/?uuid=22f77669-78b6-4cc8-8ce0-1adb74fc25f7"]}],"mendeley":{"formattedCitation":"[12]","plainTextFormattedCitation":"[12]","previouslyFormattedCitation":"[12]"},"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[12]</w:t>
      </w:r>
      <w:r w:rsidR="009A774E" w:rsidRPr="00F104D0">
        <w:rPr>
          <w:rFonts w:ascii="Times New Roman" w:hAnsi="Times New Roman" w:cs="Times New Roman"/>
          <w:sz w:val="20"/>
          <w:szCs w:val="20"/>
        </w:rPr>
        <w:fldChar w:fldCharType="end"/>
      </w:r>
    </w:p>
    <w:p w:rsidR="004F2BB0" w:rsidRDefault="004F2BB0" w:rsidP="003A3140">
      <w:pPr>
        <w:tabs>
          <w:tab w:val="left" w:pos="7230"/>
        </w:tabs>
        <w:spacing w:line="240" w:lineRule="auto"/>
        <w:jc w:val="both"/>
        <w:rPr>
          <w:rFonts w:ascii="Times New Roman" w:hAnsi="Times New Roman" w:cs="Times New Roman"/>
          <w:b/>
          <w:sz w:val="20"/>
          <w:szCs w:val="20"/>
        </w:rPr>
      </w:pPr>
    </w:p>
    <w:p w:rsidR="000D0FAD" w:rsidRPr="00F104D0" w:rsidRDefault="000645EF" w:rsidP="003A3140">
      <w:pPr>
        <w:tabs>
          <w:tab w:val="left" w:pos="7230"/>
        </w:tabs>
        <w:spacing w:line="240" w:lineRule="auto"/>
        <w:jc w:val="both"/>
        <w:rPr>
          <w:rFonts w:ascii="Times New Roman" w:hAnsi="Times New Roman" w:cs="Times New Roman"/>
          <w:b/>
          <w:color w:val="000000" w:themeColor="text1"/>
          <w:sz w:val="20"/>
          <w:szCs w:val="20"/>
          <w:shd w:val="clear" w:color="auto" w:fill="F7F7F8"/>
        </w:rPr>
      </w:pPr>
      <w:r w:rsidRPr="000645EF">
        <w:rPr>
          <w:rFonts w:ascii="Times New Roman" w:hAnsi="Times New Roman" w:cs="Times New Roman"/>
          <w:b/>
          <w:sz w:val="20"/>
          <w:szCs w:val="20"/>
        </w:rPr>
        <w:t>II.</w:t>
      </w:r>
      <w:r>
        <w:rPr>
          <w:rFonts w:ascii="Times New Roman" w:hAnsi="Times New Roman" w:cs="Times New Roman"/>
          <w:b/>
          <w:color w:val="000000" w:themeColor="text1"/>
          <w:sz w:val="20"/>
          <w:szCs w:val="20"/>
        </w:rPr>
        <w:t>P</w:t>
      </w:r>
      <w:r w:rsidRPr="00F104D0">
        <w:rPr>
          <w:rFonts w:ascii="Times New Roman" w:hAnsi="Times New Roman" w:cs="Times New Roman"/>
          <w:b/>
          <w:color w:val="000000" w:themeColor="text1"/>
          <w:sz w:val="20"/>
          <w:szCs w:val="20"/>
        </w:rPr>
        <w:t>HARMACOGENOMICS IN SPECIFIC</w:t>
      </w:r>
      <w:r w:rsidR="00EE1251">
        <w:rPr>
          <w:rFonts w:ascii="Times New Roman" w:hAnsi="Times New Roman" w:cs="Times New Roman"/>
          <w:b/>
          <w:color w:val="000000" w:themeColor="text1"/>
          <w:sz w:val="20"/>
          <w:szCs w:val="20"/>
        </w:rPr>
        <w:t xml:space="preserve"> </w:t>
      </w:r>
      <w:r w:rsidR="008A18B3">
        <w:rPr>
          <w:rFonts w:ascii="Times New Roman" w:hAnsi="Times New Roman" w:cs="Times New Roman"/>
          <w:b/>
          <w:color w:val="000000" w:themeColor="text1"/>
          <w:sz w:val="20"/>
          <w:szCs w:val="20"/>
        </w:rPr>
        <w:t>DISEASE</w:t>
      </w:r>
      <w:r w:rsidRPr="00F104D0">
        <w:rPr>
          <w:rFonts w:ascii="Times New Roman" w:hAnsi="Times New Roman" w:cs="Times New Roman"/>
          <w:b/>
          <w:color w:val="000000" w:themeColor="text1"/>
          <w:sz w:val="20"/>
          <w:szCs w:val="20"/>
        </w:rPr>
        <w:t xml:space="preserve"> AREAS</w:t>
      </w:r>
      <w:r w:rsidRPr="00F104D0">
        <w:rPr>
          <w:rFonts w:ascii="Times New Roman" w:hAnsi="Times New Roman" w:cs="Times New Roman"/>
          <w:b/>
          <w:color w:val="000000" w:themeColor="text1"/>
          <w:sz w:val="20"/>
          <w:szCs w:val="20"/>
          <w:shd w:val="clear" w:color="auto" w:fill="F7F7F8"/>
        </w:rPr>
        <w:t>:</w:t>
      </w:r>
    </w:p>
    <w:p w:rsidR="000D0FAD" w:rsidRPr="000645EF" w:rsidRDefault="000645EF" w:rsidP="003A3140">
      <w:pPr>
        <w:tabs>
          <w:tab w:val="left" w:pos="7230"/>
        </w:tabs>
        <w:spacing w:line="240" w:lineRule="auto"/>
        <w:jc w:val="both"/>
        <w:rPr>
          <w:rFonts w:ascii="Times New Roman" w:hAnsi="Times New Roman" w:cs="Times New Roman"/>
          <w:color w:val="000000" w:themeColor="text1"/>
          <w:sz w:val="20"/>
          <w:szCs w:val="20"/>
          <w:shd w:val="clear" w:color="auto" w:fill="F7F7F8"/>
        </w:rPr>
      </w:pPr>
      <w:r w:rsidRPr="000645EF">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 xml:space="preserve">. </w:t>
      </w:r>
      <w:proofErr w:type="spellStart"/>
      <w:r w:rsidR="000D0FAD" w:rsidRPr="000645EF">
        <w:rPr>
          <w:rFonts w:ascii="Times New Roman" w:hAnsi="Times New Roman" w:cs="Times New Roman"/>
          <w:color w:val="000000" w:themeColor="text1"/>
          <w:sz w:val="20"/>
          <w:szCs w:val="20"/>
        </w:rPr>
        <w:t>Pharmacogenomics</w:t>
      </w:r>
      <w:proofErr w:type="spellEnd"/>
      <w:r w:rsidR="000D0FAD" w:rsidRPr="000645EF">
        <w:rPr>
          <w:rFonts w:ascii="Times New Roman" w:hAnsi="Times New Roman" w:cs="Times New Roman"/>
          <w:color w:val="000000" w:themeColor="text1"/>
          <w:sz w:val="20"/>
          <w:szCs w:val="20"/>
        </w:rPr>
        <w:t xml:space="preserve"> in COPD</w:t>
      </w:r>
      <w:r w:rsidR="000D0FAD" w:rsidRPr="000645EF">
        <w:rPr>
          <w:rFonts w:ascii="Times New Roman" w:hAnsi="Times New Roman" w:cs="Times New Roman"/>
          <w:color w:val="000000" w:themeColor="text1"/>
          <w:sz w:val="20"/>
          <w:szCs w:val="20"/>
          <w:shd w:val="clear" w:color="auto" w:fill="F7F7F8"/>
        </w:rPr>
        <w:t>:</w:t>
      </w:r>
    </w:p>
    <w:p w:rsidR="000D0FAD" w:rsidRPr="00F104D0" w:rsidRDefault="000D0FAD" w:rsidP="003A3140">
      <w:pPr>
        <w:tabs>
          <w:tab w:val="left" w:pos="7230"/>
        </w:tabs>
        <w:spacing w:line="240" w:lineRule="auto"/>
        <w:jc w:val="both"/>
        <w:rPr>
          <w:rFonts w:ascii="Times New Roman" w:hAnsi="Times New Roman" w:cs="Times New Roman"/>
          <w:color w:val="000000" w:themeColor="text1"/>
          <w:sz w:val="20"/>
          <w:szCs w:val="20"/>
          <w:shd w:val="clear" w:color="auto" w:fill="FFFFFF"/>
        </w:rPr>
      </w:pPr>
      <w:r w:rsidRPr="00F104D0">
        <w:rPr>
          <w:sz w:val="20"/>
          <w:szCs w:val="20"/>
        </w:rPr>
        <w:br/>
      </w:r>
      <w:proofErr w:type="spellStart"/>
      <w:r w:rsidRPr="00F104D0">
        <w:rPr>
          <w:rFonts w:ascii="Times New Roman" w:hAnsi="Times New Roman" w:cs="Times New Roman"/>
          <w:color w:val="000000" w:themeColor="text1"/>
          <w:sz w:val="20"/>
          <w:szCs w:val="20"/>
        </w:rPr>
        <w:t>Pharmacogenomics</w:t>
      </w:r>
      <w:proofErr w:type="spellEnd"/>
      <w:r w:rsidRPr="00F104D0">
        <w:rPr>
          <w:rFonts w:ascii="Times New Roman" w:hAnsi="Times New Roman" w:cs="Times New Roman"/>
          <w:color w:val="000000" w:themeColor="text1"/>
          <w:sz w:val="20"/>
          <w:szCs w:val="20"/>
        </w:rPr>
        <w:t xml:space="preserve"> is becoming increasingly important in Chronic Obstructive Pulmonary Disease (COPD) management, as it investigates how genetic variations impact drug responses. COPD is a progressive lung disease with airflow obstruction, and its treatment often involves various medications. However, individual responses to these drugs can differ due to genetic factors. </w:t>
      </w:r>
      <w:proofErr w:type="spellStart"/>
      <w:r w:rsidRPr="00F104D0">
        <w:rPr>
          <w:rFonts w:ascii="Times New Roman" w:hAnsi="Times New Roman" w:cs="Times New Roman"/>
          <w:color w:val="000000" w:themeColor="text1"/>
          <w:sz w:val="20"/>
          <w:szCs w:val="20"/>
        </w:rPr>
        <w:t>Pharmacogenomics</w:t>
      </w:r>
      <w:proofErr w:type="spellEnd"/>
      <w:r w:rsidRPr="00F104D0">
        <w:rPr>
          <w:rFonts w:ascii="Times New Roman" w:hAnsi="Times New Roman" w:cs="Times New Roman"/>
          <w:color w:val="000000" w:themeColor="text1"/>
          <w:sz w:val="20"/>
          <w:szCs w:val="20"/>
        </w:rPr>
        <w:t xml:space="preserve"> in COPD seeks to identify genetic markers to predict treatment responses and tailor personalized therapies, leading to improved patient outcomes and fewer adverse reactions</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{"citationItems":[{"id":"ITEM-1","itemData":{"DOI":"10.1046/j.0306-5251.2001.01498.x","ISSN":"03065251","author":[{"dropping-particle":"","family":"Pirmohamed","given":"Munir","non-dropping-particle":"","parse-names":false,"suffix":""}],"container-title":"British Journal of Clinical Pharmacology","id":"ITEM-1","issue":"4","issued":{"date-parts":[["2001","10"]]},"page":"345-347","title":"Pharmacogenetics and pharmacogenomics","type":"article-journal","volume":"52"},"uris":["http://www.mendeley.com/documents/?uuid=fdb36584-8f27-4ee9-90b6-30bce2417b07"]}],"mendeley":{"formattedCitation":"[13]","plainTextFormattedCitation":"[13]","previouslyFormattedCitation":"[13]"},"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[13]</w:t>
      </w:r>
      <w:r w:rsidR="009A774E" w:rsidRPr="00F104D0">
        <w:rPr>
          <w:rFonts w:ascii="Times New Roman" w:hAnsi="Times New Roman" w:cs="Times New Roman"/>
          <w:color w:val="000000" w:themeColor="text1"/>
          <w:sz w:val="20"/>
          <w:szCs w:val="20"/>
        </w:rPr>
        <w:fldChar w:fldCharType="end"/>
      </w:r>
      <w:r w:rsidRPr="00F104D0">
        <w:rPr>
          <w:rFonts w:ascii="Arial" w:hAnsi="Arial" w:cs="Arial"/>
          <w:color w:val="1C1D1E"/>
          <w:sz w:val="20"/>
          <w:szCs w:val="20"/>
          <w:shd w:val="clear" w:color="auto" w:fill="FFFFFF"/>
        </w:rPr>
        <w:t xml:space="preserve">. </w:t>
      </w:r>
      <w:proofErr w:type="spellStart"/>
      <w:r w:rsidRPr="00F104D0">
        <w:rPr>
          <w:rFonts w:ascii="Times New Roman" w:hAnsi="Times New Roman" w:cs="Times New Roman"/>
          <w:color w:val="000000" w:themeColor="text1"/>
          <w:sz w:val="20"/>
          <w:szCs w:val="20"/>
          <w:shd w:val="clear" w:color="auto" w:fill="FFFFFF"/>
        </w:rPr>
        <w:t>Eg</w:t>
      </w:r>
      <w:proofErr w:type="spellEnd"/>
      <w:r w:rsidRPr="00F104D0">
        <w:rPr>
          <w:rFonts w:ascii="Times New Roman" w:hAnsi="Times New Roman" w:cs="Times New Roman"/>
          <w:color w:val="000000" w:themeColor="text1"/>
          <w:sz w:val="20"/>
          <w:szCs w:val="20"/>
          <w:shd w:val="clear" w:color="auto" w:fill="FFFFFF"/>
        </w:rPr>
        <w:t>:</w:t>
      </w:r>
      <w:r w:rsidRPr="00F104D0">
        <w:rPr>
          <w:rFonts w:ascii="Arial" w:hAnsi="Arial" w:cs="Arial"/>
          <w:color w:val="000000" w:themeColor="text1"/>
          <w:sz w:val="20"/>
          <w:szCs w:val="20"/>
          <w:shd w:val="clear" w:color="auto" w:fill="FFFFFF"/>
        </w:rPr>
        <w:t xml:space="preserve"> </w:t>
      </w:r>
      <w:r w:rsidRPr="00F104D0">
        <w:rPr>
          <w:rFonts w:ascii="Times New Roman" w:hAnsi="Times New Roman" w:cs="Times New Roman"/>
          <w:color w:val="000000" w:themeColor="text1"/>
          <w:sz w:val="20"/>
          <w:szCs w:val="20"/>
        </w:rPr>
        <w:t xml:space="preserve">A study focused on patients with chronic obstructive pulmonary disease (COPD) who were prescribed inhaled corticosteroids (ICS) and aimed to identify genetic factors influencing the changes in forced expiratory volume in 1 second (FEV1) related to ICS therapy. The research involved a </w:t>
      </w:r>
      <w:proofErr w:type="spellStart"/>
      <w:r w:rsidRPr="00F104D0">
        <w:rPr>
          <w:rFonts w:ascii="Times New Roman" w:hAnsi="Times New Roman" w:cs="Times New Roman"/>
          <w:color w:val="000000" w:themeColor="text1"/>
          <w:sz w:val="20"/>
          <w:szCs w:val="20"/>
        </w:rPr>
        <w:lastRenderedPageBreak/>
        <w:t>pharmacogenomic</w:t>
      </w:r>
      <w:proofErr w:type="spellEnd"/>
      <w:r w:rsidRPr="00F104D0">
        <w:rPr>
          <w:rFonts w:ascii="Times New Roman" w:hAnsi="Times New Roman" w:cs="Times New Roman"/>
          <w:color w:val="000000" w:themeColor="text1"/>
          <w:sz w:val="20"/>
          <w:szCs w:val="20"/>
        </w:rPr>
        <w:t xml:space="preserve"> genome-wide association study in 802 participants and found five loci with significant genotype-by-ICS treatment interactions. One of the loci, SNP rs111720447 on chromosome 7, was successfully replicated in a separate group of 199 COPD patients. ENCODE data suggested that this SNP was associated with </w:t>
      </w:r>
      <w:proofErr w:type="spellStart"/>
      <w:r w:rsidRPr="00F104D0">
        <w:rPr>
          <w:rFonts w:ascii="Times New Roman" w:hAnsi="Times New Roman" w:cs="Times New Roman"/>
          <w:color w:val="000000" w:themeColor="text1"/>
          <w:sz w:val="20"/>
          <w:szCs w:val="20"/>
        </w:rPr>
        <w:t>glucocorticoid</w:t>
      </w:r>
      <w:proofErr w:type="spellEnd"/>
      <w:r w:rsidRPr="00F104D0">
        <w:rPr>
          <w:rFonts w:ascii="Times New Roman" w:hAnsi="Times New Roman" w:cs="Times New Roman"/>
          <w:color w:val="000000" w:themeColor="text1"/>
          <w:sz w:val="20"/>
          <w:szCs w:val="20"/>
        </w:rPr>
        <w:t xml:space="preserve"> receptor binding sites. Stratified analyses showed that the genotype at SNP rs111720447 was linked to the rate of FEV1 decline in patients taking ICS, as well as those assigned to placebo, but the direction of the relationship differed between the two groups</w:t>
      </w:r>
      <w:r w:rsidR="000B50C0" w:rsidRPr="00F104D0">
        <w:rPr>
          <w:rFonts w:ascii="Times New Roman" w:hAnsi="Times New Roman" w:cs="Times New Roman"/>
          <w:color w:val="000000" w:themeColor="text1"/>
          <w:sz w:val="20"/>
          <w:szCs w:val="20"/>
        </w:rPr>
        <w:t xml:space="preserve"> </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{"citationItems":[{"id":"ITEM-1","itemData":{"DOI":"10.1183/13993003.00521-2019","ISSN":"0903-1936","abstract":"Inhaled corticosteroids (ICS) are widely prescribed for patients with chronic obstructive pulmonary disease (COPD), yet have variable outcomes and adverse reactions, which may be genetically determined. The primary aim of the study was to identify the genetic determinants for forced expiratory volume in 1 s (FEV 1 ) changes related to ICS therapy.","author":[{"dropping-particle":"","family":"Obeidat","given":"Ma'en","non-dropping-particle":"","parse-names":false,"suffix":""},{"dropping-particle":"","family":"Faiz","given":"Alen","non-dropping-particle":"","parse-names":false,"suffix":""},{"dropping-particle":"","family":"Li","given":"Xuan","non-dropping-particle":"","parse-names":false,"suffix":""},{"dropping-particle":"","family":"Berge","given":"Maarten","non-dropping-particle":"van den","parse-names":false,"suffix":""},{"dropping-particle":"","family":"Hansel","given":"Nadia N.","non-dropping-particle":"","parse-names":false,"suffix":""},{"dropping-particle":"","family":"Joubert","given":"Philippe","non-dropping-particle":"","parse-names":false,"suffix":""},{"dropping-particle":"","family":"Hao","given":"Ke","non-dropping-particle":"","parse-names":false,"suffix":""},{"dropping-particle":"","family":"Brandsma","given":"Corry-Anke","non-dropping-particle":"","parse-names":false,"suffix":""},{"dropping-particle":"","family":"Rafaels","given":"Nicholas","non-dropping-particle":"","parse-names":false,"suffix":""},{"dropping-particle":"","family":"Mathias","given":"Rasika","non-dropping-particle":"","parse-names":false,"suffix":""},{"dropping-particle":"","family":"Ruczinski","given":"Ingo","non-dropping-particle":"","parse-names":false,"suffix":""},{"dropping-particle":"","family":"Beaty","given":"Terri H.","non-dropping-particle":"","parse-names":false,"suffix":""},{"dropping-particle":"","family":"Barnes","given":"Kathleen C.","non-dropping-particle":"","parse-names":false,"suffix":""},{"dropping-particle":"","family":"Man","given":"S.F. Paul","non-dropping-particle":"","parse-names":false,"suffix":""},{"dropping-particle":"","family":"Paré","given":"Peter D.","non-dropping-particle":"","parse-names":false,"suffix":""},{"dropping-particle":"","family":"Sin","given":"Don D.","non-dropping-particle":"","parse-names":false,"suffix":""}],"container-title":"European Respiratory Journal","id":"ITEM-1","issue":"6","issued":{"date-parts":[["2019","12"]]},"page":"1900521","title":"The pharmacogenomics of inhaled corticosteroids and lung function decline in COPD","type":"article-journal","volume":"54"},"uris":["http://www.mendeley.com/documents/?uuid=0d2bf2db-f39c-46f8-8b9b-efab7fb96153"]}],"mendeley":{"formattedCitation":"[14]","plainTextFormattedCitation":"[14]","previouslyFormattedCitation":"[14]"},"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[14]</w:t>
      </w:r>
      <w:r w:rsidR="009A774E" w:rsidRPr="00F104D0">
        <w:rPr>
          <w:rFonts w:ascii="Times New Roman" w:hAnsi="Times New Roman" w:cs="Times New Roman"/>
          <w:color w:val="000000" w:themeColor="text1"/>
          <w:sz w:val="20"/>
          <w:szCs w:val="20"/>
        </w:rPr>
        <w:fldChar w:fldCharType="end"/>
      </w:r>
      <w:r w:rsidRPr="00F104D0">
        <w:rPr>
          <w:rFonts w:ascii="Times New Roman" w:hAnsi="Times New Roman" w:cs="Times New Roman"/>
          <w:color w:val="000000" w:themeColor="text1"/>
          <w:sz w:val="20"/>
          <w:szCs w:val="20"/>
        </w:rPr>
        <w:t xml:space="preserve">A large </w:t>
      </w:r>
      <w:proofErr w:type="spellStart"/>
      <w:r w:rsidRPr="00F104D0">
        <w:rPr>
          <w:rFonts w:ascii="Times New Roman" w:hAnsi="Times New Roman" w:cs="Times New Roman"/>
          <w:color w:val="000000" w:themeColor="text1"/>
          <w:sz w:val="20"/>
          <w:szCs w:val="20"/>
        </w:rPr>
        <w:t>pharmacogenetic</w:t>
      </w:r>
      <w:proofErr w:type="spellEnd"/>
      <w:r w:rsidRPr="00F104D0">
        <w:rPr>
          <w:rFonts w:ascii="Times New Roman" w:hAnsi="Times New Roman" w:cs="Times New Roman"/>
          <w:color w:val="000000" w:themeColor="text1"/>
          <w:sz w:val="20"/>
          <w:szCs w:val="20"/>
        </w:rPr>
        <w:t xml:space="preserve"> analysis examined the relationship between common ADRB2 gene variations and </w:t>
      </w:r>
      <w:proofErr w:type="spellStart"/>
      <w:r w:rsidRPr="00F104D0">
        <w:rPr>
          <w:rFonts w:ascii="Times New Roman" w:hAnsi="Times New Roman" w:cs="Times New Roman"/>
          <w:color w:val="000000" w:themeColor="text1"/>
          <w:sz w:val="20"/>
          <w:szCs w:val="20"/>
        </w:rPr>
        <w:t>indacaterol</w:t>
      </w:r>
      <w:proofErr w:type="spellEnd"/>
      <w:r w:rsidRPr="00F104D0">
        <w:rPr>
          <w:rFonts w:ascii="Times New Roman" w:hAnsi="Times New Roman" w:cs="Times New Roman"/>
          <w:color w:val="000000" w:themeColor="text1"/>
          <w:sz w:val="20"/>
          <w:szCs w:val="20"/>
        </w:rPr>
        <w:t xml:space="preserve"> treatment response in 648 COPD patients. Despite genotyping for several ADRB2 polymorphisms, the study </w:t>
      </w:r>
      <w:r w:rsidR="00BF0E88" w:rsidRPr="00BF0E88">
        <w:rPr>
          <w:rFonts w:ascii="Times New Roman" w:hAnsi="Times New Roman" w:cs="Times New Roman"/>
          <w:color w:val="000000" w:themeColor="text1"/>
          <w:sz w:val="20"/>
          <w:szCs w:val="20"/>
        </w:rPr>
        <w:t xml:space="preserve">found no proof that these genetic variations and </w:t>
      </w:r>
      <w:proofErr w:type="spellStart"/>
      <w:r w:rsidR="00BF0E88" w:rsidRPr="00BF0E88">
        <w:rPr>
          <w:rFonts w:ascii="Times New Roman" w:hAnsi="Times New Roman" w:cs="Times New Roman"/>
          <w:color w:val="000000" w:themeColor="text1"/>
          <w:sz w:val="20"/>
          <w:szCs w:val="20"/>
        </w:rPr>
        <w:t>indacaterol</w:t>
      </w:r>
      <w:proofErr w:type="spellEnd"/>
      <w:r w:rsidR="00BF0E88" w:rsidRPr="00BF0E88">
        <w:rPr>
          <w:rFonts w:ascii="Times New Roman" w:hAnsi="Times New Roman" w:cs="Times New Roman"/>
          <w:color w:val="000000" w:themeColor="text1"/>
          <w:sz w:val="20"/>
          <w:szCs w:val="20"/>
        </w:rPr>
        <w:t xml:space="preserve"> response are significantly related. As a consequence, it was determined that ADRB2 genetic diversity is unlikely to have a significant impact on how differently COPD patients respond to </w:t>
      </w:r>
      <w:proofErr w:type="spellStart"/>
      <w:r w:rsidR="00BF0E88" w:rsidRPr="00BF0E88">
        <w:rPr>
          <w:rFonts w:ascii="Times New Roman" w:hAnsi="Times New Roman" w:cs="Times New Roman"/>
          <w:color w:val="000000" w:themeColor="text1"/>
          <w:sz w:val="20"/>
          <w:szCs w:val="20"/>
        </w:rPr>
        <w:t>indacaterol</w:t>
      </w:r>
      <w:proofErr w:type="spellEnd"/>
      <w:r w:rsidR="00BF0E88" w:rsidRPr="00BF0E88">
        <w:rPr>
          <w:rFonts w:ascii="Times New Roman" w:hAnsi="Times New Roman" w:cs="Times New Roman"/>
          <w:color w:val="000000" w:themeColor="text1"/>
          <w:sz w:val="20"/>
          <w:szCs w:val="20"/>
        </w:rPr>
        <w:t xml:space="preserve"> medication.</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10.1038/tpj.2011.54","ISSN":"1470-269X","author":[{"dropping-particle":"","family":"Yelensky","given":"R","non-dropping-particle":"","parse-names":false,"suffix":""},{"dropping-particle":"","family":"Li","given":"Y","non-dropping-particle":"","parse-names":false,"suffix":""},{"dropping-particle":"","family":"Lewitzky","given":"S","non-dropping-particle":"","parse-names":false,"suffix":""},{"dropping-particle":"","family":"Leroy","given":"E","non-dropping-particle":"","parse-names":false,"suffix":""},{"dropping-particle":"","family":"Hurwitz","given":"C","non-dropping-particle":"","parse-names":false,"suffix":""},{"dropping-particle":"","family":"Rodman","given":"D","non-dropping-particle":"","parse-names":false,"suffix":""},{"dropping-particle":"","family":"Trifilieff","given":"A","non-dropping-particle":"","parse-names":false,"suffix":""},{"dropping-particle":"","family":"Paulding","given":"C A","non-dropping-particle":"","parse-names":false,"suffix":""}],"container-title":"The Pharmacogenomics Journal","id":"ITEM-1","issue":"6","issued":{"date-parts":[["2012","12","13"]]},"page":"484-488","title":"A pharmacogenetic study of ADRB2 polymorphisms and indacaterol response in COPD patients","type":"article-journal","volume":"12"},"uris":["http://www.mendeley.com/documents/?uuid=d25841a4-8dae-47d2-b76f-22e7d6c6954b"]}],"mendeley":{"formattedCitation":"[15]","plainTextFormattedCitation":"[15]","previouslyFormattedCitation":"[15]"},"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[15]</w:t>
      </w:r>
      <w:r w:rsidR="009A774E" w:rsidRPr="00F104D0">
        <w:rPr>
          <w:rFonts w:ascii="Times New Roman" w:hAnsi="Times New Roman" w:cs="Times New Roman"/>
          <w:color w:val="000000" w:themeColor="text1"/>
          <w:sz w:val="20"/>
          <w:szCs w:val="20"/>
        </w:rPr>
        <w:fldChar w:fldCharType="end"/>
      </w:r>
      <w:r w:rsidR="008A18B3">
        <w:rPr>
          <w:rFonts w:ascii="Times New Roman" w:hAnsi="Times New Roman" w:cs="Times New Roman"/>
          <w:color w:val="000000" w:themeColor="text1"/>
          <w:sz w:val="20"/>
          <w:szCs w:val="20"/>
        </w:rPr>
        <w:t>.</w:t>
      </w:r>
    </w:p>
    <w:p w:rsidR="000D0FAD" w:rsidRPr="000645EF" w:rsidRDefault="000645EF" w:rsidP="003A3140">
      <w:pPr>
        <w:tabs>
          <w:tab w:val="left" w:pos="7230"/>
        </w:tabs>
        <w:spacing w:line="240" w:lineRule="auto"/>
        <w:jc w:val="both"/>
        <w:rPr>
          <w:rFonts w:ascii="Times New Roman" w:hAnsi="Times New Roman" w:cs="Times New Roman"/>
          <w:color w:val="000000" w:themeColor="text1"/>
          <w:sz w:val="20"/>
          <w:szCs w:val="20"/>
          <w:shd w:val="clear" w:color="auto" w:fill="FFFFFF"/>
        </w:rPr>
      </w:pPr>
      <w:r w:rsidRPr="000645EF">
        <w:rPr>
          <w:rFonts w:ascii="Times New Roman" w:hAnsi="Times New Roman" w:cs="Times New Roman"/>
          <w:color w:val="000000" w:themeColor="text1"/>
          <w:sz w:val="20"/>
          <w:szCs w:val="20"/>
          <w:shd w:val="clear" w:color="auto" w:fill="FFFFFF"/>
        </w:rPr>
        <w:t>B.</w:t>
      </w:r>
      <w:r w:rsidR="00107B9E">
        <w:rPr>
          <w:rFonts w:ascii="Times New Roman" w:hAnsi="Times New Roman" w:cs="Times New Roman"/>
          <w:color w:val="000000" w:themeColor="text1"/>
          <w:sz w:val="20"/>
          <w:szCs w:val="20"/>
          <w:shd w:val="clear" w:color="auto" w:fill="FFFFFF"/>
        </w:rPr>
        <w:t xml:space="preserve"> </w:t>
      </w:r>
      <w:proofErr w:type="spellStart"/>
      <w:r w:rsidR="000D0FAD" w:rsidRPr="000645EF">
        <w:rPr>
          <w:rFonts w:ascii="Times New Roman" w:hAnsi="Times New Roman" w:cs="Times New Roman"/>
          <w:color w:val="000000" w:themeColor="text1"/>
          <w:sz w:val="20"/>
          <w:szCs w:val="20"/>
          <w:shd w:val="clear" w:color="auto" w:fill="FFFFFF"/>
        </w:rPr>
        <w:t>Pharmacogenomics</w:t>
      </w:r>
      <w:proofErr w:type="spellEnd"/>
      <w:r w:rsidR="000D0FAD" w:rsidRPr="000645EF">
        <w:rPr>
          <w:rFonts w:ascii="Times New Roman" w:hAnsi="Times New Roman" w:cs="Times New Roman"/>
          <w:color w:val="000000" w:themeColor="text1"/>
          <w:sz w:val="20"/>
          <w:szCs w:val="20"/>
          <w:shd w:val="clear" w:color="auto" w:fill="FFFFFF"/>
        </w:rPr>
        <w:t xml:space="preserve"> in Cancer:</w:t>
      </w:r>
    </w:p>
    <w:p w:rsidR="000D0FAD" w:rsidRPr="00F104D0" w:rsidRDefault="002C642D" w:rsidP="003A3140">
      <w:pPr>
        <w:spacing w:before="240" w:line="240" w:lineRule="auto"/>
        <w:jc w:val="both"/>
        <w:rPr>
          <w:rFonts w:ascii="Times New Roman" w:hAnsi="Times New Roman" w:cs="Times New Roman"/>
          <w:b/>
          <w:i/>
          <w:color w:val="000000" w:themeColor="text1"/>
          <w:sz w:val="20"/>
          <w:szCs w:val="20"/>
          <w:shd w:val="clear" w:color="auto" w:fill="FFFFFF"/>
        </w:rPr>
      </w:pPr>
      <w:proofErr w:type="spellStart"/>
      <w:r w:rsidRPr="002C642D">
        <w:rPr>
          <w:rFonts w:ascii="Times New Roman" w:hAnsi="Times New Roman" w:cs="Times New Roman"/>
          <w:color w:val="000000" w:themeColor="text1"/>
          <w:sz w:val="20"/>
          <w:szCs w:val="20"/>
        </w:rPr>
        <w:t>Pharmacogenomic</w:t>
      </w:r>
      <w:proofErr w:type="spellEnd"/>
      <w:r w:rsidRPr="002C642D">
        <w:rPr>
          <w:rFonts w:ascii="Times New Roman" w:hAnsi="Times New Roman" w:cs="Times New Roman"/>
          <w:color w:val="000000" w:themeColor="text1"/>
          <w:sz w:val="20"/>
          <w:szCs w:val="20"/>
        </w:rPr>
        <w:t xml:space="preserve"> studies seek to comprehend the genetic underpinnings of </w:t>
      </w:r>
      <w:proofErr w:type="spellStart"/>
      <w:r w:rsidRPr="002C642D">
        <w:rPr>
          <w:rFonts w:ascii="Times New Roman" w:hAnsi="Times New Roman" w:cs="Times New Roman"/>
          <w:color w:val="000000" w:themeColor="text1"/>
          <w:sz w:val="20"/>
          <w:szCs w:val="20"/>
        </w:rPr>
        <w:t>interindividual</w:t>
      </w:r>
      <w:proofErr w:type="spellEnd"/>
      <w:r w:rsidRPr="002C642D">
        <w:rPr>
          <w:rFonts w:ascii="Times New Roman" w:hAnsi="Times New Roman" w:cs="Times New Roman"/>
          <w:color w:val="000000" w:themeColor="text1"/>
          <w:sz w:val="20"/>
          <w:szCs w:val="20"/>
        </w:rPr>
        <w:t xml:space="preserve"> variation and to forecast the safety, toxicity, and effectiveness of medications. Examples include genetic variants in transporters (MDR1), drug target enzymes (TS), and drug </w:t>
      </w:r>
      <w:proofErr w:type="spellStart"/>
      <w:r w:rsidRPr="002C642D">
        <w:rPr>
          <w:rFonts w:ascii="Times New Roman" w:hAnsi="Times New Roman" w:cs="Times New Roman"/>
          <w:color w:val="000000" w:themeColor="text1"/>
          <w:sz w:val="20"/>
          <w:szCs w:val="20"/>
        </w:rPr>
        <w:t>metabolising</w:t>
      </w:r>
      <w:proofErr w:type="spellEnd"/>
      <w:r w:rsidRPr="002C642D">
        <w:rPr>
          <w:rFonts w:ascii="Times New Roman" w:hAnsi="Times New Roman" w:cs="Times New Roman"/>
          <w:color w:val="000000" w:themeColor="text1"/>
          <w:sz w:val="20"/>
          <w:szCs w:val="20"/>
        </w:rPr>
        <w:t xml:space="preserve"> enzymes (TPMT, UGT1A1, and DPD) connected to clinical outcomes in chemotherapy with 5-fluorouracil and </w:t>
      </w:r>
      <w:proofErr w:type="spellStart"/>
      <w:r w:rsidRPr="002C642D">
        <w:rPr>
          <w:rFonts w:ascii="Times New Roman" w:hAnsi="Times New Roman" w:cs="Times New Roman"/>
          <w:color w:val="000000" w:themeColor="text1"/>
          <w:sz w:val="20"/>
          <w:szCs w:val="20"/>
        </w:rPr>
        <w:t>irinotecan</w:t>
      </w:r>
      <w:proofErr w:type="spellEnd"/>
      <w:r w:rsidRPr="002C642D">
        <w:rPr>
          <w:rFonts w:ascii="Times New Roman" w:hAnsi="Times New Roman" w:cs="Times New Roman"/>
          <w:color w:val="000000" w:themeColor="text1"/>
          <w:sz w:val="20"/>
          <w:szCs w:val="20"/>
        </w:rPr>
        <w:t xml:space="preserve">. For better outcomes and lowered risks, </w:t>
      </w:r>
      <w:proofErr w:type="spellStart"/>
      <w:r w:rsidRPr="002C642D">
        <w:rPr>
          <w:rFonts w:ascii="Times New Roman" w:hAnsi="Times New Roman" w:cs="Times New Roman"/>
          <w:color w:val="000000" w:themeColor="text1"/>
          <w:sz w:val="20"/>
          <w:szCs w:val="20"/>
        </w:rPr>
        <w:t>personalised</w:t>
      </w:r>
      <w:proofErr w:type="spellEnd"/>
      <w:r w:rsidRPr="002C642D">
        <w:rPr>
          <w:rFonts w:ascii="Times New Roman" w:hAnsi="Times New Roman" w:cs="Times New Roman"/>
          <w:color w:val="000000" w:themeColor="text1"/>
          <w:sz w:val="20"/>
          <w:szCs w:val="20"/>
        </w:rPr>
        <w:t xml:space="preserve"> therapies can </w:t>
      </w:r>
      <w:proofErr w:type="spellStart"/>
      <w:r w:rsidRPr="002C642D">
        <w:rPr>
          <w:rFonts w:ascii="Times New Roman" w:hAnsi="Times New Roman" w:cs="Times New Roman"/>
          <w:color w:val="000000" w:themeColor="text1"/>
          <w:sz w:val="20"/>
          <w:szCs w:val="20"/>
        </w:rPr>
        <w:t>optimise</w:t>
      </w:r>
      <w:proofErr w:type="spellEnd"/>
      <w:r w:rsidRPr="002C642D">
        <w:rPr>
          <w:rFonts w:ascii="Times New Roman" w:hAnsi="Times New Roman" w:cs="Times New Roman"/>
          <w:color w:val="000000" w:themeColor="text1"/>
          <w:sz w:val="20"/>
          <w:szCs w:val="20"/>
        </w:rPr>
        <w:t xml:space="preserve"> medication selection and dose. </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10.1634/theoncologist.10-2-104","ISSN":"1083-7159","author":[{"dropping-particle":"","family":"Lee","given":"Wooin","non-dropping-particle":"","parse-names":false,"suffix":""},{"dropping-particle":"","family":"Lockhart","given":"A. Craig","non-dropping-particle":"","parse-names":false,"suffix":""},{"dropping-particle":"","family":"Kim","given":"Richard B.","non-dropping-particle":"","parse-names":false,"suffix":""},{"dropping-particle":"","family":"Rothenberg","given":"Mace L.","non-dropping-particle":"","parse-names":false,"suffix":""}],"container-title":"The Oncologist","id":"ITEM-1","issue":"2","issued":{"date-parts":[["2005","2","1"]]},"page":"104-111","title":"Cancer Pharmacogenomics: Powerful Tools in Cancer Chemotherapy and Drug Development","type":"article-journal","volume":"10"},"uris":["http://www.mendeley.com/documents/?uuid=ff3d9cd2-39f5-4b87-8b5a-53736d3eb887"]}],"mendeley":{"formattedCitation":"[16]","plainTextFormattedCitation":"[16]","previouslyFormattedCitation":"[16]"},"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[16]</w:t>
      </w:r>
      <w:r w:rsidR="009A774E" w:rsidRPr="00F104D0">
        <w:rPr>
          <w:rFonts w:ascii="Times New Roman" w:hAnsi="Times New Roman" w:cs="Times New Roman"/>
          <w:color w:val="000000" w:themeColor="text1"/>
          <w:sz w:val="20"/>
          <w:szCs w:val="20"/>
        </w:rPr>
        <w:fldChar w:fldCharType="end"/>
      </w:r>
      <w:r w:rsidR="000D0FAD" w:rsidRPr="00F104D0">
        <w:rPr>
          <w:rFonts w:ascii="Times New Roman" w:hAnsi="Times New Roman" w:cs="Times New Roman"/>
          <w:color w:val="000000" w:themeColor="text1"/>
          <w:sz w:val="20"/>
          <w:szCs w:val="20"/>
        </w:rPr>
        <w:t xml:space="preserve">. Genetic variation plays a crucial role in an individual's response to drug treatments, and studying this variation can enhance therapy efficacy and safety. In cancer, both disease-defining mutations in tumors and a patient's </w:t>
      </w:r>
      <w:proofErr w:type="spellStart"/>
      <w:r w:rsidR="000D0FAD" w:rsidRPr="00F104D0">
        <w:rPr>
          <w:rFonts w:ascii="Times New Roman" w:hAnsi="Times New Roman" w:cs="Times New Roman"/>
          <w:color w:val="000000" w:themeColor="text1"/>
          <w:sz w:val="20"/>
          <w:szCs w:val="20"/>
        </w:rPr>
        <w:t>germline</w:t>
      </w:r>
      <w:proofErr w:type="spellEnd"/>
      <w:r w:rsidR="000D0FAD" w:rsidRPr="00F104D0">
        <w:rPr>
          <w:rFonts w:ascii="Times New Roman" w:hAnsi="Times New Roman" w:cs="Times New Roman"/>
          <w:color w:val="000000" w:themeColor="text1"/>
          <w:sz w:val="20"/>
          <w:szCs w:val="20"/>
        </w:rPr>
        <w:t xml:space="preserve"> genetic variation influence drug response, including effectiveness and toxicity. Recent advancements in sequencing technologies, statistical genetics analysis methods, and clinical trial designs have shown potential in identifying variants associated with drug response, paving the way for more personalized and effective treatments in the fut</w:t>
      </w:r>
      <w:r w:rsidR="00971E7D" w:rsidRPr="00F104D0">
        <w:rPr>
          <w:rFonts w:ascii="Times New Roman" w:hAnsi="Times New Roman" w:cs="Times New Roman"/>
          <w:color w:val="000000" w:themeColor="text1"/>
          <w:sz w:val="20"/>
          <w:szCs w:val="20"/>
        </w:rPr>
        <w:t>ure</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{"citationItems":[{"id":"ITEM-1","itemData":{"DOI":"10.1038/nrg3352","ISSN":"1471-0056","author":[{"dropping-particle":"","family":"Wheeler","given":"Heather E.","non-dropping-particle":"","parse-names":false,"suffix":""},{"dropping-particle":"","family":"Maitland","given":"Michael L.","non-dropping-particle":"","parse-names":false,"suffix":""},{"dropping-particle":"","family":"Dolan","given":"M. Eileen","non-dropping-particle":"","parse-names":false,"suffix":""},{"dropping-particle":"","family":"Cox","given":"Nancy J.","non-dropping-particle":"","parse-names":false,"suffix":""},{"dropping-particle":"","family":"Ratain","given":"Mark J.","non-dropping-particle":"","parse-names":false,"suffix":""}],"container-title":"Nature Reviews Genetics","id":"ITEM-1","issue":"1","issued":{"date-parts":[["2013","1","27"]]},"page":"23-34","title":"Cancer pharmacogenomics: strategies and challenges","type":"article-journal","volume":"14"},"uris":["http://www.mendeley.com/documents/?uuid=e3930fa7-292b-41ab-a8d9-2af7b0c58f4d"]}],"mendeley":{"formattedCitation":"[17]","plainTextFormattedCitation":"[17]","previouslyFormattedCitation":"[17]"},"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[17]</w:t>
      </w:r>
      <w:proofErr w:type="spellStart"/>
      <w:r w:rsidR="009A774E" w:rsidRPr="00F104D0">
        <w:rPr>
          <w:rFonts w:ascii="Times New Roman" w:hAnsi="Times New Roman" w:cs="Times New Roman"/>
          <w:color w:val="000000" w:themeColor="text1"/>
          <w:sz w:val="20"/>
          <w:szCs w:val="20"/>
        </w:rPr>
        <w:fldChar w:fldCharType="end"/>
      </w:r>
      <w:r w:rsidR="000D0FAD" w:rsidRPr="00F104D0">
        <w:rPr>
          <w:rFonts w:ascii="Times New Roman" w:hAnsi="Times New Roman" w:cs="Times New Roman"/>
          <w:color w:val="000000" w:themeColor="text1"/>
          <w:sz w:val="20"/>
          <w:szCs w:val="20"/>
        </w:rPr>
        <w:t>Aromatase</w:t>
      </w:r>
      <w:proofErr w:type="spellEnd"/>
      <w:r w:rsidR="000D0FAD" w:rsidRPr="00F104D0">
        <w:rPr>
          <w:rFonts w:ascii="Times New Roman" w:hAnsi="Times New Roman" w:cs="Times New Roman"/>
          <w:color w:val="000000" w:themeColor="text1"/>
          <w:sz w:val="20"/>
          <w:szCs w:val="20"/>
        </w:rPr>
        <w:t xml:space="preserve"> inhibitors (AIs) are effective in reducing breast cancer recurrence and improving survival, but up to 30% of patients still experience recurrence. Researchers conducted a genome-wide association study on breast cancer patients and identified a specific genetic variation (SNP) in the CSMD1 gene associated with a longer breast cancer-free interval and fewer distant recurrences. CSMD1 was found to regulate the expression of CYP19, a key enzyme in estrogen synthesis, in a drug-specific and SNP-dependent manner. Moreover, </w:t>
      </w:r>
      <w:proofErr w:type="spellStart"/>
      <w:r w:rsidR="000D0FAD" w:rsidRPr="00F104D0">
        <w:rPr>
          <w:rFonts w:ascii="Times New Roman" w:hAnsi="Times New Roman" w:cs="Times New Roman"/>
          <w:color w:val="000000" w:themeColor="text1"/>
          <w:sz w:val="20"/>
          <w:szCs w:val="20"/>
        </w:rPr>
        <w:t>anastrozole</w:t>
      </w:r>
      <w:proofErr w:type="spellEnd"/>
      <w:r w:rsidR="000D0FAD" w:rsidRPr="00F104D0">
        <w:rPr>
          <w:rFonts w:ascii="Times New Roman" w:hAnsi="Times New Roman" w:cs="Times New Roman"/>
          <w:color w:val="000000" w:themeColor="text1"/>
          <w:sz w:val="20"/>
          <w:szCs w:val="20"/>
        </w:rPr>
        <w:t xml:space="preserve"> combined with </w:t>
      </w:r>
      <w:proofErr w:type="spellStart"/>
      <w:r w:rsidR="000D0FAD" w:rsidRPr="00F104D0">
        <w:rPr>
          <w:rFonts w:ascii="Times New Roman" w:hAnsi="Times New Roman" w:cs="Times New Roman"/>
          <w:color w:val="000000" w:themeColor="text1"/>
          <w:sz w:val="20"/>
          <w:szCs w:val="20"/>
        </w:rPr>
        <w:t>estradiol</w:t>
      </w:r>
      <w:proofErr w:type="spellEnd"/>
      <w:r w:rsidR="000D0FAD" w:rsidRPr="00F104D0">
        <w:rPr>
          <w:rFonts w:ascii="Times New Roman" w:hAnsi="Times New Roman" w:cs="Times New Roman"/>
          <w:color w:val="000000" w:themeColor="text1"/>
          <w:sz w:val="20"/>
          <w:szCs w:val="20"/>
        </w:rPr>
        <w:t xml:space="preserve"> showed promise as a potential new therapeutic approach for patients with AI- or </w:t>
      </w:r>
      <w:proofErr w:type="spellStart"/>
      <w:r w:rsidR="000D0FAD" w:rsidRPr="00F104D0">
        <w:rPr>
          <w:rFonts w:ascii="Times New Roman" w:hAnsi="Times New Roman" w:cs="Times New Roman"/>
          <w:color w:val="000000" w:themeColor="text1"/>
          <w:sz w:val="20"/>
          <w:szCs w:val="20"/>
        </w:rPr>
        <w:t>fulvestrant</w:t>
      </w:r>
      <w:proofErr w:type="spellEnd"/>
      <w:r w:rsidR="000D0FAD" w:rsidRPr="00F104D0">
        <w:rPr>
          <w:rFonts w:ascii="Times New Roman" w:hAnsi="Times New Roman" w:cs="Times New Roman"/>
          <w:color w:val="000000" w:themeColor="text1"/>
          <w:sz w:val="20"/>
          <w:szCs w:val="20"/>
        </w:rPr>
        <w:t>-resistant breast cancers</w:t>
      </w:r>
      <w:r w:rsidR="009A774E" w:rsidRPr="00F104D0">
        <w:rPr>
          <w:rFonts w:ascii="Times New Roman" w:hAnsi="Times New Roman" w:cs="Times New Roman"/>
          <w:b/>
          <w:i/>
          <w:color w:val="000000" w:themeColor="text1"/>
          <w:sz w:val="20"/>
          <w:szCs w:val="20"/>
          <w:shd w:val="clear" w:color="auto" w:fill="FFFFFF"/>
        </w:rPr>
        <w:fldChar w:fldCharType="begin" w:fldLock="1"/>
      </w:r>
      <w:r w:rsidR="008A18B3">
        <w:rPr>
          <w:rFonts w:ascii="Times New Roman" w:hAnsi="Times New Roman" w:cs="Times New Roman"/>
          <w:b/>
          <w:i/>
          <w:color w:val="000000" w:themeColor="text1"/>
          <w:sz w:val="20"/>
          <w:szCs w:val="20"/>
          <w:shd w:val="clear" w:color="auto" w:fill="FFFFFF"/>
        </w:rPr>
        <w:instrText>ADDIN CSL_CITATION {"citationItems":[{"id":"ITEM-1","itemData":{"DOI":"10.1172/jci.insight.137571","ISSN":"2379-3708","author":[{"dropping-particle":"","family":"Cairns","given":"Junmei","non-dropping-particle":"","parse-names":false,"suffix":""},{"dropping-particle":"","family":"Ingle","given":"James N.","non-dropping-particle":"","parse-names":false,"suffix":""},{"dropping-particle":"","family":"Dudenkov","given":"Tanda M.","non-dropping-particle":"","parse-names":false,"suffix":""},{"dropping-particle":"","family":"Kalari","given":"Krishna R.","non-dropping-particle":"","parse-names":false,"suffix":""},{"dropping-particle":"","family":"Carlson","given":"Erin E.","non-dropping-particle":"","parse-names":false,"suffix":""},{"dropping-particle":"","family":"Na","given":"Jie","non-dropping-particle":"","parse-names":false,"suffix":""},{"dropping-particle":"","family":"Buzdar","given":"Aman U.","non-dropping-particle":"","parse-names":false,"suffix":""},{"dropping-particle":"","family":"Robson","given":"Mark E.","non-dropping-particle":"","parse-names":false,"suffix":""},{"dropping-particle":"","family":"Ellis","given":"Matthew J.","non-dropping-particle":"","parse-names":false,"suffix":""},{"dropping-particle":"","family":"Goss","given":"Paul E.","non-dropping-particle":"","parse-names":false,"suffix":""},{"dropping-particle":"","family":"Shepherd","given":"Lois E.","non-dropping-particle":"","parse-names":false,"suffix":""},{"dropping-particle":"","family":"Goodnature","given":"Barbara","non-dropping-particle":"","parse-names":false,"suffix":""},{"dropping-particle":"","family":"Goetz","given":"Matthew P.","non-dropping-particle":"","parse-names":false,"suffix":""},{"dropping-particle":"","family":"Weinshilboum","given":"Richard M.","non-dropping-particle":"","parse-names":false,"suffix":""},{"dropping-particle":"","family":"Li","given":"Hu","non-dropping-particle":"","parse-names":false,"suffix":""},{"dropping-particle":"","family":"Bari","given":"Mehrab Ghanat","non-dropping-particle":"","parse-names":false,"suffix":""},{"dropping-particle":"","family":"Wang","given":"Liewei","non-dropping-particle":"","parse-names":false,"suffix":""}],"container-title":"JCI Insight","id":"ITEM-1","issue":"16","issued":{"date-parts":[["2020","8","20"]]},"title":"Pharmacogenomics of aromatase inhibitors in postmenopausal breast cancer and additional mechanisms of anastrozole action","type":"article-journal","volume":"5"},"uris":["http://www.mendeley.com/documents/?uuid=ee69ec5b-2471-4140-8922-aaf532687bb8"]}],"mendeley":{"formattedCitation":"[18]","plainTextFormattedCitation":"[18]","previouslyFormattedCitation":"[18]"},"properties":{"noteIndex":0},"schema":"https://github.com/citation-style-language/schema/raw/master/csl-citation.json"}</w:instrText>
      </w:r>
      <w:r w:rsidR="009A774E" w:rsidRPr="00F104D0">
        <w:rPr>
          <w:rFonts w:ascii="Times New Roman" w:hAnsi="Times New Roman" w:cs="Times New Roman"/>
          <w:b/>
          <w:i/>
          <w:color w:val="000000" w:themeColor="text1"/>
          <w:sz w:val="20"/>
          <w:szCs w:val="20"/>
          <w:shd w:val="clear" w:color="auto" w:fill="FFFFFF"/>
        </w:rPr>
        <w:fldChar w:fldCharType="separate"/>
      </w:r>
      <w:r w:rsidR="00F104D0" w:rsidRPr="00F104D0">
        <w:rPr>
          <w:rFonts w:ascii="Times New Roman" w:hAnsi="Times New Roman" w:cs="Times New Roman"/>
          <w:noProof/>
          <w:color w:val="000000" w:themeColor="text1"/>
          <w:sz w:val="20"/>
          <w:szCs w:val="20"/>
          <w:shd w:val="clear" w:color="auto" w:fill="FFFFFF"/>
        </w:rPr>
        <w:t>[18]</w:t>
      </w:r>
      <w:r w:rsidR="009A774E" w:rsidRPr="00F104D0">
        <w:rPr>
          <w:rFonts w:ascii="Times New Roman" w:hAnsi="Times New Roman" w:cs="Times New Roman"/>
          <w:b/>
          <w:i/>
          <w:color w:val="000000" w:themeColor="text1"/>
          <w:sz w:val="20"/>
          <w:szCs w:val="20"/>
          <w:shd w:val="clear" w:color="auto" w:fill="FFFFFF"/>
        </w:rPr>
        <w:fldChar w:fldCharType="end"/>
      </w:r>
      <w:r w:rsidR="00BC43C6" w:rsidRPr="00F104D0">
        <w:rPr>
          <w:rFonts w:ascii="Times New Roman" w:hAnsi="Times New Roman" w:cs="Times New Roman"/>
          <w:b/>
          <w:i/>
          <w:color w:val="000000" w:themeColor="text1"/>
          <w:sz w:val="20"/>
          <w:szCs w:val="20"/>
          <w:shd w:val="clear" w:color="auto" w:fill="FFFFFF"/>
        </w:rPr>
        <w:t>.</w:t>
      </w:r>
    </w:p>
    <w:p w:rsidR="000D0FAD" w:rsidRPr="000645EF" w:rsidRDefault="000645EF" w:rsidP="003A3140">
      <w:pPr>
        <w:spacing w:before="240" w:line="240" w:lineRule="auto"/>
        <w:jc w:val="both"/>
        <w:rPr>
          <w:rFonts w:ascii="Times New Roman" w:hAnsi="Times New Roman" w:cs="Times New Roman"/>
          <w:color w:val="000000" w:themeColor="text1"/>
          <w:sz w:val="20"/>
          <w:szCs w:val="20"/>
          <w:shd w:val="clear" w:color="auto" w:fill="FFFFFF"/>
        </w:rPr>
      </w:pPr>
      <w:r w:rsidRPr="000645EF">
        <w:rPr>
          <w:rFonts w:ascii="Times New Roman" w:hAnsi="Times New Roman" w:cs="Times New Roman"/>
          <w:color w:val="000000" w:themeColor="text1"/>
          <w:sz w:val="20"/>
          <w:szCs w:val="20"/>
          <w:shd w:val="clear" w:color="auto" w:fill="FFFFFF"/>
        </w:rPr>
        <w:t>C.</w:t>
      </w:r>
      <w:r w:rsidR="00107B9E">
        <w:rPr>
          <w:rFonts w:ascii="Times New Roman" w:hAnsi="Times New Roman" w:cs="Times New Roman"/>
          <w:color w:val="000000" w:themeColor="text1"/>
          <w:sz w:val="20"/>
          <w:szCs w:val="20"/>
          <w:shd w:val="clear" w:color="auto" w:fill="FFFFFF"/>
        </w:rPr>
        <w:t xml:space="preserve"> </w:t>
      </w:r>
      <w:proofErr w:type="spellStart"/>
      <w:r w:rsidR="000D0FAD" w:rsidRPr="000645EF">
        <w:rPr>
          <w:rFonts w:ascii="Times New Roman" w:hAnsi="Times New Roman" w:cs="Times New Roman"/>
          <w:color w:val="000000" w:themeColor="text1"/>
          <w:sz w:val="20"/>
          <w:szCs w:val="20"/>
          <w:shd w:val="clear" w:color="auto" w:fill="FFFFFF"/>
        </w:rPr>
        <w:t>Pharmacogenomics</w:t>
      </w:r>
      <w:proofErr w:type="spellEnd"/>
      <w:r w:rsidR="000D0FAD" w:rsidRPr="000645EF">
        <w:rPr>
          <w:rFonts w:ascii="Times New Roman" w:hAnsi="Times New Roman" w:cs="Times New Roman"/>
          <w:color w:val="000000" w:themeColor="text1"/>
          <w:sz w:val="20"/>
          <w:szCs w:val="20"/>
          <w:shd w:val="clear" w:color="auto" w:fill="FFFFFF"/>
        </w:rPr>
        <w:t xml:space="preserve"> in community pharmacy:</w:t>
      </w:r>
    </w:p>
    <w:p w:rsidR="000D0FAD" w:rsidRPr="00F104D0" w:rsidRDefault="000D0FAD" w:rsidP="003A3140">
      <w:pPr>
        <w:spacing w:before="240" w:line="240" w:lineRule="auto"/>
        <w:jc w:val="both"/>
        <w:rPr>
          <w:rFonts w:ascii="Times New Roman" w:hAnsi="Times New Roman" w:cs="Times New Roman"/>
          <w:i/>
          <w:color w:val="000000" w:themeColor="text1"/>
          <w:sz w:val="20"/>
          <w:szCs w:val="20"/>
          <w:shd w:val="clear" w:color="auto" w:fill="FFFFFF"/>
        </w:rPr>
      </w:pPr>
      <w:proofErr w:type="spellStart"/>
      <w:r w:rsidRPr="00F104D0">
        <w:rPr>
          <w:rFonts w:ascii="Times New Roman" w:hAnsi="Times New Roman" w:cs="Times New Roman"/>
          <w:color w:val="000000" w:themeColor="text1"/>
          <w:sz w:val="20"/>
          <w:szCs w:val="20"/>
        </w:rPr>
        <w:t>Pharmacogenomics</w:t>
      </w:r>
      <w:proofErr w:type="spellEnd"/>
      <w:r w:rsidRPr="00F104D0">
        <w:rPr>
          <w:rFonts w:ascii="Times New Roman" w:hAnsi="Times New Roman" w:cs="Times New Roman"/>
          <w:color w:val="000000" w:themeColor="text1"/>
          <w:sz w:val="20"/>
          <w:szCs w:val="20"/>
        </w:rPr>
        <w:t xml:space="preserve"> is a rapidly advancing field that uses an individual's genetic code to optimize medication therapy, predicting adverse effects and drug efficacy. Recent technological advancements allow </w:t>
      </w:r>
      <w:proofErr w:type="spellStart"/>
      <w:r w:rsidRPr="00F104D0">
        <w:rPr>
          <w:rFonts w:ascii="Times New Roman" w:hAnsi="Times New Roman" w:cs="Times New Roman"/>
          <w:color w:val="000000" w:themeColor="text1"/>
          <w:sz w:val="20"/>
          <w:szCs w:val="20"/>
        </w:rPr>
        <w:t>pharmacogenomic</w:t>
      </w:r>
      <w:proofErr w:type="spellEnd"/>
      <w:r w:rsidRPr="00F104D0">
        <w:rPr>
          <w:rFonts w:ascii="Times New Roman" w:hAnsi="Times New Roman" w:cs="Times New Roman"/>
          <w:color w:val="000000" w:themeColor="text1"/>
          <w:sz w:val="20"/>
          <w:szCs w:val="20"/>
        </w:rPr>
        <w:t xml:space="preserve"> testing in community pharmacies. Pharmacists need to acquire knowledge and skills in </w:t>
      </w:r>
      <w:proofErr w:type="spellStart"/>
      <w:r w:rsidRPr="00F104D0">
        <w:rPr>
          <w:rFonts w:ascii="Times New Roman" w:hAnsi="Times New Roman" w:cs="Times New Roman"/>
          <w:color w:val="000000" w:themeColor="text1"/>
          <w:sz w:val="20"/>
          <w:szCs w:val="20"/>
        </w:rPr>
        <w:t>pharmacogenomics</w:t>
      </w:r>
      <w:proofErr w:type="spellEnd"/>
      <w:r w:rsidRPr="00F104D0">
        <w:rPr>
          <w:rFonts w:ascii="Times New Roman" w:hAnsi="Times New Roman" w:cs="Times New Roman"/>
          <w:color w:val="000000" w:themeColor="text1"/>
          <w:sz w:val="20"/>
          <w:szCs w:val="20"/>
        </w:rPr>
        <w:t xml:space="preserve"> to integrate it effectively into patient care, offering a valuable opportunity to improve treatment outcome</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10.1331/JAPhA.2011.10178","ISSN":"15443191","author":[{"dropping-particle":"","family":"Padgett","given":"Lisa","non-dropping-particle":"","parse-names":false,"suffix":""},{"dropping-particle":"","family":"O'Connor","given":"Shanna","non-dropping-particle":"","parse-names":false,"suffix":""},{"dropping-particle":"","family":"Roederer","given":"Mary","non-dropping-particle":"","parse-names":false,"suffix":""},{"dropping-particle":"","family":"McLeod","given":"Howard","non-dropping-particle":"","parse-names":false,"suffix":""},{"dropping-particle":"","family":"Ferreri","given":"Stefanie","non-dropping-particle":"","parse-names":false,"suffix":""}],"container-title":"Journal of the American Pharmacists Association","id":"ITEM-1","issue":"2","issued":{"date-parts":[["2011","3"]]},"page":"189-193","title":"Pharmacogenomics in a community pharmacy: ACT now","type":"article-journal","volume":"51"},"uris":["http://www.mendeley.com/documents/?uuid=d93338cc-5121-4497-949e-dadbdb3de6c5"]}],"mendeley":{"formattedCitation":"[19]","plainTextFormattedCitation":"[19]","previouslyFormattedCitation":"[19]"},"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[19]</w:t>
      </w:r>
      <w:r w:rsidR="009A774E" w:rsidRPr="00F104D0">
        <w:rPr>
          <w:rFonts w:ascii="Times New Roman" w:hAnsi="Times New Roman" w:cs="Times New Roman"/>
          <w:color w:val="000000" w:themeColor="text1"/>
          <w:sz w:val="20"/>
          <w:szCs w:val="20"/>
        </w:rPr>
        <w:fldChar w:fldCharType="end"/>
      </w:r>
      <w:r w:rsidRPr="00F104D0">
        <w:rPr>
          <w:rFonts w:ascii="Times New Roman" w:hAnsi="Times New Roman" w:cs="Times New Roman"/>
          <w:color w:val="000000" w:themeColor="text1"/>
          <w:sz w:val="20"/>
          <w:szCs w:val="20"/>
        </w:rPr>
        <w:t xml:space="preserve">In a study involving 41 patients taking </w:t>
      </w:r>
      <w:proofErr w:type="spellStart"/>
      <w:r w:rsidRPr="00F104D0">
        <w:rPr>
          <w:rFonts w:ascii="Times New Roman" w:hAnsi="Times New Roman" w:cs="Times New Roman"/>
          <w:color w:val="000000" w:themeColor="text1"/>
          <w:sz w:val="20"/>
          <w:szCs w:val="20"/>
        </w:rPr>
        <w:t>clopidogrel</w:t>
      </w:r>
      <w:proofErr w:type="spellEnd"/>
      <w:r w:rsidRPr="00F104D0">
        <w:rPr>
          <w:rFonts w:ascii="Times New Roman" w:hAnsi="Times New Roman" w:cs="Times New Roman"/>
          <w:color w:val="000000" w:themeColor="text1"/>
          <w:sz w:val="20"/>
          <w:szCs w:val="20"/>
        </w:rPr>
        <w:t xml:space="preserve">, 18 patients (43.9%) completed testing </w:t>
      </w:r>
      <w:r w:rsidR="00313A5B" w:rsidRPr="00313A5B">
        <w:rPr>
          <w:rFonts w:ascii="Times New Roman" w:hAnsi="Times New Roman" w:cs="Times New Roman"/>
          <w:color w:val="000000" w:themeColor="text1"/>
          <w:sz w:val="20"/>
          <w:szCs w:val="20"/>
        </w:rPr>
        <w:t xml:space="preserve">and analysis of </w:t>
      </w:r>
      <w:proofErr w:type="spellStart"/>
      <w:r w:rsidR="00313A5B" w:rsidRPr="00313A5B">
        <w:rPr>
          <w:rFonts w:ascii="Times New Roman" w:hAnsi="Times New Roman" w:cs="Times New Roman"/>
          <w:color w:val="000000" w:themeColor="text1"/>
          <w:sz w:val="20"/>
          <w:szCs w:val="20"/>
        </w:rPr>
        <w:t>pharmacogenomic</w:t>
      </w:r>
      <w:proofErr w:type="spellEnd"/>
      <w:r w:rsidR="00313A5B" w:rsidRPr="00313A5B">
        <w:rPr>
          <w:rFonts w:ascii="Times New Roman" w:hAnsi="Times New Roman" w:cs="Times New Roman"/>
          <w:color w:val="000000" w:themeColor="text1"/>
          <w:sz w:val="20"/>
          <w:szCs w:val="20"/>
        </w:rPr>
        <w:t xml:space="preserve"> findings. To complete all project phases, chemists needed an average of 76.6 minutes per participant. Between the first and second visit, participants in the initiative participated for an average of 30.1 days. Nine individuals had normal genetic alleles and maintained their prescription as directed, whereas nine other patients had genetic variations and their prescribers approved of any therapy changes suggested by the chemist. Only 12 of the 17 patients who gave their authorization to submit reimbursement claims were successfully billed, and none of them were paid.</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{"citationItems":[{"id":"ITEM-1","itemData":{"DOI":"10.1331/JAPhA.2014.13033","ISSN":"15443191","author":[{"dropping-particle":"","family":"Ferreri","given":"Stefanie P.","non-dropping-particle":"","parse-names":false,"suffix":""},{"dropping-particle":"","family":"Greco","given":"Angelo J.","non-dropping-particle":"","parse-names":false,"suffix":""},{"dropping-particle":"","family":"Michaels","given":"Natasha M.","non-dropping-particle":"","parse-names":false,"suffix":""},{"dropping-particle":"","family":"O’Connor","given":"Shanna K.","non-dropping-particle":"","parse-names":false,"suffix":""},{"dropping-particle":"","family":"Chater","given":"Rebecca W.","non-dropping-particle":"","parse-names":false,"suffix":""},{"dropping-particle":"","family":"Viera","given":"Anthony J.","non-dropping-particle":"","parse-names":false,"suffix":""},{"dropping-particle":"","family":"Faruki","given":"Hawazin","non-dropping-particle":"","parse-names":false,"suffix":""},{"dropping-particle":"","family":"McLeod","given":"Howard L.","non-dropping-particle":"","parse-names":false,"suffix":""},{"dropping-particle":"","family":"Roederer","given":"Mary W.","non-dropping-particle":"","parse-names":false,"suffix":""}],"container-title":"Journal of the American Pharmacists Association","id":"ITEM-1","issue":"2","issued":{"date-parts":[["2014","3"]]},"page":"172-180","title":"Implementation of a pharmacogenomics service in a community pharmacy","type":"article-journal","volume":"54"},"uris":["http://www.mendeley.com/documents/?uuid=f7301ded-4955-498b-be05-116a7fe3a9c8"]}],"mendeley":{"formattedCitation":"[20]","plainTextFormattedCitation":"[20]","previouslyFormattedCitation":"[20]"},"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[20]</w:t>
      </w:r>
      <w:r w:rsidR="009A774E" w:rsidRPr="00F104D0">
        <w:rPr>
          <w:rFonts w:ascii="Times New Roman" w:hAnsi="Times New Roman" w:cs="Times New Roman"/>
          <w:color w:val="000000" w:themeColor="text1"/>
          <w:sz w:val="20"/>
          <w:szCs w:val="20"/>
        </w:rPr>
        <w:fldChar w:fldCharType="end"/>
      </w:r>
    </w:p>
    <w:p w:rsidR="000D0FAD" w:rsidRPr="00F104D0" w:rsidRDefault="000D0FAD" w:rsidP="003A3140">
      <w:pPr>
        <w:pStyle w:val="ListParagraph"/>
        <w:spacing w:before="240" w:line="240" w:lineRule="auto"/>
        <w:jc w:val="both"/>
        <w:rPr>
          <w:rFonts w:ascii="Times New Roman" w:hAnsi="Times New Roman" w:cs="Times New Roman"/>
          <w:i/>
          <w:color w:val="4BACC6" w:themeColor="accent5"/>
          <w:sz w:val="20"/>
          <w:szCs w:val="20"/>
          <w:shd w:val="clear" w:color="auto" w:fill="FFFFFF"/>
        </w:rPr>
      </w:pPr>
    </w:p>
    <w:p w:rsidR="000645EF" w:rsidRDefault="000645EF" w:rsidP="003A3140">
      <w:pPr>
        <w:spacing w:before="240" w:line="240" w:lineRule="auto"/>
        <w:jc w:val="both"/>
        <w:rPr>
          <w:rFonts w:ascii="Times New Roman" w:hAnsi="Times New Roman" w:cs="Times New Roman"/>
          <w:b/>
          <w:color w:val="000000" w:themeColor="text1"/>
          <w:sz w:val="20"/>
          <w:szCs w:val="20"/>
        </w:rPr>
      </w:pPr>
    </w:p>
    <w:p w:rsidR="000D0FAD" w:rsidRPr="000645EF" w:rsidRDefault="000645EF" w:rsidP="003A3140">
      <w:pPr>
        <w:spacing w:before="240" w:line="240" w:lineRule="auto"/>
        <w:jc w:val="both"/>
        <w:rPr>
          <w:rFonts w:ascii="Times New Roman" w:hAnsi="Times New Roman" w:cs="Times New Roman"/>
          <w:color w:val="000000" w:themeColor="text1"/>
          <w:sz w:val="20"/>
          <w:szCs w:val="20"/>
          <w:shd w:val="clear" w:color="auto" w:fill="FFFFFF"/>
        </w:rPr>
      </w:pPr>
      <w:r w:rsidRPr="000645EF">
        <w:rPr>
          <w:rFonts w:ascii="Times New Roman" w:hAnsi="Times New Roman" w:cs="Times New Roman"/>
          <w:color w:val="000000" w:themeColor="text1"/>
          <w:sz w:val="20"/>
          <w:szCs w:val="20"/>
        </w:rPr>
        <w:t>D</w:t>
      </w:r>
      <w:r w:rsidR="00107B9E">
        <w:rPr>
          <w:rFonts w:ascii="Times New Roman" w:hAnsi="Times New Roman" w:cs="Times New Roman"/>
          <w:color w:val="000000" w:themeColor="text1"/>
          <w:sz w:val="20"/>
          <w:szCs w:val="20"/>
        </w:rPr>
        <w:t xml:space="preserve"> </w:t>
      </w:r>
      <w:r w:rsidRPr="000645EF">
        <w:rPr>
          <w:rFonts w:ascii="Times New Roman" w:hAnsi="Times New Roman" w:cs="Times New Roman"/>
          <w:color w:val="000000" w:themeColor="text1"/>
          <w:sz w:val="20"/>
          <w:szCs w:val="20"/>
        </w:rPr>
        <w:t>.</w:t>
      </w:r>
      <w:proofErr w:type="spellStart"/>
      <w:r w:rsidR="000D0FAD" w:rsidRPr="000645EF">
        <w:rPr>
          <w:rFonts w:ascii="Times New Roman" w:hAnsi="Times New Roman" w:cs="Times New Roman"/>
          <w:color w:val="000000" w:themeColor="text1"/>
          <w:sz w:val="20"/>
          <w:szCs w:val="20"/>
        </w:rPr>
        <w:t>Pharmacogenomics</w:t>
      </w:r>
      <w:proofErr w:type="spellEnd"/>
      <w:r w:rsidR="000D0FAD" w:rsidRPr="000645EF">
        <w:rPr>
          <w:rFonts w:ascii="Times New Roman" w:hAnsi="Times New Roman" w:cs="Times New Roman"/>
          <w:color w:val="000000" w:themeColor="text1"/>
          <w:sz w:val="20"/>
          <w:szCs w:val="20"/>
        </w:rPr>
        <w:t xml:space="preserve"> in </w:t>
      </w:r>
      <w:proofErr w:type="gramStart"/>
      <w:r w:rsidR="000D0FAD" w:rsidRPr="000645EF">
        <w:rPr>
          <w:rFonts w:ascii="Times New Roman" w:hAnsi="Times New Roman" w:cs="Times New Roman"/>
          <w:color w:val="000000" w:themeColor="text1"/>
          <w:sz w:val="20"/>
          <w:szCs w:val="20"/>
        </w:rPr>
        <w:t>Cardiovascular</w:t>
      </w:r>
      <w:proofErr w:type="gramEnd"/>
      <w:r w:rsidR="000D0FAD" w:rsidRPr="000645EF">
        <w:rPr>
          <w:rFonts w:ascii="Times New Roman" w:hAnsi="Times New Roman" w:cs="Times New Roman"/>
          <w:color w:val="000000" w:themeColor="text1"/>
          <w:sz w:val="20"/>
          <w:szCs w:val="20"/>
        </w:rPr>
        <w:t xml:space="preserve"> diseases</w:t>
      </w:r>
      <w:r w:rsidR="000D0FAD" w:rsidRPr="000645EF">
        <w:rPr>
          <w:rFonts w:ascii="Times New Roman" w:hAnsi="Times New Roman" w:cs="Times New Roman"/>
          <w:color w:val="000000" w:themeColor="text1"/>
          <w:sz w:val="20"/>
          <w:szCs w:val="20"/>
          <w:shd w:val="clear" w:color="auto" w:fill="F7F7F8"/>
        </w:rPr>
        <w:t>:</w:t>
      </w:r>
    </w:p>
    <w:p w:rsidR="000D0FAD" w:rsidRDefault="000D0FAD" w:rsidP="003A3140">
      <w:pPr>
        <w:spacing w:before="240" w:line="240" w:lineRule="auto"/>
        <w:jc w:val="both"/>
        <w:rPr>
          <w:rFonts w:ascii="Times New Roman" w:hAnsi="Times New Roman" w:cs="Times New Roman"/>
          <w:color w:val="000000" w:themeColor="text1"/>
          <w:sz w:val="20"/>
          <w:szCs w:val="20"/>
        </w:rPr>
      </w:pPr>
      <w:proofErr w:type="spellStart"/>
      <w:r w:rsidRPr="00F104D0">
        <w:rPr>
          <w:rFonts w:ascii="Times New Roman" w:hAnsi="Times New Roman" w:cs="Times New Roman"/>
          <w:color w:val="000000" w:themeColor="text1"/>
          <w:sz w:val="20"/>
          <w:szCs w:val="20"/>
        </w:rPr>
        <w:t>Pharmacogenomics</w:t>
      </w:r>
      <w:proofErr w:type="spellEnd"/>
      <w:r w:rsidRPr="00F104D0">
        <w:rPr>
          <w:rFonts w:ascii="Times New Roman" w:hAnsi="Times New Roman" w:cs="Times New Roman"/>
          <w:color w:val="000000" w:themeColor="text1"/>
          <w:sz w:val="20"/>
          <w:szCs w:val="20"/>
        </w:rPr>
        <w:t xml:space="preserve"> research in cardiovascular therapies has provided a model for understanding variable drug responses based on individual genetic differences. This approach has identified critical pathways and specific genetic locations that influence the effectiveness of commonly used drugs. These findings offer valuable insights for personalized medicine and help to understand how individuals' unique genomic profiles can impact their response to cardiovascular treatment</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{"citationItems":[{"id":"ITEM-1","itemData":{"DOI":"10.1007/s11886-013-0376-0","ISSN":"1523-3782","author":[{"dropping-particle":"","family":"Weeke","given":"Peter","non-dropping-particle":"","parse-names":false,"suffix":""},{"dropping-particle":"","family":"Roden","given":"Dan M.","non-dropping-particle":"","parse-names":false,"suffix":""}],"container-title":"Current Cardiology Reports","id":"ITEM-1","issue":"7","issued":{"date-parts":[["2013","7","22"]]},"page":"376","title":"Pharmacogenomics and Cardiovascular Disease","type":"article-journal","volume":"15"},"uris":["http://www.mendeley.com/documents/?uuid=975614a0-81b3-4340-aa6d-041207c85bd9"]}],"mendeley":{"formattedCitation":"[21]","plainTextFormattedCitation":"[21]","previouslyFormattedCitation":"[21]"},"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[21]</w:t>
      </w:r>
      <w:r w:rsidR="009A774E" w:rsidRPr="00F104D0">
        <w:rPr>
          <w:rFonts w:ascii="Times New Roman" w:hAnsi="Times New Roman" w:cs="Times New Roman"/>
          <w:color w:val="000000" w:themeColor="text1"/>
          <w:sz w:val="20"/>
          <w:szCs w:val="20"/>
        </w:rPr>
        <w:fldChar w:fldCharType="end"/>
      </w:r>
      <w:r w:rsidRPr="00F104D0">
        <w:rPr>
          <w:rFonts w:ascii="Times New Roman" w:hAnsi="Times New Roman" w:cs="Times New Roman"/>
          <w:color w:val="000000" w:themeColor="text1"/>
          <w:sz w:val="20"/>
          <w:szCs w:val="20"/>
          <w:shd w:val="clear" w:color="auto" w:fill="FFFFFF"/>
        </w:rPr>
        <w:t xml:space="preserve"> </w:t>
      </w:r>
      <w:proofErr w:type="spellStart"/>
      <w:r w:rsidRPr="00F104D0">
        <w:rPr>
          <w:rFonts w:ascii="Times New Roman" w:hAnsi="Times New Roman" w:cs="Times New Roman"/>
          <w:color w:val="000000" w:themeColor="text1"/>
          <w:sz w:val="20"/>
          <w:szCs w:val="20"/>
        </w:rPr>
        <w:t>Statin</w:t>
      </w:r>
      <w:proofErr w:type="spellEnd"/>
      <w:r w:rsidRPr="00F104D0">
        <w:rPr>
          <w:rFonts w:ascii="Times New Roman" w:hAnsi="Times New Roman" w:cs="Times New Roman"/>
          <w:color w:val="000000" w:themeColor="text1"/>
          <w:sz w:val="20"/>
          <w:szCs w:val="20"/>
        </w:rPr>
        <w:t xml:space="preserve"> therapy can lead to </w:t>
      </w:r>
      <w:proofErr w:type="spellStart"/>
      <w:r w:rsidRPr="00F104D0">
        <w:rPr>
          <w:rFonts w:ascii="Times New Roman" w:hAnsi="Times New Roman" w:cs="Times New Roman"/>
          <w:color w:val="000000" w:themeColor="text1"/>
          <w:sz w:val="20"/>
          <w:szCs w:val="20"/>
        </w:rPr>
        <w:t>myopathy</w:t>
      </w:r>
      <w:proofErr w:type="spellEnd"/>
      <w:r w:rsidRPr="00F104D0">
        <w:rPr>
          <w:rFonts w:ascii="Times New Roman" w:hAnsi="Times New Roman" w:cs="Times New Roman"/>
          <w:color w:val="000000" w:themeColor="text1"/>
          <w:sz w:val="20"/>
          <w:szCs w:val="20"/>
        </w:rPr>
        <w:t xml:space="preserve">, ranging from mild to severe symptoms. Risk factors for </w:t>
      </w:r>
      <w:proofErr w:type="spellStart"/>
      <w:r w:rsidRPr="00F104D0">
        <w:rPr>
          <w:rFonts w:ascii="Times New Roman" w:hAnsi="Times New Roman" w:cs="Times New Roman"/>
          <w:color w:val="000000" w:themeColor="text1"/>
          <w:sz w:val="20"/>
          <w:szCs w:val="20"/>
        </w:rPr>
        <w:t>myopathy</w:t>
      </w:r>
      <w:proofErr w:type="spellEnd"/>
      <w:r w:rsidRPr="00F104D0">
        <w:rPr>
          <w:rFonts w:ascii="Times New Roman" w:hAnsi="Times New Roman" w:cs="Times New Roman"/>
          <w:color w:val="000000" w:themeColor="text1"/>
          <w:sz w:val="20"/>
          <w:szCs w:val="20"/>
        </w:rPr>
        <w:t xml:space="preserve"> include higher </w:t>
      </w:r>
      <w:proofErr w:type="spellStart"/>
      <w:r w:rsidRPr="00F104D0">
        <w:rPr>
          <w:rFonts w:ascii="Times New Roman" w:hAnsi="Times New Roman" w:cs="Times New Roman"/>
          <w:color w:val="000000" w:themeColor="text1"/>
          <w:sz w:val="20"/>
          <w:szCs w:val="20"/>
        </w:rPr>
        <w:t>statin</w:t>
      </w:r>
      <w:proofErr w:type="spellEnd"/>
      <w:r w:rsidRPr="00F104D0">
        <w:rPr>
          <w:rFonts w:ascii="Times New Roman" w:hAnsi="Times New Roman" w:cs="Times New Roman"/>
          <w:color w:val="000000" w:themeColor="text1"/>
          <w:sz w:val="20"/>
          <w:szCs w:val="20"/>
        </w:rPr>
        <w:t xml:space="preserve"> doses, medication interactions, renal or hepatic dysfunction, and specific genetic variations, such as the SLCO1B1 c.521T&gt;C polymorphism. </w:t>
      </w:r>
      <w:proofErr w:type="spellStart"/>
      <w:r w:rsidRPr="00F104D0">
        <w:rPr>
          <w:rFonts w:ascii="Times New Roman" w:hAnsi="Times New Roman" w:cs="Times New Roman"/>
          <w:color w:val="000000" w:themeColor="text1"/>
          <w:sz w:val="20"/>
          <w:szCs w:val="20"/>
        </w:rPr>
        <w:t>Simvastatin</w:t>
      </w:r>
      <w:proofErr w:type="spellEnd"/>
      <w:r w:rsidRPr="00F104D0">
        <w:rPr>
          <w:rFonts w:ascii="Times New Roman" w:hAnsi="Times New Roman" w:cs="Times New Roman"/>
          <w:color w:val="000000" w:themeColor="text1"/>
          <w:sz w:val="20"/>
          <w:szCs w:val="20"/>
        </w:rPr>
        <w:t xml:space="preserve"> shows the strongest genetic association with </w:t>
      </w:r>
      <w:proofErr w:type="spellStart"/>
      <w:r w:rsidRPr="00F104D0">
        <w:rPr>
          <w:rFonts w:ascii="Times New Roman" w:hAnsi="Times New Roman" w:cs="Times New Roman"/>
          <w:color w:val="000000" w:themeColor="text1"/>
          <w:sz w:val="20"/>
          <w:szCs w:val="20"/>
        </w:rPr>
        <w:t>myopathy</w:t>
      </w:r>
      <w:proofErr w:type="spellEnd"/>
      <w:r w:rsidRPr="00F104D0">
        <w:rPr>
          <w:rFonts w:ascii="Times New Roman" w:hAnsi="Times New Roman" w:cs="Times New Roman"/>
          <w:color w:val="000000" w:themeColor="text1"/>
          <w:sz w:val="20"/>
          <w:szCs w:val="20"/>
        </w:rPr>
        <w:t xml:space="preserve">. To mitigate risks, the CPIC guidelines recommend lower </w:t>
      </w:r>
      <w:proofErr w:type="spellStart"/>
      <w:r w:rsidRPr="00F104D0">
        <w:rPr>
          <w:rFonts w:ascii="Times New Roman" w:hAnsi="Times New Roman" w:cs="Times New Roman"/>
          <w:color w:val="000000" w:themeColor="text1"/>
          <w:sz w:val="20"/>
          <w:szCs w:val="20"/>
        </w:rPr>
        <w:lastRenderedPageBreak/>
        <w:t>simvastatin</w:t>
      </w:r>
      <w:proofErr w:type="spellEnd"/>
      <w:r w:rsidRPr="00F104D0">
        <w:rPr>
          <w:rFonts w:ascii="Times New Roman" w:hAnsi="Times New Roman" w:cs="Times New Roman"/>
          <w:color w:val="000000" w:themeColor="text1"/>
          <w:sz w:val="20"/>
          <w:szCs w:val="20"/>
        </w:rPr>
        <w:t xml:space="preserve"> doses or alternative </w:t>
      </w:r>
      <w:proofErr w:type="spellStart"/>
      <w:r w:rsidRPr="00F104D0">
        <w:rPr>
          <w:rFonts w:ascii="Times New Roman" w:hAnsi="Times New Roman" w:cs="Times New Roman"/>
          <w:color w:val="000000" w:themeColor="text1"/>
          <w:sz w:val="20"/>
          <w:szCs w:val="20"/>
        </w:rPr>
        <w:t>statins</w:t>
      </w:r>
      <w:proofErr w:type="spellEnd"/>
      <w:r w:rsidRPr="00F104D0">
        <w:rPr>
          <w:rFonts w:ascii="Times New Roman" w:hAnsi="Times New Roman" w:cs="Times New Roman"/>
          <w:color w:val="000000" w:themeColor="text1"/>
          <w:sz w:val="20"/>
          <w:szCs w:val="20"/>
        </w:rPr>
        <w:t xml:space="preserve"> for patients with the SLCO1B1 c.521T&gt;C genotype, with routine </w:t>
      </w:r>
      <w:proofErr w:type="spellStart"/>
      <w:r w:rsidRPr="00F104D0">
        <w:rPr>
          <w:rFonts w:ascii="Times New Roman" w:hAnsi="Times New Roman" w:cs="Times New Roman"/>
          <w:color w:val="000000" w:themeColor="text1"/>
          <w:sz w:val="20"/>
          <w:szCs w:val="20"/>
        </w:rPr>
        <w:t>creatine</w:t>
      </w:r>
      <w:proofErr w:type="spellEnd"/>
      <w:r w:rsidRPr="00F104D0">
        <w:rPr>
          <w:rFonts w:ascii="Times New Roman" w:hAnsi="Times New Roman" w:cs="Times New Roman"/>
          <w:color w:val="000000" w:themeColor="text1"/>
          <w:sz w:val="20"/>
          <w:szCs w:val="20"/>
        </w:rPr>
        <w:t xml:space="preserve"> </w:t>
      </w:r>
      <w:proofErr w:type="spellStart"/>
      <w:r w:rsidRPr="00F104D0">
        <w:rPr>
          <w:rFonts w:ascii="Times New Roman" w:hAnsi="Times New Roman" w:cs="Times New Roman"/>
          <w:color w:val="000000" w:themeColor="text1"/>
          <w:sz w:val="20"/>
          <w:szCs w:val="20"/>
        </w:rPr>
        <w:t>kinase</w:t>
      </w:r>
      <w:proofErr w:type="spellEnd"/>
      <w:r w:rsidRPr="00F104D0">
        <w:rPr>
          <w:rFonts w:ascii="Times New Roman" w:hAnsi="Times New Roman" w:cs="Times New Roman"/>
          <w:color w:val="000000" w:themeColor="text1"/>
          <w:sz w:val="20"/>
          <w:szCs w:val="20"/>
        </w:rPr>
        <w:t xml:space="preserve"> monitoring if using </w:t>
      </w:r>
      <w:proofErr w:type="spellStart"/>
      <w:r w:rsidRPr="00F104D0">
        <w:rPr>
          <w:rFonts w:ascii="Times New Roman" w:hAnsi="Times New Roman" w:cs="Times New Roman"/>
          <w:color w:val="000000" w:themeColor="text1"/>
          <w:sz w:val="20"/>
          <w:szCs w:val="20"/>
        </w:rPr>
        <w:t>simvastatin</w:t>
      </w:r>
      <w:proofErr w:type="spellEnd"/>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{"citationItems":[{"id":"ITEM-1","itemData":{"DOI":"10.1038/clpt.2014.125","ISSN":"0009-9236","author":[{"dropping-particle":"","family":"Ramsey","given":"L B","non-dropping-particle":"","parse-names":false,"suffix":""},{"dropping-particle":"","family":"Johnson","given":"S G","non-dropping-particle":"","parse-names":false,"suffix":""},{"dropping-particle":"","family":"Caudle","given":"K E","non-dropping-particle":"","parse-names":false,"suffix":""},{"dropping-particle":"","family":"Haidar","given":"C E","non-dropping-particle":"","parse-names":false,"suffix":""},{"dropping-particle":"","family":"Voora","given":"D","non-dropping-particle":"","parse-names":false,"suffix":""},{"dropping-particle":"","family":"Wilke","given":"R A","non-dropping-particle":"","parse-names":false,"suffix":""},{"dropping-particle":"","family":"Maxwell","given":"W D","non-dropping-particle":"","parse-names":false,"suffix":""},{"dropping-particle":"","family":"McLeod","given":"H L","non-dropping-particle":"","parse-names":false,"suffix":""},{"dropping-particle":"","family":"Krauss","given":"R M","non-dropping-particle":"","parse-names":false,"suffix":""},{"dropping-particle":"","family":"Roden","given":"D M","non-dropping-particle":"","parse-names":false,"suffix":""},{"dropping-particle":"","family":"Feng","given":"Q","non-dropping-particle":"","parse-names":false,"suffix":""},{"dropping-particle":"","family":"Cooper-DeHoff","given":"R M","non-dropping-particle":"","parse-names":false,"suffix":""},{"dropping-particle":"","family":"Gong","given":"L","non-dropping-particle":"","parse-names":false,"suffix":""},{"dropping-particle":"","family":"Klein","given":"T E","non-dropping-particle":"","parse-names":false,"suffix":""},{"dropping-particle":"","family":"Wadelius","given":"M","non-dropping-particle":"","parse-names":false,"suffix":""},{"dropping-particle":"","family":"Niemi","given":"M","non-dropping-particle":"","parse-names":false,"suffix":""}],"container-title":"Clinical Pharmacology &amp; Therapeutics","id":"ITEM-1","issue":"4","issued":{"date-parts":[["2014","10","11"]]},"page":"423-428","title":"The Clinical Pharmacogenetics Implementation Consortium Guideline for SLCO1B1 and Simvastatin-Induced Myopathy: 2014 Update","type":"article-journal","volume":"96"},"uris":["http://www.mendeley.com/documents/?uuid=3169b9e2-5e7a-4918-b926-5dc8bae8bded"]}],"mendeley":{"formattedCitation":"[22]","plainTextFormattedCitation":"[22]","previouslyFormattedCitation":"[22]"},"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[22]</w:t>
      </w:r>
      <w:r w:rsidR="009A774E" w:rsidRPr="00F104D0">
        <w:rPr>
          <w:rFonts w:ascii="Times New Roman" w:hAnsi="Times New Roman" w:cs="Times New Roman"/>
          <w:color w:val="000000" w:themeColor="text1"/>
          <w:sz w:val="20"/>
          <w:szCs w:val="20"/>
        </w:rPr>
        <w:fldChar w:fldCharType="end"/>
      </w:r>
      <w:r w:rsidRPr="00F104D0">
        <w:rPr>
          <w:rFonts w:ascii="Times New Roman" w:hAnsi="Times New Roman" w:cs="Times New Roman"/>
          <w:color w:val="000000" w:themeColor="text1"/>
          <w:sz w:val="20"/>
          <w:szCs w:val="20"/>
          <w:shd w:val="clear" w:color="auto" w:fill="F7F7F8"/>
        </w:rPr>
        <w:t xml:space="preserve">. </w:t>
      </w:r>
      <w:r w:rsidRPr="00F104D0">
        <w:rPr>
          <w:rFonts w:ascii="Times New Roman" w:hAnsi="Times New Roman" w:cs="Times New Roman"/>
          <w:color w:val="000000" w:themeColor="text1"/>
          <w:sz w:val="20"/>
          <w:szCs w:val="20"/>
        </w:rPr>
        <w:t xml:space="preserve">Vanderbilt University incorporates SLCO1B1 genotyping into clinical practice to identify at-risk patients and issues electronic alerts when prescribing </w:t>
      </w:r>
      <w:proofErr w:type="spellStart"/>
      <w:r w:rsidRPr="00F104D0">
        <w:rPr>
          <w:rFonts w:ascii="Times New Roman" w:hAnsi="Times New Roman" w:cs="Times New Roman"/>
          <w:color w:val="000000" w:themeColor="text1"/>
          <w:sz w:val="20"/>
          <w:szCs w:val="20"/>
        </w:rPr>
        <w:t>simvastatin</w:t>
      </w:r>
      <w:proofErr w:type="spellEnd"/>
      <w:r w:rsidRPr="00F104D0">
        <w:rPr>
          <w:rFonts w:ascii="Times New Roman" w:hAnsi="Times New Roman" w:cs="Times New Roman"/>
          <w:color w:val="000000" w:themeColor="text1"/>
          <w:sz w:val="20"/>
          <w:szCs w:val="20"/>
        </w:rPr>
        <w:t xml:space="preserve"> to individuals with the CT or CC genotype.</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10.1038/clpt.2012.119","ISSN":"0009-9236","author":[{"dropping-particle":"","family":"Lieb","given":"W","non-dropping-particle":"","parse-names":false,"suffix":""},{"dropping-particle":"","family":"Völzke","given":"H","non-dropping-particle":"","parse-names":false,"suffix":""},{"dropping-particle":"","family":"Pulley","given":"J M","non-dropping-particle":"","parse-names":false,"suffix":""},{"dropping-particle":"","family":"Roden","given":"D M","non-dropping-particle":"","parse-names":false,"suffix":""},{"dropping-particle":"","family":"Kroemer","given":"H K","non-dropping-particle":"","parse-names":false,"suffix":""}],"container-title":"Clinical Pharmacology &amp; Therapeutics","id":"ITEM-1","issue":"4","issued":{"date-parts":[["2012","10","22"]]},"page":"443-445","title":"Strategies for Personalized Medicine–Based Research and Implementation in the Clinical Workflow","type":"article-journal","volume":"92"},"uris":["http://www.mendeley.com/documents/?uuid=9796d92a-f284-473a-adfb-1760b6ed57a7"]}],"mendeley":{"formattedCitation":"[23]","plainTextFormattedCitation":"[23]","previouslyFormattedCitation":"[23]"},"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[23]</w:t>
      </w:r>
      <w:r w:rsidR="009A774E" w:rsidRPr="00F104D0">
        <w:rPr>
          <w:rFonts w:ascii="Times New Roman" w:hAnsi="Times New Roman" w:cs="Times New Roman"/>
          <w:color w:val="000000" w:themeColor="text1"/>
          <w:sz w:val="20"/>
          <w:szCs w:val="20"/>
        </w:rPr>
        <w:fldChar w:fldCharType="end"/>
      </w:r>
    </w:p>
    <w:p w:rsidR="001B08C1" w:rsidRPr="00F104D0" w:rsidRDefault="001B08C1" w:rsidP="003A3140">
      <w:pPr>
        <w:spacing w:before="240" w:line="240" w:lineRule="auto"/>
        <w:jc w:val="both"/>
        <w:rPr>
          <w:rFonts w:ascii="Times New Roman" w:hAnsi="Times New Roman" w:cs="Times New Roman"/>
          <w:color w:val="000000" w:themeColor="text1"/>
          <w:sz w:val="20"/>
          <w:szCs w:val="20"/>
        </w:rPr>
      </w:pPr>
    </w:p>
    <w:p w:rsidR="000D0FAD" w:rsidRPr="000645EF" w:rsidRDefault="000645EF" w:rsidP="003A3140">
      <w:pPr>
        <w:spacing w:before="240" w:line="240" w:lineRule="auto"/>
        <w:jc w:val="both"/>
        <w:rPr>
          <w:rFonts w:ascii="Times New Roman" w:hAnsi="Times New Roman" w:cs="Times New Roman"/>
          <w:b/>
          <w:color w:val="212121"/>
          <w:sz w:val="20"/>
          <w:szCs w:val="20"/>
          <w:shd w:val="clear" w:color="auto" w:fill="FFFFFF"/>
        </w:rPr>
      </w:pPr>
      <w:r w:rsidRPr="000645EF">
        <w:rPr>
          <w:rFonts w:ascii="Times New Roman" w:hAnsi="Times New Roman" w:cs="Times New Roman"/>
          <w:b/>
          <w:color w:val="212121"/>
          <w:sz w:val="20"/>
          <w:szCs w:val="20"/>
          <w:shd w:val="clear" w:color="auto" w:fill="FFFFFF"/>
        </w:rPr>
        <w:t>III.</w:t>
      </w:r>
      <w:r w:rsidR="000D0FAD" w:rsidRPr="000645EF">
        <w:rPr>
          <w:rFonts w:ascii="Times New Roman" w:hAnsi="Times New Roman" w:cs="Times New Roman"/>
          <w:b/>
          <w:color w:val="212121"/>
          <w:sz w:val="20"/>
          <w:szCs w:val="20"/>
          <w:shd w:val="clear" w:color="auto" w:fill="FFFFFF"/>
        </w:rPr>
        <w:t>CLINICAL APPLICATION OF PHARMACOGENOMICS:</w:t>
      </w:r>
    </w:p>
    <w:p w:rsidR="000D0FAD" w:rsidRPr="00F104D0" w:rsidRDefault="000D0FAD" w:rsidP="003A3140">
      <w:pPr>
        <w:pStyle w:val="NormalWeb"/>
        <w:spacing w:before="0" w:beforeAutospacing="0" w:after="300" w:afterAutospacing="0"/>
        <w:jc w:val="both"/>
        <w:rPr>
          <w:color w:val="000000" w:themeColor="text1"/>
          <w:sz w:val="20"/>
          <w:szCs w:val="20"/>
        </w:rPr>
      </w:pPr>
      <w:r w:rsidRPr="00F104D0">
        <w:rPr>
          <w:sz w:val="20"/>
          <w:szCs w:val="20"/>
        </w:rPr>
        <w:br/>
      </w:r>
      <w:r w:rsidR="00313A5B" w:rsidRPr="00313A5B">
        <w:rPr>
          <w:color w:val="000000" w:themeColor="text1"/>
          <w:sz w:val="20"/>
          <w:szCs w:val="20"/>
        </w:rPr>
        <w:t xml:space="preserve">Based on genetic differences in enzymes and proteins involved in drug metabolism, </w:t>
      </w:r>
      <w:proofErr w:type="spellStart"/>
      <w:r w:rsidR="00313A5B" w:rsidRPr="00313A5B">
        <w:rPr>
          <w:color w:val="000000" w:themeColor="text1"/>
          <w:sz w:val="20"/>
          <w:szCs w:val="20"/>
        </w:rPr>
        <w:t>pharmacogenomics</w:t>
      </w:r>
      <w:proofErr w:type="spellEnd"/>
      <w:r w:rsidR="00313A5B" w:rsidRPr="00313A5B">
        <w:rPr>
          <w:color w:val="000000" w:themeColor="text1"/>
          <w:sz w:val="20"/>
          <w:szCs w:val="20"/>
        </w:rPr>
        <w:t xml:space="preserve"> customises pharmacological treatment. These variances may affect how a medicine is absorbed, distributed, </w:t>
      </w:r>
      <w:proofErr w:type="spellStart"/>
      <w:r w:rsidR="00313A5B" w:rsidRPr="00313A5B">
        <w:rPr>
          <w:color w:val="000000" w:themeColor="text1"/>
          <w:sz w:val="20"/>
          <w:szCs w:val="20"/>
        </w:rPr>
        <w:t>biotransformed</w:t>
      </w:r>
      <w:proofErr w:type="spellEnd"/>
      <w:r w:rsidR="00313A5B" w:rsidRPr="00313A5B">
        <w:rPr>
          <w:color w:val="000000" w:themeColor="text1"/>
          <w:sz w:val="20"/>
          <w:szCs w:val="20"/>
        </w:rPr>
        <w:t xml:space="preserve">, excreted, and interacts with its target. Based on their allelic variations, individuals are categorised as poor, extensive, or rapid/ultra-rapid </w:t>
      </w:r>
      <w:proofErr w:type="spellStart"/>
      <w:r w:rsidR="00313A5B" w:rsidRPr="00313A5B">
        <w:rPr>
          <w:color w:val="000000" w:themeColor="text1"/>
          <w:sz w:val="20"/>
          <w:szCs w:val="20"/>
        </w:rPr>
        <w:t>metabolizers</w:t>
      </w:r>
      <w:proofErr w:type="spellEnd"/>
      <w:r w:rsidR="00313A5B" w:rsidRPr="00313A5B">
        <w:rPr>
          <w:color w:val="000000" w:themeColor="text1"/>
          <w:sz w:val="20"/>
          <w:szCs w:val="20"/>
        </w:rPr>
        <w:t xml:space="preserve">, which affects medication effectiveness and safety. </w:t>
      </w:r>
      <w:r w:rsidR="009A774E" w:rsidRPr="00F104D0">
        <w:rPr>
          <w:color w:val="000000" w:themeColor="text1"/>
          <w:sz w:val="20"/>
          <w:szCs w:val="20"/>
        </w:rPr>
        <w:fldChar w:fldCharType="begin" w:fldLock="1"/>
      </w:r>
      <w:r w:rsidR="008A18B3">
        <w:rPr>
          <w:color w:val="000000" w:themeColor="text1"/>
          <w:sz w:val="20"/>
          <w:szCs w:val="20"/>
        </w:rPr>
        <w:instrText>ADDIN CSL_CITATION {"citationItems":[{"id":"ITEM-1","itemData":{"DOI":"10.4067/S0034-98872017000400009","ISSN":"0034-9887","author":[{"dropping-particle":"","family":"Quiñones","given":"Luis","non-dropping-particle":"","parse-names":false,"suffix":""},{"dropping-particle":"","family":"Roco","given":"Ángela","non-dropping-particle":"","parse-names":false,"suffix":""},{"dropping-particle":"","family":"Cayún","given":"Juan P","non-dropping-particle":"","parse-names":false,"suffix":""},{"dropping-particle":"","family":"Escalante","given":"Paula","non-dropping-particle":"","parse-names":false,"suffix":""},{"dropping-particle":"","family":"Miranda","given":"Carla","non-dropping-particle":"","parse-names":false,"suffix":""},{"dropping-particle":"","family":"Varela","given":"Nelson","non-dropping-particle":"","parse-names":false,"suffix":""},{"dropping-particle":"","family":"Meneses","given":"Francisca","non-dropping-particle":"","parse-names":false,"suffix":""},{"dropping-particle":"","family":"Gallegos","given":"Bastián","non-dropping-particle":"","parse-names":false,"suffix":""},{"dropping-particle":"","family":"Zaruma-Torres","given":"Fausto","non-dropping-particle":"","parse-names":false,"suffix":""},{"dropping-particle":"","family":"Lares-Asseff","given":"Ismael","non-dropping-particle":"","parse-names":false,"suffix":""}],"container-title":"Revista médica de Chile","id":"ITEM-1","issue":"4","issued":{"date-parts":[["2017","4"]]},"page":"483-500","title":"Farmacogenómica como herramienta fundamental para la medicina personalizada: aplicaciones en la práctica clínica","type":"article-journal","volume":"145"},"uris":["http://www.mendeley.com/documents/?uuid=e3ca10ea-da1a-43a5-8033-6a47f62f55f5"]}],"mendeley":{"formattedCitation":"[24]","plainTextFormattedCitation":"[24]","previouslyFormattedCitation":"[24]"},"properties":{"noteIndex":0},"schema":"https://github.com/citation-style-language/schema/raw/master/csl-citation.json"}</w:instrText>
      </w:r>
      <w:r w:rsidR="009A774E" w:rsidRPr="00F104D0">
        <w:rPr>
          <w:color w:val="000000" w:themeColor="text1"/>
          <w:sz w:val="20"/>
          <w:szCs w:val="20"/>
        </w:rPr>
        <w:fldChar w:fldCharType="separate"/>
      </w:r>
      <w:r w:rsidR="00F104D0" w:rsidRPr="00F104D0">
        <w:rPr>
          <w:noProof/>
          <w:color w:val="000000" w:themeColor="text1"/>
          <w:sz w:val="20"/>
          <w:szCs w:val="20"/>
        </w:rPr>
        <w:t>[24]</w:t>
      </w:r>
      <w:r w:rsidR="009A774E" w:rsidRPr="00F104D0">
        <w:rPr>
          <w:color w:val="000000" w:themeColor="text1"/>
          <w:sz w:val="20"/>
          <w:szCs w:val="20"/>
        </w:rPr>
        <w:fldChar w:fldCharType="end"/>
      </w:r>
    </w:p>
    <w:p w:rsidR="000D0FAD" w:rsidRPr="00F104D0" w:rsidRDefault="000D0FAD" w:rsidP="003A3140">
      <w:pPr>
        <w:pStyle w:val="NormalWeb"/>
        <w:numPr>
          <w:ilvl w:val="0"/>
          <w:numId w:val="3"/>
        </w:numPr>
        <w:spacing w:before="0" w:beforeAutospacing="0" w:after="0" w:afterAutospacing="0"/>
        <w:jc w:val="both"/>
        <w:rPr>
          <w:color w:val="000000" w:themeColor="text1"/>
          <w:sz w:val="20"/>
          <w:szCs w:val="20"/>
        </w:rPr>
      </w:pPr>
      <w:r w:rsidRPr="00F104D0">
        <w:rPr>
          <w:b/>
          <w:color w:val="000000" w:themeColor="text1"/>
          <w:sz w:val="20"/>
          <w:szCs w:val="20"/>
          <w:u w:val="single"/>
        </w:rPr>
        <w:t>Personalised Drug Selection</w:t>
      </w:r>
      <w:r w:rsidRPr="00F104D0">
        <w:rPr>
          <w:color w:val="000000" w:themeColor="text1"/>
          <w:sz w:val="20"/>
          <w:szCs w:val="20"/>
        </w:rPr>
        <w:t xml:space="preserve">: By utilizing </w:t>
      </w:r>
      <w:proofErr w:type="spellStart"/>
      <w:r w:rsidRPr="00F104D0">
        <w:rPr>
          <w:color w:val="000000" w:themeColor="text1"/>
          <w:sz w:val="20"/>
          <w:szCs w:val="20"/>
        </w:rPr>
        <w:t>pharmacogenomics</w:t>
      </w:r>
      <w:proofErr w:type="spellEnd"/>
      <w:r w:rsidRPr="00F104D0">
        <w:rPr>
          <w:color w:val="000000" w:themeColor="text1"/>
          <w:sz w:val="20"/>
          <w:szCs w:val="20"/>
        </w:rPr>
        <w:t>, healthcare providers can use a patient's genetic profile to make informed decisions about the most appropriate medication, enhancing the chances of a positive treatment response</w:t>
      </w:r>
      <w:r w:rsidRPr="00F104D0">
        <w:rPr>
          <w:color w:val="000000" w:themeColor="text1"/>
          <w:sz w:val="20"/>
          <w:szCs w:val="20"/>
          <w:shd w:val="clear" w:color="auto" w:fill="F7F7F8"/>
        </w:rPr>
        <w:t xml:space="preserve"> </w:t>
      </w:r>
      <w:r w:rsidR="009A774E" w:rsidRPr="00F104D0">
        <w:rPr>
          <w:color w:val="000000" w:themeColor="text1"/>
          <w:sz w:val="20"/>
          <w:szCs w:val="20"/>
          <w:shd w:val="clear" w:color="auto" w:fill="F7F7F8"/>
        </w:rPr>
        <w:fldChar w:fldCharType="begin" w:fldLock="1"/>
      </w:r>
      <w:r w:rsidR="008A18B3">
        <w:rPr>
          <w:color w:val="000000" w:themeColor="text1"/>
          <w:sz w:val="20"/>
          <w:szCs w:val="20"/>
          <w:shd w:val="clear" w:color="auto" w:fill="F7F7F8"/>
        </w:rPr>
        <w:instrText>ADDIN CSL_CITATION {"citationItems":[{"id":"ITEM-1","itemData":{"DOI":"10.31531/2581-4745.1000111","ISSN":"25814745","author":[{"dropping-particle":"","family":"Lopez","given":"Dayami","non-dropping-particle":"","parse-names":false,"suffix":""}],"container-title":"International Journal of Biomedical Investigation","id":"ITEM-1","issue":"2","issued":{"date-parts":[["2018","6","29"]]},"page":"1-16","title":"Pharmacogenetics: An Important Part of Drug Development with A Focus on Its Application","type":"article-journal","volume":"1"},"uris":["http://www.mendeley.com/documents/?uuid=8f84bc44-55b6-4850-a7d7-97b77f319c47"]}],"mendeley":{"formattedCitation":"[25]","plainTextFormattedCitation":"[25]","previouslyFormattedCitation":"[25]"},"properties":{"noteIndex":0},"schema":"https://github.com/citation-style-language/schema/raw/master/csl-citation.json"}</w:instrText>
      </w:r>
      <w:r w:rsidR="009A774E" w:rsidRPr="00F104D0">
        <w:rPr>
          <w:color w:val="000000" w:themeColor="text1"/>
          <w:sz w:val="20"/>
          <w:szCs w:val="20"/>
          <w:shd w:val="clear" w:color="auto" w:fill="F7F7F8"/>
        </w:rPr>
        <w:fldChar w:fldCharType="separate"/>
      </w:r>
      <w:r w:rsidR="00F104D0" w:rsidRPr="00F104D0">
        <w:rPr>
          <w:noProof/>
          <w:color w:val="000000" w:themeColor="text1"/>
          <w:sz w:val="20"/>
          <w:szCs w:val="20"/>
          <w:shd w:val="clear" w:color="auto" w:fill="F7F7F8"/>
        </w:rPr>
        <w:t>[25]</w:t>
      </w:r>
      <w:r w:rsidR="009A774E" w:rsidRPr="00F104D0">
        <w:rPr>
          <w:color w:val="000000" w:themeColor="text1"/>
          <w:sz w:val="20"/>
          <w:szCs w:val="20"/>
          <w:shd w:val="clear" w:color="auto" w:fill="F7F7F8"/>
        </w:rPr>
        <w:fldChar w:fldCharType="end"/>
      </w:r>
    </w:p>
    <w:p w:rsidR="000D0FAD" w:rsidRPr="00F104D0" w:rsidRDefault="000D0FAD" w:rsidP="003A3140">
      <w:pPr>
        <w:pStyle w:val="NormalWeb"/>
        <w:numPr>
          <w:ilvl w:val="0"/>
          <w:numId w:val="3"/>
        </w:numPr>
        <w:spacing w:before="0" w:beforeAutospacing="0" w:after="0" w:afterAutospacing="0"/>
        <w:jc w:val="both"/>
        <w:rPr>
          <w:color w:val="000000" w:themeColor="text1"/>
          <w:sz w:val="20"/>
          <w:szCs w:val="20"/>
        </w:rPr>
      </w:pPr>
      <w:r w:rsidRPr="00F104D0">
        <w:rPr>
          <w:b/>
          <w:color w:val="000000" w:themeColor="text1"/>
          <w:sz w:val="20"/>
          <w:szCs w:val="20"/>
          <w:u w:val="single"/>
        </w:rPr>
        <w:t>Avoiding Adverse Reactions</w:t>
      </w:r>
      <w:r w:rsidRPr="00F104D0">
        <w:rPr>
          <w:color w:val="000000" w:themeColor="text1"/>
          <w:sz w:val="20"/>
          <w:szCs w:val="20"/>
        </w:rPr>
        <w:t>:</w:t>
      </w:r>
      <w:r w:rsidRPr="00F104D0">
        <w:rPr>
          <w:color w:val="000000" w:themeColor="text1"/>
          <w:sz w:val="20"/>
          <w:szCs w:val="20"/>
          <w:shd w:val="clear" w:color="auto" w:fill="F7F7F8"/>
        </w:rPr>
        <w:t xml:space="preserve"> </w:t>
      </w:r>
      <w:r w:rsidRPr="00F104D0">
        <w:rPr>
          <w:color w:val="000000" w:themeColor="text1"/>
          <w:sz w:val="20"/>
          <w:szCs w:val="20"/>
        </w:rPr>
        <w:t>Recognizing genetic variations that could heighten the risk of adverse drug reactions enables healthcare providers to approach drug selection with greater caution, thereby reducing the chances of harmful side effects</w:t>
      </w:r>
      <w:r w:rsidR="009A774E" w:rsidRPr="00F104D0">
        <w:rPr>
          <w:color w:val="000000" w:themeColor="text1"/>
          <w:sz w:val="20"/>
          <w:szCs w:val="20"/>
        </w:rPr>
        <w:fldChar w:fldCharType="begin" w:fldLock="1"/>
      </w:r>
      <w:r w:rsidR="008A18B3">
        <w:rPr>
          <w:color w:val="000000" w:themeColor="text1"/>
          <w:sz w:val="20"/>
          <w:szCs w:val="20"/>
        </w:rPr>
        <w:instrText>ADDIN CSL_CITATION {"citationItems":[{"id":"ITEM-1","itemData":{"DOI":"10.1186/s40246-018-0157-3","ISSN":"1479-7364","author":[{"dropping-particle":"","family":"Ingelman-Sundberg","given":"Magnus","non-dropping-particle":"","parse-names":false,"suffix":""},{"dropping-particle":"","family":"Mkrtchian","given":"Souren","non-dropping-particle":"","parse-names":false,"suffix":""},{"dropping-particle":"","family":"Zhou","given":"Yitian","non-dropping-particle":"","parse-names":false,"suffix":""},{"dropping-particle":"","family":"Lauschke","given":"Volker M.","non-dropping-particle":"","parse-names":false,"suffix":""}],"container-title":"Human Genomics","id":"ITEM-1","issue":"1","issued":{"date-parts":[["2018","12","25"]]},"page":"26","title":"Integrating rare genetic variants into pharmacogenetic drug response predictions","type":"article-journal","volume":"12"},"uris":["http://www.mendeley.com/documents/?uuid=6092d351-8526-45a3-a442-c992b7eb9990"]}],"mendeley":{"formattedCitation":"[26]","plainTextFormattedCitation":"[26]","previouslyFormattedCitation":"[26]"},"properties":{"noteIndex":0},"schema":"https://github.com/citation-style-language/schema/raw/master/csl-citation.json"}</w:instrText>
      </w:r>
      <w:r w:rsidR="009A774E" w:rsidRPr="00F104D0">
        <w:rPr>
          <w:color w:val="000000" w:themeColor="text1"/>
          <w:sz w:val="20"/>
          <w:szCs w:val="20"/>
        </w:rPr>
        <w:fldChar w:fldCharType="separate"/>
      </w:r>
      <w:r w:rsidR="00F104D0" w:rsidRPr="00F104D0">
        <w:rPr>
          <w:noProof/>
          <w:color w:val="000000" w:themeColor="text1"/>
          <w:sz w:val="20"/>
          <w:szCs w:val="20"/>
        </w:rPr>
        <w:t>[26]</w:t>
      </w:r>
      <w:r w:rsidR="009A774E" w:rsidRPr="00F104D0">
        <w:rPr>
          <w:color w:val="000000" w:themeColor="text1"/>
          <w:sz w:val="20"/>
          <w:szCs w:val="20"/>
        </w:rPr>
        <w:fldChar w:fldCharType="end"/>
      </w:r>
    </w:p>
    <w:p w:rsidR="000D0FAD" w:rsidRPr="00F104D0" w:rsidRDefault="000D0FAD" w:rsidP="003A3140">
      <w:pPr>
        <w:pStyle w:val="NormalWeb"/>
        <w:numPr>
          <w:ilvl w:val="0"/>
          <w:numId w:val="3"/>
        </w:numPr>
        <w:spacing w:before="0" w:beforeAutospacing="0" w:after="0" w:afterAutospacing="0"/>
        <w:jc w:val="both"/>
        <w:rPr>
          <w:color w:val="000000" w:themeColor="text1"/>
          <w:sz w:val="20"/>
          <w:szCs w:val="20"/>
        </w:rPr>
      </w:pPr>
      <w:r w:rsidRPr="00F104D0">
        <w:rPr>
          <w:b/>
          <w:color w:val="000000" w:themeColor="text1"/>
          <w:sz w:val="20"/>
          <w:szCs w:val="20"/>
          <w:u w:val="single"/>
        </w:rPr>
        <w:t>Cancer Treatment:</w:t>
      </w:r>
      <w:r w:rsidRPr="00F104D0">
        <w:rPr>
          <w:color w:val="000000" w:themeColor="text1"/>
          <w:sz w:val="20"/>
          <w:szCs w:val="20"/>
        </w:rPr>
        <w:t xml:space="preserve"> In oncology, </w:t>
      </w:r>
      <w:proofErr w:type="spellStart"/>
      <w:r w:rsidRPr="00F104D0">
        <w:rPr>
          <w:color w:val="000000" w:themeColor="text1"/>
          <w:sz w:val="20"/>
          <w:szCs w:val="20"/>
        </w:rPr>
        <w:t>pharmacogenomics</w:t>
      </w:r>
      <w:proofErr w:type="spellEnd"/>
      <w:r w:rsidRPr="00F104D0">
        <w:rPr>
          <w:color w:val="000000" w:themeColor="text1"/>
          <w:sz w:val="20"/>
          <w:szCs w:val="20"/>
        </w:rPr>
        <w:t xml:space="preserve"> can guide the selection of chemotherapy drugs and predict patients' response to specific treatments</w:t>
      </w:r>
      <w:r w:rsidR="009A774E" w:rsidRPr="00F104D0">
        <w:rPr>
          <w:color w:val="000000" w:themeColor="text1"/>
          <w:sz w:val="20"/>
          <w:szCs w:val="20"/>
        </w:rPr>
        <w:fldChar w:fldCharType="begin" w:fldLock="1"/>
      </w:r>
      <w:r w:rsidR="008A18B3">
        <w:rPr>
          <w:color w:val="000000" w:themeColor="text1"/>
          <w:sz w:val="20"/>
          <w:szCs w:val="20"/>
        </w:rPr>
        <w:instrText>ADDIN CSL_CITATION {"citationItems":[{"id":"ITEM-1","itemData":{"DOI":"10.1634/theoncologist.10-2-104","ISSN":"1083-7159","author":[{"dropping-particle":"","family":"Lee","given":"Wooin","non-dropping-particle":"","parse-names":false,"suffix":""},{"dropping-particle":"","family":"Lockhart","given":"A. Craig","non-dropping-particle":"","parse-names":false,"suffix":""},{"dropping-particle":"","family":"Kim","given":"Richard B.","non-dropping-particle":"","parse-names":false,"suffix":""},{"dropping-particle":"","family":"Rothenberg","given":"Mace L.","non-dropping-particle":"","parse-names":false,"suffix":""}],"container-title":"The Oncologist","id":"ITEM-1","issue":"2","issued":{"date-parts":[["2005","2","1"]]},"page":"104-111","title":"Cancer Pharmacogenomics: Powerful Tools in Cancer Chemotherapy and Drug Development","type":"article-journal","volume":"10"},"uris":["http://www.mendeley.com/documents/?uuid=6c249e71-2ba2-45d1-9099-56895dc849b6"]}],"mendeley":{"formattedCitation":"[16]","plainTextFormattedCitation":"[16]","previouslyFormattedCitation":"[16]"},"properties":{"noteIndex":0},"schema":"https://github.com/citation-style-language/schema/raw/master/csl-citation.json"}</w:instrText>
      </w:r>
      <w:r w:rsidR="009A774E" w:rsidRPr="00F104D0">
        <w:rPr>
          <w:color w:val="000000" w:themeColor="text1"/>
          <w:sz w:val="20"/>
          <w:szCs w:val="20"/>
        </w:rPr>
        <w:fldChar w:fldCharType="separate"/>
      </w:r>
      <w:r w:rsidR="00F104D0" w:rsidRPr="00F104D0">
        <w:rPr>
          <w:noProof/>
          <w:color w:val="000000" w:themeColor="text1"/>
          <w:sz w:val="20"/>
          <w:szCs w:val="20"/>
        </w:rPr>
        <w:t>[16]</w:t>
      </w:r>
      <w:r w:rsidR="009A774E" w:rsidRPr="00F104D0">
        <w:rPr>
          <w:color w:val="000000" w:themeColor="text1"/>
          <w:sz w:val="20"/>
          <w:szCs w:val="20"/>
        </w:rPr>
        <w:fldChar w:fldCharType="end"/>
      </w:r>
    </w:p>
    <w:p w:rsidR="000D0FAD" w:rsidRPr="00F104D0" w:rsidRDefault="000D0FAD" w:rsidP="003A3140">
      <w:pPr>
        <w:pStyle w:val="NormalWeb"/>
        <w:numPr>
          <w:ilvl w:val="0"/>
          <w:numId w:val="3"/>
        </w:numPr>
        <w:spacing w:before="0" w:beforeAutospacing="0" w:after="0" w:afterAutospacing="0"/>
        <w:jc w:val="both"/>
        <w:rPr>
          <w:color w:val="000000" w:themeColor="text1"/>
          <w:sz w:val="20"/>
          <w:szCs w:val="20"/>
        </w:rPr>
      </w:pPr>
      <w:r w:rsidRPr="00F104D0">
        <w:rPr>
          <w:b/>
          <w:color w:val="000000" w:themeColor="text1"/>
          <w:sz w:val="20"/>
          <w:szCs w:val="20"/>
          <w:u w:val="single"/>
        </w:rPr>
        <w:t>Psychiatry:</w:t>
      </w:r>
      <w:r w:rsidRPr="00F104D0">
        <w:rPr>
          <w:color w:val="000000" w:themeColor="text1"/>
          <w:sz w:val="20"/>
          <w:szCs w:val="20"/>
        </w:rPr>
        <w:t xml:space="preserve"> </w:t>
      </w:r>
      <w:proofErr w:type="spellStart"/>
      <w:r w:rsidRPr="00F104D0">
        <w:rPr>
          <w:color w:val="000000" w:themeColor="text1"/>
          <w:sz w:val="20"/>
          <w:szCs w:val="20"/>
        </w:rPr>
        <w:t>Pharmacogenomics</w:t>
      </w:r>
      <w:proofErr w:type="spellEnd"/>
      <w:r w:rsidRPr="00F104D0">
        <w:rPr>
          <w:color w:val="000000" w:themeColor="text1"/>
          <w:sz w:val="20"/>
          <w:szCs w:val="20"/>
        </w:rPr>
        <w:t xml:space="preserve"> finds application in psychiatric practice to identify drugs that are more likely to be effective and better tolerated by individual patients</w:t>
      </w:r>
      <w:r w:rsidR="009A774E" w:rsidRPr="00F104D0">
        <w:rPr>
          <w:color w:val="000000" w:themeColor="text1"/>
          <w:sz w:val="20"/>
          <w:szCs w:val="20"/>
        </w:rPr>
        <w:fldChar w:fldCharType="begin" w:fldLock="1"/>
      </w:r>
      <w:r w:rsidR="008A18B3">
        <w:rPr>
          <w:color w:val="000000" w:themeColor="text1"/>
          <w:sz w:val="20"/>
          <w:szCs w:val="20"/>
        </w:rPr>
        <w:instrText>ADDIN CSL_CITATION {"citationItems":[{"id":"ITEM-1","itemData":{"DOI":"10.3390/ijms232113485","ISSN":"1422-0067","abstract":"The activity of cytochrome P450 enzymes is influenced by genetic and nongenetic factors; hence, the metabolism of exogenous psychotropic medications and potentially some endogenous neuropeptides is variably affected among different ethnic groups of psychiatric patients. The aim of this review is to highlight the most common cytochrome P450 isoenzymes associated with the metabolism of psychotropic medications (antidepressants, antipsychotics, and mood stabilizers), their variations among different populations, their impact on endogenous neurotransmitters (dopamine and serotonin), and the effect of nongenetic factors, particularly smoking, age, and pregnancy, on their metabolic activity. Furthermore, the adverse effects of psychiatric medications may be associated with certain human leukocytic antigen (HLA) genotypes. We also highlight the gene variants that may potentially increase susceptibility to obesity and metabolic syndrome, as the adverse effects of some psychiatry medications. Collectively, the literature revealed that variation of CYP450 activity is mostly investigated in relation to genetic polymorphism, and is directly correlated with individualized clinical outcomes; whereas adverse effects are associated with HLA variants, projecting the value of pharmacogenetics implementation in psychiatry clinics. Only a few previous studies have discussed the impact of such genetic variations on the metabolism of endogenous neuropeptides. In this review, we also report on the prevalence of key variants in different ethnicities, by demonstrating publicly available data from the 1000 Genomes Project and others. Finally, we highlight the future direction of further investigations to enhance the predictability of the individual gene variants to achieve precision therapies for psychiatric patients.","author":[{"dropping-particle":"","family":"Alchakee","given":"Aminah","non-dropping-particle":"","parse-names":false,"suffix":""},{"dropping-particle":"","family":"Ahmed","given":"Munazza","non-dropping-particle":"","parse-names":false,"suffix":""},{"dropping-particle":"","family":"Eldohaji","given":"Leen","non-dropping-particle":"","parse-names":false,"suffix":""},{"dropping-particle":"","family":"Alhaj","given":"Hamid","non-dropping-particle":"","parse-names":false,"suffix":""},{"dropping-particle":"","family":"Saber-Ayad","given":"Maha","non-dropping-particle":"","parse-names":false,"suffix":""}],"container-title":"International Journal of Molecular Sciences","id":"ITEM-1","issue":"21","issued":{"date-parts":[["2022","11","3"]]},"page":"13485","title":"Pharmacogenomics in Psychiatry Practice: The Value and the Challenges","type":"article-journal","volume":"23"},"uris":["http://www.mendeley.com/documents/?uuid=00deb756-a2c1-4f95-8471-032c382e87da"]}],"mendeley":{"formattedCitation":"[27]","plainTextFormattedCitation":"[27]","previouslyFormattedCitation":"[27]"},"properties":{"noteIndex":0},"schema":"https://github.com/citation-style-language/schema/raw/master/csl-citation.json"}</w:instrText>
      </w:r>
      <w:r w:rsidR="009A774E" w:rsidRPr="00F104D0">
        <w:rPr>
          <w:color w:val="000000" w:themeColor="text1"/>
          <w:sz w:val="20"/>
          <w:szCs w:val="20"/>
        </w:rPr>
        <w:fldChar w:fldCharType="separate"/>
      </w:r>
      <w:r w:rsidR="00F104D0" w:rsidRPr="00F104D0">
        <w:rPr>
          <w:noProof/>
          <w:color w:val="000000" w:themeColor="text1"/>
          <w:sz w:val="20"/>
          <w:szCs w:val="20"/>
        </w:rPr>
        <w:t>[27]</w:t>
      </w:r>
      <w:r w:rsidR="009A774E" w:rsidRPr="00F104D0">
        <w:rPr>
          <w:color w:val="000000" w:themeColor="text1"/>
          <w:sz w:val="20"/>
          <w:szCs w:val="20"/>
        </w:rPr>
        <w:fldChar w:fldCharType="end"/>
      </w:r>
      <w:r w:rsidRPr="00F104D0">
        <w:rPr>
          <w:color w:val="000000" w:themeColor="text1"/>
          <w:sz w:val="20"/>
          <w:szCs w:val="20"/>
          <w:shd w:val="clear" w:color="auto" w:fill="FFFFFF"/>
        </w:rPr>
        <w:t xml:space="preserve"> </w:t>
      </w:r>
    </w:p>
    <w:p w:rsidR="000D0FAD" w:rsidRPr="00F104D0" w:rsidRDefault="000D0FAD" w:rsidP="003A3140">
      <w:pPr>
        <w:pStyle w:val="NormalWeb"/>
        <w:numPr>
          <w:ilvl w:val="0"/>
          <w:numId w:val="3"/>
        </w:numPr>
        <w:spacing w:before="0" w:beforeAutospacing="0" w:after="0" w:afterAutospacing="0"/>
        <w:jc w:val="both"/>
        <w:rPr>
          <w:color w:val="000000" w:themeColor="text1"/>
          <w:sz w:val="20"/>
          <w:szCs w:val="20"/>
        </w:rPr>
      </w:pPr>
      <w:r w:rsidRPr="00F104D0">
        <w:rPr>
          <w:b/>
          <w:color w:val="000000" w:themeColor="text1"/>
          <w:sz w:val="20"/>
          <w:szCs w:val="20"/>
          <w:u w:val="single"/>
        </w:rPr>
        <w:t>Cardiovascular Medicine</w:t>
      </w:r>
      <w:r w:rsidRPr="00F104D0">
        <w:rPr>
          <w:color w:val="000000" w:themeColor="text1"/>
          <w:sz w:val="20"/>
          <w:szCs w:val="20"/>
        </w:rPr>
        <w:t>:</w:t>
      </w:r>
      <w:r w:rsidRPr="00F104D0">
        <w:rPr>
          <w:color w:val="000000" w:themeColor="text1"/>
          <w:sz w:val="20"/>
          <w:szCs w:val="20"/>
          <w:shd w:val="clear" w:color="auto" w:fill="F7F7F8"/>
        </w:rPr>
        <w:t xml:space="preserve"> </w:t>
      </w:r>
      <w:r w:rsidRPr="00F104D0">
        <w:rPr>
          <w:color w:val="000000" w:themeColor="text1"/>
          <w:sz w:val="20"/>
          <w:szCs w:val="20"/>
        </w:rPr>
        <w:t xml:space="preserve">Utilizing genetic information can assist in identifying the most appropriate anticoagulants or </w:t>
      </w:r>
      <w:proofErr w:type="spellStart"/>
      <w:r w:rsidRPr="00F104D0">
        <w:rPr>
          <w:color w:val="000000" w:themeColor="text1"/>
          <w:sz w:val="20"/>
          <w:szCs w:val="20"/>
        </w:rPr>
        <w:t>antiplatelet</w:t>
      </w:r>
      <w:proofErr w:type="spellEnd"/>
      <w:r w:rsidRPr="00F104D0">
        <w:rPr>
          <w:color w:val="000000" w:themeColor="text1"/>
          <w:sz w:val="20"/>
          <w:szCs w:val="20"/>
        </w:rPr>
        <w:t xml:space="preserve"> therapies for patients, reducing the risk of adverse events</w:t>
      </w:r>
      <w:r w:rsidR="009A774E" w:rsidRPr="00F104D0">
        <w:rPr>
          <w:color w:val="000000" w:themeColor="text1"/>
          <w:sz w:val="20"/>
          <w:szCs w:val="20"/>
        </w:rPr>
        <w:fldChar w:fldCharType="begin" w:fldLock="1"/>
      </w:r>
      <w:r w:rsidR="008A18B3">
        <w:rPr>
          <w:color w:val="000000" w:themeColor="text1"/>
          <w:sz w:val="20"/>
          <w:szCs w:val="20"/>
        </w:rPr>
        <w:instrText>ADDIN CSL_CITATION {"citationItems":[{"id":"ITEM-1","itemData":{"DOI":"10.1055/a-1724-4922","ISSN":"0720-9355","abstract":"Antiplatelet and anticoagulant drugs work at different places in the coagulation system. Antiplatelet drugs are usually indicated in patients with atherosclerosis. Anticoagulant drugs are mostly used in patients with atrial fibrillation, venous thromboembolism, or technical heart valves. In some clinical situations, combination of antiplatelet and anticoagulant therapy can be indicated. The most recent situations are a more intensive antithrombotic therapy for risk reduction in patients with atherosclerosis and temporary addition of antiplatelet drugs in patients with indication for long-term anticoagulation. Temporary combination of antiplatelet and anticoagulant drugs is usually necessary after coronary intervention in patients with atrial fibrillation. In patients with high-risk atherosclerosis, the combination of low-dose rivaroxaban and aspirin reduces major adverse cardiovascular events (myocardial infarction, stroke, cardiovascular death) and major adverse limb events. But every combination of antiplatelet and antithrombotic drugs can increase bleeding risk. Therefore, a careful assessment of thrombotic versus bleeding risk is necessary for each patient.","author":[{"dropping-particle":"","family":"Espinola-Klein","given":"Christine","non-dropping-particle":"","parse-names":false,"suffix":""}],"container-title":"Hämostaseologie","id":"ITEM-1","issue":"01","issued":{"date-parts":[["2022","2","23"]]},"page":"073-079","title":"When and How to Combine Antiplatelet and Anticoagulant Drugs?","type":"article-journal","volume":"42"},"uris":["http://www.mendeley.com/documents/?uuid=7789edfc-c915-4d76-bbd9-6fc3a6f1efdc"]}],"mendeley":{"formattedCitation":"[28]","plainTextFormattedCitation":"[28]","previouslyFormattedCitation":"[28]"},"properties":{"noteIndex":0},"schema":"https://github.com/citation-style-language/schema/raw/master/csl-citation.json"}</w:instrText>
      </w:r>
      <w:r w:rsidR="009A774E" w:rsidRPr="00F104D0">
        <w:rPr>
          <w:color w:val="000000" w:themeColor="text1"/>
          <w:sz w:val="20"/>
          <w:szCs w:val="20"/>
        </w:rPr>
        <w:fldChar w:fldCharType="separate"/>
      </w:r>
      <w:r w:rsidR="00F104D0" w:rsidRPr="00F104D0">
        <w:rPr>
          <w:noProof/>
          <w:color w:val="000000" w:themeColor="text1"/>
          <w:sz w:val="20"/>
          <w:szCs w:val="20"/>
        </w:rPr>
        <w:t>[28]</w:t>
      </w:r>
      <w:r w:rsidR="009A774E" w:rsidRPr="00F104D0">
        <w:rPr>
          <w:color w:val="000000" w:themeColor="text1"/>
          <w:sz w:val="20"/>
          <w:szCs w:val="20"/>
        </w:rPr>
        <w:fldChar w:fldCharType="end"/>
      </w:r>
    </w:p>
    <w:p w:rsidR="000D0FAD" w:rsidRPr="00F104D0" w:rsidRDefault="000D0FAD" w:rsidP="003A3140">
      <w:pPr>
        <w:pStyle w:val="NormalWeb"/>
        <w:numPr>
          <w:ilvl w:val="0"/>
          <w:numId w:val="3"/>
        </w:numPr>
        <w:spacing w:before="0" w:beforeAutospacing="0" w:after="0" w:afterAutospacing="0"/>
        <w:jc w:val="both"/>
        <w:rPr>
          <w:color w:val="000000" w:themeColor="text1"/>
          <w:sz w:val="20"/>
          <w:szCs w:val="20"/>
        </w:rPr>
      </w:pPr>
      <w:r w:rsidRPr="00F104D0">
        <w:rPr>
          <w:b/>
          <w:color w:val="000000" w:themeColor="text1"/>
          <w:sz w:val="20"/>
          <w:szCs w:val="20"/>
          <w:u w:val="single"/>
        </w:rPr>
        <w:t>HIV Treatment:</w:t>
      </w:r>
      <w:r w:rsidRPr="00F104D0">
        <w:rPr>
          <w:color w:val="000000" w:themeColor="text1"/>
          <w:sz w:val="20"/>
          <w:szCs w:val="20"/>
        </w:rPr>
        <w:t xml:space="preserve"> </w:t>
      </w:r>
      <w:proofErr w:type="spellStart"/>
      <w:r w:rsidRPr="00F104D0">
        <w:rPr>
          <w:color w:val="000000" w:themeColor="text1"/>
          <w:sz w:val="20"/>
          <w:szCs w:val="20"/>
        </w:rPr>
        <w:t>Pharmacogenomics</w:t>
      </w:r>
      <w:proofErr w:type="spellEnd"/>
      <w:r w:rsidRPr="00F104D0">
        <w:rPr>
          <w:color w:val="000000" w:themeColor="text1"/>
          <w:sz w:val="20"/>
          <w:szCs w:val="20"/>
        </w:rPr>
        <w:t xml:space="preserve"> can aid in the identification of suitable antiretroviral therapies and predict drug interactions for HIV patients</w:t>
      </w:r>
      <w:r w:rsidR="009A774E" w:rsidRPr="00F104D0">
        <w:rPr>
          <w:color w:val="000000" w:themeColor="text1"/>
          <w:sz w:val="20"/>
          <w:szCs w:val="20"/>
        </w:rPr>
        <w:fldChar w:fldCharType="begin" w:fldLock="1"/>
      </w:r>
      <w:r w:rsidR="008A18B3">
        <w:rPr>
          <w:color w:val="000000" w:themeColor="text1"/>
          <w:sz w:val="20"/>
          <w:szCs w:val="20"/>
        </w:rPr>
        <w:instrText>ADDIN CSL_CITATION {"citationItems":[{"id":"ITEM-1","itemData":{"DOI":"10.1146/annurev-pharmtox-021320-111248","ISSN":"0362-1642","abstract":"Antiretroviral therapy has markedly reduced morbidity and mortality for persons living with human immunodeficiency virus (HIV). Individual tailoring of antiretroviral regimens has the potential to further improve the long-term management of HIV through the mitigation of treatment failure and drug-induced toxicities. While the mechanisms underlying anti-HIV drug adverse outcomes are multifactorial, the application of drug-specific pharmacogenomic knowledge is required in order to move toward the personalization of HIV therapy. Thus, detailed understanding of the metabolism and transport of antiretrovirals and the influence of genetics on these pathways is important. To this end, this review provides an up-to-date overview of the metabolism of anti-HIV therapeutics and the impact of genetic variation in drug metabolism and transport on the treatment of HIV. Future perspectives on and current challenges in pursuing personalized HIV treatment are also discussed.","author":[{"dropping-particle":"","family":"Yu","given":"Zaikuan J.","non-dropping-particle":"","parse-names":false,"suffix":""},{"dropping-particle":"","family":"Mosher","given":"Eric P.","non-dropping-particle":"","parse-names":false,"suffix":""},{"dropping-particle":"","family":"Bumpus","given":"Namandjé N.","non-dropping-particle":"","parse-names":false,"suffix":""}],"container-title":"Annual Review of Pharmacology and Toxicology","id":"ITEM-1","issue":"1","issued":{"date-parts":[["2021","1","6"]]},"page":"565-585","title":"Pharmacogenomics of Antiretroviral Drug Metabolism and Transport","type":"article-journal","volume":"61"},"uris":["http://www.mendeley.com/documents/?uuid=60699bc7-b14b-49e1-9a38-ac499bac069d"]}],"mendeley":{"formattedCitation":"[29]","plainTextFormattedCitation":"[29]","previouslyFormattedCitation":"[29]"},"properties":{"noteIndex":0},"schema":"https://github.com/citation-style-language/schema/raw/master/csl-citation.json"}</w:instrText>
      </w:r>
      <w:r w:rsidR="009A774E" w:rsidRPr="00F104D0">
        <w:rPr>
          <w:color w:val="000000" w:themeColor="text1"/>
          <w:sz w:val="20"/>
          <w:szCs w:val="20"/>
        </w:rPr>
        <w:fldChar w:fldCharType="separate"/>
      </w:r>
      <w:r w:rsidR="00F104D0" w:rsidRPr="00F104D0">
        <w:rPr>
          <w:noProof/>
          <w:color w:val="000000" w:themeColor="text1"/>
          <w:sz w:val="20"/>
          <w:szCs w:val="20"/>
        </w:rPr>
        <w:t>[29]</w:t>
      </w:r>
      <w:r w:rsidR="009A774E" w:rsidRPr="00F104D0">
        <w:rPr>
          <w:color w:val="000000" w:themeColor="text1"/>
          <w:sz w:val="20"/>
          <w:szCs w:val="20"/>
        </w:rPr>
        <w:fldChar w:fldCharType="end"/>
      </w:r>
    </w:p>
    <w:p w:rsidR="000D0FAD" w:rsidRDefault="000D0FAD" w:rsidP="003A3140">
      <w:pPr>
        <w:pStyle w:val="NormalWeb"/>
        <w:spacing w:before="300" w:beforeAutospacing="0" w:after="0" w:afterAutospacing="0"/>
        <w:jc w:val="both"/>
        <w:rPr>
          <w:color w:val="000000" w:themeColor="text1"/>
          <w:sz w:val="20"/>
          <w:szCs w:val="20"/>
        </w:rPr>
      </w:pPr>
      <w:proofErr w:type="spellStart"/>
      <w:r w:rsidRPr="00F104D0">
        <w:rPr>
          <w:color w:val="000000" w:themeColor="text1"/>
          <w:sz w:val="20"/>
          <w:szCs w:val="20"/>
        </w:rPr>
        <w:t>Pharmacogenomics</w:t>
      </w:r>
      <w:proofErr w:type="spellEnd"/>
      <w:r w:rsidRPr="00F104D0">
        <w:rPr>
          <w:color w:val="000000" w:themeColor="text1"/>
          <w:sz w:val="20"/>
          <w:szCs w:val="20"/>
        </w:rPr>
        <w:t xml:space="preserve"> promises personalized and effective drug therapies, benefiting patients and reducing healthcare costs. Yet, widespread implementation demands further research, standardization, and integration into clinical practice</w:t>
      </w:r>
      <w:r w:rsidR="009A774E" w:rsidRPr="00F104D0">
        <w:rPr>
          <w:color w:val="000000" w:themeColor="text1"/>
          <w:sz w:val="20"/>
          <w:szCs w:val="20"/>
        </w:rPr>
        <w:fldChar w:fldCharType="begin" w:fldLock="1"/>
      </w:r>
      <w:r w:rsidR="008A18B3">
        <w:rPr>
          <w:color w:val="000000" w:themeColor="text1"/>
          <w:sz w:val="20"/>
          <w:szCs w:val="20"/>
        </w:rPr>
        <w:instrText>ADDIN CSL_CITATION {"citationItems":[{"id":"ITEM-1","itemData":{"DOI":"10.3390/genes11060679","ISSN":"2073-4425","abstract":"Pharmacogenomics is one of the emerging approaches to precision medicine, tailoring drug selection and dosing to the patient’s genetic features. In recent years, several pharmacogenetic guidelines have been published by international scientific consortia, but the uptake in clinical practice is still poor. Many coordinated international efforts are ongoing in order to overcome the existing barriers to pharmacogenomic implementation. On the other hand, existing validated pharmacogenomic markers can explain only a minor part of the observed clinical variability in the therapeutic outcome. New investigational approaches are warranted, including the study of the pharmacogenomic role of the immune system genetics and of previously neglected rare genetic variants, reported to account for a large part of the inter-individual variability in drug metabolism. In this Special Issue, we collected a series of articles covering many aspects of pharmacogenomics. These include clinical implementation of pharmacogenomics in clinical practice, development of tools or infrastractures to support this process, research of new pharmacogenomics markers to increase drug efficacy and safety, and the impact of rare genetic variants in pharmacogenomics.","author":[{"dropping-particle":"","family":"Cecchin","given":"Erika","non-dropping-particle":"","parse-names":false,"suffix":""},{"dropping-particle":"","family":"Stocco","given":"Gabriele","non-dropping-particle":"","parse-names":false,"suffix":""}],"container-title":"Genes","id":"ITEM-1","issue":"6","issued":{"date-parts":[["2020","6","22"]]},"page":"679","title":"Pharmacogenomics and Personalized Medicine","type":"article-journal","volume":"11"},"uris":["http://www.mendeley.com/documents/?uuid=ea15e4ec-273d-4ad9-ae6f-0c5b5d4c04bb"]}],"mendeley":{"formattedCitation":"[30]","plainTextFormattedCitation":"[30]","previouslyFormattedCitation":"[30]"},"properties":{"noteIndex":0},"schema":"https://github.com/citation-style-language/schema/raw/master/csl-citation.json"}</w:instrText>
      </w:r>
      <w:r w:rsidR="009A774E" w:rsidRPr="00F104D0">
        <w:rPr>
          <w:color w:val="000000" w:themeColor="text1"/>
          <w:sz w:val="20"/>
          <w:szCs w:val="20"/>
        </w:rPr>
        <w:fldChar w:fldCharType="separate"/>
      </w:r>
      <w:r w:rsidR="00F104D0" w:rsidRPr="00F104D0">
        <w:rPr>
          <w:noProof/>
          <w:color w:val="000000" w:themeColor="text1"/>
          <w:sz w:val="20"/>
          <w:szCs w:val="20"/>
        </w:rPr>
        <w:t>[30]</w:t>
      </w:r>
      <w:r w:rsidR="009A774E" w:rsidRPr="00F104D0">
        <w:rPr>
          <w:color w:val="000000" w:themeColor="text1"/>
          <w:sz w:val="20"/>
          <w:szCs w:val="20"/>
        </w:rPr>
        <w:fldChar w:fldCharType="end"/>
      </w:r>
    </w:p>
    <w:p w:rsidR="002C2497" w:rsidRPr="00F104D0" w:rsidRDefault="002C2497" w:rsidP="003A3140">
      <w:pPr>
        <w:pStyle w:val="NormalWeb"/>
        <w:spacing w:before="300" w:beforeAutospacing="0" w:after="0" w:afterAutospacing="0"/>
        <w:jc w:val="both"/>
        <w:rPr>
          <w:color w:val="212121"/>
          <w:sz w:val="20"/>
          <w:szCs w:val="20"/>
          <w:shd w:val="clear" w:color="auto" w:fill="FFFFFF"/>
        </w:rPr>
      </w:pPr>
    </w:p>
    <w:p w:rsidR="000D0FAD" w:rsidRPr="008A18B3" w:rsidRDefault="008A18B3" w:rsidP="003A3140">
      <w:pPr>
        <w:pStyle w:val="NormalWeb"/>
        <w:spacing w:before="300" w:beforeAutospacing="0" w:after="0" w:afterAutospacing="0"/>
        <w:jc w:val="both"/>
        <w:rPr>
          <w:b/>
          <w:color w:val="212121"/>
          <w:sz w:val="20"/>
          <w:szCs w:val="20"/>
          <w:shd w:val="clear" w:color="auto" w:fill="FFFFFF"/>
        </w:rPr>
      </w:pPr>
      <w:r w:rsidRPr="008A18B3">
        <w:rPr>
          <w:b/>
          <w:color w:val="212121"/>
          <w:sz w:val="20"/>
          <w:szCs w:val="20"/>
          <w:shd w:val="clear" w:color="auto" w:fill="FFFFFF"/>
        </w:rPr>
        <w:t>IV</w:t>
      </w:r>
      <w:r>
        <w:rPr>
          <w:b/>
          <w:color w:val="212121"/>
          <w:sz w:val="20"/>
          <w:szCs w:val="20"/>
          <w:shd w:val="clear" w:color="auto" w:fill="FFFFFF"/>
        </w:rPr>
        <w:t>.</w:t>
      </w:r>
      <w:r w:rsidR="000D0FAD" w:rsidRPr="008A18B3">
        <w:rPr>
          <w:b/>
          <w:color w:val="212121"/>
          <w:sz w:val="20"/>
          <w:szCs w:val="20"/>
          <w:shd w:val="clear" w:color="auto" w:fill="FFFFFF"/>
        </w:rPr>
        <w:t>FUTURE DIRECTIONS AND EMERGING TRENDS OF PHARMACOGENOMICS</w:t>
      </w:r>
    </w:p>
    <w:p w:rsidR="000D0FAD" w:rsidRPr="008A18B3" w:rsidRDefault="000D0FAD" w:rsidP="003A3140">
      <w:pPr>
        <w:pStyle w:val="NormalWeb"/>
        <w:spacing w:before="300" w:beforeAutospacing="0" w:after="0" w:afterAutospacing="0"/>
        <w:jc w:val="both"/>
        <w:rPr>
          <w:b/>
          <w:color w:val="212121"/>
          <w:sz w:val="20"/>
          <w:szCs w:val="20"/>
          <w:shd w:val="clear" w:color="auto" w:fill="FFFFFF"/>
        </w:rPr>
      </w:pPr>
    </w:p>
    <w:p w:rsidR="000D0FAD" w:rsidRPr="00F104D0" w:rsidRDefault="000D0FAD" w:rsidP="003A3140">
      <w:pPr>
        <w:spacing w:before="300" w:after="300" w:line="240" w:lineRule="auto"/>
        <w:jc w:val="both"/>
        <w:rPr>
          <w:rFonts w:ascii="Times New Roman" w:hAnsi="Times New Roman" w:cs="Times New Roman"/>
          <w:color w:val="000000" w:themeColor="text1"/>
          <w:sz w:val="20"/>
          <w:szCs w:val="20"/>
        </w:rPr>
      </w:pPr>
      <w:r w:rsidRPr="00F104D0">
        <w:rPr>
          <w:rFonts w:ascii="Times New Roman" w:hAnsi="Times New Roman" w:cs="Times New Roman"/>
          <w:color w:val="000000" w:themeColor="text1"/>
          <w:sz w:val="20"/>
          <w:szCs w:val="20"/>
        </w:rPr>
        <w:t xml:space="preserve">The future of </w:t>
      </w:r>
      <w:proofErr w:type="spellStart"/>
      <w:r w:rsidRPr="00F104D0">
        <w:rPr>
          <w:rFonts w:ascii="Times New Roman" w:hAnsi="Times New Roman" w:cs="Times New Roman"/>
          <w:color w:val="000000" w:themeColor="text1"/>
          <w:sz w:val="20"/>
          <w:szCs w:val="20"/>
        </w:rPr>
        <w:t>pharmacogenomics</w:t>
      </w:r>
      <w:proofErr w:type="spellEnd"/>
      <w:r w:rsidRPr="00F104D0">
        <w:rPr>
          <w:rFonts w:ascii="Times New Roman" w:hAnsi="Times New Roman" w:cs="Times New Roman"/>
          <w:color w:val="000000" w:themeColor="text1"/>
          <w:sz w:val="20"/>
          <w:szCs w:val="20"/>
        </w:rPr>
        <w:t xml:space="preserve"> depends on further advancements in genetic technologies. Next-generation sequencing (NGS) and targeted genotyping will allow comprehensive and affordable analysis of patients' genetic profiles, providing valuable information about drug metabolism and response patterns</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10.1080/14737159.2018.1461561","ISSN":"1473-7159","author":[{"dropping-particle":"","family":"Ji","given":"Yuan","non-dropping-particle":"","parse-names":false,"suffix":""},{"dropping-particle":"","family":"Si","given":"Yue","non-dropping-particle":"","parse-names":false,"suffix":""},{"dropping-particle":"","family":"McMillin","given":"Gwendolyn A.","non-dropping-particle":"","parse-names":false,"suffix":""},{"dropping-particle":"","family":"Lyon","given":"Elaine","non-dropping-particle":"","parse-names":false,"suffix":""}],"container-title":"Expert Review of Molecular Diagnostics","id":"ITEM-1","issue":"5","issued":{"date-parts":[["2018","5","4"]]},"page":"411-421","title":"Clinical pharmacogenomics testing in the era of next generation sequencing: challenges and opportunities for precision medicine","type":"article-journal","volume":"18"},"uris":["http://www.mendeley.com/documents/?uuid=1d6a5349-402e-4be1-9f97-45b47152185b"]}],"mendeley":{"formattedCitation":"[31]","plainTextFormattedCitation":"[31]","previouslyFormattedCitation":"[31]"},"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[31]</w:t>
      </w:r>
      <w:r w:rsidR="009A774E" w:rsidRPr="00F104D0">
        <w:rPr>
          <w:rFonts w:ascii="Times New Roman" w:hAnsi="Times New Roman" w:cs="Times New Roman"/>
          <w:color w:val="000000" w:themeColor="text1"/>
          <w:sz w:val="20"/>
          <w:szCs w:val="20"/>
        </w:rPr>
        <w:fldChar w:fldCharType="end"/>
      </w:r>
      <w:r w:rsidRPr="00F104D0">
        <w:rPr>
          <w:rFonts w:ascii="Times New Roman" w:eastAsia="Times New Roman" w:hAnsi="Times New Roman" w:cs="Times New Roman"/>
          <w:color w:val="000000" w:themeColor="text1"/>
          <w:sz w:val="20"/>
          <w:szCs w:val="20"/>
          <w:lang w:eastAsia="en-IN"/>
        </w:rPr>
        <w:t xml:space="preserve"> </w:t>
      </w:r>
      <w:proofErr w:type="spellStart"/>
      <w:r w:rsidRPr="00F104D0">
        <w:rPr>
          <w:rFonts w:ascii="Times New Roman" w:hAnsi="Times New Roman" w:cs="Times New Roman"/>
          <w:color w:val="000000" w:themeColor="text1"/>
          <w:sz w:val="20"/>
          <w:szCs w:val="20"/>
        </w:rPr>
        <w:t>Pharmacogenomics</w:t>
      </w:r>
      <w:proofErr w:type="spellEnd"/>
      <w:r w:rsidRPr="00F104D0">
        <w:rPr>
          <w:rFonts w:ascii="Times New Roman" w:hAnsi="Times New Roman" w:cs="Times New Roman"/>
          <w:color w:val="000000" w:themeColor="text1"/>
          <w:sz w:val="20"/>
          <w:szCs w:val="20"/>
        </w:rPr>
        <w:t xml:space="preserve"> research is on the brink of a revolution with the integration of artificial intelligence (AI) and big data analytics. AI-powered algorithms have the potential to efficiently analyze extensive datasets, discover new genetic markers, and predict drug responses more accurately, leading to highly personalized and effective drug therapies</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{"citationItems":[{"id":"ITEM-1","itemData":{"DOI":"10.7717/peerj-cs.488","ISSN":"2376-5992","abstract":"Recent advances in sensor networks and the Internet of Things (IoT) technologies have led to the gathering of an enormous scale of data. The exploration of such huge quantities of data needs more efficient methods with high analysis accuracy. Artificial Intelligence (AI) techniques such as machine learning and evolutionary algorithms able to provide more precise, faster, and scalable outcomes in big data analytics. Despite this interest, as far as we are aware there is not any complete survey of various artificial intelligence techniques for big data analytics. The present survey aims to study the research done on big data analytics using artificial intelligence techniques. The authors select related research papers using the Systematic Literature Review (SLR) method. Four groups are considered to investigate these mechanisms which are machine learning, knowledge-based and reasoning methods, decision-making algorithms, and search methods and optimization theory. A number of articles are investigated within each category. Furthermore, this survey denotes the strengths and weaknesses of the selected AI-driven big data analytics techniques and discusses the related parameters, comparing them in terms of scalability, efficiency, precision, and privacy. Furthermore, a number of important areas are provided to enhance the big data analytics mechanisms in the future.","author":[{"dropping-particle":"","family":"Rahmani","given":"Amir Masoud","non-dropping-particle":"","parse-names":false,"suffix":""},{"dropping-particle":"","family":"Azhir","given":"Elham","non-dropping-particle":"","parse-names":false,"suffix":""},{"dropping-particle":"","family":"Ali","given":"Saqib","non-dropping-particle":"","parse-names":false,"suffix":""},{"dropping-particle":"","family":"Mohammadi","given":"Mokhtar","non-dropping-particle":"","parse-names":false,"suffix":""},{"dropping-particle":"","family":"Ahmed","given":"Omed Hassan","non-dropping-particle":"","parse-names":false,"suffix":""},{"dropping-particle":"","family":"Yassin Ghafour","given":"Marwan","non-dropping-particle":"","parse-names":false,"suffix":""},{"dropping-particle":"","family":"Hasan Ahmed","given":"Sarkar","non-dropping-particle":"","parse-names":false,"suffix":""},{"dropping-particle":"","family":"Hosseinzadeh","given":"Mehdi","non-dropping-particle":"","parse-names":false,"suffix":""}],"container-title":"PeerJ Computer Science","id":"ITEM-1","issued":{"date-parts":[["2021","4","14"]]},"page":"e488","title":"Artificial intelligence approaches and mechanisms for big data analytics: a systematic study","type":"article-journal","volume":"7"},"uris":["http://www.mendeley.com/documents/?uuid=023bcc23-fad1-45c0-bc7c-864c059a4978"]}],"mendeley":{"formattedCitation":"[32]","plainTextFormattedCitation":"[32]","previouslyFormattedCitation":"[32]"},"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[32]</w:t>
      </w:r>
      <w:r w:rsidR="009A774E" w:rsidRPr="00F104D0">
        <w:rPr>
          <w:rFonts w:ascii="Times New Roman" w:hAnsi="Times New Roman" w:cs="Times New Roman"/>
          <w:color w:val="000000" w:themeColor="text1"/>
          <w:sz w:val="20"/>
          <w:szCs w:val="20"/>
        </w:rPr>
        <w:fldChar w:fldCharType="end"/>
      </w:r>
      <w:r w:rsidR="00E13260" w:rsidRPr="00F104D0">
        <w:rPr>
          <w:rFonts w:ascii="Times New Roman" w:hAnsi="Times New Roman" w:cs="Times New Roman"/>
          <w:color w:val="000000" w:themeColor="text1"/>
          <w:sz w:val="20"/>
          <w:szCs w:val="20"/>
        </w:rPr>
        <w:t>.</w:t>
      </w:r>
      <w:r w:rsidRPr="00F104D0">
        <w:rPr>
          <w:rFonts w:ascii="Times New Roman" w:hAnsi="Times New Roman" w:cs="Times New Roman"/>
          <w:color w:val="000000" w:themeColor="text1"/>
          <w:sz w:val="20"/>
          <w:szCs w:val="20"/>
          <w:shd w:val="clear" w:color="auto" w:fill="F7F7F8"/>
        </w:rPr>
        <w:t xml:space="preserve"> </w:t>
      </w:r>
      <w:r w:rsidRPr="00F104D0">
        <w:rPr>
          <w:rFonts w:ascii="Times New Roman" w:hAnsi="Times New Roman" w:cs="Times New Roman"/>
          <w:color w:val="000000" w:themeColor="text1"/>
          <w:sz w:val="20"/>
          <w:szCs w:val="20"/>
        </w:rPr>
        <w:t xml:space="preserve">Current research is directing its focus towards comprehending </w:t>
      </w:r>
      <w:proofErr w:type="spellStart"/>
      <w:r w:rsidRPr="00F104D0">
        <w:rPr>
          <w:rFonts w:ascii="Times New Roman" w:hAnsi="Times New Roman" w:cs="Times New Roman"/>
          <w:color w:val="000000" w:themeColor="text1"/>
          <w:sz w:val="20"/>
          <w:szCs w:val="20"/>
        </w:rPr>
        <w:t>pharmacogenomic</w:t>
      </w:r>
      <w:proofErr w:type="spellEnd"/>
      <w:r w:rsidRPr="00F104D0">
        <w:rPr>
          <w:rFonts w:ascii="Times New Roman" w:hAnsi="Times New Roman" w:cs="Times New Roman"/>
          <w:color w:val="000000" w:themeColor="text1"/>
          <w:sz w:val="20"/>
          <w:szCs w:val="20"/>
        </w:rPr>
        <w:t xml:space="preserve"> variations in diverse populations. This approach aims to customize drug therapies based on the specific genetic backgrounds of individuals from various ethnicities, promoting equitable and precise treatment outcome</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{"citationItems":[{"id":"ITEM-1","itemData":{"DOI":"10.1038/s41397-021-00260-6","ISSN":"1470-269X","abstract":"Conventional medicines optimisation interventions in people with multimorbidity and polypharmacy are complex and yet limited; a more holistic and integrated approach to healthcare delivery is required. Pharmacogenetics has potential as a component of medicines optimisation. Studies involving multi-medicine pharmacogenetics in adults with multimorbidity or polypharmacy, reporting on outcomes derived from relevant core outcome sets, were included in this systematic review. Narrative synthesis was undertaken to summarise the data; meta-analysis was inappropriate due to study heterogeneity. Fifteen studies of diverse design and variable quality were included. A small, randomised study involving pharmacist-led medicines optimisation, including pharmacogenetics, suggests this approach could have significant benefits for patients and health systems. However, due to study design heterogeneity and the quality of the included studies, it is difficult to draw generalisable conclusions. Further pragmatic, robust pharmacogenetics studies in diverse, real-world patient populations, are required to establish the benefit of multi-medicine pharmacogenetic screening on patient outcomes.","author":[{"dropping-particle":"","family":"O’Shea","given":"Joseph","non-dropping-particle":"","parse-names":false,"suffix":""},{"dropping-particle":"","family":"Ledwidge","given":"Mark","non-dropping-particle":"","parse-names":false,"suffix":""},{"dropping-particle":"","family":"Gallagher","given":"Joseph","non-dropping-particle":"","parse-names":false,"suffix":""},{"dropping-particle":"","family":"Keenan","given":"Catherine","non-dropping-particle":"","parse-names":false,"suffix":""},{"dropping-particle":"","family":"Ryan","given":"Cristín","non-dropping-particle":"","parse-names":false,"suffix":""}],"container-title":"The Pharmacogenomics Journal","id":"ITEM-1","issue":"2","issued":{"date-parts":[["2022","3","22"]]},"page":"89-99","title":"Pharmacogenetic interventions to improve outcomes in patients with multimorbidity or prescribed polypharmacy: a systematic review","type":"article-journal","volume":"22"},"uris":["http://www.mendeley.com/documents/?uuid=05414c1e-198a-4f22-a7c9-a0c4ac585cda"]}],"mendeley":{"formattedCitation":"[33]","plainTextFormattedCitation":"[33]","previouslyFormattedCitation":"[33]"},"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[33]</w:t>
      </w:r>
      <w:r w:rsidR="009A774E" w:rsidRPr="00F104D0">
        <w:rPr>
          <w:rFonts w:ascii="Times New Roman" w:hAnsi="Times New Roman" w:cs="Times New Roman"/>
          <w:color w:val="000000" w:themeColor="text1"/>
          <w:sz w:val="20"/>
          <w:szCs w:val="20"/>
        </w:rPr>
        <w:fldChar w:fldCharType="end"/>
      </w:r>
      <w:r w:rsidRPr="00F104D0">
        <w:rPr>
          <w:rFonts w:ascii="Times New Roman" w:eastAsia="Times New Roman" w:hAnsi="Times New Roman" w:cs="Times New Roman"/>
          <w:color w:val="000000" w:themeColor="text1"/>
          <w:sz w:val="20"/>
          <w:szCs w:val="20"/>
          <w:lang w:eastAsia="en-IN"/>
        </w:rPr>
        <w:t xml:space="preserve">. </w:t>
      </w:r>
      <w:proofErr w:type="spellStart"/>
      <w:r w:rsidRPr="00F104D0">
        <w:rPr>
          <w:rFonts w:ascii="Times New Roman" w:hAnsi="Times New Roman" w:cs="Times New Roman"/>
          <w:color w:val="000000" w:themeColor="text1"/>
          <w:sz w:val="20"/>
          <w:szCs w:val="20"/>
        </w:rPr>
        <w:t>Pharmacogenomic</w:t>
      </w:r>
      <w:proofErr w:type="spellEnd"/>
      <w:r w:rsidRPr="00F104D0">
        <w:rPr>
          <w:rFonts w:ascii="Times New Roman" w:hAnsi="Times New Roman" w:cs="Times New Roman"/>
          <w:color w:val="000000" w:themeColor="text1"/>
          <w:sz w:val="20"/>
          <w:szCs w:val="20"/>
        </w:rPr>
        <w:t xml:space="preserve"> data will assume a crucial role in drug development, aiding in the identification of responders and non-responders during clinical trials. This information empowers pharmaceutical companies to enhance drug efficacy, expedite drug approval processes, and reduce development costs</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{"citationItems":[{"id":"ITEM-1","itemData":{"DOI":"10.31531/2581-4745.1000111","ISSN":"25814745","author":[{"dropping-particle":"","family":"Lopez","given":"Dayami","non-dropping-particle":"","parse-names":false,"suffix":""}],"container-title":"International Journal of Biomedical Investigation","id":"ITEM-1","issue":"2","issued":{"date-parts":[["2018","6","29"]]},"page":"1-16","title":"Pharmacogenetics: An Important Part of Drug Development with A Focus on Its Application","type":"article-journal","volume":"1"},"uris":["http://www.mendeley.com/documents/?uuid=c0085f02-b303-4038-8394-a9b11719ce40"]}],"mendeley":{"formattedCitation":"[25]","plainTextFormattedCitation":"[25]","previouslyFormattedCitation":"[25]"},"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[25]</w:t>
      </w:r>
      <w:r w:rsidR="009A774E" w:rsidRPr="00F104D0">
        <w:rPr>
          <w:rFonts w:ascii="Times New Roman" w:hAnsi="Times New Roman" w:cs="Times New Roman"/>
          <w:color w:val="000000" w:themeColor="text1"/>
          <w:sz w:val="20"/>
          <w:szCs w:val="20"/>
        </w:rPr>
        <w:fldChar w:fldCharType="end"/>
      </w:r>
      <w:r w:rsidRPr="00F104D0">
        <w:rPr>
          <w:rFonts w:ascii="Times New Roman" w:eastAsia="Times New Roman" w:hAnsi="Times New Roman" w:cs="Times New Roman"/>
          <w:color w:val="000000" w:themeColor="text1"/>
          <w:sz w:val="20"/>
          <w:szCs w:val="20"/>
          <w:lang w:eastAsia="en-IN"/>
        </w:rPr>
        <w:t xml:space="preserve">. </w:t>
      </w:r>
      <w:r w:rsidRPr="00F104D0">
        <w:rPr>
          <w:rFonts w:ascii="Times New Roman" w:hAnsi="Times New Roman" w:cs="Times New Roman"/>
          <w:color w:val="000000" w:themeColor="text1"/>
          <w:sz w:val="20"/>
          <w:szCs w:val="20"/>
        </w:rPr>
        <w:t xml:space="preserve">The future of </w:t>
      </w:r>
      <w:proofErr w:type="spellStart"/>
      <w:r w:rsidRPr="00F104D0">
        <w:rPr>
          <w:rFonts w:ascii="Times New Roman" w:hAnsi="Times New Roman" w:cs="Times New Roman"/>
          <w:color w:val="000000" w:themeColor="text1"/>
          <w:sz w:val="20"/>
          <w:szCs w:val="20"/>
        </w:rPr>
        <w:t>pharmacogenomics</w:t>
      </w:r>
      <w:proofErr w:type="spellEnd"/>
      <w:r w:rsidRPr="00F104D0">
        <w:rPr>
          <w:rFonts w:ascii="Times New Roman" w:hAnsi="Times New Roman" w:cs="Times New Roman"/>
          <w:color w:val="000000" w:themeColor="text1"/>
          <w:sz w:val="20"/>
          <w:szCs w:val="20"/>
        </w:rPr>
        <w:t xml:space="preserve"> relies on its widespread integration into routine clinical practice. As research evidence accumulates, healthcare providers will become better equipped to integrate </w:t>
      </w:r>
      <w:proofErr w:type="spellStart"/>
      <w:r w:rsidRPr="00F104D0">
        <w:rPr>
          <w:rFonts w:ascii="Times New Roman" w:hAnsi="Times New Roman" w:cs="Times New Roman"/>
          <w:color w:val="000000" w:themeColor="text1"/>
          <w:sz w:val="20"/>
          <w:szCs w:val="20"/>
        </w:rPr>
        <w:t>pharmacogenomic</w:t>
      </w:r>
      <w:proofErr w:type="spellEnd"/>
      <w:r w:rsidRPr="00F104D0">
        <w:rPr>
          <w:rFonts w:ascii="Times New Roman" w:hAnsi="Times New Roman" w:cs="Times New Roman"/>
          <w:color w:val="000000" w:themeColor="text1"/>
          <w:sz w:val="20"/>
          <w:szCs w:val="20"/>
        </w:rPr>
        <w:t xml:space="preserve"> testing into drug prescription decisions, ultimately enhancing patient safety and treatment efficacy</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{"citationItems":[{"id":"ITEM-1","itemData":{"DOI":"10.3390/pharmaceutics12090809","ISSN":"1999-4923","abstract":"Clinical research in high-income countries is increasingly demonstrating the cost- effectiveness of clinical pharmacogenetic (PGx) testing in reducing the incidence of adverse drug reactions and improving overall patient care. Medications are prescribed based on an individual’s genotype (pharmacogenes), which underlies a specific phenotypic drug response. The advent of cost-effective high-throughput genotyping techniques coupled with the existence of Clinical Pharmacogenetics Implementation Consortium (CPIC) dosing guidelines for pharmacogenetic “actionable variants” have increased the clinical applicability of PGx testing. The implementation of clinical PGx testing in sub-Saharan African (SSA) countries can significantly improve health care delivery, considering the high incidence of communicable diseases, the increasing incidence of non-communicable diseases, and the high degree of genetic diversity in these populations. However, the implementation of PGx testing has been sluggish in SSA, prompting this review, the aim of which is to document the existing barriers. These include under-resourced clinical care logistics, a paucity of pharmacogenetics clinical trials, scientific and technical barriers to genotyping pharmacogene variants, and socio-cultural as well as ethical issues regarding health-care stakeholders, among other barriers. Investing in large-scale SSA PGx research and governance, establishing biobanks/bio-databases coupled with clinical electronic health systems, and encouraging the uptake of PGx knowledge by health-care stakeholders, will ensure the successful implementation of pharmacogenetically guided treatment in SSA.","author":[{"dropping-particle":"","family":"B. Tata","given":"Emiliene","non-dropping-particle":"","parse-names":false,"suffix":""},{"dropping-particle":"","family":"A. Ambele","given":"Melvin","non-dropping-particle":"","parse-names":false,"suffix":""},{"dropping-particle":"","family":"S. Pepper","given":"Michael","non-dropping-particle":"","parse-names":false,"suffix":""}],"container-title":"Pharmaceutics","id":"ITEM-1","issue":"9","issued":{"date-parts":[["2020","8","26"]]},"page":"809","title":"Barriers to Implementing Clinical Pharmacogenetics Testing in Sub-Saharan Africa. A Critical Review","type":"article-journal","volume":"12"},"uris":["http://www.mendeley.com/documents/?uuid=3a3fd88e-a2b4-4718-a245-08d6c6b4f924"]}],"mendeley":{"formattedCitation":"[34]","plainTextFormattedCitation":"[34]","previouslyFormattedCitation":"[34]"},"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[34]</w:t>
      </w:r>
      <w:r w:rsidR="009A774E" w:rsidRPr="00F104D0">
        <w:rPr>
          <w:rFonts w:ascii="Times New Roman" w:hAnsi="Times New Roman" w:cs="Times New Roman"/>
          <w:color w:val="000000" w:themeColor="text1"/>
          <w:sz w:val="20"/>
          <w:szCs w:val="20"/>
        </w:rPr>
        <w:fldChar w:fldCharType="end"/>
      </w:r>
      <w:r w:rsidR="00E13260" w:rsidRPr="00F104D0">
        <w:rPr>
          <w:rFonts w:ascii="Times New Roman" w:hAnsi="Times New Roman" w:cs="Times New Roman"/>
          <w:color w:val="000000" w:themeColor="text1"/>
          <w:sz w:val="20"/>
          <w:szCs w:val="20"/>
        </w:rPr>
        <w:t>.</w:t>
      </w:r>
      <w:r w:rsidRPr="00F104D0">
        <w:rPr>
          <w:rFonts w:ascii="Times New Roman" w:eastAsia="Times New Roman" w:hAnsi="Times New Roman" w:cs="Times New Roman"/>
          <w:color w:val="000000" w:themeColor="text1"/>
          <w:sz w:val="20"/>
          <w:szCs w:val="20"/>
          <w:lang w:eastAsia="en-IN"/>
        </w:rPr>
        <w:t xml:space="preserve"> </w:t>
      </w:r>
      <w:proofErr w:type="spellStart"/>
      <w:r w:rsidRPr="00F104D0">
        <w:rPr>
          <w:rFonts w:ascii="Times New Roman" w:hAnsi="Times New Roman" w:cs="Times New Roman"/>
          <w:color w:val="000000" w:themeColor="text1"/>
          <w:sz w:val="20"/>
          <w:szCs w:val="20"/>
        </w:rPr>
        <w:t>Pharmacogenomics</w:t>
      </w:r>
      <w:proofErr w:type="spellEnd"/>
      <w:r w:rsidRPr="00F104D0">
        <w:rPr>
          <w:rFonts w:ascii="Times New Roman" w:hAnsi="Times New Roman" w:cs="Times New Roman"/>
          <w:color w:val="000000" w:themeColor="text1"/>
          <w:sz w:val="20"/>
          <w:szCs w:val="20"/>
        </w:rPr>
        <w:t xml:space="preserve"> is set to become a pivotal element in the growing domain of precision medicine. By integrating genetic data with </w:t>
      </w:r>
      <w:r w:rsidRPr="00F104D0">
        <w:rPr>
          <w:rFonts w:ascii="Times New Roman" w:hAnsi="Times New Roman" w:cs="Times New Roman"/>
          <w:color w:val="000000" w:themeColor="text1"/>
          <w:sz w:val="20"/>
          <w:szCs w:val="20"/>
        </w:rPr>
        <w:lastRenderedPageBreak/>
        <w:t>other patient-specific information, including medical history and lifestyle factors, healthcare providers can create customized treatment plans, leading to the attainment of optimal therapeutic outcomes</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{"citationItems":[{"id":"ITEM-1","itemData":{"DOI":"10.3390/genes11060679","ISSN":"2073-4425","abstract":"Pharmacogenomics is one of the emerging approaches to precision medicine, tailoring drug selection and dosing to the patient’s genetic features. In recent years, several pharmacogenetic guidelines have been published by international scientific consortia, but the uptake in clinical practice is still poor. Many coordinated international efforts are ongoing in order to overcome the existing barriers to pharmacogenomic implementation. On the other hand, existing validated pharmacogenomic markers can explain only a minor part of the observed clinical variability in the therapeutic outcome. New investigational approaches are warranted, including the study of the pharmacogenomic role of the immune system genetics and of previously neglected rare genetic variants, reported to account for a large part of the inter-individual variability in drug metabolism. In this Special Issue, we collected a series of articles covering many aspects of pharmacogenomics. These include clinical implementation of pharmacogenomics in clinical practice, development of tools or infrastractures to support this process, research of new pharmacogenomics markers to increase drug efficacy and safety, and the impact of rare genetic variants in pharmacogenomics.","author":[{"dropping-particle":"","family":"Cecchin","given":"Erika","non-dropping-particle":"","parse-names":false,"suffix":""},{"dropping-particle":"","family":"Stocco","given":"Gabriele","non-dropping-particle":"","parse-names":false,"suffix":""}],"container-title":"Genes","id":"ITEM-1","issue":"6","issued":{"date-parts":[["2020","6","22"]]},"page":"679","title":"Pharmacogenomics and Personalized Medicine","type":"article-journal","volume":"11"},"uris":["http://www.mendeley.com/documents/?uuid=8e145d01-4e79-4fb1-8c16-f9911854ffc3"]}],"mendeley":{"formattedCitation":"[30]","plainTextFormattedCitation":"[30]","previouslyFormattedCitation":"[30]"},"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[30]</w:t>
      </w:r>
      <w:r w:rsidR="009A774E" w:rsidRPr="00F104D0">
        <w:rPr>
          <w:rFonts w:ascii="Times New Roman" w:hAnsi="Times New Roman" w:cs="Times New Roman"/>
          <w:color w:val="000000" w:themeColor="text1"/>
          <w:sz w:val="20"/>
          <w:szCs w:val="20"/>
        </w:rPr>
        <w:fldChar w:fldCharType="end"/>
      </w:r>
      <w:r w:rsidR="00E13260" w:rsidRPr="00F104D0">
        <w:rPr>
          <w:rFonts w:ascii="Times New Roman" w:hAnsi="Times New Roman" w:cs="Times New Roman"/>
          <w:color w:val="000000" w:themeColor="text1"/>
          <w:sz w:val="20"/>
          <w:szCs w:val="20"/>
        </w:rPr>
        <w:t>.</w:t>
      </w:r>
      <w:r w:rsidRPr="00F104D0">
        <w:rPr>
          <w:rFonts w:ascii="Times New Roman" w:eastAsia="Times New Roman" w:hAnsi="Times New Roman" w:cs="Times New Roman"/>
          <w:color w:val="000000" w:themeColor="text1"/>
          <w:sz w:val="20"/>
          <w:szCs w:val="20"/>
          <w:lang w:eastAsia="en-IN"/>
        </w:rPr>
        <w:t xml:space="preserve"> </w:t>
      </w:r>
      <w:r w:rsidRPr="00F104D0">
        <w:rPr>
          <w:rFonts w:ascii="Times New Roman" w:hAnsi="Times New Roman" w:cs="Times New Roman"/>
          <w:color w:val="000000" w:themeColor="text1"/>
          <w:sz w:val="20"/>
          <w:szCs w:val="20"/>
        </w:rPr>
        <w:t xml:space="preserve">The establishment of evidence-based </w:t>
      </w:r>
      <w:proofErr w:type="spellStart"/>
      <w:r w:rsidRPr="00F104D0">
        <w:rPr>
          <w:rFonts w:ascii="Times New Roman" w:hAnsi="Times New Roman" w:cs="Times New Roman"/>
          <w:color w:val="000000" w:themeColor="text1"/>
          <w:sz w:val="20"/>
          <w:szCs w:val="20"/>
        </w:rPr>
        <w:t>pharmacogenomic</w:t>
      </w:r>
      <w:proofErr w:type="spellEnd"/>
      <w:r w:rsidRPr="00F104D0">
        <w:rPr>
          <w:rFonts w:ascii="Times New Roman" w:hAnsi="Times New Roman" w:cs="Times New Roman"/>
          <w:color w:val="000000" w:themeColor="text1"/>
          <w:sz w:val="20"/>
          <w:szCs w:val="20"/>
        </w:rPr>
        <w:t xml:space="preserve"> guidelines will be essential for healthcare providers to effectively interpret and utilize complex genetic testing results in patient care. Moreover, an increasing number of drugs are anticipated to include </w:t>
      </w:r>
      <w:proofErr w:type="spellStart"/>
      <w:r w:rsidRPr="00F104D0">
        <w:rPr>
          <w:rFonts w:ascii="Times New Roman" w:hAnsi="Times New Roman" w:cs="Times New Roman"/>
          <w:color w:val="000000" w:themeColor="text1"/>
          <w:sz w:val="20"/>
          <w:szCs w:val="20"/>
        </w:rPr>
        <w:t>pharmacogenomic</w:t>
      </w:r>
      <w:proofErr w:type="spellEnd"/>
      <w:r w:rsidRPr="00F104D0">
        <w:rPr>
          <w:rFonts w:ascii="Times New Roman" w:hAnsi="Times New Roman" w:cs="Times New Roman"/>
          <w:color w:val="000000" w:themeColor="text1"/>
          <w:sz w:val="20"/>
          <w:szCs w:val="20"/>
        </w:rPr>
        <w:t xml:space="preserve"> information in their labels, assisting physicians in selecting the most suitable medications for individual patients</w:t>
      </w:r>
      <w:r w:rsidR="009A774E" w:rsidRPr="00F104D0">
        <w:rPr>
          <w:rFonts w:ascii="Times New Roman" w:hAnsi="Times New Roman" w:cs="Times New Roman"/>
          <w:color w:val="000000" w:themeColor="text1"/>
          <w:sz w:val="20"/>
          <w:szCs w:val="20"/>
        </w:rPr>
        <w:fldChar w:fldCharType="begin" w:fldLock="1"/>
      </w:r>
      <w:r w:rsidR="008A18B3">
        <w:rPr>
          <w:rFonts w:ascii="Times New Roman" w:hAnsi="Times New Roman" w:cs="Times New Roman"/>
          <w:color w:val="000000" w:themeColor="text1"/>
          <w:sz w:val="20"/>
          <w:szCs w:val="20"/>
        </w:rPr>
        <w:instrText>ADDIN CSL_CITATION {"citationItems":[{"id":"ITEM-1","itemData":{"DOI":"10.3389/fphar.2020.595219","ISSN":"1663-9812","abstract":"Many studies have shown that the efficacy and risk of side effects of drug treatment is influenced by genetic variants. Evidence based guidelines are essential for implementing pharmacogenetic knowledge in daily clinical practice to optimize pharmacotherapy of individual patients. A literature search was performed to select committees developing guidelines with recommendations being published in English. The Dutch Pharmacogenetics Working Group (DPWG), the Clinical Pharmacogenetics Implementation Consortium (CPIC), the Canadian Pharmacogenomics Network for Drug Safety (CPNDS), and the French National Network (Réseau) of Pharmacogenetics (RNPGx) were selected. Their guidelines were compared with regard to the methodology of development, translation of genotypes to predicted phenotypes, pharmacotherapeutic recommendations and recommendations on genotyping. A detailed overview of all recommendations for gene-drug combinations is given. The committees have similar methodologies of guideline development. However, the objectives differed at the start of their projects, which have led to unique profiles and strengths of their guidelines. DPWG and CPIC have a main focus on pharmacotherapeutic recommendations for a large number of drugs in combination with a patient’s genotype or predicted phenotype. DPWG, CPNDS and RNPGx also recommend on performing genetic testing in daily clinical practice, with RNPGx even describing specific clinical settings or medical conditions for which genotyping is recommended. Discordances exist, however committees also initiated harmonizing projects. The outcome of a consensus project was to rename “extensive metabolizer (EM)” to “normal metabolizer (NM)”. It was decided to translate a CYP2D6 genotype with one nonfunctional allele (activity score 1.0) into the predicted phenotype of intermediate metabolizer (IM). Differences in recommendations are the result of the methodologies used, such as assessment of dose adjustments of tricyclic antidepressants. In some cases, indication or dose specific recommendations are given for example for clopidogrel, codeine, irinotecan. The following drugs have recommendations on genetic testing with the highest level: abacavir (HLA), clopidogrel (CYP2C19), fluoropyrimidines (DPYD), thiopurines (TPMT), irinotecan (UGT1A1), codeine (CYP2D6), and cisplatin (TPMT). The guidelines cover many drugs and genes, genotypes, or predicted phenotypes. Because of this and their unique features, considering the tot…","author":[{"dropping-particle":"","family":"Abdullah-Koolmees","given":"Heshu","non-dropping-particle":"","parse-names":false,"suffix":""},{"dropping-particle":"","family":"Keulen","given":"Antonius M.","non-dropping-particle":"van","parse-names":false,"suffix":""},{"dropping-particle":"","family":"Nijenhuis","given":"Marga","non-dropping-particle":"","parse-names":false,"suffix":""},{"dropping-particle":"","family":"Deneer","given":"Vera H. M.","non-dropping-particle":"","parse-names":false,"suffix":""}],"container-title":"Frontiers in Pharmacology","id":"ITEM-1","issued":{"date-parts":[["2021","1","25"]]},"title":"Pharmacogenetics Guidelines: Overview and Comparison of the DPWG, CPIC, CPNDS, and RNPGx Guidelines","type":"article-journal","volume":"11"},"uris":["http://www.mendeley.com/documents/?uuid=2709d0ab-c3e0-4da9-b3ed-b2d798765575"]}],"mendeley":{"formattedCitation":"[35]","plainTextFormattedCitation":"[35]","previouslyFormattedCitation":"[35]"},"properties":{"noteIndex":0},"schema":"https://github.com/citation-style-language/schema/raw/master/csl-citation.json"}</w:instrText>
      </w:r>
      <w:r w:rsidR="009A774E" w:rsidRPr="00F104D0">
        <w:rPr>
          <w:rFonts w:ascii="Times New Roman" w:hAnsi="Times New Roman" w:cs="Times New Roman"/>
          <w:color w:val="000000" w:themeColor="text1"/>
          <w:sz w:val="20"/>
          <w:szCs w:val="20"/>
        </w:rPr>
        <w:fldChar w:fldCharType="separate"/>
      </w:r>
      <w:r w:rsidR="00F104D0" w:rsidRPr="00F104D0">
        <w:rPr>
          <w:rFonts w:ascii="Times New Roman" w:hAnsi="Times New Roman" w:cs="Times New Roman"/>
          <w:noProof/>
          <w:color w:val="000000" w:themeColor="text1"/>
          <w:sz w:val="20"/>
          <w:szCs w:val="20"/>
        </w:rPr>
        <w:t>[35]</w:t>
      </w:r>
      <w:r w:rsidR="009A774E" w:rsidRPr="00F104D0">
        <w:rPr>
          <w:rFonts w:ascii="Times New Roman" w:hAnsi="Times New Roman" w:cs="Times New Roman"/>
          <w:color w:val="000000" w:themeColor="text1"/>
          <w:sz w:val="20"/>
          <w:szCs w:val="20"/>
        </w:rPr>
        <w:fldChar w:fldCharType="end"/>
      </w:r>
      <w:r w:rsidR="00E13260" w:rsidRPr="00F104D0">
        <w:rPr>
          <w:rFonts w:ascii="Times New Roman" w:hAnsi="Times New Roman" w:cs="Times New Roman"/>
          <w:color w:val="000000" w:themeColor="text1"/>
          <w:sz w:val="20"/>
          <w:szCs w:val="20"/>
        </w:rPr>
        <w:t>.</w:t>
      </w:r>
    </w:p>
    <w:p w:rsidR="00972D33" w:rsidRPr="00F104D0" w:rsidRDefault="00107B9E" w:rsidP="003A3140">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 </w:t>
      </w:r>
      <w:r w:rsidRPr="00F104D0">
        <w:rPr>
          <w:rFonts w:ascii="Times New Roman" w:hAnsi="Times New Roman" w:cs="Times New Roman"/>
          <w:b/>
          <w:sz w:val="20"/>
          <w:szCs w:val="20"/>
        </w:rPr>
        <w:t>PHARMACOGENOMICS IN DRUG DEVELOPMENT</w:t>
      </w:r>
    </w:p>
    <w:p w:rsidR="00972D33" w:rsidRPr="00F104D0" w:rsidRDefault="00972D33" w:rsidP="003A3140">
      <w:pPr>
        <w:spacing w:line="240" w:lineRule="auto"/>
        <w:jc w:val="both"/>
        <w:rPr>
          <w:rFonts w:ascii="Times New Roman" w:hAnsi="Times New Roman" w:cs="Times New Roman"/>
          <w:sz w:val="20"/>
          <w:szCs w:val="20"/>
        </w:rPr>
      </w:pPr>
      <w:r w:rsidRPr="00F104D0">
        <w:rPr>
          <w:rFonts w:ascii="Times New Roman" w:hAnsi="Times New Roman" w:cs="Times New Roman"/>
          <w:sz w:val="20"/>
          <w:szCs w:val="20"/>
        </w:rPr>
        <w:t xml:space="preserve">As we move into the early stages of drug development, </w:t>
      </w: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is becoming more and more </w:t>
      </w:r>
      <w:proofErr w:type="spellStart"/>
      <w:r w:rsidRPr="00F104D0">
        <w:rPr>
          <w:rFonts w:ascii="Times New Roman" w:hAnsi="Times New Roman" w:cs="Times New Roman"/>
          <w:sz w:val="20"/>
          <w:szCs w:val="20"/>
        </w:rPr>
        <w:t>recognised</w:t>
      </w:r>
      <w:proofErr w:type="spellEnd"/>
      <w:r w:rsidRPr="00F104D0">
        <w:rPr>
          <w:rFonts w:ascii="Times New Roman" w:hAnsi="Times New Roman" w:cs="Times New Roman"/>
          <w:sz w:val="20"/>
          <w:szCs w:val="20"/>
        </w:rPr>
        <w:t xml:space="preserve"> as a crucial scientific field for identifying important aspects of drug efficacy and safety. The current estimate is that 90% of patients will have at least one </w:t>
      </w:r>
      <w:proofErr w:type="spellStart"/>
      <w:r w:rsidRPr="00F104D0">
        <w:rPr>
          <w:rFonts w:ascii="Times New Roman" w:hAnsi="Times New Roman" w:cs="Times New Roman"/>
          <w:sz w:val="20"/>
          <w:szCs w:val="20"/>
        </w:rPr>
        <w:t>pharmacogenomic</w:t>
      </w:r>
      <w:proofErr w:type="spellEnd"/>
      <w:r w:rsidRPr="00F104D0">
        <w:rPr>
          <w:rFonts w:ascii="Times New Roman" w:hAnsi="Times New Roman" w:cs="Times New Roman"/>
          <w:sz w:val="20"/>
          <w:szCs w:val="20"/>
        </w:rPr>
        <w:t xml:space="preserve"> variant in genes involved in absorption, distribution, metabolism, and excretion</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10.2217/pgs-2022-0105","ISSN":"1462-2416","author":[{"dropping-particle":"","family":"Schreeck","given":"Filippa","non-dropping-particle":"","parse-names":false,"suffix":""},{"dropping-particle":"","family":"Ahne","given":"Gabriele","non-dropping-particle":"","parse-names":false,"suffix":""},{"dropping-particle":"","family":"Tremmel","given":"Roman","non-dropping-particle":"","parse-names":false,"suffix":""},{"dropping-particle":"","family":"Schaeffeler","given":"Elke","non-dropping-particle":"","parse-names":false,"suffix":""},{"dropping-particle":"","family":"Schwab","given":"Matthias","non-dropping-particle":"","parse-names":false,"suffix":""}],"container-title":"Pharmacogenomics","id":"ITEM-1","issue":"13","issued":{"date-parts":[["2022","8"]]},"page":"709-712","title":"Pharmacogenomics in pediatric medicine and drug development","type":"article-journal","volume":"23"},"uris":["http://www.mendeley.com/documents/?uuid=c12e6238-4b70-4f59-86dc-5f38d8e5c7d8"]}],"mendeley":{"formattedCitation":"[36]","plainTextFormattedCitation":"[36]","previouslyFormattedCitation":"[36]"},"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[36]</w:t>
      </w:r>
      <w:r w:rsidR="009A774E" w:rsidRPr="00F104D0">
        <w:rPr>
          <w:rFonts w:ascii="Times New Roman" w:hAnsi="Times New Roman" w:cs="Times New Roman"/>
          <w:sz w:val="20"/>
          <w:szCs w:val="20"/>
        </w:rPr>
        <w:fldChar w:fldCharType="end"/>
      </w:r>
      <w:r w:rsidRPr="00F104D0">
        <w:rPr>
          <w:rFonts w:ascii="Times New Roman" w:hAnsi="Times New Roman" w:cs="Times New Roman"/>
          <w:sz w:val="20"/>
          <w:szCs w:val="20"/>
        </w:rPr>
        <w:t xml:space="preserve">. </w:t>
      </w:r>
      <w:r w:rsidR="00340DC6" w:rsidRPr="00340DC6">
        <w:rPr>
          <w:rFonts w:ascii="Times New Roman" w:hAnsi="Times New Roman" w:cs="Times New Roman"/>
          <w:sz w:val="20"/>
          <w:szCs w:val="20"/>
        </w:rPr>
        <w:t xml:space="preserve">Knowledge of </w:t>
      </w:r>
      <w:proofErr w:type="spellStart"/>
      <w:r w:rsidR="00340DC6" w:rsidRPr="00340DC6">
        <w:rPr>
          <w:rFonts w:ascii="Times New Roman" w:hAnsi="Times New Roman" w:cs="Times New Roman"/>
          <w:sz w:val="20"/>
          <w:szCs w:val="20"/>
        </w:rPr>
        <w:t>pharmacogenomics</w:t>
      </w:r>
      <w:proofErr w:type="spellEnd"/>
      <w:r w:rsidR="00340DC6" w:rsidRPr="00340DC6">
        <w:rPr>
          <w:rFonts w:ascii="Times New Roman" w:hAnsi="Times New Roman" w:cs="Times New Roman"/>
          <w:sz w:val="20"/>
          <w:szCs w:val="20"/>
        </w:rPr>
        <w:t xml:space="preserve"> is helpful for a variety of procedures, including the creation of novel medications and the titration of genotype-based medicinal regimens. Genetic polymorphism alters the extent and amount of gene expression, which may result in individual variations in drug response and drug </w:t>
      </w:r>
      <w:proofErr w:type="spellStart"/>
      <w:r w:rsidR="00340DC6" w:rsidRPr="00340DC6">
        <w:rPr>
          <w:rFonts w:ascii="Times New Roman" w:hAnsi="Times New Roman" w:cs="Times New Roman"/>
          <w:sz w:val="20"/>
          <w:szCs w:val="20"/>
        </w:rPr>
        <w:t>behaviour</w:t>
      </w:r>
      <w:proofErr w:type="spellEnd"/>
      <w:r w:rsidR="00340DC6" w:rsidRPr="00340DC6">
        <w:rPr>
          <w:rFonts w:ascii="Times New Roman" w:hAnsi="Times New Roman" w:cs="Times New Roman"/>
          <w:sz w:val="20"/>
          <w:szCs w:val="20"/>
        </w:rPr>
        <w:t xml:space="preserve"> inside the body, as well as changed phenotypic traits that raise disease vulnerability.</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10.1038/gene.2016.11","ISSN":"1466-4879","author":[{"dropping-particle":"","family":"Hijikata","given":"M","non-dropping-particle":"","parse-names":false,"suffix":""},{"dropping-particle":"","family":"Matsushita","given":"I","non-dropping-particle":"","parse-names":false,"suffix":""},{"dropping-particle":"","family":"Hang","given":"N T","non-dropping-particle":"Le","parse-names":false,"suffix":""},{"dropping-particle":"","family":"Thuong","given":"P H","non-dropping-particle":"","parse-names":false,"suffix":""},{"dropping-particle":"","family":"Tam","given":"D B","non-dropping-particle":"","parse-names":false,"suffix":""},{"dropping-particle":"","family":"Maeda","given":"S","non-dropping-particle":"","parse-names":false,"suffix":""},{"dropping-particle":"","family":"Sakurada","given":"S","non-dropping-particle":"","parse-names":false,"suffix":""},{"dropping-particle":"","family":"Cuong","given":"V C","non-dropping-particle":"","parse-names":false,"suffix":""},{"dropping-particle":"","family":"Lien","given":"L T","non-dropping-particle":"","parse-names":false,"suffix":""},{"dropping-particle":"","family":"Keicho","given":"N","non-dropping-particle":"","parse-names":false,"suffix":""}],"container-title":"Genes &amp; Immunity","id":"ITEM-1","issue":"4","issued":{"date-parts":[["2016","6","3"]]},"page":"207-212","title":"Influence of the polymorphism of the DUSP14 gene on the expression of immune-related genes and development of pulmonary tuberculosis","type":"article-journal","volume":"17"},"uris":["http://www.mendeley.com/documents/?uuid=c17765a8-b887-4472-ab23-6adaeac1d25e"]}],"mendeley":{"formattedCitation":"[37]","plainTextFormattedCitation":"[37]","previouslyFormattedCitation":"[37]"},"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[37]</w:t>
      </w:r>
      <w:r w:rsidR="009A774E" w:rsidRPr="00F104D0">
        <w:rPr>
          <w:rFonts w:ascii="Times New Roman" w:hAnsi="Times New Roman" w:cs="Times New Roman"/>
          <w:sz w:val="20"/>
          <w:szCs w:val="20"/>
        </w:rPr>
        <w:fldChar w:fldCharType="end"/>
      </w:r>
      <w:r w:rsidRPr="00F104D0">
        <w:rPr>
          <w:rFonts w:ascii="Times New Roman" w:hAnsi="Times New Roman" w:cs="Times New Roman"/>
          <w:sz w:val="20"/>
          <w:szCs w:val="20"/>
        </w:rPr>
        <w:t xml:space="preserve">. </w:t>
      </w:r>
      <w:r w:rsidR="00340DC6" w:rsidRPr="00340DC6">
        <w:rPr>
          <w:rFonts w:ascii="Times New Roman" w:hAnsi="Times New Roman" w:cs="Times New Roman"/>
          <w:sz w:val="20"/>
          <w:szCs w:val="20"/>
        </w:rPr>
        <w:t xml:space="preserve">Drug discovery is improved by using genomic data for drug target identification and evaluation, lead </w:t>
      </w:r>
      <w:proofErr w:type="spellStart"/>
      <w:r w:rsidR="00340DC6" w:rsidRPr="00340DC6">
        <w:rPr>
          <w:rFonts w:ascii="Times New Roman" w:hAnsi="Times New Roman" w:cs="Times New Roman"/>
          <w:sz w:val="20"/>
          <w:szCs w:val="20"/>
        </w:rPr>
        <w:t>optimisation</w:t>
      </w:r>
      <w:proofErr w:type="spellEnd"/>
      <w:r w:rsidR="00340DC6" w:rsidRPr="00340DC6">
        <w:rPr>
          <w:rFonts w:ascii="Times New Roman" w:hAnsi="Times New Roman" w:cs="Times New Roman"/>
          <w:sz w:val="20"/>
          <w:szCs w:val="20"/>
        </w:rPr>
        <w:t xml:space="preserve"> through high throughput screening, evaluation of drug </w:t>
      </w:r>
      <w:proofErr w:type="spellStart"/>
      <w:r w:rsidR="00340DC6" w:rsidRPr="00340DC6">
        <w:rPr>
          <w:rFonts w:ascii="Times New Roman" w:hAnsi="Times New Roman" w:cs="Times New Roman"/>
          <w:sz w:val="20"/>
          <w:szCs w:val="20"/>
        </w:rPr>
        <w:t>metabolising</w:t>
      </w:r>
      <w:proofErr w:type="spellEnd"/>
      <w:r w:rsidR="00340DC6" w:rsidRPr="00340DC6">
        <w:rPr>
          <w:rFonts w:ascii="Times New Roman" w:hAnsi="Times New Roman" w:cs="Times New Roman"/>
          <w:sz w:val="20"/>
          <w:szCs w:val="20"/>
        </w:rPr>
        <w:t xml:space="preserve"> enzymes, transporters, and receptors using computer assisted technique and bioinformatics library data base, and application of two areas of </w:t>
      </w:r>
      <w:proofErr w:type="spellStart"/>
      <w:r w:rsidR="00340DC6" w:rsidRPr="00340DC6">
        <w:rPr>
          <w:rFonts w:ascii="Times New Roman" w:hAnsi="Times New Roman" w:cs="Times New Roman"/>
          <w:sz w:val="20"/>
          <w:szCs w:val="20"/>
        </w:rPr>
        <w:t>pharmacogenomics</w:t>
      </w:r>
      <w:proofErr w:type="spellEnd"/>
      <w:r w:rsidR="00340DC6" w:rsidRPr="00340DC6">
        <w:rPr>
          <w:rFonts w:ascii="Times New Roman" w:hAnsi="Times New Roman" w:cs="Times New Roman"/>
          <w:sz w:val="20"/>
          <w:szCs w:val="20"/>
        </w:rPr>
        <w:t xml:space="preserve">: structural and functional </w:t>
      </w:r>
      <w:proofErr w:type="spellStart"/>
      <w:r w:rsidR="00340DC6" w:rsidRPr="00340DC6">
        <w:rPr>
          <w:rFonts w:ascii="Times New Roman" w:hAnsi="Times New Roman" w:cs="Times New Roman"/>
          <w:sz w:val="20"/>
          <w:szCs w:val="20"/>
        </w:rPr>
        <w:t>pharmacogenomics</w:t>
      </w:r>
      <w:proofErr w:type="spellEnd"/>
      <w:r w:rsidR="00340DC6" w:rsidRPr="00340DC6">
        <w:rPr>
          <w:rFonts w:ascii="Times New Roman" w:hAnsi="Times New Roman" w:cs="Times New Roman"/>
          <w:sz w:val="20"/>
          <w:szCs w:val="20"/>
        </w:rPr>
        <w:t xml:space="preserve">. </w:t>
      </w:r>
      <w:proofErr w:type="spellStart"/>
      <w:r w:rsidR="00340DC6" w:rsidRPr="00340DC6">
        <w:rPr>
          <w:rFonts w:ascii="Times New Roman" w:hAnsi="Times New Roman" w:cs="Times New Roman"/>
          <w:sz w:val="20"/>
          <w:szCs w:val="20"/>
        </w:rPr>
        <w:t>Pharmacogenomics</w:t>
      </w:r>
      <w:proofErr w:type="spellEnd"/>
      <w:r w:rsidR="00340DC6" w:rsidRPr="00340DC6">
        <w:rPr>
          <w:rFonts w:ascii="Times New Roman" w:hAnsi="Times New Roman" w:cs="Times New Roman"/>
          <w:sz w:val="20"/>
          <w:szCs w:val="20"/>
        </w:rPr>
        <w:t xml:space="preserve"> also provides a major and reliable basis for assessing and refining dose forms and for repurposing ineffective drugs to treat new conditions. It is simple to assess various dosage forms of categories of pharmaceuticals, such as anticancer therapies, vaccines, gene and DNA delivery systems, and immunological agents, based on the genetic markers of the associated disease.</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10.1016/j.jconrel.2016.11.018","ISSN":"01683659","author":[{"dropping-particle":"","family":"Gupta","given":"Sumeet","non-dropping-particle":"","parse-names":false,"suffix":""},{"dropping-particle":"","family":"Jhawat","given":"Vikas","non-dropping-particle":"","parse-names":false,"suffix":""}],"container-title":"Journal of Controlled Release","id":"ITEM-1","issued":{"date-parts":[["2017","1"]]},"page":"15-26","title":"Quality by design (QbD) approach of pharmacogenomics in drug designing and formulation development for optimization of drug delivery systems","type":"article-journal","volume":"245"},"uris":["http://www.mendeley.com/documents/?uuid=3da05b72-2006-45ec-9b57-a1e002bb13f5"]}],"mendeley":{"formattedCitation":"[38]","plainTextFormattedCitation":"[38]","previouslyFormattedCitation":"[38]"},"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[38]</w:t>
      </w:r>
      <w:r w:rsidR="009A774E" w:rsidRPr="00F104D0">
        <w:rPr>
          <w:rFonts w:ascii="Times New Roman" w:hAnsi="Times New Roman" w:cs="Times New Roman"/>
          <w:sz w:val="20"/>
          <w:szCs w:val="20"/>
        </w:rPr>
        <w:fldChar w:fldCharType="end"/>
      </w:r>
      <w:r w:rsidRPr="00F104D0">
        <w:rPr>
          <w:rFonts w:ascii="Times New Roman" w:hAnsi="Times New Roman" w:cs="Times New Roman"/>
          <w:sz w:val="20"/>
          <w:szCs w:val="20"/>
        </w:rPr>
        <w:t>.</w:t>
      </w:r>
    </w:p>
    <w:p w:rsidR="00972D33" w:rsidRPr="00F104D0" w:rsidRDefault="007A53A5" w:rsidP="003A3140">
      <w:pPr>
        <w:spacing w:line="240" w:lineRule="auto"/>
        <w:ind w:firstLine="720"/>
        <w:jc w:val="both"/>
        <w:rPr>
          <w:rFonts w:ascii="Times New Roman" w:hAnsi="Times New Roman" w:cs="Times New Roman"/>
          <w:sz w:val="20"/>
          <w:szCs w:val="20"/>
        </w:rPr>
      </w:pPr>
      <w:r w:rsidRPr="007A53A5">
        <w:rPr>
          <w:rFonts w:ascii="Times New Roman" w:hAnsi="Times New Roman" w:cs="Times New Roman"/>
          <w:sz w:val="20"/>
          <w:szCs w:val="20"/>
        </w:rPr>
        <w:t xml:space="preserve">A few examples of the many variables that affect a drug's fate during its ADME cycle (absorption, distribution, metabolism, and elimination) include drug </w:t>
      </w:r>
      <w:proofErr w:type="spellStart"/>
      <w:r w:rsidRPr="007A53A5">
        <w:rPr>
          <w:rFonts w:ascii="Times New Roman" w:hAnsi="Times New Roman" w:cs="Times New Roman"/>
          <w:sz w:val="20"/>
          <w:szCs w:val="20"/>
        </w:rPr>
        <w:t>metabolising</w:t>
      </w:r>
      <w:proofErr w:type="spellEnd"/>
      <w:r w:rsidRPr="007A53A5">
        <w:rPr>
          <w:rFonts w:ascii="Times New Roman" w:hAnsi="Times New Roman" w:cs="Times New Roman"/>
          <w:sz w:val="20"/>
          <w:szCs w:val="20"/>
        </w:rPr>
        <w:t xml:space="preserve"> enzymes, drug transporters, and drug targets. The changes in these parameters from person to person are caused by the existence of different variants of the genes regulating these factors, which eventually affect the pharmacological activity. Drug target proteins are extremely sensitive to polymorphism in the genes of drug transporters and </w:t>
      </w:r>
      <w:proofErr w:type="spellStart"/>
      <w:r w:rsidRPr="007A53A5">
        <w:rPr>
          <w:rFonts w:ascii="Times New Roman" w:hAnsi="Times New Roman" w:cs="Times New Roman"/>
          <w:sz w:val="20"/>
          <w:szCs w:val="20"/>
        </w:rPr>
        <w:t>metabolising</w:t>
      </w:r>
      <w:proofErr w:type="spellEnd"/>
      <w:r w:rsidRPr="007A53A5">
        <w:rPr>
          <w:rFonts w:ascii="Times New Roman" w:hAnsi="Times New Roman" w:cs="Times New Roman"/>
          <w:sz w:val="20"/>
          <w:szCs w:val="20"/>
        </w:rPr>
        <w:t xml:space="preserve"> enzymes, which has an effect on the </w:t>
      </w:r>
      <w:proofErr w:type="spellStart"/>
      <w:r w:rsidRPr="007A53A5">
        <w:rPr>
          <w:rFonts w:ascii="Times New Roman" w:hAnsi="Times New Roman" w:cs="Times New Roman"/>
          <w:sz w:val="20"/>
          <w:szCs w:val="20"/>
        </w:rPr>
        <w:t>pharmacodynamic</w:t>
      </w:r>
      <w:proofErr w:type="spellEnd"/>
      <w:r w:rsidRPr="007A53A5">
        <w:rPr>
          <w:rFonts w:ascii="Times New Roman" w:hAnsi="Times New Roman" w:cs="Times New Roman"/>
          <w:sz w:val="20"/>
          <w:szCs w:val="20"/>
        </w:rPr>
        <w:t xml:space="preserve"> profile of medications. The aforementioned factors alter a drug's ADME profile, which alters a drug's toxicity and bioavailability inside the body. Therefore, genetic markers for drug targets, drug transporters, and drug </w:t>
      </w:r>
      <w:proofErr w:type="spellStart"/>
      <w:r w:rsidRPr="007A53A5">
        <w:rPr>
          <w:rFonts w:ascii="Times New Roman" w:hAnsi="Times New Roman" w:cs="Times New Roman"/>
          <w:sz w:val="20"/>
          <w:szCs w:val="20"/>
        </w:rPr>
        <w:t>metabolising</w:t>
      </w:r>
      <w:proofErr w:type="spellEnd"/>
      <w:r w:rsidRPr="007A53A5">
        <w:rPr>
          <w:rFonts w:ascii="Times New Roman" w:hAnsi="Times New Roman" w:cs="Times New Roman"/>
          <w:sz w:val="20"/>
          <w:szCs w:val="20"/>
        </w:rPr>
        <w:t xml:space="preserve"> enzymes can be employed during drug development.</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{"citationItems":[{"id":"ITEM-1","itemData":{"DOI":"10.2217/pgs.15.141","ISSN":"1462-2416","abstract":"Genetic polymorphisms in metabolizing enzymes and drug transporters have been shown to significantly impact the exposure of drugs having a high dependence on a single mechanism for their absorption, distribution or clearance, such that genotyping can lead to actionable steps in disease treatment. Recently, global regulatory agencies have provided guidance for assessment of pharmacogenomics during early stages of drug development, both in the form of formal guidance and perspectives published in scientific journals. The Industry Pharmacogenomics Working Group (I-PWG), conducted a survey among member companies to assess the practices relating to absorption, distribution, metabolism, excretion pharmacogenomics) during early stages of clinical development, to assess the impact of the recent Regulatory Guidance issued by the US FDA and EMA on Industry practices.","author":[{"dropping-particle":"","family":"Tremaine","given":"Larry","non-dropping-particle":"","parse-names":false,"suffix":""},{"dropping-particle":"","family":"Brian","given":"William","non-dropping-particle":"","parse-names":false,"suffix":""},{"dropping-particle":"","family":"DelMonte","given":"Terrye","non-dropping-particle":"","parse-names":false,"suffix":""},{"dropping-particle":"","family":"Francke","given":"Stephan","non-dropping-particle":"","parse-names":false,"suffix":""},{"dropping-particle":"","family":"Groenen","given":"Peter","non-dropping-particle":"","parse-names":false,"suffix":""},{"dropping-particle":"","family":"Johnson","given":"Keith","non-dropping-particle":"","parse-names":false,"suffix":""},{"dropping-particle":"","family":"Li","given":"Lei","non-dropping-particle":"","parse-names":false,"suffix":""},{"dropping-particle":"","family":"Pearson","given":"Kimberly","non-dropping-particle":"","parse-names":false,"suffix":""},{"dropping-particle":"","family":"Marshall","given":"Jean-Claude","non-dropping-particle":"","parse-names":false,"suffix":""}],"container-title":"Pharmacogenomics","id":"ITEM-1","issue":"18","issued":{"date-parts":[["2015","12"]]},"page":"2055-2067","title":"The role of ADME pharmacogenomics in early clinical trials: perspective of the Industry Pharmacogenomics Working Group (I-PWG)","type":"article-journal","volume":"16"},"uris":["http://www.mendeley.com/documents/?uuid=8a18db52-726a-4309-a84d-dda19ef84e5f"]}],"mendeley":{"formattedCitation":"[39]","plainTextFormattedCitation":"[39]","previouslyFormattedCitation":"[39]"},"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[39]</w:t>
      </w:r>
      <w:r w:rsidR="009A774E" w:rsidRPr="00F104D0">
        <w:rPr>
          <w:rFonts w:ascii="Times New Roman" w:hAnsi="Times New Roman" w:cs="Times New Roman"/>
          <w:sz w:val="20"/>
          <w:szCs w:val="20"/>
        </w:rPr>
        <w:fldChar w:fldCharType="end"/>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10.2147/PGPM.S86672","ISSN":"1178-7066","author":[{"dropping-particle":"","family":"Mittal","given":"Balraj","non-dropping-particle":"","parse-names":false,"suffix":""},{"dropping-particle":"","family":"Tulsyan","given":"Sonam","non-dropping-particle":"","parse-names":false,"suffix":""},{"dropping-particle":"","family":"Mittal","given":"Rama","non-dropping-particle":"","parse-names":false,"suffix":""}],"container-title":"Pharmacogenomics and Personalized Medicine","id":"ITEM-1","issued":{"date-parts":[["2016","4"]]},"page":"47","title":"The effect of ABCB1 polymorphisms on the outcome of breast cancer treatment","type":"article-journal"},"uris":["http://www.mendeley.com/documents/?uuid=07f3b5ea-b4af-499c-81f1-9e7f3a908201"]}],"mendeley":{"formattedCitation":"[40]","plainTextFormattedCitation":"[40]","previouslyFormattedCitation":"[40]"},"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[40]</w:t>
      </w:r>
      <w:r w:rsidR="009A774E" w:rsidRPr="00F104D0">
        <w:rPr>
          <w:rFonts w:ascii="Times New Roman" w:hAnsi="Times New Roman" w:cs="Times New Roman"/>
          <w:sz w:val="20"/>
          <w:szCs w:val="20"/>
        </w:rPr>
        <w:fldChar w:fldCharType="end"/>
      </w:r>
      <w:r w:rsidR="00972D33" w:rsidRPr="00F104D0">
        <w:rPr>
          <w:rFonts w:ascii="Times New Roman" w:hAnsi="Times New Roman" w:cs="Times New Roman"/>
          <w:sz w:val="20"/>
          <w:szCs w:val="20"/>
        </w:rPr>
        <w:t>.</w:t>
      </w:r>
    </w:p>
    <w:p w:rsidR="00972D33" w:rsidRPr="00F104D0" w:rsidRDefault="00972D33" w:rsidP="003A3140">
      <w:pPr>
        <w:spacing w:line="240" w:lineRule="auto"/>
        <w:ind w:firstLine="720"/>
        <w:jc w:val="both"/>
        <w:rPr>
          <w:rFonts w:ascii="Times New Roman" w:hAnsi="Times New Roman" w:cs="Times New Roman"/>
          <w:sz w:val="20"/>
          <w:szCs w:val="20"/>
        </w:rPr>
      </w:pPr>
      <w:r w:rsidRPr="00F104D0">
        <w:rPr>
          <w:rFonts w:ascii="Times New Roman" w:hAnsi="Times New Roman" w:cs="Times New Roman"/>
          <w:sz w:val="20"/>
          <w:szCs w:val="20"/>
        </w:rPr>
        <w:t xml:space="preserve">Numerous genes and their variants are present in the human genome, and these variations may affect how drugs are </w:t>
      </w:r>
      <w:proofErr w:type="spellStart"/>
      <w:r w:rsidRPr="00F104D0">
        <w:rPr>
          <w:rFonts w:ascii="Times New Roman" w:hAnsi="Times New Roman" w:cs="Times New Roman"/>
          <w:sz w:val="20"/>
          <w:szCs w:val="20"/>
        </w:rPr>
        <w:t>metabolised</w:t>
      </w:r>
      <w:proofErr w:type="spellEnd"/>
      <w:r w:rsidRPr="00F104D0">
        <w:rPr>
          <w:rFonts w:ascii="Times New Roman" w:hAnsi="Times New Roman" w:cs="Times New Roman"/>
          <w:sz w:val="20"/>
          <w:szCs w:val="20"/>
        </w:rPr>
        <w:t xml:space="preserve">, transported, and act at their target sites. As a result, </w:t>
      </w:r>
      <w:proofErr w:type="spellStart"/>
      <w:r w:rsidRPr="00F104D0">
        <w:rPr>
          <w:rFonts w:ascii="Times New Roman" w:hAnsi="Times New Roman" w:cs="Times New Roman"/>
          <w:sz w:val="20"/>
          <w:szCs w:val="20"/>
        </w:rPr>
        <w:t>pharmacogenomics</w:t>
      </w:r>
      <w:proofErr w:type="spellEnd"/>
      <w:r w:rsidRPr="00F104D0">
        <w:rPr>
          <w:rFonts w:ascii="Times New Roman" w:hAnsi="Times New Roman" w:cs="Times New Roman"/>
          <w:sz w:val="20"/>
          <w:szCs w:val="20"/>
        </w:rPr>
        <w:t xml:space="preserve"> is a crucial tool for scientists working on drug development to enhance drug therapy</w:t>
      </w:r>
      <w:r w:rsidR="007A53A5">
        <w:rPr>
          <w:rFonts w:ascii="Times New Roman" w:hAnsi="Times New Roman" w:cs="Times New Roman"/>
          <w:sz w:val="20"/>
          <w:szCs w:val="20"/>
        </w:rPr>
        <w:t>.</w:t>
      </w:r>
      <w:r w:rsidR="007A53A5" w:rsidRPr="007A53A5">
        <w:rPr>
          <w:rFonts w:ascii="Times New Roman" w:hAnsi="Times New Roman" w:cs="Times New Roman"/>
          <w:sz w:val="20"/>
          <w:szCs w:val="20"/>
        </w:rPr>
        <w:t xml:space="preserve"> Once anticipated and their influence on illness and treatment response has been shown, genomic markers may be employed by drug development experts to design and create medications based on the sensitivity and activity profile of pharmaceuticals with regard to that marker and manage the disease at its early phases. Candidate gene analysis and random whole genome disequilibrium analysis are the two main techniques used to assess single nucleotide polymorphisms and discover </w:t>
      </w:r>
      <w:proofErr w:type="spellStart"/>
      <w:r w:rsidR="007A53A5" w:rsidRPr="007A53A5">
        <w:rPr>
          <w:rFonts w:ascii="Times New Roman" w:hAnsi="Times New Roman" w:cs="Times New Roman"/>
          <w:sz w:val="20"/>
          <w:szCs w:val="20"/>
        </w:rPr>
        <w:t>pharmacogenomic</w:t>
      </w:r>
      <w:proofErr w:type="spellEnd"/>
      <w:r w:rsidR="007A53A5" w:rsidRPr="007A53A5">
        <w:rPr>
          <w:rFonts w:ascii="Times New Roman" w:hAnsi="Times New Roman" w:cs="Times New Roman"/>
          <w:sz w:val="20"/>
          <w:szCs w:val="20"/>
        </w:rPr>
        <w:t xml:space="preserve"> markers. Understanding single nucleotide polymorphisms in the illness, drug transport, drug metabolism, and drug target genes enables the identification of genetic markers for a disease and the distribution of therapeutic molecules to treat it. Drug mechanisms, illness </w:t>
      </w:r>
      <w:proofErr w:type="spellStart"/>
      <w:r w:rsidR="007A53A5" w:rsidRPr="007A53A5">
        <w:rPr>
          <w:rFonts w:ascii="Times New Roman" w:hAnsi="Times New Roman" w:cs="Times New Roman"/>
          <w:sz w:val="20"/>
          <w:szCs w:val="20"/>
        </w:rPr>
        <w:t>aetiology</w:t>
      </w:r>
      <w:proofErr w:type="spellEnd"/>
      <w:r w:rsidR="007A53A5" w:rsidRPr="007A53A5">
        <w:rPr>
          <w:rFonts w:ascii="Times New Roman" w:hAnsi="Times New Roman" w:cs="Times New Roman"/>
          <w:sz w:val="20"/>
          <w:szCs w:val="20"/>
        </w:rPr>
        <w:t>, and primary and secondary</w:t>
      </w:r>
      <w:r w:rsidR="007A53A5" w:rsidRPr="00F104D0">
        <w:rPr>
          <w:rFonts w:ascii="Times New Roman" w:hAnsi="Times New Roman" w:cs="Times New Roman"/>
          <w:sz w:val="20"/>
          <w:szCs w:val="20"/>
        </w:rPr>
        <w:t xml:space="preserve"> </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10.4103/0022-3859.186390","ISSN":"0022-3859","author":[{"dropping-particle":"","family":"Pranavchand","given":"R","non-dropping-particle":"","parse-names":false,"suffix":""},{"dropping-particle":"","family":"Reddy","given":"MM","non-dropping-particle":"","parse-names":false,"suffix":""}],"container-title":"Journal of Postgraduate Medicine","id":"ITEM-1","issue":"3","issued":{"date-parts":[["2016"]]},"page":"188","title":"Genomics era and complex disorders: Implications of GWAS with special reference to coronary artery disease, type 2 diabetes mellitus, and cancers","type":"article-journal","volume":"62"},"uris":["http://www.mendeley.com/documents/?uuid=fcf4d76b-97df-4b7a-a1e2-a40c7bcd8729"]}],"mendeley":{"formattedCitation":"[41]","plainTextFormattedCitation":"[41]","previouslyFormattedCitation":"[41]"},"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[41]</w:t>
      </w:r>
      <w:r w:rsidR="009A774E" w:rsidRPr="00F104D0">
        <w:rPr>
          <w:rFonts w:ascii="Times New Roman" w:hAnsi="Times New Roman" w:cs="Times New Roman"/>
          <w:sz w:val="20"/>
          <w:szCs w:val="20"/>
        </w:rPr>
        <w:fldChar w:fldCharType="end"/>
      </w:r>
      <w:r w:rsidRPr="00F104D0">
        <w:rPr>
          <w:rFonts w:ascii="Times New Roman" w:hAnsi="Times New Roman" w:cs="Times New Roman"/>
          <w:sz w:val="20"/>
          <w:szCs w:val="20"/>
        </w:rPr>
        <w:t>.</w:t>
      </w:r>
    </w:p>
    <w:p w:rsidR="00972D33" w:rsidRPr="00F104D0" w:rsidRDefault="00972D33" w:rsidP="003A3140">
      <w:pPr>
        <w:spacing w:line="240" w:lineRule="auto"/>
        <w:ind w:firstLine="720"/>
        <w:jc w:val="both"/>
        <w:rPr>
          <w:rFonts w:ascii="Times New Roman" w:hAnsi="Times New Roman" w:cs="Times New Roman"/>
          <w:sz w:val="20"/>
          <w:szCs w:val="20"/>
        </w:rPr>
      </w:pPr>
      <w:r w:rsidRPr="00F104D0">
        <w:rPr>
          <w:rFonts w:ascii="Times New Roman" w:hAnsi="Times New Roman" w:cs="Times New Roman"/>
          <w:sz w:val="20"/>
          <w:szCs w:val="20"/>
        </w:rPr>
        <w:t xml:space="preserve">More than 30 families of drug </w:t>
      </w:r>
      <w:proofErr w:type="spellStart"/>
      <w:r w:rsidRPr="00F104D0">
        <w:rPr>
          <w:rFonts w:ascii="Times New Roman" w:hAnsi="Times New Roman" w:cs="Times New Roman"/>
          <w:sz w:val="20"/>
          <w:szCs w:val="20"/>
        </w:rPr>
        <w:t>metabolising</w:t>
      </w:r>
      <w:proofErr w:type="spellEnd"/>
      <w:r w:rsidRPr="00F104D0">
        <w:rPr>
          <w:rFonts w:ascii="Times New Roman" w:hAnsi="Times New Roman" w:cs="Times New Roman"/>
          <w:sz w:val="20"/>
          <w:szCs w:val="20"/>
        </w:rPr>
        <w:t xml:space="preserve"> enzymes are found in humans, and they are in charge of more than 75% of drug metabolism in the body. Monoamine </w:t>
      </w:r>
      <w:proofErr w:type="spellStart"/>
      <w:r w:rsidRPr="00F104D0">
        <w:rPr>
          <w:rFonts w:ascii="Times New Roman" w:hAnsi="Times New Roman" w:cs="Times New Roman"/>
          <w:sz w:val="20"/>
          <w:szCs w:val="20"/>
        </w:rPr>
        <w:t>oxidase</w:t>
      </w:r>
      <w:proofErr w:type="spellEnd"/>
      <w:r w:rsidRPr="00F104D0">
        <w:rPr>
          <w:rFonts w:ascii="Times New Roman" w:hAnsi="Times New Roman" w:cs="Times New Roman"/>
          <w:sz w:val="20"/>
          <w:szCs w:val="20"/>
        </w:rPr>
        <w:t xml:space="preserve"> (MAO), </w:t>
      </w:r>
      <w:proofErr w:type="spellStart"/>
      <w:r w:rsidRPr="00F104D0">
        <w:rPr>
          <w:rFonts w:ascii="Times New Roman" w:hAnsi="Times New Roman" w:cs="Times New Roman"/>
          <w:sz w:val="20"/>
          <w:szCs w:val="20"/>
        </w:rPr>
        <w:t>cytochrome</w:t>
      </w:r>
      <w:proofErr w:type="spellEnd"/>
      <w:r w:rsidRPr="00F104D0">
        <w:rPr>
          <w:rFonts w:ascii="Times New Roman" w:hAnsi="Times New Roman" w:cs="Times New Roman"/>
          <w:sz w:val="20"/>
          <w:szCs w:val="20"/>
        </w:rPr>
        <w:t xml:space="preserve"> P450 (CYP), </w:t>
      </w:r>
      <w:proofErr w:type="spellStart"/>
      <w:r w:rsidRPr="00F104D0">
        <w:rPr>
          <w:rFonts w:ascii="Times New Roman" w:hAnsi="Times New Roman" w:cs="Times New Roman"/>
          <w:sz w:val="20"/>
          <w:szCs w:val="20"/>
        </w:rPr>
        <w:t>aldehyde</w:t>
      </w:r>
      <w:proofErr w:type="spellEnd"/>
      <w:r w:rsidRPr="00F104D0">
        <w:rPr>
          <w:rFonts w:ascii="Times New Roman" w:hAnsi="Times New Roman" w:cs="Times New Roman"/>
          <w:sz w:val="20"/>
          <w:szCs w:val="20"/>
        </w:rPr>
        <w:t xml:space="preserve"> </w:t>
      </w:r>
      <w:proofErr w:type="spellStart"/>
      <w:r w:rsidRPr="00F104D0">
        <w:rPr>
          <w:rFonts w:ascii="Times New Roman" w:hAnsi="Times New Roman" w:cs="Times New Roman"/>
          <w:sz w:val="20"/>
          <w:szCs w:val="20"/>
        </w:rPr>
        <w:t>oxidase</w:t>
      </w:r>
      <w:proofErr w:type="spellEnd"/>
      <w:r w:rsidRPr="00F104D0">
        <w:rPr>
          <w:rFonts w:ascii="Times New Roman" w:hAnsi="Times New Roman" w:cs="Times New Roman"/>
          <w:sz w:val="20"/>
          <w:szCs w:val="20"/>
        </w:rPr>
        <w:t xml:space="preserve">, </w:t>
      </w:r>
      <w:proofErr w:type="spellStart"/>
      <w:r w:rsidRPr="00F104D0">
        <w:rPr>
          <w:rFonts w:ascii="Times New Roman" w:hAnsi="Times New Roman" w:cs="Times New Roman"/>
          <w:sz w:val="20"/>
          <w:szCs w:val="20"/>
        </w:rPr>
        <w:t>xanthine</w:t>
      </w:r>
      <w:proofErr w:type="spellEnd"/>
      <w:r w:rsidRPr="00F104D0">
        <w:rPr>
          <w:rFonts w:ascii="Times New Roman" w:hAnsi="Times New Roman" w:cs="Times New Roman"/>
          <w:sz w:val="20"/>
          <w:szCs w:val="20"/>
        </w:rPr>
        <w:t xml:space="preserve"> </w:t>
      </w:r>
      <w:proofErr w:type="spellStart"/>
      <w:r w:rsidRPr="00F104D0">
        <w:rPr>
          <w:rFonts w:ascii="Times New Roman" w:hAnsi="Times New Roman" w:cs="Times New Roman"/>
          <w:sz w:val="20"/>
          <w:szCs w:val="20"/>
        </w:rPr>
        <w:t>dehydrogenase</w:t>
      </w:r>
      <w:proofErr w:type="spellEnd"/>
      <w:r w:rsidRPr="00F104D0">
        <w:rPr>
          <w:rFonts w:ascii="Times New Roman" w:hAnsi="Times New Roman" w:cs="Times New Roman"/>
          <w:sz w:val="20"/>
          <w:szCs w:val="20"/>
        </w:rPr>
        <w:t xml:space="preserve">, alcohol </w:t>
      </w:r>
      <w:proofErr w:type="spellStart"/>
      <w:r w:rsidRPr="00F104D0">
        <w:rPr>
          <w:rFonts w:ascii="Times New Roman" w:hAnsi="Times New Roman" w:cs="Times New Roman"/>
          <w:sz w:val="20"/>
          <w:szCs w:val="20"/>
        </w:rPr>
        <w:t>dehydrogenases</w:t>
      </w:r>
      <w:proofErr w:type="spellEnd"/>
      <w:r w:rsidRPr="00F104D0">
        <w:rPr>
          <w:rFonts w:ascii="Times New Roman" w:hAnsi="Times New Roman" w:cs="Times New Roman"/>
          <w:sz w:val="20"/>
          <w:szCs w:val="20"/>
        </w:rPr>
        <w:t xml:space="preserve">, </w:t>
      </w:r>
      <w:proofErr w:type="spellStart"/>
      <w:r w:rsidRPr="00F104D0">
        <w:rPr>
          <w:rFonts w:ascii="Times New Roman" w:hAnsi="Times New Roman" w:cs="Times New Roman"/>
          <w:sz w:val="20"/>
          <w:szCs w:val="20"/>
        </w:rPr>
        <w:t>aldehyde</w:t>
      </w:r>
      <w:proofErr w:type="spellEnd"/>
      <w:r w:rsidRPr="00F104D0">
        <w:rPr>
          <w:rFonts w:ascii="Times New Roman" w:hAnsi="Times New Roman" w:cs="Times New Roman"/>
          <w:sz w:val="20"/>
          <w:szCs w:val="20"/>
        </w:rPr>
        <w:t xml:space="preserve"> </w:t>
      </w:r>
      <w:proofErr w:type="spellStart"/>
      <w:r w:rsidRPr="00F104D0">
        <w:rPr>
          <w:rFonts w:ascii="Times New Roman" w:hAnsi="Times New Roman" w:cs="Times New Roman"/>
          <w:sz w:val="20"/>
          <w:szCs w:val="20"/>
        </w:rPr>
        <w:t>dehydrogenases</w:t>
      </w:r>
      <w:proofErr w:type="spellEnd"/>
      <w:r w:rsidRPr="00F104D0">
        <w:rPr>
          <w:rFonts w:ascii="Times New Roman" w:hAnsi="Times New Roman" w:cs="Times New Roman"/>
          <w:sz w:val="20"/>
          <w:szCs w:val="20"/>
        </w:rPr>
        <w:t xml:space="preserve">, and </w:t>
      </w:r>
      <w:proofErr w:type="spellStart"/>
      <w:r w:rsidRPr="00F104D0">
        <w:rPr>
          <w:rFonts w:ascii="Times New Roman" w:hAnsi="Times New Roman" w:cs="Times New Roman"/>
          <w:sz w:val="20"/>
          <w:szCs w:val="20"/>
        </w:rPr>
        <w:t>peroxidases</w:t>
      </w:r>
      <w:proofErr w:type="spellEnd"/>
      <w:r w:rsidRPr="00F104D0">
        <w:rPr>
          <w:rFonts w:ascii="Times New Roman" w:hAnsi="Times New Roman" w:cs="Times New Roman"/>
          <w:sz w:val="20"/>
          <w:szCs w:val="20"/>
        </w:rPr>
        <w:t xml:space="preserve"> are a few of thes</w:t>
      </w:r>
      <w:r w:rsidR="003A387C" w:rsidRPr="00F104D0">
        <w:rPr>
          <w:rFonts w:ascii="Times New Roman" w:hAnsi="Times New Roman" w:cs="Times New Roman"/>
          <w:sz w:val="20"/>
          <w:szCs w:val="20"/>
        </w:rPr>
        <w:t>e</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10.1016/j.drudis.2016.09.015","ISSN":"13596446","author":[{"dropping-particle":"","family":"Isvoran","given":"Adriana","non-dropping-particle":"","parse-names":false,"suffix":""},{"dropping-particle":"","family":"Louet","given":"Maxime","non-dropping-particle":"","parse-names":false,"suffix":""},{"dropping-particle":"","family":"Vladoiu","given":"Diana Larisa","non-dropping-particle":"","parse-names":false,"suffix":""},{"dropping-particle":"","family":"Craciun","given":"Dana","non-dropping-particle":"","parse-names":false,"suffix":""},{"dropping-particle":"","family":"Loriot","given":"Marie-Anne","non-dropping-particle":"","parse-names":false,"suffix":""},{"dropping-particle":"","family":"Villoutreix","given":"Bruno O.","non-dropping-particle":"","parse-names":false,"suffix":""},{"dropping-particle":"","family":"Miteva","given":"Maria A.","non-dropping-particle":"","parse-names":false,"suffix":""}],"container-title":"Drug Discovery Today","id":"ITEM-1","issue":"2","issued":{"date-parts":[["2017","2"]]},"page":"366-376","title":"Pharmacogenomics of the cytochrome P450 2C family: impacts of amino acid variations on drug metabolism","type":"article-journal","volume":"22"},"uris":["http://www.mendeley.com/documents/?uuid=e1e1226a-e0d9-436c-81d4-692174e2802d"]}],"mendeley":{"formattedCitation":"[42]","plainTextFormattedCitation":"[42]","previouslyFormattedCitation":"[42]"},"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[42]</w:t>
      </w:r>
      <w:r w:rsidR="009A774E" w:rsidRPr="00F104D0">
        <w:rPr>
          <w:rFonts w:ascii="Times New Roman" w:hAnsi="Times New Roman" w:cs="Times New Roman"/>
          <w:sz w:val="20"/>
          <w:szCs w:val="20"/>
        </w:rPr>
        <w:fldChar w:fldCharType="end"/>
      </w:r>
      <w:r w:rsidRPr="00F104D0">
        <w:rPr>
          <w:rFonts w:ascii="Times New Roman" w:hAnsi="Times New Roman" w:cs="Times New Roman"/>
          <w:sz w:val="20"/>
          <w:szCs w:val="20"/>
        </w:rPr>
        <w:t xml:space="preserve">.  The majority of drugs are </w:t>
      </w:r>
      <w:proofErr w:type="spellStart"/>
      <w:r w:rsidRPr="00F104D0">
        <w:rPr>
          <w:rFonts w:ascii="Times New Roman" w:hAnsi="Times New Roman" w:cs="Times New Roman"/>
          <w:sz w:val="20"/>
          <w:szCs w:val="20"/>
        </w:rPr>
        <w:t>metabolised</w:t>
      </w:r>
      <w:proofErr w:type="spellEnd"/>
      <w:r w:rsidRPr="00F104D0">
        <w:rPr>
          <w:rFonts w:ascii="Times New Roman" w:hAnsi="Times New Roman" w:cs="Times New Roman"/>
          <w:sz w:val="20"/>
          <w:szCs w:val="20"/>
        </w:rPr>
        <w:t xml:space="preserve"> by CYP enzymes, which have 57 genes, 18 families, and 44 sub-families. CYP enzymes include CYP2D6, CYP2C19, CYP2C9, CYP3A4, and CYP3A5 in particular. Out of these families, CYP2D6 is the principal enzyme that </w:t>
      </w:r>
      <w:proofErr w:type="spellStart"/>
      <w:r w:rsidRPr="00F104D0">
        <w:rPr>
          <w:rFonts w:ascii="Times New Roman" w:hAnsi="Times New Roman" w:cs="Times New Roman"/>
          <w:sz w:val="20"/>
          <w:szCs w:val="20"/>
        </w:rPr>
        <w:t>metabolises</w:t>
      </w:r>
      <w:proofErr w:type="spellEnd"/>
      <w:r w:rsidRPr="00F104D0">
        <w:rPr>
          <w:rFonts w:ascii="Times New Roman" w:hAnsi="Times New Roman" w:cs="Times New Roman"/>
          <w:sz w:val="20"/>
          <w:szCs w:val="20"/>
        </w:rPr>
        <w:t xml:space="preserve"> the majority of drugs (roughly 25–30%). All enzymes have demonstrated genetic differences from person to person, so drug metabolism is also variable. This, in turn, accounts for variation in drug response </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{"citationItems":[{"id":"ITEM-1","itemData":{"DOI":"10.1186/s12913-016-1724-8","ISSN":"1472-6963","author":[{"dropping-particle":"","family":"Ostermann","given":"Julia K.","non-dropping-particle":"","parse-names":false,"suffix":""},{"dropping-particle":"","family":"Berghöfer","given":"Anne","non-dropping-particle":"","parse-names":false,"suffix":""},{"dropping-particle":"","family":"Andersohn","given":"Frank","non-dropping-particle":"","parse-names":false,"suffix":""},{"dropping-particle":"","family":"Fischer","given":"Felix","non-dropping-particle":"","parse-names":false,"suffix":""}],"container-title":"BMC Health Services Research","id":"ITEM-1","issue":"1","issued":{"date-parts":[["2016","12","8"]]},"page":"482","title":"Frequency and clinical relevance of potential cytochrome P450 drug interactions in a psychiatric patient population – an analysis based on German insurance claims data","type":"article-journal","volume":"16"},"uris":["http://www.mendeley.com/documents/?uuid=630a440d-64b3-44f6-a656-b9bc4b902052"]}],"mendeley":{"formattedCitation":"[43]","plainTextFormattedCitation":"[43]","previouslyFormattedCitation":"[43]"},"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[43]</w:t>
      </w:r>
      <w:r w:rsidR="009A774E" w:rsidRPr="00F104D0">
        <w:rPr>
          <w:rFonts w:ascii="Times New Roman" w:hAnsi="Times New Roman" w:cs="Times New Roman"/>
          <w:sz w:val="20"/>
          <w:szCs w:val="20"/>
        </w:rPr>
        <w:fldChar w:fldCharType="end"/>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{"citationItems":[{"id":"ITEM-1","itemData":{"DOI":"10.1097/FPC.0b013e3282f2f121","ISSN":"1744-6872","author":[{"dropping-particle":"","family":"Hart","given":"Steven N.","non-dropping-particle":"","parse-names":false,"suffix":""},{"dropping-particle":"","family":"Wang","given":"Shuang","non-dropping-particle":"","parse-names":false,"suffix":""},{"dropping-particle":"","family":"Nakamoto","given":"Kaori","non-dropping-particle":"","parse-names":false,"suffix":""},{"dropping-particle":"","family":"Wesselman","given":"Christopher","non-dropping-particle":"","parse-names":false,"suffix":""},{"dropping-particle":"","family":"Li","given":"Ye","non-dropping-particle":"","parse-names":false,"suffix":""},{"dropping-particle":"","family":"Zhong","given":"Xiao-bo","non-dropping-particle":"","parse-names":false,"suffix":""}],"container-title":"Pharmacogenetics and Genomics","id":"ITEM-1","issue":"1","issued":{"date-parts":[["2008","1"]]},"page":"11-24","title":"Genetic polymorphisms in cytochrome P450 oxidoreductase influence microsomal P450-catalyzed drug metabolism","type":"article-journal","volume":"18"},"uris":["http://www.mendeley.com/documents/?uuid=da6708b8-42fa-4cf3-bbb8-6c15a42a566c"]}],"mendeley":{"formattedCitation":"[44]","plainTextFormattedCitation":"[44]","previouslyFormattedCitation":"[44]"},"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[44]</w:t>
      </w:r>
      <w:r w:rsidR="009A774E" w:rsidRPr="00F104D0">
        <w:rPr>
          <w:rFonts w:ascii="Times New Roman" w:hAnsi="Times New Roman" w:cs="Times New Roman"/>
          <w:sz w:val="20"/>
          <w:szCs w:val="20"/>
        </w:rPr>
        <w:fldChar w:fldCharType="end"/>
      </w:r>
      <w:r w:rsidRPr="00F104D0">
        <w:rPr>
          <w:rFonts w:ascii="Times New Roman" w:hAnsi="Times New Roman" w:cs="Times New Roman"/>
          <w:sz w:val="20"/>
          <w:szCs w:val="20"/>
        </w:rPr>
        <w:t xml:space="preserve">. </w:t>
      </w:r>
      <w:r w:rsidR="007A53A5" w:rsidRPr="007A53A5">
        <w:rPr>
          <w:rFonts w:ascii="Times New Roman" w:hAnsi="Times New Roman" w:cs="Times New Roman"/>
          <w:sz w:val="20"/>
          <w:szCs w:val="20"/>
        </w:rPr>
        <w:t xml:space="preserve">These enzymes can </w:t>
      </w:r>
      <w:proofErr w:type="spellStart"/>
      <w:r w:rsidR="007A53A5" w:rsidRPr="007A53A5">
        <w:rPr>
          <w:rFonts w:ascii="Times New Roman" w:hAnsi="Times New Roman" w:cs="Times New Roman"/>
          <w:sz w:val="20"/>
          <w:szCs w:val="20"/>
        </w:rPr>
        <w:t>oxidise</w:t>
      </w:r>
      <w:proofErr w:type="spellEnd"/>
      <w:r w:rsidR="007A53A5" w:rsidRPr="007A53A5">
        <w:rPr>
          <w:rFonts w:ascii="Times New Roman" w:hAnsi="Times New Roman" w:cs="Times New Roman"/>
          <w:sz w:val="20"/>
          <w:szCs w:val="20"/>
        </w:rPr>
        <w:t>, S-</w:t>
      </w:r>
      <w:proofErr w:type="spellStart"/>
      <w:r w:rsidR="007A53A5" w:rsidRPr="007A53A5">
        <w:rPr>
          <w:rFonts w:ascii="Times New Roman" w:hAnsi="Times New Roman" w:cs="Times New Roman"/>
          <w:sz w:val="20"/>
          <w:szCs w:val="20"/>
        </w:rPr>
        <w:t>methylate</w:t>
      </w:r>
      <w:proofErr w:type="spellEnd"/>
      <w:r w:rsidR="007A53A5" w:rsidRPr="007A53A5">
        <w:rPr>
          <w:rFonts w:ascii="Times New Roman" w:hAnsi="Times New Roman" w:cs="Times New Roman"/>
          <w:sz w:val="20"/>
          <w:szCs w:val="20"/>
        </w:rPr>
        <w:t>, N-</w:t>
      </w:r>
      <w:proofErr w:type="spellStart"/>
      <w:r w:rsidR="007A53A5" w:rsidRPr="007A53A5">
        <w:rPr>
          <w:rFonts w:ascii="Times New Roman" w:hAnsi="Times New Roman" w:cs="Times New Roman"/>
          <w:sz w:val="20"/>
          <w:szCs w:val="20"/>
        </w:rPr>
        <w:t>acetylate</w:t>
      </w:r>
      <w:proofErr w:type="spellEnd"/>
      <w:r w:rsidR="007A53A5" w:rsidRPr="007A53A5">
        <w:rPr>
          <w:rFonts w:ascii="Times New Roman" w:hAnsi="Times New Roman" w:cs="Times New Roman"/>
          <w:sz w:val="20"/>
          <w:szCs w:val="20"/>
        </w:rPr>
        <w:t xml:space="preserve">, reduce, or hydrolyze the medicines as they </w:t>
      </w:r>
      <w:proofErr w:type="spellStart"/>
      <w:r w:rsidR="007A53A5" w:rsidRPr="007A53A5">
        <w:rPr>
          <w:rFonts w:ascii="Times New Roman" w:hAnsi="Times New Roman" w:cs="Times New Roman"/>
          <w:sz w:val="20"/>
          <w:szCs w:val="20"/>
        </w:rPr>
        <w:t>metabolise</w:t>
      </w:r>
      <w:proofErr w:type="spellEnd"/>
      <w:r w:rsidR="007A53A5" w:rsidRPr="007A53A5">
        <w:rPr>
          <w:rFonts w:ascii="Times New Roman" w:hAnsi="Times New Roman" w:cs="Times New Roman"/>
          <w:sz w:val="20"/>
          <w:szCs w:val="20"/>
        </w:rPr>
        <w:t xml:space="preserve"> them. The genetic variability of these enzymes, however, can change drug metabolism and result in an accentuated, masked, or completely absent pharmacological response. </w:t>
      </w:r>
      <w:r w:rsidR="009A774E" w:rsidRPr="00F104D0">
        <w:rPr>
          <w:rFonts w:ascii="Times New Roman" w:hAnsi="Times New Roman" w:cs="Times New Roman"/>
          <w:sz w:val="20"/>
          <w:szCs w:val="20"/>
        </w:rPr>
        <w:fldChar w:fldCharType="begin" w:fldLock="1"/>
      </w:r>
      <w:r w:rsidR="008A18B3">
        <w:rPr>
          <w:rFonts w:ascii="Times New Roman" w:hAnsi="Times New Roman" w:cs="Times New Roman"/>
          <w:sz w:val="20"/>
          <w:szCs w:val="20"/>
        </w:rPr>
        <w:instrText>ADDIN CSL_CITATION {"citationItems":[{"id":"ITEM-1","itemData":{"DOI":"10.1038/nature15817","ISSN":"0028-0836","author":[{"dropping-particle":"V.","family":"Relling","given":"Mary","non-dropping-particle":"","parse-names":false,"suffix":""},{"dropping-particle":"","family":"Evans","given":"William E.","non-dropping-particle":"","parse-names":false,"suffix":""}],"container-title":"Nature","id":"ITEM-1","issue":"7573","issued":{"date-parts":[["2015","10","14"]]},"page":"343-350","title":"Pharmacogenomics in the clinic","type":"article-journal","volume":"526"},"uris":["http://www.mendeley.com/documents/?uuid=0f002c54-96c9-4f8a-9c8c-a89cae8bf6d4"]}],"mendeley":{"formattedCitation":"[45]","plainTextFormattedCitation":"[45]","previouslyFormattedCitation":"[45]"},"properties":{"noteIndex":0},"schema":"https://github.com/citation-style-language/schema/raw/master/csl-citation.json"}</w:instrText>
      </w:r>
      <w:r w:rsidR="009A774E" w:rsidRPr="00F104D0">
        <w:rPr>
          <w:rFonts w:ascii="Times New Roman" w:hAnsi="Times New Roman" w:cs="Times New Roman"/>
          <w:sz w:val="20"/>
          <w:szCs w:val="20"/>
        </w:rPr>
        <w:fldChar w:fldCharType="separate"/>
      </w:r>
      <w:r w:rsidR="00F104D0" w:rsidRPr="00F104D0">
        <w:rPr>
          <w:rFonts w:ascii="Times New Roman" w:hAnsi="Times New Roman" w:cs="Times New Roman"/>
          <w:noProof/>
          <w:sz w:val="20"/>
          <w:szCs w:val="20"/>
        </w:rPr>
        <w:t>[45]</w:t>
      </w:r>
      <w:r w:rsidR="009A774E" w:rsidRPr="00F104D0">
        <w:rPr>
          <w:rFonts w:ascii="Times New Roman" w:hAnsi="Times New Roman" w:cs="Times New Roman"/>
          <w:sz w:val="20"/>
          <w:szCs w:val="20"/>
        </w:rPr>
        <w:fldChar w:fldCharType="end"/>
      </w:r>
      <w:r w:rsidRPr="00F104D0">
        <w:rPr>
          <w:rFonts w:ascii="Times New Roman" w:hAnsi="Times New Roman" w:cs="Times New Roman"/>
          <w:sz w:val="20"/>
          <w:szCs w:val="20"/>
        </w:rPr>
        <w:t>.</w:t>
      </w:r>
      <w:r w:rsidR="007A53A5" w:rsidRPr="007A53A5">
        <w:t xml:space="preserve"> </w:t>
      </w:r>
      <w:r w:rsidR="007A53A5" w:rsidRPr="007A53A5">
        <w:rPr>
          <w:rFonts w:ascii="Times New Roman" w:hAnsi="Times New Roman" w:cs="Times New Roman"/>
          <w:sz w:val="20"/>
          <w:szCs w:val="20"/>
        </w:rPr>
        <w:t>The activity of distinct polymorphic variants of these enzymes may be inhibited or stimulated by concurrent medicines that can impact the metabolism of other drugs</w:t>
      </w:r>
      <w:proofErr w:type="gramStart"/>
      <w:r w:rsidR="007A53A5" w:rsidRPr="007A53A5">
        <w:rPr>
          <w:rFonts w:ascii="Times New Roman" w:hAnsi="Times New Roman" w:cs="Times New Roman"/>
          <w:sz w:val="20"/>
          <w:szCs w:val="20"/>
        </w:rPr>
        <w:t>.</w:t>
      </w:r>
      <w:r w:rsidRPr="00F104D0">
        <w:rPr>
          <w:rFonts w:ascii="Times New Roman" w:hAnsi="Times New Roman" w:cs="Times New Roman"/>
          <w:sz w:val="20"/>
          <w:szCs w:val="20"/>
        </w:rPr>
        <w:t>.</w:t>
      </w:r>
      <w:proofErr w:type="gramEnd"/>
      <w:r w:rsidRPr="00F104D0">
        <w:rPr>
          <w:rFonts w:ascii="Times New Roman" w:hAnsi="Times New Roman" w:cs="Times New Roman"/>
          <w:sz w:val="20"/>
          <w:szCs w:val="20"/>
        </w:rPr>
        <w:t xml:space="preserve"> </w:t>
      </w:r>
    </w:p>
    <w:p w:rsidR="00972D33" w:rsidRPr="00F104D0" w:rsidRDefault="00972D33" w:rsidP="003A3140">
      <w:pPr>
        <w:spacing w:line="240" w:lineRule="auto"/>
        <w:ind w:firstLine="720"/>
        <w:jc w:val="both"/>
        <w:rPr>
          <w:rFonts w:ascii="Times New Roman" w:hAnsi="Times New Roman" w:cs="Times New Roman"/>
          <w:sz w:val="20"/>
          <w:szCs w:val="20"/>
        </w:rPr>
      </w:pPr>
      <w:r w:rsidRPr="00F104D0">
        <w:rPr>
          <w:rFonts w:ascii="Times New Roman" w:hAnsi="Times New Roman" w:cs="Times New Roman"/>
          <w:sz w:val="20"/>
          <w:szCs w:val="20"/>
        </w:rPr>
        <w:lastRenderedPageBreak/>
        <w:t>The potential of biomarkers, particularly PG, to advance the discovery, development, and application of medicines is widely acknowledged by regulatory authorities. A new generation of predictive biomarkers, or PG biomarkers, has been identified by the Food and Drug Administration (FDA) as one of the most crucial areas for enhancing medical product development in its Critical Path Initiative. In its Road Map to 2010, the European Medicines Agency (EMA) also identifies PG as a difficult new technology. In order to incorporate PG into drug development, various regulatory agencies have released white papers, considerations, draught guidance, and final guidance. As a result, regulatory guidance documents play a crucial role in directing operational procedures for companies funding pharmaceutical R&amp;D.</w:t>
      </w:r>
    </w:p>
    <w:p w:rsidR="0020307E" w:rsidRPr="00F104D0" w:rsidRDefault="0020307E" w:rsidP="003A3140">
      <w:pPr>
        <w:spacing w:line="240" w:lineRule="auto"/>
        <w:rPr>
          <w:rFonts w:ascii="Times New Roman Regular" w:hAnsi="Times New Roman Regular" w:cs="Times New Roman Regular"/>
          <w:b/>
          <w:bCs/>
          <w:sz w:val="20"/>
          <w:szCs w:val="20"/>
        </w:rPr>
      </w:pPr>
    </w:p>
    <w:p w:rsidR="0020307E" w:rsidRPr="00F104D0" w:rsidRDefault="00107B9E" w:rsidP="003A3140">
      <w:pPr>
        <w:spacing w:line="240" w:lineRule="auto"/>
        <w:rPr>
          <w:rFonts w:ascii="Times New Roman Regular" w:hAnsi="Times New Roman Regular" w:cs="Times New Roman Regular"/>
          <w:b/>
          <w:bCs/>
          <w:sz w:val="20"/>
          <w:szCs w:val="20"/>
        </w:rPr>
      </w:pPr>
      <w:r>
        <w:rPr>
          <w:rFonts w:ascii="Times New Roman Regular" w:hAnsi="Times New Roman Regular" w:cs="Times New Roman Regular"/>
          <w:b/>
          <w:bCs/>
          <w:sz w:val="20"/>
          <w:szCs w:val="20"/>
        </w:rPr>
        <w:t xml:space="preserve">VI. </w:t>
      </w:r>
      <w:r w:rsidRPr="00F104D0">
        <w:rPr>
          <w:rFonts w:ascii="Times New Roman Regular" w:hAnsi="Times New Roman Regular" w:cs="Times New Roman Regular"/>
          <w:b/>
          <w:bCs/>
          <w:sz w:val="20"/>
          <w:szCs w:val="20"/>
        </w:rPr>
        <w:t>PHARMACOGENOMICS AND ADVERSE DRUG REACTIONS:</w:t>
      </w:r>
    </w:p>
    <w:p w:rsidR="00107B9E" w:rsidRDefault="0020307E" w:rsidP="003A3140">
      <w:pPr>
        <w:spacing w:line="240" w:lineRule="auto"/>
        <w:jc w:val="both"/>
        <w:rPr>
          <w:rFonts w:ascii="Times New Roman Regular" w:hAnsi="Times New Roman Regular" w:cs="Times New Roman Regular"/>
          <w:sz w:val="20"/>
          <w:szCs w:val="20"/>
        </w:rPr>
      </w:pPr>
      <w:proofErr w:type="spellStart"/>
      <w:r w:rsidRPr="00F104D0">
        <w:rPr>
          <w:rFonts w:ascii="Times New Roman Regular" w:hAnsi="Times New Roman Regular" w:cs="Times New Roman Regular"/>
          <w:sz w:val="20"/>
          <w:szCs w:val="20"/>
        </w:rPr>
        <w:t>Pharmacogenomics</w:t>
      </w:r>
      <w:proofErr w:type="spellEnd"/>
      <w:r w:rsidRPr="00F104D0">
        <w:rPr>
          <w:rFonts w:ascii="Times New Roman Regular" w:hAnsi="Times New Roman Regular" w:cs="Times New Roman Regular"/>
          <w:sz w:val="20"/>
          <w:szCs w:val="20"/>
        </w:rPr>
        <w:t xml:space="preserve"> testing has been reported to be helpful for predicting various health related issues and improvement in treating certain adverse drug </w:t>
      </w:r>
      <w:proofErr w:type="gramStart"/>
      <w:r w:rsidRPr="00F104D0">
        <w:rPr>
          <w:rFonts w:ascii="Times New Roman Regular" w:hAnsi="Times New Roman Regular" w:cs="Times New Roman Regular"/>
          <w:sz w:val="20"/>
          <w:szCs w:val="20"/>
        </w:rPr>
        <w:t>reactions(</w:t>
      </w:r>
      <w:proofErr w:type="gramEnd"/>
      <w:r w:rsidRPr="00F104D0">
        <w:rPr>
          <w:rFonts w:ascii="Times New Roman Regular" w:hAnsi="Times New Roman Regular" w:cs="Times New Roman Regular"/>
          <w:sz w:val="20"/>
          <w:szCs w:val="20"/>
        </w:rPr>
        <w:t xml:space="preserve">ADRs). </w:t>
      </w:r>
      <w:proofErr w:type="spellStart"/>
      <w:r w:rsidRPr="00F104D0">
        <w:rPr>
          <w:rFonts w:ascii="Times New Roman Regular" w:hAnsi="Times New Roman Regular"/>
          <w:sz w:val="20"/>
          <w:szCs w:val="20"/>
        </w:rPr>
        <w:t>Pharmacogenomics</w:t>
      </w:r>
      <w:proofErr w:type="spellEnd"/>
      <w:r w:rsidRPr="00F104D0">
        <w:rPr>
          <w:rFonts w:ascii="Times New Roman Regular" w:hAnsi="Times New Roman Regular"/>
          <w:sz w:val="20"/>
          <w:szCs w:val="20"/>
        </w:rPr>
        <w:t xml:space="preserve"> is a field of study that investigates the genetic variance in how individuals respond to various pharmaceuticals in terms of dose requirement, efficacy and the risk of adverse drug reactions (ADRs). </w:t>
      </w:r>
      <w:r w:rsidRPr="00F104D0">
        <w:rPr>
          <w:rFonts w:ascii="Times New Roman Regular" w:hAnsi="Times New Roman Regular" w:cs="Times New Roman Regular"/>
          <w:sz w:val="20"/>
          <w:szCs w:val="20"/>
        </w:rPr>
        <w:t xml:space="preserve">As </w:t>
      </w:r>
      <w:proofErr w:type="spellStart"/>
      <w:r w:rsidRPr="00F104D0">
        <w:rPr>
          <w:rFonts w:ascii="Times New Roman Regular" w:hAnsi="Times New Roman Regular" w:cs="Times New Roman Regular"/>
          <w:sz w:val="20"/>
          <w:szCs w:val="20"/>
        </w:rPr>
        <w:t>pharmacogenomics</w:t>
      </w:r>
      <w:proofErr w:type="spellEnd"/>
      <w:r w:rsidRPr="00F104D0">
        <w:rPr>
          <w:rFonts w:ascii="Times New Roman Regular" w:hAnsi="Times New Roman Regular" w:cs="Times New Roman Regular"/>
          <w:sz w:val="20"/>
          <w:szCs w:val="20"/>
        </w:rPr>
        <w:t xml:space="preserve"> determines the effect of genome in response to a particular drug, it may be helpful to reduce the ADRs of various drugs in near future</w:t>
      </w:r>
      <w:r w:rsidR="009A774E" w:rsidRPr="00F104D0">
        <w:rPr>
          <w:rFonts w:ascii="Times New Roman Regular" w:hAnsi="Times New Roman Regular" w:cs="Times New Roman Regular"/>
          <w:sz w:val="20"/>
          <w:szCs w:val="20"/>
        </w:rPr>
        <w:fldChar w:fldCharType="begin" w:fldLock="1"/>
      </w:r>
      <w:r w:rsidR="008A18B3">
        <w:rPr>
          <w:rFonts w:ascii="Times New Roman Regular" w:hAnsi="Times New Roman Regular" w:cs="Times New Roman Regular"/>
          <w:sz w:val="20"/>
          <w:szCs w:val="20"/>
        </w:rPr>
        <w:instrText>ADDIN CSL_CITATION {"citationItems":[{"id":"ITEM-1","itemData":{"DOI":"10.1016/S0009-8981(01)00419-3","ISSN":"00098981","author":[{"dropping-particle":"","family":"Wieczorek","given":"Stacey J","non-dropping-particle":"","parse-names":false,"suffix":""},{"dropping-particle":"","family":"Tsongalis","given":"Gregory J","non-dropping-particle":"","parse-names":false,"suffix":""}],"container-title":"Clinica Chimica Acta","id":"ITEM-1","issue":"1-2","issued":{"date-parts":[["2001","6"]]},"page":"1-8","title":"Pharmacogenomics: will it change the field of medicine?","type":"article-journal","volume":"308"},"uris":["http://www.mendeley.com/documents/?uuid=6825d415-86e1-400e-8e52-674be2ec1c9b"]}],"mendeley":{"formattedCitation":"[46]","plainTextFormattedCitation":"[46]","previouslyFormattedCitation":"[46]"},"properties":{"noteIndex":0},"schema":"https://github.com/citation-style-language/schema/raw/master/csl-citation.json"}</w:instrText>
      </w:r>
      <w:r w:rsidR="009A774E" w:rsidRPr="00F104D0">
        <w:rPr>
          <w:rFonts w:ascii="Times New Roman Regular" w:hAnsi="Times New Roman Regular" w:cs="Times New Roman Regular"/>
          <w:sz w:val="20"/>
          <w:szCs w:val="20"/>
        </w:rPr>
        <w:fldChar w:fldCharType="separate"/>
      </w:r>
      <w:r w:rsidR="00F104D0" w:rsidRPr="00F104D0">
        <w:rPr>
          <w:rFonts w:ascii="Times New Roman Regular" w:hAnsi="Times New Roman Regular" w:cs="Times New Roman Regular"/>
          <w:noProof/>
          <w:sz w:val="20"/>
          <w:szCs w:val="20"/>
        </w:rPr>
        <w:t>[46]</w:t>
      </w:r>
      <w:r w:rsidR="009A774E" w:rsidRPr="00F104D0">
        <w:rPr>
          <w:rFonts w:ascii="Times New Roman Regular" w:hAnsi="Times New Roman Regular" w:cs="Times New Roman Regular"/>
          <w:sz w:val="20"/>
          <w:szCs w:val="20"/>
        </w:rPr>
        <w:fldChar w:fldCharType="end"/>
      </w:r>
      <w:r w:rsidRPr="00F104D0">
        <w:rPr>
          <w:rFonts w:ascii="Times New Roman Regular" w:hAnsi="Times New Roman Regular" w:cs="Times New Roman Regular"/>
          <w:sz w:val="20"/>
          <w:szCs w:val="20"/>
        </w:rPr>
        <w:t xml:space="preserve">.In western societies ADRs are considered as one of the most common cause of death. </w:t>
      </w:r>
      <w:proofErr w:type="spellStart"/>
      <w:r w:rsidRPr="00F104D0">
        <w:rPr>
          <w:rFonts w:ascii="Times New Roman Regular" w:hAnsi="Times New Roman Regular" w:cs="Times New Roman Regular"/>
          <w:sz w:val="20"/>
          <w:szCs w:val="20"/>
        </w:rPr>
        <w:t>Pharmacogenomics</w:t>
      </w:r>
      <w:proofErr w:type="spellEnd"/>
      <w:r w:rsidRPr="00F104D0">
        <w:rPr>
          <w:rFonts w:ascii="Times New Roman Regular" w:hAnsi="Times New Roman Regular" w:cs="Times New Roman Regular"/>
          <w:sz w:val="20"/>
          <w:szCs w:val="20"/>
        </w:rPr>
        <w:t xml:space="preserve"> is responsible for 80% of the variation in drug efficacy and safety. Developments in </w:t>
      </w:r>
      <w:proofErr w:type="spellStart"/>
      <w:r w:rsidRPr="00F104D0">
        <w:rPr>
          <w:rFonts w:ascii="Times New Roman Regular" w:hAnsi="Times New Roman Regular" w:cs="Times New Roman Regular"/>
          <w:sz w:val="20"/>
          <w:szCs w:val="20"/>
        </w:rPr>
        <w:t>pharmacogenomics</w:t>
      </w:r>
      <w:proofErr w:type="spellEnd"/>
      <w:r w:rsidRPr="00F104D0">
        <w:rPr>
          <w:rFonts w:ascii="Times New Roman Regular" w:hAnsi="Times New Roman Regular" w:cs="Times New Roman Regular"/>
          <w:sz w:val="20"/>
          <w:szCs w:val="20"/>
        </w:rPr>
        <w:t xml:space="preserve"> has helped in increasing the better understanding of </w:t>
      </w:r>
      <w:proofErr w:type="spellStart"/>
      <w:r w:rsidRPr="00F104D0">
        <w:rPr>
          <w:rFonts w:ascii="Times New Roman Regular" w:hAnsi="Times New Roman Regular" w:cs="Times New Roman Regular"/>
          <w:sz w:val="20"/>
          <w:szCs w:val="20"/>
        </w:rPr>
        <w:t>ADRs.Various</w:t>
      </w:r>
      <w:proofErr w:type="spellEnd"/>
      <w:r w:rsidRPr="00F104D0">
        <w:rPr>
          <w:rFonts w:ascii="Times New Roman Regular" w:hAnsi="Times New Roman Regular" w:cs="Times New Roman Regular"/>
          <w:sz w:val="20"/>
          <w:szCs w:val="20"/>
        </w:rPr>
        <w:t xml:space="preserve"> study report has demonstrated the effect of </w:t>
      </w:r>
      <w:proofErr w:type="spellStart"/>
      <w:r w:rsidRPr="00F104D0">
        <w:rPr>
          <w:rFonts w:ascii="Times New Roman Regular" w:hAnsi="Times New Roman Regular" w:cs="Times New Roman Regular"/>
          <w:sz w:val="20"/>
          <w:szCs w:val="20"/>
        </w:rPr>
        <w:t>pharmacogenomics</w:t>
      </w:r>
      <w:proofErr w:type="spellEnd"/>
      <w:r w:rsidRPr="00F104D0">
        <w:rPr>
          <w:rFonts w:ascii="Times New Roman Regular" w:hAnsi="Times New Roman Regular" w:cs="Times New Roman Regular"/>
          <w:sz w:val="20"/>
          <w:szCs w:val="20"/>
        </w:rPr>
        <w:t xml:space="preserve"> in the clinical aspects of  ADRs</w:t>
      </w:r>
      <w:r w:rsidR="009A774E" w:rsidRPr="00F104D0">
        <w:rPr>
          <w:rFonts w:ascii="Times New Roman Regular" w:hAnsi="Times New Roman Regular" w:cs="Times New Roman Regular"/>
          <w:sz w:val="20"/>
          <w:szCs w:val="20"/>
        </w:rPr>
        <w:fldChar w:fldCharType="begin" w:fldLock="1"/>
      </w:r>
      <w:r w:rsidR="008A18B3">
        <w:rPr>
          <w:rFonts w:ascii="Times New Roman Regular" w:hAnsi="Times New Roman Regular" w:cs="Times New Roman Regular"/>
          <w:sz w:val="20"/>
          <w:szCs w:val="20"/>
        </w:rPr>
        <w:instrText>ADDIN CSL_CITATION {"citationItems":[{"id":"ITEM-1","itemData":{"DOI":"10.1016/j.phrs.2003.05.003","ISSN":"10436618","author":[{"dropping-particle":"","family":"Severino","given":"G","non-dropping-particle":"","parse-names":false,"suffix":""}],"container-title":"Pharmacological Research","id":"ITEM-1","issue":"4","issued":{"date-parts":[["2004","4"]]},"page":"363-373","title":"Adverse drug reactions: role of pharmacogenomics","type":"article-journal","volume":"49"},"uris":["http://www.mendeley.com/documents/?uuid=6df486f6-0af0-4dcc-bb41-5d2b60176d71"]}],"mendeley":{"formattedCitation":"[47]","plainTextFormattedCitation":"[47]","previouslyFormattedCitation":"[47]"},"properties":{"noteIndex":0},"schema":"https://github.com/citation-style-language/schema/raw/master/csl-citation.json"}</w:instrText>
      </w:r>
      <w:r w:rsidR="009A774E" w:rsidRPr="00F104D0">
        <w:rPr>
          <w:rFonts w:ascii="Times New Roman Regular" w:hAnsi="Times New Roman Regular" w:cs="Times New Roman Regular"/>
          <w:sz w:val="20"/>
          <w:szCs w:val="20"/>
        </w:rPr>
        <w:fldChar w:fldCharType="separate"/>
      </w:r>
      <w:r w:rsidR="00F104D0" w:rsidRPr="00F104D0">
        <w:rPr>
          <w:rFonts w:ascii="Times New Roman Regular" w:hAnsi="Times New Roman Regular" w:cs="Times New Roman Regular"/>
          <w:noProof/>
          <w:sz w:val="20"/>
          <w:szCs w:val="20"/>
        </w:rPr>
        <w:t>[47]</w:t>
      </w:r>
      <w:r w:rsidR="009A774E" w:rsidRPr="00F104D0">
        <w:rPr>
          <w:rFonts w:ascii="Times New Roman Regular" w:hAnsi="Times New Roman Regular" w:cs="Times New Roman Regular"/>
          <w:sz w:val="20"/>
          <w:szCs w:val="20"/>
        </w:rPr>
        <w:fldChar w:fldCharType="end"/>
      </w:r>
      <w:r w:rsidRPr="00F104D0">
        <w:rPr>
          <w:rFonts w:ascii="Times New Roman Regular" w:hAnsi="Times New Roman Regular" w:cs="Times New Roman Regular"/>
          <w:sz w:val="20"/>
          <w:szCs w:val="20"/>
        </w:rPr>
        <w:t xml:space="preserve">. </w:t>
      </w:r>
    </w:p>
    <w:p w:rsidR="00107B9E" w:rsidRDefault="0020307E" w:rsidP="003A3140">
      <w:pPr>
        <w:spacing w:line="240" w:lineRule="auto"/>
        <w:jc w:val="both"/>
        <w:rPr>
          <w:rFonts w:ascii="Times New Roman Regular" w:hAnsi="Times New Roman Regular" w:cs="Times New Roman Regular"/>
          <w:sz w:val="20"/>
          <w:szCs w:val="20"/>
        </w:rPr>
      </w:pPr>
      <w:r w:rsidRPr="00F104D0">
        <w:rPr>
          <w:rFonts w:ascii="Times New Roman Regular" w:hAnsi="Times New Roman Regular" w:cs="Times New Roman Regular"/>
          <w:sz w:val="20"/>
          <w:szCs w:val="20"/>
        </w:rPr>
        <w:t xml:space="preserve">The </w:t>
      </w:r>
      <w:proofErr w:type="spellStart"/>
      <w:r w:rsidRPr="00F104D0">
        <w:rPr>
          <w:rFonts w:ascii="Times New Roman Regular" w:hAnsi="Times New Roman Regular" w:cs="Times New Roman Regular"/>
          <w:sz w:val="20"/>
          <w:szCs w:val="20"/>
        </w:rPr>
        <w:t>pharmacogenomic</w:t>
      </w:r>
      <w:proofErr w:type="spellEnd"/>
      <w:r w:rsidRPr="00F104D0">
        <w:rPr>
          <w:rFonts w:ascii="Times New Roman Regular" w:hAnsi="Times New Roman Regular" w:cs="Times New Roman Regular"/>
          <w:sz w:val="20"/>
          <w:szCs w:val="20"/>
        </w:rPr>
        <w:t xml:space="preserve"> machinery is consisted of a series of genes that codes for various proteins and enzymes </w:t>
      </w:r>
      <w:proofErr w:type="gramStart"/>
      <w:r w:rsidRPr="00F104D0">
        <w:rPr>
          <w:rFonts w:ascii="Times New Roman Regular" w:hAnsi="Times New Roman Regular" w:cs="Times New Roman Regular"/>
          <w:sz w:val="20"/>
          <w:szCs w:val="20"/>
        </w:rPr>
        <w:t>which  helps</w:t>
      </w:r>
      <w:proofErr w:type="gramEnd"/>
      <w:r w:rsidRPr="00F104D0">
        <w:rPr>
          <w:rFonts w:ascii="Times New Roman Regular" w:hAnsi="Times New Roman Regular" w:cs="Times New Roman Regular"/>
          <w:sz w:val="20"/>
          <w:szCs w:val="20"/>
        </w:rPr>
        <w:t xml:space="preserve"> further  in drug targeting. Genes involved in the </w:t>
      </w:r>
      <w:proofErr w:type="spellStart"/>
      <w:r w:rsidRPr="00F104D0">
        <w:rPr>
          <w:rFonts w:ascii="Times New Roman Regular" w:hAnsi="Times New Roman Regular" w:cs="Times New Roman Regular"/>
          <w:sz w:val="20"/>
          <w:szCs w:val="20"/>
        </w:rPr>
        <w:t>pharmacogenomic</w:t>
      </w:r>
      <w:proofErr w:type="spellEnd"/>
      <w:r w:rsidRPr="00F104D0">
        <w:rPr>
          <w:rFonts w:ascii="Times New Roman Regular" w:hAnsi="Times New Roman Regular" w:cs="Times New Roman Regular"/>
          <w:sz w:val="20"/>
          <w:szCs w:val="20"/>
        </w:rPr>
        <w:t xml:space="preserve"> study in response to drug deals with pathogenesis, mechanism of action of drugs, drug metabolism, drug transporters and </w:t>
      </w:r>
      <w:proofErr w:type="spellStart"/>
      <w:r w:rsidRPr="00F104D0">
        <w:rPr>
          <w:rFonts w:ascii="Times New Roman Regular" w:hAnsi="Times New Roman Regular" w:cs="Times New Roman Regular"/>
          <w:sz w:val="20"/>
          <w:szCs w:val="20"/>
        </w:rPr>
        <w:t>pleiotropic</w:t>
      </w:r>
      <w:proofErr w:type="spellEnd"/>
      <w:r w:rsidRPr="00F104D0">
        <w:rPr>
          <w:rFonts w:ascii="Times New Roman Regular" w:hAnsi="Times New Roman Regular" w:cs="Times New Roman Regular"/>
          <w:sz w:val="20"/>
          <w:szCs w:val="20"/>
        </w:rPr>
        <w:t xml:space="preserve"> genes which is a single gene controlling more than one trait. Various alleles are associated with ADRs caused by drugs such as </w:t>
      </w:r>
      <w:proofErr w:type="spellStart"/>
      <w:r w:rsidRPr="00F104D0">
        <w:rPr>
          <w:rFonts w:ascii="Times New Roman Regular" w:hAnsi="Times New Roman Regular" w:cs="Times New Roman Regular"/>
          <w:sz w:val="20"/>
          <w:szCs w:val="20"/>
        </w:rPr>
        <w:t>antifungals</w:t>
      </w:r>
      <w:proofErr w:type="spellEnd"/>
      <w:r w:rsidRPr="00F104D0">
        <w:rPr>
          <w:rFonts w:ascii="Times New Roman Regular" w:hAnsi="Times New Roman Regular" w:cs="Times New Roman Regular"/>
          <w:sz w:val="20"/>
          <w:szCs w:val="20"/>
        </w:rPr>
        <w:t xml:space="preserve">, </w:t>
      </w:r>
      <w:proofErr w:type="spellStart"/>
      <w:r w:rsidRPr="00F104D0">
        <w:rPr>
          <w:rFonts w:ascii="Times New Roman Regular" w:hAnsi="Times New Roman Regular" w:cs="Times New Roman Regular"/>
          <w:sz w:val="20"/>
          <w:szCs w:val="20"/>
        </w:rPr>
        <w:t>minocycline</w:t>
      </w:r>
      <w:proofErr w:type="spellEnd"/>
      <w:r w:rsidRPr="00F104D0">
        <w:rPr>
          <w:rFonts w:ascii="Times New Roman Regular" w:hAnsi="Times New Roman Regular" w:cs="Times New Roman Regular"/>
          <w:sz w:val="20"/>
          <w:szCs w:val="20"/>
        </w:rPr>
        <w:t xml:space="preserve">, </w:t>
      </w:r>
      <w:proofErr w:type="spellStart"/>
      <w:proofErr w:type="gramStart"/>
      <w:r w:rsidRPr="00F104D0">
        <w:rPr>
          <w:rFonts w:ascii="Times New Roman Regular" w:hAnsi="Times New Roman Regular" w:cs="Times New Roman Regular"/>
          <w:sz w:val="20"/>
          <w:szCs w:val="20"/>
        </w:rPr>
        <w:t>allopurinol</w:t>
      </w:r>
      <w:proofErr w:type="spellEnd"/>
      <w:proofErr w:type="gramEnd"/>
      <w:r w:rsidRPr="00F104D0">
        <w:rPr>
          <w:rFonts w:ascii="Times New Roman Regular" w:hAnsi="Times New Roman Regular" w:cs="Times New Roman Regular"/>
          <w:sz w:val="20"/>
          <w:szCs w:val="20"/>
        </w:rPr>
        <w:t>, non-steroidal anti inflammatory drugs.</w:t>
      </w:r>
      <w:r w:rsidRPr="00F104D0">
        <w:rPr>
          <w:rFonts w:ascii="Times New Roman Regular" w:hAnsi="Times New Roman Regular"/>
          <w:sz w:val="20"/>
          <w:szCs w:val="20"/>
        </w:rPr>
        <w:t xml:space="preserve">HLA-B∗35:02 allele is associated with the ADRs of </w:t>
      </w:r>
      <w:proofErr w:type="spellStart"/>
      <w:r w:rsidRPr="00F104D0">
        <w:rPr>
          <w:rFonts w:ascii="Times New Roman Regular" w:hAnsi="Times New Roman Regular"/>
          <w:sz w:val="20"/>
          <w:szCs w:val="20"/>
        </w:rPr>
        <w:t>minocycline</w:t>
      </w:r>
      <w:proofErr w:type="spellEnd"/>
      <w:r w:rsidRPr="00F104D0">
        <w:rPr>
          <w:rFonts w:ascii="Times New Roman Regular" w:hAnsi="Times New Roman Regular"/>
          <w:sz w:val="20"/>
          <w:szCs w:val="20"/>
        </w:rPr>
        <w:t xml:space="preserve">. </w:t>
      </w:r>
      <w:proofErr w:type="spellStart"/>
      <w:r w:rsidRPr="00F104D0">
        <w:rPr>
          <w:rFonts w:ascii="Times New Roman Regular" w:hAnsi="Times New Roman Regular"/>
          <w:sz w:val="20"/>
          <w:szCs w:val="20"/>
        </w:rPr>
        <w:t>Cyclooxygenase</w:t>
      </w:r>
      <w:proofErr w:type="spellEnd"/>
      <w:r w:rsidRPr="00F104D0">
        <w:rPr>
          <w:rFonts w:ascii="Times New Roman Regular" w:hAnsi="Times New Roman Regular"/>
          <w:sz w:val="20"/>
          <w:szCs w:val="20"/>
        </w:rPr>
        <w:t xml:space="preserve"> genes are the effective determinants of the ADRs caused by non-steroidal anti-inflammatory drugs. HLA-B*58:01 allele may lead to severe </w:t>
      </w:r>
      <w:proofErr w:type="spellStart"/>
      <w:r w:rsidRPr="00F104D0">
        <w:rPr>
          <w:rFonts w:ascii="Times New Roman Regular" w:hAnsi="Times New Roman Regular"/>
          <w:sz w:val="20"/>
          <w:szCs w:val="20"/>
        </w:rPr>
        <w:t>cutaneous</w:t>
      </w:r>
      <w:proofErr w:type="spellEnd"/>
      <w:r w:rsidRPr="00F104D0">
        <w:rPr>
          <w:rFonts w:ascii="Times New Roman Regular" w:hAnsi="Times New Roman Regular"/>
          <w:sz w:val="20"/>
          <w:szCs w:val="20"/>
        </w:rPr>
        <w:t xml:space="preserve"> ADRs during treatment with </w:t>
      </w:r>
      <w:proofErr w:type="spellStart"/>
      <w:r w:rsidRPr="00F104D0">
        <w:rPr>
          <w:rFonts w:ascii="Times New Roman Regular" w:hAnsi="Times New Roman Regular"/>
          <w:sz w:val="20"/>
          <w:szCs w:val="20"/>
        </w:rPr>
        <w:t>allopurinol</w:t>
      </w:r>
      <w:proofErr w:type="spellEnd"/>
      <w:r w:rsidRPr="00F104D0">
        <w:rPr>
          <w:rFonts w:ascii="Times New Roman Regular" w:hAnsi="Times New Roman Regular" w:cs="Times New Roman Regular"/>
          <w:sz w:val="20"/>
          <w:szCs w:val="20"/>
        </w:rPr>
        <w:t xml:space="preserve">. Gene polymorphism that codes for drug </w:t>
      </w:r>
      <w:proofErr w:type="spellStart"/>
      <w:r w:rsidRPr="00F104D0">
        <w:rPr>
          <w:rFonts w:ascii="Times New Roman Regular" w:hAnsi="Times New Roman Regular" w:cs="Times New Roman Regular"/>
          <w:sz w:val="20"/>
          <w:szCs w:val="20"/>
        </w:rPr>
        <w:t>metabolising</w:t>
      </w:r>
      <w:proofErr w:type="spellEnd"/>
      <w:r w:rsidRPr="00F104D0">
        <w:rPr>
          <w:rFonts w:ascii="Times New Roman Regular" w:hAnsi="Times New Roman Regular" w:cs="Times New Roman Regular"/>
          <w:sz w:val="20"/>
          <w:szCs w:val="20"/>
        </w:rPr>
        <w:t xml:space="preserve"> enzymes, drug receptors, drug transporters and ion channels may either increase the risks of ADRs or reduce the potency </w:t>
      </w:r>
      <w:proofErr w:type="gramStart"/>
      <w:r w:rsidRPr="00F104D0">
        <w:rPr>
          <w:rFonts w:ascii="Times New Roman Regular" w:hAnsi="Times New Roman Regular" w:cs="Times New Roman Regular"/>
          <w:sz w:val="20"/>
          <w:szCs w:val="20"/>
        </w:rPr>
        <w:t>of  pharmacological</w:t>
      </w:r>
      <w:proofErr w:type="gramEnd"/>
      <w:r w:rsidRPr="00F104D0">
        <w:rPr>
          <w:rFonts w:ascii="Times New Roman Regular" w:hAnsi="Times New Roman Regular" w:cs="Times New Roman Regular"/>
          <w:sz w:val="20"/>
          <w:szCs w:val="20"/>
        </w:rPr>
        <w:t xml:space="preserve"> action of drugs. </w:t>
      </w:r>
      <w:r w:rsidRPr="00F104D0">
        <w:rPr>
          <w:rFonts w:ascii="Times New Roman Regular" w:hAnsi="Times New Roman Regular"/>
          <w:sz w:val="20"/>
          <w:szCs w:val="20"/>
        </w:rPr>
        <w:t xml:space="preserve">Individual risk factors for adverse drug reactions are best examined in mutant alleles at a single gene locus, which includes numerous </w:t>
      </w:r>
      <w:proofErr w:type="gramStart"/>
      <w:r w:rsidRPr="00F104D0">
        <w:rPr>
          <w:rFonts w:ascii="Times New Roman Regular" w:hAnsi="Times New Roman Regular"/>
          <w:sz w:val="20"/>
          <w:szCs w:val="20"/>
        </w:rPr>
        <w:t>gene</w:t>
      </w:r>
      <w:proofErr w:type="gramEnd"/>
      <w:r w:rsidRPr="00F104D0">
        <w:rPr>
          <w:rFonts w:ascii="Times New Roman Regular" w:hAnsi="Times New Roman Regular"/>
          <w:sz w:val="20"/>
          <w:szCs w:val="20"/>
        </w:rPr>
        <w:t xml:space="preserve"> coding for drug-</w:t>
      </w:r>
      <w:proofErr w:type="spellStart"/>
      <w:r w:rsidRPr="00F104D0">
        <w:rPr>
          <w:rFonts w:ascii="Times New Roman Regular" w:hAnsi="Times New Roman Regular"/>
          <w:sz w:val="20"/>
          <w:szCs w:val="20"/>
        </w:rPr>
        <w:t>metabolising</w:t>
      </w:r>
      <w:proofErr w:type="spellEnd"/>
      <w:r w:rsidRPr="00F104D0">
        <w:rPr>
          <w:rFonts w:ascii="Times New Roman Regular" w:hAnsi="Times New Roman Regular"/>
          <w:sz w:val="20"/>
          <w:szCs w:val="20"/>
        </w:rPr>
        <w:t xml:space="preserve"> enzymes. The risk factors can be effectively analyzed using </w:t>
      </w:r>
      <w:proofErr w:type="spellStart"/>
      <w:r w:rsidRPr="00F104D0">
        <w:rPr>
          <w:rFonts w:ascii="Times New Roman Regular" w:hAnsi="Times New Roman Regular"/>
          <w:sz w:val="20"/>
          <w:szCs w:val="20"/>
        </w:rPr>
        <w:t>pharmacogenomic</w:t>
      </w:r>
      <w:proofErr w:type="spellEnd"/>
      <w:r w:rsidRPr="00F104D0">
        <w:rPr>
          <w:rFonts w:ascii="Times New Roman Regular" w:hAnsi="Times New Roman Regular"/>
          <w:sz w:val="20"/>
          <w:szCs w:val="20"/>
        </w:rPr>
        <w:t xml:space="preserve"> approaches, and genotype testing ma</w:t>
      </w:r>
      <w:r w:rsidR="00782A78" w:rsidRPr="00F104D0">
        <w:rPr>
          <w:rFonts w:ascii="Times New Roman Regular" w:hAnsi="Times New Roman Regular"/>
          <w:sz w:val="20"/>
          <w:szCs w:val="20"/>
        </w:rPr>
        <w:t>y help to optimize drug therapy</w:t>
      </w:r>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{"citationItems":[{"id":"ITEM-1","itemData":{"DOI":"10.1080/17512433.2019.1597706","ISSN":"1751-2433","author":[{"dropping-particle":"","family":"Cacabelos","given":"Ram</w:instrText>
      </w:r>
      <w:r w:rsidR="008A18B3">
        <w:rPr>
          <w:rFonts w:ascii="Times New Roman Regular" w:hAnsi="Times New Roman Regular" w:hint="eastAsia"/>
          <w:sz w:val="20"/>
          <w:szCs w:val="20"/>
        </w:rPr>
        <w:instrText>ó</w:instrText>
      </w:r>
      <w:r w:rsidR="008A18B3">
        <w:rPr>
          <w:rFonts w:ascii="Times New Roman Regular" w:hAnsi="Times New Roman Regular"/>
          <w:sz w:val="20"/>
          <w:szCs w:val="20"/>
        </w:rPr>
        <w:instrText>n","non-dropping-particle":"","parse-names":false,"suffix":""},{"dropping-particle":"","family":"Cacabelos","given":"Natalia","non-dropping-particle":"","parse-names":false,"suffix":""},{"dropping-particle":"","family":"Carril","given":"Juan C.","non-dropping-particle":"","parse-names":false,"suffix":""}],"container-title":"Expert Review of Clinical Pharmacology","id":"ITEM-1","issue":"5","issued":{"date-parts":[["2019","5","4"]]},"page":"407-442","title":"The role of pharmacogenomics in adverse drug reactions","type":"article-journal","volume":"12"},"uris":["http://www.mendeley.com/documents/?uuid=da6b7768-69a0-4f5b-b334-b3c99c626937"]}],"mendeley":{"formattedCitation":"[48]","plainTextFormattedCitation":"[48]","previouslyFormattedCitation":"[48]"},"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[48]</w:t>
      </w:r>
      <w:r w:rsidR="009A774E" w:rsidRPr="00F104D0">
        <w:rPr>
          <w:rFonts w:ascii="Times New Roman Regular" w:hAnsi="Times New Roman Regular"/>
          <w:sz w:val="20"/>
          <w:szCs w:val="20"/>
        </w:rPr>
        <w:fldChar w:fldCharType="end"/>
      </w:r>
      <w:r w:rsidRPr="00F104D0">
        <w:rPr>
          <w:rFonts w:ascii="Times New Roman Regular" w:hAnsi="Times New Roman Regular" w:cs="Times New Roman Regular"/>
          <w:sz w:val="20"/>
          <w:szCs w:val="20"/>
        </w:rPr>
        <w:t xml:space="preserve">. </w:t>
      </w:r>
    </w:p>
    <w:p w:rsidR="00107B9E" w:rsidRDefault="007A53A5" w:rsidP="003A3140">
      <w:pPr>
        <w:spacing w:line="240" w:lineRule="auto"/>
        <w:jc w:val="both"/>
        <w:rPr>
          <w:rFonts w:ascii="Times New Roman Regular" w:hAnsi="Times New Roman Regular" w:cs="Times New Roman Regular"/>
          <w:sz w:val="20"/>
          <w:szCs w:val="20"/>
        </w:rPr>
      </w:pPr>
      <w:r w:rsidRPr="007A53A5">
        <w:rPr>
          <w:rFonts w:ascii="Times New Roman Regular" w:hAnsi="Times New Roman Regular"/>
          <w:sz w:val="20"/>
          <w:szCs w:val="20"/>
        </w:rPr>
        <w:t xml:space="preserve">ADRs are shown to be more common in </w:t>
      </w:r>
      <w:proofErr w:type="spellStart"/>
      <w:r w:rsidRPr="007A53A5">
        <w:rPr>
          <w:rFonts w:ascii="Times New Roman Regular" w:hAnsi="Times New Roman Regular"/>
          <w:sz w:val="20"/>
          <w:szCs w:val="20"/>
        </w:rPr>
        <w:t>paediatrics</w:t>
      </w:r>
      <w:proofErr w:type="spellEnd"/>
      <w:r w:rsidRPr="007A53A5">
        <w:rPr>
          <w:rFonts w:ascii="Times New Roman Regular" w:hAnsi="Times New Roman Regular"/>
          <w:sz w:val="20"/>
          <w:szCs w:val="20"/>
        </w:rPr>
        <w:t xml:space="preserve"> than in adults as a result of drug-drug interactions and improper therapies. Some nations have developed </w:t>
      </w:r>
      <w:proofErr w:type="spellStart"/>
      <w:r w:rsidRPr="007A53A5">
        <w:rPr>
          <w:rFonts w:ascii="Times New Roman Regular" w:hAnsi="Times New Roman Regular"/>
          <w:sz w:val="20"/>
          <w:szCs w:val="20"/>
        </w:rPr>
        <w:t>pharmacogenomic</w:t>
      </w:r>
      <w:proofErr w:type="spellEnd"/>
      <w:r w:rsidRPr="007A53A5">
        <w:rPr>
          <w:rFonts w:ascii="Times New Roman Regular" w:hAnsi="Times New Roman Regular"/>
          <w:sz w:val="20"/>
          <w:szCs w:val="20"/>
        </w:rPr>
        <w:t xml:space="preserve"> networks to generate genetically based assessments of children's drug responses, adverse medication reactions, and drug safety. </w:t>
      </w:r>
      <w:proofErr w:type="spellStart"/>
      <w:r w:rsidRPr="007A53A5">
        <w:rPr>
          <w:rFonts w:ascii="Times New Roman Regular" w:hAnsi="Times New Roman Regular"/>
          <w:sz w:val="20"/>
          <w:szCs w:val="20"/>
        </w:rPr>
        <w:t>Pharmacogenomics</w:t>
      </w:r>
      <w:proofErr w:type="spellEnd"/>
      <w:r w:rsidRPr="007A53A5">
        <w:rPr>
          <w:rFonts w:ascii="Times New Roman Regular" w:hAnsi="Times New Roman Regular"/>
          <w:sz w:val="20"/>
          <w:szCs w:val="20"/>
        </w:rPr>
        <w:t xml:space="preserve"> has not been applied sufficiently in geriatric medicine to combat the lethal pandemic of </w:t>
      </w:r>
      <w:proofErr w:type="spellStart"/>
      <w:r w:rsidRPr="007A53A5">
        <w:rPr>
          <w:rFonts w:ascii="Times New Roman Regular" w:hAnsi="Times New Roman Regular"/>
          <w:sz w:val="20"/>
          <w:szCs w:val="20"/>
        </w:rPr>
        <w:t>polypharmacy</w:t>
      </w:r>
      <w:proofErr w:type="spellEnd"/>
      <w:r w:rsidRPr="007A53A5">
        <w:rPr>
          <w:rFonts w:ascii="Times New Roman Regular" w:hAnsi="Times New Roman Regular"/>
          <w:sz w:val="20"/>
          <w:szCs w:val="20"/>
        </w:rPr>
        <w:t>-related adverse drug reactions (ADRs) among the elderly.</w:t>
      </w:r>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{"citationItems":[{"id":"ITEM-1","itemData":{"DOI":"10.1186/s12913-020-5056-3","ISSN":"1472-6963","author":[{"dropping-particle":"","family":"Crowley","given":"Erin K.","non-dropping-particle":"","parse-names":false,"suffix":""},{"dropping-particle":"","family":"Sallevelt","given":"Bastiaan T. G. M.","non-dropping-particle":"","parse-names":false,"suffix":""},{"dropping-particle":"","family":"Huibers","given":"Corlina J. A.","non-dropping-particle":"","parse-names":false,"suffix":""},{"dropping-particle":"","family":"Murphy","given":"Kevin D.","non-dropping-particle":"","parse-names":false,"suffix":""},{"dropping-particle":"","family":"Spruit","given":"Marco","non-dropping-particle":"","parse-names":false,"suffix":""},{"dropping-particle":"","family":"Shen","given":"Zhengru","non-dropping-particle":"","parse-names":false,"suffix":""},{"dropping-particle":"","family":"Boland","given":"Beno</w:instrText>
      </w:r>
      <w:r w:rsidR="008A18B3">
        <w:rPr>
          <w:rFonts w:ascii="Times New Roman Regular" w:hAnsi="Times New Roman Regular" w:hint="eastAsia"/>
          <w:sz w:val="20"/>
          <w:szCs w:val="20"/>
        </w:rPr>
        <w:instrText>î</w:instrText>
      </w:r>
      <w:r w:rsidR="008A18B3">
        <w:rPr>
          <w:rFonts w:ascii="Times New Roman Regular" w:hAnsi="Times New Roman Regular"/>
          <w:sz w:val="20"/>
          <w:szCs w:val="20"/>
        </w:rPr>
        <w:instrText>t","non-dropping-particle":"","parse-names":false,"suffix":""},{"dropping-particle":"","family":"Spinewine","given":"Anne","non-dropping-particle":"","parse-names":false,"suffix":""},{"dropping-particle":"","family":"Dalleur","given":"Olivia","non-dropping-particle":"","parse-names":false,"suffix":""},{"dropping-particle":"","family":"Moutzouri","given":"Elisavet","non-dropping-particle":"","parse-names":false,"suffix":""},{"dropping-particle":"","family":"L</w:instrText>
      </w:r>
      <w:r w:rsidR="008A18B3">
        <w:rPr>
          <w:rFonts w:ascii="Times New Roman Regular" w:hAnsi="Times New Roman Regular" w:hint="eastAsia"/>
          <w:sz w:val="20"/>
          <w:szCs w:val="20"/>
        </w:rPr>
        <w:instrText>ö</w:instrText>
      </w:r>
      <w:r w:rsidR="008A18B3">
        <w:rPr>
          <w:rFonts w:ascii="Times New Roman Regular" w:hAnsi="Times New Roman Regular"/>
          <w:sz w:val="20"/>
          <w:szCs w:val="20"/>
        </w:rPr>
        <w:instrText>we","given":"Axel","non-dropping-particle":"","parse-names":false,"suffix":""},{"dropping-particle":"","family":"Feller","given":"Martin","non-dropping-particle":"","parse-names":false,"suffix":""},{"dropping-particle":"","family":"Schwab","given":"Nathalie","non-dropping-particle":"","parse-names":false,"suffix":""},{"dropping-particle":"","family":"Adam","given":"Luise","non-dropping-particle":"","parse-names":false,"suffix":""},{"dropping-particle":"","family":"Wilting","given":"Ingeborg","non-dropping-particle":"","parse-names":false,"suffix":""},{"dropping-particle":"","family":"Knol","given":"Wilma","non-dropping-particle":"","parse-names":false,"suffix":""},{"dropping-particle":"","family":"Rodondi","given":"Nicolas","non-dropping-particle":"","parse-names":false,"suffix":""},{"dropping-particle":"","family":"Byrne","given":"Stephen","non-dropping-particle":"","parse-names":false,"suffix":""},{"dropping-particle":"","family":"O</w:instrText>
      </w:r>
      <w:r w:rsidR="008A18B3">
        <w:rPr>
          <w:rFonts w:ascii="Times New Roman Regular" w:hAnsi="Times New Roman Regular" w:hint="eastAsia"/>
          <w:sz w:val="20"/>
          <w:szCs w:val="20"/>
        </w:rPr>
        <w:instrText>’</w:instrText>
      </w:r>
      <w:r w:rsidR="008A18B3">
        <w:rPr>
          <w:rFonts w:ascii="Times New Roman Regular" w:hAnsi="Times New Roman Regular"/>
          <w:sz w:val="20"/>
          <w:szCs w:val="20"/>
        </w:rPr>
        <w:instrText>Mahony","given":"Denis","non-dropping-particle":"","parse-names":false,"suffix":""}],"container-title":"BMC Health Services Research","id":"ITEM-1","issue":"1","issued":{"date-parts":[["2020","12","17"]]},"page":"220","title":"Intervention protocol: OPtimising thERapy to prevent avoidable hospital Admission in the Multi-morbid elderly (OPERAM): a structured medication review with support of a computerised decision support system","type":"article-journal","volume":"20"},"uris":["http://www.mendeley.com/documents/?uuid=087d52cf-7091-480c-b00f-226fa8bdccd3"]}],"mendeley":{"formattedCitation":"[49]","plainTextFormattedCitation":"[49]","previouslyFormattedCitation":"[49]"},"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[49]</w:t>
      </w:r>
      <w:r w:rsidR="009A774E" w:rsidRPr="00F104D0">
        <w:rPr>
          <w:rFonts w:ascii="Times New Roman Regular" w:hAnsi="Times New Roman Regular"/>
          <w:sz w:val="20"/>
          <w:szCs w:val="20"/>
        </w:rPr>
        <w:fldChar w:fldCharType="end"/>
      </w:r>
      <w:r w:rsidR="005A0A05">
        <w:rPr>
          <w:rFonts w:ascii="Times New Roman Regular" w:hAnsi="Times New Roman Regular"/>
          <w:sz w:val="20"/>
          <w:szCs w:val="20"/>
        </w:rPr>
        <w:t>.</w:t>
      </w:r>
      <w:r w:rsidR="005A0A05" w:rsidRPr="005A0A05">
        <w:rPr>
          <w:rFonts w:ascii="Times New Roman Regular" w:hAnsi="Times New Roman Regular"/>
          <w:sz w:val="20"/>
          <w:szCs w:val="20"/>
        </w:rPr>
        <w:t xml:space="preserve"> According to a theory, the patient's genome affects medication exposure and adverse drug reactions (ADRs), and the genome of the </w:t>
      </w:r>
      <w:proofErr w:type="spellStart"/>
      <w:r w:rsidR="005A0A05" w:rsidRPr="005A0A05">
        <w:rPr>
          <w:rFonts w:ascii="Times New Roman Regular" w:hAnsi="Times New Roman Regular"/>
          <w:sz w:val="20"/>
          <w:szCs w:val="20"/>
        </w:rPr>
        <w:t>tumour</w:t>
      </w:r>
      <w:proofErr w:type="spellEnd"/>
      <w:r w:rsidR="005A0A05" w:rsidRPr="005A0A05">
        <w:rPr>
          <w:rFonts w:ascii="Times New Roman Regular" w:hAnsi="Times New Roman Regular"/>
          <w:sz w:val="20"/>
          <w:szCs w:val="20"/>
        </w:rPr>
        <w:t xml:space="preserve"> cell impacts the effectiveness of anticancer therapy. The findings state that CYP2D6*4, 2D6*10, 2D6*41, 2D6*10/*10, CYP2C9*2, ABCB1 C3435T, and SLCO1B1*5 are the genotypes most often linked to </w:t>
      </w:r>
      <w:proofErr w:type="spellStart"/>
      <w:r w:rsidR="005A0A05" w:rsidRPr="005A0A05">
        <w:rPr>
          <w:rFonts w:ascii="Times New Roman Regular" w:hAnsi="Times New Roman Regular"/>
          <w:sz w:val="20"/>
          <w:szCs w:val="20"/>
        </w:rPr>
        <w:t>ADRs.ADRs</w:t>
      </w:r>
      <w:proofErr w:type="spellEnd"/>
      <w:r w:rsidR="005A0A05" w:rsidRPr="005A0A05">
        <w:rPr>
          <w:rFonts w:ascii="Times New Roman Regular" w:hAnsi="Times New Roman Regular"/>
          <w:sz w:val="20"/>
          <w:szCs w:val="20"/>
        </w:rPr>
        <w:t xml:space="preserve"> are divided into two groups, Type A and Type B, according to Rawlins and Thompson (1991). Type A ADRs may be predicted from a drug's known pharmacological activities and rely on dose, in contrast to type B ADRs, which cannot be anticipated from a drug's known pharmacological effects. Over time, </w:t>
      </w:r>
      <w:proofErr w:type="spellStart"/>
      <w:r w:rsidR="005A0A05" w:rsidRPr="005A0A05">
        <w:rPr>
          <w:rFonts w:ascii="Times New Roman Regular" w:hAnsi="Times New Roman Regular"/>
          <w:sz w:val="20"/>
          <w:szCs w:val="20"/>
        </w:rPr>
        <w:t>pharmacogenomic</w:t>
      </w:r>
      <w:proofErr w:type="spellEnd"/>
      <w:r w:rsidR="005A0A05" w:rsidRPr="005A0A05">
        <w:rPr>
          <w:rFonts w:ascii="Times New Roman Regular" w:hAnsi="Times New Roman Regular"/>
          <w:sz w:val="20"/>
          <w:szCs w:val="20"/>
        </w:rPr>
        <w:t xml:space="preserve"> research has progressed, and recent studies have revealed a link between genetic variants linked to drug-coding genes and inter-individual variability in the risks of ADRs. </w:t>
      </w:r>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{"citationItems":[{"id":"ITEM-1","itemData":{"DOI":"10.1038/s41598-020-70351-0","ISSN":"2045-2322","abstract":"Genetic polymorphisms in drug metabolizing enzymes and drug transporters may affect irinotecan toxicity. Although genetic polymorphisms have been shown to influence the irinotecan toxicity, data are limited in Thai population. Thus, the aim of this study was to assess the allele and genotype frequencies and the relationship between CYP3A4/5 , DPYD , UGT1A1 , ABCB1 , and ABCC2 genetic variations and irinotecan-induced toxicity in Thai colorectal cancer patients . One hundred and thirty-two patients were genotyped, and the effect of genetic variations on irinotecan-induced toxicity was assessed in 66 patients who received irinotecan-based chemotherapy . Allele frequencies of ABCB1 c.1236C &gt; T, ABCB1 c.3435C &gt; T, ABCC2 c.3972C &gt; T, ABCG2 c.421C &gt; A, CYP3A4*1B , CYP3A4*18 , CYP3A5*3 , DPYD*5 , UGT1A1*28 , and UGT1A1*6 were 0.67, 0.43, 0.23, 0.27, 0.01, 0.02, 0.64, 0.19, 0.16, and 0.09, respectively. DPYD*2A and DPYD c.1774C &gt; T variants were not detected in our study population. The ABCC2 c.3972C &gt; T was significantly associated with grade 1</w:instrText>
      </w:r>
      <w:r w:rsidR="008A18B3">
        <w:rPr>
          <w:rFonts w:ascii="Times New Roman Regular" w:hAnsi="Times New Roman Regular" w:hint="eastAsia"/>
          <w:sz w:val="20"/>
          <w:szCs w:val="20"/>
        </w:rPr>
        <w:instrText>–</w:instrText>
      </w:r>
      <w:r w:rsidR="008A18B3">
        <w:rPr>
          <w:rFonts w:ascii="Times New Roman Regular" w:hAnsi="Times New Roman Regular"/>
          <w:sz w:val="20"/>
          <w:szCs w:val="20"/>
        </w:rPr>
        <w:instrText>4 neutropenia ( P &lt; 0.012) at the first cycle. Patients carrying both UGT1A1*28 and *6 were significantly associated with severe neutropenia at the first (P &lt; 0.001) and second (P = 0.017) cycles. In addition, patients carrying UG1A1*28 and * 6 had significantly lower absolute neutrophil count (ANC) nadir at first ( P &lt; 0.001) and second ( P = 0.001) cycles. This finding suggests that UGT1A1*28, *6 , and ABCC2 c.3972C &gt; T might be an important predictor for irinotecan-induced severe neutropenia.","author":[{"dropping-particle":"","family":"Atasilp","given":"Chalirmporn","non-dropping-particle":"","parse-names":false,"suffix":""},{"dropping-particle":"","family":"Chansriwong","given":"Phichai","non-dropping-particle":"","parse-names":false,"suffix":""},{"dropping-particle":"","family":"Sirachainan","given":"Ekaphop","non-dropping-particle":"","parse-names":false,"suffix":""},{"dropping-particle":"","family":"Reungwetwattana","given":"Thanyanan","non-dropping-particle":"","parse-names":false,"suffix":""},{"dropping-particle":"","family":"Sirilerttrakul","given":"Suwannee","non-dropping-particle":"","parse-names":false,"suffix":""},{"dropping-particle":"","family":"Chamnanphon","given":"Monpat","non-dropping-particle":"","parse-names":false,"suffix":""},{"dropping-particle":"","family":"Puangpetch","given":"Apichaya","non-dropping-particle":"","parse-names":false,"suffix":""},{"dropping-particle":"","family":"Sukasem","given":"Chonlaphat","non-dropping-particle":"","parse-names":false,"suffix":""}],"container-title":"Scientific Reports","id":"ITEM-1","issue":"1","issued":{"date-parts":[["2020","8","10"]]},"page":"13486","title":"Effect of drug metabolizing enzymes and transporters in Thai colorectal cancer patients treated with irinotecan-based chemotherapy","type":"article-journal","volume":"10"},"uris":["http://www.mendeley.com/documents/?uuid=a5da5326-c69b-4f0d-8d48-fb4f7f0fd7e7"]}],"mendeley":{"formattedCitation":"[50]","plainTextFormattedCitation":"[50]","previouslyFormattedCitation":"[50]"},"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[50]</w:t>
      </w:r>
      <w:r w:rsidR="009A774E" w:rsidRPr="00F104D0">
        <w:rPr>
          <w:rFonts w:ascii="Times New Roman Regular" w:hAnsi="Times New Roman Regular"/>
          <w:sz w:val="20"/>
          <w:szCs w:val="20"/>
        </w:rPr>
        <w:fldChar w:fldCharType="end"/>
      </w:r>
      <w:r w:rsidR="0020307E" w:rsidRPr="00F104D0">
        <w:rPr>
          <w:rFonts w:ascii="Times New Roman Regular" w:hAnsi="Times New Roman Regular"/>
          <w:sz w:val="20"/>
          <w:szCs w:val="20"/>
        </w:rPr>
        <w:t>.</w:t>
      </w:r>
    </w:p>
    <w:p w:rsidR="0020307E" w:rsidRPr="00107B9E" w:rsidRDefault="0020307E" w:rsidP="003A3140">
      <w:pPr>
        <w:spacing w:line="240" w:lineRule="auto"/>
        <w:jc w:val="both"/>
        <w:rPr>
          <w:rFonts w:ascii="Times New Roman Regular" w:hAnsi="Times New Roman Regular" w:cs="Times New Roman Regular"/>
          <w:sz w:val="20"/>
          <w:szCs w:val="20"/>
        </w:rPr>
      </w:pPr>
      <w:r w:rsidRPr="00F104D0">
        <w:rPr>
          <w:rFonts w:ascii="Times New Roman Regular" w:hAnsi="Times New Roman Regular"/>
          <w:sz w:val="20"/>
          <w:szCs w:val="20"/>
        </w:rPr>
        <w:t xml:space="preserve">According to the reports, elderly population are more prone to </w:t>
      </w:r>
      <w:r w:rsidR="00790008" w:rsidRPr="00F104D0">
        <w:rPr>
          <w:rFonts w:ascii="Times New Roman Regular" w:hAnsi="Times New Roman Regular"/>
          <w:sz w:val="20"/>
          <w:szCs w:val="20"/>
        </w:rPr>
        <w:t>have ADRs</w:t>
      </w:r>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10.1007/BF03319099","ISSN":"0114-5916","author":[{"dropping-particle":"","family":"Cardelli","given":"Maurizio","non-dropping-particle":"","parse-names":false,"suffix":""},{"dropping-particle":"","family":"Marchegiani","given":"Francesca","non-dropping-particle":"","parse-names":false,"suffix":""},{"dropping-particle":"","family":"Corsonello","given":"Andrea","non-dropping-particle":"","parse-names":false,"suffix":""},{"dropping-particle":"","family":"Lattanzio","given":"Fabrizia","non-dropping-particle":"","parse-names":false,"suffix":""},{"dropping-particle":"","family":"Provinciali","given":"Mauro","non-dropping-particle":"","parse-names":false,"suffix":""}],"container-title":"Drug Safety","id":"ITEM-1","issue":"S1","issued":{"date-parts":[["2012","1","22"]]},"page":"3-20","title":"A Review of Pharmacogenetics of Adverse Drug Reactions in Elderly People","type":"article-journal","volume":"35"},"uris":["http://www.mendeley.com/documents/?uuid=7540f6f6-5c26-4733-8c1c-6ef009165992"]}],"mendeley":{"formattedCitation":"[51]","plainTextFormattedCitation":"[51]","previouslyFormattedCitation":"[51]"},"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[51]</w:t>
      </w:r>
      <w:r w:rsidR="009A774E" w:rsidRPr="00F104D0">
        <w:rPr>
          <w:rFonts w:ascii="Times New Roman Regular" w:hAnsi="Times New Roman Regular"/>
          <w:sz w:val="20"/>
          <w:szCs w:val="20"/>
        </w:rPr>
        <w:fldChar w:fldCharType="end"/>
      </w:r>
      <w:r w:rsidRPr="00F104D0">
        <w:rPr>
          <w:rFonts w:ascii="Times New Roman Regular" w:hAnsi="Times New Roman Regular"/>
          <w:sz w:val="20"/>
          <w:szCs w:val="20"/>
        </w:rPr>
        <w:t xml:space="preserve">. Older persons with chronic illnesses may take 10-12 different medications each day and </w:t>
      </w:r>
      <w:proofErr w:type="spellStart"/>
      <w:r w:rsidRPr="00F104D0">
        <w:rPr>
          <w:rFonts w:ascii="Times New Roman Regular" w:hAnsi="Times New Roman Regular"/>
          <w:sz w:val="20"/>
          <w:szCs w:val="20"/>
        </w:rPr>
        <w:t>pharmacogenomics</w:t>
      </w:r>
      <w:proofErr w:type="spellEnd"/>
      <w:r w:rsidRPr="00F104D0">
        <w:rPr>
          <w:rFonts w:ascii="Times New Roman Regular" w:hAnsi="Times New Roman Regular"/>
          <w:sz w:val="20"/>
          <w:szCs w:val="20"/>
        </w:rPr>
        <w:t xml:space="preserve"> may help to optimize programs focused at improving the appropriate use of </w:t>
      </w:r>
      <w:proofErr w:type="spellStart"/>
      <w:r w:rsidRPr="00F104D0">
        <w:rPr>
          <w:rFonts w:ascii="Times New Roman Regular" w:hAnsi="Times New Roman Regular"/>
          <w:sz w:val="20"/>
          <w:szCs w:val="20"/>
        </w:rPr>
        <w:t>p</w:t>
      </w:r>
      <w:r w:rsidR="00790008" w:rsidRPr="00F104D0">
        <w:rPr>
          <w:rFonts w:ascii="Times New Roman Regular" w:hAnsi="Times New Roman Regular"/>
          <w:sz w:val="20"/>
          <w:szCs w:val="20"/>
        </w:rPr>
        <w:t>olypharmacy</w:t>
      </w:r>
      <w:proofErr w:type="spellEnd"/>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{"citationItems":[{"id":"ITEM-1","itemData":{"DOI":"10.1136/bmjopen-2015-009235","ISSN":"2044-6055","author":[{"dropping-particle":"","family":"Cooper","given":"Janine A","non-dropping-particle":"","parse-names":false,"suffix":""},{"dropping-particle":"","family":"Cadogan","given":"Cathal A","non-dropping-particle":"","parse-names":false,"suffix":""},{"dropping-particle":"","family":"Patterson","given":"Susan M","non-dropping-particle":"","parse-names":false,"suffix":""},{"dropping-particle":"","family":"Kerse","given":"Ngaire","non-dropping-particle":"","parse-names":false,"suffix":""},{"dropping-particle":"","family":"Bradley","given":"Marie C","non-dropping-particle":"","parse-names":false,"suffix":""},{"dropping-particle":"","family":"Ryan","given":"Crist</w:instrText>
      </w:r>
      <w:r w:rsidR="008A18B3">
        <w:rPr>
          <w:rFonts w:ascii="Times New Roman Regular" w:hAnsi="Times New Roman Regular" w:hint="eastAsia"/>
          <w:sz w:val="20"/>
          <w:szCs w:val="20"/>
        </w:rPr>
        <w:instrText>í</w:instrText>
      </w:r>
      <w:r w:rsidR="008A18B3">
        <w:rPr>
          <w:rFonts w:ascii="Times New Roman Regular" w:hAnsi="Times New Roman Regular"/>
          <w:sz w:val="20"/>
          <w:szCs w:val="20"/>
        </w:rPr>
        <w:instrText>n","non-dropping-particle":"","parse-names":false,"suffix":""},{"dropping-particle":"","family":"Hughes","given":"Carmel M","non-dropping-particle":"","parse-names":false,"suffix":""}],"container-title":"BMJ Open","id":"ITEM-1","issue":"12","issued":{"date-parts":[["2015","12","9"]]},"page":"e009235","title":"Interventions to improve the appropriate use of polypharmacy in older people: a Cochrane systematic review","type":"article-journal","volume":"5"},"uris":["http://www.mendeley.com/documents/?uuid=53688e3d-8262-4800-ab26-342163359921"]}],"mendeley":{"formattedCitation":"[52]","plainTextFormattedCitation":"[52]","previouslyFormattedCitation":"[52]"},"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[52]</w:t>
      </w:r>
      <w:r w:rsidR="009A774E" w:rsidRPr="00F104D0">
        <w:rPr>
          <w:rFonts w:ascii="Times New Roman Regular" w:hAnsi="Times New Roman Regular"/>
          <w:sz w:val="20"/>
          <w:szCs w:val="20"/>
        </w:rPr>
        <w:fldChar w:fldCharType="end"/>
      </w:r>
      <w:r w:rsidRPr="00F104D0">
        <w:rPr>
          <w:rFonts w:ascii="Times New Roman Regular" w:hAnsi="Times New Roman Regular"/>
          <w:sz w:val="20"/>
          <w:szCs w:val="20"/>
        </w:rPr>
        <w:t>.</w:t>
      </w:r>
      <w:r w:rsidR="005A0A05" w:rsidRPr="005A0A05">
        <w:t xml:space="preserve"> </w:t>
      </w:r>
      <w:r w:rsidR="005A0A05" w:rsidRPr="005A0A05">
        <w:rPr>
          <w:rFonts w:ascii="Times New Roman Regular" w:hAnsi="Times New Roman Regular"/>
          <w:sz w:val="20"/>
          <w:szCs w:val="20"/>
        </w:rPr>
        <w:t xml:space="preserve">There is a correlation between the risk of ADRs associated to </w:t>
      </w:r>
      <w:proofErr w:type="spellStart"/>
      <w:r w:rsidR="005A0A05" w:rsidRPr="005A0A05">
        <w:rPr>
          <w:rFonts w:ascii="Times New Roman Regular" w:hAnsi="Times New Roman Regular"/>
          <w:sz w:val="20"/>
          <w:szCs w:val="20"/>
        </w:rPr>
        <w:t>polypharmacy</w:t>
      </w:r>
      <w:proofErr w:type="spellEnd"/>
      <w:r w:rsidR="005A0A05" w:rsidRPr="005A0A05">
        <w:rPr>
          <w:rFonts w:ascii="Times New Roman Regular" w:hAnsi="Times New Roman Regular"/>
          <w:sz w:val="20"/>
          <w:szCs w:val="20"/>
        </w:rPr>
        <w:t xml:space="preserve"> and advanced age, several co-morbidities, dementia, frailty, and a short life expectancy.</w:t>
      </w:r>
      <w:r w:rsidR="005A0A05" w:rsidRPr="00F104D0">
        <w:rPr>
          <w:rFonts w:ascii="Times New Roman Regular" w:hAnsi="Times New Roman Regular"/>
          <w:sz w:val="20"/>
          <w:szCs w:val="20"/>
        </w:rPr>
        <w:t xml:space="preserve"> </w:t>
      </w:r>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{"citationItems":[{"id":"ITEM-1","itemData":{"DOI":"10.1007/s40266-018-0554-2","ISSN":"1170-229X","author":[{"dropping-particle":"","family":"Mangin","given":"Dee","non-dropping-particle":"","parse-names":false,"suffix":""},{"dropping-particle":"","family":"Bahat","given":"G</w:instrText>
      </w:r>
      <w:r w:rsidR="008A18B3">
        <w:rPr>
          <w:rFonts w:ascii="Times New Roman Regular" w:hAnsi="Times New Roman Regular" w:hint="eastAsia"/>
          <w:sz w:val="20"/>
          <w:szCs w:val="20"/>
        </w:rPr>
        <w:instrText>ü</w:instrText>
      </w:r>
      <w:r w:rsidR="008A18B3">
        <w:rPr>
          <w:rFonts w:ascii="Times New Roman Regular" w:hAnsi="Times New Roman Regular"/>
          <w:sz w:val="20"/>
          <w:szCs w:val="20"/>
        </w:rPr>
        <w:instrText>listan","non-dropping-particle":"","parse-names":false,"suffix":""},{"dropping-particle":"","family":"Golomb","given":"Beatrice A.","non-dropping-particle":"","parse-names":false,"suffix":""},{"dropping-particle":"","family":"Mallery","given":"Laurie Herzig","non-dropping-particle":"","parse-names":false,"suffix":""},{"dropping-particle":"","family":"Moorhouse","given":"Paige","non-dropping-particle":"","parse-names":false,"suffix":""},{"dropping-particle":"","family":"Onder","given":"Graziano","non-dropping-particle":"","parse-names":false,"suffix":""},{"dropping-particle":"","family":"Petrovic","given":"Mirko","non-dropping-particle":"","parse-names":false,"suffix":""},{"dropping-particle":"","family":"Garfinkel","given":"Doron","non-dropping-particle":"","parse-names":false,"suffix":""}],"container-title":"Drugs &amp; Aging","id":"ITEM-1","issue":"7","issued":{"date-parts":[["2018","7","14"]]},"page":"575-587","title":"International Group for Reducing Inappropriate Medication Use &amp;amp; Polypharmacy (IGRIMUP): Position Statement and 10 Recommendations for Action","type":"article-journal","volume":"35"},"uris":["http://www.mendeley.com/documents/?uuid=e10f6102-6427-4e6e-af51-17fd59380223"]}],"mendeley":{"formattedCitation":"[53]","plainTextFormattedCitation":"[53]","previouslyFormattedCitation":"[53]"},"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[53]</w:t>
      </w:r>
      <w:r w:rsidR="009A774E" w:rsidRPr="00F104D0">
        <w:rPr>
          <w:rFonts w:ascii="Times New Roman Regular" w:hAnsi="Times New Roman Regular"/>
          <w:sz w:val="20"/>
          <w:szCs w:val="20"/>
        </w:rPr>
        <w:fldChar w:fldCharType="end"/>
      </w:r>
      <w:r w:rsidRPr="00F104D0">
        <w:rPr>
          <w:rFonts w:ascii="Times New Roman Regular" w:hAnsi="Times New Roman Regular"/>
          <w:sz w:val="20"/>
          <w:szCs w:val="20"/>
        </w:rPr>
        <w:t xml:space="preserve">. Several medicines are more likely to cause ADRs in the elderly population.  ADRs in old age are caused by inappropriate drug exposure, pharmacokinetic and </w:t>
      </w:r>
      <w:proofErr w:type="spellStart"/>
      <w:r w:rsidRPr="00F104D0">
        <w:rPr>
          <w:rFonts w:ascii="Times New Roman Regular" w:hAnsi="Times New Roman Regular"/>
          <w:sz w:val="20"/>
          <w:szCs w:val="20"/>
        </w:rPr>
        <w:t>pharmacodynamic</w:t>
      </w:r>
      <w:proofErr w:type="spellEnd"/>
      <w:r w:rsidRPr="00F104D0">
        <w:rPr>
          <w:rFonts w:ascii="Times New Roman Regular" w:hAnsi="Times New Roman Regular"/>
          <w:sz w:val="20"/>
          <w:szCs w:val="20"/>
        </w:rPr>
        <w:t xml:space="preserve"> alterations, decreased homeostatic reserve, and drug-drug</w:t>
      </w:r>
      <w:r w:rsidR="00790008" w:rsidRPr="00F104D0">
        <w:rPr>
          <w:rFonts w:ascii="Times New Roman Regular" w:hAnsi="Times New Roman Regular"/>
          <w:sz w:val="20"/>
          <w:szCs w:val="20"/>
        </w:rPr>
        <w:t xml:space="preserve"> interactions</w:t>
      </w:r>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10.4103/picr.PICR_144_18","ISSN":"2229-3485","author":[{"dropping-particle":"","family":"Sheth","given":"AakashRajendra","non-dropping-particle":"","parse-names":false,"suffix":""},{"dropping-particle":"","family":"Dave","given":"RuchirB","non-dropping-particle":"","parse-names":false,"suffix":""},{"dropping-particle":"","family":"Rana","given":"Devang","non-dropping-particle":"","parse-names":false,"suffix":""},{"dropping-particle":"","family":"Sheth","given":"Diti","non-dropping-particle":"","parse-names":false,"suffix":""}],"container-title":"Perspectives in Clinical Research","id":"ITEM-1","issue":"4","issued":{"date-parts":[["2020"]]},"page":"144","title":"Comparison of the extent and prevalence of prescription of potentially inappropriate medications prescribed to geriatric age group residing in old-age homes versus those receiving care from tertiary care hospital using Beers criteria","type":"article-journal","volume":"11"},"uris":["http://www.mendeley.com/documents/?uuid=79337a8b-12f8-4580-95cd-bd15eb7f1101"]}],"mendeley":{"formattedCitation":"[54]","plainTextFormattedCitation":"[54]","previouslyFormattedCitation":"[54]"},"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[54]</w:t>
      </w:r>
      <w:r w:rsidR="009A774E" w:rsidRPr="00F104D0">
        <w:rPr>
          <w:rFonts w:ascii="Times New Roman Regular" w:hAnsi="Times New Roman Regular"/>
          <w:sz w:val="20"/>
          <w:szCs w:val="20"/>
        </w:rPr>
        <w:fldChar w:fldCharType="end"/>
      </w:r>
      <w:r w:rsidRPr="00F104D0">
        <w:rPr>
          <w:rFonts w:ascii="Times New Roman Regular" w:hAnsi="Times New Roman Regular"/>
          <w:sz w:val="20"/>
          <w:szCs w:val="20"/>
        </w:rPr>
        <w:t xml:space="preserve">. </w:t>
      </w:r>
      <w:r w:rsidR="005A0A05" w:rsidRPr="005A0A05">
        <w:rPr>
          <w:rFonts w:ascii="Times New Roman Regular" w:hAnsi="Times New Roman Regular"/>
          <w:sz w:val="20"/>
          <w:szCs w:val="20"/>
        </w:rPr>
        <w:t xml:space="preserve">Gender variations can be seen in </w:t>
      </w:r>
      <w:proofErr w:type="spellStart"/>
      <w:r w:rsidR="005A0A05" w:rsidRPr="005A0A05">
        <w:rPr>
          <w:rFonts w:ascii="Times New Roman Regular" w:hAnsi="Times New Roman Regular"/>
          <w:sz w:val="20"/>
          <w:szCs w:val="20"/>
        </w:rPr>
        <w:t>pharmacodynamic</w:t>
      </w:r>
      <w:proofErr w:type="spellEnd"/>
      <w:r w:rsidR="005A0A05" w:rsidRPr="005A0A05">
        <w:rPr>
          <w:rFonts w:ascii="Times New Roman Regular" w:hAnsi="Times New Roman Regular"/>
          <w:sz w:val="20"/>
          <w:szCs w:val="20"/>
        </w:rPr>
        <w:t xml:space="preserve"> and pharmacokinetic (oral bioavailability, absorption, intestinal and liver metabolism, and renal elimination) variables. Drug distribution, metabolism, and excretion alterations associated to sex are also regulated by structural genomics, gene expression, </w:t>
      </w:r>
      <w:proofErr w:type="spellStart"/>
      <w:r w:rsidR="005A0A05" w:rsidRPr="005A0A05">
        <w:rPr>
          <w:rFonts w:ascii="Times New Roman Regular" w:hAnsi="Times New Roman Regular"/>
          <w:sz w:val="20"/>
          <w:szCs w:val="20"/>
        </w:rPr>
        <w:t>epigenetics</w:t>
      </w:r>
      <w:proofErr w:type="spellEnd"/>
      <w:r w:rsidR="005A0A05" w:rsidRPr="005A0A05">
        <w:rPr>
          <w:rFonts w:ascii="Times New Roman Regular" w:hAnsi="Times New Roman Regular"/>
          <w:sz w:val="20"/>
          <w:szCs w:val="20"/>
        </w:rPr>
        <w:t>, cellular regulatory systems, and physiological activities.</w:t>
      </w:r>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{"citationItems":[{"id":"ITEM-1","itemData":{"DOI":"10.1002/prp2.541","ISSN":"2052-1707","author":[{"dropping-particle":"","family":"Moyer","given":"Ann M.","non-dropping-particle":"","parse-names":false,"suffix":""},{"dropping-particle":"","family":"Matey","given":"Eric T.","non-dropping-particle":"","parse-names":false,"suffix":""},{"dropping-particle":"","family":"Miller","given":"Virginia M.","non-dropping-particle":"","parse-names":false,"suffix":""}],"container-title":"Pharmacology Research &amp; Perspectives","id":"ITEM-1","issue":"6","issued":{"date-parts":[["2019","12","6"]]},"title":"Individualized medicine: Sex, hormones, genetics, and adverse drug reactions","type":"article-journal","volume":"7"},"uris":["http://www.mendeley.com/documents/?uuid=3faba2b3-c40e-4d2b-8b7c-dbb0f33badba"]}],"mendeley":{"formattedCitation":"[55]","plainTextFormattedCitation":"[55]","previouslyFormattedCitation":"[55]"},"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[55]</w:t>
      </w:r>
      <w:r w:rsidR="009A774E" w:rsidRPr="00F104D0">
        <w:rPr>
          <w:rFonts w:ascii="Times New Roman Regular" w:hAnsi="Times New Roman Regular"/>
          <w:sz w:val="20"/>
          <w:szCs w:val="20"/>
        </w:rPr>
        <w:fldChar w:fldCharType="end"/>
      </w:r>
      <w:r w:rsidRPr="00F104D0">
        <w:rPr>
          <w:rFonts w:ascii="Times New Roman Regular" w:hAnsi="Times New Roman Regular"/>
          <w:sz w:val="20"/>
          <w:szCs w:val="20"/>
        </w:rPr>
        <w:t>.</w:t>
      </w:r>
    </w:p>
    <w:p w:rsidR="0020307E" w:rsidRPr="00F104D0" w:rsidRDefault="0020307E" w:rsidP="003A3140">
      <w:pPr>
        <w:spacing w:line="240" w:lineRule="auto"/>
        <w:jc w:val="both"/>
        <w:rPr>
          <w:rFonts w:ascii="Times New Roman Regular" w:hAnsi="Times New Roman Regular"/>
          <w:sz w:val="20"/>
          <w:szCs w:val="20"/>
        </w:rPr>
      </w:pPr>
      <w:r w:rsidRPr="00F104D0">
        <w:rPr>
          <w:rFonts w:ascii="Times New Roman Regular" w:hAnsi="Times New Roman Regular"/>
          <w:sz w:val="20"/>
          <w:szCs w:val="20"/>
        </w:rPr>
        <w:lastRenderedPageBreak/>
        <w:t xml:space="preserve">Through increased pharmaceutical </w:t>
      </w:r>
      <w:proofErr w:type="spellStart"/>
      <w:r w:rsidRPr="00F104D0">
        <w:rPr>
          <w:rFonts w:ascii="Times New Roman Regular" w:hAnsi="Times New Roman Regular"/>
          <w:sz w:val="20"/>
          <w:szCs w:val="20"/>
        </w:rPr>
        <w:t>safety</w:t>
      </w:r>
      <w:proofErr w:type="gramStart"/>
      <w:r w:rsidRPr="00F104D0">
        <w:rPr>
          <w:rFonts w:ascii="Times New Roman Regular" w:hAnsi="Times New Roman Regular"/>
          <w:sz w:val="20"/>
          <w:szCs w:val="20"/>
        </w:rPr>
        <w:t>,efficacy</w:t>
      </w:r>
      <w:proofErr w:type="spellEnd"/>
      <w:proofErr w:type="gramEnd"/>
      <w:r w:rsidRPr="00F104D0">
        <w:rPr>
          <w:rFonts w:ascii="Times New Roman Regular" w:hAnsi="Times New Roman Regular"/>
          <w:sz w:val="20"/>
          <w:szCs w:val="20"/>
        </w:rPr>
        <w:t xml:space="preserve"> and reduced medical expenses, the results of </w:t>
      </w:r>
      <w:proofErr w:type="spellStart"/>
      <w:r w:rsidRPr="00F104D0">
        <w:rPr>
          <w:rFonts w:ascii="Times New Roman Regular" w:hAnsi="Times New Roman Regular"/>
          <w:sz w:val="20"/>
          <w:szCs w:val="20"/>
        </w:rPr>
        <w:t>pharmacogenomic</w:t>
      </w:r>
      <w:proofErr w:type="spellEnd"/>
      <w:r w:rsidRPr="00F104D0">
        <w:rPr>
          <w:rFonts w:ascii="Times New Roman Regular" w:hAnsi="Times New Roman Regular"/>
          <w:sz w:val="20"/>
          <w:szCs w:val="20"/>
        </w:rPr>
        <w:t xml:space="preserve"> researches can improve future outcomes for patients and healthcare providers. </w:t>
      </w:r>
      <w:proofErr w:type="spellStart"/>
      <w:r w:rsidRPr="00F104D0">
        <w:rPr>
          <w:rFonts w:ascii="Times New Roman Regular" w:hAnsi="Times New Roman Regular"/>
          <w:sz w:val="20"/>
          <w:szCs w:val="20"/>
        </w:rPr>
        <w:t>Pharmacogenomic</w:t>
      </w:r>
      <w:proofErr w:type="spellEnd"/>
      <w:r w:rsidRPr="00F104D0">
        <w:rPr>
          <w:rFonts w:ascii="Times New Roman Regular" w:hAnsi="Times New Roman Regular"/>
          <w:sz w:val="20"/>
          <w:szCs w:val="20"/>
        </w:rPr>
        <w:t xml:space="preserve"> technologies can help the healthcare providers by reducing the ADRs and decreasing the chances of side effects and dependency. The use of </w:t>
      </w:r>
      <w:proofErr w:type="spellStart"/>
      <w:r w:rsidRPr="00F104D0">
        <w:rPr>
          <w:rFonts w:ascii="Times New Roman Regular" w:hAnsi="Times New Roman Regular"/>
          <w:sz w:val="20"/>
          <w:szCs w:val="20"/>
        </w:rPr>
        <w:t>pharmacogenomics</w:t>
      </w:r>
      <w:proofErr w:type="spellEnd"/>
      <w:r w:rsidRPr="00F104D0">
        <w:rPr>
          <w:rFonts w:ascii="Times New Roman Regular" w:hAnsi="Times New Roman Regular"/>
          <w:sz w:val="20"/>
          <w:szCs w:val="20"/>
        </w:rPr>
        <w:t xml:space="preserve"> for identifying the most appropriate and affordable drug can decrease the cost of healthcare </w:t>
      </w:r>
      <w:r w:rsidR="00790008" w:rsidRPr="00F104D0">
        <w:rPr>
          <w:rFonts w:ascii="Times New Roman Regular" w:hAnsi="Times New Roman Regular"/>
          <w:sz w:val="20"/>
          <w:szCs w:val="20"/>
        </w:rPr>
        <w:t>expenditures</w:t>
      </w:r>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{"citationItems":[{"id":"ITEM-1","itemData":{"DOI":"10.1097/FPC.0000000000000400","ISSN":"1744-6872","author":[{"dropping-particle":"","family":"Heise","given":"Craig William","non-dropping-particle":"","parse-names":false,"suffix":""},{"dropping-particle":"","family":"Gallo","given":"Tyler","non-dropping-particle":"","parse-names":false,"suffix":""},{"dropping-particle":"","family":"Curry","given":"Steven C.","non-dropping-particle":"","parse-names":false,"suffix":""},{"dropping-particle":"","family":"Woosley","given":"Raymond L.","non-dropping-particle":"","parse-names":false,"suffix":""}],"container-title":"Pharmacogenetics and Genomics","id":"ITEM-1","issue":"5","issued":{"date-parts":[["2020","7","23"]]},"page":"91-95","title":"Identification of populations likely to benefit from pharmacogenomic testing","type":"article-journal","volume":"30"},"uris":["http://www.mendeley.com/documents/?uuid=051fb143-96f6-4d15-9ef5-451f420a44f3"]}],"mendeley":{"formattedCitation":"[56]","plainTextFormattedCitation":"[56]","previouslyFormattedCitation":"[56]"},"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[56]</w:t>
      </w:r>
      <w:r w:rsidR="009A774E" w:rsidRPr="00F104D0">
        <w:rPr>
          <w:rFonts w:ascii="Times New Roman Regular" w:hAnsi="Times New Roman Regular"/>
          <w:sz w:val="20"/>
          <w:szCs w:val="20"/>
        </w:rPr>
        <w:fldChar w:fldCharType="end"/>
      </w:r>
      <w:r w:rsidRPr="00F104D0">
        <w:rPr>
          <w:rFonts w:ascii="Times New Roman Regular" w:hAnsi="Times New Roman Regular"/>
          <w:sz w:val="20"/>
          <w:szCs w:val="20"/>
        </w:rPr>
        <w:t xml:space="preserve">.Along with ADRs </w:t>
      </w:r>
      <w:proofErr w:type="spellStart"/>
      <w:r w:rsidRPr="00F104D0">
        <w:rPr>
          <w:rFonts w:ascii="Times New Roman Regular" w:hAnsi="Times New Roman Regular"/>
          <w:sz w:val="20"/>
          <w:szCs w:val="20"/>
        </w:rPr>
        <w:t>pharmacogenomics</w:t>
      </w:r>
      <w:proofErr w:type="spellEnd"/>
      <w:r w:rsidRPr="00F104D0">
        <w:rPr>
          <w:rFonts w:ascii="Times New Roman Regular" w:hAnsi="Times New Roman Regular"/>
          <w:sz w:val="20"/>
          <w:szCs w:val="20"/>
        </w:rPr>
        <w:t xml:space="preserve"> can reduce the time required for  drug approval, number of medicines required for therapeutic effects and harmful effects of a particular disease through early </w:t>
      </w:r>
      <w:proofErr w:type="spellStart"/>
      <w:r w:rsidRPr="00F104D0">
        <w:rPr>
          <w:rFonts w:ascii="Times New Roman Regular" w:hAnsi="Times New Roman Regular"/>
          <w:sz w:val="20"/>
          <w:szCs w:val="20"/>
        </w:rPr>
        <w:t>pharmacogenomic</w:t>
      </w:r>
      <w:proofErr w:type="spellEnd"/>
      <w:r w:rsidRPr="00F104D0">
        <w:rPr>
          <w:rFonts w:ascii="Times New Roman Regular" w:hAnsi="Times New Roman Regular"/>
          <w:sz w:val="20"/>
          <w:szCs w:val="20"/>
        </w:rPr>
        <w:t xml:space="preserve"> detection. </w:t>
      </w:r>
    </w:p>
    <w:p w:rsidR="0020307E" w:rsidRDefault="00017BE7" w:rsidP="003A3140">
      <w:pPr>
        <w:spacing w:line="240" w:lineRule="auto"/>
        <w:jc w:val="both"/>
        <w:rPr>
          <w:rFonts w:ascii="Times New Roman Regular" w:hAnsi="Times New Roman Regular"/>
          <w:sz w:val="20"/>
          <w:szCs w:val="20"/>
        </w:rPr>
      </w:pPr>
      <w:r w:rsidRPr="00017BE7">
        <w:rPr>
          <w:rFonts w:ascii="Times New Roman Regular" w:hAnsi="Times New Roman Regular"/>
          <w:sz w:val="20"/>
          <w:szCs w:val="20"/>
        </w:rPr>
        <w:t xml:space="preserve">The identification of genes linked to inter-individual variations in medication response, notably those that predispose people to adverse drug reactions (ADRs) and, to a lesser extent, those linked to treatment efficacy, has substantially advanced as a result of recent </w:t>
      </w:r>
      <w:proofErr w:type="spellStart"/>
      <w:r w:rsidRPr="00017BE7">
        <w:rPr>
          <w:rFonts w:ascii="Times New Roman Regular" w:hAnsi="Times New Roman Regular"/>
          <w:sz w:val="20"/>
          <w:szCs w:val="20"/>
        </w:rPr>
        <w:t>pharmacogenomic</w:t>
      </w:r>
      <w:proofErr w:type="spellEnd"/>
      <w:r w:rsidRPr="00017BE7">
        <w:rPr>
          <w:rFonts w:ascii="Times New Roman Regular" w:hAnsi="Times New Roman Regular"/>
          <w:sz w:val="20"/>
          <w:szCs w:val="20"/>
        </w:rPr>
        <w:t xml:space="preserve"> investigations. These studies have also aided in our comprehension of the mechanisms responsible for ADRs and drug effectiveness. These results led the Food and Drug Administration (FDA) to approve many medications designed to collect genetic data. </w:t>
      </w:r>
      <w:proofErr w:type="spellStart"/>
      <w:r w:rsidRPr="00017BE7">
        <w:rPr>
          <w:rFonts w:ascii="Times New Roman Regular" w:hAnsi="Times New Roman Regular"/>
          <w:sz w:val="20"/>
          <w:szCs w:val="20"/>
        </w:rPr>
        <w:t>To</w:t>
      </w:r>
      <w:proofErr w:type="spellEnd"/>
      <w:r w:rsidRPr="00017BE7">
        <w:rPr>
          <w:rFonts w:ascii="Times New Roman Regular" w:hAnsi="Times New Roman Regular"/>
          <w:sz w:val="20"/>
          <w:szCs w:val="20"/>
        </w:rPr>
        <w:t xml:space="preserve"> far, </w:t>
      </w:r>
      <w:proofErr w:type="spellStart"/>
      <w:r w:rsidRPr="00017BE7">
        <w:rPr>
          <w:rFonts w:ascii="Times New Roman Regular" w:hAnsi="Times New Roman Regular"/>
          <w:sz w:val="20"/>
          <w:szCs w:val="20"/>
        </w:rPr>
        <w:t>pharmacogenomic</w:t>
      </w:r>
      <w:proofErr w:type="spellEnd"/>
      <w:r w:rsidRPr="00017BE7">
        <w:rPr>
          <w:rFonts w:ascii="Times New Roman Regular" w:hAnsi="Times New Roman Regular"/>
          <w:sz w:val="20"/>
          <w:szCs w:val="20"/>
        </w:rPr>
        <w:t xml:space="preserve"> research have employed case-control association studies using either a candidate gene technique or genome-wide association (GWA) analysis to find genes that contribute to susceptibility to negative drug </w:t>
      </w:r>
      <w:proofErr w:type="spellStart"/>
      <w:r w:rsidRPr="00017BE7">
        <w:rPr>
          <w:rFonts w:ascii="Times New Roman Regular" w:hAnsi="Times New Roman Regular"/>
          <w:sz w:val="20"/>
          <w:szCs w:val="20"/>
        </w:rPr>
        <w:t>responses.Despite</w:t>
      </w:r>
      <w:proofErr w:type="spellEnd"/>
      <w:r w:rsidRPr="00017BE7">
        <w:rPr>
          <w:rFonts w:ascii="Times New Roman Regular" w:hAnsi="Times New Roman Regular"/>
          <w:sz w:val="20"/>
          <w:szCs w:val="20"/>
        </w:rPr>
        <w:t xml:space="preserve"> the fact that complicated disease genomics has advanced significantly as a result of the development of GWA research, this is usually seen as a positive development</w:t>
      </w:r>
      <w:r>
        <w:rPr>
          <w:rFonts w:ascii="Times New Roman Regular" w:hAnsi="Times New Roman Regular"/>
          <w:sz w:val="20"/>
          <w:szCs w:val="20"/>
        </w:rPr>
        <w:t>.</w:t>
      </w:r>
      <w:r w:rsidRPr="00017BE7">
        <w:t xml:space="preserve"> </w:t>
      </w:r>
      <w:r w:rsidRPr="00017BE7">
        <w:rPr>
          <w:rFonts w:ascii="Times New Roman Regular" w:hAnsi="Times New Roman Regular"/>
          <w:sz w:val="20"/>
          <w:szCs w:val="20"/>
        </w:rPr>
        <w:t xml:space="preserve">The </w:t>
      </w:r>
      <w:proofErr w:type="gramStart"/>
      <w:r w:rsidRPr="00017BE7">
        <w:rPr>
          <w:rFonts w:ascii="Times New Roman Regular" w:hAnsi="Times New Roman Regular"/>
          <w:sz w:val="20"/>
          <w:szCs w:val="20"/>
        </w:rPr>
        <w:t>bulk of uncovered genetic risk factors have</w:t>
      </w:r>
      <w:proofErr w:type="gramEnd"/>
      <w:r w:rsidRPr="00017BE7">
        <w:rPr>
          <w:rFonts w:ascii="Times New Roman Regular" w:hAnsi="Times New Roman Regular"/>
          <w:sz w:val="20"/>
          <w:szCs w:val="20"/>
        </w:rPr>
        <w:t xml:space="preserve"> large impact sizes and are frequently located in physiologically obvious genes. </w:t>
      </w:r>
      <w:proofErr w:type="spellStart"/>
      <w:r w:rsidRPr="00017BE7">
        <w:rPr>
          <w:rFonts w:ascii="Times New Roman Regular" w:hAnsi="Times New Roman Regular"/>
          <w:sz w:val="20"/>
          <w:szCs w:val="20"/>
        </w:rPr>
        <w:t>Personalised</w:t>
      </w:r>
      <w:proofErr w:type="spellEnd"/>
      <w:r w:rsidRPr="00017BE7">
        <w:rPr>
          <w:rFonts w:ascii="Times New Roman Regular" w:hAnsi="Times New Roman Regular"/>
          <w:sz w:val="20"/>
          <w:szCs w:val="20"/>
        </w:rPr>
        <w:t xml:space="preserve"> medicine may enter a new age thanks to </w:t>
      </w:r>
      <w:proofErr w:type="spellStart"/>
      <w:r w:rsidRPr="00017BE7">
        <w:rPr>
          <w:rFonts w:ascii="Times New Roman Regular" w:hAnsi="Times New Roman Regular"/>
          <w:sz w:val="20"/>
          <w:szCs w:val="20"/>
        </w:rPr>
        <w:t>pharmacogenomics</w:t>
      </w:r>
      <w:proofErr w:type="spellEnd"/>
      <w:r w:rsidRPr="00017BE7">
        <w:rPr>
          <w:rFonts w:ascii="Times New Roman Regular" w:hAnsi="Times New Roman Regular"/>
          <w:sz w:val="20"/>
          <w:szCs w:val="20"/>
        </w:rPr>
        <w:t xml:space="preserve">. As a result, occasionally unavoidable side effects could become at least partially avoided. Using </w:t>
      </w:r>
      <w:proofErr w:type="spellStart"/>
      <w:r w:rsidRPr="00017BE7">
        <w:rPr>
          <w:rFonts w:ascii="Times New Roman Regular" w:hAnsi="Times New Roman Regular"/>
          <w:sz w:val="20"/>
          <w:szCs w:val="20"/>
        </w:rPr>
        <w:t>pharmacogenomics</w:t>
      </w:r>
      <w:proofErr w:type="spellEnd"/>
      <w:r w:rsidRPr="00017BE7">
        <w:rPr>
          <w:rFonts w:ascii="Times New Roman Regular" w:hAnsi="Times New Roman Regular"/>
          <w:sz w:val="20"/>
          <w:szCs w:val="20"/>
        </w:rPr>
        <w:t xml:space="preserve"> as a first step in using genetic data to </w:t>
      </w:r>
      <w:proofErr w:type="spellStart"/>
      <w:r w:rsidRPr="00017BE7">
        <w:rPr>
          <w:rFonts w:ascii="Times New Roman Regular" w:hAnsi="Times New Roman Regular"/>
          <w:sz w:val="20"/>
          <w:szCs w:val="20"/>
        </w:rPr>
        <w:t>optimise</w:t>
      </w:r>
      <w:proofErr w:type="spellEnd"/>
      <w:r w:rsidRPr="00017BE7">
        <w:rPr>
          <w:rFonts w:ascii="Times New Roman Regular" w:hAnsi="Times New Roman Regular"/>
          <w:sz w:val="20"/>
          <w:szCs w:val="20"/>
        </w:rPr>
        <w:t xml:space="preserve"> medication therapy has been shown in several papers to help </w:t>
      </w:r>
      <w:proofErr w:type="spellStart"/>
      <w:r w:rsidRPr="00017BE7">
        <w:rPr>
          <w:rFonts w:ascii="Times New Roman Regular" w:hAnsi="Times New Roman Regular"/>
          <w:sz w:val="20"/>
          <w:szCs w:val="20"/>
        </w:rPr>
        <w:t>minimise</w:t>
      </w:r>
      <w:proofErr w:type="spellEnd"/>
      <w:r w:rsidRPr="00017BE7">
        <w:rPr>
          <w:rFonts w:ascii="Times New Roman Regular" w:hAnsi="Times New Roman Regular"/>
          <w:sz w:val="20"/>
          <w:szCs w:val="20"/>
        </w:rPr>
        <w:t xml:space="preserve"> side effects, which is a huge </w:t>
      </w:r>
      <w:proofErr w:type="spellStart"/>
      <w:r w:rsidRPr="00017BE7">
        <w:rPr>
          <w:rFonts w:ascii="Times New Roman Regular" w:hAnsi="Times New Roman Regular"/>
          <w:sz w:val="20"/>
          <w:szCs w:val="20"/>
        </w:rPr>
        <w:t>issue.To</w:t>
      </w:r>
      <w:proofErr w:type="spellEnd"/>
      <w:r w:rsidRPr="00017BE7">
        <w:rPr>
          <w:rFonts w:ascii="Times New Roman Regular" w:hAnsi="Times New Roman Regular"/>
          <w:sz w:val="20"/>
          <w:szCs w:val="20"/>
        </w:rPr>
        <w:t xml:space="preserve"> identify the most practical uses and social consequences of </w:t>
      </w:r>
      <w:proofErr w:type="spellStart"/>
      <w:r w:rsidRPr="00017BE7">
        <w:rPr>
          <w:rFonts w:ascii="Times New Roman Regular" w:hAnsi="Times New Roman Regular"/>
          <w:sz w:val="20"/>
          <w:szCs w:val="20"/>
        </w:rPr>
        <w:t>pharmacogenomics</w:t>
      </w:r>
      <w:proofErr w:type="spellEnd"/>
      <w:r w:rsidRPr="00017BE7">
        <w:rPr>
          <w:rFonts w:ascii="Times New Roman Regular" w:hAnsi="Times New Roman Regular"/>
          <w:sz w:val="20"/>
          <w:szCs w:val="20"/>
        </w:rPr>
        <w:t xml:space="preserve">, further basic scientific, clinical, and political research is required. The use of </w:t>
      </w:r>
      <w:proofErr w:type="spellStart"/>
      <w:r w:rsidRPr="00017BE7">
        <w:rPr>
          <w:rFonts w:ascii="Times New Roman Regular" w:hAnsi="Times New Roman Regular"/>
          <w:sz w:val="20"/>
          <w:szCs w:val="20"/>
        </w:rPr>
        <w:t>pharmacogenomic</w:t>
      </w:r>
      <w:proofErr w:type="spellEnd"/>
      <w:r w:rsidRPr="00017BE7">
        <w:rPr>
          <w:rFonts w:ascii="Times New Roman Regular" w:hAnsi="Times New Roman Regular"/>
          <w:sz w:val="20"/>
          <w:szCs w:val="20"/>
        </w:rPr>
        <w:t xml:space="preserve"> data is now beset by significant chall</w:t>
      </w:r>
      <w:r>
        <w:rPr>
          <w:rFonts w:ascii="Times New Roman Regular" w:hAnsi="Times New Roman Regular"/>
          <w:sz w:val="20"/>
          <w:szCs w:val="20"/>
        </w:rPr>
        <w:t>enges</w:t>
      </w:r>
      <w:r w:rsidRPr="00F104D0">
        <w:rPr>
          <w:rFonts w:ascii="Times New Roman Regular" w:hAnsi="Times New Roman Regular"/>
          <w:sz w:val="20"/>
          <w:szCs w:val="20"/>
        </w:rPr>
        <w:t xml:space="preserve"> </w:t>
      </w:r>
      <w:r w:rsidR="009A774E" w:rsidRPr="00F104D0">
        <w:rPr>
          <w:rFonts w:ascii="Times New Roman Regular" w:hAnsi="Times New Roman Regular"/>
          <w:sz w:val="20"/>
          <w:szCs w:val="20"/>
        </w:rPr>
        <w:fldChar w:fldCharType="begin" w:fldLock="1"/>
      </w:r>
      <w:r w:rsidR="008A18B3">
        <w:rPr>
          <w:rFonts w:ascii="Times New Roman Regular" w:hAnsi="Times New Roman Regular"/>
          <w:sz w:val="20"/>
          <w:szCs w:val="20"/>
        </w:rPr>
        <w:instrText>ADDIN CSL_CITATION {"citationItems":[{"id":"ITEM-1","itemData":{"DOI":"10.3389/fgene.2022.859909","ISSN":"1664-8021","author":[{"dropping-particle":"","family":"Siddiqui","given":"Moneeza K.","non-dropping-particle":"","parse-names":false,"suffix":""},{"dropping-particle":"","family":"Luzum","given":"Jasmine","non-dropping-particle":"","parse-names":false,"suffix":""},{"dropping-particle":"","family":"Coenen","given":"Marieke","non-dropping-particle":"","parse-names":false,"suffix":""},{"dropping-particle":"","family":"Mahmoudpour","given":"Seyed Hamidreza","non-dropping-particle":"","parse-names":false,"suffix":""}],"container-title":"Frontiers in Genetics","id":"ITEM-1","issued":{"date-parts":[["2022","3","7"]]},"title":"Editorial: Pharmacogenomics of Adverse Drug Reactions","type":"article-journal","volume":"13"},"uris":["http://www.mendeley.com/documents/?uuid=7d15b649-34c2-43bf-82bb-4b40372ffd2a"]}],"mendeley":{"formattedCitation":"[57]","plainTextFormattedCitation":"[57]","previouslyFormattedCitation":"[57]"},"properties":{"noteIndex":0},"schema":"https://github.com/citation-style-language/schema/raw/master/csl-citation.json"}</w:instrText>
      </w:r>
      <w:r w:rsidR="009A774E" w:rsidRPr="00F104D0">
        <w:rPr>
          <w:rFonts w:ascii="Times New Roman Regular" w:hAnsi="Times New Roman Regular"/>
          <w:sz w:val="20"/>
          <w:szCs w:val="20"/>
        </w:rPr>
        <w:fldChar w:fldCharType="separate"/>
      </w:r>
      <w:r w:rsidR="00F104D0" w:rsidRPr="00F104D0">
        <w:rPr>
          <w:rFonts w:ascii="Times New Roman Regular" w:hAnsi="Times New Roman Regular"/>
          <w:noProof/>
          <w:sz w:val="20"/>
          <w:szCs w:val="20"/>
        </w:rPr>
        <w:t>[57]</w:t>
      </w:r>
      <w:r w:rsidR="009A774E" w:rsidRPr="00F104D0">
        <w:rPr>
          <w:rFonts w:ascii="Times New Roman Regular" w:hAnsi="Times New Roman Regular"/>
          <w:sz w:val="20"/>
          <w:szCs w:val="20"/>
        </w:rPr>
        <w:fldChar w:fldCharType="end"/>
      </w:r>
      <w:r>
        <w:rPr>
          <w:rFonts w:ascii="Times New Roman Regular" w:hAnsi="Times New Roman Regular"/>
          <w:sz w:val="20"/>
          <w:szCs w:val="20"/>
        </w:rPr>
        <w:t>.</w:t>
      </w:r>
    </w:p>
    <w:p w:rsidR="003A3140" w:rsidRDefault="00AB5FE0" w:rsidP="003A3140">
      <w:pPr>
        <w:spacing w:line="240" w:lineRule="auto"/>
        <w:jc w:val="both"/>
        <w:rPr>
          <w:rFonts w:ascii="Times New Roman Regular" w:hAnsi="Times New Roman Regular"/>
          <w:b/>
          <w:sz w:val="20"/>
          <w:szCs w:val="20"/>
        </w:rPr>
      </w:pPr>
      <w:r w:rsidRPr="00AB5FE0">
        <w:rPr>
          <w:rFonts w:ascii="Times New Roman Regular" w:hAnsi="Times New Roman Regular"/>
          <w:b/>
          <w:sz w:val="20"/>
          <w:szCs w:val="20"/>
        </w:rPr>
        <w:t>VII. DISCUSSION:</w:t>
      </w:r>
    </w:p>
    <w:p w:rsidR="00AB5FE0" w:rsidRDefault="00AB5FE0" w:rsidP="003A3140">
      <w:pPr>
        <w:spacing w:line="240" w:lineRule="auto"/>
        <w:jc w:val="both"/>
        <w:rPr>
          <w:rFonts w:ascii="Times New Roman Regular" w:hAnsi="Times New Roman Regular"/>
          <w:sz w:val="20"/>
          <w:szCs w:val="20"/>
        </w:rPr>
      </w:pPr>
      <w:r w:rsidRPr="00AB5FE0">
        <w:rPr>
          <w:rFonts w:ascii="Times New Roman Regular" w:hAnsi="Times New Roman Regular"/>
          <w:sz w:val="20"/>
          <w:szCs w:val="20"/>
        </w:rPr>
        <w:t xml:space="preserve">The field of </w:t>
      </w:r>
      <w:proofErr w:type="spellStart"/>
      <w:r w:rsidRPr="00AB5FE0">
        <w:rPr>
          <w:rFonts w:ascii="Times New Roman Regular" w:hAnsi="Times New Roman Regular"/>
          <w:sz w:val="20"/>
          <w:szCs w:val="20"/>
        </w:rPr>
        <w:t>pharmacogenomics</w:t>
      </w:r>
      <w:proofErr w:type="spellEnd"/>
      <w:r w:rsidRPr="00AB5FE0">
        <w:rPr>
          <w:rFonts w:ascii="Times New Roman Regular" w:hAnsi="Times New Roman Regular"/>
          <w:sz w:val="20"/>
          <w:szCs w:val="20"/>
        </w:rPr>
        <w:t xml:space="preserve">, which investigates how a person's genetic composition affects how they respond to pharmaceuticals, is fast developing and changing the face of </w:t>
      </w:r>
      <w:proofErr w:type="spellStart"/>
      <w:r w:rsidRPr="00AB5FE0">
        <w:rPr>
          <w:rFonts w:ascii="Times New Roman Regular" w:hAnsi="Times New Roman Regular"/>
          <w:sz w:val="20"/>
          <w:szCs w:val="20"/>
        </w:rPr>
        <w:t>personalised</w:t>
      </w:r>
      <w:proofErr w:type="spellEnd"/>
      <w:r w:rsidRPr="00AB5FE0">
        <w:rPr>
          <w:rFonts w:ascii="Times New Roman Regular" w:hAnsi="Times New Roman Regular"/>
          <w:sz w:val="20"/>
          <w:szCs w:val="20"/>
        </w:rPr>
        <w:t xml:space="preserve"> medicine. This chapter examines the present status and future promise of </w:t>
      </w:r>
      <w:proofErr w:type="spellStart"/>
      <w:r w:rsidRPr="00AB5FE0">
        <w:rPr>
          <w:rFonts w:ascii="Times New Roman Regular" w:hAnsi="Times New Roman Regular"/>
          <w:sz w:val="20"/>
          <w:szCs w:val="20"/>
        </w:rPr>
        <w:t>pharmacogenomics</w:t>
      </w:r>
      <w:proofErr w:type="spellEnd"/>
      <w:r w:rsidRPr="00AB5FE0">
        <w:rPr>
          <w:rFonts w:ascii="Times New Roman Regular" w:hAnsi="Times New Roman Regular"/>
          <w:sz w:val="20"/>
          <w:szCs w:val="20"/>
        </w:rPr>
        <w:t xml:space="preserve"> in </w:t>
      </w:r>
      <w:proofErr w:type="spellStart"/>
      <w:r w:rsidRPr="00AB5FE0">
        <w:rPr>
          <w:rFonts w:ascii="Times New Roman Regular" w:hAnsi="Times New Roman Regular"/>
          <w:sz w:val="20"/>
          <w:szCs w:val="20"/>
        </w:rPr>
        <w:t>personalising</w:t>
      </w:r>
      <w:proofErr w:type="spellEnd"/>
      <w:r w:rsidRPr="00AB5FE0">
        <w:rPr>
          <w:rFonts w:ascii="Times New Roman Regular" w:hAnsi="Times New Roman Regular"/>
          <w:sz w:val="20"/>
          <w:szCs w:val="20"/>
        </w:rPr>
        <w:t xml:space="preserve"> medical care for distinct people based on their own genetic profiles.</w:t>
      </w:r>
    </w:p>
    <w:p w:rsidR="00AB5FE0" w:rsidRDefault="00AB5FE0" w:rsidP="003A3140">
      <w:pPr>
        <w:spacing w:line="240" w:lineRule="auto"/>
        <w:jc w:val="both"/>
        <w:rPr>
          <w:rFonts w:ascii="Times New Roman Regular" w:hAnsi="Times New Roman Regular"/>
          <w:sz w:val="20"/>
          <w:szCs w:val="20"/>
        </w:rPr>
      </w:pPr>
      <w:r>
        <w:rPr>
          <w:rFonts w:ascii="Times New Roman Regular" w:hAnsi="Times New Roman Regular"/>
          <w:sz w:val="20"/>
          <w:szCs w:val="20"/>
        </w:rPr>
        <w:t>A.</w:t>
      </w:r>
      <w:r w:rsidRPr="00AB5FE0">
        <w:t xml:space="preserve"> </w:t>
      </w:r>
      <w:r w:rsidRPr="00AB5FE0">
        <w:rPr>
          <w:rFonts w:ascii="Times New Roman Regular" w:hAnsi="Times New Roman Regular"/>
          <w:sz w:val="20"/>
          <w:szCs w:val="20"/>
        </w:rPr>
        <w:t>Current Trajectory:</w:t>
      </w:r>
    </w:p>
    <w:p w:rsidR="00AB5FE0" w:rsidRDefault="00AB5FE0" w:rsidP="003A3140">
      <w:pPr>
        <w:spacing w:line="240" w:lineRule="auto"/>
        <w:jc w:val="both"/>
        <w:rPr>
          <w:rFonts w:ascii="Times New Roman Regular" w:hAnsi="Times New Roman Regular"/>
          <w:sz w:val="20"/>
          <w:szCs w:val="20"/>
        </w:rPr>
      </w:pPr>
      <w:r w:rsidRPr="00AB5FE0">
        <w:rPr>
          <w:rFonts w:ascii="Times New Roman Regular" w:hAnsi="Times New Roman Regular"/>
          <w:sz w:val="20"/>
          <w:szCs w:val="20"/>
        </w:rPr>
        <w:t xml:space="preserve">Research, technology development, and clinical application have all advanced significantly along the present trajectory of </w:t>
      </w:r>
      <w:proofErr w:type="spellStart"/>
      <w:r w:rsidRPr="00AB5FE0">
        <w:rPr>
          <w:rFonts w:ascii="Times New Roman Regular" w:hAnsi="Times New Roman Regular"/>
          <w:sz w:val="20"/>
          <w:szCs w:val="20"/>
        </w:rPr>
        <w:t>pharmacogenomics</w:t>
      </w:r>
      <w:proofErr w:type="spellEnd"/>
      <w:r w:rsidRPr="00AB5FE0">
        <w:rPr>
          <w:rFonts w:ascii="Times New Roman Regular" w:hAnsi="Times New Roman Regular"/>
          <w:sz w:val="20"/>
          <w:szCs w:val="20"/>
        </w:rPr>
        <w:t xml:space="preserve"> in </w:t>
      </w:r>
      <w:proofErr w:type="spellStart"/>
      <w:r w:rsidRPr="00AB5FE0">
        <w:rPr>
          <w:rFonts w:ascii="Times New Roman Regular" w:hAnsi="Times New Roman Regular"/>
          <w:sz w:val="20"/>
          <w:szCs w:val="20"/>
        </w:rPr>
        <w:t>personalised</w:t>
      </w:r>
      <w:proofErr w:type="spellEnd"/>
      <w:r w:rsidRPr="00AB5FE0">
        <w:rPr>
          <w:rFonts w:ascii="Times New Roman Regular" w:hAnsi="Times New Roman Regular"/>
          <w:sz w:val="20"/>
          <w:szCs w:val="20"/>
        </w:rPr>
        <w:t xml:space="preserve"> medicine. Clinical </w:t>
      </w:r>
      <w:proofErr w:type="spellStart"/>
      <w:r w:rsidRPr="00AB5FE0">
        <w:rPr>
          <w:rFonts w:ascii="Times New Roman Regular" w:hAnsi="Times New Roman Regular"/>
          <w:sz w:val="20"/>
          <w:szCs w:val="20"/>
        </w:rPr>
        <w:t>practise</w:t>
      </w:r>
      <w:proofErr w:type="spellEnd"/>
      <w:r w:rsidRPr="00AB5FE0">
        <w:rPr>
          <w:rFonts w:ascii="Times New Roman Regular" w:hAnsi="Times New Roman Regular"/>
          <w:sz w:val="20"/>
          <w:szCs w:val="20"/>
        </w:rPr>
        <w:t xml:space="preserve"> is increasingly incorporating genetic testing for specific drug-gene interactions, enabling medical professionals to make more educated treatment choices. Growing acceptance of </w:t>
      </w:r>
      <w:proofErr w:type="spellStart"/>
      <w:r w:rsidRPr="00AB5FE0">
        <w:rPr>
          <w:rFonts w:ascii="Times New Roman Regular" w:hAnsi="Times New Roman Regular"/>
          <w:sz w:val="20"/>
          <w:szCs w:val="20"/>
        </w:rPr>
        <w:t>pharmacogenomic</w:t>
      </w:r>
      <w:proofErr w:type="spellEnd"/>
      <w:r w:rsidRPr="00AB5FE0">
        <w:rPr>
          <w:rFonts w:ascii="Times New Roman Regular" w:hAnsi="Times New Roman Regular"/>
          <w:sz w:val="20"/>
          <w:szCs w:val="20"/>
        </w:rPr>
        <w:t xml:space="preserve"> information's significance in enhancing medication therapy is reflected in the guidelines for </w:t>
      </w:r>
      <w:proofErr w:type="spellStart"/>
      <w:r w:rsidRPr="00AB5FE0">
        <w:rPr>
          <w:rFonts w:ascii="Times New Roman Regular" w:hAnsi="Times New Roman Regular"/>
          <w:sz w:val="20"/>
          <w:szCs w:val="20"/>
        </w:rPr>
        <w:t>pharmacogenetic</w:t>
      </w:r>
      <w:proofErr w:type="spellEnd"/>
      <w:r w:rsidRPr="00AB5FE0">
        <w:rPr>
          <w:rFonts w:ascii="Times New Roman Regular" w:hAnsi="Times New Roman Regular"/>
          <w:sz w:val="20"/>
          <w:szCs w:val="20"/>
        </w:rPr>
        <w:t xml:space="preserve"> testing and the inclusion of </w:t>
      </w:r>
      <w:proofErr w:type="spellStart"/>
      <w:r w:rsidRPr="00AB5FE0">
        <w:rPr>
          <w:rFonts w:ascii="Times New Roman Regular" w:hAnsi="Times New Roman Regular"/>
          <w:sz w:val="20"/>
          <w:szCs w:val="20"/>
        </w:rPr>
        <w:t>pharmacogenomic</w:t>
      </w:r>
      <w:proofErr w:type="spellEnd"/>
      <w:r w:rsidRPr="00AB5FE0">
        <w:rPr>
          <w:rFonts w:ascii="Times New Roman Regular" w:hAnsi="Times New Roman Regular"/>
          <w:sz w:val="20"/>
          <w:szCs w:val="20"/>
        </w:rPr>
        <w:t xml:space="preserve"> information in prescription labels.</w:t>
      </w:r>
    </w:p>
    <w:p w:rsidR="00AB5FE0" w:rsidRDefault="00CA4A3E" w:rsidP="003A3140">
      <w:pPr>
        <w:spacing w:line="240" w:lineRule="auto"/>
        <w:jc w:val="both"/>
        <w:rPr>
          <w:rFonts w:ascii="Times New Roman Regular" w:hAnsi="Times New Roman Regular"/>
          <w:sz w:val="20"/>
          <w:szCs w:val="20"/>
        </w:rPr>
      </w:pPr>
      <w:r>
        <w:rPr>
          <w:rFonts w:ascii="Times New Roman Regular" w:hAnsi="Times New Roman Regular"/>
          <w:sz w:val="20"/>
          <w:szCs w:val="20"/>
        </w:rPr>
        <w:t>B</w:t>
      </w:r>
      <w:r w:rsidR="00AB5FE0">
        <w:rPr>
          <w:rFonts w:ascii="Times New Roman Regular" w:hAnsi="Times New Roman Regular"/>
          <w:sz w:val="20"/>
          <w:szCs w:val="20"/>
        </w:rPr>
        <w:t>.</w:t>
      </w:r>
      <w:r w:rsidR="00AB5FE0" w:rsidRPr="00AB5FE0">
        <w:t xml:space="preserve"> </w:t>
      </w:r>
      <w:r w:rsidR="00AB5FE0" w:rsidRPr="00AB5FE0">
        <w:rPr>
          <w:rFonts w:ascii="Times New Roman Regular" w:hAnsi="Times New Roman Regular"/>
          <w:sz w:val="20"/>
          <w:szCs w:val="20"/>
        </w:rPr>
        <w:t>Clinical Implementation:</w:t>
      </w:r>
    </w:p>
    <w:p w:rsidR="00AB5FE0" w:rsidRDefault="00AB5FE0" w:rsidP="003A3140">
      <w:pPr>
        <w:spacing w:line="240" w:lineRule="auto"/>
        <w:jc w:val="both"/>
        <w:rPr>
          <w:rFonts w:ascii="Times New Roman Regular" w:hAnsi="Times New Roman Regular"/>
          <w:sz w:val="20"/>
          <w:szCs w:val="20"/>
        </w:rPr>
      </w:pPr>
      <w:proofErr w:type="spellStart"/>
      <w:r w:rsidRPr="00AB5FE0">
        <w:rPr>
          <w:rFonts w:ascii="Times New Roman Regular" w:hAnsi="Times New Roman Regular"/>
          <w:sz w:val="20"/>
          <w:szCs w:val="20"/>
        </w:rPr>
        <w:t>Pharmacogenomic</w:t>
      </w:r>
      <w:proofErr w:type="spellEnd"/>
      <w:r w:rsidRPr="00AB5FE0">
        <w:rPr>
          <w:rFonts w:ascii="Times New Roman Regular" w:hAnsi="Times New Roman Regular"/>
          <w:sz w:val="20"/>
          <w:szCs w:val="20"/>
        </w:rPr>
        <w:t xml:space="preserve"> testing is increasingly becoming a part of standard clinical therapy. </w:t>
      </w:r>
      <w:proofErr w:type="spellStart"/>
      <w:r w:rsidRPr="00AB5FE0">
        <w:rPr>
          <w:rFonts w:ascii="Times New Roman Regular" w:hAnsi="Times New Roman Regular"/>
          <w:sz w:val="20"/>
          <w:szCs w:val="20"/>
        </w:rPr>
        <w:t>Pharmacogenomic</w:t>
      </w:r>
      <w:proofErr w:type="spellEnd"/>
      <w:r w:rsidRPr="00AB5FE0">
        <w:rPr>
          <w:rFonts w:ascii="Times New Roman Regular" w:hAnsi="Times New Roman Regular"/>
          <w:sz w:val="20"/>
          <w:szCs w:val="20"/>
        </w:rPr>
        <w:t xml:space="preserve"> testing </w:t>
      </w:r>
      <w:proofErr w:type="spellStart"/>
      <w:r w:rsidRPr="00AB5FE0">
        <w:rPr>
          <w:rFonts w:ascii="Times New Roman Regular" w:hAnsi="Times New Roman Regular"/>
          <w:sz w:val="20"/>
          <w:szCs w:val="20"/>
        </w:rPr>
        <w:t>programmes</w:t>
      </w:r>
      <w:proofErr w:type="spellEnd"/>
      <w:r w:rsidRPr="00AB5FE0">
        <w:rPr>
          <w:rFonts w:ascii="Times New Roman Regular" w:hAnsi="Times New Roman Regular"/>
          <w:sz w:val="20"/>
          <w:szCs w:val="20"/>
        </w:rPr>
        <w:t xml:space="preserve"> have been created by several medical facilities and research facilities, providing genetic screening for particular drug-gene interactions. Particularly in areas where genetic differences greatly impact drug response, testing is anticipated to become a common component of medical </w:t>
      </w:r>
      <w:proofErr w:type="spellStart"/>
      <w:r w:rsidRPr="00AB5FE0">
        <w:rPr>
          <w:rFonts w:ascii="Times New Roman Regular" w:hAnsi="Times New Roman Regular"/>
          <w:sz w:val="20"/>
          <w:szCs w:val="20"/>
        </w:rPr>
        <w:t>practise</w:t>
      </w:r>
      <w:proofErr w:type="spellEnd"/>
      <w:r w:rsidRPr="00AB5FE0">
        <w:rPr>
          <w:rFonts w:ascii="Times New Roman Regular" w:hAnsi="Times New Roman Regular"/>
          <w:sz w:val="20"/>
          <w:szCs w:val="20"/>
        </w:rPr>
        <w:t xml:space="preserve"> for prescription pharmaceuticals as it becomes more affordable and accessible.</w:t>
      </w:r>
    </w:p>
    <w:p w:rsidR="00AB5FE0" w:rsidRDefault="00AB5FE0" w:rsidP="003A3140">
      <w:pPr>
        <w:spacing w:line="240" w:lineRule="auto"/>
        <w:jc w:val="both"/>
        <w:rPr>
          <w:rFonts w:ascii="Times New Roman Regular" w:hAnsi="Times New Roman Regular"/>
          <w:sz w:val="20"/>
          <w:szCs w:val="20"/>
        </w:rPr>
      </w:pPr>
      <w:r>
        <w:rPr>
          <w:rFonts w:ascii="Times New Roman Regular" w:hAnsi="Times New Roman Regular"/>
          <w:sz w:val="20"/>
          <w:szCs w:val="20"/>
        </w:rPr>
        <w:t>C.</w:t>
      </w:r>
      <w:r w:rsidRPr="00AB5FE0">
        <w:t xml:space="preserve"> </w:t>
      </w:r>
      <w:r w:rsidRPr="00AB5FE0">
        <w:rPr>
          <w:rFonts w:ascii="Times New Roman Regular" w:hAnsi="Times New Roman Regular"/>
          <w:sz w:val="20"/>
          <w:szCs w:val="20"/>
        </w:rPr>
        <w:t>Improving Drug Selection and Dosage</w:t>
      </w:r>
    </w:p>
    <w:p w:rsidR="00AB5FE0" w:rsidRPr="00AB5FE0" w:rsidRDefault="00CA4A3E" w:rsidP="003A3140">
      <w:pPr>
        <w:spacing w:line="240" w:lineRule="auto"/>
        <w:jc w:val="both"/>
        <w:rPr>
          <w:rFonts w:ascii="Times New Roman Regular" w:hAnsi="Times New Roman Regular"/>
          <w:sz w:val="20"/>
          <w:szCs w:val="20"/>
        </w:rPr>
      </w:pPr>
      <w:proofErr w:type="spellStart"/>
      <w:r w:rsidRPr="00CA4A3E">
        <w:rPr>
          <w:rFonts w:ascii="Times New Roman Regular" w:hAnsi="Times New Roman Regular"/>
          <w:sz w:val="20"/>
          <w:szCs w:val="20"/>
        </w:rPr>
        <w:t>Pharmacogenomics</w:t>
      </w:r>
      <w:proofErr w:type="spellEnd"/>
      <w:r w:rsidRPr="00CA4A3E">
        <w:rPr>
          <w:rFonts w:ascii="Times New Roman Regular" w:hAnsi="Times New Roman Regular"/>
          <w:sz w:val="20"/>
          <w:szCs w:val="20"/>
        </w:rPr>
        <w:t xml:space="preserve"> has the potential to improve medication selection and dose </w:t>
      </w:r>
      <w:proofErr w:type="spellStart"/>
      <w:r w:rsidRPr="00CA4A3E">
        <w:rPr>
          <w:rFonts w:ascii="Times New Roman Regular" w:hAnsi="Times New Roman Regular"/>
          <w:sz w:val="20"/>
          <w:szCs w:val="20"/>
        </w:rPr>
        <w:t>optimisation</w:t>
      </w:r>
      <w:proofErr w:type="spellEnd"/>
      <w:r w:rsidRPr="00CA4A3E">
        <w:rPr>
          <w:rFonts w:ascii="Times New Roman Regular" w:hAnsi="Times New Roman Regular"/>
          <w:sz w:val="20"/>
          <w:szCs w:val="20"/>
        </w:rPr>
        <w:t xml:space="preserve">, which is </w:t>
      </w:r>
      <w:proofErr w:type="gramStart"/>
      <w:r w:rsidRPr="00CA4A3E">
        <w:rPr>
          <w:rFonts w:ascii="Times New Roman Regular" w:hAnsi="Times New Roman Regular"/>
          <w:sz w:val="20"/>
          <w:szCs w:val="20"/>
        </w:rPr>
        <w:t>key</w:t>
      </w:r>
      <w:proofErr w:type="gramEnd"/>
      <w:r w:rsidRPr="00CA4A3E">
        <w:rPr>
          <w:rFonts w:ascii="Times New Roman Regular" w:hAnsi="Times New Roman Regular"/>
          <w:sz w:val="20"/>
          <w:szCs w:val="20"/>
        </w:rPr>
        <w:t xml:space="preserve"> to </w:t>
      </w:r>
      <w:proofErr w:type="spellStart"/>
      <w:r w:rsidRPr="00CA4A3E">
        <w:rPr>
          <w:rFonts w:ascii="Times New Roman Regular" w:hAnsi="Times New Roman Regular"/>
          <w:sz w:val="20"/>
          <w:szCs w:val="20"/>
        </w:rPr>
        <w:t>personalised</w:t>
      </w:r>
      <w:proofErr w:type="spellEnd"/>
      <w:r w:rsidRPr="00CA4A3E">
        <w:rPr>
          <w:rFonts w:ascii="Times New Roman Regular" w:hAnsi="Times New Roman Regular"/>
          <w:sz w:val="20"/>
          <w:szCs w:val="20"/>
        </w:rPr>
        <w:t xml:space="preserve"> treatment. Healthcare professionals can </w:t>
      </w:r>
      <w:proofErr w:type="spellStart"/>
      <w:r w:rsidRPr="00CA4A3E">
        <w:rPr>
          <w:rFonts w:ascii="Times New Roman Regular" w:hAnsi="Times New Roman Regular"/>
          <w:sz w:val="20"/>
          <w:szCs w:val="20"/>
        </w:rPr>
        <w:t>customise</w:t>
      </w:r>
      <w:proofErr w:type="spellEnd"/>
      <w:r w:rsidRPr="00CA4A3E">
        <w:rPr>
          <w:rFonts w:ascii="Times New Roman Regular" w:hAnsi="Times New Roman Regular"/>
          <w:sz w:val="20"/>
          <w:szCs w:val="20"/>
        </w:rPr>
        <w:t xml:space="preserve"> pharmacological regimens for specific individuals by detecting genetic differences linked to drug metabolism, effectiveness, and adverse responses. This focused strategy may result in better treatment results, fewer </w:t>
      </w:r>
      <w:proofErr w:type="spellStart"/>
      <w:r w:rsidRPr="00CA4A3E">
        <w:rPr>
          <w:rFonts w:ascii="Times New Roman Regular" w:hAnsi="Times New Roman Regular"/>
          <w:sz w:val="20"/>
          <w:szCs w:val="20"/>
        </w:rPr>
        <w:t>unfavourable</w:t>
      </w:r>
      <w:proofErr w:type="spellEnd"/>
      <w:r w:rsidRPr="00CA4A3E">
        <w:rPr>
          <w:rFonts w:ascii="Times New Roman Regular" w:hAnsi="Times New Roman Regular"/>
          <w:sz w:val="20"/>
          <w:szCs w:val="20"/>
        </w:rPr>
        <w:t xml:space="preserve"> events, and greater patient compliance.</w:t>
      </w:r>
    </w:p>
    <w:p w:rsidR="003A3140" w:rsidRDefault="00CA4A3E" w:rsidP="003A3140">
      <w:pPr>
        <w:spacing w:line="240" w:lineRule="auto"/>
        <w:jc w:val="both"/>
        <w:rPr>
          <w:rFonts w:ascii="Times New Roman Regular" w:hAnsi="Times New Roman Regular"/>
          <w:sz w:val="20"/>
          <w:szCs w:val="20"/>
        </w:rPr>
      </w:pPr>
      <w:r>
        <w:rPr>
          <w:rFonts w:ascii="Times New Roman Regular" w:hAnsi="Times New Roman Regular"/>
          <w:sz w:val="20"/>
          <w:szCs w:val="20"/>
        </w:rPr>
        <w:t>D.</w:t>
      </w:r>
      <w:r w:rsidRPr="00CA4A3E">
        <w:t xml:space="preserve"> </w:t>
      </w:r>
      <w:r w:rsidRPr="00CA4A3E">
        <w:rPr>
          <w:rFonts w:ascii="Times New Roman Regular" w:hAnsi="Times New Roman Regular"/>
          <w:sz w:val="20"/>
          <w:szCs w:val="20"/>
        </w:rPr>
        <w:t>Preventing Adverse Drug Reactions (ADRs):</w:t>
      </w:r>
    </w:p>
    <w:p w:rsidR="00CA4A3E" w:rsidRDefault="00CA4A3E" w:rsidP="003A3140">
      <w:pPr>
        <w:spacing w:line="240" w:lineRule="auto"/>
        <w:jc w:val="both"/>
        <w:rPr>
          <w:rFonts w:ascii="Times New Roman Regular" w:hAnsi="Times New Roman Regular"/>
          <w:sz w:val="20"/>
          <w:szCs w:val="20"/>
        </w:rPr>
      </w:pPr>
      <w:r w:rsidRPr="00CA4A3E">
        <w:rPr>
          <w:rFonts w:ascii="Times New Roman Regular" w:hAnsi="Times New Roman Regular"/>
          <w:sz w:val="20"/>
          <w:szCs w:val="20"/>
        </w:rPr>
        <w:t xml:space="preserve">Medical professionals are very concerned about adverse medication responses because they raise morbidity, death, and healthcare expenditures. </w:t>
      </w:r>
      <w:proofErr w:type="spellStart"/>
      <w:r w:rsidRPr="00CA4A3E">
        <w:rPr>
          <w:rFonts w:ascii="Times New Roman Regular" w:hAnsi="Times New Roman Regular"/>
          <w:sz w:val="20"/>
          <w:szCs w:val="20"/>
        </w:rPr>
        <w:t>Pharmacogenomics</w:t>
      </w:r>
      <w:proofErr w:type="spellEnd"/>
      <w:r w:rsidRPr="00CA4A3E">
        <w:rPr>
          <w:rFonts w:ascii="Times New Roman Regular" w:hAnsi="Times New Roman Regular"/>
          <w:sz w:val="20"/>
          <w:szCs w:val="20"/>
        </w:rPr>
        <w:t xml:space="preserve"> holds out the possibility of identifying people who are more likely to have ADRs through genetic testing. With this knowledge, medical professionals may steer clear </w:t>
      </w:r>
      <w:r w:rsidRPr="00CA4A3E">
        <w:rPr>
          <w:rFonts w:ascii="Times New Roman Regular" w:hAnsi="Times New Roman Regular"/>
          <w:sz w:val="20"/>
          <w:szCs w:val="20"/>
        </w:rPr>
        <w:lastRenderedPageBreak/>
        <w:t xml:space="preserve">of drugs that can have </w:t>
      </w:r>
      <w:proofErr w:type="spellStart"/>
      <w:r w:rsidRPr="00CA4A3E">
        <w:rPr>
          <w:rFonts w:ascii="Times New Roman Regular" w:hAnsi="Times New Roman Regular"/>
          <w:sz w:val="20"/>
          <w:szCs w:val="20"/>
        </w:rPr>
        <w:t>unfavourable</w:t>
      </w:r>
      <w:proofErr w:type="spellEnd"/>
      <w:r w:rsidRPr="00CA4A3E">
        <w:rPr>
          <w:rFonts w:ascii="Times New Roman Regular" w:hAnsi="Times New Roman Regular"/>
          <w:sz w:val="20"/>
          <w:szCs w:val="20"/>
        </w:rPr>
        <w:t xml:space="preserve"> effects in some patients, enhancing patient safety and lessening the strain on healthcare systems.</w:t>
      </w:r>
    </w:p>
    <w:p w:rsidR="00CA4A3E" w:rsidRDefault="00CA4A3E" w:rsidP="003A3140">
      <w:pPr>
        <w:spacing w:line="240" w:lineRule="auto"/>
        <w:jc w:val="both"/>
        <w:rPr>
          <w:rFonts w:ascii="Times New Roman Regular" w:hAnsi="Times New Roman Regular"/>
          <w:sz w:val="20"/>
          <w:szCs w:val="20"/>
        </w:rPr>
      </w:pPr>
      <w:r>
        <w:rPr>
          <w:rFonts w:ascii="Times New Roman Regular" w:hAnsi="Times New Roman Regular"/>
          <w:sz w:val="20"/>
          <w:szCs w:val="20"/>
        </w:rPr>
        <w:t>E.</w:t>
      </w:r>
      <w:r w:rsidRPr="00CA4A3E">
        <w:t xml:space="preserve"> </w:t>
      </w:r>
      <w:r w:rsidRPr="00CA4A3E">
        <w:rPr>
          <w:rFonts w:ascii="Times New Roman Regular" w:hAnsi="Times New Roman Regular"/>
          <w:sz w:val="20"/>
          <w:szCs w:val="20"/>
        </w:rPr>
        <w:t>Challenges and Future Directions:</w:t>
      </w:r>
    </w:p>
    <w:p w:rsidR="00CA4A3E" w:rsidRDefault="00CA4A3E" w:rsidP="003A3140">
      <w:pPr>
        <w:spacing w:line="240" w:lineRule="auto"/>
        <w:jc w:val="both"/>
        <w:rPr>
          <w:rFonts w:ascii="Times New Roman Regular" w:hAnsi="Times New Roman Regular"/>
          <w:sz w:val="20"/>
          <w:szCs w:val="20"/>
        </w:rPr>
      </w:pPr>
      <w:r w:rsidRPr="00CA4A3E">
        <w:rPr>
          <w:rFonts w:ascii="Times New Roman Regular" w:hAnsi="Times New Roman Regular"/>
          <w:sz w:val="20"/>
          <w:szCs w:val="20"/>
        </w:rPr>
        <w:t xml:space="preserve">Despite </w:t>
      </w:r>
      <w:proofErr w:type="spellStart"/>
      <w:r w:rsidRPr="00CA4A3E">
        <w:rPr>
          <w:rFonts w:ascii="Times New Roman Regular" w:hAnsi="Times New Roman Regular"/>
          <w:sz w:val="20"/>
          <w:szCs w:val="20"/>
        </w:rPr>
        <w:t>pharmacogenomics</w:t>
      </w:r>
      <w:proofErr w:type="spellEnd"/>
      <w:r w:rsidRPr="00CA4A3E">
        <w:rPr>
          <w:rFonts w:ascii="Times New Roman Regular" w:hAnsi="Times New Roman Regular"/>
          <w:sz w:val="20"/>
          <w:szCs w:val="20"/>
        </w:rPr>
        <w:t xml:space="preserve">' optimistic future, there are still difficulties. Successful implementation depends on the </w:t>
      </w:r>
      <w:proofErr w:type="spellStart"/>
      <w:r w:rsidRPr="00CA4A3E">
        <w:rPr>
          <w:rFonts w:ascii="Times New Roman Regular" w:hAnsi="Times New Roman Regular"/>
          <w:sz w:val="20"/>
          <w:szCs w:val="20"/>
        </w:rPr>
        <w:t>standardisation</w:t>
      </w:r>
      <w:proofErr w:type="spellEnd"/>
      <w:r w:rsidRPr="00CA4A3E">
        <w:rPr>
          <w:rFonts w:ascii="Times New Roman Regular" w:hAnsi="Times New Roman Regular"/>
          <w:sz w:val="20"/>
          <w:szCs w:val="20"/>
        </w:rPr>
        <w:t xml:space="preserve"> of recommendations, their incorporation into electronic health records, education of healthcare professionals, and ethical issues. To further our understanding of genetic differences and their influence on medication response, extensive initiatives and cooperative efforts are needed.</w:t>
      </w:r>
    </w:p>
    <w:p w:rsidR="00CA4A3E" w:rsidRDefault="00CA4A3E" w:rsidP="003A3140">
      <w:pPr>
        <w:spacing w:line="240" w:lineRule="auto"/>
        <w:jc w:val="both"/>
        <w:rPr>
          <w:rFonts w:ascii="Times New Roman Regular" w:hAnsi="Times New Roman Regular"/>
          <w:b/>
          <w:sz w:val="20"/>
          <w:szCs w:val="20"/>
        </w:rPr>
      </w:pPr>
      <w:r w:rsidRPr="00CA4A3E">
        <w:rPr>
          <w:rFonts w:ascii="Times New Roman Regular" w:hAnsi="Times New Roman Regular"/>
          <w:b/>
          <w:sz w:val="20"/>
          <w:szCs w:val="20"/>
        </w:rPr>
        <w:t>VII</w:t>
      </w:r>
      <w:r>
        <w:rPr>
          <w:rFonts w:ascii="Times New Roman Regular" w:hAnsi="Times New Roman Regular"/>
          <w:b/>
          <w:sz w:val="20"/>
          <w:szCs w:val="20"/>
        </w:rPr>
        <w:t>I</w:t>
      </w:r>
      <w:r w:rsidRPr="00CA4A3E">
        <w:rPr>
          <w:rFonts w:ascii="Times New Roman Regular" w:hAnsi="Times New Roman Regular"/>
          <w:b/>
          <w:sz w:val="20"/>
          <w:szCs w:val="20"/>
        </w:rPr>
        <w:t>. CONCLUSION:</w:t>
      </w:r>
    </w:p>
    <w:p w:rsidR="00CA4A3E" w:rsidRPr="00CA4A3E" w:rsidRDefault="00CA4A3E" w:rsidP="00CA4A3E">
      <w:pPr>
        <w:spacing w:line="240" w:lineRule="auto"/>
        <w:jc w:val="both"/>
        <w:rPr>
          <w:rFonts w:ascii="Times New Roman Regular" w:hAnsi="Times New Roman Regular"/>
          <w:sz w:val="20"/>
          <w:szCs w:val="20"/>
        </w:rPr>
      </w:pPr>
      <w:r w:rsidRPr="00CA4A3E">
        <w:rPr>
          <w:rFonts w:ascii="Times New Roman Regular" w:hAnsi="Times New Roman Regular"/>
          <w:sz w:val="20"/>
          <w:szCs w:val="20"/>
        </w:rPr>
        <w:t xml:space="preserve">In closing, the current trajectory of </w:t>
      </w:r>
      <w:proofErr w:type="spellStart"/>
      <w:r w:rsidRPr="00CA4A3E">
        <w:rPr>
          <w:rFonts w:ascii="Times New Roman Regular" w:hAnsi="Times New Roman Regular"/>
          <w:sz w:val="20"/>
          <w:szCs w:val="20"/>
        </w:rPr>
        <w:t>pharmacogenomics</w:t>
      </w:r>
      <w:proofErr w:type="spellEnd"/>
      <w:r w:rsidRPr="00CA4A3E">
        <w:rPr>
          <w:rFonts w:ascii="Times New Roman Regular" w:hAnsi="Times New Roman Regular"/>
          <w:sz w:val="20"/>
          <w:szCs w:val="20"/>
        </w:rPr>
        <w:t xml:space="preserve"> in </w:t>
      </w:r>
      <w:proofErr w:type="spellStart"/>
      <w:r w:rsidRPr="00CA4A3E">
        <w:rPr>
          <w:rFonts w:ascii="Times New Roman Regular" w:hAnsi="Times New Roman Regular"/>
          <w:sz w:val="20"/>
          <w:szCs w:val="20"/>
        </w:rPr>
        <w:t>personalised</w:t>
      </w:r>
      <w:proofErr w:type="spellEnd"/>
      <w:r w:rsidRPr="00CA4A3E">
        <w:rPr>
          <w:rFonts w:ascii="Times New Roman Regular" w:hAnsi="Times New Roman Regular"/>
          <w:sz w:val="20"/>
          <w:szCs w:val="20"/>
        </w:rPr>
        <w:t xml:space="preserve"> medicine is </w:t>
      </w:r>
      <w:proofErr w:type="spellStart"/>
      <w:r w:rsidRPr="00CA4A3E">
        <w:rPr>
          <w:rFonts w:ascii="Times New Roman Regular" w:hAnsi="Times New Roman Regular"/>
          <w:sz w:val="20"/>
          <w:szCs w:val="20"/>
        </w:rPr>
        <w:t>characterised</w:t>
      </w:r>
      <w:proofErr w:type="spellEnd"/>
      <w:r w:rsidRPr="00CA4A3E">
        <w:rPr>
          <w:rFonts w:ascii="Times New Roman Regular" w:hAnsi="Times New Roman Regular"/>
          <w:sz w:val="20"/>
          <w:szCs w:val="20"/>
        </w:rPr>
        <w:t xml:space="preserve"> by notable improvements in clinical application and scientific study. </w:t>
      </w:r>
      <w:proofErr w:type="spellStart"/>
      <w:r w:rsidRPr="00CA4A3E">
        <w:rPr>
          <w:rFonts w:ascii="Times New Roman Regular" w:hAnsi="Times New Roman Regular"/>
          <w:sz w:val="20"/>
          <w:szCs w:val="20"/>
        </w:rPr>
        <w:t>Pharmacogenomics</w:t>
      </w:r>
      <w:proofErr w:type="spellEnd"/>
      <w:r w:rsidRPr="00CA4A3E">
        <w:rPr>
          <w:rFonts w:ascii="Times New Roman Regular" w:hAnsi="Times New Roman Regular"/>
          <w:sz w:val="20"/>
          <w:szCs w:val="20"/>
        </w:rPr>
        <w:t xml:space="preserve"> has the potential to completely transform medication selection, dose </w:t>
      </w:r>
      <w:proofErr w:type="spellStart"/>
      <w:r w:rsidRPr="00CA4A3E">
        <w:rPr>
          <w:rFonts w:ascii="Times New Roman Regular" w:hAnsi="Times New Roman Regular"/>
          <w:sz w:val="20"/>
          <w:szCs w:val="20"/>
        </w:rPr>
        <w:t>optimisation</w:t>
      </w:r>
      <w:proofErr w:type="spellEnd"/>
      <w:r w:rsidRPr="00CA4A3E">
        <w:rPr>
          <w:rFonts w:ascii="Times New Roman Regular" w:hAnsi="Times New Roman Regular"/>
          <w:sz w:val="20"/>
          <w:szCs w:val="20"/>
        </w:rPr>
        <w:t xml:space="preserve">, and ADR avoidance. </w:t>
      </w:r>
      <w:proofErr w:type="spellStart"/>
      <w:r w:rsidRPr="00CA4A3E">
        <w:rPr>
          <w:rFonts w:ascii="Times New Roman Regular" w:hAnsi="Times New Roman Regular"/>
          <w:sz w:val="20"/>
          <w:szCs w:val="20"/>
        </w:rPr>
        <w:t>Pharmacogenomics</w:t>
      </w:r>
      <w:proofErr w:type="spellEnd"/>
      <w:r w:rsidRPr="00CA4A3E">
        <w:rPr>
          <w:rFonts w:ascii="Times New Roman Regular" w:hAnsi="Times New Roman Regular"/>
          <w:sz w:val="20"/>
          <w:szCs w:val="20"/>
        </w:rPr>
        <w:t xml:space="preserve"> has the potential to drastically enhance patient outcomes and usher in a new age of </w:t>
      </w:r>
      <w:proofErr w:type="spellStart"/>
      <w:r w:rsidRPr="00CA4A3E">
        <w:rPr>
          <w:rFonts w:ascii="Times New Roman Regular" w:hAnsi="Times New Roman Regular"/>
          <w:sz w:val="20"/>
          <w:szCs w:val="20"/>
        </w:rPr>
        <w:t>personalised</w:t>
      </w:r>
      <w:proofErr w:type="spellEnd"/>
      <w:r w:rsidRPr="00CA4A3E">
        <w:rPr>
          <w:rFonts w:ascii="Times New Roman Regular" w:hAnsi="Times New Roman Regular"/>
          <w:sz w:val="20"/>
          <w:szCs w:val="20"/>
        </w:rPr>
        <w:t xml:space="preserve"> treatment catered to each person's particular genetic make-up as it is more fully inco</w:t>
      </w:r>
      <w:r>
        <w:rPr>
          <w:rFonts w:ascii="Times New Roman Regular" w:hAnsi="Times New Roman Regular"/>
          <w:sz w:val="20"/>
          <w:szCs w:val="20"/>
        </w:rPr>
        <w:t>rporated into clinical practic</w:t>
      </w:r>
      <w:r w:rsidRPr="00CA4A3E">
        <w:rPr>
          <w:rFonts w:ascii="Times New Roman Regular" w:hAnsi="Times New Roman Regular"/>
          <w:sz w:val="20"/>
          <w:szCs w:val="20"/>
        </w:rPr>
        <w:t xml:space="preserve">e. To fully </w:t>
      </w:r>
      <w:proofErr w:type="spellStart"/>
      <w:r w:rsidRPr="00CA4A3E">
        <w:rPr>
          <w:rFonts w:ascii="Times New Roman Regular" w:hAnsi="Times New Roman Regular"/>
          <w:sz w:val="20"/>
          <w:szCs w:val="20"/>
        </w:rPr>
        <w:t>utilise</w:t>
      </w:r>
      <w:proofErr w:type="spellEnd"/>
      <w:r w:rsidRPr="00CA4A3E">
        <w:rPr>
          <w:rFonts w:ascii="Times New Roman Regular" w:hAnsi="Times New Roman Regular"/>
          <w:sz w:val="20"/>
          <w:szCs w:val="20"/>
        </w:rPr>
        <w:t xml:space="preserve"> </w:t>
      </w:r>
      <w:proofErr w:type="spellStart"/>
      <w:r w:rsidRPr="00CA4A3E">
        <w:rPr>
          <w:rFonts w:ascii="Times New Roman Regular" w:hAnsi="Times New Roman Regular"/>
          <w:sz w:val="20"/>
          <w:szCs w:val="20"/>
        </w:rPr>
        <w:t>pharmacogenomics</w:t>
      </w:r>
      <w:proofErr w:type="spellEnd"/>
      <w:r w:rsidRPr="00CA4A3E">
        <w:rPr>
          <w:rFonts w:ascii="Times New Roman Regular" w:hAnsi="Times New Roman Regular"/>
          <w:sz w:val="20"/>
          <w:szCs w:val="20"/>
        </w:rPr>
        <w:t xml:space="preserve"> in </w:t>
      </w:r>
      <w:proofErr w:type="spellStart"/>
      <w:r w:rsidRPr="00CA4A3E">
        <w:rPr>
          <w:rFonts w:ascii="Times New Roman Regular" w:hAnsi="Times New Roman Regular"/>
          <w:sz w:val="20"/>
          <w:szCs w:val="20"/>
        </w:rPr>
        <w:t>personalised</w:t>
      </w:r>
      <w:proofErr w:type="spellEnd"/>
      <w:r w:rsidRPr="00CA4A3E">
        <w:rPr>
          <w:rFonts w:ascii="Times New Roman Regular" w:hAnsi="Times New Roman Regular"/>
          <w:sz w:val="20"/>
          <w:szCs w:val="20"/>
        </w:rPr>
        <w:t xml:space="preserve"> medicine, it is essential to resolve obstacles and promote collaboration.</w:t>
      </w:r>
    </w:p>
    <w:p w:rsidR="00CA4A3E" w:rsidRPr="00CA4A3E" w:rsidRDefault="00CA4A3E" w:rsidP="00CA4A3E">
      <w:pPr>
        <w:spacing w:line="240" w:lineRule="auto"/>
        <w:jc w:val="both"/>
        <w:rPr>
          <w:rFonts w:ascii="Times New Roman Regular" w:hAnsi="Times New Roman Regular"/>
          <w:b/>
          <w:sz w:val="20"/>
          <w:szCs w:val="20"/>
        </w:rPr>
      </w:pPr>
    </w:p>
    <w:p w:rsidR="00CA4A3E" w:rsidRPr="00CA4A3E" w:rsidRDefault="00CA4A3E" w:rsidP="00CA4A3E">
      <w:pPr>
        <w:spacing w:line="240" w:lineRule="auto"/>
        <w:jc w:val="both"/>
        <w:rPr>
          <w:rFonts w:ascii="Times New Roman Regular" w:hAnsi="Times New Roman Regular"/>
          <w:b/>
          <w:sz w:val="20"/>
          <w:szCs w:val="20"/>
        </w:rPr>
      </w:pPr>
    </w:p>
    <w:p w:rsidR="00CA4A3E" w:rsidRPr="00CA4A3E" w:rsidRDefault="00CA4A3E" w:rsidP="00CA4A3E">
      <w:pPr>
        <w:spacing w:line="240" w:lineRule="auto"/>
        <w:jc w:val="both"/>
        <w:rPr>
          <w:rFonts w:ascii="Times New Roman Regular" w:hAnsi="Times New Roman Regular"/>
          <w:b/>
          <w:sz w:val="20"/>
          <w:szCs w:val="20"/>
        </w:rPr>
      </w:pPr>
    </w:p>
    <w:p w:rsidR="00CA4A3E" w:rsidRPr="00CA4A3E" w:rsidRDefault="00CA4A3E" w:rsidP="00CA4A3E">
      <w:pPr>
        <w:spacing w:line="240" w:lineRule="auto"/>
        <w:jc w:val="both"/>
        <w:rPr>
          <w:rFonts w:ascii="Times New Roman Regular" w:hAnsi="Times New Roman Regular"/>
          <w:b/>
          <w:sz w:val="20"/>
          <w:szCs w:val="20"/>
        </w:rPr>
      </w:pPr>
    </w:p>
    <w:p w:rsidR="00CA4A3E" w:rsidRPr="00CA4A3E" w:rsidRDefault="00CA4A3E" w:rsidP="003A3140">
      <w:pPr>
        <w:spacing w:line="240" w:lineRule="auto"/>
        <w:jc w:val="both"/>
        <w:rPr>
          <w:rFonts w:ascii="Times New Roman Regular" w:hAnsi="Times New Roman Regular"/>
          <w:b/>
          <w:sz w:val="20"/>
          <w:szCs w:val="20"/>
        </w:rPr>
      </w:pPr>
    </w:p>
    <w:p w:rsidR="0020307E" w:rsidRPr="00F104D0" w:rsidRDefault="0020307E" w:rsidP="003A3140">
      <w:pPr>
        <w:spacing w:line="240" w:lineRule="auto"/>
        <w:jc w:val="both"/>
        <w:rPr>
          <w:rFonts w:ascii="Times New Roman Regular" w:hAnsi="Times New Roman Regular"/>
          <w:sz w:val="20"/>
          <w:szCs w:val="20"/>
        </w:rPr>
      </w:pPr>
    </w:p>
    <w:p w:rsidR="0020307E" w:rsidRPr="00F104D0" w:rsidRDefault="0020307E" w:rsidP="003A3140">
      <w:pPr>
        <w:spacing w:line="240" w:lineRule="auto"/>
        <w:jc w:val="both"/>
        <w:rPr>
          <w:rFonts w:ascii="Times New Roman Regular" w:hAnsi="Times New Roman Regular" w:cs="Times New Roman Regular"/>
          <w:b/>
          <w:bCs/>
          <w:sz w:val="20"/>
          <w:szCs w:val="20"/>
        </w:rPr>
      </w:pPr>
    </w:p>
    <w:p w:rsidR="0020307E" w:rsidRPr="00F104D0" w:rsidRDefault="0020307E" w:rsidP="003A3140">
      <w:pPr>
        <w:spacing w:line="240" w:lineRule="auto"/>
        <w:jc w:val="both"/>
        <w:rPr>
          <w:rFonts w:ascii="Times New Roman Regular" w:hAnsi="Times New Roman Regular" w:cs="Times New Roman Regular"/>
          <w:b/>
          <w:bCs/>
          <w:sz w:val="20"/>
          <w:szCs w:val="20"/>
        </w:rPr>
      </w:pPr>
    </w:p>
    <w:p w:rsidR="00972D33" w:rsidRPr="00F104D0" w:rsidRDefault="00972D33" w:rsidP="003A3140">
      <w:pPr>
        <w:spacing w:before="300" w:after="300" w:line="240" w:lineRule="auto"/>
        <w:jc w:val="both"/>
        <w:rPr>
          <w:rFonts w:ascii="Times New Roman" w:hAnsi="Times New Roman" w:cs="Times New Roman"/>
          <w:color w:val="000000" w:themeColor="text1"/>
          <w:sz w:val="20"/>
          <w:szCs w:val="20"/>
        </w:rPr>
      </w:pPr>
    </w:p>
    <w:p w:rsidR="00972D33" w:rsidRDefault="00972D33" w:rsidP="003A3140">
      <w:pPr>
        <w:spacing w:before="300" w:after="300" w:line="240" w:lineRule="auto"/>
        <w:jc w:val="both"/>
        <w:rPr>
          <w:rFonts w:ascii="Times New Roman" w:eastAsia="Times New Roman" w:hAnsi="Times New Roman" w:cs="Times New Roman"/>
          <w:color w:val="000000" w:themeColor="text1"/>
          <w:sz w:val="24"/>
          <w:szCs w:val="24"/>
          <w:lang w:eastAsia="en-IN"/>
        </w:rPr>
      </w:pPr>
    </w:p>
    <w:p w:rsidR="00536527" w:rsidRDefault="00536527" w:rsidP="003A3140">
      <w:pPr>
        <w:spacing w:line="240" w:lineRule="auto"/>
        <w:jc w:val="both"/>
        <w:rPr>
          <w:rFonts w:ascii="Times New Roman" w:hAnsi="Times New Roman" w:cs="Times New Roman"/>
          <w:sz w:val="24"/>
          <w:szCs w:val="24"/>
        </w:rPr>
      </w:pPr>
    </w:p>
    <w:p w:rsidR="00536527" w:rsidRDefault="00536527" w:rsidP="003A3140">
      <w:pPr>
        <w:spacing w:line="240" w:lineRule="auto"/>
        <w:jc w:val="both"/>
        <w:rPr>
          <w:rFonts w:ascii="Times New Roman" w:hAnsi="Times New Roman" w:cs="Times New Roman"/>
          <w:sz w:val="24"/>
          <w:szCs w:val="24"/>
        </w:rPr>
      </w:pPr>
    </w:p>
    <w:p w:rsidR="00536527" w:rsidRDefault="00536527" w:rsidP="003A3140">
      <w:pPr>
        <w:spacing w:line="240" w:lineRule="auto"/>
        <w:jc w:val="both"/>
        <w:rPr>
          <w:rFonts w:ascii="Times New Roman" w:hAnsi="Times New Roman" w:cs="Times New Roman"/>
          <w:sz w:val="24"/>
          <w:szCs w:val="24"/>
        </w:rPr>
      </w:pPr>
    </w:p>
    <w:p w:rsidR="00536527" w:rsidRDefault="00536527" w:rsidP="003A3140">
      <w:pPr>
        <w:spacing w:line="240" w:lineRule="auto"/>
        <w:jc w:val="both"/>
        <w:rPr>
          <w:rFonts w:ascii="Times New Roman" w:hAnsi="Times New Roman" w:cs="Times New Roman"/>
          <w:sz w:val="24"/>
          <w:szCs w:val="24"/>
        </w:rPr>
      </w:pPr>
    </w:p>
    <w:p w:rsidR="00536527" w:rsidRDefault="00536527" w:rsidP="003A3140">
      <w:pPr>
        <w:spacing w:line="240" w:lineRule="auto"/>
        <w:jc w:val="both"/>
        <w:rPr>
          <w:rFonts w:ascii="Times New Roman" w:hAnsi="Times New Roman" w:cs="Times New Roman"/>
          <w:sz w:val="24"/>
          <w:szCs w:val="24"/>
        </w:rPr>
      </w:pPr>
    </w:p>
    <w:p w:rsidR="00536527" w:rsidRDefault="00536527" w:rsidP="003A3140">
      <w:pPr>
        <w:spacing w:line="240" w:lineRule="auto"/>
        <w:jc w:val="both"/>
        <w:rPr>
          <w:rFonts w:ascii="Times New Roman" w:hAnsi="Times New Roman" w:cs="Times New Roman"/>
          <w:sz w:val="24"/>
          <w:szCs w:val="24"/>
        </w:rPr>
      </w:pPr>
    </w:p>
    <w:p w:rsidR="00536527" w:rsidRDefault="00536527" w:rsidP="003A3140">
      <w:pPr>
        <w:spacing w:line="240" w:lineRule="auto"/>
        <w:jc w:val="both"/>
        <w:rPr>
          <w:rFonts w:ascii="Times New Roman" w:hAnsi="Times New Roman" w:cs="Times New Roman"/>
          <w:sz w:val="24"/>
          <w:szCs w:val="24"/>
        </w:rPr>
      </w:pPr>
    </w:p>
    <w:p w:rsidR="00107B9E" w:rsidRDefault="00107B9E" w:rsidP="003A3140">
      <w:pPr>
        <w:spacing w:line="240" w:lineRule="auto"/>
        <w:jc w:val="both"/>
        <w:rPr>
          <w:rFonts w:ascii="Times New Roman" w:hAnsi="Times New Roman" w:cs="Times New Roman"/>
          <w:sz w:val="24"/>
          <w:szCs w:val="24"/>
        </w:rPr>
      </w:pPr>
    </w:p>
    <w:p w:rsidR="003A3140" w:rsidRDefault="003A3140" w:rsidP="003A3140">
      <w:pPr>
        <w:spacing w:line="240" w:lineRule="auto"/>
        <w:jc w:val="both"/>
        <w:rPr>
          <w:rFonts w:ascii="Times New Roman" w:hAnsi="Times New Roman" w:cs="Times New Roman"/>
          <w:sz w:val="24"/>
          <w:szCs w:val="24"/>
        </w:rPr>
      </w:pPr>
    </w:p>
    <w:p w:rsidR="000E0ABA" w:rsidRDefault="000E0ABA" w:rsidP="003A3140">
      <w:pPr>
        <w:spacing w:line="240" w:lineRule="auto"/>
        <w:jc w:val="both"/>
        <w:rPr>
          <w:rFonts w:ascii="Times New Roman" w:hAnsi="Times New Roman" w:cs="Times New Roman"/>
          <w:sz w:val="24"/>
          <w:szCs w:val="24"/>
        </w:rPr>
      </w:pPr>
    </w:p>
    <w:p w:rsidR="00536527" w:rsidRDefault="00536527" w:rsidP="003A3140">
      <w:pPr>
        <w:spacing w:line="240" w:lineRule="auto"/>
        <w:jc w:val="both"/>
        <w:rPr>
          <w:rFonts w:ascii="Times New Roman" w:hAnsi="Times New Roman" w:cs="Times New Roman"/>
          <w:sz w:val="24"/>
          <w:szCs w:val="24"/>
        </w:rPr>
      </w:pPr>
    </w:p>
    <w:p w:rsidR="008A18B3" w:rsidRPr="00107B9E" w:rsidRDefault="009A774E"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sz w:val="16"/>
          <w:szCs w:val="16"/>
        </w:rPr>
        <w:lastRenderedPageBreak/>
        <w:fldChar w:fldCharType="begin" w:fldLock="1"/>
      </w:r>
      <w:r w:rsidR="002C2497" w:rsidRPr="00107B9E">
        <w:rPr>
          <w:rFonts w:ascii="Times New Roman" w:hAnsi="Times New Roman" w:cs="Times New Roman"/>
          <w:sz w:val="16"/>
          <w:szCs w:val="16"/>
        </w:rPr>
        <w:instrText xml:space="preserve">ADDIN Mendeley Bibliography CSL_BIBLIOGRAPHY </w:instrText>
      </w:r>
      <w:r w:rsidRPr="00107B9E">
        <w:rPr>
          <w:rFonts w:ascii="Times New Roman" w:hAnsi="Times New Roman" w:cs="Times New Roman"/>
          <w:sz w:val="16"/>
          <w:szCs w:val="16"/>
        </w:rPr>
        <w:fldChar w:fldCharType="separate"/>
      </w:r>
      <w:r w:rsidR="008A18B3" w:rsidRPr="00107B9E">
        <w:rPr>
          <w:rFonts w:ascii="Times New Roman" w:hAnsi="Times New Roman" w:cs="Times New Roman"/>
          <w:noProof/>
          <w:sz w:val="16"/>
          <w:szCs w:val="16"/>
        </w:rPr>
        <w:t>[1]</w:t>
      </w:r>
      <w:r w:rsidR="008A18B3" w:rsidRPr="00107B9E">
        <w:rPr>
          <w:rFonts w:ascii="Times New Roman" w:hAnsi="Times New Roman" w:cs="Times New Roman"/>
          <w:noProof/>
          <w:sz w:val="16"/>
          <w:szCs w:val="16"/>
        </w:rPr>
        <w:tab/>
        <w:t xml:space="preserve">C. White, R. Scott, C. L. Paul, and S. P. Ackland, “Pharmacogenomics in the era of personalised medicine,” </w:t>
      </w:r>
      <w:r w:rsidR="008A18B3" w:rsidRPr="00107B9E">
        <w:rPr>
          <w:rFonts w:ascii="Times New Roman" w:hAnsi="Times New Roman" w:cs="Times New Roman"/>
          <w:i/>
          <w:iCs/>
          <w:noProof/>
          <w:sz w:val="16"/>
          <w:szCs w:val="16"/>
        </w:rPr>
        <w:t>Med. J. Aust.</w:t>
      </w:r>
      <w:r w:rsidR="008A18B3" w:rsidRPr="00107B9E">
        <w:rPr>
          <w:rFonts w:ascii="Times New Roman" w:hAnsi="Times New Roman" w:cs="Times New Roman"/>
          <w:noProof/>
          <w:sz w:val="16"/>
          <w:szCs w:val="16"/>
        </w:rPr>
        <w:t>, vol. 217, no. 10, pp. 510–513, Nov. 2022, doi: 10.5694/mja2.51759.</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w:t>
      </w:r>
      <w:r w:rsidRPr="00107B9E">
        <w:rPr>
          <w:rFonts w:ascii="Times New Roman" w:hAnsi="Times New Roman" w:cs="Times New Roman"/>
          <w:noProof/>
          <w:sz w:val="16"/>
          <w:szCs w:val="16"/>
        </w:rPr>
        <w:tab/>
        <w:t xml:space="preserve">V. Rollinson, R. Turner, and M. Pirmohamed, “Pharmacogenomics for Primary Care: An Overview,” </w:t>
      </w:r>
      <w:r w:rsidRPr="00107B9E">
        <w:rPr>
          <w:rFonts w:ascii="Times New Roman" w:hAnsi="Times New Roman" w:cs="Times New Roman"/>
          <w:i/>
          <w:iCs/>
          <w:noProof/>
          <w:sz w:val="16"/>
          <w:szCs w:val="16"/>
        </w:rPr>
        <w:t>Genes (Basel).</w:t>
      </w:r>
      <w:r w:rsidRPr="00107B9E">
        <w:rPr>
          <w:rFonts w:ascii="Times New Roman" w:hAnsi="Times New Roman" w:cs="Times New Roman"/>
          <w:noProof/>
          <w:sz w:val="16"/>
          <w:szCs w:val="16"/>
        </w:rPr>
        <w:t>, vol. 11, no. 11, p. 1337, Nov. 2020, doi: 10.3390/genes11111337.</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w:t>
      </w:r>
      <w:r w:rsidRPr="00107B9E">
        <w:rPr>
          <w:rFonts w:ascii="Times New Roman" w:hAnsi="Times New Roman" w:cs="Times New Roman"/>
          <w:noProof/>
          <w:sz w:val="16"/>
          <w:szCs w:val="16"/>
        </w:rPr>
        <w:tab/>
        <w:t xml:space="preserve">M. Del Re, G. Restante, A. Di Paolo, S. Crucitta, E. Rofi, and R. Danesi, “Pharmacogenetics and Metabolism from Science to Implementation in Clinical Practice: The Example of Dihydropyrimidine Dehydrogenase,” </w:t>
      </w:r>
      <w:r w:rsidRPr="00107B9E">
        <w:rPr>
          <w:rFonts w:ascii="Times New Roman" w:hAnsi="Times New Roman" w:cs="Times New Roman"/>
          <w:i/>
          <w:iCs/>
          <w:noProof/>
          <w:sz w:val="16"/>
          <w:szCs w:val="16"/>
        </w:rPr>
        <w:t>Curr. Pharm. Des.</w:t>
      </w:r>
      <w:r w:rsidRPr="00107B9E">
        <w:rPr>
          <w:rFonts w:ascii="Times New Roman" w:hAnsi="Times New Roman" w:cs="Times New Roman"/>
          <w:noProof/>
          <w:sz w:val="16"/>
          <w:szCs w:val="16"/>
        </w:rPr>
        <w:t>, vol. 23, no. 14, May 2017, doi: 10.2174/1381612823666170125155530.</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w:t>
      </w:r>
      <w:r w:rsidRPr="00107B9E">
        <w:rPr>
          <w:rFonts w:ascii="Times New Roman" w:hAnsi="Times New Roman" w:cs="Times New Roman"/>
          <w:noProof/>
          <w:sz w:val="16"/>
          <w:szCs w:val="16"/>
        </w:rPr>
        <w:tab/>
        <w:t xml:space="preserve">J. J. Swen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“Pharmacogenetics: From Bench to Byte— An Update of Guidelines,” </w:t>
      </w:r>
      <w:r w:rsidRPr="00107B9E">
        <w:rPr>
          <w:rFonts w:ascii="Times New Roman" w:hAnsi="Times New Roman" w:cs="Times New Roman"/>
          <w:i/>
          <w:iCs/>
          <w:noProof/>
          <w:sz w:val="16"/>
          <w:szCs w:val="16"/>
        </w:rPr>
        <w:t>Clin. Pharmacol. Ther.</w:t>
      </w:r>
      <w:r w:rsidRPr="00107B9E">
        <w:rPr>
          <w:rFonts w:ascii="Times New Roman" w:hAnsi="Times New Roman" w:cs="Times New Roman"/>
          <w:noProof/>
          <w:sz w:val="16"/>
          <w:szCs w:val="16"/>
        </w:rPr>
        <w:t>, vol. 89, no. 5, pp. 662–673, May 2011, doi: 10.1038/clpt.2011.34.</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[5]</w:t>
      </w:r>
      <w:r w:rsidRPr="00107B9E">
        <w:rPr>
          <w:rFonts w:ascii="Times New Roman" w:hAnsi="Times New Roman" w:cs="Times New Roman"/>
          <w:noProof/>
          <w:sz w:val="16"/>
          <w:szCs w:val="16"/>
        </w:rPr>
        <w:tab/>
        <w:t xml:space="preserve">L. M. Henricks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“A cost analysis of upfront DPYD genotype–guided dose individualisation in fluoropyrimidine-based anticancer therapy,” </w:t>
      </w:r>
      <w:r w:rsidRPr="00107B9E">
        <w:rPr>
          <w:rFonts w:ascii="Times New Roman" w:hAnsi="Times New Roman" w:cs="Times New Roman"/>
          <w:i/>
          <w:iCs/>
          <w:noProof/>
          <w:sz w:val="16"/>
          <w:szCs w:val="16"/>
        </w:rPr>
        <w:t>Eur. J. Cancer</w:t>
      </w:r>
      <w:r w:rsidRPr="00107B9E">
        <w:rPr>
          <w:rFonts w:ascii="Times New Roman" w:hAnsi="Times New Roman" w:cs="Times New Roman"/>
          <w:noProof/>
          <w:sz w:val="16"/>
          <w:szCs w:val="16"/>
        </w:rPr>
        <w:t>, vol. 107, pp. 60–67, Jan. 2019, doi: 10.1016/j.ejca.2018.11.010.</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[6]</w:t>
      </w:r>
      <w:r w:rsidRPr="00107B9E">
        <w:rPr>
          <w:rFonts w:ascii="Times New Roman" w:hAnsi="Times New Roman" w:cs="Times New Roman"/>
          <w:noProof/>
          <w:sz w:val="16"/>
          <w:szCs w:val="16"/>
        </w:rPr>
        <w:tab/>
        <w:t xml:space="preserve">L. H. Goetz and N. J. Schork, “Personalized medicine: motivation, challenges, and progress,” </w:t>
      </w:r>
      <w:r w:rsidRPr="00107B9E">
        <w:rPr>
          <w:rFonts w:ascii="Times New Roman" w:hAnsi="Times New Roman" w:cs="Times New Roman"/>
          <w:i/>
          <w:iCs/>
          <w:noProof/>
          <w:sz w:val="16"/>
          <w:szCs w:val="16"/>
        </w:rPr>
        <w:t>Fertil. Steril.</w:t>
      </w:r>
      <w:r w:rsidRPr="00107B9E">
        <w:rPr>
          <w:rFonts w:ascii="Times New Roman" w:hAnsi="Times New Roman" w:cs="Times New Roman"/>
          <w:noProof/>
          <w:sz w:val="16"/>
          <w:szCs w:val="16"/>
        </w:rPr>
        <w:t>, vol. 109, no. 6, pp. 952–963, Jun. 2018, doi: 10.1016/j.fertnstert.2018.05.006.</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[7]</w:t>
      </w:r>
      <w:r w:rsidRPr="00107B9E">
        <w:rPr>
          <w:rFonts w:ascii="Times New Roman" w:hAnsi="Times New Roman" w:cs="Times New Roman"/>
          <w:noProof/>
          <w:sz w:val="16"/>
          <w:szCs w:val="16"/>
        </w:rPr>
        <w:tab/>
        <w:t xml:space="preserve">K. R. Crews, J. K. Hicks, C.-H. Pui, M. V Relling, and W. E. Evans, “Pharmacogenomics and Individualized Medicine: Translating Science Into Practice,” </w:t>
      </w:r>
      <w:r w:rsidRPr="00107B9E">
        <w:rPr>
          <w:rFonts w:ascii="Times New Roman" w:hAnsi="Times New Roman" w:cs="Times New Roman"/>
          <w:i/>
          <w:iCs/>
          <w:noProof/>
          <w:sz w:val="16"/>
          <w:szCs w:val="16"/>
        </w:rPr>
        <w:t>Clin. Pharmacol. Ther.</w:t>
      </w:r>
      <w:r w:rsidRPr="00107B9E">
        <w:rPr>
          <w:rFonts w:ascii="Times New Roman" w:hAnsi="Times New Roman" w:cs="Times New Roman"/>
          <w:noProof/>
          <w:sz w:val="16"/>
          <w:szCs w:val="16"/>
        </w:rPr>
        <w:t>, Sep. 2012, doi: 10.1038/clpt.2012.120.</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[8]</w:t>
      </w:r>
      <w:r w:rsidRPr="00107B9E">
        <w:rPr>
          <w:rFonts w:ascii="Times New Roman" w:hAnsi="Times New Roman" w:cs="Times New Roman"/>
          <w:noProof/>
          <w:sz w:val="16"/>
          <w:szCs w:val="16"/>
        </w:rPr>
        <w:tab/>
        <w:t xml:space="preserve">E. Micaglio, E. T. Locati, M. M. Monasky, F. Romani, F. Heilbron, and C. Pappone, “Role of Pharmacogenetics in Adverse Drug Reactions: An Update towards Personalized Medicine,” </w:t>
      </w:r>
      <w:r w:rsidRPr="00107B9E">
        <w:rPr>
          <w:rFonts w:ascii="Times New Roman" w:hAnsi="Times New Roman" w:cs="Times New Roman"/>
          <w:i/>
          <w:iCs/>
          <w:noProof/>
          <w:sz w:val="16"/>
          <w:szCs w:val="16"/>
        </w:rPr>
        <w:t>Front. Pharmacol.</w:t>
      </w:r>
      <w:r w:rsidRPr="00107B9E">
        <w:rPr>
          <w:rFonts w:ascii="Times New Roman" w:hAnsi="Times New Roman" w:cs="Times New Roman"/>
          <w:noProof/>
          <w:sz w:val="16"/>
          <w:szCs w:val="16"/>
        </w:rPr>
        <w:t>, vol. 12, Apr. 2021, doi: 10.3389/fphar.2021.651720.</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[9]</w:t>
      </w:r>
      <w:r w:rsidRPr="00107B9E">
        <w:rPr>
          <w:rFonts w:ascii="Times New Roman" w:hAnsi="Times New Roman" w:cs="Times New Roman"/>
          <w:noProof/>
          <w:sz w:val="16"/>
          <w:szCs w:val="16"/>
        </w:rPr>
        <w:tab/>
        <w:t xml:space="preserve">C. Adithan, A. Surendiran, and S. Pradhan, “Role of pharmacogenomics in drug discovery and development,” </w:t>
      </w:r>
      <w:r w:rsidRPr="00107B9E">
        <w:rPr>
          <w:rFonts w:ascii="Times New Roman" w:hAnsi="Times New Roman" w:cs="Times New Roman"/>
          <w:i/>
          <w:iCs/>
          <w:noProof/>
          <w:sz w:val="16"/>
          <w:szCs w:val="16"/>
        </w:rPr>
        <w:t>Indian J. Pharmacol.</w:t>
      </w:r>
      <w:r w:rsidRPr="00107B9E">
        <w:rPr>
          <w:rFonts w:ascii="Times New Roman" w:hAnsi="Times New Roman" w:cs="Times New Roman"/>
          <w:noProof/>
          <w:sz w:val="16"/>
          <w:szCs w:val="16"/>
        </w:rPr>
        <w:t>, vol. 40, no. 4, p. 137, 2008, doi: 10.4103/0253-7613.43158.</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[10]</w:t>
      </w:r>
      <w:r w:rsidRPr="00107B9E">
        <w:rPr>
          <w:rFonts w:ascii="Times New Roman" w:hAnsi="Times New Roman" w:cs="Times New Roman"/>
          <w:noProof/>
          <w:sz w:val="16"/>
          <w:szCs w:val="16"/>
        </w:rPr>
        <w:tab/>
        <w:t xml:space="preserve">M. R. Hoehe and T. Kroslak, “Genetic variation and pharmacogenomics: concepts, facts, and challenges,” </w:t>
      </w:r>
      <w:r w:rsidRPr="00107B9E">
        <w:rPr>
          <w:rFonts w:ascii="Times New Roman" w:hAnsi="Times New Roman" w:cs="Times New Roman"/>
          <w:i/>
          <w:iCs/>
          <w:noProof/>
          <w:sz w:val="16"/>
          <w:szCs w:val="16"/>
        </w:rPr>
        <w:t>Dialogues Clin. Neurosci.</w:t>
      </w:r>
      <w:r w:rsidRPr="00107B9E">
        <w:rPr>
          <w:rFonts w:ascii="Times New Roman" w:hAnsi="Times New Roman" w:cs="Times New Roman"/>
          <w:noProof/>
          <w:sz w:val="16"/>
          <w:szCs w:val="16"/>
        </w:rPr>
        <w:t>, vol. 6, no. 1, pp. 5–26, Mar. 2004, doi: 10.31887/DCNS.2004.6.1/mhoehe.</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[11]</w:t>
      </w:r>
      <w:r w:rsidRPr="00107B9E">
        <w:rPr>
          <w:rFonts w:ascii="Times New Roman" w:hAnsi="Times New Roman" w:cs="Times New Roman"/>
          <w:noProof/>
          <w:sz w:val="16"/>
          <w:szCs w:val="16"/>
        </w:rPr>
        <w:tab/>
        <w:t xml:space="preserve">F. S. Collins, M. S. Guyer, and A. Chakravarti, “Variations on a Theme: Cataloging Human DNA Sequence Variation,” </w:t>
      </w:r>
      <w:r w:rsidRPr="00107B9E">
        <w:rPr>
          <w:rFonts w:ascii="Times New Roman" w:hAnsi="Times New Roman" w:cs="Times New Roman"/>
          <w:i/>
          <w:iCs/>
          <w:noProof/>
          <w:sz w:val="16"/>
          <w:szCs w:val="16"/>
        </w:rPr>
        <w:t>Science (80-. ).</w:t>
      </w:r>
      <w:r w:rsidRPr="00107B9E">
        <w:rPr>
          <w:rFonts w:ascii="Times New Roman" w:hAnsi="Times New Roman" w:cs="Times New Roman"/>
          <w:noProof/>
          <w:sz w:val="16"/>
          <w:szCs w:val="16"/>
        </w:rPr>
        <w:t>, vol. 278, no. 5343, pp. 1580–1581, Nov. 1997, doi: 10.1126/science.278.5343.1580.</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[12]</w:t>
      </w:r>
      <w:r w:rsidRPr="00107B9E">
        <w:rPr>
          <w:rFonts w:ascii="Times New Roman" w:hAnsi="Times New Roman" w:cs="Times New Roman"/>
          <w:noProof/>
          <w:sz w:val="16"/>
          <w:szCs w:val="16"/>
        </w:rPr>
        <w:tab/>
        <w:t xml:space="preserve">R. Sachidanandam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“A map of human genome sequence variation containing 1.42 million single nucleotide polymorphisms,” </w:t>
      </w:r>
      <w:r w:rsidRPr="00107B9E">
        <w:rPr>
          <w:rFonts w:ascii="Times New Roman" w:hAnsi="Times New Roman" w:cs="Times New Roman"/>
          <w:i/>
          <w:iCs/>
          <w:noProof/>
          <w:sz w:val="16"/>
          <w:szCs w:val="16"/>
        </w:rPr>
        <w:t>Nature</w:t>
      </w:r>
      <w:r w:rsidRPr="00107B9E">
        <w:rPr>
          <w:rFonts w:ascii="Times New Roman" w:hAnsi="Times New Roman" w:cs="Times New Roman"/>
          <w:noProof/>
          <w:sz w:val="16"/>
          <w:szCs w:val="16"/>
        </w:rPr>
        <w:t>, vol. 409, no. 6822, pp. 928–933, Feb. 2001, doi: 10.1038/35057149.</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[13]</w:t>
      </w:r>
      <w:r w:rsidRPr="00107B9E">
        <w:rPr>
          <w:rFonts w:ascii="Times New Roman" w:hAnsi="Times New Roman" w:cs="Times New Roman"/>
          <w:noProof/>
          <w:sz w:val="16"/>
          <w:szCs w:val="16"/>
        </w:rPr>
        <w:tab/>
        <w:t xml:space="preserve">M. Pirmohamed, “Pharmacogenetics and pharmacogenomics,” </w:t>
      </w:r>
      <w:r w:rsidRPr="00107B9E">
        <w:rPr>
          <w:rFonts w:ascii="Times New Roman" w:hAnsi="Times New Roman" w:cs="Times New Roman"/>
          <w:i/>
          <w:iCs/>
          <w:noProof/>
          <w:sz w:val="16"/>
          <w:szCs w:val="16"/>
        </w:rPr>
        <w:t>Br. J. Clin. Pharmacol.</w:t>
      </w:r>
      <w:r w:rsidRPr="00107B9E">
        <w:rPr>
          <w:rFonts w:ascii="Times New Roman" w:hAnsi="Times New Roman" w:cs="Times New Roman"/>
          <w:noProof/>
          <w:sz w:val="16"/>
          <w:szCs w:val="16"/>
        </w:rPr>
        <w:t>, vol. 52, no. 4, pp. 345–347, Oct. 2001, doi: 10.1046/j.0306-5251.2001.01498.x.</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[14]</w:t>
      </w:r>
      <w:r w:rsidRPr="00107B9E">
        <w:rPr>
          <w:rFonts w:ascii="Times New Roman" w:hAnsi="Times New Roman" w:cs="Times New Roman"/>
          <w:noProof/>
          <w:sz w:val="16"/>
          <w:szCs w:val="16"/>
        </w:rPr>
        <w:tab/>
        <w:t xml:space="preserve">M. Obeidat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“The pharmacogenomics of inhaled corticosteroids and lung function decline in COPD,” </w:t>
      </w:r>
      <w:r w:rsidRPr="00107B9E">
        <w:rPr>
          <w:rFonts w:ascii="Times New Roman" w:hAnsi="Times New Roman" w:cs="Times New Roman"/>
          <w:i/>
          <w:iCs/>
          <w:noProof/>
          <w:sz w:val="16"/>
          <w:szCs w:val="16"/>
        </w:rPr>
        <w:t>Eur. Respir. J.</w:t>
      </w:r>
      <w:r w:rsidRPr="00107B9E">
        <w:rPr>
          <w:rFonts w:ascii="Times New Roman" w:hAnsi="Times New Roman" w:cs="Times New Roman"/>
          <w:noProof/>
          <w:sz w:val="16"/>
          <w:szCs w:val="16"/>
        </w:rPr>
        <w:t>, vol. 54, no. 6, p. 1900521, Dec. 2019, doi: 10.1183/13993003.00521-2019.</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[15]</w:t>
      </w:r>
      <w:r w:rsidRPr="00107B9E">
        <w:rPr>
          <w:rFonts w:ascii="Times New Roman" w:hAnsi="Times New Roman" w:cs="Times New Roman"/>
          <w:noProof/>
          <w:sz w:val="16"/>
          <w:szCs w:val="16"/>
        </w:rPr>
        <w:tab/>
        <w:t xml:space="preserve">R. Yelensky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“A pharmacogenetic study of ADRB2 polymorphisms and indacaterol response in COPD patients,” </w:t>
      </w:r>
      <w:r w:rsidRPr="00107B9E">
        <w:rPr>
          <w:rFonts w:ascii="Times New Roman" w:hAnsi="Times New Roman" w:cs="Times New Roman"/>
          <w:i/>
          <w:iCs/>
          <w:noProof/>
          <w:sz w:val="16"/>
          <w:szCs w:val="16"/>
        </w:rPr>
        <w:t>Pharmacogenomics J.</w:t>
      </w:r>
      <w:r w:rsidRPr="00107B9E">
        <w:rPr>
          <w:rFonts w:ascii="Times New Roman" w:hAnsi="Times New Roman" w:cs="Times New Roman"/>
          <w:noProof/>
          <w:sz w:val="16"/>
          <w:szCs w:val="16"/>
        </w:rPr>
        <w:t>, vol. 12, no. 6, pp. 484–488, Dec. 2012, doi: 10.1038/tpj.2011.54.</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[16]</w:t>
      </w:r>
      <w:r w:rsidRPr="00107B9E">
        <w:rPr>
          <w:rFonts w:ascii="Times New Roman" w:hAnsi="Times New Roman" w:cs="Times New Roman"/>
          <w:noProof/>
          <w:sz w:val="16"/>
          <w:szCs w:val="16"/>
        </w:rPr>
        <w:tab/>
        <w:t xml:space="preserve">W. Lee, A. C. Lockhart, R. B. Kim, and M. L. Rothenberg, “Cancer Pharmacogenomics: Powerful Tools in Cancer Chemotherapy and Drug Development,” </w:t>
      </w:r>
      <w:r w:rsidRPr="00107B9E">
        <w:rPr>
          <w:rFonts w:ascii="Times New Roman" w:hAnsi="Times New Roman" w:cs="Times New Roman"/>
          <w:i/>
          <w:iCs/>
          <w:noProof/>
          <w:sz w:val="16"/>
          <w:szCs w:val="16"/>
        </w:rPr>
        <w:t>Oncologist</w:t>
      </w:r>
      <w:r w:rsidRPr="00107B9E">
        <w:rPr>
          <w:rFonts w:ascii="Times New Roman" w:hAnsi="Times New Roman" w:cs="Times New Roman"/>
          <w:noProof/>
          <w:sz w:val="16"/>
          <w:szCs w:val="16"/>
        </w:rPr>
        <w:t>, vol. 10, no. 2, pp. 104–111, Feb. 2005, doi: 10.1634/theoncologist.10-2-104.</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[17]</w:t>
      </w:r>
      <w:r w:rsidRPr="00107B9E">
        <w:rPr>
          <w:rFonts w:ascii="Times New Roman" w:hAnsi="Times New Roman" w:cs="Times New Roman"/>
          <w:noProof/>
          <w:sz w:val="16"/>
          <w:szCs w:val="16"/>
        </w:rPr>
        <w:tab/>
        <w:t xml:space="preserve">H. E. Wheeler, M. L. Maitland, M. E. Dolan, N. J. Cox, and M. J. Ratain, “Cancer pharmacogenomics: strategies and challenges,” </w:t>
      </w:r>
      <w:r w:rsidRPr="00107B9E">
        <w:rPr>
          <w:rFonts w:ascii="Times New Roman" w:hAnsi="Times New Roman" w:cs="Times New Roman"/>
          <w:i/>
          <w:iCs/>
          <w:noProof/>
          <w:sz w:val="16"/>
          <w:szCs w:val="16"/>
        </w:rPr>
        <w:t>Nat. Rev. Genet.</w:t>
      </w:r>
      <w:r w:rsidRPr="00107B9E">
        <w:rPr>
          <w:rFonts w:ascii="Times New Roman" w:hAnsi="Times New Roman" w:cs="Times New Roman"/>
          <w:noProof/>
          <w:sz w:val="16"/>
          <w:szCs w:val="16"/>
        </w:rPr>
        <w:t>, vol. 14, no. 1, pp. 23–34, Jan. 2013, doi: 10.1038/nrg3352.</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[18]</w:t>
      </w:r>
      <w:r w:rsidRPr="00107B9E">
        <w:rPr>
          <w:rFonts w:ascii="Times New Roman" w:hAnsi="Times New Roman" w:cs="Times New Roman"/>
          <w:noProof/>
          <w:sz w:val="16"/>
          <w:szCs w:val="16"/>
        </w:rPr>
        <w:tab/>
        <w:t xml:space="preserve">J. Cairns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“Pharmacogenomics of aromatase inhibitors in postmenopausal breast cancer and additional mechanisms of anastrozole action,” </w:t>
      </w:r>
      <w:r w:rsidRPr="00107B9E">
        <w:rPr>
          <w:rFonts w:ascii="Times New Roman" w:hAnsi="Times New Roman" w:cs="Times New Roman"/>
          <w:i/>
          <w:iCs/>
          <w:noProof/>
          <w:sz w:val="16"/>
          <w:szCs w:val="16"/>
        </w:rPr>
        <w:t>JCI Insight</w:t>
      </w:r>
      <w:r w:rsidRPr="00107B9E">
        <w:rPr>
          <w:rFonts w:ascii="Times New Roman" w:hAnsi="Times New Roman" w:cs="Times New Roman"/>
          <w:noProof/>
          <w:sz w:val="16"/>
          <w:szCs w:val="16"/>
        </w:rPr>
        <w:t>, vol. 5, no. 16, Aug. 2020, doi: 10.1172/jci.insight.137571.</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[19]</w:t>
      </w:r>
      <w:r w:rsidRPr="00107B9E">
        <w:rPr>
          <w:rFonts w:ascii="Times New Roman" w:hAnsi="Times New Roman" w:cs="Times New Roman"/>
          <w:noProof/>
          <w:sz w:val="16"/>
          <w:szCs w:val="16"/>
        </w:rPr>
        <w:tab/>
        <w:t xml:space="preserve">L. Padgett, S. O’Connor, M. Roederer, H. McLeod, and S. Ferreri, “Pharmacogenomics in a community pharmacy: ACT now,” </w:t>
      </w:r>
      <w:r w:rsidRPr="00107B9E">
        <w:rPr>
          <w:rFonts w:ascii="Times New Roman" w:hAnsi="Times New Roman" w:cs="Times New Roman"/>
          <w:i/>
          <w:iCs/>
          <w:noProof/>
          <w:sz w:val="16"/>
          <w:szCs w:val="16"/>
        </w:rPr>
        <w:t>J. Am. Pharm. Assoc.</w:t>
      </w:r>
      <w:r w:rsidRPr="00107B9E">
        <w:rPr>
          <w:rFonts w:ascii="Times New Roman" w:hAnsi="Times New Roman" w:cs="Times New Roman"/>
          <w:noProof/>
          <w:sz w:val="16"/>
          <w:szCs w:val="16"/>
        </w:rPr>
        <w:t>, vol. 51, no. 2, pp. 189–193, Mar. 2011, doi: 10.1331/JAPhA.2011.10178.</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[20]</w:t>
      </w:r>
      <w:r w:rsidRPr="00107B9E">
        <w:rPr>
          <w:rFonts w:ascii="Times New Roman" w:hAnsi="Times New Roman" w:cs="Times New Roman"/>
          <w:noProof/>
          <w:sz w:val="16"/>
          <w:szCs w:val="16"/>
        </w:rPr>
        <w:tab/>
        <w:t xml:space="preserve">S. P. Ferreri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“Implementation of a pharmacogenomics service in a community pharmacy,” </w:t>
      </w:r>
      <w:r w:rsidRPr="00107B9E">
        <w:rPr>
          <w:rFonts w:ascii="Times New Roman" w:hAnsi="Times New Roman" w:cs="Times New Roman"/>
          <w:i/>
          <w:iCs/>
          <w:noProof/>
          <w:sz w:val="16"/>
          <w:szCs w:val="16"/>
        </w:rPr>
        <w:t>J. Am. Pharm. Assoc.</w:t>
      </w:r>
      <w:r w:rsidRPr="00107B9E">
        <w:rPr>
          <w:rFonts w:ascii="Times New Roman" w:hAnsi="Times New Roman" w:cs="Times New Roman"/>
          <w:noProof/>
          <w:sz w:val="16"/>
          <w:szCs w:val="16"/>
        </w:rPr>
        <w:t>, vol. 54, no. 2, pp. 172–180, Mar. 2014, doi: 10.1331/JAPhA.2014.13033.</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[21]</w:t>
      </w:r>
      <w:r w:rsidRPr="00107B9E">
        <w:rPr>
          <w:rFonts w:ascii="Times New Roman" w:hAnsi="Times New Roman" w:cs="Times New Roman"/>
          <w:noProof/>
          <w:sz w:val="16"/>
          <w:szCs w:val="16"/>
        </w:rPr>
        <w:tab/>
        <w:t xml:space="preserve">P. Weeke and D. M. Roden, “Pharmacogenomics and Cardiovascular Disease,” </w:t>
      </w:r>
      <w:r w:rsidRPr="00107B9E">
        <w:rPr>
          <w:rFonts w:ascii="Times New Roman" w:hAnsi="Times New Roman" w:cs="Times New Roman"/>
          <w:i/>
          <w:iCs/>
          <w:noProof/>
          <w:sz w:val="16"/>
          <w:szCs w:val="16"/>
        </w:rPr>
        <w:t>Curr. Cardiol. Rep.</w:t>
      </w:r>
      <w:r w:rsidRPr="00107B9E">
        <w:rPr>
          <w:rFonts w:ascii="Times New Roman" w:hAnsi="Times New Roman" w:cs="Times New Roman"/>
          <w:noProof/>
          <w:sz w:val="16"/>
          <w:szCs w:val="16"/>
        </w:rPr>
        <w:t>, vol. 15, no. 7, p. 376, Jul. 2013, doi: 10.1007/s11886-013-0376-0.</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[22]</w:t>
      </w:r>
      <w:r w:rsidRPr="00107B9E">
        <w:rPr>
          <w:rFonts w:ascii="Times New Roman" w:hAnsi="Times New Roman" w:cs="Times New Roman"/>
          <w:noProof/>
          <w:sz w:val="16"/>
          <w:szCs w:val="16"/>
        </w:rPr>
        <w:tab/>
        <w:t xml:space="preserve">L. B. Ramsey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“The Clinical Pharmacogenetics Implementation Consortium Guideline for SLCO1B1 and Simvastatin-Induced Myopathy: 2014 Update,” </w:t>
      </w:r>
      <w:r w:rsidRPr="00107B9E">
        <w:rPr>
          <w:rFonts w:ascii="Times New Roman" w:hAnsi="Times New Roman" w:cs="Times New Roman"/>
          <w:i/>
          <w:iCs/>
          <w:noProof/>
          <w:sz w:val="16"/>
          <w:szCs w:val="16"/>
        </w:rPr>
        <w:t>Clin. Pharmacol. Ther.</w:t>
      </w:r>
      <w:r w:rsidRPr="00107B9E">
        <w:rPr>
          <w:rFonts w:ascii="Times New Roman" w:hAnsi="Times New Roman" w:cs="Times New Roman"/>
          <w:noProof/>
          <w:sz w:val="16"/>
          <w:szCs w:val="16"/>
        </w:rPr>
        <w:t>, vol. 96, no. 4, pp. 423–428, Oct. 2014, doi: 10.1038/clpt.2014.125.</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[23]</w:t>
      </w:r>
      <w:r w:rsidRPr="00107B9E">
        <w:rPr>
          <w:rFonts w:ascii="Times New Roman" w:hAnsi="Times New Roman" w:cs="Times New Roman"/>
          <w:noProof/>
          <w:sz w:val="16"/>
          <w:szCs w:val="16"/>
        </w:rPr>
        <w:tab/>
        <w:t xml:space="preserve">W. Lieb, H. Völzke, J. M. Pulley, D. M. Roden, and H. K. Kroemer, “Strategies for Personalized Medicine–Based Research and Implementation in the Clinical Workflow,” </w:t>
      </w:r>
      <w:r w:rsidRPr="00107B9E">
        <w:rPr>
          <w:rFonts w:ascii="Times New Roman" w:hAnsi="Times New Roman" w:cs="Times New Roman"/>
          <w:i/>
          <w:iCs/>
          <w:noProof/>
          <w:sz w:val="16"/>
          <w:szCs w:val="16"/>
        </w:rPr>
        <w:t>Clin. Pharmacol. Ther.</w:t>
      </w:r>
      <w:r w:rsidRPr="00107B9E">
        <w:rPr>
          <w:rFonts w:ascii="Times New Roman" w:hAnsi="Times New Roman" w:cs="Times New Roman"/>
          <w:noProof/>
          <w:sz w:val="16"/>
          <w:szCs w:val="16"/>
        </w:rPr>
        <w:t>, vol. 92, no. 4, pp. 443–445, Oct. 2012, doi: 10.1038/clpt.2012.119.</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[24]</w:t>
      </w:r>
      <w:r w:rsidRPr="00107B9E">
        <w:rPr>
          <w:rFonts w:ascii="Times New Roman" w:hAnsi="Times New Roman" w:cs="Times New Roman"/>
          <w:noProof/>
          <w:sz w:val="16"/>
          <w:szCs w:val="16"/>
        </w:rPr>
        <w:tab/>
        <w:t xml:space="preserve">L. Quiñones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“Farmacogenómica como herramienta fundamental para la medicina personalizada: aplicaciones en la práctica clínica,” </w:t>
      </w:r>
      <w:r w:rsidRPr="00107B9E">
        <w:rPr>
          <w:rFonts w:ascii="Times New Roman" w:hAnsi="Times New Roman" w:cs="Times New Roman"/>
          <w:i/>
          <w:iCs/>
          <w:noProof/>
          <w:sz w:val="16"/>
          <w:szCs w:val="16"/>
        </w:rPr>
        <w:t>Rev. Med. Chil.</w:t>
      </w:r>
      <w:r w:rsidRPr="00107B9E">
        <w:rPr>
          <w:rFonts w:ascii="Times New Roman" w:hAnsi="Times New Roman" w:cs="Times New Roman"/>
          <w:noProof/>
          <w:sz w:val="16"/>
          <w:szCs w:val="16"/>
        </w:rPr>
        <w:t>, vol. 145, no. 4, pp. 483–500, Apr. 2017, doi: 10.4067/S0034-98872017000400009.</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lastRenderedPageBreak/>
        <w:t>[25]</w:t>
      </w:r>
      <w:r w:rsidRPr="00107B9E">
        <w:rPr>
          <w:rFonts w:ascii="Times New Roman" w:hAnsi="Times New Roman" w:cs="Times New Roman"/>
          <w:noProof/>
          <w:sz w:val="16"/>
          <w:szCs w:val="16"/>
        </w:rPr>
        <w:tab/>
        <w:t xml:space="preserve">D. Lopez, “Pharmacogenetics: An Important Part of Drug Development with A Focus on Its Application,” </w:t>
      </w:r>
      <w:r w:rsidRPr="00107B9E">
        <w:rPr>
          <w:rFonts w:ascii="Times New Roman" w:hAnsi="Times New Roman" w:cs="Times New Roman"/>
          <w:i/>
          <w:iCs/>
          <w:noProof/>
          <w:sz w:val="16"/>
          <w:szCs w:val="16"/>
        </w:rPr>
        <w:t>Int. J. Biomed. Investig.</w:t>
      </w:r>
      <w:r w:rsidRPr="00107B9E">
        <w:rPr>
          <w:rFonts w:ascii="Times New Roman" w:hAnsi="Times New Roman" w:cs="Times New Roman"/>
          <w:noProof/>
          <w:sz w:val="16"/>
          <w:szCs w:val="16"/>
        </w:rPr>
        <w:t>, vol. 1, no. 2, pp. 1–16, Jun. 2018, doi: 10.31531/2581-4745.1000111.</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[26]</w:t>
      </w:r>
      <w:r w:rsidRPr="00107B9E">
        <w:rPr>
          <w:rFonts w:ascii="Times New Roman" w:hAnsi="Times New Roman" w:cs="Times New Roman"/>
          <w:noProof/>
          <w:sz w:val="16"/>
          <w:szCs w:val="16"/>
        </w:rPr>
        <w:tab/>
        <w:t xml:space="preserve">M. Ingelman-Sundberg, S. Mkrtchian, Y. Zhou, and V. M. Lauschke, “Integrating rare genetic variants into pharmacogenetic drug response predictions,” </w:t>
      </w:r>
      <w:r w:rsidRPr="00107B9E">
        <w:rPr>
          <w:rFonts w:ascii="Times New Roman" w:hAnsi="Times New Roman" w:cs="Times New Roman"/>
          <w:i/>
          <w:iCs/>
          <w:noProof/>
          <w:sz w:val="16"/>
          <w:szCs w:val="16"/>
        </w:rPr>
        <w:t>Hum. Genomics</w:t>
      </w:r>
      <w:r w:rsidRPr="00107B9E">
        <w:rPr>
          <w:rFonts w:ascii="Times New Roman" w:hAnsi="Times New Roman" w:cs="Times New Roman"/>
          <w:noProof/>
          <w:sz w:val="16"/>
          <w:szCs w:val="16"/>
        </w:rPr>
        <w:t>, vol. 12, no. 1, p. 26, Dec. 2018, doi: 10.1186/s40246-018-0157-3.</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[27]</w:t>
      </w:r>
      <w:r w:rsidRPr="00107B9E">
        <w:rPr>
          <w:rFonts w:ascii="Times New Roman" w:hAnsi="Times New Roman" w:cs="Times New Roman"/>
          <w:noProof/>
          <w:sz w:val="16"/>
          <w:szCs w:val="16"/>
        </w:rPr>
        <w:tab/>
        <w:t xml:space="preserve">A. Alchakee, M. Ahmed, L. Eldohaji, H. Alhaj, and M. Saber-Ayad, “Pharmacogenomics in Psychiatry Practice: The Value and the Challenges,” </w:t>
      </w:r>
      <w:r w:rsidRPr="00107B9E">
        <w:rPr>
          <w:rFonts w:ascii="Times New Roman" w:hAnsi="Times New Roman" w:cs="Times New Roman"/>
          <w:i/>
          <w:iCs/>
          <w:noProof/>
          <w:sz w:val="16"/>
          <w:szCs w:val="16"/>
        </w:rPr>
        <w:t>Int. J. Mol. Sci.</w:t>
      </w:r>
      <w:r w:rsidRPr="00107B9E">
        <w:rPr>
          <w:rFonts w:ascii="Times New Roman" w:hAnsi="Times New Roman" w:cs="Times New Roman"/>
          <w:noProof/>
          <w:sz w:val="16"/>
          <w:szCs w:val="16"/>
        </w:rPr>
        <w:t>, vol. 23, no. 21, p. 13485, Nov. 2022, doi: 10.3390/ijms232113485.</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[28]</w:t>
      </w:r>
      <w:r w:rsidRPr="00107B9E">
        <w:rPr>
          <w:rFonts w:ascii="Times New Roman" w:hAnsi="Times New Roman" w:cs="Times New Roman"/>
          <w:noProof/>
          <w:sz w:val="16"/>
          <w:szCs w:val="16"/>
        </w:rPr>
        <w:tab/>
        <w:t xml:space="preserve">C. Espinola-Klein, “When and How to Combine Antiplatelet and Anticoagulant Drugs?,” </w:t>
      </w:r>
      <w:r w:rsidRPr="00107B9E">
        <w:rPr>
          <w:rFonts w:ascii="Times New Roman" w:hAnsi="Times New Roman" w:cs="Times New Roman"/>
          <w:i/>
          <w:iCs/>
          <w:noProof/>
          <w:sz w:val="16"/>
          <w:szCs w:val="16"/>
        </w:rPr>
        <w:t>Hamostaseologie</w:t>
      </w:r>
      <w:r w:rsidRPr="00107B9E">
        <w:rPr>
          <w:rFonts w:ascii="Times New Roman" w:hAnsi="Times New Roman" w:cs="Times New Roman"/>
          <w:noProof/>
          <w:sz w:val="16"/>
          <w:szCs w:val="16"/>
        </w:rPr>
        <w:t>, vol. 42, no. 01, pp. 073–079, Feb. 2022, doi: 10.1055/a-1724-4922.</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[29]</w:t>
      </w:r>
      <w:r w:rsidRPr="00107B9E">
        <w:rPr>
          <w:rFonts w:ascii="Times New Roman" w:hAnsi="Times New Roman" w:cs="Times New Roman"/>
          <w:noProof/>
          <w:sz w:val="16"/>
          <w:szCs w:val="16"/>
        </w:rPr>
        <w:tab/>
        <w:t xml:space="preserve">Z. J. Yu, E. P. Mosher, and N. N. Bumpus, “Pharmacogenomics of Antiretroviral Drug Metabolism and Transport,” </w:t>
      </w:r>
      <w:r w:rsidRPr="00107B9E">
        <w:rPr>
          <w:rFonts w:ascii="Times New Roman" w:hAnsi="Times New Roman" w:cs="Times New Roman"/>
          <w:i/>
          <w:iCs/>
          <w:noProof/>
          <w:sz w:val="16"/>
          <w:szCs w:val="16"/>
        </w:rPr>
        <w:t>Annu. Rev. Pharmacol. Toxicol.</w:t>
      </w:r>
      <w:r w:rsidRPr="00107B9E">
        <w:rPr>
          <w:rFonts w:ascii="Times New Roman" w:hAnsi="Times New Roman" w:cs="Times New Roman"/>
          <w:noProof/>
          <w:sz w:val="16"/>
          <w:szCs w:val="16"/>
        </w:rPr>
        <w:t>, vol. 61, no. 1, pp. 565–585, Jan. 2021, doi: 10.1146/annurev-pharmtox-021320-111248.</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[30]</w:t>
      </w:r>
      <w:r w:rsidRPr="00107B9E">
        <w:rPr>
          <w:rFonts w:ascii="Times New Roman" w:hAnsi="Times New Roman" w:cs="Times New Roman"/>
          <w:noProof/>
          <w:sz w:val="16"/>
          <w:szCs w:val="16"/>
        </w:rPr>
        <w:tab/>
        <w:t xml:space="preserve">E. Cecchin and G. Stocco, “Pharmacogenomics and Personalized Medicine,” </w:t>
      </w:r>
      <w:r w:rsidRPr="00107B9E">
        <w:rPr>
          <w:rFonts w:ascii="Times New Roman" w:hAnsi="Times New Roman" w:cs="Times New Roman"/>
          <w:i/>
          <w:iCs/>
          <w:noProof/>
          <w:sz w:val="16"/>
          <w:szCs w:val="16"/>
        </w:rPr>
        <w:t>Genes (Basel).</w:t>
      </w:r>
      <w:r w:rsidRPr="00107B9E">
        <w:rPr>
          <w:rFonts w:ascii="Times New Roman" w:hAnsi="Times New Roman" w:cs="Times New Roman"/>
          <w:noProof/>
          <w:sz w:val="16"/>
          <w:szCs w:val="16"/>
        </w:rPr>
        <w:t>, vol. 11, no. 6, p. 679, Jun. 2020, doi: 10.3390/genes11060679.</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[31]</w:t>
      </w:r>
      <w:r w:rsidRPr="00107B9E">
        <w:rPr>
          <w:rFonts w:ascii="Times New Roman" w:hAnsi="Times New Roman" w:cs="Times New Roman"/>
          <w:noProof/>
          <w:sz w:val="16"/>
          <w:szCs w:val="16"/>
        </w:rPr>
        <w:tab/>
        <w:t xml:space="preserve">Y. Ji, Y. Si, G. A. McMillin, and E. Lyon, “Clinical pharmacogenomics testing in the era of next generation sequencing: challenges and opportunities for precision medicine,” </w:t>
      </w:r>
      <w:r w:rsidRPr="00107B9E">
        <w:rPr>
          <w:rFonts w:ascii="Times New Roman" w:hAnsi="Times New Roman" w:cs="Times New Roman"/>
          <w:i/>
          <w:iCs/>
          <w:noProof/>
          <w:sz w:val="16"/>
          <w:szCs w:val="16"/>
        </w:rPr>
        <w:t>Expert Rev. Mol. Diagn.</w:t>
      </w:r>
      <w:r w:rsidRPr="00107B9E">
        <w:rPr>
          <w:rFonts w:ascii="Times New Roman" w:hAnsi="Times New Roman" w:cs="Times New Roman"/>
          <w:noProof/>
          <w:sz w:val="16"/>
          <w:szCs w:val="16"/>
        </w:rPr>
        <w:t>, vol. 18, no. 5, pp. 411–421, May 2018, doi: 10.1080/14737159.2018.1461561.</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[32]</w:t>
      </w:r>
      <w:r w:rsidRPr="00107B9E">
        <w:rPr>
          <w:rFonts w:ascii="Times New Roman" w:hAnsi="Times New Roman" w:cs="Times New Roman"/>
          <w:noProof/>
          <w:sz w:val="16"/>
          <w:szCs w:val="16"/>
        </w:rPr>
        <w:tab/>
        <w:t xml:space="preserve">A. M. Rahmani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“Artificial intelligence approaches and mechanisms for big data analytics: a systematic study,” </w:t>
      </w:r>
      <w:r w:rsidRPr="00107B9E">
        <w:rPr>
          <w:rFonts w:ascii="Times New Roman" w:hAnsi="Times New Roman" w:cs="Times New Roman"/>
          <w:i/>
          <w:iCs/>
          <w:noProof/>
          <w:sz w:val="16"/>
          <w:szCs w:val="16"/>
        </w:rPr>
        <w:t>PeerJ Comput. Sci.</w:t>
      </w:r>
      <w:r w:rsidRPr="00107B9E">
        <w:rPr>
          <w:rFonts w:ascii="Times New Roman" w:hAnsi="Times New Roman" w:cs="Times New Roman"/>
          <w:noProof/>
          <w:sz w:val="16"/>
          <w:szCs w:val="16"/>
        </w:rPr>
        <w:t>, vol. 7, p. e488, Apr. 2021, doi: 10.7717/peerj-cs.488.</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[33]</w:t>
      </w:r>
      <w:r w:rsidRPr="00107B9E">
        <w:rPr>
          <w:rFonts w:ascii="Times New Roman" w:hAnsi="Times New Roman" w:cs="Times New Roman"/>
          <w:noProof/>
          <w:sz w:val="16"/>
          <w:szCs w:val="16"/>
        </w:rPr>
        <w:tab/>
        <w:t xml:space="preserve">J. O’Shea, M. Ledwidge, J. Gallagher, C. Keenan, and C. Ryan, “Pharmacogenetic interventions to improve outcomes in patients with multimorbidity or prescribed polypharmacy: a systematic review,” </w:t>
      </w:r>
      <w:r w:rsidRPr="00107B9E">
        <w:rPr>
          <w:rFonts w:ascii="Times New Roman" w:hAnsi="Times New Roman" w:cs="Times New Roman"/>
          <w:i/>
          <w:iCs/>
          <w:noProof/>
          <w:sz w:val="16"/>
          <w:szCs w:val="16"/>
        </w:rPr>
        <w:t>Pharmacogenomics J.</w:t>
      </w:r>
      <w:r w:rsidRPr="00107B9E">
        <w:rPr>
          <w:rFonts w:ascii="Times New Roman" w:hAnsi="Times New Roman" w:cs="Times New Roman"/>
          <w:noProof/>
          <w:sz w:val="16"/>
          <w:szCs w:val="16"/>
        </w:rPr>
        <w:t>, vol. 22, no. 2, pp. 89–99, Mar. 2022, doi: 10.1038/s41397-021-00260-6.</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[34]</w:t>
      </w:r>
      <w:r w:rsidRPr="00107B9E">
        <w:rPr>
          <w:rFonts w:ascii="Times New Roman" w:hAnsi="Times New Roman" w:cs="Times New Roman"/>
          <w:noProof/>
          <w:sz w:val="16"/>
          <w:szCs w:val="16"/>
        </w:rPr>
        <w:tab/>
        <w:t xml:space="preserve">E. B. Tata, M. A. Ambele, and M. S. Pepper, “Barriers to Implementing Clinical Pharmacogenetics Testing in Sub-Saharan Africa. A Critical Review,” </w:t>
      </w:r>
      <w:r w:rsidRPr="00107B9E">
        <w:rPr>
          <w:rFonts w:ascii="Times New Roman" w:hAnsi="Times New Roman" w:cs="Times New Roman"/>
          <w:i/>
          <w:iCs/>
          <w:noProof/>
          <w:sz w:val="16"/>
          <w:szCs w:val="16"/>
        </w:rPr>
        <w:t>Pharmaceutics</w:t>
      </w:r>
      <w:r w:rsidRPr="00107B9E">
        <w:rPr>
          <w:rFonts w:ascii="Times New Roman" w:hAnsi="Times New Roman" w:cs="Times New Roman"/>
          <w:noProof/>
          <w:sz w:val="16"/>
          <w:szCs w:val="16"/>
        </w:rPr>
        <w:t>, vol. 12, no. 9, p. 809, Aug. 2020, doi: 10.3390/pharmaceutics12090809.</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[35]</w:t>
      </w:r>
      <w:r w:rsidRPr="00107B9E">
        <w:rPr>
          <w:rFonts w:ascii="Times New Roman" w:hAnsi="Times New Roman" w:cs="Times New Roman"/>
          <w:noProof/>
          <w:sz w:val="16"/>
          <w:szCs w:val="16"/>
        </w:rPr>
        <w:tab/>
        <w:t xml:space="preserve">H. Abdullah-Koolmees, A. M. van Keulen, M. Nijenhuis, and V. H. M. Deneer, “Pharmacogenetics Guidelines: Overview and Comparison of the DPWG, CPIC, CPNDS, and RNPGx Guidelines,” </w:t>
      </w:r>
      <w:r w:rsidRPr="00107B9E">
        <w:rPr>
          <w:rFonts w:ascii="Times New Roman" w:hAnsi="Times New Roman" w:cs="Times New Roman"/>
          <w:i/>
          <w:iCs/>
          <w:noProof/>
          <w:sz w:val="16"/>
          <w:szCs w:val="16"/>
        </w:rPr>
        <w:t>Front. Pharmacol.</w:t>
      </w:r>
      <w:r w:rsidRPr="00107B9E">
        <w:rPr>
          <w:rFonts w:ascii="Times New Roman" w:hAnsi="Times New Roman" w:cs="Times New Roman"/>
          <w:noProof/>
          <w:sz w:val="16"/>
          <w:szCs w:val="16"/>
        </w:rPr>
        <w:t>, vol. 11, Jan. 2021, doi: 10.3389/fphar.2020.595219.</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[36]</w:t>
      </w:r>
      <w:r w:rsidRPr="00107B9E">
        <w:rPr>
          <w:rFonts w:ascii="Times New Roman" w:hAnsi="Times New Roman" w:cs="Times New Roman"/>
          <w:noProof/>
          <w:sz w:val="16"/>
          <w:szCs w:val="16"/>
        </w:rPr>
        <w:tab/>
        <w:t xml:space="preserve">F. Schreeck, G. Ahne, R. Tremmel, E. Schaeffeler, and M. Schwab, “Pharmacogenomics in pediatric medicine and drug development,” </w:t>
      </w:r>
      <w:r w:rsidRPr="00107B9E">
        <w:rPr>
          <w:rFonts w:ascii="Times New Roman" w:hAnsi="Times New Roman" w:cs="Times New Roman"/>
          <w:i/>
          <w:iCs/>
          <w:noProof/>
          <w:sz w:val="16"/>
          <w:szCs w:val="16"/>
        </w:rPr>
        <w:t>Pharmacogenomics</w:t>
      </w:r>
      <w:r w:rsidRPr="00107B9E">
        <w:rPr>
          <w:rFonts w:ascii="Times New Roman" w:hAnsi="Times New Roman" w:cs="Times New Roman"/>
          <w:noProof/>
          <w:sz w:val="16"/>
          <w:szCs w:val="16"/>
        </w:rPr>
        <w:t>, vol. 23, no. 13, pp. 709–712, Aug. 2022, doi: 10.2217/pgs-2022-0105.</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[37]</w:t>
      </w:r>
      <w:r w:rsidRPr="00107B9E">
        <w:rPr>
          <w:rFonts w:ascii="Times New Roman" w:hAnsi="Times New Roman" w:cs="Times New Roman"/>
          <w:noProof/>
          <w:sz w:val="16"/>
          <w:szCs w:val="16"/>
        </w:rPr>
        <w:tab/>
        <w:t xml:space="preserve">M. Hijikata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“Influence of the polymorphism of the DUSP14 gene on the expression of immune-related genes and development of pulmonary tuberculosis,” </w:t>
      </w:r>
      <w:r w:rsidRPr="00107B9E">
        <w:rPr>
          <w:rFonts w:ascii="Times New Roman" w:hAnsi="Times New Roman" w:cs="Times New Roman"/>
          <w:i/>
          <w:iCs/>
          <w:noProof/>
          <w:sz w:val="16"/>
          <w:szCs w:val="16"/>
        </w:rPr>
        <w:t>Genes Immun.</w:t>
      </w:r>
      <w:r w:rsidRPr="00107B9E">
        <w:rPr>
          <w:rFonts w:ascii="Times New Roman" w:hAnsi="Times New Roman" w:cs="Times New Roman"/>
          <w:noProof/>
          <w:sz w:val="16"/>
          <w:szCs w:val="16"/>
        </w:rPr>
        <w:t>, vol. 17, no. 4, pp. 207–212, Jun. 2016, doi: 10.1038/gene.2016.11.</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[38]</w:t>
      </w:r>
      <w:r w:rsidRPr="00107B9E">
        <w:rPr>
          <w:rFonts w:ascii="Times New Roman" w:hAnsi="Times New Roman" w:cs="Times New Roman"/>
          <w:noProof/>
          <w:sz w:val="16"/>
          <w:szCs w:val="16"/>
        </w:rPr>
        <w:tab/>
        <w:t xml:space="preserve">S. Gupta and V. Jhawat, “Quality by design (QbD) approach of pharmacogenomics in drug designing and formulation development for optimization of drug delivery systems,” </w:t>
      </w:r>
      <w:r w:rsidRPr="00107B9E">
        <w:rPr>
          <w:rFonts w:ascii="Times New Roman" w:hAnsi="Times New Roman" w:cs="Times New Roman"/>
          <w:i/>
          <w:iCs/>
          <w:noProof/>
          <w:sz w:val="16"/>
          <w:szCs w:val="16"/>
        </w:rPr>
        <w:t>J. Control. Release</w:t>
      </w:r>
      <w:r w:rsidRPr="00107B9E">
        <w:rPr>
          <w:rFonts w:ascii="Times New Roman" w:hAnsi="Times New Roman" w:cs="Times New Roman"/>
          <w:noProof/>
          <w:sz w:val="16"/>
          <w:szCs w:val="16"/>
        </w:rPr>
        <w:t>, vol. 245, pp. 15–26, Jan. 2017, doi: 10.1016/j.jconrel.2016.11.018.</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[39]</w:t>
      </w:r>
      <w:r w:rsidRPr="00107B9E">
        <w:rPr>
          <w:rFonts w:ascii="Times New Roman" w:hAnsi="Times New Roman" w:cs="Times New Roman"/>
          <w:noProof/>
          <w:sz w:val="16"/>
          <w:szCs w:val="16"/>
        </w:rPr>
        <w:tab/>
        <w:t xml:space="preserve">L. Tremaine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“The role of ADME pharmacogenomics in early clinical trials: perspective of the Industry Pharmacogenomics Working Group (I-PWG),” </w:t>
      </w:r>
      <w:r w:rsidRPr="00107B9E">
        <w:rPr>
          <w:rFonts w:ascii="Times New Roman" w:hAnsi="Times New Roman" w:cs="Times New Roman"/>
          <w:i/>
          <w:iCs/>
          <w:noProof/>
          <w:sz w:val="16"/>
          <w:szCs w:val="16"/>
        </w:rPr>
        <w:t>Pharmacogenomics</w:t>
      </w:r>
      <w:r w:rsidRPr="00107B9E">
        <w:rPr>
          <w:rFonts w:ascii="Times New Roman" w:hAnsi="Times New Roman" w:cs="Times New Roman"/>
          <w:noProof/>
          <w:sz w:val="16"/>
          <w:szCs w:val="16"/>
        </w:rPr>
        <w:t>, vol. 16, no. 18, pp. 2055–2067, Dec. 2015, doi: 10.2217/pgs.15.141.</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[40]</w:t>
      </w:r>
      <w:r w:rsidRPr="00107B9E">
        <w:rPr>
          <w:rFonts w:ascii="Times New Roman" w:hAnsi="Times New Roman" w:cs="Times New Roman"/>
          <w:noProof/>
          <w:sz w:val="16"/>
          <w:szCs w:val="16"/>
        </w:rPr>
        <w:tab/>
        <w:t xml:space="preserve">B. Mittal, S. Tulsyan, and R. Mittal, “The effect of ABCB1 polymorphisms on the outcome of breast cancer treatment,” </w:t>
      </w:r>
      <w:r w:rsidRPr="00107B9E">
        <w:rPr>
          <w:rFonts w:ascii="Times New Roman" w:hAnsi="Times New Roman" w:cs="Times New Roman"/>
          <w:i/>
          <w:iCs/>
          <w:noProof/>
          <w:sz w:val="16"/>
          <w:szCs w:val="16"/>
        </w:rPr>
        <w:t>Pharmgenomics. Pers. Med.</w:t>
      </w:r>
      <w:r w:rsidRPr="00107B9E">
        <w:rPr>
          <w:rFonts w:ascii="Times New Roman" w:hAnsi="Times New Roman" w:cs="Times New Roman"/>
          <w:noProof/>
          <w:sz w:val="16"/>
          <w:szCs w:val="16"/>
        </w:rPr>
        <w:t>, p. 47, Apr. 2016, doi: 10.2147/PGPM.S86672.</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[41]</w:t>
      </w:r>
      <w:r w:rsidRPr="00107B9E">
        <w:rPr>
          <w:rFonts w:ascii="Times New Roman" w:hAnsi="Times New Roman" w:cs="Times New Roman"/>
          <w:noProof/>
          <w:sz w:val="16"/>
          <w:szCs w:val="16"/>
        </w:rPr>
        <w:tab/>
        <w:t xml:space="preserve">R. Pranavchand and M. Reddy, “Genomics era and complex disorders: Implications of GWAS with special reference to coronary artery disease, type 2 diabetes mellitus, and cancers,” </w:t>
      </w:r>
      <w:r w:rsidRPr="00107B9E">
        <w:rPr>
          <w:rFonts w:ascii="Times New Roman" w:hAnsi="Times New Roman" w:cs="Times New Roman"/>
          <w:i/>
          <w:iCs/>
          <w:noProof/>
          <w:sz w:val="16"/>
          <w:szCs w:val="16"/>
        </w:rPr>
        <w:t>J. Postgrad. Med.</w:t>
      </w:r>
      <w:r w:rsidRPr="00107B9E">
        <w:rPr>
          <w:rFonts w:ascii="Times New Roman" w:hAnsi="Times New Roman" w:cs="Times New Roman"/>
          <w:noProof/>
          <w:sz w:val="16"/>
          <w:szCs w:val="16"/>
        </w:rPr>
        <w:t>, vol. 62, no. 3, p. 188, 2016, doi: 10.4103/0022-3859.186390.</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[42]</w:t>
      </w:r>
      <w:r w:rsidRPr="00107B9E">
        <w:rPr>
          <w:rFonts w:ascii="Times New Roman" w:hAnsi="Times New Roman" w:cs="Times New Roman"/>
          <w:noProof/>
          <w:sz w:val="16"/>
          <w:szCs w:val="16"/>
        </w:rPr>
        <w:tab/>
        <w:t xml:space="preserve">A. Isvoran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“Pharmacogenomics of the cytochrome P450 2C family: impacts of amino acid variations on drug metabolism,” </w:t>
      </w:r>
      <w:r w:rsidRPr="00107B9E">
        <w:rPr>
          <w:rFonts w:ascii="Times New Roman" w:hAnsi="Times New Roman" w:cs="Times New Roman"/>
          <w:i/>
          <w:iCs/>
          <w:noProof/>
          <w:sz w:val="16"/>
          <w:szCs w:val="16"/>
        </w:rPr>
        <w:t>Drug Discov. Today</w:t>
      </w:r>
      <w:r w:rsidRPr="00107B9E">
        <w:rPr>
          <w:rFonts w:ascii="Times New Roman" w:hAnsi="Times New Roman" w:cs="Times New Roman"/>
          <w:noProof/>
          <w:sz w:val="16"/>
          <w:szCs w:val="16"/>
        </w:rPr>
        <w:t>, vol. 22, no. 2, pp. 366–376, Feb. 2017, doi: 10.1016/j.drudis.2016.09.015.</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[43]</w:t>
      </w:r>
      <w:r w:rsidRPr="00107B9E">
        <w:rPr>
          <w:rFonts w:ascii="Times New Roman" w:hAnsi="Times New Roman" w:cs="Times New Roman"/>
          <w:noProof/>
          <w:sz w:val="16"/>
          <w:szCs w:val="16"/>
        </w:rPr>
        <w:tab/>
        <w:t xml:space="preserve">J. K. Ostermann, A. Berghöfer, F. Andersohn, and F. Fischer, “Frequency and clinical relevance of potential cytochrome P450 drug interactions in a psychiatric patient population – an analysis based on German insurance claims data,” </w:t>
      </w:r>
      <w:r w:rsidRPr="00107B9E">
        <w:rPr>
          <w:rFonts w:ascii="Times New Roman" w:hAnsi="Times New Roman" w:cs="Times New Roman"/>
          <w:i/>
          <w:iCs/>
          <w:noProof/>
          <w:sz w:val="16"/>
          <w:szCs w:val="16"/>
        </w:rPr>
        <w:t>BMC Health Serv. Res.</w:t>
      </w:r>
      <w:r w:rsidRPr="00107B9E">
        <w:rPr>
          <w:rFonts w:ascii="Times New Roman" w:hAnsi="Times New Roman" w:cs="Times New Roman"/>
          <w:noProof/>
          <w:sz w:val="16"/>
          <w:szCs w:val="16"/>
        </w:rPr>
        <w:t>, vol. 16, no. 1, p. 482, Dec. 2016, doi: 10.1186/s12913-016-1724-8.</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[44]</w:t>
      </w:r>
      <w:r w:rsidRPr="00107B9E">
        <w:rPr>
          <w:rFonts w:ascii="Times New Roman" w:hAnsi="Times New Roman" w:cs="Times New Roman"/>
          <w:noProof/>
          <w:sz w:val="16"/>
          <w:szCs w:val="16"/>
        </w:rPr>
        <w:tab/>
        <w:t xml:space="preserve">S. N. Hart, S. Wang, K. Nakamoto, C. Wesselman, Y. Li, and X. Zhong, “Genetic polymorphisms in cytochrome P450 oxidoreductase influence microsomal P450-catalyzed drug metabolism,” </w:t>
      </w:r>
      <w:r w:rsidRPr="00107B9E">
        <w:rPr>
          <w:rFonts w:ascii="Times New Roman" w:hAnsi="Times New Roman" w:cs="Times New Roman"/>
          <w:i/>
          <w:iCs/>
          <w:noProof/>
          <w:sz w:val="16"/>
          <w:szCs w:val="16"/>
        </w:rPr>
        <w:t>Pharmacogenet. Genomics</w:t>
      </w:r>
      <w:r w:rsidRPr="00107B9E">
        <w:rPr>
          <w:rFonts w:ascii="Times New Roman" w:hAnsi="Times New Roman" w:cs="Times New Roman"/>
          <w:noProof/>
          <w:sz w:val="16"/>
          <w:szCs w:val="16"/>
        </w:rPr>
        <w:t>, vol. 18, no. 1, pp. 11–24, Jan. 2008, doi: 10.1097/FPC.0b013e3282f2f121.</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[45]</w:t>
      </w:r>
      <w:r w:rsidRPr="00107B9E">
        <w:rPr>
          <w:rFonts w:ascii="Times New Roman" w:hAnsi="Times New Roman" w:cs="Times New Roman"/>
          <w:noProof/>
          <w:sz w:val="16"/>
          <w:szCs w:val="16"/>
        </w:rPr>
        <w:tab/>
        <w:t xml:space="preserve">M. V. Relling and W. E. Evans, “Pharmacogenomics in the clinic,” </w:t>
      </w:r>
      <w:r w:rsidRPr="00107B9E">
        <w:rPr>
          <w:rFonts w:ascii="Times New Roman" w:hAnsi="Times New Roman" w:cs="Times New Roman"/>
          <w:i/>
          <w:iCs/>
          <w:noProof/>
          <w:sz w:val="16"/>
          <w:szCs w:val="16"/>
        </w:rPr>
        <w:t>Nature</w:t>
      </w:r>
      <w:r w:rsidRPr="00107B9E">
        <w:rPr>
          <w:rFonts w:ascii="Times New Roman" w:hAnsi="Times New Roman" w:cs="Times New Roman"/>
          <w:noProof/>
          <w:sz w:val="16"/>
          <w:szCs w:val="16"/>
        </w:rPr>
        <w:t>, vol. 526, no. 7573, pp. 343–350, Oct. 2015, doi: 10.1038/nature15817.</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[46]</w:t>
      </w:r>
      <w:r w:rsidRPr="00107B9E">
        <w:rPr>
          <w:rFonts w:ascii="Times New Roman" w:hAnsi="Times New Roman" w:cs="Times New Roman"/>
          <w:noProof/>
          <w:sz w:val="16"/>
          <w:szCs w:val="16"/>
        </w:rPr>
        <w:tab/>
        <w:t xml:space="preserve">S. J. Wieczorek and G. J. Tsongalis, “Pharmacogenomics: will it change the field of medicine?,” </w:t>
      </w:r>
      <w:r w:rsidRPr="00107B9E">
        <w:rPr>
          <w:rFonts w:ascii="Times New Roman" w:hAnsi="Times New Roman" w:cs="Times New Roman"/>
          <w:i/>
          <w:iCs/>
          <w:noProof/>
          <w:sz w:val="16"/>
          <w:szCs w:val="16"/>
        </w:rPr>
        <w:t>Clin. Chim. Acta</w:t>
      </w:r>
      <w:r w:rsidRPr="00107B9E">
        <w:rPr>
          <w:rFonts w:ascii="Times New Roman" w:hAnsi="Times New Roman" w:cs="Times New Roman"/>
          <w:noProof/>
          <w:sz w:val="16"/>
          <w:szCs w:val="16"/>
        </w:rPr>
        <w:t>, vol. 308, no. 1–2, pp. 1–8, Jun. 2001, doi: 10.1016/S0009-8981(01)00419-3.</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lastRenderedPageBreak/>
        <w:t>[47]</w:t>
      </w:r>
      <w:r w:rsidRPr="00107B9E">
        <w:rPr>
          <w:rFonts w:ascii="Times New Roman" w:hAnsi="Times New Roman" w:cs="Times New Roman"/>
          <w:noProof/>
          <w:sz w:val="16"/>
          <w:szCs w:val="16"/>
        </w:rPr>
        <w:tab/>
        <w:t xml:space="preserve">G. Severino, “Adverse drug reactions: role of pharmacogenomics,” </w:t>
      </w:r>
      <w:r w:rsidRPr="00107B9E">
        <w:rPr>
          <w:rFonts w:ascii="Times New Roman" w:hAnsi="Times New Roman" w:cs="Times New Roman"/>
          <w:i/>
          <w:iCs/>
          <w:noProof/>
          <w:sz w:val="16"/>
          <w:szCs w:val="16"/>
        </w:rPr>
        <w:t>Pharmacol. Res.</w:t>
      </w:r>
      <w:r w:rsidRPr="00107B9E">
        <w:rPr>
          <w:rFonts w:ascii="Times New Roman" w:hAnsi="Times New Roman" w:cs="Times New Roman"/>
          <w:noProof/>
          <w:sz w:val="16"/>
          <w:szCs w:val="16"/>
        </w:rPr>
        <w:t>, vol. 49, no. 4, pp. 363–373, Apr. 2004, doi: 10.1016/j.phrs.2003.05.003.</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[48]</w:t>
      </w:r>
      <w:r w:rsidRPr="00107B9E">
        <w:rPr>
          <w:rFonts w:ascii="Times New Roman" w:hAnsi="Times New Roman" w:cs="Times New Roman"/>
          <w:noProof/>
          <w:sz w:val="16"/>
          <w:szCs w:val="16"/>
        </w:rPr>
        <w:tab/>
        <w:t xml:space="preserve">R. Cacabelos, N. Cacabelos, and J. C. Carril, “The role of pharmacogenomics in adverse drug reactions,” </w:t>
      </w:r>
      <w:r w:rsidRPr="00107B9E">
        <w:rPr>
          <w:rFonts w:ascii="Times New Roman" w:hAnsi="Times New Roman" w:cs="Times New Roman"/>
          <w:i/>
          <w:iCs/>
          <w:noProof/>
          <w:sz w:val="16"/>
          <w:szCs w:val="16"/>
        </w:rPr>
        <w:t>Expert Rev. Clin. Pharmacol.</w:t>
      </w:r>
      <w:r w:rsidRPr="00107B9E">
        <w:rPr>
          <w:rFonts w:ascii="Times New Roman" w:hAnsi="Times New Roman" w:cs="Times New Roman"/>
          <w:noProof/>
          <w:sz w:val="16"/>
          <w:szCs w:val="16"/>
        </w:rPr>
        <w:t>, vol. 12, no. 5, pp. 407–442, May 2019, doi: 10.1080/17512433.2019.1597706.</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[49]</w:t>
      </w:r>
      <w:r w:rsidRPr="00107B9E">
        <w:rPr>
          <w:rFonts w:ascii="Times New Roman" w:hAnsi="Times New Roman" w:cs="Times New Roman"/>
          <w:noProof/>
          <w:sz w:val="16"/>
          <w:szCs w:val="16"/>
        </w:rPr>
        <w:tab/>
        <w:t xml:space="preserve">E. K. Crowley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“Intervention protocol: OPtimising thERapy to prevent avoidable hospital Admission in the Multi-morbid elderly (OPERAM): a structured medication review with support of a computerised decision support system,” </w:t>
      </w:r>
      <w:r w:rsidRPr="00107B9E">
        <w:rPr>
          <w:rFonts w:ascii="Times New Roman" w:hAnsi="Times New Roman" w:cs="Times New Roman"/>
          <w:i/>
          <w:iCs/>
          <w:noProof/>
          <w:sz w:val="16"/>
          <w:szCs w:val="16"/>
        </w:rPr>
        <w:t>BMC Health Serv. Res.</w:t>
      </w:r>
      <w:r w:rsidRPr="00107B9E">
        <w:rPr>
          <w:rFonts w:ascii="Times New Roman" w:hAnsi="Times New Roman" w:cs="Times New Roman"/>
          <w:noProof/>
          <w:sz w:val="16"/>
          <w:szCs w:val="16"/>
        </w:rPr>
        <w:t>, vol. 20, no. 1, p. 220, Dec. 2020, doi: 10.1186/s12913-020-5056-3.</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[50]</w:t>
      </w:r>
      <w:r w:rsidRPr="00107B9E">
        <w:rPr>
          <w:rFonts w:ascii="Times New Roman" w:hAnsi="Times New Roman" w:cs="Times New Roman"/>
          <w:noProof/>
          <w:sz w:val="16"/>
          <w:szCs w:val="16"/>
        </w:rPr>
        <w:tab/>
        <w:t xml:space="preserve">C. Atasilp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“Effect of drug metabolizing enzymes and transporters in Thai colorectal cancer patients treated with irinotecan-based chemotherapy,” </w:t>
      </w:r>
      <w:r w:rsidRPr="00107B9E">
        <w:rPr>
          <w:rFonts w:ascii="Times New Roman" w:hAnsi="Times New Roman" w:cs="Times New Roman"/>
          <w:i/>
          <w:iCs/>
          <w:noProof/>
          <w:sz w:val="16"/>
          <w:szCs w:val="16"/>
        </w:rPr>
        <w:t>Sci. Rep.</w:t>
      </w:r>
      <w:r w:rsidRPr="00107B9E">
        <w:rPr>
          <w:rFonts w:ascii="Times New Roman" w:hAnsi="Times New Roman" w:cs="Times New Roman"/>
          <w:noProof/>
          <w:sz w:val="16"/>
          <w:szCs w:val="16"/>
        </w:rPr>
        <w:t>, vol. 10, no. 1, p. 13486, Aug. 2020, doi: 10.1038/s41598-020-70351-0.</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[51]</w:t>
      </w:r>
      <w:r w:rsidRPr="00107B9E">
        <w:rPr>
          <w:rFonts w:ascii="Times New Roman" w:hAnsi="Times New Roman" w:cs="Times New Roman"/>
          <w:noProof/>
          <w:sz w:val="16"/>
          <w:szCs w:val="16"/>
        </w:rPr>
        <w:tab/>
        <w:t xml:space="preserve">M. Cardelli, F. Marchegiani, A. Corsonello, F. Lattanzio, and M. Provinciali, “A Review of Pharmacogenetics of Adverse Drug Reactions in Elderly People,” </w:t>
      </w:r>
      <w:r w:rsidRPr="00107B9E">
        <w:rPr>
          <w:rFonts w:ascii="Times New Roman" w:hAnsi="Times New Roman" w:cs="Times New Roman"/>
          <w:i/>
          <w:iCs/>
          <w:noProof/>
          <w:sz w:val="16"/>
          <w:szCs w:val="16"/>
        </w:rPr>
        <w:t>Drug Saf.</w:t>
      </w:r>
      <w:r w:rsidRPr="00107B9E">
        <w:rPr>
          <w:rFonts w:ascii="Times New Roman" w:hAnsi="Times New Roman" w:cs="Times New Roman"/>
          <w:noProof/>
          <w:sz w:val="16"/>
          <w:szCs w:val="16"/>
        </w:rPr>
        <w:t>, vol. 35, no. S1, pp. 3–20, Jan. 2012, doi: 10.1007/BF03319099.</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[52]</w:t>
      </w:r>
      <w:r w:rsidRPr="00107B9E">
        <w:rPr>
          <w:rFonts w:ascii="Times New Roman" w:hAnsi="Times New Roman" w:cs="Times New Roman"/>
          <w:noProof/>
          <w:sz w:val="16"/>
          <w:szCs w:val="16"/>
        </w:rPr>
        <w:tab/>
        <w:t xml:space="preserve">J. A. Cooper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“Interventions to improve the appropriate use of polypharmacy in older people: a Cochrane systematic review,” </w:t>
      </w:r>
      <w:r w:rsidRPr="00107B9E">
        <w:rPr>
          <w:rFonts w:ascii="Times New Roman" w:hAnsi="Times New Roman" w:cs="Times New Roman"/>
          <w:i/>
          <w:iCs/>
          <w:noProof/>
          <w:sz w:val="16"/>
          <w:szCs w:val="16"/>
        </w:rPr>
        <w:t>BMJ Open</w:t>
      </w:r>
      <w:r w:rsidRPr="00107B9E">
        <w:rPr>
          <w:rFonts w:ascii="Times New Roman" w:hAnsi="Times New Roman" w:cs="Times New Roman"/>
          <w:noProof/>
          <w:sz w:val="16"/>
          <w:szCs w:val="16"/>
        </w:rPr>
        <w:t>, vol. 5, no. 12, p. e009235, Dec. 2015, doi: 10.1136/bmjopen-2015-009235.</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[53]</w:t>
      </w:r>
      <w:r w:rsidRPr="00107B9E">
        <w:rPr>
          <w:rFonts w:ascii="Times New Roman" w:hAnsi="Times New Roman" w:cs="Times New Roman"/>
          <w:noProof/>
          <w:sz w:val="16"/>
          <w:szCs w:val="16"/>
        </w:rPr>
        <w:tab/>
        <w:t xml:space="preserve">D. Mangin </w:t>
      </w:r>
      <w:r w:rsidRPr="00107B9E">
        <w:rPr>
          <w:rFonts w:ascii="Times New Roman" w:hAnsi="Times New Roman" w:cs="Times New Roman"/>
          <w:i/>
          <w:iCs/>
          <w:noProof/>
          <w:sz w:val="16"/>
          <w:szCs w:val="16"/>
        </w:rPr>
        <w:t>et al.</w:t>
      </w:r>
      <w:r w:rsidRPr="00107B9E">
        <w:rPr>
          <w:rFonts w:ascii="Times New Roman" w:hAnsi="Times New Roman" w:cs="Times New Roman"/>
          <w:noProof/>
          <w:sz w:val="16"/>
          <w:szCs w:val="16"/>
        </w:rPr>
        <w:t xml:space="preserve">, “International Group for Reducing Inappropriate Medication Use &amp;amp; Polypharmacy (IGRIMUP): Position Statement and 10 Recommendations for Action,” </w:t>
      </w:r>
      <w:r w:rsidRPr="00107B9E">
        <w:rPr>
          <w:rFonts w:ascii="Times New Roman" w:hAnsi="Times New Roman" w:cs="Times New Roman"/>
          <w:i/>
          <w:iCs/>
          <w:noProof/>
          <w:sz w:val="16"/>
          <w:szCs w:val="16"/>
        </w:rPr>
        <w:t>Drugs Aging</w:t>
      </w:r>
      <w:r w:rsidRPr="00107B9E">
        <w:rPr>
          <w:rFonts w:ascii="Times New Roman" w:hAnsi="Times New Roman" w:cs="Times New Roman"/>
          <w:noProof/>
          <w:sz w:val="16"/>
          <w:szCs w:val="16"/>
        </w:rPr>
        <w:t>, vol. 35, no. 7, pp. 575–587, Jul. 2018, doi: 10.1007/s40266-018-0554-2.</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[54]</w:t>
      </w:r>
      <w:r w:rsidRPr="00107B9E">
        <w:rPr>
          <w:rFonts w:ascii="Times New Roman" w:hAnsi="Times New Roman" w:cs="Times New Roman"/>
          <w:noProof/>
          <w:sz w:val="16"/>
          <w:szCs w:val="16"/>
        </w:rPr>
        <w:tab/>
        <w:t xml:space="preserve">A. Sheth, R. Dave, D. Rana, and D. Sheth, “Comparison of the extent and prevalence of prescription of potentially inappropriate medications prescribed to geriatric age group residing in old-age homes versus those receiving care from tertiary care hospital using Beers criteria,” </w:t>
      </w:r>
      <w:r w:rsidRPr="00107B9E">
        <w:rPr>
          <w:rFonts w:ascii="Times New Roman" w:hAnsi="Times New Roman" w:cs="Times New Roman"/>
          <w:i/>
          <w:iCs/>
          <w:noProof/>
          <w:sz w:val="16"/>
          <w:szCs w:val="16"/>
        </w:rPr>
        <w:t>Perspect. Clin. Res.</w:t>
      </w:r>
      <w:r w:rsidRPr="00107B9E">
        <w:rPr>
          <w:rFonts w:ascii="Times New Roman" w:hAnsi="Times New Roman" w:cs="Times New Roman"/>
          <w:noProof/>
          <w:sz w:val="16"/>
          <w:szCs w:val="16"/>
        </w:rPr>
        <w:t>, vol. 11, no. 4, p. 144, 2020, doi: 10.4103/picr.PICR_144_18.</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[55]</w:t>
      </w:r>
      <w:r w:rsidRPr="00107B9E">
        <w:rPr>
          <w:rFonts w:ascii="Times New Roman" w:hAnsi="Times New Roman" w:cs="Times New Roman"/>
          <w:noProof/>
          <w:sz w:val="16"/>
          <w:szCs w:val="16"/>
        </w:rPr>
        <w:tab/>
        <w:t xml:space="preserve">A. M. Moyer, E. T. Matey, and V. M. Miller, “Individualized medicine: Sex, hormones, genetics, and adverse drug reactions,” </w:t>
      </w:r>
      <w:r w:rsidRPr="00107B9E">
        <w:rPr>
          <w:rFonts w:ascii="Times New Roman" w:hAnsi="Times New Roman" w:cs="Times New Roman"/>
          <w:i/>
          <w:iCs/>
          <w:noProof/>
          <w:sz w:val="16"/>
          <w:szCs w:val="16"/>
        </w:rPr>
        <w:t>Pharmacol. Res. Perspect.</w:t>
      </w:r>
      <w:r w:rsidRPr="00107B9E">
        <w:rPr>
          <w:rFonts w:ascii="Times New Roman" w:hAnsi="Times New Roman" w:cs="Times New Roman"/>
          <w:noProof/>
          <w:sz w:val="16"/>
          <w:szCs w:val="16"/>
        </w:rPr>
        <w:t>, vol. 7, no. 6, Dec. 2019, doi: 10.1002/prp2.541.</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[56]</w:t>
      </w:r>
      <w:r w:rsidRPr="00107B9E">
        <w:rPr>
          <w:rFonts w:ascii="Times New Roman" w:hAnsi="Times New Roman" w:cs="Times New Roman"/>
          <w:noProof/>
          <w:sz w:val="16"/>
          <w:szCs w:val="16"/>
        </w:rPr>
        <w:tab/>
        <w:t xml:space="preserve">C. W. Heise, T. Gallo, S. C. Curry, and R. L. Woosley, “Identification of populations likely to benefit from pharmacogenomic testing,” </w:t>
      </w:r>
      <w:r w:rsidRPr="00107B9E">
        <w:rPr>
          <w:rFonts w:ascii="Times New Roman" w:hAnsi="Times New Roman" w:cs="Times New Roman"/>
          <w:i/>
          <w:iCs/>
          <w:noProof/>
          <w:sz w:val="16"/>
          <w:szCs w:val="16"/>
        </w:rPr>
        <w:t>Pharmacogenet. Genomics</w:t>
      </w:r>
      <w:r w:rsidRPr="00107B9E">
        <w:rPr>
          <w:rFonts w:ascii="Times New Roman" w:hAnsi="Times New Roman" w:cs="Times New Roman"/>
          <w:noProof/>
          <w:sz w:val="16"/>
          <w:szCs w:val="16"/>
        </w:rPr>
        <w:t>, vol. 30, no. 5, pp. 91–95, Jul. 2020, doi: 10.1097/FPC.0000000000000400.</w:t>
      </w:r>
    </w:p>
    <w:p w:rsidR="008A18B3" w:rsidRPr="00107B9E" w:rsidRDefault="008A18B3" w:rsidP="003A3140">
      <w:pPr>
        <w:widowControl w:val="0"/>
        <w:autoSpaceDE w:val="0"/>
        <w:autoSpaceDN w:val="0"/>
        <w:adjustRightInd w:val="0"/>
        <w:spacing w:line="240" w:lineRule="auto"/>
        <w:ind w:left="640" w:hanging="640"/>
        <w:rPr>
          <w:rFonts w:ascii="Times New Roman" w:hAnsi="Times New Roman" w:cs="Times New Roman"/>
          <w:noProof/>
          <w:sz w:val="16"/>
          <w:szCs w:val="16"/>
        </w:rPr>
      </w:pPr>
      <w:r w:rsidRPr="00107B9E">
        <w:rPr>
          <w:rFonts w:ascii="Times New Roman" w:hAnsi="Times New Roman" w:cs="Times New Roman"/>
          <w:noProof/>
          <w:sz w:val="16"/>
          <w:szCs w:val="16"/>
        </w:rPr>
        <w:t>[57]</w:t>
      </w:r>
      <w:r w:rsidRPr="00107B9E">
        <w:rPr>
          <w:rFonts w:ascii="Times New Roman" w:hAnsi="Times New Roman" w:cs="Times New Roman"/>
          <w:noProof/>
          <w:sz w:val="16"/>
          <w:szCs w:val="16"/>
        </w:rPr>
        <w:tab/>
        <w:t xml:space="preserve">M. K. Siddiqui, J. Luzum, M. Coenen, and S. H. Mahmoudpour, “Editorial: Pharmacogenomics of Adverse Drug Reactions,” </w:t>
      </w:r>
      <w:r w:rsidRPr="00107B9E">
        <w:rPr>
          <w:rFonts w:ascii="Times New Roman" w:hAnsi="Times New Roman" w:cs="Times New Roman"/>
          <w:i/>
          <w:iCs/>
          <w:noProof/>
          <w:sz w:val="16"/>
          <w:szCs w:val="16"/>
        </w:rPr>
        <w:t>Front. Genet.</w:t>
      </w:r>
      <w:r w:rsidRPr="00107B9E">
        <w:rPr>
          <w:rFonts w:ascii="Times New Roman" w:hAnsi="Times New Roman" w:cs="Times New Roman"/>
          <w:noProof/>
          <w:sz w:val="16"/>
          <w:szCs w:val="16"/>
        </w:rPr>
        <w:t>, vol. 13, Mar. 2022, doi: 10.3389/fgene.2022.859909.</w:t>
      </w:r>
    </w:p>
    <w:p w:rsidR="00536527" w:rsidRPr="00107B9E" w:rsidRDefault="009A774E" w:rsidP="003A3140">
      <w:pPr>
        <w:widowControl w:val="0"/>
        <w:autoSpaceDE w:val="0"/>
        <w:autoSpaceDN w:val="0"/>
        <w:adjustRightInd w:val="0"/>
        <w:spacing w:line="240" w:lineRule="auto"/>
        <w:ind w:left="640" w:hanging="640"/>
        <w:rPr>
          <w:rFonts w:ascii="Times New Roman" w:hAnsi="Times New Roman" w:cs="Times New Roman"/>
          <w:sz w:val="16"/>
          <w:szCs w:val="16"/>
        </w:rPr>
      </w:pPr>
      <w:r w:rsidRPr="00107B9E">
        <w:rPr>
          <w:rFonts w:ascii="Times New Roman" w:hAnsi="Times New Roman" w:cs="Times New Roman"/>
          <w:sz w:val="16"/>
          <w:szCs w:val="16"/>
        </w:rPr>
        <w:fldChar w:fldCharType="end"/>
      </w:r>
    </w:p>
    <w:p w:rsidR="00536527" w:rsidRPr="00107B9E" w:rsidRDefault="00536527" w:rsidP="003A3140">
      <w:pPr>
        <w:spacing w:line="240" w:lineRule="auto"/>
        <w:jc w:val="both"/>
        <w:rPr>
          <w:rFonts w:ascii="Times New Roman" w:hAnsi="Times New Roman" w:cs="Times New Roman"/>
          <w:sz w:val="16"/>
          <w:szCs w:val="16"/>
        </w:rPr>
      </w:pPr>
    </w:p>
    <w:p w:rsidR="00536527" w:rsidRPr="00107B9E" w:rsidRDefault="00536527" w:rsidP="003A3140">
      <w:pPr>
        <w:spacing w:line="240" w:lineRule="auto"/>
        <w:jc w:val="both"/>
        <w:rPr>
          <w:rFonts w:ascii="Times New Roman" w:hAnsi="Times New Roman" w:cs="Times New Roman"/>
          <w:sz w:val="16"/>
          <w:szCs w:val="16"/>
        </w:rPr>
      </w:pPr>
    </w:p>
    <w:p w:rsidR="00536527" w:rsidRPr="00107B9E" w:rsidRDefault="00536527" w:rsidP="003A3140">
      <w:pPr>
        <w:spacing w:line="240" w:lineRule="auto"/>
        <w:jc w:val="both"/>
        <w:rPr>
          <w:rFonts w:ascii="Times New Roman" w:hAnsi="Times New Roman" w:cs="Times New Roman"/>
          <w:sz w:val="16"/>
          <w:szCs w:val="16"/>
        </w:rPr>
      </w:pPr>
    </w:p>
    <w:p w:rsidR="00536527" w:rsidRPr="00107B9E" w:rsidRDefault="00536527" w:rsidP="003A3140">
      <w:pPr>
        <w:spacing w:line="240" w:lineRule="auto"/>
        <w:jc w:val="both"/>
        <w:rPr>
          <w:rFonts w:ascii="Times New Roman" w:hAnsi="Times New Roman" w:cs="Times New Roman"/>
          <w:sz w:val="16"/>
          <w:szCs w:val="16"/>
        </w:rPr>
      </w:pPr>
    </w:p>
    <w:p w:rsidR="00536527" w:rsidRPr="00107B9E" w:rsidRDefault="00536527" w:rsidP="003A3140">
      <w:pPr>
        <w:spacing w:line="240" w:lineRule="auto"/>
        <w:jc w:val="both"/>
        <w:rPr>
          <w:rFonts w:ascii="Times New Roman" w:hAnsi="Times New Roman" w:cs="Times New Roman"/>
          <w:sz w:val="16"/>
          <w:szCs w:val="16"/>
        </w:rPr>
      </w:pPr>
    </w:p>
    <w:p w:rsidR="004A0380" w:rsidRPr="00107B9E" w:rsidRDefault="004A0380" w:rsidP="003A3140">
      <w:pPr>
        <w:spacing w:line="240" w:lineRule="auto"/>
        <w:jc w:val="both"/>
        <w:rPr>
          <w:rFonts w:ascii="Times New Roman" w:hAnsi="Times New Roman" w:cs="Times New Roman"/>
          <w:sz w:val="16"/>
          <w:szCs w:val="16"/>
        </w:rPr>
      </w:pPr>
    </w:p>
    <w:p w:rsidR="004A0380" w:rsidRDefault="004A0380" w:rsidP="003A3140">
      <w:pPr>
        <w:spacing w:line="240" w:lineRule="auto"/>
        <w:jc w:val="both"/>
        <w:rPr>
          <w:rFonts w:ascii="Times New Roman" w:hAnsi="Times New Roman" w:cs="Times New Roman"/>
          <w:sz w:val="24"/>
          <w:szCs w:val="24"/>
        </w:rPr>
      </w:pPr>
    </w:p>
    <w:p w:rsidR="004A0380" w:rsidRDefault="004A0380" w:rsidP="003A3140">
      <w:pPr>
        <w:spacing w:line="240" w:lineRule="auto"/>
        <w:jc w:val="both"/>
        <w:rPr>
          <w:rFonts w:ascii="Times New Roman" w:hAnsi="Times New Roman" w:cs="Times New Roman"/>
          <w:sz w:val="24"/>
          <w:szCs w:val="24"/>
        </w:rPr>
      </w:pPr>
    </w:p>
    <w:p w:rsidR="004A0380" w:rsidRDefault="004A0380" w:rsidP="003A3140">
      <w:pPr>
        <w:spacing w:line="240" w:lineRule="auto"/>
        <w:jc w:val="both"/>
        <w:rPr>
          <w:rFonts w:ascii="Times New Roman" w:hAnsi="Times New Roman" w:cs="Times New Roman"/>
          <w:sz w:val="24"/>
          <w:szCs w:val="24"/>
        </w:rPr>
      </w:pPr>
    </w:p>
    <w:p w:rsidR="004A0380" w:rsidRDefault="004A0380" w:rsidP="003A3140">
      <w:pPr>
        <w:spacing w:line="240" w:lineRule="auto"/>
        <w:jc w:val="both"/>
        <w:rPr>
          <w:rFonts w:ascii="Times New Roman" w:hAnsi="Times New Roman" w:cs="Times New Roman"/>
          <w:sz w:val="24"/>
          <w:szCs w:val="24"/>
        </w:rPr>
      </w:pPr>
    </w:p>
    <w:p w:rsidR="004A0380" w:rsidRDefault="004A0380" w:rsidP="003A3140">
      <w:pPr>
        <w:spacing w:line="240" w:lineRule="auto"/>
        <w:jc w:val="both"/>
        <w:rPr>
          <w:rFonts w:ascii="Times New Roman" w:hAnsi="Times New Roman" w:cs="Times New Roman"/>
          <w:sz w:val="24"/>
          <w:szCs w:val="24"/>
        </w:rPr>
      </w:pPr>
    </w:p>
    <w:p w:rsidR="004A0380" w:rsidRDefault="004A0380" w:rsidP="003A3140">
      <w:pPr>
        <w:spacing w:line="240" w:lineRule="auto"/>
        <w:jc w:val="both"/>
        <w:rPr>
          <w:rFonts w:ascii="Times New Roman" w:hAnsi="Times New Roman" w:cs="Times New Roman"/>
          <w:sz w:val="24"/>
          <w:szCs w:val="24"/>
        </w:rPr>
      </w:pPr>
    </w:p>
    <w:p w:rsidR="004A0380" w:rsidRDefault="004A0380" w:rsidP="003A3140">
      <w:pPr>
        <w:spacing w:line="240" w:lineRule="auto"/>
        <w:jc w:val="both"/>
        <w:rPr>
          <w:rFonts w:ascii="Times New Roman" w:hAnsi="Times New Roman" w:cs="Times New Roman"/>
          <w:sz w:val="24"/>
          <w:szCs w:val="24"/>
        </w:rPr>
      </w:pPr>
    </w:p>
    <w:p w:rsidR="00536527" w:rsidRPr="00E64A90" w:rsidRDefault="00536527" w:rsidP="003A3140">
      <w:pPr>
        <w:widowControl w:val="0"/>
        <w:autoSpaceDE w:val="0"/>
        <w:autoSpaceDN w:val="0"/>
        <w:adjustRightInd w:val="0"/>
        <w:spacing w:line="240" w:lineRule="auto"/>
        <w:ind w:left="480" w:hanging="480"/>
        <w:rPr>
          <w:rFonts w:ascii="Times New Roman" w:hAnsi="Times New Roman" w:cs="Times New Roman"/>
          <w:sz w:val="24"/>
          <w:szCs w:val="24"/>
        </w:rPr>
      </w:pPr>
    </w:p>
    <w:sectPr w:rsidR="00536527" w:rsidRPr="00E64A90" w:rsidSect="001F15D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07C1"/>
    <w:multiLevelType w:val="multilevel"/>
    <w:tmpl w:val="3E6E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AD2FAD"/>
    <w:multiLevelType w:val="hybridMultilevel"/>
    <w:tmpl w:val="2C24B8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1C44A9"/>
    <w:multiLevelType w:val="hybridMultilevel"/>
    <w:tmpl w:val="78607E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A6867"/>
    <w:rsid w:val="00017BE7"/>
    <w:rsid w:val="00043912"/>
    <w:rsid w:val="000645EF"/>
    <w:rsid w:val="00085012"/>
    <w:rsid w:val="00090060"/>
    <w:rsid w:val="00096E28"/>
    <w:rsid w:val="000B50C0"/>
    <w:rsid w:val="000D0FAD"/>
    <w:rsid w:val="000E0ABA"/>
    <w:rsid w:val="000E5455"/>
    <w:rsid w:val="00107B9E"/>
    <w:rsid w:val="00123399"/>
    <w:rsid w:val="00175E01"/>
    <w:rsid w:val="001B08C1"/>
    <w:rsid w:val="001B6D04"/>
    <w:rsid w:val="001F15DE"/>
    <w:rsid w:val="0020307E"/>
    <w:rsid w:val="00207B6F"/>
    <w:rsid w:val="00255B0B"/>
    <w:rsid w:val="002831DC"/>
    <w:rsid w:val="002C2497"/>
    <w:rsid w:val="002C642D"/>
    <w:rsid w:val="00313A5B"/>
    <w:rsid w:val="00340DC6"/>
    <w:rsid w:val="00364741"/>
    <w:rsid w:val="003A3140"/>
    <w:rsid w:val="003A387C"/>
    <w:rsid w:val="004043B9"/>
    <w:rsid w:val="00425F01"/>
    <w:rsid w:val="0045082A"/>
    <w:rsid w:val="004A0380"/>
    <w:rsid w:val="004F2BB0"/>
    <w:rsid w:val="004F74F8"/>
    <w:rsid w:val="00507BC8"/>
    <w:rsid w:val="005206C0"/>
    <w:rsid w:val="00536527"/>
    <w:rsid w:val="00556A10"/>
    <w:rsid w:val="005A0A05"/>
    <w:rsid w:val="005A12DF"/>
    <w:rsid w:val="005A2871"/>
    <w:rsid w:val="005C1DEB"/>
    <w:rsid w:val="005D0821"/>
    <w:rsid w:val="00613FDB"/>
    <w:rsid w:val="00620F5F"/>
    <w:rsid w:val="00670534"/>
    <w:rsid w:val="00730E5F"/>
    <w:rsid w:val="00782A78"/>
    <w:rsid w:val="00790008"/>
    <w:rsid w:val="007A53A5"/>
    <w:rsid w:val="00820366"/>
    <w:rsid w:val="008244A7"/>
    <w:rsid w:val="00850886"/>
    <w:rsid w:val="008938AE"/>
    <w:rsid w:val="008A18B3"/>
    <w:rsid w:val="008B65EE"/>
    <w:rsid w:val="00971E7D"/>
    <w:rsid w:val="00972D33"/>
    <w:rsid w:val="009A6867"/>
    <w:rsid w:val="009A774E"/>
    <w:rsid w:val="00A51D62"/>
    <w:rsid w:val="00A6331C"/>
    <w:rsid w:val="00A75BED"/>
    <w:rsid w:val="00A86F1C"/>
    <w:rsid w:val="00AB5FE0"/>
    <w:rsid w:val="00B17C3F"/>
    <w:rsid w:val="00B32CB6"/>
    <w:rsid w:val="00B4097E"/>
    <w:rsid w:val="00B83FBE"/>
    <w:rsid w:val="00BC43C6"/>
    <w:rsid w:val="00BF0E88"/>
    <w:rsid w:val="00BF3749"/>
    <w:rsid w:val="00C2703D"/>
    <w:rsid w:val="00C9422B"/>
    <w:rsid w:val="00CA4A3E"/>
    <w:rsid w:val="00D03592"/>
    <w:rsid w:val="00E13260"/>
    <w:rsid w:val="00E416FD"/>
    <w:rsid w:val="00E64A90"/>
    <w:rsid w:val="00EE1251"/>
    <w:rsid w:val="00EF3834"/>
    <w:rsid w:val="00F104D0"/>
    <w:rsid w:val="00F84D51"/>
    <w:rsid w:val="00FD1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AD"/>
    <w:pPr>
      <w:spacing w:after="160" w:line="259" w:lineRule="auto"/>
      <w:ind w:left="720"/>
      <w:contextualSpacing/>
    </w:pPr>
    <w:rPr>
      <w:lang w:val="en-IN"/>
    </w:rPr>
  </w:style>
  <w:style w:type="paragraph" w:styleId="NormalWeb">
    <w:name w:val="Normal (Web)"/>
    <w:basedOn w:val="Normal"/>
    <w:uiPriority w:val="99"/>
    <w:unhideWhenUsed/>
    <w:rsid w:val="000D0FA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uthor">
    <w:name w:val="author"/>
    <w:basedOn w:val="DefaultParagraphFont"/>
    <w:rsid w:val="000D0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8A309-8237-41F2-BEBD-C19A4806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23260</Words>
  <Characters>132583</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2023-08-16T05:35:00Z</dcterms:created>
  <dcterms:modified xsi:type="dcterms:W3CDTF">2023-08-16T05:35:00Z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b5325027-6ae5-3298-97d0-af506c58f88b</vt:lpwstr>
  </property>
</Properties>
</file>