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D407" w14:textId="5333100C" w:rsidR="00466548" w:rsidRDefault="00A92805" w:rsidP="00466548">
      <w:pPr>
        <w:pStyle w:val="papertitle"/>
        <w:spacing w:after="0"/>
        <w:rPr>
          <w:rFonts w:eastAsia="MS Mincho"/>
        </w:rPr>
      </w:pPr>
      <w:r>
        <w:rPr>
          <w:rFonts w:eastAsia="MS Mincho"/>
        </w:rPr>
        <w:t xml:space="preserve">Use of </w:t>
      </w:r>
      <w:r w:rsidR="00AB4115">
        <w:rPr>
          <w:rFonts w:eastAsia="MS Mincho"/>
        </w:rPr>
        <w:t>E</w:t>
      </w:r>
      <w:r>
        <w:rPr>
          <w:rFonts w:eastAsia="MS Mincho"/>
        </w:rPr>
        <w:t>nzyme</w:t>
      </w:r>
      <w:r w:rsidR="00EB6B7D" w:rsidRPr="00EB6B7D">
        <w:rPr>
          <w:rFonts w:eastAsia="MS Mincho"/>
        </w:rPr>
        <w:t xml:space="preserve"> </w:t>
      </w:r>
      <w:r w:rsidR="00AB4115">
        <w:rPr>
          <w:rFonts w:eastAsia="MS Mincho"/>
        </w:rPr>
        <w:t>T</w:t>
      </w:r>
      <w:r w:rsidR="00EB6B7D" w:rsidRPr="00EB6B7D">
        <w:rPr>
          <w:rFonts w:eastAsia="MS Mincho"/>
        </w:rPr>
        <w:t>echnolo</w:t>
      </w:r>
      <w:r>
        <w:rPr>
          <w:rFonts w:eastAsia="MS Mincho"/>
        </w:rPr>
        <w:t>gy</w:t>
      </w:r>
      <w:r w:rsidR="00EB6B7D" w:rsidRPr="00EB6B7D">
        <w:rPr>
          <w:rFonts w:eastAsia="MS Mincho"/>
        </w:rPr>
        <w:t xml:space="preserve"> in</w:t>
      </w:r>
      <w:r>
        <w:rPr>
          <w:rFonts w:eastAsia="MS Mincho"/>
        </w:rPr>
        <w:t xml:space="preserve"> Food Processing Industries</w:t>
      </w:r>
    </w:p>
    <w:p w14:paraId="504F463C" w14:textId="77777777" w:rsidR="00A92805" w:rsidRDefault="00A92805" w:rsidP="00A92805">
      <w:pPr>
        <w:pStyle w:val="Author"/>
        <w:spacing w:before="0" w:after="0"/>
        <w:jc w:val="both"/>
        <w:rPr>
          <w:rFonts w:eastAsia="MS Mincho"/>
          <w:sz w:val="20"/>
          <w:szCs w:val="20"/>
        </w:rPr>
      </w:pPr>
    </w:p>
    <w:p w14:paraId="531D934C" w14:textId="11B8D6CA" w:rsidR="00A92805" w:rsidRDefault="00A92805" w:rsidP="00A92805">
      <w:pPr>
        <w:pStyle w:val="Author"/>
        <w:spacing w:before="0" w:after="0"/>
        <w:jc w:val="both"/>
        <w:rPr>
          <w:rFonts w:eastAsia="MS Mincho"/>
          <w:sz w:val="24"/>
          <w:szCs w:val="24"/>
        </w:rPr>
      </w:pPr>
      <w:r w:rsidRPr="00A92805">
        <w:rPr>
          <w:rFonts w:eastAsia="MS Mincho"/>
          <w:sz w:val="24"/>
          <w:szCs w:val="24"/>
        </w:rPr>
        <w:t>Dipika Kumari,</w:t>
      </w:r>
      <w:r w:rsidRPr="00A92805">
        <w:rPr>
          <w:rFonts w:eastAsia="MS Mincho"/>
          <w:sz w:val="24"/>
          <w:szCs w:val="24"/>
          <w:vertAlign w:val="superscript"/>
        </w:rPr>
        <w:t>*</w:t>
      </w:r>
      <w:r w:rsidR="00AB4115">
        <w:rPr>
          <w:rFonts w:eastAsia="MS Mincho"/>
          <w:sz w:val="24"/>
          <w:szCs w:val="24"/>
        </w:rPr>
        <w:t>S K Jha,</w:t>
      </w:r>
      <w:r>
        <w:rPr>
          <w:rFonts w:eastAsia="MS Mincho"/>
          <w:sz w:val="24"/>
          <w:szCs w:val="24"/>
        </w:rPr>
        <w:t xml:space="preserve"> Ladly Rani</w:t>
      </w:r>
      <w:r w:rsidR="00AB4115">
        <w:rPr>
          <w:rFonts w:eastAsia="MS Mincho"/>
          <w:sz w:val="24"/>
          <w:szCs w:val="24"/>
        </w:rPr>
        <w:t>, Rupa Verma</w:t>
      </w:r>
    </w:p>
    <w:p w14:paraId="76E1FD65" w14:textId="11A6B938" w:rsidR="00A92805" w:rsidRDefault="00A92805" w:rsidP="00A92805">
      <w:pPr>
        <w:pStyle w:val="Author"/>
        <w:spacing w:before="0" w:after="0"/>
        <w:jc w:val="both"/>
        <w:rPr>
          <w:rFonts w:eastAsia="MS Mincho"/>
          <w:sz w:val="24"/>
          <w:szCs w:val="24"/>
        </w:rPr>
      </w:pPr>
      <w:r>
        <w:rPr>
          <w:rFonts w:eastAsia="MS Mincho"/>
          <w:sz w:val="24"/>
          <w:szCs w:val="24"/>
        </w:rPr>
        <w:t xml:space="preserve">  </w:t>
      </w:r>
    </w:p>
    <w:p w14:paraId="0FA46478" w14:textId="4E4E7C73" w:rsidR="00A92805" w:rsidRDefault="00A92805" w:rsidP="00A92805">
      <w:pPr>
        <w:pStyle w:val="Author"/>
        <w:spacing w:before="0" w:after="0"/>
        <w:jc w:val="both"/>
        <w:rPr>
          <w:rFonts w:eastAsia="MS Mincho"/>
          <w:sz w:val="24"/>
          <w:szCs w:val="24"/>
        </w:rPr>
      </w:pPr>
      <w:r>
        <w:rPr>
          <w:rFonts w:eastAsia="MS Mincho"/>
          <w:sz w:val="24"/>
          <w:szCs w:val="24"/>
        </w:rPr>
        <w:t>MSc Biotechnology, University Department of Botany Ranchi University Ranchi, Jharkhand, 834008</w:t>
      </w:r>
    </w:p>
    <w:p w14:paraId="439A3448" w14:textId="0DD494A9" w:rsidR="00A92805" w:rsidRDefault="00A92805" w:rsidP="00A92805">
      <w:pPr>
        <w:pStyle w:val="Author"/>
        <w:spacing w:before="0" w:after="0"/>
        <w:jc w:val="both"/>
        <w:rPr>
          <w:rFonts w:eastAsia="MS Mincho"/>
          <w:sz w:val="24"/>
          <w:szCs w:val="24"/>
        </w:rPr>
      </w:pPr>
      <w:r>
        <w:rPr>
          <w:rFonts w:eastAsia="MS Mincho"/>
          <w:sz w:val="24"/>
          <w:szCs w:val="24"/>
        </w:rPr>
        <w:t xml:space="preserve"> </w:t>
      </w:r>
    </w:p>
    <w:p w14:paraId="58D77E9C" w14:textId="35B9FC0A" w:rsidR="00A92805" w:rsidRPr="00A92805" w:rsidRDefault="00A92805" w:rsidP="00A92805">
      <w:pPr>
        <w:pStyle w:val="Author"/>
        <w:spacing w:before="0" w:after="0"/>
        <w:jc w:val="both"/>
        <w:rPr>
          <w:rFonts w:eastAsia="MS Mincho"/>
          <w:sz w:val="24"/>
          <w:szCs w:val="24"/>
        </w:rPr>
      </w:pPr>
      <w:r>
        <w:rPr>
          <w:rFonts w:eastAsia="MS Mincho"/>
          <w:sz w:val="24"/>
          <w:szCs w:val="24"/>
        </w:rPr>
        <w:t>Corresponding author: dipikadayal2512@gmail.com</w:t>
      </w:r>
    </w:p>
    <w:p w14:paraId="25269B21" w14:textId="77777777" w:rsidR="008A55B5" w:rsidRPr="00466548" w:rsidRDefault="008A55B5" w:rsidP="00A92805">
      <w:pPr>
        <w:pStyle w:val="Author"/>
        <w:spacing w:before="0" w:after="0"/>
        <w:jc w:val="both"/>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4F12A101" w14:textId="0245568A" w:rsidR="00466548" w:rsidRDefault="00466548" w:rsidP="00AB4115">
      <w:pPr>
        <w:pStyle w:val="Affiliation"/>
        <w:jc w:val="both"/>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7169C508" w14:textId="77777777" w:rsidR="00A92805" w:rsidRPr="00466548" w:rsidRDefault="00A92805" w:rsidP="00A92805">
      <w:pPr>
        <w:pStyle w:val="Author"/>
        <w:spacing w:before="0" w:after="0"/>
        <w:jc w:val="both"/>
        <w:rPr>
          <w:rFonts w:eastAsia="MS Mincho"/>
          <w:sz w:val="20"/>
          <w:szCs w:val="20"/>
        </w:rPr>
        <w:sectPr w:rsidR="00A92805" w:rsidRPr="00466548" w:rsidSect="00EB0073">
          <w:headerReference w:type="default" r:id="rId9"/>
          <w:footerReference w:type="default" r:id="rId10"/>
          <w:type w:val="continuous"/>
          <w:pgSz w:w="11909" w:h="16834" w:code="9"/>
          <w:pgMar w:top="1440" w:right="1440" w:bottom="1440" w:left="1440" w:header="720" w:footer="720" w:gutter="0"/>
          <w:pgNumType w:start="1"/>
          <w:cols w:space="720"/>
          <w:docGrid w:linePitch="360"/>
        </w:sectPr>
      </w:pPr>
    </w:p>
    <w:p w14:paraId="5530A432" w14:textId="41028150" w:rsidR="00A301C1" w:rsidRPr="00466548" w:rsidRDefault="00A301C1" w:rsidP="00AB4115">
      <w:pPr>
        <w:pStyle w:val="Affiliation"/>
        <w:jc w:val="both"/>
        <w:rPr>
          <w:rFonts w:eastAsia="MS Mincho"/>
        </w:rPr>
        <w:sectPr w:rsidR="00A301C1" w:rsidRPr="00466548" w:rsidSect="00466548">
          <w:type w:val="continuous"/>
          <w:pgSz w:w="11909" w:h="16834" w:code="9"/>
          <w:pgMar w:top="1440" w:right="1440" w:bottom="1440" w:left="1440" w:header="720" w:footer="720" w:gutter="0"/>
          <w:cols w:space="720"/>
          <w:docGrid w:linePitch="360"/>
        </w:sectPr>
      </w:pPr>
    </w:p>
    <w:p w14:paraId="4617F67E" w14:textId="483AA943" w:rsidR="00466548" w:rsidRDefault="00402841" w:rsidP="00AB4115">
      <w:pPr>
        <w:pStyle w:val="Abstract"/>
        <w:spacing w:after="0"/>
        <w:ind w:firstLine="0"/>
        <w:rPr>
          <w:rFonts w:eastAsia="MS Mincho"/>
          <w:iCs/>
          <w:sz w:val="20"/>
          <w:szCs w:val="20"/>
        </w:rPr>
      </w:pPr>
      <w:r w:rsidRPr="00402841">
        <w:rPr>
          <w:rFonts w:eastAsia="MS Mincho"/>
          <w:iCs/>
          <w:sz w:val="20"/>
          <w:szCs w:val="20"/>
        </w:rPr>
        <w:t>ABSTRACT</w:t>
      </w:r>
    </w:p>
    <w:p w14:paraId="0D7C5000" w14:textId="77777777" w:rsidR="00EB6B7D" w:rsidRPr="00402841" w:rsidRDefault="00EB6B7D" w:rsidP="00466548">
      <w:pPr>
        <w:pStyle w:val="Abstract"/>
        <w:spacing w:after="0"/>
        <w:ind w:firstLine="0"/>
        <w:jc w:val="center"/>
        <w:rPr>
          <w:rFonts w:eastAsia="MS Mincho"/>
          <w:iCs/>
          <w:sz w:val="20"/>
          <w:szCs w:val="20"/>
        </w:rPr>
      </w:pPr>
    </w:p>
    <w:p w14:paraId="5C5765DD" w14:textId="39159532" w:rsidR="00D520EE" w:rsidRDefault="00D520EE" w:rsidP="00D520EE">
      <w:pPr>
        <w:jc w:val="both"/>
      </w:pPr>
      <w:r>
        <w:t xml:space="preserve">The food sector </w:t>
      </w:r>
      <w:r w:rsidR="00A92805" w:rsidRPr="00A92805">
        <w:t xml:space="preserve">often uses enzyme technology because of </w:t>
      </w:r>
      <w:r w:rsidR="00A92805">
        <w:t>its</w:t>
      </w:r>
      <w:r w:rsidR="00A92805" w:rsidRPr="00A92805">
        <w:t xml:space="preserve"> efficiency, specificity, and safety benefits</w:t>
      </w:r>
      <w:r>
        <w:t xml:space="preserve">. Recent years have seen "future foods" emerge as a new research hotspot for developing healthier, more nutrient-dense, palatable, and sustainably produced meals. Despite this, many foods still have texture, nutrition, and </w:t>
      </w:r>
      <w:r w:rsidR="00AB4115">
        <w:t>flavor</w:t>
      </w:r>
      <w:r>
        <w:t xml:space="preserve"> issues. improvements in enzyme technology have made it possible to create new tools and methods for </w:t>
      </w:r>
      <w:r w:rsidR="00A92805">
        <w:t>better-manipulating</w:t>
      </w:r>
      <w:r>
        <w:t xml:space="preserve"> food textures and nutritional elements. In this study, we highlight the uses of enzyme technology in the manufacture of future foods</w:t>
      </w:r>
      <w:r w:rsidR="00AB4115">
        <w:t>, emphasizing</w:t>
      </w:r>
      <w:r>
        <w:t xml:space="preserve"> </w:t>
      </w:r>
      <w:r w:rsidR="00AB4115">
        <w:t>flavor</w:t>
      </w:r>
      <w:r>
        <w:t>, texture, and safety. In addition, we examine the potential of enzyme-based technologies for the manufacture of food in the future, including the alteration of enzyme activity, the creation of appropriate hosts for the synthesis of food-grade enzymes, and the enhancement of synergistic multi-enzyme systems.</w:t>
      </w:r>
    </w:p>
    <w:p w14:paraId="701A7F59" w14:textId="77777777" w:rsidR="00466548" w:rsidRPr="00466548" w:rsidRDefault="00466548" w:rsidP="00466548">
      <w:pPr>
        <w:pStyle w:val="Abstract"/>
        <w:spacing w:after="0"/>
        <w:ind w:firstLine="0"/>
        <w:rPr>
          <w:rFonts w:eastAsia="MS Mincho"/>
          <w:b w:val="0"/>
          <w:sz w:val="20"/>
          <w:szCs w:val="20"/>
        </w:rPr>
      </w:pPr>
    </w:p>
    <w:p w14:paraId="43947C02" w14:textId="32AED4D5"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D520EE">
        <w:rPr>
          <w:rFonts w:eastAsia="MS Mincho"/>
          <w:b w:val="0"/>
          <w:i w:val="0"/>
          <w:sz w:val="20"/>
          <w:szCs w:val="20"/>
        </w:rPr>
        <w:t xml:space="preserve"> </w:t>
      </w:r>
      <w:r w:rsidR="00D520EE" w:rsidRPr="00D520EE">
        <w:rPr>
          <w:rFonts w:eastAsia="MS Mincho"/>
          <w:b w:val="0"/>
          <w:i w:val="0"/>
          <w:sz w:val="20"/>
          <w:szCs w:val="20"/>
        </w:rPr>
        <w:t>Enzyme technology</w:t>
      </w:r>
      <w:r w:rsidR="00D520EE">
        <w:rPr>
          <w:rFonts w:eastAsia="MS Mincho"/>
          <w:b w:val="0"/>
          <w:i w:val="0"/>
          <w:sz w:val="20"/>
          <w:szCs w:val="20"/>
        </w:rPr>
        <w:t xml:space="preserve">, </w:t>
      </w:r>
      <w:r w:rsidR="00D520EE" w:rsidRPr="00D520EE">
        <w:rPr>
          <w:rFonts w:eastAsia="MS Mincho"/>
          <w:b w:val="0"/>
          <w:i w:val="0"/>
          <w:sz w:val="20"/>
          <w:szCs w:val="20"/>
        </w:rPr>
        <w:t>Texture</w:t>
      </w:r>
      <w:r w:rsidR="00D520EE">
        <w:rPr>
          <w:rFonts w:eastAsia="MS Mincho"/>
          <w:b w:val="0"/>
          <w:i w:val="0"/>
          <w:sz w:val="20"/>
          <w:szCs w:val="20"/>
        </w:rPr>
        <w:t xml:space="preserve">, </w:t>
      </w:r>
      <w:r w:rsidR="00D520EE" w:rsidRPr="00D520EE">
        <w:rPr>
          <w:rFonts w:eastAsia="MS Mincho"/>
          <w:b w:val="0"/>
          <w:i w:val="0"/>
          <w:sz w:val="20"/>
          <w:szCs w:val="20"/>
        </w:rPr>
        <w:t>Nutrition security</w:t>
      </w:r>
      <w:r w:rsidR="00D520EE">
        <w:rPr>
          <w:rFonts w:eastAsia="MS Mincho"/>
          <w:b w:val="0"/>
          <w:i w:val="0"/>
          <w:sz w:val="20"/>
          <w:szCs w:val="20"/>
        </w:rPr>
        <w:t>.</w:t>
      </w:r>
    </w:p>
    <w:p w14:paraId="32662A2D" w14:textId="35C315CF" w:rsidR="00466548" w:rsidRDefault="00466548" w:rsidP="00466548">
      <w:pPr>
        <w:pStyle w:val="keywords"/>
        <w:spacing w:after="0"/>
        <w:ind w:firstLine="0"/>
        <w:rPr>
          <w:rFonts w:eastAsia="MS Mincho"/>
          <w:b w:val="0"/>
          <w:i w:val="0"/>
          <w:sz w:val="20"/>
          <w:szCs w:val="20"/>
        </w:rPr>
      </w:pPr>
    </w:p>
    <w:p w14:paraId="18287F4B" w14:textId="64A81299" w:rsidR="00F7586E" w:rsidRDefault="00F7586E" w:rsidP="00466548">
      <w:pPr>
        <w:pStyle w:val="keywords"/>
        <w:spacing w:after="0"/>
        <w:ind w:firstLine="0"/>
        <w:rPr>
          <w:rFonts w:eastAsia="MS Mincho"/>
          <w:b w:val="0"/>
          <w:i w:val="0"/>
          <w:sz w:val="20"/>
          <w:szCs w:val="20"/>
        </w:rPr>
      </w:pPr>
    </w:p>
    <w:p w14:paraId="146CC4D6" w14:textId="05290300" w:rsidR="008A55B5" w:rsidRDefault="00402841" w:rsidP="00284B1D">
      <w:pPr>
        <w:pStyle w:val="Heading1"/>
        <w:numPr>
          <w:ilvl w:val="0"/>
          <w:numId w:val="0"/>
        </w:numPr>
        <w:spacing w:before="0" w:after="0"/>
        <w:jc w:val="both"/>
        <w:rPr>
          <w:rFonts w:ascii="Times New Roman" w:eastAsia="MS Mincho" w:hAnsi="Times New Roman"/>
          <w:sz w:val="20"/>
          <w:szCs w:val="20"/>
        </w:rPr>
      </w:pPr>
      <w:r w:rsidRPr="00402841">
        <w:rPr>
          <w:rFonts w:ascii="Times New Roman" w:eastAsia="MS Mincho" w:hAnsi="Times New Roman"/>
          <w:sz w:val="20"/>
          <w:szCs w:val="20"/>
        </w:rPr>
        <w:t xml:space="preserve"> INTRODUCTION </w:t>
      </w:r>
    </w:p>
    <w:p w14:paraId="1164C0BD" w14:textId="77777777" w:rsidR="00F7586E" w:rsidRPr="00F7586E" w:rsidRDefault="00F7586E" w:rsidP="00F7586E">
      <w:pPr>
        <w:rPr>
          <w:rFonts w:eastAsia="MS Mincho"/>
        </w:rPr>
      </w:pPr>
    </w:p>
    <w:p w14:paraId="2BC7F9F8" w14:textId="77777777" w:rsidR="00466548" w:rsidRPr="00466548" w:rsidRDefault="00466548" w:rsidP="00466548">
      <w:pPr>
        <w:rPr>
          <w:rFonts w:eastAsia="MS Mincho"/>
        </w:rPr>
      </w:pPr>
    </w:p>
    <w:p w14:paraId="31CD69B9" w14:textId="629B1DC9" w:rsidR="008A55B5" w:rsidRDefault="00D520EE" w:rsidP="00466548">
      <w:pPr>
        <w:pStyle w:val="BodyText"/>
        <w:spacing w:after="0" w:line="240" w:lineRule="auto"/>
        <w:ind w:firstLine="0"/>
      </w:pPr>
      <w:r w:rsidRPr="00D520EE">
        <w:t xml:space="preserve">As biological sciences and food technology have advanced, Food science has evolved from conventional methods of food enhancement, such </w:t>
      </w:r>
      <w:r w:rsidR="00A92805">
        <w:t xml:space="preserve">as </w:t>
      </w:r>
      <w:r w:rsidRPr="00D520EE">
        <w:t xml:space="preserve">the mechanical processing of food. components, to high-tech food processing and design. </w:t>
      </w:r>
      <w:r w:rsidR="00AB4115">
        <w:t>Food production in the future will depend</w:t>
      </w:r>
      <w:r w:rsidRPr="00D520EE">
        <w:t xml:space="preserve"> on developments in synthetic biology, artificial intelligence, additive manufacturing, and tasty (Fig. 1) [1]. Future food production will </w:t>
      </w:r>
      <w:r w:rsidR="00A92805">
        <w:t>utilize</w:t>
      </w:r>
      <w:r w:rsidRPr="00D520EE">
        <w:t xml:space="preserve"> metabolic and enzyme engineering in addition to conventional food processing methods, such as creating biosynthetic pathways to transform renewable raw resources into food components and useful food additives. These technological advancements will solve issues with the quality, safety, and safety of the world's food supply while also advancing food science and technology [2, 3].  </w:t>
      </w:r>
    </w:p>
    <w:p w14:paraId="58E0732C" w14:textId="77777777" w:rsidR="00F7586E" w:rsidRDefault="00F7586E" w:rsidP="00466548">
      <w:pPr>
        <w:pStyle w:val="BodyText"/>
        <w:spacing w:after="0" w:line="240" w:lineRule="auto"/>
        <w:ind w:firstLine="0"/>
      </w:pPr>
    </w:p>
    <w:p w14:paraId="33E5B5CA" w14:textId="145670AA" w:rsidR="00D520EE" w:rsidRDefault="00D520EE" w:rsidP="00D520EE">
      <w:pPr>
        <w:jc w:val="both"/>
      </w:pPr>
      <w:r w:rsidRPr="00733B32">
        <w:t xml:space="preserve">Future food production employing cell culture has the potential to expand land </w:t>
      </w:r>
      <w:r w:rsidR="00A92805" w:rsidRPr="00733B32">
        <w:t>utilization</w:t>
      </w:r>
      <w:r w:rsidRPr="00733B32">
        <w:t xml:space="preserve"> by 1,000 times, consume &gt; 90% less water, and emit 87% less greenhouse gas than traditional food businesses [1, 4]. In terms of health, safety, nutrition, and environmental effect, foods like artificial meat (including plant-based and cell-cultured varieties) outperform traditional meat production in a big way. Impossible Foods Inc., Beyond Meat, and Memphis Meats are current biotech firms that have spent money to create and market fake meat and other future foods.</w:t>
      </w:r>
      <w:r>
        <w:t xml:space="preserve"> </w:t>
      </w:r>
    </w:p>
    <w:p w14:paraId="1E3227AE" w14:textId="77777777" w:rsidR="00F7586E" w:rsidRDefault="00F7586E" w:rsidP="00D520EE">
      <w:pPr>
        <w:jc w:val="both"/>
      </w:pPr>
    </w:p>
    <w:p w14:paraId="72407158" w14:textId="18D2E9A5" w:rsidR="00F7586E" w:rsidRDefault="00F7586E" w:rsidP="00D520EE">
      <w:pPr>
        <w:jc w:val="both"/>
      </w:pPr>
      <w:r w:rsidRPr="00733B32">
        <w:t xml:space="preserve">Food processing requires the creation of effective methods for modifying and improving </w:t>
      </w:r>
      <w:r w:rsidR="00AB4115">
        <w:t>synthetic meat's flavor, texture, and nutritional qualities</w:t>
      </w:r>
      <w:r w:rsidRPr="00733B32">
        <w:t xml:space="preserve">. Enzyme-based technology has emerged as a potent instrument for the </w:t>
      </w:r>
      <w:r w:rsidR="00A92805" w:rsidRPr="00A92805">
        <w:t xml:space="preserve">fast expansion of the food industry since it cuts down on processing time, material costs, and energy requirements while </w:t>
      </w:r>
      <w:r w:rsidRPr="00733B32">
        <w:t>being non-toxic and environmentally beneficial [5, 6].</w:t>
      </w:r>
      <w:r w:rsidRPr="00F7586E">
        <w:t xml:space="preserve"> </w:t>
      </w:r>
      <w:r w:rsidRPr="00733B32">
        <w:t>As a case study, glutamine transaminase</w:t>
      </w:r>
      <w:r>
        <w:t xml:space="preserve"> </w:t>
      </w:r>
      <w:r w:rsidRPr="00393C56">
        <w:t>(</w:t>
      </w:r>
      <w:proofErr w:type="spellStart"/>
      <w:r w:rsidRPr="00393C56">
        <w:t>TGase</w:t>
      </w:r>
      <w:proofErr w:type="spellEnd"/>
      <w:r w:rsidRPr="00393C56">
        <w:t>) and protease were optimized to alter the degree of cross-linkage and degrade allergens for texture improvement in food processing [7].</w:t>
      </w:r>
    </w:p>
    <w:p w14:paraId="287166F9" w14:textId="218827AA" w:rsidR="004958AD" w:rsidRDefault="004958AD" w:rsidP="00D520EE">
      <w:pPr>
        <w:jc w:val="both"/>
      </w:pPr>
    </w:p>
    <w:p w14:paraId="7F6669FD" w14:textId="0BB006E8" w:rsidR="004958AD" w:rsidRDefault="004958AD" w:rsidP="00D520EE">
      <w:pPr>
        <w:jc w:val="both"/>
      </w:pPr>
      <w:r w:rsidRPr="004958AD">
        <w:rPr>
          <w:noProof/>
        </w:rPr>
        <w:lastRenderedPageBreak/>
        <w:drawing>
          <wp:inline distT="0" distB="0" distL="0" distR="0" wp14:anchorId="0C2D3E0E" wp14:editId="122FB47A">
            <wp:extent cx="5733415" cy="330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308350"/>
                    </a:xfrm>
                    <a:prstGeom prst="rect">
                      <a:avLst/>
                    </a:prstGeom>
                    <a:noFill/>
                    <a:ln>
                      <a:noFill/>
                    </a:ln>
                  </pic:spPr>
                </pic:pic>
              </a:graphicData>
            </a:graphic>
          </wp:inline>
        </w:drawing>
      </w:r>
    </w:p>
    <w:p w14:paraId="04482826" w14:textId="5F38F4B2" w:rsidR="004958AD" w:rsidRDefault="004958AD" w:rsidP="00D520EE">
      <w:pPr>
        <w:jc w:val="both"/>
      </w:pPr>
    </w:p>
    <w:p w14:paraId="128DA00B" w14:textId="2088308C" w:rsidR="004958AD" w:rsidRPr="00A87616" w:rsidRDefault="004958AD" w:rsidP="004958AD">
      <w:pPr>
        <w:pStyle w:val="figurecaption"/>
        <w:numPr>
          <w:ilvl w:val="0"/>
          <w:numId w:val="0"/>
        </w:numPr>
        <w:rPr>
          <w:rFonts w:eastAsia="MS Mincho"/>
          <w:b/>
          <w:color w:val="C0504D" w:themeColor="accent2"/>
        </w:rPr>
      </w:pPr>
      <w:r w:rsidRPr="004958AD">
        <w:rPr>
          <w:rFonts w:eastAsia="MS Mincho"/>
          <w:b/>
          <w:sz w:val="20"/>
          <w:szCs w:val="20"/>
        </w:rPr>
        <w:t>Fig</w:t>
      </w:r>
      <w:r w:rsidR="00543851">
        <w:rPr>
          <w:rFonts w:eastAsia="MS Mincho"/>
          <w:b/>
          <w:sz w:val="20"/>
          <w:szCs w:val="20"/>
        </w:rPr>
        <w:t>ure</w:t>
      </w:r>
      <w:r w:rsidRPr="004958AD">
        <w:rPr>
          <w:rFonts w:eastAsia="MS Mincho"/>
          <w:b/>
          <w:sz w:val="20"/>
          <w:szCs w:val="20"/>
        </w:rPr>
        <w:t xml:space="preserve"> 1</w:t>
      </w:r>
      <w:r w:rsidR="00E0289A">
        <w:rPr>
          <w:rFonts w:eastAsia="MS Mincho"/>
          <w:b/>
          <w:sz w:val="20"/>
          <w:szCs w:val="20"/>
        </w:rPr>
        <w:t xml:space="preserve">. </w:t>
      </w:r>
      <w:r w:rsidRPr="004958AD">
        <w:rPr>
          <w:rFonts w:eastAsia="MS Mincho"/>
          <w:b/>
          <w:sz w:val="20"/>
          <w:szCs w:val="20"/>
        </w:rPr>
        <w:t xml:space="preserve">The Future mode of food production. </w:t>
      </w:r>
      <w:r w:rsidR="00AB4115">
        <w:rPr>
          <w:rFonts w:eastAsia="MS Mincho"/>
          <w:b/>
          <w:sz w:val="20"/>
          <w:szCs w:val="20"/>
        </w:rPr>
        <w:t>Future</w:t>
      </w:r>
      <w:r w:rsidRPr="004958AD">
        <w:rPr>
          <w:rFonts w:eastAsia="MS Mincho"/>
          <w:b/>
          <w:sz w:val="20"/>
          <w:szCs w:val="20"/>
        </w:rPr>
        <w:t xml:space="preserve"> artificial foods production would be involved in different advanced</w:t>
      </w:r>
      <w:r w:rsidR="00A03744">
        <w:rPr>
          <w:rFonts w:eastAsia="MS Mincho"/>
          <w:b/>
          <w:sz w:val="20"/>
          <w:szCs w:val="20"/>
        </w:rPr>
        <w:t xml:space="preserve"> </w:t>
      </w:r>
      <w:r w:rsidRPr="004958AD">
        <w:rPr>
          <w:rFonts w:eastAsia="MS Mincho"/>
          <w:b/>
          <w:sz w:val="20"/>
          <w:szCs w:val="20"/>
        </w:rPr>
        <w:t>technologies, such as</w:t>
      </w:r>
      <w:r>
        <w:rPr>
          <w:rFonts w:eastAsia="MS Mincho"/>
          <w:b/>
          <w:sz w:val="20"/>
          <w:szCs w:val="20"/>
        </w:rPr>
        <w:t xml:space="preserve"> </w:t>
      </w:r>
      <w:r w:rsidRPr="004958AD">
        <w:rPr>
          <w:rFonts w:eastAsia="MS Mincho"/>
          <w:b/>
          <w:sz w:val="20"/>
          <w:szCs w:val="20"/>
        </w:rPr>
        <w:t xml:space="preserve">neural </w:t>
      </w:r>
      <w:r w:rsidR="00A92805">
        <w:rPr>
          <w:rFonts w:eastAsia="MS Mincho"/>
          <w:b/>
          <w:sz w:val="20"/>
          <w:szCs w:val="20"/>
        </w:rPr>
        <w:t>networks</w:t>
      </w:r>
      <w:r w:rsidRPr="004958AD">
        <w:rPr>
          <w:rFonts w:eastAsia="MS Mincho"/>
          <w:b/>
          <w:sz w:val="20"/>
          <w:szCs w:val="20"/>
        </w:rPr>
        <w:t>, fermentation engineering, metabolic engineering, food synthetic biology, enzyme engineering</w:t>
      </w:r>
      <w:r w:rsidR="00A92805">
        <w:rPr>
          <w:rFonts w:eastAsia="MS Mincho"/>
          <w:b/>
          <w:sz w:val="20"/>
          <w:szCs w:val="20"/>
        </w:rPr>
        <w:t>,</w:t>
      </w:r>
      <w:r w:rsidRPr="004958AD">
        <w:rPr>
          <w:rFonts w:eastAsia="MS Mincho"/>
          <w:b/>
          <w:sz w:val="20"/>
          <w:szCs w:val="20"/>
        </w:rPr>
        <w:t xml:space="preserve"> and 3D printing technology</w:t>
      </w:r>
      <w:r w:rsidRPr="00A87616">
        <w:rPr>
          <w:rFonts w:eastAsia="MS Mincho"/>
          <w:b/>
        </w:rPr>
        <w:t>.</w:t>
      </w:r>
      <w:r w:rsidR="00260730">
        <w:rPr>
          <w:rFonts w:eastAsia="MS Mincho"/>
          <w:b/>
        </w:rPr>
        <w:t>(</w:t>
      </w:r>
      <w:r w:rsidR="00AB4115">
        <w:rPr>
          <w:rFonts w:eastAsia="MS Mincho"/>
          <w:b/>
        </w:rPr>
        <w:t>cupping</w:t>
      </w:r>
      <w:r w:rsidR="001D17AB" w:rsidRPr="00A87616">
        <w:rPr>
          <w:rFonts w:eastAsia="MS Mincho"/>
          <w:b/>
        </w:rPr>
        <w:t xml:space="preserve"> et al. (2020) </w:t>
      </w:r>
      <w:r w:rsidR="00AB4115">
        <w:rPr>
          <w:rFonts w:eastAsia="MS Mincho"/>
          <w:b/>
        </w:rPr>
        <w:t>Current</w:t>
      </w:r>
      <w:r w:rsidR="001D17AB" w:rsidRPr="00A87616">
        <w:rPr>
          <w:rFonts w:eastAsia="MS Mincho"/>
          <w:b/>
        </w:rPr>
        <w:t xml:space="preserve"> progress and</w:t>
      </w:r>
      <w:r w:rsidR="00C031C4" w:rsidRPr="00A87616">
        <w:rPr>
          <w:rFonts w:eastAsia="MS Mincho"/>
          <w:b/>
        </w:rPr>
        <w:t xml:space="preserve"> prospects of enzyme technology in future foods).</w:t>
      </w:r>
    </w:p>
    <w:p w14:paraId="07E7E3D9" w14:textId="638C9B4B" w:rsidR="004958AD" w:rsidRPr="00F7586E" w:rsidRDefault="004958AD" w:rsidP="00F7586E">
      <w:pPr>
        <w:pStyle w:val="figurecaption"/>
        <w:numPr>
          <w:ilvl w:val="0"/>
          <w:numId w:val="0"/>
        </w:numPr>
        <w:spacing w:before="0" w:after="0"/>
        <w:jc w:val="center"/>
        <w:rPr>
          <w:rFonts w:eastAsia="MS Mincho"/>
          <w:b/>
          <w:sz w:val="20"/>
          <w:szCs w:val="20"/>
        </w:rPr>
      </w:pPr>
    </w:p>
    <w:p w14:paraId="5AE6EDCB" w14:textId="10B43A06" w:rsidR="00D520EE" w:rsidRDefault="00D520EE" w:rsidP="00D520EE">
      <w:pPr>
        <w:jc w:val="both"/>
      </w:pPr>
      <w:r w:rsidRPr="00393C56">
        <w:t xml:space="preserve">Currently, enzymes are also used to improve nutritional aspects and utilization efficiency of raw materials and provide methods to customize </w:t>
      </w:r>
      <w:r w:rsidR="00B46120" w:rsidRPr="00393C56">
        <w:t>flavo</w:t>
      </w:r>
      <w:r w:rsidR="00B46120">
        <w:t>r</w:t>
      </w:r>
      <w:r w:rsidRPr="00393C56">
        <w:t xml:space="preserve"> profiles of food (Fig. 2). This review focuses on the applications of enzyme technology in future food production, including food texture improvement, nutritional safety enhancement, and </w:t>
      </w:r>
      <w:r w:rsidR="00B46120" w:rsidRPr="00393C56">
        <w:t>flavo</w:t>
      </w:r>
      <w:r w:rsidR="00B46120">
        <w:t>r</w:t>
      </w:r>
      <w:r w:rsidRPr="00393C56">
        <w:t xml:space="preserve"> optimization (see Table 1). Furthermore, the prospects of enzyme technologies are also discussed.</w:t>
      </w:r>
    </w:p>
    <w:p w14:paraId="195EE518" w14:textId="77777777" w:rsidR="00D520EE" w:rsidRDefault="00D520EE" w:rsidP="00466548">
      <w:pPr>
        <w:pStyle w:val="BodyText"/>
        <w:spacing w:after="0" w:line="240" w:lineRule="auto"/>
        <w:ind w:firstLine="0"/>
      </w:pPr>
    </w:p>
    <w:p w14:paraId="35A89A95" w14:textId="0A71D76E" w:rsidR="00D520EE" w:rsidRPr="00A301C1" w:rsidRDefault="005D3C61" w:rsidP="00A92805">
      <w:pPr>
        <w:pStyle w:val="Heading1"/>
        <w:numPr>
          <w:ilvl w:val="0"/>
          <w:numId w:val="0"/>
        </w:numPr>
        <w:jc w:val="both"/>
        <w:rPr>
          <w:rFonts w:ascii="Times New Roman" w:eastAsia="MS Mincho" w:hAnsi="Times New Roman"/>
          <w:sz w:val="24"/>
          <w:szCs w:val="24"/>
        </w:rPr>
      </w:pPr>
      <w:r>
        <w:rPr>
          <w:rFonts w:ascii="Times New Roman" w:eastAsia="MS Mincho" w:hAnsi="Times New Roman"/>
          <w:sz w:val="24"/>
          <w:szCs w:val="24"/>
        </w:rPr>
        <w:t xml:space="preserve">Applications of enzyme-based </w:t>
      </w:r>
      <w:r w:rsidR="00AB4115">
        <w:rPr>
          <w:rFonts w:ascii="Times New Roman" w:eastAsia="MS Mincho" w:hAnsi="Times New Roman"/>
          <w:sz w:val="24"/>
          <w:szCs w:val="24"/>
        </w:rPr>
        <w:t>Technology</w:t>
      </w:r>
      <w:r>
        <w:rPr>
          <w:rFonts w:ascii="Times New Roman" w:eastAsia="MS Mincho" w:hAnsi="Times New Roman"/>
          <w:sz w:val="24"/>
          <w:szCs w:val="24"/>
        </w:rPr>
        <w:t xml:space="preserve"> in future food </w:t>
      </w:r>
      <w:r w:rsidR="00284B1D">
        <w:rPr>
          <w:rFonts w:ascii="Times New Roman" w:eastAsia="MS Mincho" w:hAnsi="Times New Roman"/>
          <w:sz w:val="24"/>
          <w:szCs w:val="24"/>
        </w:rPr>
        <w:t>Production</w:t>
      </w:r>
    </w:p>
    <w:p w14:paraId="1924B71C" w14:textId="77777777" w:rsidR="00466548" w:rsidRPr="00466548" w:rsidRDefault="00466548" w:rsidP="00466548">
      <w:pPr>
        <w:rPr>
          <w:rFonts w:eastAsia="MS Mincho"/>
        </w:rPr>
      </w:pPr>
    </w:p>
    <w:p w14:paraId="1DB197D0" w14:textId="023AEF8B" w:rsidR="00A301C1" w:rsidRPr="00A301C1" w:rsidRDefault="00A301C1" w:rsidP="00A301C1">
      <w:pPr>
        <w:jc w:val="both"/>
        <w:rPr>
          <w:rFonts w:eastAsia="MyriadPro-BoldSemiCn"/>
          <w:b/>
          <w:bCs/>
        </w:rPr>
      </w:pPr>
      <w:r w:rsidRPr="00A301C1">
        <w:rPr>
          <w:rFonts w:eastAsia="MyriadPro-BoldSemiCn"/>
          <w:b/>
          <w:bCs/>
        </w:rPr>
        <w:t>Food texture improvement</w:t>
      </w:r>
    </w:p>
    <w:p w14:paraId="55BF6042" w14:textId="2E857078" w:rsidR="00767BF4" w:rsidRDefault="00520240" w:rsidP="00A301C1">
      <w:pPr>
        <w:jc w:val="both"/>
      </w:pPr>
      <w:r w:rsidRPr="00520240">
        <w:t xml:space="preserve">The quality of food is significantly influenced by texture, which makes it a prime candidate for structural and function modification via enzyme technologies. Transglutaminase, as an illustration, may encourage the crosslinking of glutamine and lysine protein residues in meat products, which lowers the </w:t>
      </w:r>
      <w:r w:rsidR="00AB4115">
        <w:t>number</w:t>
      </w:r>
      <w:r w:rsidRPr="00520240">
        <w:t xml:space="preserve"> of raw materials needed for manufacturing and gives the meat products a texture comparable to entire fresh flesh [8]. When compared to the conventional chemical procedure of adding a lot of sodium chloride or sodium phosphate salts, </w:t>
      </w:r>
      <w:proofErr w:type="spellStart"/>
      <w:r w:rsidRPr="00520240">
        <w:t>TGase</w:t>
      </w:r>
      <w:proofErr w:type="spellEnd"/>
      <w:r w:rsidRPr="00520240">
        <w:t xml:space="preserve">-processed meat products are substantially healthier [9]. Milk proteins, minced fish, and sausages have been processed using </w:t>
      </w:r>
      <w:proofErr w:type="spellStart"/>
      <w:r w:rsidRPr="00520240">
        <w:t>TGase</w:t>
      </w:r>
      <w:proofErr w:type="spellEnd"/>
      <w:r w:rsidRPr="00520240">
        <w:t xml:space="preserve">. The gel texture is improved by this crosslinking. by boosting the gel's water-holding capacity, viscosity, and stiffness [10]. However, due to its lack of enzymatic capabilities and restricted residue substrate range, </w:t>
      </w:r>
      <w:proofErr w:type="spellStart"/>
      <w:r w:rsidRPr="00520240">
        <w:t>TGase</w:t>
      </w:r>
      <w:proofErr w:type="spellEnd"/>
      <w:r w:rsidRPr="00520240">
        <w:t xml:space="preserve"> has just a few crosslinking uses [7]. By creating covalent connections between tyrosine residues, other enzymes like laccase can crosslink milk proteins [11], and laccase may enhance the viscoelastic characteristics of skim milk gels [12]. Additionally, protein crosslinking may be accomplished by polyphenol oxidase [13]. Li et al. discovered that casein emulsification rose by 10% and emulsion stability increased by 6% after crosslinking when they tested the crosslinking impact of horseradish peroxidase on casein in the presence of hydrogen peroxide [14]. Additionally, a significant approach for modifying protein texture is the covalent fusing of fatty acids with proteins [15]. For instance, fatty-acylated proteins can alter the </w:t>
      </w:r>
      <w:r w:rsidR="00A301C1" w:rsidRPr="009E5E0A">
        <w:t>chemical and physical structural characteristics of proteins derived from plants to increase their ability to store</w:t>
      </w:r>
      <w:r w:rsidR="00A301C1">
        <w:t xml:space="preserve"> oil.</w:t>
      </w:r>
      <w:r w:rsidR="008A55B5" w:rsidRPr="00466548">
        <w:t xml:space="preserve"> </w:t>
      </w:r>
    </w:p>
    <w:p w14:paraId="2E64143A" w14:textId="77777777" w:rsidR="00BB088C" w:rsidRDefault="00BB088C" w:rsidP="00A301C1">
      <w:pPr>
        <w:jc w:val="both"/>
      </w:pPr>
    </w:p>
    <w:p w14:paraId="29DCA83B" w14:textId="5068D3EE" w:rsidR="004171C7" w:rsidRDefault="004171C7" w:rsidP="00466548">
      <w:pPr>
        <w:pStyle w:val="BodyText"/>
        <w:spacing w:after="0" w:line="240" w:lineRule="auto"/>
        <w:ind w:firstLine="0"/>
      </w:pPr>
    </w:p>
    <w:p w14:paraId="609729A6" w14:textId="372CC4BA" w:rsidR="00BB088C" w:rsidRDefault="00BB088C" w:rsidP="00466548">
      <w:pPr>
        <w:pStyle w:val="BodyText"/>
        <w:spacing w:after="0" w:line="240" w:lineRule="auto"/>
        <w:ind w:firstLine="0"/>
      </w:pPr>
      <w:r w:rsidRPr="00BB088C">
        <w:rPr>
          <w:noProof/>
        </w:rPr>
        <w:lastRenderedPageBreak/>
        <w:drawing>
          <wp:inline distT="0" distB="0" distL="0" distR="0" wp14:anchorId="779DC295" wp14:editId="4169BA8E">
            <wp:extent cx="5733415" cy="502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5020945"/>
                    </a:xfrm>
                    <a:prstGeom prst="rect">
                      <a:avLst/>
                    </a:prstGeom>
                    <a:noFill/>
                    <a:ln>
                      <a:noFill/>
                    </a:ln>
                  </pic:spPr>
                </pic:pic>
              </a:graphicData>
            </a:graphic>
          </wp:inline>
        </w:drawing>
      </w:r>
    </w:p>
    <w:p w14:paraId="1CE34BBD" w14:textId="56DD57A4" w:rsidR="00BB088C" w:rsidRDefault="00BB088C" w:rsidP="00466548">
      <w:pPr>
        <w:pStyle w:val="BodyText"/>
        <w:spacing w:after="0" w:line="240" w:lineRule="auto"/>
        <w:ind w:firstLine="0"/>
      </w:pPr>
    </w:p>
    <w:p w14:paraId="04782172" w14:textId="0FA7D75A" w:rsidR="00BB088C" w:rsidRDefault="00BB088C" w:rsidP="00466548">
      <w:pPr>
        <w:pStyle w:val="BodyText"/>
        <w:spacing w:after="0" w:line="240" w:lineRule="auto"/>
        <w:ind w:firstLine="0"/>
      </w:pPr>
    </w:p>
    <w:p w14:paraId="79F9E0D6" w14:textId="106E3440" w:rsidR="00A87616" w:rsidRPr="00A87616" w:rsidRDefault="00BB088C" w:rsidP="00A87616">
      <w:pPr>
        <w:pStyle w:val="figurecaption"/>
        <w:numPr>
          <w:ilvl w:val="0"/>
          <w:numId w:val="0"/>
        </w:numPr>
        <w:rPr>
          <w:rFonts w:eastAsia="MS Mincho"/>
          <w:b/>
          <w:color w:val="C0504D" w:themeColor="accent2"/>
        </w:rPr>
      </w:pPr>
      <w:r w:rsidRPr="000B5B2F">
        <w:rPr>
          <w:rFonts w:eastAsia="MS Mincho"/>
          <w:b/>
          <w:sz w:val="20"/>
          <w:szCs w:val="20"/>
        </w:rPr>
        <w:t xml:space="preserve">Figure </w:t>
      </w:r>
      <w:r>
        <w:rPr>
          <w:rFonts w:eastAsia="MS Mincho"/>
          <w:b/>
          <w:sz w:val="20"/>
          <w:szCs w:val="20"/>
        </w:rPr>
        <w:t>2</w:t>
      </w:r>
      <w:r w:rsidRPr="000B5B2F">
        <w:rPr>
          <w:rFonts w:eastAsia="MS Mincho"/>
          <w:b/>
          <w:sz w:val="20"/>
          <w:szCs w:val="20"/>
        </w:rPr>
        <w:t xml:space="preserve">: </w:t>
      </w:r>
      <w:r w:rsidR="00A03744" w:rsidRPr="00A03744">
        <w:rPr>
          <w:rFonts w:eastAsia="MS Mincho"/>
          <w:b/>
          <w:sz w:val="20"/>
          <w:szCs w:val="20"/>
        </w:rPr>
        <w:t xml:space="preserve">Applications of enzyme-based technologies in future foods fields. Enzyme-based technologies </w:t>
      </w:r>
      <w:r w:rsidR="00AB4115">
        <w:rPr>
          <w:rFonts w:eastAsia="MS Mincho"/>
          <w:b/>
          <w:sz w:val="20"/>
          <w:szCs w:val="20"/>
        </w:rPr>
        <w:t>are</w:t>
      </w:r>
      <w:r w:rsidR="00A03744" w:rsidRPr="00A03744">
        <w:rPr>
          <w:rFonts w:eastAsia="MS Mincho"/>
          <w:b/>
          <w:sz w:val="20"/>
          <w:szCs w:val="20"/>
        </w:rPr>
        <w:t xml:space="preserve"> mainly used in the improvement of structure, nutrition, color, and flavor of future </w:t>
      </w:r>
      <w:r w:rsidR="00AB4115">
        <w:rPr>
          <w:rFonts w:eastAsia="MS Mincho"/>
          <w:b/>
          <w:sz w:val="20"/>
          <w:szCs w:val="20"/>
        </w:rPr>
        <w:t>food</w:t>
      </w:r>
      <w:r w:rsidR="00A03744" w:rsidRPr="00A03744">
        <w:rPr>
          <w:rFonts w:eastAsia="MS Mincho"/>
          <w:b/>
          <w:sz w:val="20"/>
          <w:szCs w:val="20"/>
        </w:rPr>
        <w:t xml:space="preserve"> manufacturing as well as in the analysis of food ingredients and the detection of pathogens, antibiotics</w:t>
      </w:r>
      <w:r w:rsidR="00AB4115">
        <w:rPr>
          <w:rFonts w:eastAsia="MS Mincho"/>
          <w:b/>
          <w:sz w:val="20"/>
          <w:szCs w:val="20"/>
        </w:rPr>
        <w:t>,</w:t>
      </w:r>
      <w:r w:rsidR="00A03744" w:rsidRPr="00A03744">
        <w:rPr>
          <w:rFonts w:eastAsia="MS Mincho"/>
          <w:b/>
          <w:sz w:val="20"/>
          <w:szCs w:val="20"/>
        </w:rPr>
        <w:t xml:space="preserve"> and toxins</w:t>
      </w:r>
      <w:r w:rsidR="00937636">
        <w:rPr>
          <w:rFonts w:eastAsia="MS Mincho"/>
          <w:b/>
          <w:sz w:val="20"/>
          <w:szCs w:val="20"/>
        </w:rPr>
        <w:t>.</w:t>
      </w:r>
      <w:r w:rsidR="00A87616">
        <w:rPr>
          <w:rFonts w:eastAsia="MS Mincho"/>
          <w:b/>
          <w:sz w:val="20"/>
          <w:szCs w:val="20"/>
        </w:rPr>
        <w:t xml:space="preserve"> </w:t>
      </w:r>
      <w:r w:rsidR="00A87616" w:rsidRPr="00A87616">
        <w:rPr>
          <w:rFonts w:eastAsia="MS Mincho"/>
          <w:b/>
        </w:rPr>
        <w:t xml:space="preserve">(Reference, </w:t>
      </w:r>
      <w:r w:rsidR="00AB4115">
        <w:rPr>
          <w:rFonts w:eastAsia="MS Mincho"/>
          <w:b/>
        </w:rPr>
        <w:t>cupping</w:t>
      </w:r>
      <w:r w:rsidR="00A87616" w:rsidRPr="00A87616">
        <w:rPr>
          <w:rFonts w:eastAsia="MS Mincho"/>
          <w:b/>
        </w:rPr>
        <w:t xml:space="preserve"> et al. (2020) </w:t>
      </w:r>
      <w:r w:rsidR="00AB4115">
        <w:rPr>
          <w:rFonts w:eastAsia="MS Mincho"/>
          <w:b/>
        </w:rPr>
        <w:t>Current</w:t>
      </w:r>
      <w:r w:rsidR="00A87616" w:rsidRPr="00A87616">
        <w:rPr>
          <w:rFonts w:eastAsia="MS Mincho"/>
          <w:b/>
        </w:rPr>
        <w:t xml:space="preserve"> progress and prospects of enzyme technology in future foods).</w:t>
      </w:r>
    </w:p>
    <w:p w14:paraId="35C667A8" w14:textId="02335A0C" w:rsidR="00BB088C" w:rsidRPr="000B5B2F" w:rsidRDefault="00BB088C" w:rsidP="00BB088C">
      <w:pPr>
        <w:pStyle w:val="figurecaption"/>
        <w:numPr>
          <w:ilvl w:val="0"/>
          <w:numId w:val="0"/>
        </w:numPr>
        <w:spacing w:before="0" w:after="0"/>
        <w:jc w:val="center"/>
        <w:rPr>
          <w:rFonts w:eastAsia="MS Mincho"/>
          <w:b/>
          <w:sz w:val="20"/>
          <w:szCs w:val="20"/>
        </w:rPr>
      </w:pPr>
    </w:p>
    <w:p w14:paraId="34FD4F5E" w14:textId="74DAA169" w:rsidR="00BB088C" w:rsidRDefault="00BB088C" w:rsidP="00466548">
      <w:pPr>
        <w:pStyle w:val="BodyText"/>
        <w:spacing w:after="0" w:line="240" w:lineRule="auto"/>
        <w:ind w:firstLine="0"/>
      </w:pPr>
    </w:p>
    <w:p w14:paraId="36CAD090" w14:textId="1DAFFD8E" w:rsidR="00BB088C" w:rsidRDefault="00BB088C" w:rsidP="00466548">
      <w:pPr>
        <w:pStyle w:val="BodyText"/>
        <w:spacing w:after="0" w:line="240" w:lineRule="auto"/>
        <w:ind w:firstLine="0"/>
      </w:pPr>
    </w:p>
    <w:p w14:paraId="039EF0E1" w14:textId="77777777" w:rsidR="00BB088C" w:rsidRPr="00466548" w:rsidRDefault="00BB088C" w:rsidP="00466548">
      <w:pPr>
        <w:pStyle w:val="BodyText"/>
        <w:spacing w:after="0" w:line="240" w:lineRule="auto"/>
        <w:ind w:firstLine="0"/>
      </w:pPr>
    </w:p>
    <w:p w14:paraId="685264C9" w14:textId="77777777" w:rsidR="00A301C1" w:rsidRPr="00A301C1" w:rsidRDefault="00A301C1" w:rsidP="00A301C1">
      <w:pPr>
        <w:jc w:val="both"/>
        <w:rPr>
          <w:rFonts w:eastAsia="MyriadPro-BoldSemiCn"/>
          <w:b/>
          <w:bCs/>
        </w:rPr>
      </w:pPr>
      <w:r w:rsidRPr="00A301C1">
        <w:rPr>
          <w:rFonts w:eastAsia="MyriadPro-BoldSemiCn"/>
          <w:b/>
          <w:bCs/>
        </w:rPr>
        <w:t>Food safety</w:t>
      </w:r>
    </w:p>
    <w:p w14:paraId="04B10915" w14:textId="4ED256A2" w:rsidR="00520240" w:rsidRDefault="00520240" w:rsidP="00520240">
      <w:pPr>
        <w:jc w:val="both"/>
      </w:pPr>
      <w:r w:rsidRPr="00520240">
        <w:t xml:space="preserve">Allergies and antibiotic contamination have created widespread public concern about food quality and safety [16]. Plant-based proteins like soy protein are restricted due to allergies to -conglycinin and soy globulin [17], and it is vital to lower the concentration of these allergens in </w:t>
      </w:r>
      <w:r w:rsidR="00AB4115">
        <w:t xml:space="preserve">the </w:t>
      </w:r>
      <w:r w:rsidRPr="00520240">
        <w:t>next food manufacturing to avoid health issues. Numerous investigations [18] have shown that the proteases papain and pepsin may hydrolyze soybean allergens and diminish allergenicity. Chymotrypsin's breakdown of 11S glycinin significantly reduces its allergenicity, according to "Lee et al." [19]. Enzyme-based technologies offer a significant advantage in lowering allergenicity when compared to conventional physical and chemical techniques, which have harsher processing conditions, poorer selectivity (degrade all proteins), and higher toxicity [20Alterations to proteins (such glycosylation) are another method for treating dietary protein allergies. Glycinin (11S)'s antigenicity dropped by around 30% after glycosylation, suggesting that glycosylase may be a helpful enzyme for lowering the allergic response to soy products [21]. In the dairy industry, veterinary medications, in particular penicillin and cephalosporin, are often used. Because of the excessive usage of these antibiotics, milk</w:t>
      </w:r>
      <w:r w:rsidR="00AB4115">
        <w:t>,</w:t>
      </w:r>
      <w:r w:rsidRPr="00520240">
        <w:t xml:space="preserve"> and meat products can frequently get contaminated [22, 23]. </w:t>
      </w:r>
      <w:r>
        <w:t xml:space="preserve">Therefore, developing efficient and precise enzyme-based methods to monitor the product composition may ensure food safety [24]. </w:t>
      </w:r>
    </w:p>
    <w:p w14:paraId="16B625FA" w14:textId="77777777" w:rsidR="00520240" w:rsidRDefault="00520240" w:rsidP="00520240">
      <w:pPr>
        <w:jc w:val="both"/>
      </w:pPr>
      <w:r>
        <w:lastRenderedPageBreak/>
        <w:t>In general, it is critical to decrease allergens, antibiotics, and other dangerous components in raw materials to produce healthful and nutrient-dense food. The use of enzyme technology might make food processing in the future safer, more efficient, and environmentally beneficial. These enzymes might be made using microbial fermentation, which provides scalable extraction techniques, affordable manufacturing prices, and small industrial footprints. Fermentation may also supply tailored enzymes to eliminate particular sensitivities and dangerous substances.</w:t>
      </w:r>
    </w:p>
    <w:p w14:paraId="374B5C27" w14:textId="64DB95E6" w:rsidR="00A301C1" w:rsidRDefault="00A301C1" w:rsidP="00520240">
      <w:pPr>
        <w:jc w:val="both"/>
      </w:pPr>
    </w:p>
    <w:p w14:paraId="36F249A7" w14:textId="080060F1" w:rsidR="00A301C1" w:rsidRDefault="00A301C1" w:rsidP="00466548">
      <w:pPr>
        <w:pStyle w:val="BodyText"/>
        <w:spacing w:after="0" w:line="240" w:lineRule="auto"/>
        <w:ind w:firstLine="0"/>
      </w:pPr>
    </w:p>
    <w:p w14:paraId="33ED04A5" w14:textId="77777777" w:rsidR="00CB7398" w:rsidRPr="006116A9" w:rsidRDefault="00CB7398" w:rsidP="00CB7398">
      <w:pPr>
        <w:jc w:val="both"/>
        <w:rPr>
          <w:rFonts w:eastAsia="MyriadPro-BoldSemiCn"/>
          <w:b/>
          <w:bCs/>
        </w:rPr>
      </w:pPr>
      <w:r w:rsidRPr="006116A9">
        <w:rPr>
          <w:rFonts w:eastAsia="MyriadPro-BoldSemiCn"/>
          <w:b/>
          <w:bCs/>
        </w:rPr>
        <w:t>Nutrition and flavor enhancements</w:t>
      </w:r>
    </w:p>
    <w:p w14:paraId="238D812D" w14:textId="41DB9B51" w:rsidR="006116A9" w:rsidRDefault="006116A9" w:rsidP="006116A9">
      <w:pPr>
        <w:jc w:val="both"/>
      </w:pPr>
      <w:r w:rsidRPr="006116A9">
        <w:t xml:space="preserve">Food experts are always coming up with new ways to improve the </w:t>
      </w:r>
      <w:r w:rsidR="00AB4115">
        <w:t>flavor</w:t>
      </w:r>
      <w:r w:rsidRPr="006116A9">
        <w:t xml:space="preserve"> profile and boost nutrients </w:t>
      </w:r>
      <w:r w:rsidR="00AB4115">
        <w:t>to</w:t>
      </w:r>
      <w:r w:rsidRPr="006116A9">
        <w:t xml:space="preserve"> meet the growing demand for palatable food. Enzyme technology improves the </w:t>
      </w:r>
      <w:r w:rsidR="00AB4115">
        <w:t>color</w:t>
      </w:r>
      <w:r w:rsidRPr="006116A9">
        <w:t xml:space="preserve">, </w:t>
      </w:r>
      <w:proofErr w:type="spellStart"/>
      <w:r w:rsidRPr="006116A9">
        <w:t>flavour</w:t>
      </w:r>
      <w:proofErr w:type="spellEnd"/>
      <w:r w:rsidRPr="006116A9">
        <w:t xml:space="preserve">, and nutritional value of food production through the enzymatic degradation of animal or plant sources. Veggie proteins [25]. Heat may be used to produce beef-flavored additives such </w:t>
      </w:r>
      <w:r w:rsidR="00AB4115">
        <w:t xml:space="preserve">as </w:t>
      </w:r>
      <w:r w:rsidRPr="006116A9">
        <w:t>mercaptan, pyrazine, thiazole, and disulfide from enzyme hydrolysates and other precursors of mushroom protein [26].</w:t>
      </w:r>
      <w:r>
        <w:t xml:space="preserve"> The fatty acid linolenic acid, which may be created in the bacterial host Yersinia </w:t>
      </w:r>
      <w:r w:rsidR="00AB4115">
        <w:t>lipolytic</w:t>
      </w:r>
      <w:r>
        <w:t xml:space="preserve"> by expressing two desaturase genes from the fungus </w:t>
      </w:r>
      <w:proofErr w:type="spellStart"/>
      <w:r>
        <w:t>Mortierella</w:t>
      </w:r>
      <w:proofErr w:type="spellEnd"/>
      <w:r>
        <w:t xml:space="preserve"> alpine, is also necessary for some fake meals to develop their </w:t>
      </w:r>
      <w:r w:rsidR="00AB4115">
        <w:t>flavor</w:t>
      </w:r>
      <w:r>
        <w:t xml:space="preserve"> [27]. </w:t>
      </w:r>
    </w:p>
    <w:p w14:paraId="573B97AF" w14:textId="260D2D6F" w:rsidR="006116A9" w:rsidRDefault="006116A9" w:rsidP="006116A9">
      <w:pPr>
        <w:jc w:val="both"/>
      </w:pPr>
      <w:r>
        <w:t xml:space="preserve">Cheap protein sources may be transformed into specialty foods with excellent nutritional content and unusual tastes via enzyme modifications. People can consume hydrolysates without experiencing adverse responses since they function as beneficial nutritional taste enhancers and antibacterial agents [28]. According to recent studies [29, 30], these hydrolytic polypeptides </w:t>
      </w:r>
      <w:r w:rsidR="00AB4115">
        <w:t>help lower</w:t>
      </w:r>
      <w:r>
        <w:t xml:space="preserve"> oxidative stress, type 2 diabetes, and hypertension.</w:t>
      </w:r>
      <w:r w:rsidRPr="00251B1E">
        <w:t xml:space="preserve"> Therefore, a variety of active peptides with intrinsic advantages for human health might be created by enzymatic processing [31]. The chemical and physical stability of bioactive peptides still has to be improved, and molecular changes to functional meals may help.</w:t>
      </w:r>
    </w:p>
    <w:p w14:paraId="73DD9D98" w14:textId="75CADEE5" w:rsidR="00CB7398" w:rsidRDefault="006116A9" w:rsidP="006116A9">
      <w:pPr>
        <w:jc w:val="both"/>
      </w:pPr>
      <w:r w:rsidRPr="00251B1E">
        <w:t xml:space="preserve">Bean protein has also been employed as the main component of plant-based meat substitutes, although the beany </w:t>
      </w:r>
      <w:r w:rsidR="00AB4115">
        <w:t>flavor</w:t>
      </w:r>
      <w:r w:rsidRPr="00251B1E">
        <w:t xml:space="preserve"> compromises food quality processing [32]. The enzymatic reaction of </w:t>
      </w:r>
      <w:r w:rsidR="00AB4115">
        <w:t xml:space="preserve">an </w:t>
      </w:r>
      <w:r w:rsidRPr="00251B1E">
        <w:t xml:space="preserve">n-hexanal aldehyde with alcohol, </w:t>
      </w:r>
      <w:r w:rsidR="00AB4115">
        <w:t>catalyzed</w:t>
      </w:r>
      <w:r w:rsidRPr="00251B1E">
        <w:t xml:space="preserve"> by lipoxygenase in plants, produces the beany </w:t>
      </w:r>
      <w:r w:rsidR="00AB4115">
        <w:t>flavor</w:t>
      </w:r>
      <w:r w:rsidRPr="00251B1E">
        <w:t xml:space="preserve"> [33]. </w:t>
      </w:r>
      <w:r w:rsidR="00AB4115">
        <w:t>Utilizing</w:t>
      </w:r>
      <w:r w:rsidRPr="00251B1E">
        <w:t xml:space="preserve"> aldehyde dehydrogenase to convert the aldehydes into the appropriate acids is one method to lessen the beany </w:t>
      </w:r>
      <w:r w:rsidR="00AB4115">
        <w:t>flavor</w:t>
      </w:r>
      <w:r w:rsidRPr="00251B1E">
        <w:t xml:space="preserve"> [33]. </w:t>
      </w:r>
      <w:r w:rsidR="00AB4115">
        <w:t>Utilizing</w:t>
      </w:r>
      <w:r w:rsidRPr="00251B1E">
        <w:t xml:space="preserve"> another approach would be to generate meals with enticing aromas, soybean (which lacks lipoxygenase) [34].</w:t>
      </w:r>
    </w:p>
    <w:p w14:paraId="05927FC3" w14:textId="295CEA78" w:rsidR="00296F4C" w:rsidRDefault="00296F4C" w:rsidP="00CB7398">
      <w:pPr>
        <w:jc w:val="both"/>
      </w:pPr>
    </w:p>
    <w:p w14:paraId="6C9BC4EC" w14:textId="2EDE8EF1" w:rsidR="00A06B87" w:rsidRDefault="00A06B87" w:rsidP="00CB7398">
      <w:pPr>
        <w:jc w:val="both"/>
      </w:pPr>
    </w:p>
    <w:p w14:paraId="4DB5BE6A" w14:textId="77777777" w:rsidR="00A06B87" w:rsidRPr="006116A9" w:rsidRDefault="00A06B87" w:rsidP="00A06B87">
      <w:pPr>
        <w:jc w:val="both"/>
        <w:rPr>
          <w:b/>
          <w:bCs/>
        </w:rPr>
      </w:pPr>
      <w:r w:rsidRPr="006116A9">
        <w:rPr>
          <w:b/>
          <w:bCs/>
        </w:rPr>
        <w:t>Other applications in future food production</w:t>
      </w:r>
    </w:p>
    <w:p w14:paraId="61940563" w14:textId="454D55A7" w:rsidR="00B703B3" w:rsidRDefault="00B703B3" w:rsidP="00B703B3">
      <w:pPr>
        <w:jc w:val="both"/>
      </w:pPr>
      <w:r w:rsidRPr="00B703B3">
        <w:t xml:space="preserve">Thanks to the rapid advancements in biotechnology and artificial intelligence, food production in the future will be able to control quality and safety criteria across the whole food processing process in </w:t>
      </w:r>
      <w:r w:rsidR="00AB4115">
        <w:t>real time</w:t>
      </w:r>
      <w:r w:rsidRPr="00B703B3">
        <w:t xml:space="preserve">. Food safety monitoring must be rapid, simple, and precise to generate nutrient-dense food. Enzyme-based biosensors have the advantages of small sample sizes, superior selectivity, lower detection limits, and faster response times, all of which are urgently needed for point-of-care food analysis [35]. Until now, pathogenic microbes, biotoxins, additives, pesticides, and dietary components have all been measured using enzyme-based biosensors. Rastislav et al. developed a variety of enzyme biosensors for the combinatorial analysis of food samples, including sugars, acids, and alcohols [36]. White fish's freshness was verified using a simple biosensor that combined a cylindrical oxygen sensor with nylon threads containing the </w:t>
      </w:r>
      <w:r w:rsidR="00AB4115">
        <w:t>immobilized</w:t>
      </w:r>
      <w:r w:rsidRPr="00B703B3">
        <w:t xml:space="preserve"> enzyme amine oxidase [37]. Since the oxidase was stable for over three months at both 4 °C and 12 °C temperatures, the sensor performs well </w:t>
      </w:r>
      <w:r w:rsidR="00AB4115">
        <w:t>in</w:t>
      </w:r>
      <w:r w:rsidRPr="00B703B3">
        <w:t xml:space="preserve"> the detection of biogenic diamines. Enzyme-based biosensors have also been used to determine food smells and ripeness, using an electrochemical biosensor to detect the pheromone </w:t>
      </w:r>
      <w:proofErr w:type="spellStart"/>
      <w:r w:rsidR="00AB4115">
        <w:t>androstenone</w:t>
      </w:r>
      <w:proofErr w:type="spellEnd"/>
      <w:r w:rsidRPr="00B703B3">
        <w:t xml:space="preserve"> [38]. This biosensor was created using </w:t>
      </w:r>
      <w:r w:rsidR="00AB4115">
        <w:t>immobilized</w:t>
      </w:r>
      <w:r w:rsidRPr="00B703B3">
        <w:t xml:space="preserve"> -hydroxysteroid dehydrogenase and a screen-printed carbon electrode. For application in future food production and quality assurance, biosensors for viruses, mycotoxins, and antibiotics have also been created [39, 40]. </w:t>
      </w:r>
      <w:r>
        <w:t>The detection technique known as an enzyme-linked immunosorbent assay (ELISA) combines the affinity between an antigen and an antibody with the observable catalysis of enzymes.</w:t>
      </w:r>
    </w:p>
    <w:p w14:paraId="18750BDC" w14:textId="0246E37F" w:rsidR="00A06B87" w:rsidRDefault="00B703B3" w:rsidP="00A06B87">
      <w:pPr>
        <w:jc w:val="both"/>
      </w:pPr>
      <w:r>
        <w:t>Future ELISA-based methods for food authenticity and control have a lot of potential [41].</w:t>
      </w:r>
      <w:r w:rsidR="00A06B87">
        <w:t xml:space="preserve"> </w:t>
      </w:r>
      <w:r w:rsidR="00AB4115">
        <w:t>To</w:t>
      </w:r>
      <w:r w:rsidRPr="00B703B3">
        <w:t xml:space="preserve"> evaluate the quantity of sesame seed residue, Stef and others </w:t>
      </w:r>
      <w:r w:rsidR="00AB4115">
        <w:t>42 developed</w:t>
      </w:r>
      <w:r w:rsidRPr="00B703B3">
        <w:t xml:space="preserve"> an ELISA test that is sensitive and specific. This test might be </w:t>
      </w:r>
      <w:r w:rsidR="00AB4115">
        <w:t>utilized</w:t>
      </w:r>
      <w:r w:rsidRPr="00B703B3">
        <w:t xml:space="preserve"> as a screening tool for foods for persons with severe allergies. ELISA tests may detect a variety of foodborne infections, including Salmonella [43], Escherichia coli O157:H7 [44], Vibrio parahaemolyticus [45], Listeria [46], and Staphylococcus aureus [47]. Additionally, ELISAs are used for the detection of toxins present in food, such as enterotoxins generated by E. coli and Clostridium perfringens [41, 48]. Enzyme-based food safety monitors may be enhanced from single assay to multi-array function by combining modules [49].</w:t>
      </w:r>
    </w:p>
    <w:p w14:paraId="15B37712" w14:textId="20EBAD15" w:rsidR="00A06B87" w:rsidRDefault="00A06B87" w:rsidP="00CB7398">
      <w:pPr>
        <w:jc w:val="both"/>
      </w:pPr>
    </w:p>
    <w:p w14:paraId="0C5BB34F" w14:textId="34FA856A" w:rsidR="00A06B87" w:rsidRDefault="00A06B87" w:rsidP="00CB7398">
      <w:pPr>
        <w:jc w:val="both"/>
      </w:pPr>
    </w:p>
    <w:p w14:paraId="09DCF154" w14:textId="7C22D15E" w:rsidR="00A06B87" w:rsidRDefault="00A06B87" w:rsidP="00CB7398">
      <w:pPr>
        <w:jc w:val="both"/>
      </w:pPr>
    </w:p>
    <w:p w14:paraId="0EE2D346" w14:textId="7C071DF5" w:rsidR="00A06B87" w:rsidRDefault="00A06B87" w:rsidP="00CB7398">
      <w:pPr>
        <w:jc w:val="both"/>
      </w:pPr>
    </w:p>
    <w:p w14:paraId="381527EE" w14:textId="77777777" w:rsidR="00A06B87" w:rsidRDefault="00A06B87" w:rsidP="00CB7398">
      <w:pPr>
        <w:jc w:val="both"/>
      </w:pPr>
    </w:p>
    <w:p w14:paraId="174A940A" w14:textId="77777777" w:rsidR="00296F4C" w:rsidRDefault="00296F4C" w:rsidP="00CB7398">
      <w:pPr>
        <w:jc w:val="both"/>
      </w:pPr>
    </w:p>
    <w:p w14:paraId="570B3FBD" w14:textId="1B73586C" w:rsidR="00296F4C" w:rsidRPr="000B5B2F" w:rsidRDefault="00296F4C" w:rsidP="00296F4C">
      <w:pPr>
        <w:pStyle w:val="Heading3"/>
        <w:numPr>
          <w:ilvl w:val="0"/>
          <w:numId w:val="0"/>
        </w:numPr>
        <w:spacing w:line="240" w:lineRule="auto"/>
        <w:jc w:val="center"/>
        <w:rPr>
          <w:b/>
          <w:i w:val="0"/>
        </w:rPr>
      </w:pPr>
      <w:r w:rsidRPr="000B5B2F">
        <w:rPr>
          <w:b/>
          <w:i w:val="0"/>
        </w:rPr>
        <w:t xml:space="preserve">Table 1: </w:t>
      </w:r>
      <w:r w:rsidRPr="00296F4C">
        <w:rPr>
          <w:b/>
          <w:i w:val="0"/>
        </w:rPr>
        <w:t>Application of enzymes in food processing</w:t>
      </w:r>
      <w:r>
        <w:rPr>
          <w:b/>
          <w:i w:val="0"/>
        </w:rPr>
        <w:t>.</w:t>
      </w:r>
    </w:p>
    <w:p w14:paraId="54556319" w14:textId="6AC7A5A6" w:rsidR="00296F4C" w:rsidRDefault="00296F4C" w:rsidP="00CB7398">
      <w:pPr>
        <w:jc w:val="both"/>
      </w:pPr>
    </w:p>
    <w:p w14:paraId="082ABCE8" w14:textId="6A9DBD76" w:rsidR="00296F4C" w:rsidRDefault="00296F4C" w:rsidP="00CB7398">
      <w:pPr>
        <w:jc w:val="both"/>
      </w:pPr>
    </w:p>
    <w:p w14:paraId="407A4603" w14:textId="2DDCBB61" w:rsidR="00296F4C" w:rsidRDefault="00296F4C" w:rsidP="00CB7398">
      <w:pPr>
        <w:jc w:val="both"/>
      </w:pPr>
    </w:p>
    <w:tbl>
      <w:tblPr>
        <w:tblStyle w:val="TableGrid0"/>
        <w:tblpPr w:vertAnchor="text" w:horzAnchor="margin" w:tblpXSpec="center"/>
        <w:tblOverlap w:val="never"/>
        <w:tblW w:w="98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 w:type="dxa"/>
        </w:tblCellMar>
        <w:tblLook w:val="04A0" w:firstRow="1" w:lastRow="0" w:firstColumn="1" w:lastColumn="0" w:noHBand="0" w:noVBand="1"/>
      </w:tblPr>
      <w:tblGrid>
        <w:gridCol w:w="1572"/>
        <w:gridCol w:w="2001"/>
        <w:gridCol w:w="5393"/>
        <w:gridCol w:w="899"/>
      </w:tblGrid>
      <w:tr w:rsidR="006870B7" w:rsidRPr="006870B7" w14:paraId="1F29C368" w14:textId="77777777" w:rsidTr="00937636">
        <w:trPr>
          <w:trHeight w:val="521"/>
        </w:trPr>
        <w:tc>
          <w:tcPr>
            <w:tcW w:w="9108" w:type="dxa"/>
            <w:gridSpan w:val="3"/>
            <w:vAlign w:val="bottom"/>
          </w:tcPr>
          <w:p w14:paraId="164E8025" w14:textId="38CE29A2" w:rsidR="006870B7" w:rsidRPr="006870B7" w:rsidRDefault="006870B7" w:rsidP="00936B2C">
            <w:pPr>
              <w:spacing w:line="259" w:lineRule="auto"/>
              <w:jc w:val="left"/>
              <w:rPr>
                <w:rFonts w:cs="Times New Roman"/>
                <w:sz w:val="20"/>
                <w:szCs w:val="20"/>
              </w:rPr>
            </w:pPr>
          </w:p>
        </w:tc>
        <w:tc>
          <w:tcPr>
            <w:tcW w:w="756" w:type="dxa"/>
          </w:tcPr>
          <w:p w14:paraId="5C96C5A9" w14:textId="77777777" w:rsidR="006870B7" w:rsidRPr="006870B7" w:rsidRDefault="006870B7" w:rsidP="00936B2C">
            <w:pPr>
              <w:spacing w:after="160" w:line="259" w:lineRule="auto"/>
              <w:jc w:val="left"/>
              <w:rPr>
                <w:rFonts w:cs="Times New Roman"/>
                <w:sz w:val="20"/>
                <w:szCs w:val="20"/>
              </w:rPr>
            </w:pPr>
          </w:p>
        </w:tc>
      </w:tr>
      <w:tr w:rsidR="006870B7" w:rsidRPr="006870B7" w14:paraId="6B100AF7" w14:textId="77777777" w:rsidTr="00937636">
        <w:trPr>
          <w:trHeight w:val="330"/>
        </w:trPr>
        <w:tc>
          <w:tcPr>
            <w:tcW w:w="1590" w:type="dxa"/>
          </w:tcPr>
          <w:p w14:paraId="203A2C8C" w14:textId="77777777" w:rsidR="006870B7" w:rsidRPr="006870B7" w:rsidRDefault="006870B7" w:rsidP="00937636">
            <w:pPr>
              <w:spacing w:line="259" w:lineRule="auto"/>
              <w:rPr>
                <w:rFonts w:cs="Times New Roman"/>
                <w:sz w:val="20"/>
                <w:szCs w:val="20"/>
              </w:rPr>
            </w:pPr>
            <w:r w:rsidRPr="006870B7">
              <w:rPr>
                <w:rFonts w:cs="Times New Roman"/>
                <w:sz w:val="20"/>
                <w:szCs w:val="20"/>
              </w:rPr>
              <w:t>Enzyme property</w:t>
            </w:r>
          </w:p>
        </w:tc>
        <w:tc>
          <w:tcPr>
            <w:tcW w:w="2019" w:type="dxa"/>
          </w:tcPr>
          <w:p w14:paraId="72CBC070" w14:textId="77777777" w:rsidR="006870B7" w:rsidRPr="006870B7" w:rsidRDefault="006870B7" w:rsidP="00937636">
            <w:pPr>
              <w:spacing w:line="259" w:lineRule="auto"/>
              <w:rPr>
                <w:rFonts w:cs="Times New Roman"/>
                <w:sz w:val="20"/>
                <w:szCs w:val="20"/>
              </w:rPr>
            </w:pPr>
            <w:r w:rsidRPr="006870B7">
              <w:rPr>
                <w:rFonts w:cs="Times New Roman"/>
                <w:sz w:val="20"/>
                <w:szCs w:val="20"/>
              </w:rPr>
              <w:t>Enzyme</w:t>
            </w:r>
          </w:p>
        </w:tc>
        <w:tc>
          <w:tcPr>
            <w:tcW w:w="5499" w:type="dxa"/>
          </w:tcPr>
          <w:p w14:paraId="0DA270C4" w14:textId="77777777" w:rsidR="006870B7" w:rsidRPr="006870B7" w:rsidRDefault="006870B7" w:rsidP="00937636">
            <w:pPr>
              <w:spacing w:line="259" w:lineRule="auto"/>
              <w:rPr>
                <w:rFonts w:cs="Times New Roman"/>
                <w:sz w:val="20"/>
                <w:szCs w:val="20"/>
              </w:rPr>
            </w:pPr>
            <w:r w:rsidRPr="006870B7">
              <w:rPr>
                <w:rFonts w:cs="Times New Roman"/>
                <w:sz w:val="20"/>
                <w:szCs w:val="20"/>
              </w:rPr>
              <w:t>Application</w:t>
            </w:r>
          </w:p>
        </w:tc>
        <w:tc>
          <w:tcPr>
            <w:tcW w:w="756" w:type="dxa"/>
          </w:tcPr>
          <w:p w14:paraId="2BCCCE38" w14:textId="77777777" w:rsidR="006870B7" w:rsidRPr="006870B7" w:rsidRDefault="006870B7" w:rsidP="00936B2C">
            <w:pPr>
              <w:spacing w:line="259" w:lineRule="auto"/>
              <w:rPr>
                <w:rFonts w:cs="Times New Roman"/>
                <w:sz w:val="20"/>
                <w:szCs w:val="20"/>
              </w:rPr>
            </w:pPr>
            <w:r w:rsidRPr="006870B7">
              <w:rPr>
                <w:rFonts w:cs="Times New Roman"/>
                <w:sz w:val="20"/>
                <w:szCs w:val="20"/>
              </w:rPr>
              <w:t>References</w:t>
            </w:r>
          </w:p>
        </w:tc>
      </w:tr>
      <w:tr w:rsidR="006870B7" w:rsidRPr="006870B7" w14:paraId="2B2D533A" w14:textId="77777777" w:rsidTr="00937636">
        <w:trPr>
          <w:trHeight w:val="524"/>
        </w:trPr>
        <w:tc>
          <w:tcPr>
            <w:tcW w:w="1590" w:type="dxa"/>
          </w:tcPr>
          <w:p w14:paraId="618190A7" w14:textId="77777777" w:rsidR="006870B7" w:rsidRPr="006870B7" w:rsidRDefault="006870B7" w:rsidP="00936B2C">
            <w:pPr>
              <w:spacing w:line="259" w:lineRule="auto"/>
              <w:jc w:val="left"/>
              <w:rPr>
                <w:rFonts w:cs="Times New Roman"/>
                <w:sz w:val="20"/>
                <w:szCs w:val="20"/>
              </w:rPr>
            </w:pPr>
            <w:r w:rsidRPr="006870B7">
              <w:rPr>
                <w:rFonts w:cs="Times New Roman"/>
                <w:sz w:val="20"/>
                <w:szCs w:val="20"/>
              </w:rPr>
              <w:t>Food texture</w:t>
            </w:r>
          </w:p>
        </w:tc>
        <w:tc>
          <w:tcPr>
            <w:tcW w:w="2019" w:type="dxa"/>
          </w:tcPr>
          <w:p w14:paraId="4297384D" w14:textId="77777777" w:rsidR="006870B7" w:rsidRPr="006870B7" w:rsidRDefault="006870B7" w:rsidP="00936B2C">
            <w:pPr>
              <w:spacing w:line="259" w:lineRule="auto"/>
              <w:jc w:val="left"/>
              <w:rPr>
                <w:rFonts w:cs="Times New Roman"/>
                <w:sz w:val="20"/>
                <w:szCs w:val="20"/>
              </w:rPr>
            </w:pPr>
            <w:r w:rsidRPr="006870B7">
              <w:rPr>
                <w:rFonts w:cs="Times New Roman"/>
                <w:sz w:val="20"/>
                <w:szCs w:val="20"/>
              </w:rPr>
              <w:t>Chymosin</w:t>
            </w:r>
          </w:p>
        </w:tc>
        <w:tc>
          <w:tcPr>
            <w:tcW w:w="5499" w:type="dxa"/>
          </w:tcPr>
          <w:p w14:paraId="3E57AF73" w14:textId="77777777" w:rsidR="006870B7" w:rsidRPr="006870B7" w:rsidRDefault="006870B7" w:rsidP="00936B2C">
            <w:pPr>
              <w:spacing w:line="259" w:lineRule="auto"/>
              <w:ind w:right="925"/>
              <w:jc w:val="left"/>
              <w:rPr>
                <w:rFonts w:cs="Times New Roman"/>
                <w:sz w:val="20"/>
                <w:szCs w:val="20"/>
              </w:rPr>
            </w:pPr>
            <w:r w:rsidRPr="006870B7">
              <w:rPr>
                <w:rFonts w:cs="Times New Roman"/>
                <w:sz w:val="20"/>
                <w:szCs w:val="20"/>
              </w:rPr>
              <w:t>Hydrolysis of α-casein, β-casein, κ-casein, and β-lactoglobulin milk solidification</w:t>
            </w:r>
          </w:p>
        </w:tc>
        <w:tc>
          <w:tcPr>
            <w:tcW w:w="756" w:type="dxa"/>
          </w:tcPr>
          <w:p w14:paraId="44F2A193" w14:textId="77777777" w:rsidR="006870B7" w:rsidRPr="006870B7" w:rsidRDefault="006870B7" w:rsidP="00936B2C">
            <w:pPr>
              <w:spacing w:line="259" w:lineRule="auto"/>
              <w:jc w:val="left"/>
              <w:rPr>
                <w:rFonts w:cs="Times New Roman"/>
                <w:sz w:val="20"/>
                <w:szCs w:val="20"/>
              </w:rPr>
            </w:pPr>
            <w:r w:rsidRPr="006870B7">
              <w:rPr>
                <w:rFonts w:cs="Times New Roman"/>
                <w:sz w:val="20"/>
                <w:szCs w:val="20"/>
              </w:rPr>
              <w:t>[</w:t>
            </w:r>
            <w:r w:rsidRPr="006870B7">
              <w:rPr>
                <w:rFonts w:cs="Times New Roman"/>
                <w:color w:val="0000FF"/>
                <w:sz w:val="20"/>
                <w:szCs w:val="20"/>
              </w:rPr>
              <w:t>65</w:t>
            </w:r>
            <w:r w:rsidRPr="006870B7">
              <w:rPr>
                <w:rFonts w:cs="Times New Roman"/>
                <w:sz w:val="20"/>
                <w:szCs w:val="20"/>
              </w:rPr>
              <w:t>]</w:t>
            </w:r>
          </w:p>
        </w:tc>
      </w:tr>
      <w:tr w:rsidR="006870B7" w:rsidRPr="006870B7" w14:paraId="61003106" w14:textId="77777777" w:rsidTr="00937636">
        <w:trPr>
          <w:trHeight w:val="250"/>
        </w:trPr>
        <w:tc>
          <w:tcPr>
            <w:tcW w:w="1590" w:type="dxa"/>
          </w:tcPr>
          <w:p w14:paraId="04DEB536" w14:textId="77777777" w:rsidR="006870B7" w:rsidRPr="006870B7" w:rsidRDefault="006870B7" w:rsidP="00936B2C">
            <w:pPr>
              <w:spacing w:after="160" w:line="259" w:lineRule="auto"/>
              <w:jc w:val="left"/>
              <w:rPr>
                <w:rFonts w:cs="Times New Roman"/>
                <w:sz w:val="20"/>
                <w:szCs w:val="20"/>
              </w:rPr>
            </w:pPr>
          </w:p>
        </w:tc>
        <w:tc>
          <w:tcPr>
            <w:tcW w:w="2019" w:type="dxa"/>
          </w:tcPr>
          <w:p w14:paraId="6EDA83A0" w14:textId="256ABCB5" w:rsidR="006870B7" w:rsidRPr="006870B7" w:rsidRDefault="00AB4115" w:rsidP="00936B2C">
            <w:pPr>
              <w:spacing w:line="259" w:lineRule="auto"/>
              <w:jc w:val="left"/>
              <w:rPr>
                <w:rFonts w:cs="Times New Roman"/>
                <w:sz w:val="20"/>
                <w:szCs w:val="20"/>
              </w:rPr>
            </w:pPr>
            <w:r>
              <w:rPr>
                <w:rFonts w:cs="Times New Roman"/>
                <w:sz w:val="20"/>
                <w:szCs w:val="20"/>
              </w:rPr>
              <w:t>Trypsin</w:t>
            </w:r>
          </w:p>
        </w:tc>
        <w:tc>
          <w:tcPr>
            <w:tcW w:w="5499" w:type="dxa"/>
          </w:tcPr>
          <w:p w14:paraId="4FF87501" w14:textId="77777777" w:rsidR="006870B7" w:rsidRPr="006870B7" w:rsidRDefault="006870B7" w:rsidP="00936B2C">
            <w:pPr>
              <w:spacing w:line="259" w:lineRule="auto"/>
              <w:jc w:val="left"/>
              <w:rPr>
                <w:rFonts w:cs="Times New Roman"/>
                <w:sz w:val="20"/>
                <w:szCs w:val="20"/>
              </w:rPr>
            </w:pPr>
            <w:r w:rsidRPr="006870B7">
              <w:rPr>
                <w:rFonts w:cs="Times New Roman"/>
                <w:sz w:val="20"/>
                <w:szCs w:val="20"/>
              </w:rPr>
              <w:t>Improvement of the foaming and emulsifying properties of protein</w:t>
            </w:r>
          </w:p>
        </w:tc>
        <w:tc>
          <w:tcPr>
            <w:tcW w:w="756" w:type="dxa"/>
          </w:tcPr>
          <w:p w14:paraId="09AD8627" w14:textId="77777777" w:rsidR="006870B7" w:rsidRPr="006870B7" w:rsidRDefault="006870B7" w:rsidP="00936B2C">
            <w:pPr>
              <w:spacing w:line="259" w:lineRule="auto"/>
              <w:jc w:val="left"/>
              <w:rPr>
                <w:rFonts w:cs="Times New Roman"/>
                <w:sz w:val="20"/>
                <w:szCs w:val="20"/>
              </w:rPr>
            </w:pPr>
            <w:r w:rsidRPr="006870B7">
              <w:rPr>
                <w:rFonts w:cs="Times New Roman"/>
                <w:sz w:val="20"/>
                <w:szCs w:val="20"/>
              </w:rPr>
              <w:t>[</w:t>
            </w:r>
            <w:r w:rsidRPr="006870B7">
              <w:rPr>
                <w:rFonts w:cs="Times New Roman"/>
                <w:color w:val="0000FF"/>
                <w:sz w:val="20"/>
                <w:szCs w:val="20"/>
              </w:rPr>
              <w:t>66</w:t>
            </w:r>
            <w:r w:rsidRPr="006870B7">
              <w:rPr>
                <w:rFonts w:cs="Times New Roman"/>
                <w:sz w:val="20"/>
                <w:szCs w:val="20"/>
              </w:rPr>
              <w:t>]</w:t>
            </w:r>
          </w:p>
        </w:tc>
      </w:tr>
      <w:tr w:rsidR="006870B7" w:rsidRPr="006870B7" w14:paraId="621C7084" w14:textId="77777777" w:rsidTr="00937636">
        <w:trPr>
          <w:trHeight w:val="250"/>
        </w:trPr>
        <w:tc>
          <w:tcPr>
            <w:tcW w:w="1590" w:type="dxa"/>
          </w:tcPr>
          <w:p w14:paraId="5F65AF7C" w14:textId="77777777" w:rsidR="006870B7" w:rsidRPr="006870B7" w:rsidRDefault="006870B7" w:rsidP="00936B2C">
            <w:pPr>
              <w:spacing w:after="160" w:line="259" w:lineRule="auto"/>
              <w:jc w:val="left"/>
              <w:rPr>
                <w:rFonts w:cs="Times New Roman"/>
                <w:sz w:val="20"/>
                <w:szCs w:val="20"/>
              </w:rPr>
            </w:pPr>
          </w:p>
        </w:tc>
        <w:tc>
          <w:tcPr>
            <w:tcW w:w="2019" w:type="dxa"/>
          </w:tcPr>
          <w:p w14:paraId="5B0A0EFF"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Transglutaminase</w:t>
            </w:r>
          </w:p>
        </w:tc>
        <w:tc>
          <w:tcPr>
            <w:tcW w:w="5499" w:type="dxa"/>
          </w:tcPr>
          <w:p w14:paraId="2BEE3C82" w14:textId="0AD62620"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Improvement of protein gel stiffness, viscosity</w:t>
            </w:r>
            <w:r w:rsidR="00AB4115">
              <w:rPr>
                <w:rFonts w:cs="Times New Roman"/>
                <w:sz w:val="20"/>
                <w:szCs w:val="20"/>
              </w:rPr>
              <w:t>,</w:t>
            </w:r>
            <w:r w:rsidRPr="006870B7">
              <w:rPr>
                <w:rFonts w:cs="Times New Roman"/>
                <w:sz w:val="20"/>
                <w:szCs w:val="20"/>
              </w:rPr>
              <w:t xml:space="preserve"> and water-holding capacity</w:t>
            </w:r>
          </w:p>
        </w:tc>
        <w:tc>
          <w:tcPr>
            <w:tcW w:w="756" w:type="dxa"/>
          </w:tcPr>
          <w:p w14:paraId="6D9401F8"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10</w:t>
            </w:r>
            <w:r w:rsidRPr="006870B7">
              <w:rPr>
                <w:rFonts w:cs="Times New Roman"/>
                <w:sz w:val="20"/>
                <w:szCs w:val="20"/>
              </w:rPr>
              <w:t>]</w:t>
            </w:r>
          </w:p>
        </w:tc>
      </w:tr>
      <w:tr w:rsidR="006870B7" w:rsidRPr="006870B7" w14:paraId="50873DF5" w14:textId="77777777" w:rsidTr="00937636">
        <w:trPr>
          <w:trHeight w:val="250"/>
        </w:trPr>
        <w:tc>
          <w:tcPr>
            <w:tcW w:w="1590" w:type="dxa"/>
          </w:tcPr>
          <w:p w14:paraId="781567AB" w14:textId="77777777" w:rsidR="006870B7" w:rsidRPr="006870B7" w:rsidRDefault="006870B7" w:rsidP="00936B2C">
            <w:pPr>
              <w:spacing w:after="160" w:line="259" w:lineRule="auto"/>
              <w:jc w:val="left"/>
              <w:rPr>
                <w:rFonts w:cs="Times New Roman"/>
                <w:sz w:val="20"/>
                <w:szCs w:val="20"/>
              </w:rPr>
            </w:pPr>
          </w:p>
        </w:tc>
        <w:tc>
          <w:tcPr>
            <w:tcW w:w="2019" w:type="dxa"/>
          </w:tcPr>
          <w:p w14:paraId="683704A7"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Lipoxygenase</w:t>
            </w:r>
          </w:p>
        </w:tc>
        <w:tc>
          <w:tcPr>
            <w:tcW w:w="5499" w:type="dxa"/>
          </w:tcPr>
          <w:p w14:paraId="21BA6C7C"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Carotenoids bleaching and improvement of bread dough rheology</w:t>
            </w:r>
          </w:p>
        </w:tc>
        <w:tc>
          <w:tcPr>
            <w:tcW w:w="756" w:type="dxa"/>
          </w:tcPr>
          <w:p w14:paraId="07E0A785"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32</w:t>
            </w:r>
            <w:r w:rsidRPr="006870B7">
              <w:rPr>
                <w:rFonts w:cs="Times New Roman"/>
                <w:sz w:val="20"/>
                <w:szCs w:val="20"/>
              </w:rPr>
              <w:t>]</w:t>
            </w:r>
          </w:p>
        </w:tc>
      </w:tr>
      <w:tr w:rsidR="006870B7" w:rsidRPr="006870B7" w14:paraId="732EAB39" w14:textId="77777777" w:rsidTr="00937636">
        <w:trPr>
          <w:trHeight w:val="250"/>
        </w:trPr>
        <w:tc>
          <w:tcPr>
            <w:tcW w:w="1590" w:type="dxa"/>
          </w:tcPr>
          <w:p w14:paraId="6F60B306" w14:textId="77777777" w:rsidR="006870B7" w:rsidRPr="006870B7" w:rsidRDefault="006870B7" w:rsidP="00936B2C">
            <w:pPr>
              <w:spacing w:after="160" w:line="259" w:lineRule="auto"/>
              <w:jc w:val="left"/>
              <w:rPr>
                <w:rFonts w:cs="Times New Roman"/>
                <w:sz w:val="20"/>
                <w:szCs w:val="20"/>
              </w:rPr>
            </w:pPr>
          </w:p>
        </w:tc>
        <w:tc>
          <w:tcPr>
            <w:tcW w:w="2019" w:type="dxa"/>
          </w:tcPr>
          <w:p w14:paraId="6BC0D0E8"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Pectinase</w:t>
            </w:r>
          </w:p>
        </w:tc>
        <w:tc>
          <w:tcPr>
            <w:tcW w:w="5499" w:type="dxa"/>
          </w:tcPr>
          <w:p w14:paraId="5F1B4B7E"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Improvement of the juice yield and clarity</w:t>
            </w:r>
          </w:p>
        </w:tc>
        <w:tc>
          <w:tcPr>
            <w:tcW w:w="756" w:type="dxa"/>
          </w:tcPr>
          <w:p w14:paraId="352BFA50"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67</w:t>
            </w:r>
            <w:r w:rsidRPr="006870B7">
              <w:rPr>
                <w:rFonts w:cs="Times New Roman"/>
                <w:sz w:val="20"/>
                <w:szCs w:val="20"/>
              </w:rPr>
              <w:t>]</w:t>
            </w:r>
          </w:p>
        </w:tc>
      </w:tr>
      <w:tr w:rsidR="006870B7" w:rsidRPr="006870B7" w14:paraId="7F48613C" w14:textId="77777777" w:rsidTr="00937636">
        <w:trPr>
          <w:trHeight w:val="250"/>
        </w:trPr>
        <w:tc>
          <w:tcPr>
            <w:tcW w:w="1590" w:type="dxa"/>
          </w:tcPr>
          <w:p w14:paraId="606B9394" w14:textId="77777777" w:rsidR="006870B7" w:rsidRPr="006870B7" w:rsidRDefault="006870B7" w:rsidP="00936B2C">
            <w:pPr>
              <w:spacing w:after="160" w:line="259" w:lineRule="auto"/>
              <w:jc w:val="left"/>
              <w:rPr>
                <w:rFonts w:cs="Times New Roman"/>
                <w:sz w:val="20"/>
                <w:szCs w:val="20"/>
              </w:rPr>
            </w:pPr>
          </w:p>
        </w:tc>
        <w:tc>
          <w:tcPr>
            <w:tcW w:w="2019" w:type="dxa"/>
          </w:tcPr>
          <w:p w14:paraId="1A0987EF"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Protease</w:t>
            </w:r>
          </w:p>
        </w:tc>
        <w:tc>
          <w:tcPr>
            <w:tcW w:w="5499" w:type="dxa"/>
          </w:tcPr>
          <w:p w14:paraId="7AB09644"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Tenderization of meat</w:t>
            </w:r>
          </w:p>
        </w:tc>
        <w:tc>
          <w:tcPr>
            <w:tcW w:w="756" w:type="dxa"/>
          </w:tcPr>
          <w:p w14:paraId="6381A29E"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68</w:t>
            </w:r>
            <w:r w:rsidRPr="006870B7">
              <w:rPr>
                <w:rFonts w:cs="Times New Roman"/>
                <w:sz w:val="20"/>
                <w:szCs w:val="20"/>
              </w:rPr>
              <w:t>]</w:t>
            </w:r>
          </w:p>
        </w:tc>
      </w:tr>
      <w:tr w:rsidR="006870B7" w:rsidRPr="006870B7" w14:paraId="75DB269F" w14:textId="77777777" w:rsidTr="00937636">
        <w:trPr>
          <w:trHeight w:val="250"/>
        </w:trPr>
        <w:tc>
          <w:tcPr>
            <w:tcW w:w="1590" w:type="dxa"/>
          </w:tcPr>
          <w:p w14:paraId="16C732D6" w14:textId="77777777" w:rsidR="006870B7" w:rsidRPr="006870B7" w:rsidRDefault="006870B7" w:rsidP="00936B2C">
            <w:pPr>
              <w:spacing w:after="160" w:line="259" w:lineRule="auto"/>
              <w:jc w:val="left"/>
              <w:rPr>
                <w:rFonts w:cs="Times New Roman"/>
                <w:sz w:val="20"/>
                <w:szCs w:val="20"/>
              </w:rPr>
            </w:pPr>
          </w:p>
        </w:tc>
        <w:tc>
          <w:tcPr>
            <w:tcW w:w="2019" w:type="dxa"/>
          </w:tcPr>
          <w:p w14:paraId="72F5EEEA"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Lipases</w:t>
            </w:r>
          </w:p>
        </w:tc>
        <w:tc>
          <w:tcPr>
            <w:tcW w:w="5499" w:type="dxa"/>
          </w:tcPr>
          <w:p w14:paraId="5FDB8988"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Production of food-grade surfactants</w:t>
            </w:r>
          </w:p>
        </w:tc>
        <w:tc>
          <w:tcPr>
            <w:tcW w:w="756" w:type="dxa"/>
          </w:tcPr>
          <w:p w14:paraId="0438106F"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69</w:t>
            </w:r>
            <w:r w:rsidRPr="006870B7">
              <w:rPr>
                <w:rFonts w:cs="Times New Roman"/>
                <w:sz w:val="20"/>
                <w:szCs w:val="20"/>
              </w:rPr>
              <w:t>]</w:t>
            </w:r>
          </w:p>
        </w:tc>
      </w:tr>
      <w:tr w:rsidR="006870B7" w:rsidRPr="006870B7" w14:paraId="1042B28A" w14:textId="77777777" w:rsidTr="00937636">
        <w:trPr>
          <w:trHeight w:val="449"/>
        </w:trPr>
        <w:tc>
          <w:tcPr>
            <w:tcW w:w="1590" w:type="dxa"/>
          </w:tcPr>
          <w:p w14:paraId="736599B8"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Food safety</w:t>
            </w:r>
          </w:p>
        </w:tc>
        <w:tc>
          <w:tcPr>
            <w:tcW w:w="2019" w:type="dxa"/>
          </w:tcPr>
          <w:p w14:paraId="1BC720B5"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Laccase</w:t>
            </w:r>
          </w:p>
        </w:tc>
        <w:tc>
          <w:tcPr>
            <w:tcW w:w="5499" w:type="dxa"/>
          </w:tcPr>
          <w:p w14:paraId="413E72C8"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 xml:space="preserve">Detection of the quality change during the storage of fresh-cut fruits and </w:t>
            </w:r>
          </w:p>
          <w:p w14:paraId="13C630E2" w14:textId="77777777" w:rsidR="006870B7" w:rsidRPr="006870B7" w:rsidRDefault="006870B7" w:rsidP="00936B2C">
            <w:pPr>
              <w:spacing w:line="259" w:lineRule="auto"/>
              <w:ind w:left="121"/>
              <w:jc w:val="left"/>
              <w:rPr>
                <w:rFonts w:cs="Times New Roman"/>
                <w:sz w:val="20"/>
                <w:szCs w:val="20"/>
              </w:rPr>
            </w:pPr>
            <w:r w:rsidRPr="006870B7">
              <w:rPr>
                <w:rFonts w:cs="Times New Roman"/>
                <w:sz w:val="20"/>
                <w:szCs w:val="20"/>
              </w:rPr>
              <w:t>vegetables</w:t>
            </w:r>
          </w:p>
        </w:tc>
        <w:tc>
          <w:tcPr>
            <w:tcW w:w="756" w:type="dxa"/>
          </w:tcPr>
          <w:p w14:paraId="354E19DB" w14:textId="77777777" w:rsidR="006870B7" w:rsidRPr="006870B7" w:rsidRDefault="006870B7" w:rsidP="00936B2C">
            <w:pPr>
              <w:spacing w:line="259" w:lineRule="auto"/>
              <w:ind w:left="1"/>
              <w:jc w:val="left"/>
              <w:rPr>
                <w:rFonts w:cs="Times New Roman"/>
                <w:sz w:val="20"/>
                <w:szCs w:val="20"/>
              </w:rPr>
            </w:pPr>
            <w:r w:rsidRPr="006870B7">
              <w:rPr>
                <w:rFonts w:cs="Times New Roman"/>
                <w:sz w:val="20"/>
                <w:szCs w:val="20"/>
              </w:rPr>
              <w:t>[</w:t>
            </w:r>
            <w:r w:rsidRPr="006870B7">
              <w:rPr>
                <w:rFonts w:cs="Times New Roman"/>
                <w:color w:val="0000FF"/>
                <w:sz w:val="20"/>
                <w:szCs w:val="20"/>
              </w:rPr>
              <w:t>70</w:t>
            </w:r>
            <w:r w:rsidRPr="006870B7">
              <w:rPr>
                <w:rFonts w:cs="Times New Roman"/>
                <w:sz w:val="20"/>
                <w:szCs w:val="20"/>
              </w:rPr>
              <w:t>]</w:t>
            </w:r>
          </w:p>
        </w:tc>
      </w:tr>
      <w:tr w:rsidR="006870B7" w:rsidRPr="006870B7" w14:paraId="49E0A1BE" w14:textId="77777777" w:rsidTr="00937636">
        <w:trPr>
          <w:trHeight w:val="250"/>
        </w:trPr>
        <w:tc>
          <w:tcPr>
            <w:tcW w:w="1590" w:type="dxa"/>
          </w:tcPr>
          <w:p w14:paraId="69C812A6" w14:textId="77777777" w:rsidR="006870B7" w:rsidRPr="006870B7" w:rsidRDefault="006870B7" w:rsidP="00936B2C">
            <w:pPr>
              <w:spacing w:after="160" w:line="259" w:lineRule="auto"/>
              <w:jc w:val="left"/>
              <w:rPr>
                <w:rFonts w:cs="Times New Roman"/>
                <w:sz w:val="20"/>
                <w:szCs w:val="20"/>
              </w:rPr>
            </w:pPr>
          </w:p>
        </w:tc>
        <w:tc>
          <w:tcPr>
            <w:tcW w:w="2019" w:type="dxa"/>
          </w:tcPr>
          <w:p w14:paraId="3B806530"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β-lactamase</w:t>
            </w:r>
          </w:p>
        </w:tc>
        <w:tc>
          <w:tcPr>
            <w:tcW w:w="5499" w:type="dxa"/>
          </w:tcPr>
          <w:p w14:paraId="47B6B815"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Determination of β-lactam antibiotic</w:t>
            </w:r>
          </w:p>
        </w:tc>
        <w:tc>
          <w:tcPr>
            <w:tcW w:w="756" w:type="dxa"/>
          </w:tcPr>
          <w:p w14:paraId="47C0C8B5"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71</w:t>
            </w:r>
            <w:r w:rsidRPr="006870B7">
              <w:rPr>
                <w:rFonts w:cs="Times New Roman"/>
                <w:sz w:val="20"/>
                <w:szCs w:val="20"/>
              </w:rPr>
              <w:t>]</w:t>
            </w:r>
          </w:p>
        </w:tc>
      </w:tr>
      <w:tr w:rsidR="006870B7" w:rsidRPr="006870B7" w14:paraId="3719B48A" w14:textId="77777777" w:rsidTr="00937636">
        <w:trPr>
          <w:trHeight w:val="250"/>
        </w:trPr>
        <w:tc>
          <w:tcPr>
            <w:tcW w:w="1590" w:type="dxa"/>
          </w:tcPr>
          <w:p w14:paraId="49A9D5A2" w14:textId="77777777" w:rsidR="006870B7" w:rsidRPr="006870B7" w:rsidRDefault="006870B7" w:rsidP="00936B2C">
            <w:pPr>
              <w:spacing w:after="160" w:line="259" w:lineRule="auto"/>
              <w:jc w:val="left"/>
              <w:rPr>
                <w:rFonts w:cs="Times New Roman"/>
                <w:sz w:val="20"/>
                <w:szCs w:val="20"/>
              </w:rPr>
            </w:pPr>
          </w:p>
        </w:tc>
        <w:tc>
          <w:tcPr>
            <w:tcW w:w="2019" w:type="dxa"/>
          </w:tcPr>
          <w:p w14:paraId="13757900"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Alkaline urate oxidase</w:t>
            </w:r>
          </w:p>
        </w:tc>
        <w:tc>
          <w:tcPr>
            <w:tcW w:w="5499" w:type="dxa"/>
          </w:tcPr>
          <w:p w14:paraId="1CAFC3FA"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Reduction of food uric acid content under alkaline conditions</w:t>
            </w:r>
          </w:p>
        </w:tc>
        <w:tc>
          <w:tcPr>
            <w:tcW w:w="756" w:type="dxa"/>
          </w:tcPr>
          <w:p w14:paraId="1DFE1288"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72</w:t>
            </w:r>
            <w:r w:rsidRPr="006870B7">
              <w:rPr>
                <w:rFonts w:cs="Times New Roman"/>
                <w:sz w:val="20"/>
                <w:szCs w:val="20"/>
              </w:rPr>
              <w:t>]</w:t>
            </w:r>
          </w:p>
        </w:tc>
      </w:tr>
      <w:tr w:rsidR="006870B7" w:rsidRPr="006870B7" w14:paraId="285F3FD9" w14:textId="77777777" w:rsidTr="00937636">
        <w:trPr>
          <w:trHeight w:val="250"/>
        </w:trPr>
        <w:tc>
          <w:tcPr>
            <w:tcW w:w="1590" w:type="dxa"/>
          </w:tcPr>
          <w:p w14:paraId="702FD065" w14:textId="77777777" w:rsidR="006870B7" w:rsidRPr="006870B7" w:rsidRDefault="006870B7" w:rsidP="00936B2C">
            <w:pPr>
              <w:spacing w:after="160" w:line="259" w:lineRule="auto"/>
              <w:jc w:val="left"/>
              <w:rPr>
                <w:rFonts w:cs="Times New Roman"/>
                <w:sz w:val="20"/>
                <w:szCs w:val="20"/>
              </w:rPr>
            </w:pPr>
          </w:p>
        </w:tc>
        <w:tc>
          <w:tcPr>
            <w:tcW w:w="2019" w:type="dxa"/>
          </w:tcPr>
          <w:p w14:paraId="755AB0B8"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Organophosphate hydrolase</w:t>
            </w:r>
          </w:p>
        </w:tc>
        <w:tc>
          <w:tcPr>
            <w:tcW w:w="5499" w:type="dxa"/>
          </w:tcPr>
          <w:p w14:paraId="333A70C4"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Detection of pesticide residues</w:t>
            </w:r>
          </w:p>
        </w:tc>
        <w:tc>
          <w:tcPr>
            <w:tcW w:w="756" w:type="dxa"/>
          </w:tcPr>
          <w:p w14:paraId="6404D4A9"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73</w:t>
            </w:r>
            <w:r w:rsidRPr="006870B7">
              <w:rPr>
                <w:rFonts w:cs="Times New Roman"/>
                <w:sz w:val="20"/>
                <w:szCs w:val="20"/>
              </w:rPr>
              <w:t>]</w:t>
            </w:r>
          </w:p>
        </w:tc>
      </w:tr>
      <w:tr w:rsidR="006870B7" w:rsidRPr="006870B7" w14:paraId="7E51904E" w14:textId="77777777" w:rsidTr="00937636">
        <w:trPr>
          <w:trHeight w:val="250"/>
        </w:trPr>
        <w:tc>
          <w:tcPr>
            <w:tcW w:w="1590" w:type="dxa"/>
          </w:tcPr>
          <w:p w14:paraId="6921233F" w14:textId="0254AF25"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 xml:space="preserve">Nutritional and </w:t>
            </w:r>
            <w:proofErr w:type="spellStart"/>
            <w:r w:rsidR="00AB4115">
              <w:rPr>
                <w:rFonts w:cs="Times New Roman"/>
                <w:sz w:val="20"/>
                <w:szCs w:val="20"/>
              </w:rPr>
              <w:t>flavor</w:t>
            </w:r>
            <w:proofErr w:type="spellEnd"/>
          </w:p>
        </w:tc>
        <w:tc>
          <w:tcPr>
            <w:tcW w:w="2019" w:type="dxa"/>
          </w:tcPr>
          <w:p w14:paraId="375229AA"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Chymosin</w:t>
            </w:r>
          </w:p>
        </w:tc>
        <w:tc>
          <w:tcPr>
            <w:tcW w:w="5499" w:type="dxa"/>
          </w:tcPr>
          <w:p w14:paraId="6615294F"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Production of more volatile substances</w:t>
            </w:r>
          </w:p>
        </w:tc>
        <w:tc>
          <w:tcPr>
            <w:tcW w:w="756" w:type="dxa"/>
          </w:tcPr>
          <w:p w14:paraId="54DEB1A3"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65</w:t>
            </w:r>
            <w:r w:rsidRPr="006870B7">
              <w:rPr>
                <w:rFonts w:cs="Times New Roman"/>
                <w:sz w:val="20"/>
                <w:szCs w:val="20"/>
              </w:rPr>
              <w:t>]</w:t>
            </w:r>
          </w:p>
        </w:tc>
      </w:tr>
      <w:tr w:rsidR="006870B7" w:rsidRPr="006870B7" w14:paraId="432CFC63" w14:textId="77777777" w:rsidTr="00937636">
        <w:trPr>
          <w:trHeight w:val="250"/>
        </w:trPr>
        <w:tc>
          <w:tcPr>
            <w:tcW w:w="1590" w:type="dxa"/>
          </w:tcPr>
          <w:p w14:paraId="1A19F53A" w14:textId="77777777" w:rsidR="006870B7" w:rsidRPr="006870B7" w:rsidRDefault="006870B7" w:rsidP="00936B2C">
            <w:pPr>
              <w:spacing w:after="160" w:line="259" w:lineRule="auto"/>
              <w:jc w:val="left"/>
              <w:rPr>
                <w:rFonts w:cs="Times New Roman"/>
                <w:sz w:val="20"/>
                <w:szCs w:val="20"/>
              </w:rPr>
            </w:pPr>
          </w:p>
        </w:tc>
        <w:tc>
          <w:tcPr>
            <w:tcW w:w="2019" w:type="dxa"/>
          </w:tcPr>
          <w:p w14:paraId="70E17355"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Glucose isomerase</w:t>
            </w:r>
          </w:p>
        </w:tc>
        <w:tc>
          <w:tcPr>
            <w:tcW w:w="5499" w:type="dxa"/>
          </w:tcPr>
          <w:p w14:paraId="141265BD"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Production of sweeteners</w:t>
            </w:r>
          </w:p>
        </w:tc>
        <w:tc>
          <w:tcPr>
            <w:tcW w:w="756" w:type="dxa"/>
          </w:tcPr>
          <w:p w14:paraId="20D5BFD4"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74</w:t>
            </w:r>
            <w:r w:rsidRPr="006870B7">
              <w:rPr>
                <w:rFonts w:cs="Times New Roman"/>
                <w:sz w:val="20"/>
                <w:szCs w:val="20"/>
              </w:rPr>
              <w:t>]</w:t>
            </w:r>
          </w:p>
        </w:tc>
      </w:tr>
      <w:tr w:rsidR="006870B7" w:rsidRPr="006870B7" w14:paraId="54146C94" w14:textId="77777777" w:rsidTr="00937636">
        <w:trPr>
          <w:trHeight w:val="250"/>
        </w:trPr>
        <w:tc>
          <w:tcPr>
            <w:tcW w:w="1590" w:type="dxa"/>
          </w:tcPr>
          <w:p w14:paraId="2FDB29AC" w14:textId="77777777" w:rsidR="006870B7" w:rsidRPr="006870B7" w:rsidRDefault="006870B7" w:rsidP="00936B2C">
            <w:pPr>
              <w:spacing w:after="160" w:line="259" w:lineRule="auto"/>
              <w:jc w:val="left"/>
              <w:rPr>
                <w:rFonts w:cs="Times New Roman"/>
                <w:sz w:val="20"/>
                <w:szCs w:val="20"/>
              </w:rPr>
            </w:pPr>
          </w:p>
        </w:tc>
        <w:tc>
          <w:tcPr>
            <w:tcW w:w="2019" w:type="dxa"/>
          </w:tcPr>
          <w:p w14:paraId="05DA7ECF"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Lipase</w:t>
            </w:r>
          </w:p>
        </w:tc>
        <w:tc>
          <w:tcPr>
            <w:tcW w:w="5499" w:type="dxa"/>
          </w:tcPr>
          <w:p w14:paraId="2A3F7E14" w14:textId="0E61F0D2"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 xml:space="preserve">Improvement of the yogurt </w:t>
            </w:r>
            <w:proofErr w:type="spellStart"/>
            <w:r w:rsidR="00AB4115">
              <w:rPr>
                <w:rFonts w:cs="Times New Roman"/>
                <w:sz w:val="20"/>
                <w:szCs w:val="20"/>
              </w:rPr>
              <w:t>flavor</w:t>
            </w:r>
            <w:proofErr w:type="spellEnd"/>
          </w:p>
        </w:tc>
        <w:tc>
          <w:tcPr>
            <w:tcW w:w="756" w:type="dxa"/>
          </w:tcPr>
          <w:p w14:paraId="60D4858D" w14:textId="77777777"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w:t>
            </w:r>
            <w:r w:rsidRPr="006870B7">
              <w:rPr>
                <w:rFonts w:cs="Times New Roman"/>
                <w:color w:val="0000FF"/>
                <w:sz w:val="20"/>
                <w:szCs w:val="20"/>
              </w:rPr>
              <w:t>75</w:t>
            </w:r>
            <w:r w:rsidRPr="006870B7">
              <w:rPr>
                <w:rFonts w:cs="Times New Roman"/>
                <w:sz w:val="20"/>
                <w:szCs w:val="20"/>
              </w:rPr>
              <w:t>]</w:t>
            </w:r>
          </w:p>
        </w:tc>
      </w:tr>
      <w:tr w:rsidR="006870B7" w:rsidRPr="006870B7" w14:paraId="1C3F8D37" w14:textId="77777777" w:rsidTr="00937636">
        <w:trPr>
          <w:trHeight w:val="250"/>
        </w:trPr>
        <w:tc>
          <w:tcPr>
            <w:tcW w:w="1590" w:type="dxa"/>
          </w:tcPr>
          <w:p w14:paraId="2E965B5C"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Customized food</w:t>
            </w:r>
          </w:p>
        </w:tc>
        <w:tc>
          <w:tcPr>
            <w:tcW w:w="2019" w:type="dxa"/>
          </w:tcPr>
          <w:p w14:paraId="593B99FC" w14:textId="77777777" w:rsidR="006870B7" w:rsidRPr="006870B7" w:rsidRDefault="006870B7" w:rsidP="00936B2C">
            <w:pPr>
              <w:spacing w:line="259" w:lineRule="auto"/>
              <w:ind w:left="3"/>
              <w:jc w:val="left"/>
              <w:rPr>
                <w:rFonts w:cs="Times New Roman"/>
                <w:sz w:val="20"/>
                <w:szCs w:val="20"/>
              </w:rPr>
            </w:pPr>
            <w:proofErr w:type="spellStart"/>
            <w:r w:rsidRPr="006870B7">
              <w:rPr>
                <w:rFonts w:cs="Times New Roman"/>
                <w:sz w:val="20"/>
                <w:szCs w:val="20"/>
              </w:rPr>
              <w:t>Pullulanase</w:t>
            </w:r>
            <w:proofErr w:type="spellEnd"/>
          </w:p>
        </w:tc>
        <w:tc>
          <w:tcPr>
            <w:tcW w:w="5499" w:type="dxa"/>
          </w:tcPr>
          <w:p w14:paraId="5E8F2FE9"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Production of functional starch microparticles with reduced digestibility</w:t>
            </w:r>
          </w:p>
        </w:tc>
        <w:tc>
          <w:tcPr>
            <w:tcW w:w="756" w:type="dxa"/>
          </w:tcPr>
          <w:p w14:paraId="362DF5E8"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w:t>
            </w:r>
            <w:r w:rsidRPr="006870B7">
              <w:rPr>
                <w:rFonts w:cs="Times New Roman"/>
                <w:color w:val="0000FF"/>
                <w:sz w:val="20"/>
                <w:szCs w:val="20"/>
              </w:rPr>
              <w:t>76</w:t>
            </w:r>
            <w:r w:rsidRPr="006870B7">
              <w:rPr>
                <w:rFonts w:cs="Times New Roman"/>
                <w:sz w:val="20"/>
                <w:szCs w:val="20"/>
              </w:rPr>
              <w:t>]</w:t>
            </w:r>
          </w:p>
        </w:tc>
      </w:tr>
      <w:tr w:rsidR="006870B7" w:rsidRPr="006870B7" w14:paraId="2BB69211" w14:textId="77777777" w:rsidTr="00937636">
        <w:trPr>
          <w:trHeight w:val="250"/>
        </w:trPr>
        <w:tc>
          <w:tcPr>
            <w:tcW w:w="1590" w:type="dxa"/>
          </w:tcPr>
          <w:p w14:paraId="4D1938D8" w14:textId="77777777" w:rsidR="006870B7" w:rsidRPr="006870B7" w:rsidRDefault="006870B7" w:rsidP="00936B2C">
            <w:pPr>
              <w:spacing w:after="160" w:line="259" w:lineRule="auto"/>
              <w:jc w:val="left"/>
              <w:rPr>
                <w:rFonts w:cs="Times New Roman"/>
                <w:sz w:val="20"/>
                <w:szCs w:val="20"/>
              </w:rPr>
            </w:pPr>
          </w:p>
        </w:tc>
        <w:tc>
          <w:tcPr>
            <w:tcW w:w="2019" w:type="dxa"/>
          </w:tcPr>
          <w:p w14:paraId="5BA68358"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Lactase</w:t>
            </w:r>
          </w:p>
        </w:tc>
        <w:tc>
          <w:tcPr>
            <w:tcW w:w="5499" w:type="dxa"/>
          </w:tcPr>
          <w:p w14:paraId="1E09AEBF"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Production of low-dosage lactose milk</w:t>
            </w:r>
          </w:p>
        </w:tc>
        <w:tc>
          <w:tcPr>
            <w:tcW w:w="756" w:type="dxa"/>
          </w:tcPr>
          <w:p w14:paraId="74819ED0"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w:t>
            </w:r>
            <w:r w:rsidRPr="006870B7">
              <w:rPr>
                <w:rFonts w:cs="Times New Roman"/>
                <w:color w:val="0000FF"/>
                <w:sz w:val="20"/>
                <w:szCs w:val="20"/>
              </w:rPr>
              <w:t>77</w:t>
            </w:r>
            <w:r w:rsidRPr="006870B7">
              <w:rPr>
                <w:rFonts w:cs="Times New Roman"/>
                <w:sz w:val="20"/>
                <w:szCs w:val="20"/>
              </w:rPr>
              <w:t>]</w:t>
            </w:r>
          </w:p>
        </w:tc>
      </w:tr>
      <w:tr w:rsidR="006870B7" w:rsidRPr="006870B7" w14:paraId="67DEBA73" w14:textId="77777777" w:rsidTr="00937636">
        <w:trPr>
          <w:trHeight w:val="284"/>
        </w:trPr>
        <w:tc>
          <w:tcPr>
            <w:tcW w:w="1590" w:type="dxa"/>
          </w:tcPr>
          <w:p w14:paraId="160E5D6F" w14:textId="77777777" w:rsidR="006870B7" w:rsidRPr="006870B7" w:rsidRDefault="006870B7" w:rsidP="00936B2C">
            <w:pPr>
              <w:spacing w:after="160" w:line="259" w:lineRule="auto"/>
              <w:jc w:val="left"/>
              <w:rPr>
                <w:rFonts w:cs="Times New Roman"/>
                <w:sz w:val="20"/>
                <w:szCs w:val="20"/>
              </w:rPr>
            </w:pPr>
          </w:p>
        </w:tc>
        <w:tc>
          <w:tcPr>
            <w:tcW w:w="2019" w:type="dxa"/>
          </w:tcPr>
          <w:p w14:paraId="40233B33"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Proteolytic enzymes</w:t>
            </w:r>
          </w:p>
        </w:tc>
        <w:tc>
          <w:tcPr>
            <w:tcW w:w="5499" w:type="dxa"/>
          </w:tcPr>
          <w:p w14:paraId="22A2DF22"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Production of bioactive peptides</w:t>
            </w:r>
          </w:p>
        </w:tc>
        <w:tc>
          <w:tcPr>
            <w:tcW w:w="756" w:type="dxa"/>
          </w:tcPr>
          <w:p w14:paraId="5D56D964" w14:textId="77777777" w:rsidR="006870B7" w:rsidRPr="006870B7" w:rsidRDefault="006870B7" w:rsidP="00936B2C">
            <w:pPr>
              <w:spacing w:line="259" w:lineRule="auto"/>
              <w:ind w:left="3"/>
              <w:jc w:val="left"/>
              <w:rPr>
                <w:rFonts w:cs="Times New Roman"/>
                <w:sz w:val="20"/>
                <w:szCs w:val="20"/>
              </w:rPr>
            </w:pPr>
            <w:r w:rsidRPr="006870B7">
              <w:rPr>
                <w:rFonts w:cs="Times New Roman"/>
                <w:sz w:val="20"/>
                <w:szCs w:val="20"/>
              </w:rPr>
              <w:t>[</w:t>
            </w:r>
            <w:r w:rsidRPr="006870B7">
              <w:rPr>
                <w:rFonts w:cs="Times New Roman"/>
                <w:color w:val="0000FF"/>
                <w:sz w:val="20"/>
                <w:szCs w:val="20"/>
              </w:rPr>
              <w:t>78</w:t>
            </w:r>
            <w:r w:rsidRPr="006870B7">
              <w:rPr>
                <w:rFonts w:cs="Times New Roman"/>
                <w:sz w:val="20"/>
                <w:szCs w:val="20"/>
              </w:rPr>
              <w:t>]</w:t>
            </w:r>
          </w:p>
        </w:tc>
      </w:tr>
    </w:tbl>
    <w:p w14:paraId="0C5FE623" w14:textId="5CD8A753" w:rsidR="00A87616" w:rsidRPr="00A87616" w:rsidRDefault="00A87616" w:rsidP="00A87616">
      <w:pPr>
        <w:pStyle w:val="figurecaption"/>
        <w:numPr>
          <w:ilvl w:val="0"/>
          <w:numId w:val="0"/>
        </w:numPr>
        <w:rPr>
          <w:rFonts w:eastAsia="MS Mincho"/>
          <w:b/>
          <w:color w:val="C0504D" w:themeColor="accent2"/>
        </w:rPr>
      </w:pPr>
      <w:r w:rsidRPr="00A87616">
        <w:rPr>
          <w:rFonts w:eastAsia="MS Mincho"/>
          <w:b/>
        </w:rPr>
        <w:t xml:space="preserve"> (Reference, </w:t>
      </w:r>
      <w:r w:rsidR="00AB4115">
        <w:rPr>
          <w:rFonts w:eastAsia="MS Mincho"/>
          <w:b/>
        </w:rPr>
        <w:t>cupping</w:t>
      </w:r>
      <w:r w:rsidRPr="00A87616">
        <w:rPr>
          <w:rFonts w:eastAsia="MS Mincho"/>
          <w:b/>
        </w:rPr>
        <w:t xml:space="preserve"> et al. (2020) </w:t>
      </w:r>
      <w:r w:rsidR="00AB4115">
        <w:rPr>
          <w:rFonts w:eastAsia="MS Mincho"/>
          <w:b/>
        </w:rPr>
        <w:t>Current</w:t>
      </w:r>
      <w:r w:rsidRPr="00A87616">
        <w:rPr>
          <w:rFonts w:eastAsia="MS Mincho"/>
          <w:b/>
        </w:rPr>
        <w:t xml:space="preserve"> progress and prospects of enzyme technology in future foods).</w:t>
      </w:r>
    </w:p>
    <w:p w14:paraId="477270D8" w14:textId="77777777" w:rsidR="00A87616" w:rsidRDefault="00A87616" w:rsidP="00CB7398">
      <w:pPr>
        <w:jc w:val="both"/>
      </w:pPr>
    </w:p>
    <w:p w14:paraId="56BB1F85" w14:textId="63B51651" w:rsidR="00296F4C" w:rsidRDefault="00296F4C" w:rsidP="00CB7398">
      <w:pPr>
        <w:jc w:val="both"/>
      </w:pPr>
    </w:p>
    <w:p w14:paraId="35261BEF" w14:textId="120A78FE" w:rsidR="00296F4C" w:rsidRDefault="00296F4C" w:rsidP="00CB7398">
      <w:pPr>
        <w:jc w:val="both"/>
      </w:pPr>
    </w:p>
    <w:p w14:paraId="36D06198" w14:textId="733CDC55" w:rsidR="00296F4C" w:rsidRDefault="00296F4C" w:rsidP="00CB7398">
      <w:pPr>
        <w:jc w:val="both"/>
      </w:pPr>
    </w:p>
    <w:p w14:paraId="00DD9A1A" w14:textId="506D763D" w:rsidR="00296F4C" w:rsidRDefault="00296F4C" w:rsidP="00CB7398">
      <w:pPr>
        <w:jc w:val="both"/>
      </w:pPr>
    </w:p>
    <w:p w14:paraId="125DF51B" w14:textId="3990BDD0" w:rsidR="00296F4C" w:rsidRDefault="00296F4C" w:rsidP="00CB7398">
      <w:pPr>
        <w:jc w:val="both"/>
      </w:pPr>
    </w:p>
    <w:p w14:paraId="00CEA677" w14:textId="12D4C4CD" w:rsidR="00296F4C" w:rsidRDefault="00296F4C" w:rsidP="00CB7398">
      <w:pPr>
        <w:jc w:val="both"/>
      </w:pPr>
    </w:p>
    <w:p w14:paraId="078EAE57" w14:textId="07C2F1A0" w:rsidR="00296F4C" w:rsidRDefault="00296F4C" w:rsidP="00CB7398">
      <w:pPr>
        <w:jc w:val="both"/>
      </w:pPr>
    </w:p>
    <w:p w14:paraId="5CBC30D2" w14:textId="3AA9D87F" w:rsidR="00296F4C" w:rsidRDefault="00296F4C" w:rsidP="00CB7398">
      <w:pPr>
        <w:jc w:val="both"/>
      </w:pPr>
    </w:p>
    <w:p w14:paraId="20E34705" w14:textId="4A285E36" w:rsidR="00296F4C" w:rsidRDefault="00296F4C" w:rsidP="00CB7398">
      <w:pPr>
        <w:jc w:val="both"/>
      </w:pPr>
    </w:p>
    <w:p w14:paraId="09B31DD4" w14:textId="378C0A2F" w:rsidR="00296F4C" w:rsidRDefault="00296F4C" w:rsidP="00CB7398">
      <w:pPr>
        <w:jc w:val="both"/>
      </w:pPr>
    </w:p>
    <w:p w14:paraId="126F8172" w14:textId="5AC5BA1E" w:rsidR="00296F4C" w:rsidRDefault="00296F4C" w:rsidP="00CB7398">
      <w:pPr>
        <w:jc w:val="both"/>
      </w:pPr>
    </w:p>
    <w:p w14:paraId="6E820A94" w14:textId="0DDCCF5F" w:rsidR="00296F4C" w:rsidRDefault="00296F4C" w:rsidP="00CB7398">
      <w:pPr>
        <w:jc w:val="both"/>
      </w:pPr>
    </w:p>
    <w:p w14:paraId="6B0C2FDF" w14:textId="4D957F56" w:rsidR="00296F4C" w:rsidRDefault="00296F4C" w:rsidP="00CB7398">
      <w:pPr>
        <w:jc w:val="both"/>
      </w:pPr>
    </w:p>
    <w:p w14:paraId="2C7A24DE" w14:textId="77777777" w:rsidR="00767BF4" w:rsidRPr="00466548" w:rsidRDefault="00767BF4" w:rsidP="00466548">
      <w:pPr>
        <w:pStyle w:val="BodyText"/>
        <w:spacing w:after="0" w:line="240" w:lineRule="auto"/>
        <w:ind w:firstLine="0"/>
      </w:pPr>
    </w:p>
    <w:p w14:paraId="64E52D9D" w14:textId="5A532893" w:rsidR="008A55B5" w:rsidRPr="00402841" w:rsidRDefault="00FE55D7" w:rsidP="00467F3E">
      <w:pPr>
        <w:pStyle w:val="Heading1"/>
        <w:numPr>
          <w:ilvl w:val="0"/>
          <w:numId w:val="0"/>
        </w:numPr>
        <w:spacing w:before="0" w:after="0"/>
        <w:rPr>
          <w:rFonts w:eastAsia="MS Mincho"/>
        </w:rPr>
      </w:pPr>
      <w:r>
        <w:rPr>
          <w:rFonts w:ascii="Times New Roman" w:eastAsia="MS Mincho" w:hAnsi="Times New Roman"/>
          <w:sz w:val="20"/>
          <w:szCs w:val="20"/>
        </w:rPr>
        <w:lastRenderedPageBreak/>
        <w:t>The prospects of enzyme technology</w:t>
      </w:r>
      <w:r w:rsidR="002102E4">
        <w:rPr>
          <w:rFonts w:ascii="Times New Roman" w:eastAsia="MS Mincho" w:hAnsi="Times New Roman"/>
          <w:sz w:val="20"/>
          <w:szCs w:val="20"/>
        </w:rPr>
        <w:t xml:space="preserve"> in</w:t>
      </w:r>
      <w:r>
        <w:rPr>
          <w:rFonts w:ascii="Times New Roman" w:eastAsia="MS Mincho" w:hAnsi="Times New Roman"/>
          <w:sz w:val="20"/>
          <w:szCs w:val="20"/>
        </w:rPr>
        <w:t xml:space="preserve"> future food production</w:t>
      </w:r>
    </w:p>
    <w:p w14:paraId="4713DF7D" w14:textId="77777777" w:rsidR="00767BF4" w:rsidRPr="00767BF4" w:rsidRDefault="00767BF4" w:rsidP="00767BF4">
      <w:pPr>
        <w:rPr>
          <w:rFonts w:eastAsia="MS Mincho"/>
        </w:rPr>
      </w:pPr>
    </w:p>
    <w:p w14:paraId="4E21506F" w14:textId="1B190D85" w:rsidR="00937636" w:rsidRDefault="00FE55D7" w:rsidP="00937636">
      <w:pPr>
        <w:jc w:val="both"/>
      </w:pPr>
      <w:r w:rsidRPr="00B32084">
        <w:t xml:space="preserve">Long-standing issues in the </w:t>
      </w:r>
      <w:r w:rsidR="00AB4115">
        <w:t>utilization</w:t>
      </w:r>
      <w:r w:rsidRPr="00B32084">
        <w:t xml:space="preserve"> of enzyme-based technology in the food industry include the flexibility of enzymatic characteristics, the creation of food-grade protein expression hosts, and the </w:t>
      </w:r>
      <w:r w:rsidR="00AB4115">
        <w:t>optimization</w:t>
      </w:r>
      <w:r w:rsidRPr="00B32084">
        <w:t xml:space="preserve"> of multi-enzyme systems</w:t>
      </w:r>
      <w:r w:rsidR="002102E4">
        <w:t xml:space="preserve"> (Fig.3).</w:t>
      </w:r>
    </w:p>
    <w:p w14:paraId="76299043" w14:textId="77777777" w:rsidR="00937636" w:rsidRDefault="00937636" w:rsidP="00466548">
      <w:pPr>
        <w:pStyle w:val="BodyText"/>
        <w:spacing w:after="0" w:line="240" w:lineRule="auto"/>
        <w:ind w:firstLine="0"/>
      </w:pPr>
    </w:p>
    <w:p w14:paraId="42BDA5F4" w14:textId="77777777" w:rsidR="00937636" w:rsidRDefault="00937636" w:rsidP="00466548">
      <w:pPr>
        <w:pStyle w:val="BodyText"/>
        <w:spacing w:after="0" w:line="240" w:lineRule="auto"/>
        <w:ind w:firstLine="0"/>
      </w:pPr>
    </w:p>
    <w:p w14:paraId="1D860F88" w14:textId="00944A7A" w:rsidR="00937636" w:rsidRDefault="00937636" w:rsidP="00466548">
      <w:pPr>
        <w:pStyle w:val="BodyText"/>
        <w:spacing w:after="0" w:line="240" w:lineRule="auto"/>
        <w:ind w:firstLine="0"/>
      </w:pPr>
      <w:r>
        <w:rPr>
          <w:noProof/>
        </w:rPr>
        <w:drawing>
          <wp:inline distT="0" distB="0" distL="0" distR="0" wp14:anchorId="67923AB2" wp14:editId="040856B0">
            <wp:extent cx="5733415" cy="387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879215"/>
                    </a:xfrm>
                    <a:prstGeom prst="rect">
                      <a:avLst/>
                    </a:prstGeom>
                  </pic:spPr>
                </pic:pic>
              </a:graphicData>
            </a:graphic>
          </wp:inline>
        </w:drawing>
      </w:r>
    </w:p>
    <w:p w14:paraId="53F9CCB6" w14:textId="312F4A45" w:rsidR="00937636" w:rsidRDefault="00937636" w:rsidP="00466548">
      <w:pPr>
        <w:pStyle w:val="BodyText"/>
        <w:spacing w:after="0" w:line="240" w:lineRule="auto"/>
        <w:ind w:firstLine="0"/>
      </w:pPr>
    </w:p>
    <w:p w14:paraId="27ECA16E" w14:textId="30DD0922" w:rsidR="00F86FE6" w:rsidRPr="00794DEE" w:rsidRDefault="00937636" w:rsidP="00794DEE">
      <w:pPr>
        <w:pStyle w:val="BodyText"/>
        <w:spacing w:after="0" w:line="240" w:lineRule="auto"/>
        <w:ind w:firstLine="0"/>
        <w:jc w:val="center"/>
        <w:rPr>
          <w:b/>
        </w:rPr>
      </w:pPr>
      <w:r w:rsidRPr="000B5B2F">
        <w:rPr>
          <w:b/>
        </w:rPr>
        <w:t xml:space="preserve">Figure </w:t>
      </w:r>
      <w:r w:rsidR="00543851">
        <w:rPr>
          <w:b/>
        </w:rPr>
        <w:t>3</w:t>
      </w:r>
      <w:r w:rsidRPr="000B5B2F">
        <w:rPr>
          <w:b/>
        </w:rPr>
        <w:t xml:space="preserve">: </w:t>
      </w:r>
      <w:r w:rsidRPr="00937636">
        <w:rPr>
          <w:b/>
        </w:rPr>
        <w:t>The prospect of enzyme technology in future foods</w:t>
      </w:r>
      <w:r>
        <w:rPr>
          <w:b/>
        </w:rPr>
        <w:t>.</w:t>
      </w:r>
      <w:r w:rsidR="00F86FE6">
        <w:rPr>
          <w:b/>
        </w:rPr>
        <w:t xml:space="preserve"> </w:t>
      </w:r>
      <w:r w:rsidR="00F86FE6" w:rsidRPr="00A87616">
        <w:rPr>
          <w:b/>
          <w:sz w:val="16"/>
          <w:szCs w:val="16"/>
        </w:rPr>
        <w:t xml:space="preserve">(Reference, </w:t>
      </w:r>
      <w:r w:rsidR="00AB4115">
        <w:rPr>
          <w:b/>
          <w:sz w:val="16"/>
          <w:szCs w:val="16"/>
        </w:rPr>
        <w:t>cupping</w:t>
      </w:r>
      <w:r w:rsidR="00F86FE6" w:rsidRPr="00A87616">
        <w:rPr>
          <w:b/>
          <w:sz w:val="16"/>
          <w:szCs w:val="16"/>
        </w:rPr>
        <w:t xml:space="preserve"> et al. (2020) </w:t>
      </w:r>
      <w:r w:rsidR="00AB4115">
        <w:rPr>
          <w:b/>
          <w:sz w:val="16"/>
          <w:szCs w:val="16"/>
        </w:rPr>
        <w:t>Current</w:t>
      </w:r>
      <w:r w:rsidR="00F86FE6" w:rsidRPr="00A87616">
        <w:rPr>
          <w:b/>
          <w:sz w:val="16"/>
          <w:szCs w:val="16"/>
        </w:rPr>
        <w:t xml:space="preserve"> progress and prospects of enzyme technology in future foods).</w:t>
      </w:r>
    </w:p>
    <w:p w14:paraId="2D080676" w14:textId="77777777" w:rsidR="00F86FE6" w:rsidRDefault="00F86FE6" w:rsidP="00937636">
      <w:pPr>
        <w:pStyle w:val="BodyText"/>
        <w:spacing w:after="0" w:line="240" w:lineRule="auto"/>
        <w:ind w:firstLine="0"/>
        <w:jc w:val="center"/>
      </w:pPr>
    </w:p>
    <w:p w14:paraId="7E338D1C" w14:textId="1AB95B91" w:rsidR="00937636" w:rsidRDefault="00937636" w:rsidP="00466548">
      <w:pPr>
        <w:pStyle w:val="BodyText"/>
        <w:spacing w:after="0" w:line="240" w:lineRule="auto"/>
        <w:ind w:firstLine="0"/>
      </w:pPr>
    </w:p>
    <w:p w14:paraId="53FA8ED5" w14:textId="4E467451" w:rsidR="00937636" w:rsidRDefault="00937636" w:rsidP="00466548">
      <w:pPr>
        <w:pStyle w:val="BodyText"/>
        <w:spacing w:after="0" w:line="240" w:lineRule="auto"/>
        <w:ind w:firstLine="0"/>
      </w:pPr>
    </w:p>
    <w:p w14:paraId="7FE939B0" w14:textId="77777777" w:rsidR="00937636" w:rsidRPr="00466548" w:rsidRDefault="00937636" w:rsidP="00466548">
      <w:pPr>
        <w:pStyle w:val="BodyText"/>
        <w:spacing w:after="0" w:line="240" w:lineRule="auto"/>
        <w:ind w:firstLine="0"/>
      </w:pPr>
    </w:p>
    <w:p w14:paraId="04CE5F89" w14:textId="77777777" w:rsidR="00FE55D7" w:rsidRPr="0067551B" w:rsidRDefault="00FE55D7" w:rsidP="00FE55D7">
      <w:pPr>
        <w:jc w:val="both"/>
        <w:rPr>
          <w:rFonts w:eastAsia="MyriadPro-BoldSemiCn"/>
          <w:b/>
          <w:bCs/>
        </w:rPr>
      </w:pPr>
      <w:r w:rsidRPr="0067551B">
        <w:rPr>
          <w:rFonts w:eastAsia="MyriadPro-BoldSemiCn"/>
          <w:b/>
          <w:bCs/>
        </w:rPr>
        <w:t>Adaptability of enzymatic properties</w:t>
      </w:r>
    </w:p>
    <w:p w14:paraId="159CC70F" w14:textId="5EFEB4ED" w:rsidR="00C05DB1" w:rsidRDefault="00C05DB1" w:rsidP="00C05DB1">
      <w:pPr>
        <w:jc w:val="both"/>
      </w:pPr>
      <w:r>
        <w:t>Enhancing the functioning of enzymes under certain conditions through protein engineering helps to increase the applications of enzyme technology in food production. For instance, -amylase is needed for the formation of wine, starch, and monosodium glutamate, but its activity is compromised by the acidic environments of these processes. [50] Liu et al.</w:t>
      </w:r>
      <w:r w:rsidRPr="00B32084">
        <w:t xml:space="preserve"> </w:t>
      </w:r>
      <w:r>
        <w:t>By employing directed evolution, it was possible to isolate a mutant -amylase from Bacillus licheniformis with better acid tolerance at pH 4.5 and a 14-fold increase in catalytic efficiency (kc</w:t>
      </w:r>
      <w:r w:rsidR="00AB4115">
        <w:t xml:space="preserve"> </w:t>
      </w:r>
      <w:r>
        <w:t xml:space="preserve">at/Km) over the natural type. </w:t>
      </w:r>
    </w:p>
    <w:p w14:paraId="3A8D36BC" w14:textId="6C6FC0F6" w:rsidR="00C05DB1" w:rsidRDefault="00C05DB1" w:rsidP="00C05DB1">
      <w:pPr>
        <w:jc w:val="both"/>
      </w:pPr>
      <w:r>
        <w:t xml:space="preserve">Enhancing chemical modification can also help enzymes adapt better to the industrial setting. Although this tactic has the potential to result in activity loss, enzyme-polymer conjugates can increase the stability of the enzyme [51]. </w:t>
      </w:r>
      <w:proofErr w:type="spellStart"/>
      <w:r>
        <w:t>PromisingIn</w:t>
      </w:r>
      <w:proofErr w:type="spellEnd"/>
      <w:r>
        <w:t xml:space="preserve"> order to improve catalytic efficiency and identify the crucial residues involved in catalysis, natural enzymes are frequently changed. The specific activity and catalytic efficiency of the fibrinolytic enzyme from the marine bacteria Serratia marcescens sub</w:t>
      </w:r>
      <w:r w:rsidR="00AB4115">
        <w:t xml:space="preserve"> </w:t>
      </w:r>
      <w:r>
        <w:t xml:space="preserve">sp. </w:t>
      </w:r>
      <w:r w:rsidR="00AB4115">
        <w:t>amanuensis</w:t>
      </w:r>
      <w:r>
        <w:t xml:space="preserve"> </w:t>
      </w:r>
      <w:r w:rsidR="00AB4115">
        <w:t>was</w:t>
      </w:r>
      <w:r>
        <w:t xml:space="preserve"> increased by 19-fold and 219-fold, respectively, by Anusha [52] using </w:t>
      </w:r>
      <w:r w:rsidR="00CA4858">
        <w:t>amino</w:t>
      </w:r>
      <w:r>
        <w:t xml:space="preserve"> acid modifiers.</w:t>
      </w:r>
      <w:r w:rsidRPr="00B32084">
        <w:t xml:space="preserve"> </w:t>
      </w:r>
      <w:r>
        <w:t xml:space="preserve">These fibrinolytic enzymes' structural analyses revealed modifications to their ß-sheet and -helix conformations. Additionally, enzymes can be chemically altered to enhance enzyme </w:t>
      </w:r>
      <w:r w:rsidR="00AB4115">
        <w:t>immobilization</w:t>
      </w:r>
      <w:r>
        <w:t xml:space="preserve"> [53, 54]. The most popular techniques in this regard are </w:t>
      </w:r>
      <w:proofErr w:type="spellStart"/>
      <w:r>
        <w:t>hydrophobization</w:t>
      </w:r>
      <w:proofErr w:type="spellEnd"/>
      <w:r>
        <w:t xml:space="preserve">, cationization, and </w:t>
      </w:r>
      <w:r w:rsidR="00AB4115">
        <w:t>unionization</w:t>
      </w:r>
      <w:r>
        <w:t>, and improvements to the characteristics of the enzyme range from increased cell penetrability to improved stability or activity [55].</w:t>
      </w:r>
      <w:r w:rsidRPr="00B32084">
        <w:t xml:space="preserve"> </w:t>
      </w:r>
    </w:p>
    <w:p w14:paraId="73B0E1CD" w14:textId="1C9460BE" w:rsidR="00FE55D7" w:rsidRDefault="00C05DB1" w:rsidP="005028DA">
      <w:pPr>
        <w:jc w:val="both"/>
      </w:pPr>
      <w:r w:rsidRPr="00B32084">
        <w:t xml:space="preserve">The development of stable, focused, and highly active enzymes to </w:t>
      </w:r>
      <w:r w:rsidR="00AB4115">
        <w:t>catalyze</w:t>
      </w:r>
      <w:r w:rsidRPr="00B32084">
        <w:t xml:space="preserve"> complicated processes in silico has also been made possible by advancements in protein structure databases and computational biology [56]. The xylanases and </w:t>
      </w:r>
      <w:r w:rsidR="00AB4115">
        <w:t>lactonase</w:t>
      </w:r>
      <w:r w:rsidRPr="00B32084">
        <w:t xml:space="preserve"> enzyme families were put together by Gideon, who also reported on the </w:t>
      </w:r>
      <w:r w:rsidR="00AB4115">
        <w:t>optimization</w:t>
      </w:r>
      <w:r w:rsidRPr="00B32084">
        <w:t xml:space="preserve"> of </w:t>
      </w:r>
      <w:r w:rsidRPr="00B32084">
        <w:lastRenderedPageBreak/>
        <w:t xml:space="preserve">their amino acid sequences using the </w:t>
      </w:r>
      <w:r w:rsidR="00AB4115">
        <w:t>modeling</w:t>
      </w:r>
      <w:r w:rsidRPr="00B32084">
        <w:t xml:space="preserve"> </w:t>
      </w:r>
      <w:proofErr w:type="spellStart"/>
      <w:r w:rsidRPr="00B32084">
        <w:t>programme</w:t>
      </w:r>
      <w:proofErr w:type="spellEnd"/>
      <w:r w:rsidRPr="00B32084">
        <w:t xml:space="preserve"> Rosetta [57]. Despite having just 25% sequence homology, 21 GH10</w:t>
      </w:r>
      <w:r w:rsidR="00AB4115">
        <w:t>,</w:t>
      </w:r>
      <w:r w:rsidRPr="00B32084">
        <w:t xml:space="preserve"> and 7 PLL designs are active among these </w:t>
      </w:r>
      <w:r w:rsidR="00AB4115">
        <w:t>optimized</w:t>
      </w:r>
      <w:r w:rsidRPr="00B32084">
        <w:t xml:space="preserve"> variations. Overall, the ability to modify food enzymes through rational and semi-rational design, high-throughput screening, and new technologies like machine learning will be crucial for future advancements in food enzymes.</w:t>
      </w:r>
    </w:p>
    <w:p w14:paraId="30540B30" w14:textId="77777777" w:rsidR="0085548B" w:rsidRPr="00466548" w:rsidRDefault="0085548B" w:rsidP="005028DA">
      <w:pPr>
        <w:jc w:val="both"/>
      </w:pPr>
    </w:p>
    <w:p w14:paraId="63D369AF" w14:textId="34A57203" w:rsidR="00FE55D7" w:rsidRPr="00767BF4" w:rsidRDefault="00A325D4" w:rsidP="00467F3E">
      <w:pPr>
        <w:pStyle w:val="Heading2"/>
        <w:numPr>
          <w:ilvl w:val="0"/>
          <w:numId w:val="0"/>
        </w:numPr>
        <w:spacing w:before="0" w:after="0"/>
        <w:rPr>
          <w:b/>
          <w:i w:val="0"/>
        </w:rPr>
      </w:pPr>
      <w:r>
        <w:rPr>
          <w:b/>
          <w:i w:val="0"/>
        </w:rPr>
        <w:t xml:space="preserve">Construction of </w:t>
      </w:r>
      <w:r w:rsidR="00AB4115">
        <w:rPr>
          <w:b/>
          <w:i w:val="0"/>
        </w:rPr>
        <w:t>food-grade</w:t>
      </w:r>
      <w:r>
        <w:rPr>
          <w:b/>
          <w:i w:val="0"/>
        </w:rPr>
        <w:t xml:space="preserve"> expression system</w:t>
      </w:r>
    </w:p>
    <w:p w14:paraId="512A1C52" w14:textId="712FB334" w:rsidR="00A325D4" w:rsidRDefault="00A325D4" w:rsidP="00A325D4">
      <w:pPr>
        <w:jc w:val="both"/>
      </w:pPr>
      <w:r w:rsidRPr="00B32084">
        <w:t>Food-grade protein production needs secure hosts and genetic techniques free of antibiotic indicators, but the workflow for strain modification</w:t>
      </w:r>
      <w:r w:rsidR="004030A1">
        <w:t xml:space="preserve"> is </w:t>
      </w:r>
      <w:r w:rsidRPr="00B32084">
        <w:t>constrained by the small number of hosts available. To identify enzymes that are secure for upcoming food processing, food-grade protein expression platforms must be developed. By creating dual-host (shuttle) expression vectors with detachable selection markers for feasible cloning in E. coli and downstream protein expression in the food-grade lactic acid bacteria, these challenges have been overcome [58],</w:t>
      </w:r>
      <w:r w:rsidRPr="00F70F1C">
        <w:t xml:space="preserve"> </w:t>
      </w:r>
      <w:r w:rsidR="00AB4115">
        <w:t>including</w:t>
      </w:r>
      <w:r>
        <w:t xml:space="preserve"> Lactococcus lactis, Lactobacillus, Bacillus subtilis, Aspergillus </w:t>
      </w:r>
      <w:proofErr w:type="spellStart"/>
      <w:r>
        <w:t>niger</w:t>
      </w:r>
      <w:proofErr w:type="spellEnd"/>
      <w:r>
        <w:t xml:space="preserve">, Aspergillus </w:t>
      </w:r>
      <w:proofErr w:type="spellStart"/>
      <w:r>
        <w:t>oryzae</w:t>
      </w:r>
      <w:proofErr w:type="spellEnd"/>
      <w:r>
        <w:t xml:space="preserve">, and B. licheniformis. The -galactosidase gene was incorporated by Douglas et al. into the L. acidophilus chromosome. Recombinant lactic acid bacteria are employed in the dairy industry to increase the rate of lactose breakdown (for example, lactose-free milk), which enhances the body's ability to absorb and </w:t>
      </w:r>
      <w:proofErr w:type="spellStart"/>
      <w:r>
        <w:t>utilise</w:t>
      </w:r>
      <w:proofErr w:type="spellEnd"/>
      <w:r>
        <w:t xml:space="preserve"> lactose [59].</w:t>
      </w:r>
      <w:r w:rsidRPr="00706E2E">
        <w:t xml:space="preserve"> Takeuchi et al. expressed prolyl aminopeptidase in the bacteria A. </w:t>
      </w:r>
      <w:proofErr w:type="spellStart"/>
      <w:r w:rsidRPr="00706E2E">
        <w:t>oryzae</w:t>
      </w:r>
      <w:proofErr w:type="spellEnd"/>
      <w:r w:rsidRPr="00706E2E">
        <w:t xml:space="preserve"> for high specific activity and salt tolerance, which are used in the production process of fermented foods [60]. </w:t>
      </w:r>
    </w:p>
    <w:p w14:paraId="5735B119" w14:textId="3F5D7F4B" w:rsidR="00FE55D7" w:rsidRDefault="00A325D4" w:rsidP="00A325D4">
      <w:pPr>
        <w:pStyle w:val="BodyText"/>
        <w:spacing w:after="0" w:line="240" w:lineRule="auto"/>
        <w:ind w:firstLine="0"/>
      </w:pPr>
      <w:r w:rsidRPr="00706E2E">
        <w:t>New food-grade expression hosts are still needed to develop new expression modules with efficient expression levels. Using the resources of synthetic biology and system</w:t>
      </w:r>
      <w:r w:rsidRPr="00AA1CE5">
        <w:t xml:space="preserve"> </w:t>
      </w:r>
      <w:r>
        <w:t>t</w:t>
      </w:r>
      <w:r w:rsidRPr="00AA1CE5">
        <w:t xml:space="preserve">o develop the biosynthetic and regulatory components and to </w:t>
      </w:r>
      <w:r w:rsidR="00AB4115">
        <w:t>optimize</w:t>
      </w:r>
      <w:r w:rsidRPr="00AA1CE5">
        <w:t xml:space="preserve"> the food safety expression system for future food production, biology, </w:t>
      </w:r>
      <w:r w:rsidR="00AB4115">
        <w:t xml:space="preserve">and </w:t>
      </w:r>
      <w:r w:rsidRPr="00AA1CE5">
        <w:t xml:space="preserve">microbiological datasets may be screened. Assembling various molecular components into a de novo synthesis route is important in the interim to </w:t>
      </w:r>
      <w:r w:rsidR="00AB4115">
        <w:t>characterize</w:t>
      </w:r>
      <w:r w:rsidRPr="00AA1CE5">
        <w:t xml:space="preserve"> strain characteristics between the pathway and expression system</w:t>
      </w:r>
      <w:r>
        <w:t>.</w:t>
      </w:r>
    </w:p>
    <w:p w14:paraId="1A30FCE8" w14:textId="77777777" w:rsidR="00A325D4" w:rsidRPr="00466548" w:rsidRDefault="00A325D4" w:rsidP="00A325D4">
      <w:pPr>
        <w:pStyle w:val="BodyText"/>
        <w:spacing w:after="0" w:line="240" w:lineRule="auto"/>
        <w:ind w:firstLine="0"/>
      </w:pPr>
    </w:p>
    <w:p w14:paraId="41D7F881" w14:textId="0F85A2BC" w:rsidR="00FE55D7" w:rsidRPr="00767BF4" w:rsidRDefault="00AB4115" w:rsidP="00467F3E">
      <w:pPr>
        <w:pStyle w:val="Heading2"/>
        <w:numPr>
          <w:ilvl w:val="0"/>
          <w:numId w:val="0"/>
        </w:numPr>
        <w:spacing w:before="0" w:after="0"/>
        <w:rPr>
          <w:b/>
          <w:i w:val="0"/>
        </w:rPr>
      </w:pPr>
      <w:r>
        <w:rPr>
          <w:b/>
          <w:i w:val="0"/>
        </w:rPr>
        <w:t>Optimization</w:t>
      </w:r>
      <w:r w:rsidR="00A325D4">
        <w:rPr>
          <w:b/>
          <w:i w:val="0"/>
        </w:rPr>
        <w:t xml:space="preserve"> of multi enzyme system</w:t>
      </w:r>
    </w:p>
    <w:p w14:paraId="7E58547C" w14:textId="5052AE64" w:rsidR="00A325D4" w:rsidRDefault="00A325D4" w:rsidP="00A325D4">
      <w:pPr>
        <w:jc w:val="both"/>
      </w:pPr>
      <w:r w:rsidRPr="00AA1CE5">
        <w:t>By combining several functional enzymes to enhance the reaction rate synergistically, the multi-enzyme system has steadily evolved into a potent instrument in food production. Ginseng hardness may be greatly decreased following treatment with both neutral proteases and animal proteolytic enzymes, according to Zhou et al. [61]. Li et al. [62] used the multi-enzyme system has slowly developed into a formidable tool in food production by combining numerous functioning enzymes to speed up the reaction rate synergistically. According to Zhou et al. [61], both neutral proteases and animal proteolytic enzymes have the potential to significantly reduce the hardness of ginseng. cited after Li et al.</w:t>
      </w:r>
      <w:r>
        <w:t xml:space="preserve"> According to (Dupont, Rochester, NY, USA), the proportion and mix of several high-quality enzymes can enhance food processing through synergistic effects. Plant-based proteins can also be hydrolyzed enzymatically (using the proteins papain, bromelain, and </w:t>
      </w:r>
      <w:r w:rsidR="00AB4115">
        <w:t>fiction</w:t>
      </w:r>
      <w:r>
        <w:t>) and treated with transglutaminase to produce high-quality hydrolysates with improved functional qualities including emulsifying and foaming capabilities [64].</w:t>
      </w:r>
      <w:r w:rsidR="00AB4115">
        <w:t>To</w:t>
      </w:r>
      <w:r w:rsidRPr="00AA1CE5">
        <w:t xml:space="preserve"> increase the use of multi-enzyme systems in food production, it will be necessary to: (1) screen enzymes with excellent performance; (2) </w:t>
      </w:r>
      <w:r w:rsidR="00AB4115">
        <w:t>optimize</w:t>
      </w:r>
      <w:r w:rsidRPr="00AA1CE5">
        <w:t xml:space="preserve"> the composite enzyme/strain system for </w:t>
      </w:r>
      <w:r w:rsidR="00AB4115">
        <w:t xml:space="preserve">the </w:t>
      </w:r>
      <w:r w:rsidRPr="00AA1CE5">
        <w:t>highest yield and catalysis; and (3) construct a robust system to handle the wide range of pH and temperature conditions in industrial applications.</w:t>
      </w:r>
    </w:p>
    <w:p w14:paraId="34AA507E" w14:textId="77777777" w:rsidR="00FE55D7" w:rsidRPr="00466548" w:rsidRDefault="00FE55D7" w:rsidP="00FE55D7">
      <w:pPr>
        <w:pStyle w:val="BodyText"/>
        <w:spacing w:after="0" w:line="240" w:lineRule="auto"/>
        <w:ind w:firstLine="0"/>
      </w:pPr>
    </w:p>
    <w:p w14:paraId="04DEAED8" w14:textId="1B1B8198" w:rsidR="00FE55D7" w:rsidRDefault="00467F3E" w:rsidP="00467F3E">
      <w:pPr>
        <w:pStyle w:val="Heading1"/>
        <w:numPr>
          <w:ilvl w:val="0"/>
          <w:numId w:val="0"/>
        </w:numPr>
        <w:spacing w:before="0" w:after="0"/>
        <w:jc w:val="both"/>
        <w:rPr>
          <w:rFonts w:ascii="Times New Roman" w:eastAsia="MS Mincho" w:hAnsi="Times New Roman"/>
          <w:sz w:val="20"/>
          <w:szCs w:val="20"/>
        </w:rPr>
      </w:pPr>
      <w:r>
        <w:rPr>
          <w:rFonts w:ascii="Times New Roman" w:eastAsia="MS Mincho" w:hAnsi="Times New Roman"/>
          <w:sz w:val="20"/>
          <w:szCs w:val="20"/>
        </w:rPr>
        <w:t>Conclusion</w:t>
      </w:r>
    </w:p>
    <w:p w14:paraId="2B0F5599" w14:textId="2E806619" w:rsidR="00467F3E" w:rsidRPr="00AA1CE5" w:rsidRDefault="00467F3E" w:rsidP="00467F3E">
      <w:pPr>
        <w:jc w:val="both"/>
      </w:pPr>
      <w:r w:rsidRPr="00AA1CE5">
        <w:t>The urgent needs of human civilization cannot now be fully met by conventional food production. To address the resource and environmental difficulties of upcoming development challenges, the food sector will need to deliver more effective, environmentally friendly, and sustainable production. Future food consumption will change to fit each person's dietary and spiritual requirements and to meet the need for wholesome,</w:t>
      </w:r>
      <w:r>
        <w:t xml:space="preserve"> </w:t>
      </w:r>
      <w:r w:rsidRPr="00BA3015">
        <w:t xml:space="preserve">Foods that are wholesome and delectable while also enhancing food processing. Since people demand </w:t>
      </w:r>
      <w:r w:rsidR="00AB4115">
        <w:t>customized</w:t>
      </w:r>
      <w:r w:rsidRPr="00BA3015">
        <w:t xml:space="preserve"> diets, future food production will rely on enzyme technology to produce </w:t>
      </w:r>
      <w:r w:rsidR="00AB4115">
        <w:t>customized</w:t>
      </w:r>
      <w:r w:rsidRPr="00BA3015">
        <w:t xml:space="preserve"> meals. The effectiveness of robust enzymes in enhancing human health has previously been demonstrated by advanced enzyme design technologies. After all,</w:t>
      </w:r>
      <w:r>
        <w:t xml:space="preserve"> </w:t>
      </w:r>
      <w:r w:rsidRPr="00BA3015">
        <w:t>Enzyme-based technologies not only increase the variety of food items in the future but also enhance food quality to satisfy rising demand and deliver the food sector enormous economic benefits.</w:t>
      </w:r>
      <w:r>
        <w:t xml:space="preserve"> </w:t>
      </w:r>
    </w:p>
    <w:p w14:paraId="1AD9E81D" w14:textId="0653AAE6" w:rsidR="00FE55D7" w:rsidRDefault="00FE55D7" w:rsidP="00467F3E">
      <w:pPr>
        <w:pStyle w:val="BodyText"/>
        <w:spacing w:after="0" w:line="240" w:lineRule="auto"/>
        <w:ind w:firstLine="0"/>
      </w:pPr>
    </w:p>
    <w:p w14:paraId="1309AE8D" w14:textId="6DC55D30" w:rsidR="000026B6" w:rsidRDefault="000026B6" w:rsidP="000026B6"/>
    <w:p w14:paraId="4794DB52" w14:textId="34AEAD62" w:rsidR="00D9028A" w:rsidRDefault="00D9028A" w:rsidP="000026B6"/>
    <w:p w14:paraId="2C3E6537" w14:textId="70BDB5EF" w:rsidR="00D9028A" w:rsidRDefault="00D9028A" w:rsidP="000026B6"/>
    <w:p w14:paraId="38F9928D" w14:textId="59780775" w:rsidR="00D9028A" w:rsidRDefault="00D9028A" w:rsidP="000026B6"/>
    <w:p w14:paraId="6CC30458" w14:textId="108A92F1" w:rsidR="00D9028A" w:rsidRDefault="00D9028A" w:rsidP="000026B6"/>
    <w:p w14:paraId="2F33DB7A" w14:textId="7377AC70" w:rsidR="00D9028A" w:rsidRDefault="00D9028A" w:rsidP="000026B6"/>
    <w:p w14:paraId="511F2BB7" w14:textId="33DCDC08" w:rsidR="00D9028A" w:rsidRDefault="00D9028A" w:rsidP="000026B6"/>
    <w:p w14:paraId="3AF1DC7F" w14:textId="6BA4D9D0" w:rsidR="00D9028A" w:rsidRDefault="00D9028A" w:rsidP="000026B6"/>
    <w:p w14:paraId="40AF15F5" w14:textId="4823AD2F" w:rsidR="00EE4362" w:rsidRDefault="00EE4362" w:rsidP="00937636">
      <w:pPr>
        <w:jc w:val="both"/>
      </w:pPr>
    </w:p>
    <w:p w14:paraId="1BB7BB85" w14:textId="77777777" w:rsidR="00937636" w:rsidRPr="00402841" w:rsidRDefault="00937636" w:rsidP="00937636">
      <w:pPr>
        <w:jc w:val="both"/>
        <w:rPr>
          <w:rFonts w:eastAsia="MS Mincho"/>
          <w:b/>
        </w:rPr>
      </w:pPr>
    </w:p>
    <w:p w14:paraId="17EA390A"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4611DCF9" w14:textId="431F8CB5" w:rsidR="008A55B5" w:rsidRPr="00B20C8E" w:rsidRDefault="008A55B5" w:rsidP="00466548">
      <w:pPr>
        <w:pStyle w:val="BodyText"/>
        <w:spacing w:after="0" w:line="240" w:lineRule="auto"/>
        <w:ind w:firstLine="0"/>
        <w:rPr>
          <w:sz w:val="16"/>
          <w:szCs w:val="16"/>
        </w:rPr>
      </w:pPr>
    </w:p>
    <w:p w14:paraId="36570849" w14:textId="77777777" w:rsidR="008A55B5" w:rsidRPr="00466548" w:rsidRDefault="008A55B5" w:rsidP="00466548">
      <w:pPr>
        <w:rPr>
          <w:rFonts w:eastAsia="MS Mincho"/>
          <w:sz w:val="16"/>
          <w:szCs w:val="16"/>
        </w:rPr>
      </w:pPr>
    </w:p>
    <w:p w14:paraId="58080147" w14:textId="740EFF56" w:rsidR="001B221B" w:rsidRPr="00F52258" w:rsidRDefault="001B221B" w:rsidP="001B221B">
      <w:pPr>
        <w:pStyle w:val="references"/>
      </w:pPr>
      <w:r w:rsidRPr="00F52258">
        <w:t>Chen J. Food science and technology in China: from 2020 to 2035.</w:t>
      </w:r>
      <w:r>
        <w:t xml:space="preserve"> </w:t>
      </w:r>
      <w:r w:rsidRPr="00F52258">
        <w:t>J Chin Inst Food Sci Technol. 2019;19(12):1–5.</w:t>
      </w:r>
    </w:p>
    <w:p w14:paraId="3B047ADB" w14:textId="4D644EBC" w:rsidR="001B221B" w:rsidRPr="001B221B" w:rsidRDefault="001B221B" w:rsidP="001B221B">
      <w:pPr>
        <w:pStyle w:val="references"/>
        <w:rPr>
          <w:rFonts w:eastAsia="MS Mincho"/>
        </w:rPr>
      </w:pPr>
      <w:r w:rsidRPr="00F52258">
        <w:rPr>
          <w:color w:val="000000"/>
          <w:sz w:val="17"/>
          <w:szCs w:val="17"/>
        </w:rPr>
        <w:t>Fardet A. Chapter three—characterization of the degree of food</w:t>
      </w:r>
      <w:r>
        <w:rPr>
          <w:color w:val="000000"/>
          <w:sz w:val="17"/>
          <w:szCs w:val="17"/>
        </w:rPr>
        <w:t xml:space="preserve"> </w:t>
      </w:r>
      <w:r w:rsidRPr="00F52258">
        <w:rPr>
          <w:color w:val="000000"/>
          <w:sz w:val="17"/>
          <w:szCs w:val="17"/>
        </w:rPr>
        <w:t xml:space="preserve">processing in relation </w:t>
      </w:r>
      <w:r w:rsidR="00AB4115">
        <w:rPr>
          <w:color w:val="000000"/>
          <w:sz w:val="17"/>
          <w:szCs w:val="17"/>
        </w:rPr>
        <w:t>to</w:t>
      </w:r>
      <w:r w:rsidRPr="00F52258">
        <w:rPr>
          <w:color w:val="000000"/>
          <w:sz w:val="17"/>
          <w:szCs w:val="17"/>
        </w:rPr>
        <w:t xml:space="preserve"> its health potential and effects. In: Toldrá</w:t>
      </w:r>
      <w:r>
        <w:rPr>
          <w:color w:val="000000"/>
          <w:sz w:val="17"/>
          <w:szCs w:val="17"/>
        </w:rPr>
        <w:t xml:space="preserve"> </w:t>
      </w:r>
      <w:r w:rsidRPr="00F52258">
        <w:rPr>
          <w:color w:val="000000"/>
          <w:sz w:val="17"/>
          <w:szCs w:val="17"/>
        </w:rPr>
        <w:t>F, editor. Advances in food and nutrition research. Cambridge:</w:t>
      </w:r>
      <w:r>
        <w:rPr>
          <w:color w:val="000000"/>
          <w:sz w:val="17"/>
          <w:szCs w:val="17"/>
        </w:rPr>
        <w:t xml:space="preserve"> </w:t>
      </w:r>
      <w:r w:rsidRPr="00F52258">
        <w:rPr>
          <w:color w:val="000000"/>
          <w:sz w:val="17"/>
          <w:szCs w:val="17"/>
        </w:rPr>
        <w:t>Academic Press; 2018. p. 79–129.</w:t>
      </w:r>
    </w:p>
    <w:p w14:paraId="153C1447" w14:textId="77777777" w:rsidR="001B221B" w:rsidRPr="00F52258" w:rsidRDefault="001B221B" w:rsidP="001B221B">
      <w:pPr>
        <w:pStyle w:val="references"/>
      </w:pPr>
      <w:r w:rsidRPr="00F52258">
        <w:t>Tyagi A, Kumar A, Aparna SV, Mallappa RH, Grover S, Batish</w:t>
      </w:r>
      <w:r>
        <w:t xml:space="preserve"> </w:t>
      </w:r>
      <w:r w:rsidRPr="00F52258">
        <w:t>VK. Synthetic biology: applications in the food sector.</w:t>
      </w:r>
    </w:p>
    <w:p w14:paraId="3CE2A7DB" w14:textId="77777777" w:rsidR="001B221B" w:rsidRPr="00D17E13" w:rsidRDefault="001B221B" w:rsidP="001B221B">
      <w:pPr>
        <w:pStyle w:val="references"/>
        <w:numPr>
          <w:ilvl w:val="0"/>
          <w:numId w:val="0"/>
        </w:numPr>
        <w:ind w:left="360"/>
      </w:pPr>
      <w:r w:rsidRPr="00F52258">
        <w:rPr>
          <w:color w:val="000000"/>
        </w:rPr>
        <w:t xml:space="preserve">Crit Rev Food Sci Nutr. 2016;56(11):1777–899. </w:t>
      </w:r>
      <w:r w:rsidRPr="00F52258">
        <w:t>https ://doi.</w:t>
      </w:r>
      <w:r>
        <w:t xml:space="preserve"> </w:t>
      </w:r>
      <w:r w:rsidRPr="00F52258">
        <w:t>org/10.1080/10408 398.2013.78253 4</w:t>
      </w:r>
      <w:r w:rsidRPr="00F52258">
        <w:rPr>
          <w:color w:val="000000"/>
        </w:rPr>
        <w:t>.</w:t>
      </w:r>
    </w:p>
    <w:p w14:paraId="4B4498AE" w14:textId="77777777" w:rsidR="001B221B" w:rsidRPr="00F52258" w:rsidRDefault="001B221B" w:rsidP="001B221B">
      <w:pPr>
        <w:pStyle w:val="references"/>
      </w:pPr>
      <w:r w:rsidRPr="00F52258">
        <w:t>Zhang G, Zhao X, Li X, Sun X, Zhou J, Du G, et al. Application of</w:t>
      </w:r>
      <w:r>
        <w:t xml:space="preserve"> </w:t>
      </w:r>
      <w:r w:rsidRPr="00F52258">
        <w:t>cell culture techniques in cultured meat-a review. Chin J Biotechnol.</w:t>
      </w:r>
      <w:r>
        <w:t xml:space="preserve"> </w:t>
      </w:r>
      <w:r w:rsidRPr="00F52258">
        <w:t xml:space="preserve">2019;35(8):1374–81. </w:t>
      </w:r>
      <w:r w:rsidRPr="00F52258">
        <w:rPr>
          <w:color w:val="0000FF"/>
        </w:rPr>
        <w:t>https ://doi.org/10.13345 /j.cjb.19013 8</w:t>
      </w:r>
      <w:r w:rsidRPr="00F52258">
        <w:t>.</w:t>
      </w:r>
    </w:p>
    <w:p w14:paraId="75CD787C" w14:textId="77777777" w:rsidR="00226C2C" w:rsidRPr="00F52258" w:rsidRDefault="00226C2C" w:rsidP="00226C2C">
      <w:pPr>
        <w:pStyle w:val="references"/>
      </w:pPr>
      <w:r w:rsidRPr="00F52258">
        <w:t>Choi J-M, Han S-S, Kim H-S. Industrial applications of enzyme</w:t>
      </w:r>
      <w:r>
        <w:t xml:space="preserve"> </w:t>
      </w:r>
      <w:r w:rsidRPr="00F52258">
        <w:t>biocatalysis: current status and future aspects. Biotechnol Adv.</w:t>
      </w:r>
    </w:p>
    <w:p w14:paraId="66942F0C" w14:textId="77777777" w:rsidR="00226C2C" w:rsidRPr="00D17E13" w:rsidRDefault="00226C2C" w:rsidP="00226C2C">
      <w:pPr>
        <w:pStyle w:val="references"/>
        <w:numPr>
          <w:ilvl w:val="0"/>
          <w:numId w:val="0"/>
        </w:numPr>
        <w:ind w:left="360"/>
      </w:pPr>
      <w:r w:rsidRPr="00F52258">
        <w:rPr>
          <w:color w:val="000000"/>
        </w:rPr>
        <w:t xml:space="preserve">2015;33(7):1443–544. </w:t>
      </w:r>
      <w:r w:rsidRPr="00F52258">
        <w:t>https ://doi.org/10.1016/j.biote chadv</w:t>
      </w:r>
      <w:r>
        <w:t xml:space="preserve"> </w:t>
      </w:r>
      <w:r w:rsidRPr="00F52258">
        <w:t>.2015.02.014</w:t>
      </w:r>
      <w:r w:rsidRPr="00F52258">
        <w:rPr>
          <w:color w:val="000000"/>
        </w:rPr>
        <w:t>.</w:t>
      </w:r>
    </w:p>
    <w:p w14:paraId="2B2FD439" w14:textId="1567E30B" w:rsidR="009F1150" w:rsidRPr="00D17E13" w:rsidRDefault="009F1150" w:rsidP="009F1150">
      <w:pPr>
        <w:pStyle w:val="references"/>
      </w:pPr>
      <w:r w:rsidRPr="00F52258">
        <w:t>Singh R, Kumar M, Mittal A, Mehta PK. Microbial enzymes:</w:t>
      </w:r>
      <w:r>
        <w:t xml:space="preserve"> </w:t>
      </w:r>
      <w:r w:rsidRPr="00F52258">
        <w:t xml:space="preserve">industrial progress in 21st century. 3 Biotech. 2016;6(2):174. </w:t>
      </w:r>
      <w:r w:rsidR="00AB4115">
        <w:rPr>
          <w:color w:val="0000FF"/>
        </w:rPr>
        <w:t>HTTP</w:t>
      </w:r>
    </w:p>
    <w:p w14:paraId="766B80E0" w14:textId="15B9D90F" w:rsidR="001B221B" w:rsidRPr="00606992" w:rsidRDefault="009F1150" w:rsidP="00606992">
      <w:pPr>
        <w:pStyle w:val="references"/>
        <w:numPr>
          <w:ilvl w:val="0"/>
          <w:numId w:val="0"/>
        </w:numPr>
        <w:ind w:left="360"/>
        <w:rPr>
          <w:color w:val="000000"/>
        </w:rPr>
      </w:pPr>
      <w:r w:rsidRPr="00F52258">
        <w:t>://doi.org/10.1007/s1320 5-016-0485-8</w:t>
      </w:r>
      <w:r w:rsidRPr="00F52258">
        <w:rPr>
          <w:color w:val="000000"/>
        </w:rPr>
        <w:t>.</w:t>
      </w:r>
    </w:p>
    <w:p w14:paraId="4BE4068D" w14:textId="08470033" w:rsidR="00A64CD3" w:rsidRPr="00A64CD3" w:rsidRDefault="00606992" w:rsidP="009F1150">
      <w:pPr>
        <w:pStyle w:val="references"/>
        <w:spacing w:after="0" w:line="240" w:lineRule="auto"/>
        <w:ind w:left="0" w:firstLine="0"/>
        <w:jc w:val="left"/>
        <w:rPr>
          <w:rFonts w:eastAsia="MS Mincho"/>
        </w:rPr>
      </w:pPr>
      <w:r w:rsidRPr="00F52258">
        <w:rPr>
          <w:color w:val="000000"/>
          <w:sz w:val="17"/>
          <w:szCs w:val="17"/>
        </w:rPr>
        <w:t>Liu S, Wan D, Wang M, Madzak C, Du G, Chen J. Overproduction</w:t>
      </w:r>
      <w:r>
        <w:rPr>
          <w:color w:val="000000"/>
          <w:sz w:val="17"/>
          <w:szCs w:val="17"/>
        </w:rPr>
        <w:t xml:space="preserve"> </w:t>
      </w:r>
      <w:r w:rsidRPr="00F52258">
        <w:rPr>
          <w:color w:val="000000"/>
          <w:sz w:val="17"/>
          <w:szCs w:val="17"/>
        </w:rPr>
        <w:t xml:space="preserve">of pro-transglutaminase from </w:t>
      </w:r>
      <w:r w:rsidRPr="00F52258">
        <w:rPr>
          <w:i/>
          <w:iCs/>
          <w:color w:val="000000"/>
          <w:sz w:val="17"/>
          <w:szCs w:val="17"/>
        </w:rPr>
        <w:t xml:space="preserve">Streptomyces hygroscopicus </w:t>
      </w:r>
      <w:r w:rsidR="00A64CD3">
        <w:rPr>
          <w:i/>
          <w:iCs/>
          <w:color w:val="000000"/>
          <w:sz w:val="17"/>
          <w:szCs w:val="17"/>
        </w:rPr>
        <w:t xml:space="preserve"> </w:t>
      </w:r>
      <w:r w:rsidRPr="00F52258">
        <w:rPr>
          <w:color w:val="000000"/>
          <w:sz w:val="17"/>
          <w:szCs w:val="17"/>
        </w:rPr>
        <w:t xml:space="preserve"> </w:t>
      </w:r>
      <w:r>
        <w:rPr>
          <w:color w:val="000000"/>
          <w:sz w:val="17"/>
          <w:szCs w:val="17"/>
        </w:rPr>
        <w:t xml:space="preserve"> </w:t>
      </w:r>
      <w:r w:rsidR="00A64CD3">
        <w:rPr>
          <w:color w:val="000000"/>
          <w:sz w:val="17"/>
          <w:szCs w:val="17"/>
        </w:rPr>
        <w:t xml:space="preserve">                                                               </w:t>
      </w:r>
      <w:r>
        <w:rPr>
          <w:color w:val="000000"/>
          <w:sz w:val="17"/>
          <w:szCs w:val="17"/>
        </w:rPr>
        <w:t xml:space="preserve">   </w:t>
      </w:r>
      <w:r w:rsidR="00A64CD3">
        <w:rPr>
          <w:color w:val="000000"/>
          <w:sz w:val="17"/>
          <w:szCs w:val="17"/>
        </w:rPr>
        <w:t xml:space="preserve">     </w:t>
      </w:r>
    </w:p>
    <w:p w14:paraId="47A7153F" w14:textId="73470B6A" w:rsidR="00A64CD3" w:rsidRDefault="00A64CD3" w:rsidP="00A64CD3">
      <w:pPr>
        <w:pStyle w:val="references"/>
        <w:numPr>
          <w:ilvl w:val="0"/>
          <w:numId w:val="0"/>
        </w:numPr>
        <w:spacing w:after="0" w:line="240" w:lineRule="auto"/>
        <w:jc w:val="left"/>
        <w:rPr>
          <w:color w:val="000000"/>
          <w:sz w:val="17"/>
          <w:szCs w:val="17"/>
        </w:rPr>
      </w:pPr>
      <w:r>
        <w:rPr>
          <w:color w:val="000000"/>
          <w:sz w:val="17"/>
          <w:szCs w:val="17"/>
        </w:rPr>
        <w:t xml:space="preserve">      </w:t>
      </w:r>
      <w:r w:rsidR="00606992">
        <w:rPr>
          <w:color w:val="000000"/>
          <w:sz w:val="17"/>
          <w:szCs w:val="17"/>
        </w:rPr>
        <w:t xml:space="preserve">  </w:t>
      </w:r>
      <w:r w:rsidR="00606992" w:rsidRPr="00F52258">
        <w:rPr>
          <w:i/>
          <w:iCs/>
          <w:color w:val="000000"/>
          <w:sz w:val="17"/>
          <w:szCs w:val="17"/>
        </w:rPr>
        <w:t>Yarrowia</w:t>
      </w:r>
      <w:r w:rsidR="00606992">
        <w:rPr>
          <w:color w:val="000000"/>
          <w:sz w:val="17"/>
          <w:szCs w:val="17"/>
        </w:rPr>
        <w:t xml:space="preserve"> </w:t>
      </w:r>
      <w:r w:rsidR="00606992" w:rsidRPr="00F52258">
        <w:rPr>
          <w:i/>
          <w:iCs/>
          <w:color w:val="000000"/>
          <w:sz w:val="17"/>
          <w:szCs w:val="17"/>
        </w:rPr>
        <w:t>lipolytica</w:t>
      </w:r>
      <w:r w:rsidR="00284B1D">
        <w:rPr>
          <w:i/>
          <w:iCs/>
          <w:color w:val="000000"/>
          <w:sz w:val="17"/>
          <w:szCs w:val="17"/>
        </w:rPr>
        <w:t xml:space="preserve"> </w:t>
      </w:r>
      <w:r w:rsidR="00606992" w:rsidRPr="00F52258">
        <w:rPr>
          <w:color w:val="000000"/>
          <w:sz w:val="17"/>
          <w:szCs w:val="17"/>
        </w:rPr>
        <w:t>and its biochemical characterization. BMC Biotechnol.</w:t>
      </w:r>
      <w:r w:rsidR="00606992">
        <w:rPr>
          <w:color w:val="000000"/>
          <w:sz w:val="17"/>
          <w:szCs w:val="17"/>
        </w:rPr>
        <w:t xml:space="preserve"> </w:t>
      </w:r>
      <w:r w:rsidR="00606992" w:rsidRPr="00F52258">
        <w:rPr>
          <w:color w:val="000000"/>
          <w:sz w:val="17"/>
          <w:szCs w:val="17"/>
        </w:rPr>
        <w:t>2015;15:75.</w:t>
      </w:r>
    </w:p>
    <w:p w14:paraId="789BB61B" w14:textId="1BB20855" w:rsidR="008316EC" w:rsidRDefault="00A64CD3" w:rsidP="008316EC">
      <w:pPr>
        <w:pStyle w:val="references"/>
        <w:numPr>
          <w:ilvl w:val="0"/>
          <w:numId w:val="0"/>
        </w:numPr>
        <w:spacing w:after="0" w:line="240" w:lineRule="auto"/>
        <w:jc w:val="left"/>
        <w:rPr>
          <w:rFonts w:eastAsia="MS Mincho"/>
        </w:rPr>
      </w:pPr>
      <w:r>
        <w:rPr>
          <w:color w:val="000000"/>
          <w:sz w:val="17"/>
          <w:szCs w:val="17"/>
        </w:rPr>
        <w:t xml:space="preserve">       </w:t>
      </w:r>
      <w:r w:rsidR="00606992" w:rsidRPr="00F52258">
        <w:rPr>
          <w:color w:val="000000"/>
          <w:sz w:val="17"/>
          <w:szCs w:val="17"/>
        </w:rPr>
        <w:t xml:space="preserve"> </w:t>
      </w:r>
      <w:r w:rsidR="00606992" w:rsidRPr="00F52258">
        <w:rPr>
          <w:color w:val="0000FF"/>
          <w:sz w:val="17"/>
          <w:szCs w:val="17"/>
        </w:rPr>
        <w:t>https ://doi.org/10.1186/s1289 6-</w:t>
      </w:r>
      <w:r>
        <w:rPr>
          <w:color w:val="0000FF"/>
          <w:sz w:val="17"/>
          <w:szCs w:val="17"/>
        </w:rPr>
        <w:t xml:space="preserve">     </w:t>
      </w:r>
      <w:r w:rsidR="00606992" w:rsidRPr="00F52258">
        <w:rPr>
          <w:color w:val="0000FF"/>
          <w:sz w:val="17"/>
          <w:szCs w:val="17"/>
        </w:rPr>
        <w:t>015-01931</w:t>
      </w:r>
      <w:r w:rsidR="00606992" w:rsidRPr="00F52258">
        <w:rPr>
          <w:color w:val="000000"/>
          <w:sz w:val="17"/>
          <w:szCs w:val="17"/>
        </w:rPr>
        <w:t>.</w:t>
      </w:r>
      <w:r w:rsidR="009F1150">
        <w:rPr>
          <w:rFonts w:eastAsia="MS Mincho"/>
          <w:lang w:val="en-IN"/>
        </w:rPr>
        <w:t xml:space="preserve">           </w:t>
      </w:r>
      <w:r w:rsidR="009F1150" w:rsidRPr="009F1150">
        <w:rPr>
          <w:rFonts w:eastAsia="MS Mincho"/>
          <w:lang w:val="en-IN"/>
        </w:rPr>
        <w:t xml:space="preserve"> </w:t>
      </w:r>
      <w:r w:rsidR="008316EC">
        <w:rPr>
          <w:rFonts w:eastAsia="MS Mincho"/>
        </w:rPr>
        <w:t xml:space="preserve">                                                                                                                                                                                                                                                                                                               </w:t>
      </w:r>
    </w:p>
    <w:p w14:paraId="152BB9C6" w14:textId="77777777" w:rsidR="008316EC" w:rsidRPr="00F52258" w:rsidRDefault="008316EC" w:rsidP="008316EC">
      <w:pPr>
        <w:pStyle w:val="references"/>
      </w:pPr>
      <w:r w:rsidRPr="00F52258">
        <w:t>Kieliszek M, Misiewicz A. Microbial transglutaminase and</w:t>
      </w:r>
      <w:r>
        <w:t xml:space="preserve"> </w:t>
      </w:r>
      <w:r w:rsidRPr="00F52258">
        <w:t>its application in the food industry. A review. Folia Microbiol</w:t>
      </w:r>
    </w:p>
    <w:p w14:paraId="4982A796" w14:textId="37EDA536" w:rsidR="008316EC" w:rsidRPr="00D17E13" w:rsidRDefault="008316EC" w:rsidP="008316EC">
      <w:pPr>
        <w:pStyle w:val="references"/>
        <w:numPr>
          <w:ilvl w:val="0"/>
          <w:numId w:val="0"/>
        </w:numPr>
      </w:pPr>
      <w:r>
        <w:t xml:space="preserve">        </w:t>
      </w:r>
      <w:r w:rsidRPr="00F52258">
        <w:rPr>
          <w:color w:val="000000"/>
        </w:rPr>
        <w:t xml:space="preserve">(Praha). 2014;59(3):241–50. </w:t>
      </w:r>
      <w:r w:rsidRPr="00F52258">
        <w:t>https ://doi.org/10.1007/s12223-013-0287-x</w:t>
      </w:r>
      <w:r w:rsidRPr="00F52258">
        <w:rPr>
          <w:color w:val="000000"/>
        </w:rPr>
        <w:t>.</w:t>
      </w:r>
    </w:p>
    <w:p w14:paraId="72363AD2" w14:textId="77777777" w:rsidR="005D6F62" w:rsidRPr="005D6F62" w:rsidRDefault="005D6F62" w:rsidP="005D6F62">
      <w:pPr>
        <w:pStyle w:val="references"/>
        <w:rPr>
          <w:rFonts w:eastAsia="MS Mincho"/>
        </w:rPr>
      </w:pPr>
      <w:r w:rsidRPr="005D6F62">
        <w:rPr>
          <w:rFonts w:eastAsia="MS Mincho"/>
        </w:rPr>
        <w:t>Yokoyama K, Nio N, Kikuchi Y. Properties and applications of microbial transglutaminase. Appl Microbiol Biotechnol.</w:t>
      </w:r>
    </w:p>
    <w:p w14:paraId="60C9488C" w14:textId="02EA5059" w:rsidR="008316EC" w:rsidRDefault="005D6F62" w:rsidP="00315FFD">
      <w:pPr>
        <w:pStyle w:val="references"/>
        <w:numPr>
          <w:ilvl w:val="0"/>
          <w:numId w:val="0"/>
        </w:numPr>
        <w:ind w:left="360"/>
        <w:rPr>
          <w:rFonts w:eastAsia="MS Mincho"/>
        </w:rPr>
      </w:pPr>
      <w:r w:rsidRPr="005D6F62">
        <w:rPr>
          <w:rFonts w:eastAsia="MS Mincho"/>
        </w:rPr>
        <w:t>2004;64(4):447–54. https ://doi.org/10.1007/s0025 3-003-1539-5.</w:t>
      </w:r>
    </w:p>
    <w:p w14:paraId="4694EAB8" w14:textId="4B781187" w:rsidR="00315FFD" w:rsidRPr="00315FFD" w:rsidRDefault="00315FFD" w:rsidP="00315FFD">
      <w:pPr>
        <w:pStyle w:val="references"/>
        <w:rPr>
          <w:rFonts w:eastAsia="MS Mincho"/>
        </w:rPr>
      </w:pPr>
      <w:r w:rsidRPr="00315FFD">
        <w:rPr>
          <w:rFonts w:eastAsia="MS Mincho"/>
        </w:rPr>
        <w:t>Domagała J, Najgebauer-Lejko D, Wieteska-Śliwa I, Sady M, Wszołek M, Bonczar G, et al. Influence of milk protein crosslinking by transglutaminase on the rennet coagulation time and the gel properties. J Sci Food Agric. 2016;96(10):3500–7. https</w:t>
      </w:r>
    </w:p>
    <w:p w14:paraId="59CE721B" w14:textId="445C3D7F" w:rsidR="00315FFD" w:rsidRDefault="00315FFD" w:rsidP="00322D1E">
      <w:pPr>
        <w:pStyle w:val="references"/>
        <w:numPr>
          <w:ilvl w:val="0"/>
          <w:numId w:val="0"/>
        </w:numPr>
        <w:ind w:left="360"/>
        <w:rPr>
          <w:rFonts w:eastAsia="MS Mincho"/>
        </w:rPr>
      </w:pPr>
      <w:r w:rsidRPr="00315FFD">
        <w:rPr>
          <w:rFonts w:eastAsia="MS Mincho"/>
        </w:rPr>
        <w:t>://doi.org/10.1002/jsfa.7534</w:t>
      </w:r>
      <w:r w:rsidR="00322D1E">
        <w:rPr>
          <w:rFonts w:eastAsia="MS Mincho"/>
        </w:rPr>
        <w:t>.</w:t>
      </w:r>
    </w:p>
    <w:p w14:paraId="1E8BA617" w14:textId="689D3A59" w:rsidR="00322D1E" w:rsidRPr="00322D1E" w:rsidRDefault="00322D1E" w:rsidP="00322D1E">
      <w:pPr>
        <w:pStyle w:val="references"/>
        <w:rPr>
          <w:rFonts w:eastAsia="MS Mincho"/>
        </w:rPr>
      </w:pPr>
      <w:r w:rsidRPr="00322D1E">
        <w:rPr>
          <w:rFonts w:eastAsia="MS Mincho"/>
        </w:rPr>
        <w:t xml:space="preserve">Struch M, Krahe N-K, Linke D, Mokoonlall A, Hinrichs J, Berger RG. </w:t>
      </w:r>
      <w:r w:rsidR="00284B1D">
        <w:rPr>
          <w:rFonts w:eastAsia="MS Mincho"/>
        </w:rPr>
        <w:t>Dose-dependent</w:t>
      </w:r>
      <w:r w:rsidRPr="00322D1E">
        <w:rPr>
          <w:rFonts w:eastAsia="MS Mincho"/>
        </w:rPr>
        <w:t xml:space="preserve"> effects of a milk ion tolerant laccase on</w:t>
      </w:r>
    </w:p>
    <w:p w14:paraId="36E46993" w14:textId="3D6A1645" w:rsidR="00322D1E" w:rsidRDefault="00284B1D" w:rsidP="003C43DC">
      <w:pPr>
        <w:pStyle w:val="references"/>
        <w:numPr>
          <w:ilvl w:val="0"/>
          <w:numId w:val="0"/>
        </w:numPr>
        <w:ind w:left="360"/>
        <w:rPr>
          <w:rFonts w:eastAsia="MS Mincho"/>
        </w:rPr>
      </w:pPr>
      <w:r>
        <w:rPr>
          <w:rFonts w:eastAsia="MS Mincho"/>
        </w:rPr>
        <w:t>yogurt</w:t>
      </w:r>
      <w:r w:rsidR="00322D1E" w:rsidRPr="00322D1E">
        <w:rPr>
          <w:rFonts w:eastAsia="MS Mincho"/>
        </w:rPr>
        <w:t xml:space="preserve"> gel structure. </w:t>
      </w:r>
      <w:r>
        <w:rPr>
          <w:rFonts w:eastAsia="MS Mincho"/>
        </w:rPr>
        <w:t>LWT</w:t>
      </w:r>
      <w:r w:rsidR="00322D1E" w:rsidRPr="00322D1E">
        <w:rPr>
          <w:rFonts w:eastAsia="MS Mincho"/>
        </w:rPr>
        <w:t xml:space="preserve"> Food Sci Technol. 2016;65:1144–52.https ://doi.org/10.1016/j.lwt.2015.10.004.</w:t>
      </w:r>
    </w:p>
    <w:p w14:paraId="002E2F5E" w14:textId="72D45979" w:rsidR="003C43DC" w:rsidRPr="003C43DC" w:rsidRDefault="003C43DC" w:rsidP="003C43DC">
      <w:pPr>
        <w:pStyle w:val="references"/>
        <w:rPr>
          <w:rFonts w:eastAsia="MS Mincho"/>
        </w:rPr>
      </w:pPr>
      <w:r w:rsidRPr="003C43DC">
        <w:rPr>
          <w:rFonts w:eastAsia="MS Mincho"/>
        </w:rPr>
        <w:t>. Struch M, Linke D, Mokoonlall A, Hinrichs J, Berger RG, et al .</w:t>
      </w:r>
      <w:r w:rsidR="00284B1D">
        <w:rPr>
          <w:rFonts w:eastAsia="MS Mincho"/>
        </w:rPr>
        <w:t xml:space="preserve"> </w:t>
      </w:r>
      <w:r w:rsidRPr="003C43DC">
        <w:rPr>
          <w:rFonts w:eastAsia="MS Mincho"/>
        </w:rPr>
        <w:t xml:space="preserve">Laccase-catalysed cross-linking of a </w:t>
      </w:r>
      <w:r w:rsidR="00AB4115">
        <w:rPr>
          <w:rFonts w:eastAsia="MS Mincho"/>
        </w:rPr>
        <w:t>yogurt-like</w:t>
      </w:r>
      <w:r w:rsidRPr="003C43DC">
        <w:rPr>
          <w:rFonts w:eastAsia="MS Mincho"/>
        </w:rPr>
        <w:t xml:space="preserve"> model system</w:t>
      </w:r>
    </w:p>
    <w:p w14:paraId="06DBCA1F" w14:textId="77777777" w:rsidR="003C43DC" w:rsidRPr="003C43DC" w:rsidRDefault="003C43DC" w:rsidP="003C43DC">
      <w:pPr>
        <w:pStyle w:val="references"/>
        <w:numPr>
          <w:ilvl w:val="0"/>
          <w:numId w:val="0"/>
        </w:numPr>
        <w:ind w:left="360"/>
        <w:rPr>
          <w:rFonts w:eastAsia="MS Mincho"/>
        </w:rPr>
      </w:pPr>
      <w:r w:rsidRPr="003C43DC">
        <w:rPr>
          <w:rFonts w:eastAsia="MS Mincho"/>
        </w:rPr>
        <w:t>made from skimmed milk with added food-grade mediators. Int Dairy J. 2015;49:89–94. https ://doi.org/10.1016/j.idair</w:t>
      </w:r>
    </w:p>
    <w:p w14:paraId="189162B7" w14:textId="38E5B7BE" w:rsidR="003C43DC" w:rsidRDefault="003C43DC" w:rsidP="003C43DC">
      <w:pPr>
        <w:pStyle w:val="references"/>
        <w:numPr>
          <w:ilvl w:val="0"/>
          <w:numId w:val="0"/>
        </w:numPr>
        <w:ind w:left="360"/>
        <w:rPr>
          <w:rFonts w:eastAsia="MS Mincho"/>
        </w:rPr>
      </w:pPr>
      <w:r w:rsidRPr="003C43DC">
        <w:rPr>
          <w:rFonts w:eastAsia="MS Mincho"/>
        </w:rPr>
        <w:t>yj.2015.04.002</w:t>
      </w:r>
    </w:p>
    <w:p w14:paraId="1F9D1604" w14:textId="4F2332A9" w:rsidR="00DE2DFF" w:rsidRPr="008B3620" w:rsidRDefault="00DE2DFF" w:rsidP="00DE2DFF">
      <w:pPr>
        <w:pStyle w:val="references"/>
      </w:pPr>
      <w:r w:rsidRPr="008B3620">
        <w:t>13. De Neve N, Vlaeminck B, Gadeyne F, Claeys E, Van DMP,</w:t>
      </w:r>
      <w:r>
        <w:t xml:space="preserve"> </w:t>
      </w:r>
      <w:r w:rsidRPr="008B3620">
        <w:t>Fievez V. Promising perspectives for ruminal protection of polyunsaturated</w:t>
      </w:r>
      <w:r>
        <w:t xml:space="preserve"> </w:t>
      </w:r>
      <w:r w:rsidRPr="008B3620">
        <w:t>fatty acids through polyphenol-oxidase-mediated</w:t>
      </w:r>
      <w:r>
        <w:t xml:space="preserve"> </w:t>
      </w:r>
      <w:r w:rsidRPr="008B3620">
        <w:t>crosslinking of interfacial protein in emulsions. Anim Int J</w:t>
      </w:r>
      <w:r>
        <w:t xml:space="preserve"> </w:t>
      </w:r>
      <w:r w:rsidRPr="008B3620">
        <w:t>Anim Biosci. 2018;12(12):1</w:t>
      </w:r>
      <w:r>
        <w:t xml:space="preserve"> </w:t>
      </w:r>
      <w:r w:rsidRPr="008B3620">
        <w:t xml:space="preserve">12. </w:t>
      </w:r>
      <w:r w:rsidRPr="00DE2DFF">
        <w:rPr>
          <w:color w:val="0000FF"/>
        </w:rPr>
        <w:t>https ://doi.org/10.1017/S175173111 80004 23</w:t>
      </w:r>
      <w:r w:rsidRPr="008B3620">
        <w:t>.</w:t>
      </w:r>
    </w:p>
    <w:p w14:paraId="74886B2C" w14:textId="77777777" w:rsidR="00014FF2" w:rsidRPr="008B3620" w:rsidRDefault="00014FF2" w:rsidP="00014FF2">
      <w:pPr>
        <w:pStyle w:val="references"/>
      </w:pPr>
      <w:r w:rsidRPr="008B3620">
        <w:t>Li J, Zhao X. Oxidative cross-linking of casein by horseradish</w:t>
      </w:r>
      <w:r>
        <w:t xml:space="preserve"> </w:t>
      </w:r>
      <w:r w:rsidRPr="008B3620">
        <w:t>peroxidase and its impacts on emulsifying properties</w:t>
      </w:r>
    </w:p>
    <w:p w14:paraId="308473D1" w14:textId="77777777" w:rsidR="00014FF2" w:rsidRPr="008B3620" w:rsidRDefault="00014FF2" w:rsidP="00014FF2">
      <w:pPr>
        <w:pStyle w:val="references"/>
        <w:numPr>
          <w:ilvl w:val="0"/>
          <w:numId w:val="0"/>
        </w:numPr>
        <w:ind w:left="360"/>
      </w:pPr>
      <w:r w:rsidRPr="008B3620">
        <w:t>and the microstructure of acidified gel. Afr J Biotech.</w:t>
      </w:r>
      <w:r>
        <w:t xml:space="preserve"> </w:t>
      </w:r>
      <w:r w:rsidRPr="008B3620">
        <w:t xml:space="preserve">2009;820(20):5508–15. </w:t>
      </w:r>
      <w:r w:rsidRPr="008B3620">
        <w:rPr>
          <w:color w:val="0000FF"/>
        </w:rPr>
        <w:t xml:space="preserve">https ://doi.org/10.4314/ajb.v8i20 .65996 </w:t>
      </w:r>
      <w:r w:rsidRPr="008B3620">
        <w:t>.</w:t>
      </w:r>
    </w:p>
    <w:p w14:paraId="17E258A4" w14:textId="77777777" w:rsidR="00014FF2" w:rsidRPr="008B3620" w:rsidRDefault="00014FF2" w:rsidP="00014FF2">
      <w:pPr>
        <w:pStyle w:val="references"/>
      </w:pPr>
      <w:r w:rsidRPr="008B3620">
        <w:t>Resh MD. Fatty acylation of proteins: the long and the short of it.</w:t>
      </w:r>
      <w:r>
        <w:t xml:space="preserve"> </w:t>
      </w:r>
      <w:r w:rsidRPr="008B3620">
        <w:t xml:space="preserve">Prog Lipid Res. 2016;63:120–31. </w:t>
      </w:r>
      <w:r w:rsidRPr="008B3620">
        <w:rPr>
          <w:color w:val="0000FF"/>
        </w:rPr>
        <w:t>https ://doi.org/10.1016/j.plipr</w:t>
      </w:r>
    </w:p>
    <w:p w14:paraId="616F36F6" w14:textId="77777777" w:rsidR="00014FF2" w:rsidRPr="008B3620" w:rsidRDefault="00014FF2" w:rsidP="00014FF2">
      <w:pPr>
        <w:pStyle w:val="references"/>
        <w:numPr>
          <w:ilvl w:val="0"/>
          <w:numId w:val="0"/>
        </w:numPr>
        <w:ind w:left="360"/>
        <w:rPr>
          <w:color w:val="000000"/>
        </w:rPr>
      </w:pPr>
      <w:r w:rsidRPr="008B3620">
        <w:t>es.2016.05.002</w:t>
      </w:r>
      <w:r w:rsidRPr="008B3620">
        <w:rPr>
          <w:color w:val="000000"/>
        </w:rPr>
        <w:t>.</w:t>
      </w:r>
    </w:p>
    <w:p w14:paraId="1F459B4A" w14:textId="77777777" w:rsidR="00014FF2" w:rsidRPr="008B3620" w:rsidRDefault="00014FF2" w:rsidP="00014FF2">
      <w:pPr>
        <w:pStyle w:val="references"/>
      </w:pPr>
      <w:r w:rsidRPr="008B3620">
        <w:t>Uyttendaele M, Franz E, Schlüter O. Food safety, a global challenge.</w:t>
      </w:r>
      <w:r>
        <w:t xml:space="preserve"> </w:t>
      </w:r>
      <w:r w:rsidRPr="008B3620">
        <w:t xml:space="preserve">Int J Environ Res Public Health. 2016;13(1):67. </w:t>
      </w:r>
      <w:r w:rsidRPr="008B3620">
        <w:rPr>
          <w:color w:val="0000FF"/>
        </w:rPr>
        <w:t>https ://doi.</w:t>
      </w:r>
    </w:p>
    <w:p w14:paraId="4C633708" w14:textId="77777777" w:rsidR="00014FF2" w:rsidRPr="008B3620" w:rsidRDefault="00014FF2" w:rsidP="00014FF2">
      <w:pPr>
        <w:pStyle w:val="references"/>
        <w:numPr>
          <w:ilvl w:val="0"/>
          <w:numId w:val="0"/>
        </w:numPr>
        <w:ind w:left="360"/>
        <w:rPr>
          <w:color w:val="000000"/>
        </w:rPr>
      </w:pPr>
      <w:r w:rsidRPr="008B3620">
        <w:t>org/10.3390/ijerp h1301 0067</w:t>
      </w:r>
      <w:r w:rsidRPr="008B3620">
        <w:rPr>
          <w:color w:val="000000"/>
        </w:rPr>
        <w:t>.</w:t>
      </w:r>
    </w:p>
    <w:p w14:paraId="6EAD2ED9" w14:textId="0B7B3A16" w:rsidR="0070360D" w:rsidRPr="0070360D" w:rsidRDefault="0070360D" w:rsidP="0070360D">
      <w:pPr>
        <w:pStyle w:val="references"/>
        <w:rPr>
          <w:rFonts w:eastAsia="MS Mincho"/>
        </w:rPr>
      </w:pPr>
      <w:r w:rsidRPr="0070360D">
        <w:rPr>
          <w:rFonts w:eastAsia="MS Mincho"/>
        </w:rPr>
        <w:t>Zhao XR, Choi KR, Lee SY. Metabolic engineering of Escherichia coli for secretory production of free haem. Nat Catal.</w:t>
      </w:r>
    </w:p>
    <w:p w14:paraId="2681A1D5" w14:textId="04EB2F59" w:rsidR="003C43DC" w:rsidRDefault="0070360D" w:rsidP="0070360D">
      <w:pPr>
        <w:pStyle w:val="references"/>
        <w:numPr>
          <w:ilvl w:val="0"/>
          <w:numId w:val="0"/>
        </w:numPr>
        <w:ind w:left="360"/>
        <w:rPr>
          <w:rFonts w:eastAsia="MS Mincho"/>
        </w:rPr>
      </w:pPr>
      <w:r w:rsidRPr="0070360D">
        <w:rPr>
          <w:rFonts w:eastAsia="MS Mincho"/>
        </w:rPr>
        <w:t>2018;1(9):720–8. https ://doi.org/10.1038/s4192 9-018-0126-1</w:t>
      </w:r>
    </w:p>
    <w:p w14:paraId="1628CB00" w14:textId="77777777" w:rsidR="0070360D" w:rsidRPr="008B3620" w:rsidRDefault="0070360D" w:rsidP="0070360D">
      <w:pPr>
        <w:pStyle w:val="references"/>
      </w:pPr>
      <w:r w:rsidRPr="008B3620">
        <w:t>Tsumura K, Saito T, Tsuge K, Ashida H, Kugimiya W, Inouye</w:t>
      </w:r>
      <w:r>
        <w:t xml:space="preserve"> </w:t>
      </w:r>
      <w:r w:rsidRPr="008B3620">
        <w:t>K. Functional properties of soy protein hydrolysates obtained by</w:t>
      </w:r>
    </w:p>
    <w:p w14:paraId="102322F8" w14:textId="68B1F884" w:rsidR="0070360D" w:rsidRDefault="0070360D" w:rsidP="0070360D">
      <w:pPr>
        <w:pStyle w:val="references"/>
        <w:numPr>
          <w:ilvl w:val="0"/>
          <w:numId w:val="0"/>
        </w:numPr>
        <w:ind w:left="360"/>
      </w:pPr>
      <w:r w:rsidRPr="008B3620">
        <w:t>selective proteolysis. LWT-Food Sci Technol. 2005;38(3):255–61.</w:t>
      </w:r>
      <w:r>
        <w:t xml:space="preserve"> </w:t>
      </w:r>
      <w:r w:rsidRPr="008B3620">
        <w:rPr>
          <w:color w:val="0000FF"/>
        </w:rPr>
        <w:t>https ://doi.org/10.1016/j.lwt.2004.06.007</w:t>
      </w:r>
      <w:r w:rsidRPr="008B3620">
        <w:t>.</w:t>
      </w:r>
    </w:p>
    <w:p w14:paraId="0E97C4E3" w14:textId="77777777" w:rsidR="0070360D" w:rsidRPr="008B3620" w:rsidRDefault="0070360D" w:rsidP="0070360D">
      <w:pPr>
        <w:pStyle w:val="references"/>
        <w:numPr>
          <w:ilvl w:val="0"/>
          <w:numId w:val="0"/>
        </w:numPr>
        <w:ind w:left="360"/>
      </w:pPr>
    </w:p>
    <w:p w14:paraId="3090AAF1" w14:textId="75326C3E" w:rsidR="0070360D" w:rsidRPr="00115037" w:rsidRDefault="0070360D" w:rsidP="0070360D">
      <w:pPr>
        <w:pStyle w:val="references"/>
      </w:pPr>
      <w:r w:rsidRPr="008B3620">
        <w:t>Lee HW, Keum EH, Lee SJ, Sung DE, Chung DH, Lee SI, et al.</w:t>
      </w:r>
      <w:r>
        <w:t xml:space="preserve"> </w:t>
      </w:r>
      <w:r w:rsidRPr="008B3620">
        <w:t>Allergenicity of proteolytic hydrolysates of the soybean 11S globulin.</w:t>
      </w:r>
      <w:r>
        <w:t xml:space="preserve"> </w:t>
      </w:r>
      <w:r w:rsidRPr="0070360D">
        <w:rPr>
          <w:color w:val="000000"/>
        </w:rPr>
        <w:t xml:space="preserve">J Food Sci. 2007;72(3):C168–C172. </w:t>
      </w:r>
      <w:r w:rsidRPr="008B3620">
        <w:t>https ://doi.org/10.1111/j.1750-3841.2007.00307 .x</w:t>
      </w:r>
      <w:r w:rsidRPr="0070360D">
        <w:rPr>
          <w:color w:val="000000"/>
        </w:rPr>
        <w:t>.</w:t>
      </w:r>
    </w:p>
    <w:p w14:paraId="5DFACB2E" w14:textId="78085CD9" w:rsidR="00243A5F" w:rsidRPr="00243A5F" w:rsidRDefault="00243A5F" w:rsidP="00243A5F">
      <w:pPr>
        <w:pStyle w:val="references"/>
        <w:rPr>
          <w:rFonts w:eastAsia="MS Mincho"/>
        </w:rPr>
      </w:pPr>
      <w:r w:rsidRPr="00243A5F">
        <w:rPr>
          <w:rFonts w:eastAsia="MS Mincho"/>
        </w:rPr>
        <w:t>Pi X, Wan Y, Yang Y, Li R, Wu X, Xie M, et al. Research progress in peanut allergens and their allergenicity reduction. Trends</w:t>
      </w:r>
    </w:p>
    <w:p w14:paraId="79590AED" w14:textId="79518929" w:rsidR="003C43DC" w:rsidRDefault="00243A5F" w:rsidP="00243A5F">
      <w:pPr>
        <w:pStyle w:val="references"/>
        <w:numPr>
          <w:ilvl w:val="0"/>
          <w:numId w:val="0"/>
        </w:numPr>
        <w:ind w:left="360"/>
        <w:rPr>
          <w:rFonts w:eastAsia="MS Mincho"/>
        </w:rPr>
      </w:pPr>
      <w:r w:rsidRPr="00243A5F">
        <w:rPr>
          <w:rFonts w:eastAsia="MS Mincho"/>
        </w:rPr>
        <w:t>Food Sci Technol. 2019;93:212–20. https ://doi.org/10.1016/j.tifs.2019.09.014.</w:t>
      </w:r>
    </w:p>
    <w:p w14:paraId="261A36BA" w14:textId="77777777" w:rsidR="001906F4" w:rsidRPr="001906F4" w:rsidRDefault="001906F4" w:rsidP="001906F4">
      <w:pPr>
        <w:pStyle w:val="references"/>
        <w:rPr>
          <w:rFonts w:eastAsia="MS Mincho"/>
        </w:rPr>
      </w:pPr>
      <w:r w:rsidRPr="001906F4">
        <w:rPr>
          <w:rFonts w:eastAsia="MS Mincho"/>
        </w:rPr>
        <w:t>Bu G, Zhang N, Chen F. The influence of glycosylation on the antigenicity, allergenicity, and structural properties of 11S-lactose</w:t>
      </w:r>
    </w:p>
    <w:p w14:paraId="2AE80214" w14:textId="28FCE0D9" w:rsidR="0070360D" w:rsidRDefault="001906F4" w:rsidP="001906F4">
      <w:pPr>
        <w:pStyle w:val="references"/>
        <w:numPr>
          <w:ilvl w:val="0"/>
          <w:numId w:val="0"/>
        </w:numPr>
        <w:ind w:left="360"/>
        <w:rPr>
          <w:rFonts w:eastAsia="MS Mincho"/>
        </w:rPr>
      </w:pPr>
      <w:r w:rsidRPr="001906F4">
        <w:rPr>
          <w:rFonts w:eastAsia="MS Mincho"/>
        </w:rPr>
        <w:t>conjugates. Food Res Int. 2015;76:511–7. https ://doi.org/10.1016/j.foodr es.2015.08.004.</w:t>
      </w:r>
    </w:p>
    <w:p w14:paraId="084A9DEE" w14:textId="77777777" w:rsidR="007B79BD" w:rsidRDefault="007B79BD" w:rsidP="001906F4">
      <w:pPr>
        <w:pStyle w:val="references"/>
        <w:numPr>
          <w:ilvl w:val="0"/>
          <w:numId w:val="0"/>
        </w:numPr>
        <w:ind w:left="360"/>
        <w:rPr>
          <w:rFonts w:eastAsia="MS Mincho"/>
        </w:rPr>
      </w:pPr>
    </w:p>
    <w:p w14:paraId="4971AEB6" w14:textId="15EDB3F0" w:rsidR="002F0CE7" w:rsidRPr="008B3620" w:rsidRDefault="002F0CE7" w:rsidP="002F0CE7">
      <w:pPr>
        <w:pStyle w:val="references"/>
      </w:pPr>
      <w:r w:rsidRPr="008B3620">
        <w:t>Zhou S, Wang D, Zhao Y, Wu Y. A rapid HPLC method for indirect</w:t>
      </w:r>
      <w:r>
        <w:t xml:space="preserve"> </w:t>
      </w:r>
      <w:r w:rsidRPr="008B3620">
        <w:t>quantification of β-lactamase activity in milk. J Dairy Sci.</w:t>
      </w:r>
    </w:p>
    <w:p w14:paraId="29485C67" w14:textId="77777777" w:rsidR="002F0CE7" w:rsidRPr="008B3620" w:rsidRDefault="002F0CE7" w:rsidP="002F0CE7">
      <w:pPr>
        <w:pStyle w:val="references"/>
        <w:numPr>
          <w:ilvl w:val="0"/>
          <w:numId w:val="0"/>
        </w:numPr>
        <w:ind w:left="360"/>
        <w:rPr>
          <w:color w:val="000000"/>
        </w:rPr>
      </w:pPr>
      <w:r w:rsidRPr="008B3620">
        <w:rPr>
          <w:color w:val="000000"/>
        </w:rPr>
        <w:t xml:space="preserve">2015;98(4):2197–204. </w:t>
      </w:r>
      <w:r w:rsidRPr="008B3620">
        <w:t>https ://doi.org/10.3168/jds.2014-8845</w:t>
      </w:r>
      <w:r w:rsidRPr="008B3620">
        <w:rPr>
          <w:color w:val="000000"/>
        </w:rPr>
        <w:t>.</w:t>
      </w:r>
    </w:p>
    <w:p w14:paraId="6B7BD0FD" w14:textId="3692AC04" w:rsidR="000D5F84" w:rsidRPr="000D5F84" w:rsidRDefault="000D5F84" w:rsidP="000D5F84">
      <w:pPr>
        <w:pStyle w:val="references"/>
        <w:rPr>
          <w:rFonts w:eastAsia="MS Mincho"/>
        </w:rPr>
      </w:pPr>
      <w:r w:rsidRPr="000D5F84">
        <w:rPr>
          <w:rFonts w:eastAsia="MS Mincho"/>
        </w:rPr>
        <w:t>Zhang YD, Zheng N, Qu XY, Li SL, Yang JH, Zhao SG, et al. Short communication: Influence of preserving factors</w:t>
      </w:r>
    </w:p>
    <w:p w14:paraId="0F2CC719" w14:textId="080D7A57" w:rsidR="002F7D1C" w:rsidRPr="003C43DC" w:rsidRDefault="000D5F84" w:rsidP="000D5F84">
      <w:pPr>
        <w:pStyle w:val="references"/>
        <w:numPr>
          <w:ilvl w:val="0"/>
          <w:numId w:val="0"/>
        </w:numPr>
        <w:ind w:left="360"/>
        <w:rPr>
          <w:rFonts w:eastAsia="MS Mincho"/>
        </w:rPr>
      </w:pPr>
      <w:r w:rsidRPr="000D5F84">
        <w:rPr>
          <w:rFonts w:eastAsia="MS Mincho"/>
        </w:rPr>
        <w:t>on detection of β-lactamase in raw bovine milk. J Dairy Sci.2016;99(11):8571–4. https ://doi.org/10.3168/jds.2016-11096</w:t>
      </w:r>
    </w:p>
    <w:p w14:paraId="07E9DE08" w14:textId="4C4BBCF7" w:rsidR="000D5F84" w:rsidRPr="000D5F84" w:rsidRDefault="000D5F84" w:rsidP="000D5F84">
      <w:pPr>
        <w:pStyle w:val="references"/>
        <w:rPr>
          <w:rFonts w:eastAsia="MS Mincho"/>
        </w:rPr>
      </w:pPr>
      <w:r w:rsidRPr="000D5F84">
        <w:rPr>
          <w:rFonts w:eastAsia="MS Mincho"/>
        </w:rPr>
        <w:t>Qin J, Cui X, Wu P, Jiang Z, Chen Y, Yang R, et al. Fluorescent sensor assay for β-lactamase in milk based on a combination of</w:t>
      </w:r>
    </w:p>
    <w:p w14:paraId="59F45FEE" w14:textId="5EE6525C" w:rsidR="000D5F84" w:rsidRDefault="000D5F84" w:rsidP="000D5F84">
      <w:pPr>
        <w:pStyle w:val="references"/>
        <w:numPr>
          <w:ilvl w:val="0"/>
          <w:numId w:val="0"/>
        </w:numPr>
        <w:ind w:left="360"/>
        <w:rPr>
          <w:rFonts w:eastAsia="MS Mincho"/>
        </w:rPr>
      </w:pPr>
      <w:r w:rsidRPr="000D5F84">
        <w:rPr>
          <w:rFonts w:eastAsia="MS Mincho"/>
        </w:rPr>
        <w:t>aptamer and graphene oxide. Food Control. 2017;73:726–33. https://doi.org/10.1016/j.foodc ont.2016.09.023.</w:t>
      </w:r>
    </w:p>
    <w:p w14:paraId="52BEF121" w14:textId="77777777" w:rsidR="000D5F84" w:rsidRPr="000D5F84" w:rsidRDefault="000D5F84" w:rsidP="000D5F84">
      <w:pPr>
        <w:pStyle w:val="references"/>
        <w:rPr>
          <w:rFonts w:eastAsia="MS Mincho"/>
        </w:rPr>
      </w:pPr>
      <w:r w:rsidRPr="000D5F84">
        <w:rPr>
          <w:rFonts w:eastAsia="MS Mincho"/>
        </w:rPr>
        <w:t>Loveday SM. Food proteins: technological, nutritional, and sustainability attributes of traditional and emerging proteins. Annu</w:t>
      </w:r>
    </w:p>
    <w:p w14:paraId="5A2AC014" w14:textId="38CABBC0" w:rsidR="000D5F84" w:rsidRDefault="000D5F84" w:rsidP="000D5F84">
      <w:pPr>
        <w:pStyle w:val="references"/>
        <w:numPr>
          <w:ilvl w:val="0"/>
          <w:numId w:val="0"/>
        </w:numPr>
        <w:ind w:left="360"/>
        <w:rPr>
          <w:rFonts w:eastAsia="MS Mincho"/>
        </w:rPr>
      </w:pPr>
      <w:r w:rsidRPr="000D5F84">
        <w:rPr>
          <w:rFonts w:eastAsia="MS Mincho"/>
        </w:rPr>
        <w:t>Rev Food Sci Technol. 2019;10:311–39. https ://doi.org/10.1146/annur ev-food-03281 8-12112 8.</w:t>
      </w:r>
    </w:p>
    <w:p w14:paraId="1C6C8B77" w14:textId="5FCDA28F" w:rsidR="000D5F84" w:rsidRPr="000D5F84" w:rsidRDefault="000D5F84" w:rsidP="000D5F84">
      <w:pPr>
        <w:pStyle w:val="references"/>
        <w:rPr>
          <w:rFonts w:eastAsia="MS Mincho"/>
        </w:rPr>
      </w:pPr>
      <w:r w:rsidRPr="000D5F84">
        <w:rPr>
          <w:rFonts w:eastAsia="MS Mincho"/>
        </w:rPr>
        <w:t xml:space="preserve">. Lotfy SN, Fadel HHM, El-Ghorab AH, Shaheen MS. Stability of encapsulated beef-like </w:t>
      </w:r>
      <w:r w:rsidR="00AB4115">
        <w:rPr>
          <w:rFonts w:eastAsia="MS Mincho"/>
        </w:rPr>
        <w:t>flavorings</w:t>
      </w:r>
      <w:r w:rsidRPr="000D5F84">
        <w:rPr>
          <w:rFonts w:eastAsia="MS Mincho"/>
        </w:rPr>
        <w:t xml:space="preserve"> prepared from enzymatically</w:t>
      </w:r>
    </w:p>
    <w:p w14:paraId="0B2F2083" w14:textId="74CF6D33" w:rsidR="000D5F84" w:rsidRPr="000D5F84" w:rsidRDefault="00AB4115" w:rsidP="000D5F84">
      <w:pPr>
        <w:pStyle w:val="references"/>
        <w:numPr>
          <w:ilvl w:val="0"/>
          <w:numId w:val="0"/>
        </w:numPr>
        <w:ind w:left="360"/>
        <w:rPr>
          <w:rFonts w:eastAsia="MS Mincho"/>
        </w:rPr>
      </w:pPr>
      <w:r>
        <w:rPr>
          <w:rFonts w:eastAsia="MS Mincho"/>
        </w:rPr>
        <w:t>hydrolyzed</w:t>
      </w:r>
      <w:r w:rsidR="000D5F84" w:rsidRPr="000D5F84">
        <w:rPr>
          <w:rFonts w:eastAsia="MS Mincho"/>
        </w:rPr>
        <w:t xml:space="preserve"> mushroom proteins with other precursors under conventional and microwave heating. Food Chem. 2015;187:7–13.</w:t>
      </w:r>
    </w:p>
    <w:p w14:paraId="25B1AEEA" w14:textId="42879F82" w:rsidR="00D86913" w:rsidRPr="00466548" w:rsidRDefault="000D5F84" w:rsidP="000D5F84">
      <w:pPr>
        <w:pStyle w:val="references"/>
        <w:numPr>
          <w:ilvl w:val="0"/>
          <w:numId w:val="0"/>
        </w:numPr>
        <w:ind w:left="360"/>
        <w:rPr>
          <w:rFonts w:eastAsia="MS Mincho"/>
        </w:rPr>
      </w:pPr>
      <w:r w:rsidRPr="000D5F84">
        <w:rPr>
          <w:rFonts w:eastAsia="MS Mincho"/>
        </w:rPr>
        <w:t>https ://doi.org/10.1016/j.foodc hem.2015.04.027</w:t>
      </w:r>
      <w:r w:rsidR="00D86913">
        <w:rPr>
          <w:rFonts w:eastAsia="MS Mincho"/>
        </w:rPr>
        <w:t xml:space="preserve">  </w:t>
      </w:r>
    </w:p>
    <w:p w14:paraId="31D3E91D" w14:textId="55BC9432" w:rsidR="000D5F84" w:rsidRPr="000D5F84" w:rsidRDefault="000D5F84" w:rsidP="000D5F84">
      <w:pPr>
        <w:pStyle w:val="references"/>
        <w:rPr>
          <w:rFonts w:eastAsia="MS Mincho"/>
        </w:rPr>
      </w:pPr>
      <w:r w:rsidRPr="000D5F84">
        <w:rPr>
          <w:rFonts w:eastAsia="MS Mincho"/>
        </w:rPr>
        <w:t>Ledesma-Amaro R, Nicaud J-M. Yarrowia lipolytica as a biotechnological chassis to produce usual and unusual fatty acids.</w:t>
      </w:r>
    </w:p>
    <w:p w14:paraId="2C901CA7" w14:textId="29A2BB34" w:rsidR="00D86913" w:rsidRPr="00466548" w:rsidRDefault="000D5F84" w:rsidP="000D5F84">
      <w:pPr>
        <w:pStyle w:val="references"/>
        <w:numPr>
          <w:ilvl w:val="0"/>
          <w:numId w:val="0"/>
        </w:numPr>
        <w:ind w:left="360"/>
        <w:rPr>
          <w:rFonts w:eastAsia="MS Mincho"/>
        </w:rPr>
      </w:pPr>
      <w:r w:rsidRPr="000D5F84">
        <w:rPr>
          <w:rFonts w:eastAsia="MS Mincho"/>
        </w:rPr>
        <w:lastRenderedPageBreak/>
        <w:t>Prog Lipid Res. 2016;61:40–50. https ://doi.org/10.1016/j.plipres.2015.12.001.</w:t>
      </w:r>
    </w:p>
    <w:p w14:paraId="71B911DF" w14:textId="77777777" w:rsidR="000D5F84" w:rsidRPr="000D5F84" w:rsidRDefault="000D5F84" w:rsidP="000D5F84">
      <w:pPr>
        <w:pStyle w:val="references"/>
        <w:rPr>
          <w:rFonts w:eastAsia="MS Mincho"/>
        </w:rPr>
      </w:pPr>
      <w:r w:rsidRPr="000D5F84">
        <w:rPr>
          <w:rFonts w:eastAsia="MS Mincho"/>
        </w:rPr>
        <w:t>Manzanares P, Gandía M, Garrigues S, Marcos JF. Improving health-promoting effects of food-derived bioactive peptides</w:t>
      </w:r>
    </w:p>
    <w:p w14:paraId="2FA7FDBF" w14:textId="63EF7CDD" w:rsidR="00D86913" w:rsidRDefault="000D5F84" w:rsidP="000D5F84">
      <w:pPr>
        <w:pStyle w:val="references"/>
        <w:numPr>
          <w:ilvl w:val="0"/>
          <w:numId w:val="0"/>
        </w:numPr>
        <w:ind w:left="360"/>
        <w:rPr>
          <w:rFonts w:eastAsia="MS Mincho"/>
        </w:rPr>
      </w:pPr>
      <w:r w:rsidRPr="000D5F84">
        <w:rPr>
          <w:rFonts w:eastAsia="MS Mincho"/>
        </w:rPr>
        <w:t>through rational design and oral delivery strategies. Nutrients. 2019;11(10):2545. https ://doi.org/10.3390/nu111 02545</w:t>
      </w:r>
    </w:p>
    <w:p w14:paraId="6E4C7C13" w14:textId="77777777" w:rsidR="000D5F84" w:rsidRPr="000D5F84" w:rsidRDefault="000D5F84" w:rsidP="000D5F84">
      <w:pPr>
        <w:pStyle w:val="references"/>
        <w:rPr>
          <w:rFonts w:eastAsia="MS Mincho"/>
        </w:rPr>
      </w:pPr>
      <w:r w:rsidRPr="000D5F84">
        <w:rPr>
          <w:rFonts w:eastAsia="MS Mincho"/>
        </w:rPr>
        <w:t>. Mohammadian M, Salami M, Emam-Djomeh Z, Alavi F. Chapter 25—nutraceutical properties of dairy bioactive peptides. In:</w:t>
      </w:r>
    </w:p>
    <w:p w14:paraId="0740DA05" w14:textId="77777777" w:rsidR="000D5F84" w:rsidRPr="000D5F84" w:rsidRDefault="000D5F84" w:rsidP="000D5F84">
      <w:pPr>
        <w:pStyle w:val="references"/>
        <w:numPr>
          <w:ilvl w:val="0"/>
          <w:numId w:val="0"/>
        </w:numPr>
        <w:ind w:left="360"/>
        <w:rPr>
          <w:rFonts w:eastAsia="MS Mincho"/>
        </w:rPr>
      </w:pPr>
      <w:r w:rsidRPr="000D5F84">
        <w:rPr>
          <w:rFonts w:eastAsia="MS Mincho"/>
        </w:rPr>
        <w:t>Watson RR, Collier RJ, Preedy VR, editors. Dairy in human health and disease across the lifespan. Cambridge: Academic</w:t>
      </w:r>
    </w:p>
    <w:p w14:paraId="13DCA9C4" w14:textId="319976AC" w:rsidR="000D5F84" w:rsidRPr="00466548" w:rsidRDefault="000D5F84" w:rsidP="007B79BD">
      <w:pPr>
        <w:pStyle w:val="references"/>
        <w:numPr>
          <w:ilvl w:val="0"/>
          <w:numId w:val="0"/>
        </w:numPr>
        <w:ind w:left="360"/>
        <w:rPr>
          <w:rFonts w:eastAsia="MS Mincho"/>
        </w:rPr>
      </w:pPr>
      <w:r w:rsidRPr="000D5F84">
        <w:rPr>
          <w:rFonts w:eastAsia="MS Mincho"/>
        </w:rPr>
        <w:t>Press; 2017. pp. 325–342.</w:t>
      </w:r>
    </w:p>
    <w:p w14:paraId="0242126E" w14:textId="79D468A4" w:rsidR="00861799" w:rsidRPr="009D0CCB" w:rsidRDefault="00861799" w:rsidP="00861799">
      <w:pPr>
        <w:pStyle w:val="references"/>
      </w:pPr>
      <w:r w:rsidRPr="009D0CCB">
        <w:t>Cicero AFG, Fogacci F, Colletti A. Potential role of bioactive</w:t>
      </w:r>
      <w:r>
        <w:t xml:space="preserve"> </w:t>
      </w:r>
      <w:r w:rsidRPr="009D0CCB">
        <w:t>peptides in prevention and treatment of chronic diseases: a narrative</w:t>
      </w:r>
    </w:p>
    <w:p w14:paraId="3BC9A8E1" w14:textId="77777777" w:rsidR="00861799" w:rsidRPr="009D0CCB" w:rsidRDefault="00861799" w:rsidP="00861799">
      <w:pPr>
        <w:pStyle w:val="references"/>
        <w:numPr>
          <w:ilvl w:val="0"/>
          <w:numId w:val="0"/>
        </w:numPr>
        <w:ind w:left="360"/>
        <w:rPr>
          <w:color w:val="0000FF"/>
        </w:rPr>
      </w:pPr>
      <w:r w:rsidRPr="009D0CCB">
        <w:t xml:space="preserve">review. Br J Pharmacol. 2017;174(11):1378–94. </w:t>
      </w:r>
      <w:r w:rsidRPr="009D0CCB">
        <w:rPr>
          <w:color w:val="0000FF"/>
        </w:rPr>
        <w:t xml:space="preserve">https ://doi.org/10.1111/bph.13608 </w:t>
      </w:r>
      <w:r w:rsidRPr="009D0CCB">
        <w:t>.</w:t>
      </w:r>
    </w:p>
    <w:p w14:paraId="42608BF1" w14:textId="581DB2BE" w:rsidR="00861799" w:rsidRPr="009D0CCB" w:rsidRDefault="00861799" w:rsidP="00861799">
      <w:pPr>
        <w:pStyle w:val="references"/>
      </w:pPr>
      <w:r w:rsidRPr="009D0CCB">
        <w:t xml:space="preserve"> Li X, Long J, Hua Y, Chen Y, Kong X, Zhang C. Protein recovery</w:t>
      </w:r>
      <w:r>
        <w:t xml:space="preserve"> </w:t>
      </w:r>
      <w:r w:rsidRPr="009D0CCB">
        <w:t>and anti-nutritional factor removal from soybean wastewater</w:t>
      </w:r>
    </w:p>
    <w:p w14:paraId="0CE582FB" w14:textId="77777777" w:rsidR="00861799" w:rsidRPr="009D0CCB" w:rsidRDefault="00861799" w:rsidP="00861799">
      <w:pPr>
        <w:pStyle w:val="references"/>
        <w:numPr>
          <w:ilvl w:val="0"/>
          <w:numId w:val="0"/>
        </w:numPr>
        <w:ind w:left="360"/>
      </w:pPr>
      <w:r w:rsidRPr="009D0CCB">
        <w:t>by complexing with a high concentration of polysaccharides in</w:t>
      </w:r>
      <w:r>
        <w:t xml:space="preserve"> </w:t>
      </w:r>
      <w:r w:rsidRPr="009D0CCB">
        <w:t xml:space="preserve">a novel quick-shearing system. J Food Eng. 2019;241:1–9. </w:t>
      </w:r>
      <w:r w:rsidRPr="009D0CCB">
        <w:rPr>
          <w:color w:val="0000FF"/>
        </w:rPr>
        <w:t>https</w:t>
      </w:r>
    </w:p>
    <w:p w14:paraId="5BDE9646" w14:textId="77777777" w:rsidR="00861799" w:rsidRPr="009D0CCB" w:rsidRDefault="00861799" w:rsidP="00861799">
      <w:pPr>
        <w:pStyle w:val="references"/>
        <w:numPr>
          <w:ilvl w:val="0"/>
          <w:numId w:val="0"/>
        </w:numPr>
        <w:ind w:left="360"/>
        <w:rPr>
          <w:color w:val="000000"/>
        </w:rPr>
      </w:pPr>
      <w:r w:rsidRPr="009D0CCB">
        <w:t>://doi.org/10.1016/j.jfood eng.2018.07.034</w:t>
      </w:r>
      <w:r w:rsidRPr="009D0CCB">
        <w:rPr>
          <w:color w:val="000000"/>
        </w:rPr>
        <w:t>.</w:t>
      </w:r>
    </w:p>
    <w:p w14:paraId="0537D306" w14:textId="608D6A92" w:rsidR="00861799" w:rsidRPr="009D0CCB" w:rsidRDefault="00861799" w:rsidP="00861799">
      <w:pPr>
        <w:pStyle w:val="references"/>
      </w:pPr>
      <w:r w:rsidRPr="009D0CCB">
        <w:t xml:space="preserve"> Hayward S, Cilliers T, Swart P. Lipoxygenases: from isolation</w:t>
      </w:r>
      <w:r>
        <w:t xml:space="preserve"> </w:t>
      </w:r>
      <w:r w:rsidRPr="009D0CCB">
        <w:t>to application. Compr Rev Food Sci Food Saf. 2017;16(1):199–</w:t>
      </w:r>
    </w:p>
    <w:p w14:paraId="49A74D9E" w14:textId="77777777" w:rsidR="00861799" w:rsidRDefault="00861799" w:rsidP="00861799">
      <w:pPr>
        <w:pStyle w:val="references"/>
        <w:numPr>
          <w:ilvl w:val="0"/>
          <w:numId w:val="0"/>
        </w:numPr>
        <w:ind w:left="360"/>
        <w:rPr>
          <w:color w:val="000000"/>
        </w:rPr>
      </w:pPr>
      <w:r w:rsidRPr="009D0CCB">
        <w:rPr>
          <w:color w:val="000000"/>
        </w:rPr>
        <w:t xml:space="preserve">211. </w:t>
      </w:r>
      <w:r w:rsidRPr="009D0CCB">
        <w:t xml:space="preserve">https ://doi.org/10.1111/1541-4337.12239 </w:t>
      </w:r>
      <w:r w:rsidRPr="009D0CCB">
        <w:rPr>
          <w:color w:val="000000"/>
        </w:rPr>
        <w:t>.</w:t>
      </w:r>
    </w:p>
    <w:p w14:paraId="32598855" w14:textId="3BA8CE10" w:rsidR="00861799" w:rsidRPr="009D0CCB" w:rsidRDefault="00861799" w:rsidP="00861799">
      <w:pPr>
        <w:pStyle w:val="references"/>
      </w:pPr>
      <w:r w:rsidRPr="009D0CCB">
        <w:t>Essays. Causes and minimization of soybean flavour via</w:t>
      </w:r>
    </w:p>
    <w:p w14:paraId="55FEF1F5" w14:textId="5A22B670" w:rsidR="00861799" w:rsidRPr="009D0CCB" w:rsidRDefault="00861799" w:rsidP="00861799">
      <w:pPr>
        <w:pStyle w:val="references"/>
        <w:numPr>
          <w:ilvl w:val="0"/>
          <w:numId w:val="0"/>
        </w:numPr>
        <w:ind w:left="360"/>
      </w:pPr>
      <w:r w:rsidRPr="009D0CCB">
        <w:rPr>
          <w:color w:val="000000"/>
        </w:rPr>
        <w:t xml:space="preserve">enzymes. 2018. </w:t>
      </w:r>
      <w:r w:rsidRPr="009D0CCB">
        <w:t>https ://www.ukess ays.com/essay s/biolo gy/causes-and-minim izati on-of-soybe an-flavo ur-via-enzym es-biolo gyessay</w:t>
      </w:r>
      <w:r>
        <w:t xml:space="preserve"> </w:t>
      </w:r>
      <w:r w:rsidRPr="009D0CCB">
        <w:rPr>
          <w:color w:val="0000FF"/>
        </w:rPr>
        <w:t>.php?vref=1</w:t>
      </w:r>
      <w:r w:rsidRPr="009D0CCB">
        <w:t>. Accessed 15 Apr 2020.</w:t>
      </w:r>
    </w:p>
    <w:p w14:paraId="30953AB1" w14:textId="26B5E22A" w:rsidR="00861799" w:rsidRPr="009D0CCB" w:rsidRDefault="00861799" w:rsidP="00861799">
      <w:pPr>
        <w:pStyle w:val="references"/>
      </w:pPr>
      <w:r w:rsidRPr="009D0CCB">
        <w:t>Yang A, Smyth H, Chaliha M, James A. Sensory quality of</w:t>
      </w:r>
      <w:r>
        <w:t xml:space="preserve"> </w:t>
      </w:r>
      <w:r w:rsidRPr="009D0CCB">
        <w:t>soymilk and tofu from soybeans lacking lipoxygenases. Food</w:t>
      </w:r>
      <w:r>
        <w:t xml:space="preserve"> </w:t>
      </w:r>
      <w:r w:rsidRPr="009D0CCB">
        <w:t>Sci Nutr.</w:t>
      </w:r>
      <w:r>
        <w:t xml:space="preserve"> </w:t>
      </w:r>
      <w:r w:rsidRPr="009D0CCB">
        <w:t xml:space="preserve">2015;4(2):207–15. </w:t>
      </w:r>
      <w:r w:rsidRPr="009D0CCB">
        <w:rPr>
          <w:color w:val="0000FF"/>
        </w:rPr>
        <w:t>https ://doi.org/10.1002/fsn3.274</w:t>
      </w:r>
      <w:r w:rsidRPr="009D0CCB">
        <w:t>.</w:t>
      </w:r>
    </w:p>
    <w:p w14:paraId="65FEB35F" w14:textId="6B12E5F3" w:rsidR="00861799" w:rsidRPr="00861799" w:rsidRDefault="00861799" w:rsidP="00861799">
      <w:pPr>
        <w:pStyle w:val="references"/>
      </w:pPr>
      <w:r w:rsidRPr="009D0CCB">
        <w:t>Wu MY-C, Hsu M-Y, Chen S-J, Hwang D-K, Yen T-H,</w:t>
      </w:r>
      <w:r>
        <w:t xml:space="preserve"> </w:t>
      </w:r>
      <w:r w:rsidRPr="009D0CCB">
        <w:t>Cheng C-M. Point-of-care detection devices for food safety</w:t>
      </w:r>
      <w:r>
        <w:t xml:space="preserve"> </w:t>
      </w:r>
      <w:r w:rsidRPr="009D0CCB">
        <w:t xml:space="preserve">monitoring: proactive disease prevention. Trends Biotechnol.2017;35(4):288–300. </w:t>
      </w:r>
      <w:r w:rsidRPr="009D0CCB">
        <w:rPr>
          <w:color w:val="0000FF"/>
        </w:rPr>
        <w:t>https ://doi.org/10.1016/j.tibte</w:t>
      </w:r>
      <w:r>
        <w:t xml:space="preserve"> </w:t>
      </w:r>
      <w:r w:rsidRPr="009D0CCB">
        <w:t>ch.2016.12.005</w:t>
      </w:r>
      <w:r w:rsidRPr="00861799">
        <w:rPr>
          <w:color w:val="000000"/>
        </w:rPr>
        <w:t>.</w:t>
      </w:r>
    </w:p>
    <w:p w14:paraId="77342EE2" w14:textId="6705D8EF" w:rsidR="00861799" w:rsidRPr="009D0CCB" w:rsidRDefault="00861799" w:rsidP="00861799">
      <w:pPr>
        <w:pStyle w:val="references"/>
      </w:pPr>
      <w:r w:rsidRPr="009D0CCB">
        <w:t>Monosik R, Stredansky M, Tkac J, Šturdík E. Application of</w:t>
      </w:r>
      <w:r>
        <w:t xml:space="preserve"> </w:t>
      </w:r>
      <w:r w:rsidRPr="009D0CCB">
        <w:t xml:space="preserve">enzyme biosensors in </w:t>
      </w:r>
      <w:r w:rsidR="00284B1D">
        <w:t xml:space="preserve">the </w:t>
      </w:r>
      <w:r w:rsidRPr="009D0CCB">
        <w:t>analysis of food and beverages. Food Anal</w:t>
      </w:r>
    </w:p>
    <w:p w14:paraId="27F7791B" w14:textId="77777777" w:rsidR="00861799" w:rsidRPr="009D0CCB" w:rsidRDefault="00861799" w:rsidP="00861799">
      <w:pPr>
        <w:pStyle w:val="references"/>
        <w:numPr>
          <w:ilvl w:val="0"/>
          <w:numId w:val="0"/>
        </w:numPr>
        <w:ind w:left="360"/>
        <w:rPr>
          <w:color w:val="000000"/>
        </w:rPr>
      </w:pPr>
      <w:r w:rsidRPr="009D0CCB">
        <w:rPr>
          <w:color w:val="000000"/>
        </w:rPr>
        <w:t xml:space="preserve">Methods. 2012;5:40. </w:t>
      </w:r>
      <w:r w:rsidRPr="009D0CCB">
        <w:t>https ://doi.org/10.1007/s1216 1-011-9222-4</w:t>
      </w:r>
      <w:r w:rsidRPr="009D0CCB">
        <w:rPr>
          <w:color w:val="000000"/>
        </w:rPr>
        <w:t>.</w:t>
      </w:r>
    </w:p>
    <w:p w14:paraId="5BEDD4F4" w14:textId="61B1FB07" w:rsidR="00861799" w:rsidRPr="009D0CCB" w:rsidRDefault="00861799" w:rsidP="00861799">
      <w:pPr>
        <w:pStyle w:val="references"/>
      </w:pPr>
      <w:r w:rsidRPr="009D0CCB">
        <w:t>Rebane R, Kivirand K, Rinken T. A simple biosensor for biogenic</w:t>
      </w:r>
      <w:r>
        <w:t xml:space="preserve"> </w:t>
      </w:r>
      <w:r w:rsidRPr="009D0CCB">
        <w:t>diamines, comprising amine oxidase—containing threads and</w:t>
      </w:r>
    </w:p>
    <w:p w14:paraId="4E0F6DCE" w14:textId="77777777" w:rsidR="00861799" w:rsidRPr="009D0CCB" w:rsidRDefault="00861799" w:rsidP="00861799">
      <w:pPr>
        <w:pStyle w:val="references"/>
        <w:numPr>
          <w:ilvl w:val="0"/>
          <w:numId w:val="0"/>
        </w:numPr>
        <w:ind w:left="360"/>
        <w:rPr>
          <w:color w:val="0000FF"/>
        </w:rPr>
      </w:pPr>
      <w:r w:rsidRPr="009D0CCB">
        <w:t xml:space="preserve">oxygen sensor. Sensor Lett. 2011;9:1794. </w:t>
      </w:r>
      <w:r w:rsidRPr="009D0CCB">
        <w:rPr>
          <w:color w:val="0000FF"/>
        </w:rPr>
        <w:t>https ://doi.org/10.1166/sl.2011.1713</w:t>
      </w:r>
      <w:r w:rsidRPr="009D0CCB">
        <w:t>.</w:t>
      </w:r>
    </w:p>
    <w:p w14:paraId="40F45785" w14:textId="26996D61" w:rsidR="00861799" w:rsidRPr="009D0CCB" w:rsidRDefault="00861799" w:rsidP="00861799">
      <w:pPr>
        <w:pStyle w:val="references"/>
      </w:pPr>
      <w:r w:rsidRPr="009D0CCB">
        <w:t xml:space="preserve">Westmacott KL, Crew AP, Doran O, Hart JP. Novel, rapid, </w:t>
      </w:r>
      <w:r w:rsidR="00284B1D">
        <w:t>low-cost</w:t>
      </w:r>
      <w:r>
        <w:t xml:space="preserve"> </w:t>
      </w:r>
      <w:r w:rsidRPr="009D0CCB">
        <w:t>screen-printed (bio)sensors for the direct analysis of boar taint</w:t>
      </w:r>
    </w:p>
    <w:p w14:paraId="78CE616E" w14:textId="560385F2" w:rsidR="00861799" w:rsidRPr="009D0CCB" w:rsidRDefault="00861799" w:rsidP="00861799">
      <w:pPr>
        <w:pStyle w:val="references"/>
        <w:numPr>
          <w:ilvl w:val="0"/>
          <w:numId w:val="0"/>
        </w:numPr>
        <w:ind w:left="360"/>
      </w:pPr>
      <w:r w:rsidRPr="009D0CCB">
        <w:t>compounds androstenone and skatole in porcine adipose tissue:</w:t>
      </w:r>
      <w:r w:rsidR="00284B1D">
        <w:t xml:space="preserve"> </w:t>
      </w:r>
      <w:r w:rsidRPr="009D0CCB">
        <w:t>Comparison with a high-resolution gas chromatographic method.</w:t>
      </w:r>
    </w:p>
    <w:p w14:paraId="207CAA2E" w14:textId="77777777" w:rsidR="00861799" w:rsidRPr="009D0CCB" w:rsidRDefault="00861799" w:rsidP="00861799">
      <w:pPr>
        <w:pStyle w:val="references"/>
        <w:numPr>
          <w:ilvl w:val="0"/>
          <w:numId w:val="0"/>
        </w:numPr>
        <w:ind w:left="360"/>
      </w:pPr>
      <w:r w:rsidRPr="009D0CCB">
        <w:rPr>
          <w:color w:val="000000"/>
        </w:rPr>
        <w:t xml:space="preserve">Biosens Bioelectr. 2020;150:111837. </w:t>
      </w:r>
      <w:r w:rsidRPr="009D0CCB">
        <w:t>https ://doi.org/10.1016/j.bios.2019.11183 7</w:t>
      </w:r>
      <w:r w:rsidRPr="009D0CCB">
        <w:rPr>
          <w:color w:val="000000"/>
        </w:rPr>
        <w:t>.</w:t>
      </w:r>
    </w:p>
    <w:p w14:paraId="69996BDE" w14:textId="73567D10" w:rsidR="00861799" w:rsidRPr="009D0CCB" w:rsidRDefault="00861799" w:rsidP="00861799">
      <w:pPr>
        <w:pStyle w:val="references"/>
      </w:pPr>
      <w:r w:rsidRPr="009D0CCB">
        <w:t>Majdinasab M, Mishra RK, Tang X, Marty JL. Detection of antibiotics</w:t>
      </w:r>
      <w:r>
        <w:t xml:space="preserve"> </w:t>
      </w:r>
      <w:r w:rsidRPr="009D0CCB">
        <w:t>in food: new achievements in the development of biosensors.</w:t>
      </w:r>
    </w:p>
    <w:p w14:paraId="3DCC1697" w14:textId="77777777" w:rsidR="00861799" w:rsidRPr="009D0CCB" w:rsidRDefault="00861799" w:rsidP="00861799">
      <w:pPr>
        <w:pStyle w:val="references"/>
        <w:numPr>
          <w:ilvl w:val="0"/>
          <w:numId w:val="0"/>
        </w:numPr>
        <w:ind w:left="360"/>
      </w:pPr>
      <w:r w:rsidRPr="009D0CCB">
        <w:rPr>
          <w:color w:val="000000"/>
        </w:rPr>
        <w:t xml:space="preserve">TrAC Trends Anal Chem. 2020;127:115883. </w:t>
      </w:r>
      <w:r w:rsidRPr="009D0CCB">
        <w:t>https ://doi.org/10.1016/j.trac.2020.11588 3</w:t>
      </w:r>
      <w:r w:rsidRPr="009D0CCB">
        <w:rPr>
          <w:color w:val="000000"/>
        </w:rPr>
        <w:t>.</w:t>
      </w:r>
    </w:p>
    <w:p w14:paraId="0416CAF9" w14:textId="2FAA5474" w:rsidR="00861799" w:rsidRPr="009D0CCB" w:rsidRDefault="00861799" w:rsidP="00861799">
      <w:pPr>
        <w:pStyle w:val="references"/>
      </w:pPr>
      <w:r w:rsidRPr="009D0CCB">
        <w:t>Evtugyn GA, Shamagsumova RV, Hianik T. Biosensors for detection</w:t>
      </w:r>
      <w:r>
        <w:t xml:space="preserve"> </w:t>
      </w:r>
      <w:r w:rsidRPr="009D0CCB">
        <w:t>mycotoxins and pathogenic bacteria in food. In: Grumezescu</w:t>
      </w:r>
      <w:r>
        <w:t xml:space="preserve"> </w:t>
      </w:r>
      <w:r w:rsidRPr="009D0CCB">
        <w:t>AM, editor. Nanobiosensors. Cambridge: Academic Press; 2017.</w:t>
      </w:r>
      <w:r>
        <w:t xml:space="preserve"> </w:t>
      </w:r>
      <w:r w:rsidRPr="009D0CCB">
        <w:t>pp. 35–92.</w:t>
      </w:r>
    </w:p>
    <w:p w14:paraId="7975615C" w14:textId="4BFBB652" w:rsidR="00861799" w:rsidRPr="009D0CCB" w:rsidRDefault="00861799" w:rsidP="00861799">
      <w:pPr>
        <w:pStyle w:val="references"/>
      </w:pPr>
      <w:r w:rsidRPr="009D0CCB">
        <w:t>Zhao X, Lin CW, Wang J, Oh DH. Advances in rapid detection</w:t>
      </w:r>
      <w:r>
        <w:t xml:space="preserve"> </w:t>
      </w:r>
      <w:r w:rsidRPr="009D0CCB">
        <w:t>methods for foodborne pathogens. J Microbiol Biotechnol.</w:t>
      </w:r>
    </w:p>
    <w:p w14:paraId="2724FB63" w14:textId="77777777" w:rsidR="00861799" w:rsidRPr="009D0CCB" w:rsidRDefault="00861799" w:rsidP="00861799">
      <w:pPr>
        <w:pStyle w:val="references"/>
        <w:numPr>
          <w:ilvl w:val="0"/>
          <w:numId w:val="0"/>
        </w:numPr>
        <w:ind w:left="360"/>
        <w:rPr>
          <w:color w:val="000000"/>
        </w:rPr>
      </w:pPr>
      <w:r w:rsidRPr="009D0CCB">
        <w:rPr>
          <w:color w:val="000000"/>
        </w:rPr>
        <w:t xml:space="preserve">2014;24(3):297–312. </w:t>
      </w:r>
      <w:r w:rsidRPr="009D0CCB">
        <w:t xml:space="preserve">https ://doi.org/10.4014/jmb.1310.10013 </w:t>
      </w:r>
      <w:r w:rsidRPr="009D0CCB">
        <w:rPr>
          <w:color w:val="000000"/>
        </w:rPr>
        <w:t>.</w:t>
      </w:r>
    </w:p>
    <w:p w14:paraId="50CCCD45" w14:textId="6E7179FE" w:rsidR="00861799" w:rsidRPr="009D0CCB" w:rsidRDefault="00861799" w:rsidP="00861799">
      <w:pPr>
        <w:pStyle w:val="references"/>
      </w:pPr>
      <w:r w:rsidRPr="009D0CCB">
        <w:t>Koppelman SJ, Söylemez G, Niemann L, Gaskin FE, Baumert</w:t>
      </w:r>
      <w:r>
        <w:t xml:space="preserve"> </w:t>
      </w:r>
      <w:r w:rsidRPr="009D0CCB">
        <w:t>JL, Taylor SL. Sandwich enzyme-linked immunosorbent</w:t>
      </w:r>
    </w:p>
    <w:p w14:paraId="5BEBB4C5" w14:textId="77777777" w:rsidR="00861799" w:rsidRPr="009D0CCB" w:rsidRDefault="00861799" w:rsidP="00861799">
      <w:pPr>
        <w:pStyle w:val="references"/>
        <w:numPr>
          <w:ilvl w:val="0"/>
          <w:numId w:val="0"/>
        </w:numPr>
        <w:ind w:left="360"/>
      </w:pPr>
      <w:r w:rsidRPr="009D0CCB">
        <w:t>assay for detecting sesame seed in foods. Biomed Res Int.</w:t>
      </w:r>
      <w:r>
        <w:t xml:space="preserve"> </w:t>
      </w:r>
      <w:r w:rsidRPr="009D0CCB">
        <w:t xml:space="preserve">2015;2015:853836. </w:t>
      </w:r>
      <w:r w:rsidRPr="009D0CCB">
        <w:rPr>
          <w:color w:val="0000FF"/>
        </w:rPr>
        <w:t>https ://doi.org/10.1155/2015/85383 6</w:t>
      </w:r>
      <w:r w:rsidRPr="009D0CCB">
        <w:t>.</w:t>
      </w:r>
    </w:p>
    <w:p w14:paraId="7C82C833" w14:textId="3FB571CA" w:rsidR="00861799" w:rsidRPr="009D0CCB" w:rsidRDefault="00861799" w:rsidP="00861799">
      <w:pPr>
        <w:pStyle w:val="references"/>
      </w:pPr>
      <w:r w:rsidRPr="009D0CCB">
        <w:t>Bolton FJ, Fritz E, Poynton S, Jensen T. Rapid enzyme-linked</w:t>
      </w:r>
      <w:r>
        <w:t xml:space="preserve"> </w:t>
      </w:r>
      <w:r w:rsidRPr="009D0CCB">
        <w:t xml:space="preserve">immunoassay for detection of </w:t>
      </w:r>
      <w:r w:rsidRPr="009D0CCB">
        <w:rPr>
          <w:i/>
          <w:iCs/>
        </w:rPr>
        <w:t xml:space="preserve">Salmonella </w:t>
      </w:r>
      <w:r w:rsidRPr="009D0CCB">
        <w:t>in food and feed products:</w:t>
      </w:r>
    </w:p>
    <w:p w14:paraId="06F63AB0" w14:textId="37E042CF" w:rsidR="00861799" w:rsidRPr="00861799" w:rsidRDefault="00861799" w:rsidP="00861799">
      <w:pPr>
        <w:pStyle w:val="references"/>
        <w:numPr>
          <w:ilvl w:val="0"/>
          <w:numId w:val="0"/>
        </w:numPr>
        <w:ind w:left="360"/>
      </w:pPr>
      <w:r w:rsidRPr="009D0CCB">
        <w:t>performance testing program. J AOAC Int. 2000;83(2):299–</w:t>
      </w:r>
      <w:r w:rsidRPr="009D0CCB">
        <w:rPr>
          <w:color w:val="000000"/>
        </w:rPr>
        <w:t xml:space="preserve">303. </w:t>
      </w:r>
      <w:r w:rsidRPr="009D0CCB">
        <w:t>https ://doi.org/10.1093/jaoac /83.2.299</w:t>
      </w:r>
      <w:r w:rsidRPr="009D0CCB">
        <w:rPr>
          <w:color w:val="000000"/>
        </w:rPr>
        <w:t>.</w:t>
      </w:r>
      <w:r>
        <w:rPr>
          <w:color w:val="000000"/>
        </w:rPr>
        <w:t xml:space="preserve"> </w:t>
      </w:r>
    </w:p>
    <w:p w14:paraId="2F36195A" w14:textId="2B50A37D" w:rsidR="00861799" w:rsidRPr="009D0CCB" w:rsidRDefault="00861799" w:rsidP="00861799">
      <w:pPr>
        <w:pStyle w:val="references"/>
      </w:pPr>
      <w:r w:rsidRPr="009D0CCB">
        <w:t>Pang B, Zhao C, Li L, Song X, Xu K, Wang J, et al. Development</w:t>
      </w:r>
      <w:r>
        <w:t xml:space="preserve"> </w:t>
      </w:r>
      <w:r w:rsidRPr="009D0CCB">
        <w:t xml:space="preserve">of a low-cost paper-based ELISA method for rapid </w:t>
      </w:r>
      <w:r w:rsidRPr="009D0CCB">
        <w:rPr>
          <w:i/>
          <w:iCs/>
        </w:rPr>
        <w:t>Escherichia</w:t>
      </w:r>
    </w:p>
    <w:p w14:paraId="49775A00" w14:textId="29E51FD9" w:rsidR="00861799" w:rsidRPr="009D0CCB" w:rsidRDefault="00861799" w:rsidP="00861799">
      <w:pPr>
        <w:pStyle w:val="references"/>
        <w:numPr>
          <w:ilvl w:val="0"/>
          <w:numId w:val="0"/>
        </w:numPr>
        <w:ind w:left="360"/>
        <w:rPr>
          <w:color w:val="0000FF"/>
        </w:rPr>
      </w:pPr>
      <w:r w:rsidRPr="009D0CCB">
        <w:rPr>
          <w:i/>
          <w:iCs/>
        </w:rPr>
        <w:t xml:space="preserve">coli </w:t>
      </w:r>
      <w:r w:rsidRPr="009D0CCB">
        <w:t xml:space="preserve">O157:H7 detection. Anal Biochem. 2018;542:58–62. </w:t>
      </w:r>
      <w:r w:rsidRPr="009D0CCB">
        <w:rPr>
          <w:color w:val="0000FF"/>
        </w:rPr>
        <w:t>https://doi.org/10.1016/j.ab.2017.11.010</w:t>
      </w:r>
      <w:r w:rsidRPr="009D0CCB">
        <w:t>.</w:t>
      </w:r>
    </w:p>
    <w:p w14:paraId="02C496B5" w14:textId="17D2C761" w:rsidR="00861799" w:rsidRPr="009D0CCB" w:rsidRDefault="00861799" w:rsidP="00861799">
      <w:pPr>
        <w:pStyle w:val="references"/>
      </w:pPr>
      <w:r w:rsidRPr="009D0CCB">
        <w:t>Kumar BK, Raghunath P, Devegowda D, Deekshit VK, Venugopal</w:t>
      </w:r>
      <w:r>
        <w:t xml:space="preserve"> </w:t>
      </w:r>
      <w:r w:rsidRPr="009D0CCB">
        <w:t>MN, Karunasagar I, et al. Development of monoclonal</w:t>
      </w:r>
    </w:p>
    <w:p w14:paraId="4AD65606" w14:textId="148E3DDC" w:rsidR="00861799" w:rsidRPr="009D0CCB" w:rsidRDefault="00284B1D" w:rsidP="00861799">
      <w:pPr>
        <w:pStyle w:val="references"/>
        <w:numPr>
          <w:ilvl w:val="0"/>
          <w:numId w:val="0"/>
        </w:numPr>
        <w:ind w:left="360"/>
      </w:pPr>
      <w:r>
        <w:t>antibody-based</w:t>
      </w:r>
      <w:r w:rsidR="00861799" w:rsidRPr="009D0CCB">
        <w:t xml:space="preserve"> sandwich ELISA for the rapid detection of pathogenic</w:t>
      </w:r>
      <w:r w:rsidR="00861799">
        <w:t xml:space="preserve"> </w:t>
      </w:r>
      <w:r w:rsidR="00861799" w:rsidRPr="009D0CCB">
        <w:rPr>
          <w:i/>
          <w:iCs/>
        </w:rPr>
        <w:t xml:space="preserve">Vibrio parahaemolyticus </w:t>
      </w:r>
      <w:r w:rsidR="00861799" w:rsidRPr="009D0CCB">
        <w:t>in seafood. Int J Food Microbiol.</w:t>
      </w:r>
    </w:p>
    <w:p w14:paraId="1BAF0DD5" w14:textId="77777777" w:rsidR="00861799" w:rsidRPr="009D0CCB" w:rsidRDefault="00861799" w:rsidP="00861799">
      <w:pPr>
        <w:pStyle w:val="references"/>
        <w:numPr>
          <w:ilvl w:val="0"/>
          <w:numId w:val="0"/>
        </w:numPr>
        <w:ind w:left="360"/>
      </w:pPr>
      <w:r w:rsidRPr="009D0CCB">
        <w:rPr>
          <w:color w:val="000000"/>
        </w:rPr>
        <w:t xml:space="preserve">2011;145(1):244–9. </w:t>
      </w:r>
      <w:r w:rsidRPr="009D0CCB">
        <w:t>https ://doi.org/10.1016/j.ijfoo dmicro.2010.12.030</w:t>
      </w:r>
      <w:r w:rsidRPr="009D0CCB">
        <w:rPr>
          <w:color w:val="000000"/>
        </w:rPr>
        <w:t>.</w:t>
      </w:r>
    </w:p>
    <w:p w14:paraId="278230EB" w14:textId="0A59D13F" w:rsidR="00861799" w:rsidRPr="00861799" w:rsidRDefault="00861799" w:rsidP="00861799">
      <w:pPr>
        <w:pStyle w:val="references"/>
      </w:pPr>
      <w:r w:rsidRPr="009D0CCB">
        <w:t>Chen R, Huang X, Xu H, Xiong Y, Li Y. Plasmonic enzymelinked</w:t>
      </w:r>
      <w:r>
        <w:t xml:space="preserve"> </w:t>
      </w:r>
      <w:r w:rsidRPr="009D0CCB">
        <w:t>immunosorbent assay using nanospherical brushes as a</w:t>
      </w:r>
      <w:r>
        <w:t xml:space="preserve"> </w:t>
      </w:r>
      <w:r w:rsidRPr="009D0CCB">
        <w:t>catalase container for colorimetric detection of ultralow concentrations</w:t>
      </w:r>
      <w:r>
        <w:t xml:space="preserve"> </w:t>
      </w:r>
      <w:r w:rsidRPr="009D0CCB">
        <w:t xml:space="preserve">of </w:t>
      </w:r>
      <w:r w:rsidRPr="00861799">
        <w:rPr>
          <w:i/>
          <w:iCs/>
        </w:rPr>
        <w:t>listeria monocytogenes</w:t>
      </w:r>
      <w:r w:rsidRPr="009D0CCB">
        <w:t>. ACS Appl Mater Interf.</w:t>
      </w:r>
      <w:r>
        <w:t xml:space="preserve"> </w:t>
      </w:r>
      <w:r w:rsidRPr="00861799">
        <w:rPr>
          <w:color w:val="000000"/>
        </w:rPr>
        <w:t xml:space="preserve">2015;7(51):28632–9. </w:t>
      </w:r>
      <w:r w:rsidRPr="009D0CCB">
        <w:t>https ://doi.org/10.1021/acsam i.5b101 81</w:t>
      </w:r>
      <w:r w:rsidRPr="00861799">
        <w:rPr>
          <w:color w:val="000000"/>
        </w:rPr>
        <w:t>.</w:t>
      </w:r>
    </w:p>
    <w:p w14:paraId="489B64E3" w14:textId="17676898" w:rsidR="00861799" w:rsidRPr="009D0CCB" w:rsidRDefault="00861799" w:rsidP="00861799">
      <w:pPr>
        <w:pStyle w:val="references"/>
      </w:pPr>
      <w:r w:rsidRPr="009D0CCB">
        <w:t>Nouri A, Ahari H, Shahbazzadeh D. Designing a direct ELISA</w:t>
      </w:r>
      <w:r>
        <w:t xml:space="preserve"> </w:t>
      </w:r>
      <w:r w:rsidRPr="009D0CCB">
        <w:t xml:space="preserve">kit for the detection of </w:t>
      </w:r>
      <w:r w:rsidRPr="009D0CCB">
        <w:rPr>
          <w:i/>
          <w:iCs/>
        </w:rPr>
        <w:t xml:space="preserve">Staphylococcus aureus </w:t>
      </w:r>
      <w:r w:rsidRPr="009D0CCB">
        <w:t>enterotoxin A in</w:t>
      </w:r>
    </w:p>
    <w:p w14:paraId="0C7A372D" w14:textId="77777777" w:rsidR="00861799" w:rsidRPr="009D0CCB" w:rsidRDefault="00861799" w:rsidP="00861799">
      <w:pPr>
        <w:pStyle w:val="references"/>
        <w:numPr>
          <w:ilvl w:val="0"/>
          <w:numId w:val="0"/>
        </w:numPr>
        <w:ind w:left="360"/>
      </w:pPr>
      <w:r w:rsidRPr="009D0CCB">
        <w:t>raw milk samples. Int J Biol Macromol. 2018;107(Pt B):1732–7.</w:t>
      </w:r>
      <w:r>
        <w:t xml:space="preserve"> </w:t>
      </w:r>
      <w:r w:rsidRPr="009D0CCB">
        <w:rPr>
          <w:color w:val="0000FF"/>
        </w:rPr>
        <w:t>https ://doi.org/10.1016/j.ijbio mac.2017.10.052</w:t>
      </w:r>
      <w:r w:rsidRPr="009D0CCB">
        <w:t>.</w:t>
      </w:r>
    </w:p>
    <w:p w14:paraId="47A3839A" w14:textId="4BC41899" w:rsidR="00861799" w:rsidRPr="009D0CCB" w:rsidRDefault="00861799" w:rsidP="00861799">
      <w:pPr>
        <w:pStyle w:val="references"/>
      </w:pPr>
      <w:r w:rsidRPr="009D0CCB">
        <w:t>Aschfalk A, Müller W. Clostridium perfringens toxin types from</w:t>
      </w:r>
      <w:r>
        <w:t xml:space="preserve"> </w:t>
      </w:r>
      <w:r w:rsidRPr="009D0CCB">
        <w:t>wild-caught Atlantic cod (</w:t>
      </w:r>
      <w:r w:rsidRPr="009D0CCB">
        <w:rPr>
          <w:i/>
          <w:iCs/>
        </w:rPr>
        <w:t xml:space="preserve">Gadus morhua </w:t>
      </w:r>
      <w:r w:rsidRPr="009D0CCB">
        <w:t>L.), determined by</w:t>
      </w:r>
    </w:p>
    <w:p w14:paraId="66FC8502" w14:textId="77777777" w:rsidR="00861799" w:rsidRPr="009D0CCB" w:rsidRDefault="00861799" w:rsidP="00861799">
      <w:pPr>
        <w:pStyle w:val="references"/>
        <w:numPr>
          <w:ilvl w:val="0"/>
          <w:numId w:val="0"/>
        </w:numPr>
        <w:ind w:left="360"/>
        <w:rPr>
          <w:color w:val="0000FF"/>
        </w:rPr>
      </w:pPr>
      <w:r w:rsidRPr="009D0CCB">
        <w:t xml:space="preserve">PCR and ELISA. Can J Microbiol. 2002;48(4):365–8. </w:t>
      </w:r>
      <w:r w:rsidRPr="009D0CCB">
        <w:rPr>
          <w:color w:val="0000FF"/>
        </w:rPr>
        <w:t>https ://doi.org/10.1139/w02-015</w:t>
      </w:r>
      <w:r w:rsidRPr="009D0CCB">
        <w:t>.</w:t>
      </w:r>
    </w:p>
    <w:p w14:paraId="0868CC24" w14:textId="4CAC4180" w:rsidR="00861799" w:rsidRPr="009D0CCB" w:rsidRDefault="00861799" w:rsidP="00861799">
      <w:pPr>
        <w:pStyle w:val="references"/>
      </w:pPr>
      <w:r w:rsidRPr="009D0CCB">
        <w:t>Pang B, Fu K, Liu Y, Ding X, Hu J, Wu W, et al. Development</w:t>
      </w:r>
      <w:r>
        <w:t xml:space="preserve"> </w:t>
      </w:r>
      <w:r w:rsidRPr="009D0CCB">
        <w:t>of a self-priming PDMS/paper hybrid microfluidic chip using</w:t>
      </w:r>
      <w:r>
        <w:t xml:space="preserve"> </w:t>
      </w:r>
      <w:r w:rsidRPr="009D0CCB">
        <w:t>mixed-dye-loaded loop-mediated isothermal amplification assay</w:t>
      </w:r>
      <w:r>
        <w:t xml:space="preserve"> </w:t>
      </w:r>
      <w:r w:rsidRPr="009D0CCB">
        <w:t>for multiplex foodborne pathogens detection. Anal Chim Acta.</w:t>
      </w:r>
      <w:r>
        <w:t xml:space="preserve"> </w:t>
      </w:r>
      <w:r w:rsidRPr="009D0CCB">
        <w:t xml:space="preserve">2018;1040:81–9. </w:t>
      </w:r>
      <w:r w:rsidRPr="00861799">
        <w:rPr>
          <w:color w:val="0000FF"/>
        </w:rPr>
        <w:t>https ://doi.org/10.1016/j.aca.2018.07.024</w:t>
      </w:r>
      <w:r w:rsidRPr="009D0CCB">
        <w:t>.</w:t>
      </w:r>
    </w:p>
    <w:p w14:paraId="376C275E" w14:textId="09D9B99A" w:rsidR="00861799" w:rsidRPr="009D0CCB" w:rsidRDefault="00861799" w:rsidP="00861799">
      <w:pPr>
        <w:pStyle w:val="references"/>
        <w:rPr>
          <w:i/>
          <w:iCs/>
        </w:rPr>
      </w:pPr>
      <w:r w:rsidRPr="009D0CCB">
        <w:t xml:space="preserve">Liu YH, Lu FP, Li Y, Wang JL, Gao C. Acid stabilization of </w:t>
      </w:r>
      <w:r w:rsidRPr="009D0CCB">
        <w:rPr>
          <w:i/>
          <w:iCs/>
        </w:rPr>
        <w:t>Bacillus</w:t>
      </w:r>
      <w:r>
        <w:rPr>
          <w:i/>
          <w:iCs/>
        </w:rPr>
        <w:t xml:space="preserve"> </w:t>
      </w:r>
      <w:r w:rsidRPr="009D0CCB">
        <w:rPr>
          <w:i/>
          <w:iCs/>
        </w:rPr>
        <w:t xml:space="preserve">licheniformis </w:t>
      </w:r>
      <w:r w:rsidRPr="009D0CCB">
        <w:t xml:space="preserve">alpha amylase through introduction of mutations.Appl Microbiol Biotechnol. 2008;80(5):795–803. </w:t>
      </w:r>
      <w:r w:rsidRPr="009D0CCB">
        <w:rPr>
          <w:color w:val="0000FF"/>
        </w:rPr>
        <w:t>https ://doi.org/10.1007/s0025 3-008-1580-5</w:t>
      </w:r>
      <w:r w:rsidRPr="009D0CCB">
        <w:t>.</w:t>
      </w:r>
    </w:p>
    <w:p w14:paraId="681FD99B" w14:textId="087786E4" w:rsidR="00861799" w:rsidRPr="009D0CCB" w:rsidRDefault="00861799" w:rsidP="00861799">
      <w:pPr>
        <w:pStyle w:val="references"/>
      </w:pPr>
      <w:r w:rsidRPr="009D0CCB">
        <w:t>Kübelbeck S, Mikhael J, Keller H, Konradi R, Andrieu-Brunsen</w:t>
      </w:r>
      <w:r>
        <w:t xml:space="preserve"> </w:t>
      </w:r>
      <w:r w:rsidRPr="009D0CCB">
        <w:t>A, Baier G. Enzyme-polymer conjugates to enhance enzyme</w:t>
      </w:r>
      <w:r>
        <w:t xml:space="preserve"> </w:t>
      </w:r>
      <w:r w:rsidRPr="009D0CCB">
        <w:t>shelf life in a liquid detergent formulation. Macromol Biosci.</w:t>
      </w:r>
      <w:r>
        <w:t xml:space="preserve"> </w:t>
      </w:r>
      <w:r w:rsidRPr="009D0CCB">
        <w:t xml:space="preserve">2018;18(7):e1800095. </w:t>
      </w:r>
      <w:r w:rsidRPr="00861799">
        <w:rPr>
          <w:color w:val="0000FF"/>
        </w:rPr>
        <w:t>https ://doi.org/10.1002/mabi.20180 0095</w:t>
      </w:r>
      <w:r w:rsidRPr="009D0CCB">
        <w:t>.</w:t>
      </w:r>
    </w:p>
    <w:p w14:paraId="28EC0EB0" w14:textId="3AFE2B01" w:rsidR="00861799" w:rsidRPr="009D0CCB" w:rsidRDefault="00861799" w:rsidP="00861799">
      <w:pPr>
        <w:pStyle w:val="references"/>
      </w:pPr>
      <w:r w:rsidRPr="009D0CCB">
        <w:t>Krishnamurthy A, Mundra S, Belur PD. Improving the catalytic</w:t>
      </w:r>
      <w:r>
        <w:t xml:space="preserve"> </w:t>
      </w:r>
      <w:r w:rsidRPr="009D0CCB">
        <w:t>efficiency of Fibrinolytic enzyme from Serratia marcescens</w:t>
      </w:r>
      <w:r>
        <w:t xml:space="preserve"> </w:t>
      </w:r>
      <w:r w:rsidRPr="009D0CCB">
        <w:t>subsp. sakuensis by chemical modification. Process Biochem.</w:t>
      </w:r>
      <w:r>
        <w:t xml:space="preserve"> </w:t>
      </w:r>
      <w:r w:rsidRPr="009D0CCB">
        <w:t xml:space="preserve">2018;72:79–85. </w:t>
      </w:r>
      <w:r w:rsidRPr="009D0CCB">
        <w:rPr>
          <w:color w:val="0000FF"/>
        </w:rPr>
        <w:t>https ://doi.org/10.1016/j.procb io.2018.06.015</w:t>
      </w:r>
      <w:r w:rsidRPr="009D0CCB">
        <w:t>.</w:t>
      </w:r>
    </w:p>
    <w:p w14:paraId="2356E4EF" w14:textId="5FAF532D" w:rsidR="00861799" w:rsidRPr="009D0CCB" w:rsidRDefault="00861799" w:rsidP="00861799">
      <w:pPr>
        <w:pStyle w:val="references"/>
      </w:pPr>
      <w:r w:rsidRPr="009D0CCB">
        <w:t>Rueda N, dos Santos JCS, Ortiz C, Torres R, Barbosa O, Rodrigues</w:t>
      </w:r>
      <w:r>
        <w:t xml:space="preserve"> </w:t>
      </w:r>
      <w:r w:rsidRPr="009D0CCB">
        <w:t>RC, et al. Chemical modification in the design of immobilized</w:t>
      </w:r>
      <w:r>
        <w:t xml:space="preserve"> </w:t>
      </w:r>
      <w:r w:rsidRPr="009D0CCB">
        <w:t>enzyme biocatalysts: drawbacks and opportunities. Chem</w:t>
      </w:r>
      <w:r>
        <w:t xml:space="preserve"> </w:t>
      </w:r>
      <w:r w:rsidRPr="009D0CCB">
        <w:t xml:space="preserve">Rec. 2016;16(3):1436–55. </w:t>
      </w:r>
      <w:r w:rsidRPr="00861799">
        <w:rPr>
          <w:color w:val="0000FF"/>
        </w:rPr>
        <w:t>https ://doi.org/10.1002/tcr.20160 0007</w:t>
      </w:r>
      <w:r w:rsidRPr="009D0CCB">
        <w:t>.</w:t>
      </w:r>
    </w:p>
    <w:p w14:paraId="57996EEE" w14:textId="1A2943F6" w:rsidR="00861799" w:rsidRPr="009D0CCB" w:rsidRDefault="00861799" w:rsidP="00861799">
      <w:pPr>
        <w:pStyle w:val="references"/>
      </w:pPr>
      <w:r w:rsidRPr="009D0CCB">
        <w:t>He H, Wei Y, Luo H, Li X, Wang X, Liang C, et al. Immobilization</w:t>
      </w:r>
      <w:r>
        <w:t xml:space="preserve"> </w:t>
      </w:r>
      <w:r w:rsidRPr="009D0CCB">
        <w:t>and stabilization of cephalosporin C acylase on aminated support</w:t>
      </w:r>
    </w:p>
    <w:p w14:paraId="34418398" w14:textId="77777777" w:rsidR="00861799" w:rsidRPr="009D0CCB" w:rsidRDefault="00861799" w:rsidP="00861799">
      <w:pPr>
        <w:pStyle w:val="references"/>
        <w:numPr>
          <w:ilvl w:val="0"/>
          <w:numId w:val="0"/>
        </w:numPr>
        <w:ind w:left="360"/>
      </w:pPr>
      <w:r w:rsidRPr="009D0CCB">
        <w:t>by crosslinking with glutaraldehyde and further modifying with</w:t>
      </w:r>
      <w:r>
        <w:t xml:space="preserve"> </w:t>
      </w:r>
      <w:r w:rsidRPr="009D0CCB">
        <w:t>aminated macromolecules. Biotechnol Prog. 2015;31(2):387–95.</w:t>
      </w:r>
    </w:p>
    <w:p w14:paraId="50621D9B" w14:textId="77777777" w:rsidR="00861799" w:rsidRPr="009D0CCB" w:rsidRDefault="00861799" w:rsidP="00861799">
      <w:pPr>
        <w:pStyle w:val="references"/>
        <w:numPr>
          <w:ilvl w:val="0"/>
          <w:numId w:val="0"/>
        </w:numPr>
        <w:ind w:left="360"/>
        <w:rPr>
          <w:color w:val="000000"/>
        </w:rPr>
      </w:pPr>
      <w:r w:rsidRPr="009D0CCB">
        <w:t>https ://doi.org/10.1002/btpr.2044</w:t>
      </w:r>
      <w:r w:rsidRPr="009D0CCB">
        <w:rPr>
          <w:color w:val="000000"/>
        </w:rPr>
        <w:t>.</w:t>
      </w:r>
    </w:p>
    <w:p w14:paraId="00067452" w14:textId="6C7896F7" w:rsidR="00861799" w:rsidRPr="009D0CCB" w:rsidRDefault="00861799" w:rsidP="00861799">
      <w:pPr>
        <w:pStyle w:val="references"/>
      </w:pPr>
      <w:r w:rsidRPr="009D0CCB">
        <w:lastRenderedPageBreak/>
        <w:t>Barbosa O, Ruiz M, Ortiz C, Fernandez M, Torres R, Fernandez-</w:t>
      </w:r>
      <w:r>
        <w:t xml:space="preserve"> </w:t>
      </w:r>
      <w:r w:rsidRPr="009D0CCB">
        <w:t>Lafuente R. Modulation of the properties of immobilized CALB</w:t>
      </w:r>
      <w:r>
        <w:t xml:space="preserve"> </w:t>
      </w:r>
      <w:r w:rsidRPr="009D0CCB">
        <w:t>by chemical modification with 2,3,4-trinitrobenzenesulfonate or</w:t>
      </w:r>
      <w:r>
        <w:t xml:space="preserve"> </w:t>
      </w:r>
      <w:r w:rsidR="00284B1D">
        <w:t>ethylenediamine</w:t>
      </w:r>
      <w:r w:rsidRPr="009D0CCB">
        <w:t>. Advantages of using adsorbed lipases on hydrophobic</w:t>
      </w:r>
      <w:r>
        <w:t xml:space="preserve"> </w:t>
      </w:r>
      <w:r w:rsidRPr="00861799">
        <w:rPr>
          <w:color w:val="000000"/>
        </w:rPr>
        <w:t xml:space="preserve">supports. Process Biochem. 2012;47(5):867–76. </w:t>
      </w:r>
      <w:r w:rsidRPr="009D0CCB">
        <w:t>https ://doi.org/10.1016/j.procb io.2012.02.026</w:t>
      </w:r>
      <w:r w:rsidRPr="00861799">
        <w:rPr>
          <w:color w:val="000000"/>
        </w:rPr>
        <w:t>.</w:t>
      </w:r>
    </w:p>
    <w:p w14:paraId="12A922B1" w14:textId="5CEBBB34" w:rsidR="00861799" w:rsidRPr="009D0CCB" w:rsidRDefault="00861799" w:rsidP="00861799">
      <w:pPr>
        <w:pStyle w:val="references"/>
      </w:pPr>
      <w:r w:rsidRPr="009D0CCB">
        <w:t>Khersonsky O, Lipsh R, Avizemer Z, Ashani Y, Goldsmith M,</w:t>
      </w:r>
      <w:r>
        <w:t xml:space="preserve"> </w:t>
      </w:r>
      <w:r w:rsidRPr="009D0CCB">
        <w:t>Leader H, et al. Automated design of efficient and functionally</w:t>
      </w:r>
    </w:p>
    <w:p w14:paraId="7DA49CEA" w14:textId="77777777" w:rsidR="00861799" w:rsidRPr="009D0CCB" w:rsidRDefault="00861799" w:rsidP="00861799">
      <w:pPr>
        <w:pStyle w:val="references"/>
        <w:numPr>
          <w:ilvl w:val="0"/>
          <w:numId w:val="0"/>
        </w:numPr>
        <w:ind w:left="360"/>
      </w:pPr>
      <w:r w:rsidRPr="009D0CCB">
        <w:t>diverse enzyme repertoires. Mol Cell. 2018;72(1):178–86.e5.</w:t>
      </w:r>
      <w:r w:rsidRPr="009D0CCB">
        <w:rPr>
          <w:color w:val="0000FF"/>
        </w:rPr>
        <w:t>https ://doi.org/10.1016/j.molce l.2018.08.033</w:t>
      </w:r>
      <w:r w:rsidRPr="009D0CCB">
        <w:t>.</w:t>
      </w:r>
    </w:p>
    <w:p w14:paraId="2F24C8D8" w14:textId="7641E6D6" w:rsidR="00861799" w:rsidRPr="009D0CCB" w:rsidRDefault="00861799" w:rsidP="00861799">
      <w:pPr>
        <w:pStyle w:val="references"/>
      </w:pPr>
      <w:r w:rsidRPr="009D0CCB">
        <w:t>Lapidoth G, Khersonsky O, Lipsh R, Dym O, Albeck S, Rogotner</w:t>
      </w:r>
      <w:r>
        <w:t xml:space="preserve"> </w:t>
      </w:r>
      <w:r w:rsidRPr="009D0CCB">
        <w:t>S, et al. Highly active enzymes by automated combinatorial</w:t>
      </w:r>
    </w:p>
    <w:p w14:paraId="3139D645" w14:textId="77777777" w:rsidR="00861799" w:rsidRPr="009D0CCB" w:rsidRDefault="00861799" w:rsidP="0080718E">
      <w:pPr>
        <w:pStyle w:val="references"/>
        <w:numPr>
          <w:ilvl w:val="0"/>
          <w:numId w:val="0"/>
        </w:numPr>
        <w:ind w:left="360"/>
      </w:pPr>
      <w:r w:rsidRPr="009D0CCB">
        <w:t>backbone assembly and sequence design. Nat Commun.</w:t>
      </w:r>
      <w:r>
        <w:t xml:space="preserve"> </w:t>
      </w:r>
      <w:r w:rsidRPr="009D0CCB">
        <w:t xml:space="preserve">2018;9(1):2780. </w:t>
      </w:r>
      <w:r w:rsidRPr="009D0CCB">
        <w:rPr>
          <w:color w:val="0000FF"/>
        </w:rPr>
        <w:t>https ://doi.org/10.1038/s4146 7-018-05205 -5</w:t>
      </w:r>
      <w:r w:rsidRPr="009D0CCB">
        <w:t>.</w:t>
      </w:r>
    </w:p>
    <w:p w14:paraId="12DDD9B4" w14:textId="1AA0F5C8" w:rsidR="00861799" w:rsidRPr="009D0CCB" w:rsidRDefault="00861799" w:rsidP="00861799">
      <w:pPr>
        <w:pStyle w:val="references"/>
      </w:pPr>
      <w:r w:rsidRPr="009D0CCB">
        <w:t>Tagliavia M, Nicosia A. Advanced strategies for food-grade protein</w:t>
      </w:r>
      <w:r>
        <w:t xml:space="preserve"> </w:t>
      </w:r>
      <w:r w:rsidRPr="009D0CCB">
        <w:t xml:space="preserve">production: a new </w:t>
      </w:r>
      <w:r w:rsidRPr="009D0CCB">
        <w:rPr>
          <w:i/>
          <w:iCs/>
        </w:rPr>
        <w:t>E. coli</w:t>
      </w:r>
      <w:r w:rsidRPr="009D0CCB">
        <w:t>/</w:t>
      </w:r>
      <w:r w:rsidRPr="009D0CCB">
        <w:rPr>
          <w:i/>
          <w:iCs/>
        </w:rPr>
        <w:t xml:space="preserve">Lactic Acid Bacteria </w:t>
      </w:r>
      <w:r w:rsidRPr="009D0CCB">
        <w:t>shuttle vector</w:t>
      </w:r>
    </w:p>
    <w:p w14:paraId="63F5908D" w14:textId="77777777" w:rsidR="00861799" w:rsidRPr="009D0CCB" w:rsidRDefault="00861799" w:rsidP="0080718E">
      <w:pPr>
        <w:pStyle w:val="references"/>
        <w:numPr>
          <w:ilvl w:val="0"/>
          <w:numId w:val="0"/>
        </w:numPr>
        <w:ind w:left="360"/>
      </w:pPr>
      <w:r w:rsidRPr="009D0CCB">
        <w:t>for improved cloning and food-grade expression. Microorganisms.</w:t>
      </w:r>
      <w:r>
        <w:t xml:space="preserve"> </w:t>
      </w:r>
      <w:r w:rsidRPr="009D0CCB">
        <w:t xml:space="preserve">2019;7(5):116. </w:t>
      </w:r>
      <w:r w:rsidRPr="009D0CCB">
        <w:rPr>
          <w:color w:val="0000FF"/>
        </w:rPr>
        <w:t>https ://doi.org/10.3390/micro organ isms7 05011 6</w:t>
      </w:r>
      <w:r w:rsidRPr="009D0CCB">
        <w:t>.</w:t>
      </w:r>
    </w:p>
    <w:p w14:paraId="5EB759F9" w14:textId="0198DDD6" w:rsidR="00861799" w:rsidRPr="009D0CCB" w:rsidRDefault="00861799" w:rsidP="00861799">
      <w:pPr>
        <w:pStyle w:val="references"/>
      </w:pPr>
      <w:r w:rsidRPr="009D0CCB">
        <w:t xml:space="preserve">Douglas GL, Goh YJ, Klaenhammer TR. Integrative </w:t>
      </w:r>
      <w:r w:rsidR="00284B1D">
        <w:t>food-grade</w:t>
      </w:r>
      <w:r>
        <w:t xml:space="preserve"> </w:t>
      </w:r>
      <w:r w:rsidRPr="009D0CCB">
        <w:t xml:space="preserve">expression system for </w:t>
      </w:r>
      <w:r w:rsidRPr="009D0CCB">
        <w:rPr>
          <w:i/>
          <w:iCs/>
        </w:rPr>
        <w:t>Lactic acid bacteria</w:t>
      </w:r>
      <w:r w:rsidRPr="009D0CCB">
        <w:t>. Methods Mol Biol</w:t>
      </w:r>
    </w:p>
    <w:p w14:paraId="3B037CC0" w14:textId="77777777" w:rsidR="00861799" w:rsidRPr="009D0CCB" w:rsidRDefault="00861799" w:rsidP="0080718E">
      <w:pPr>
        <w:pStyle w:val="references"/>
        <w:numPr>
          <w:ilvl w:val="0"/>
          <w:numId w:val="0"/>
        </w:numPr>
        <w:ind w:left="360"/>
      </w:pPr>
      <w:r w:rsidRPr="009D0CCB">
        <w:rPr>
          <w:color w:val="000000"/>
        </w:rPr>
        <w:t xml:space="preserve">(Clifton, NJ). 2011;765:373-87. </w:t>
      </w:r>
      <w:r w:rsidRPr="009D0CCB">
        <w:t>https ://doi.org/10.1007/978-1-61779 -197-0_22</w:t>
      </w:r>
      <w:r w:rsidRPr="009D0CCB">
        <w:rPr>
          <w:color w:val="000000"/>
        </w:rPr>
        <w:t>.</w:t>
      </w:r>
    </w:p>
    <w:p w14:paraId="0FD59CAE" w14:textId="603D1381" w:rsidR="00861799" w:rsidRPr="009D0CCB" w:rsidRDefault="00861799" w:rsidP="00861799">
      <w:pPr>
        <w:pStyle w:val="references"/>
      </w:pPr>
      <w:r w:rsidRPr="009D0CCB">
        <w:t>Takeuchi M, Kusumoto KI, Furukawa I, Matsushita-Morita</w:t>
      </w:r>
      <w:r>
        <w:t xml:space="preserve"> </w:t>
      </w:r>
      <w:r w:rsidRPr="009D0CCB">
        <w:t>M, Kashiwagi Y, Koide Y, et al. Characterization of recombinant</w:t>
      </w:r>
    </w:p>
    <w:p w14:paraId="10E88B44" w14:textId="77777777" w:rsidR="00861799" w:rsidRPr="009D0CCB" w:rsidRDefault="00861799" w:rsidP="0080718E">
      <w:pPr>
        <w:pStyle w:val="references"/>
        <w:numPr>
          <w:ilvl w:val="0"/>
          <w:numId w:val="0"/>
        </w:numPr>
        <w:ind w:left="360"/>
      </w:pPr>
      <w:r w:rsidRPr="009D0CCB">
        <w:t xml:space="preserve">prolyl aminopeptidase from </w:t>
      </w:r>
      <w:r w:rsidRPr="009D0CCB">
        <w:rPr>
          <w:i/>
          <w:iCs/>
        </w:rPr>
        <w:t>Aspergillus oryzae</w:t>
      </w:r>
      <w:r w:rsidRPr="009D0CCB">
        <w:t>. J</w:t>
      </w:r>
      <w:r>
        <w:t xml:space="preserve"> </w:t>
      </w:r>
      <w:r w:rsidRPr="009D0CCB">
        <w:t xml:space="preserve">Appl Microbiol. 2010;109(1):156–65. </w:t>
      </w:r>
      <w:r w:rsidRPr="009D0CCB">
        <w:rPr>
          <w:color w:val="0000FF"/>
        </w:rPr>
        <w:t>https ://doi.org/10.111</w:t>
      </w:r>
    </w:p>
    <w:p w14:paraId="15CC1EE2" w14:textId="118C9A6A" w:rsidR="0080718E" w:rsidRPr="009D0CCB" w:rsidRDefault="00861799" w:rsidP="00337FD1">
      <w:pPr>
        <w:pStyle w:val="references"/>
        <w:numPr>
          <w:ilvl w:val="0"/>
          <w:numId w:val="0"/>
        </w:numPr>
        <w:ind w:left="360"/>
      </w:pPr>
      <w:r w:rsidRPr="009D0CCB">
        <w:t>1/j.1365-2672.2009.04641 .x</w:t>
      </w:r>
    </w:p>
    <w:p w14:paraId="7F98ACE5" w14:textId="5BC7A826" w:rsidR="00337FD1" w:rsidRPr="005E4830" w:rsidRDefault="00337FD1" w:rsidP="00337FD1">
      <w:pPr>
        <w:pStyle w:val="references"/>
      </w:pPr>
      <w:r w:rsidRPr="005E4830">
        <w:t>Guangdong Z, Zhengpeng W, Jiancong H, Shanggui D. Studies</w:t>
      </w:r>
      <w:r>
        <w:t xml:space="preserve"> </w:t>
      </w:r>
      <w:r w:rsidRPr="005E4830">
        <w:t>on enzymatic tenderizing technology of cucumaria japonica from</w:t>
      </w:r>
    </w:p>
    <w:p w14:paraId="1F2DCB39" w14:textId="77777777" w:rsidR="00337FD1" w:rsidRPr="005E4830" w:rsidRDefault="00337FD1" w:rsidP="00337FD1">
      <w:pPr>
        <w:pStyle w:val="references"/>
        <w:numPr>
          <w:ilvl w:val="0"/>
          <w:numId w:val="0"/>
        </w:numPr>
        <w:ind w:left="360"/>
      </w:pPr>
      <w:r w:rsidRPr="005E4830">
        <w:t>zhoushan sea area. J Chin Inst Food Sci Technol. 2020;20(1):183–</w:t>
      </w:r>
      <w:r w:rsidRPr="005E4830">
        <w:rPr>
          <w:color w:val="0000FF"/>
        </w:rPr>
        <w:t>https ://doi.org/10.16429 /j.1009-7848.2018.05.019</w:t>
      </w:r>
      <w:r w:rsidRPr="005E4830">
        <w:t>.</w:t>
      </w:r>
    </w:p>
    <w:p w14:paraId="3ADA1144" w14:textId="18621FC8" w:rsidR="00337FD1" w:rsidRPr="005E4830" w:rsidRDefault="00337FD1" w:rsidP="00337FD1">
      <w:pPr>
        <w:pStyle w:val="references"/>
      </w:pPr>
      <w:r w:rsidRPr="005E4830">
        <w:t>Yi L, Feng Y, Guo-dong L, Tao J, Shao-ming D, Yin-bo Q, et al.</w:t>
      </w:r>
      <w:r>
        <w:t xml:space="preserve"> </w:t>
      </w:r>
      <w:r w:rsidRPr="005E4830">
        <w:t>Application of new compound enzyme preparation in corn starch</w:t>
      </w:r>
    </w:p>
    <w:p w14:paraId="5AD52316" w14:textId="77777777" w:rsidR="00337FD1" w:rsidRPr="005E4830" w:rsidRDefault="00337FD1" w:rsidP="00337FD1">
      <w:pPr>
        <w:pStyle w:val="references"/>
        <w:numPr>
          <w:ilvl w:val="0"/>
          <w:numId w:val="0"/>
        </w:numPr>
        <w:ind w:left="360"/>
      </w:pPr>
      <w:r w:rsidRPr="005E4830">
        <w:rPr>
          <w:color w:val="000000"/>
        </w:rPr>
        <w:t xml:space="preserve">processing. Contemp Chem Ind. 2019;48(8):1791–6. </w:t>
      </w:r>
      <w:r w:rsidRPr="005E4830">
        <w:t>https ://doi.org/10.3969/j.issn.1671-0460.2019.08.040</w:t>
      </w:r>
      <w:r w:rsidRPr="005E4830">
        <w:rPr>
          <w:color w:val="000000"/>
        </w:rPr>
        <w:t>.</w:t>
      </w:r>
    </w:p>
    <w:p w14:paraId="1FDCDBDD" w14:textId="208897B7" w:rsidR="00337FD1" w:rsidRPr="005E4830" w:rsidRDefault="00337FD1" w:rsidP="00337FD1">
      <w:pPr>
        <w:pStyle w:val="references"/>
      </w:pPr>
      <w:r w:rsidRPr="005E4830">
        <w:t>Champreda V, Laothanachareon T, Inoue H, Kraithong W, Chotirotsukon</w:t>
      </w:r>
      <w:r>
        <w:t xml:space="preserve"> </w:t>
      </w:r>
      <w:r w:rsidRPr="005E4830">
        <w:t>C, Techanan W, et al. Development of tailor-made synergistic</w:t>
      </w:r>
      <w:r>
        <w:t xml:space="preserve"> </w:t>
      </w:r>
      <w:r w:rsidRPr="005E4830">
        <w:t xml:space="preserve">cellulolytic enzyme system for saccharification of </w:t>
      </w:r>
      <w:r w:rsidR="00284B1D">
        <w:t>steam-exploded</w:t>
      </w:r>
      <w:r w:rsidRPr="005E4830">
        <w:t xml:space="preserve"> sugarcane bagasse. J Biosci Bioeng. 2018;125(4):390–6.</w:t>
      </w:r>
      <w:r>
        <w:t xml:space="preserve"> </w:t>
      </w:r>
      <w:r w:rsidRPr="00337FD1">
        <w:rPr>
          <w:color w:val="0000FF"/>
        </w:rPr>
        <w:t>https ://doi.org/10.1016/j.jbios c.2017.11.001</w:t>
      </w:r>
      <w:r w:rsidRPr="005E4830">
        <w:t>.</w:t>
      </w:r>
    </w:p>
    <w:p w14:paraId="76EB61F5" w14:textId="0546E0D5" w:rsidR="00337FD1" w:rsidRPr="005E4830" w:rsidRDefault="00337FD1" w:rsidP="00337FD1">
      <w:pPr>
        <w:pStyle w:val="references"/>
      </w:pPr>
      <w:r w:rsidRPr="005E4830">
        <w:t>Meng S, Tan Y, Chang S, Li J, Maleki S, Puppala N. Peanut allergen</w:t>
      </w:r>
      <w:r>
        <w:t xml:space="preserve"> </w:t>
      </w:r>
      <w:r w:rsidRPr="005E4830">
        <w:t>reduction and functional property improvement by means</w:t>
      </w:r>
    </w:p>
    <w:p w14:paraId="3F19E871" w14:textId="77777777" w:rsidR="00337FD1" w:rsidRPr="005E4830" w:rsidRDefault="00337FD1" w:rsidP="00337FD1">
      <w:pPr>
        <w:pStyle w:val="references"/>
        <w:numPr>
          <w:ilvl w:val="0"/>
          <w:numId w:val="0"/>
        </w:numPr>
        <w:ind w:left="360"/>
      </w:pPr>
      <w:r w:rsidRPr="005E4830">
        <w:t>of enzymatic hydrolysis and transglutaminase crosslinking.</w:t>
      </w:r>
      <w:r>
        <w:t xml:space="preserve"> </w:t>
      </w:r>
      <w:r w:rsidRPr="005E4830">
        <w:t xml:space="preserve">Food Chem. 2020;302:125186. </w:t>
      </w:r>
      <w:r w:rsidRPr="005E4830">
        <w:rPr>
          <w:color w:val="0000FF"/>
        </w:rPr>
        <w:t>https ://doi.org/10.1016/j.foodc</w:t>
      </w:r>
    </w:p>
    <w:p w14:paraId="5FF71B61" w14:textId="13DF4AA9" w:rsidR="00337FD1" w:rsidRDefault="00337FD1" w:rsidP="00337FD1">
      <w:pPr>
        <w:pStyle w:val="references"/>
        <w:numPr>
          <w:ilvl w:val="0"/>
          <w:numId w:val="0"/>
        </w:numPr>
        <w:ind w:left="360"/>
        <w:rPr>
          <w:color w:val="000000"/>
        </w:rPr>
      </w:pPr>
      <w:r w:rsidRPr="005E4830">
        <w:t>hem.2019.12518 6</w:t>
      </w:r>
      <w:r w:rsidRPr="005E4830">
        <w:rPr>
          <w:color w:val="000000"/>
        </w:rPr>
        <w:t>.</w:t>
      </w:r>
    </w:p>
    <w:p w14:paraId="3F459B77" w14:textId="163D1684" w:rsidR="00447B44" w:rsidRDefault="00447B44" w:rsidP="00447B44">
      <w:pPr>
        <w:pStyle w:val="references"/>
      </w:pPr>
      <w:r>
        <w:t>Meng F, Chen R, Zhu X, Lu Y, Nie T, Lu F, et al. Newly effective milk-clotting enzyme from bacillus subtilis and its application in cheese making. J Agric Food Chem. 2018;66(24):6162–9. https ://doi.org/10.1021/acs.jafc.8b016 97.</w:t>
      </w:r>
    </w:p>
    <w:p w14:paraId="274C4F57" w14:textId="3B50E069" w:rsidR="00447B44" w:rsidRDefault="00447B44" w:rsidP="00447B44">
      <w:pPr>
        <w:pStyle w:val="references"/>
      </w:pPr>
      <w:r>
        <w:t>Moghadam M, Salami M, Mohammadian M, Emam-Djomeh Z, Jahanbani R, Moosavi-Movahedi AA. Physicochemical and biofunctional properties of walnut proteins as affected by trypsinmediated hydrolysis. Food Biosci. 2020;36:100611. https ://doi.org/10.1016/j.fbio.2020.10061 1.</w:t>
      </w:r>
    </w:p>
    <w:p w14:paraId="6B499E0B" w14:textId="4678A2AC" w:rsidR="00447B44" w:rsidRDefault="00447B44" w:rsidP="00447B44">
      <w:pPr>
        <w:pStyle w:val="references"/>
      </w:pPr>
      <w:r>
        <w:t>Ahmed A, Sohail M. Characterization of pectinase from Geotrichum candidum AA15 and its potential application in orange juice</w:t>
      </w:r>
    </w:p>
    <w:p w14:paraId="12E2C4B2" w14:textId="70520F36" w:rsidR="00447B44" w:rsidRDefault="00447B44" w:rsidP="00447B44">
      <w:pPr>
        <w:pStyle w:val="references"/>
        <w:numPr>
          <w:ilvl w:val="0"/>
          <w:numId w:val="0"/>
        </w:numPr>
        <w:ind w:left="360"/>
      </w:pPr>
      <w:r>
        <w:t>clarification. J King Saud Univ Sci. 2020;32(1):955–61. https ://doi.org/10.1016/j.jksus .2019.07.002.</w:t>
      </w:r>
    </w:p>
    <w:p w14:paraId="4D629A9A" w14:textId="4E40B194" w:rsidR="00447B44" w:rsidRDefault="00447B44" w:rsidP="00447B44">
      <w:pPr>
        <w:pStyle w:val="references"/>
      </w:pPr>
      <w:r>
        <w:t>68. Sun Q, Chen F, Geng F, Luo Y, Gong S, Jiang Z. A novel aspartic protease from Rhizomucor miehei expressed in Pichia pastoris</w:t>
      </w:r>
    </w:p>
    <w:p w14:paraId="43855108" w14:textId="4D9AB295" w:rsidR="00447B44" w:rsidRDefault="00447B44" w:rsidP="00447B44">
      <w:pPr>
        <w:pStyle w:val="references"/>
        <w:numPr>
          <w:ilvl w:val="0"/>
          <w:numId w:val="0"/>
        </w:numPr>
        <w:ind w:left="360"/>
      </w:pPr>
      <w:r>
        <w:t>and its application on meat tenderization and preparation of turtle peptides. Food Chem. 2018;245:570–7. https ://doi.org/10.1016/j.</w:t>
      </w:r>
    </w:p>
    <w:p w14:paraId="6C828163" w14:textId="77777777" w:rsidR="00447B44" w:rsidRDefault="00447B44" w:rsidP="00447B44">
      <w:pPr>
        <w:pStyle w:val="references"/>
        <w:numPr>
          <w:ilvl w:val="0"/>
          <w:numId w:val="0"/>
        </w:numPr>
        <w:ind w:left="360"/>
      </w:pPr>
      <w:r>
        <w:t>foodc hem.2017.10.113.</w:t>
      </w:r>
    </w:p>
    <w:p w14:paraId="1887099A" w14:textId="74FC2B98" w:rsidR="00447B44" w:rsidRDefault="00447B44" w:rsidP="00447B44">
      <w:pPr>
        <w:pStyle w:val="references"/>
      </w:pPr>
      <w:r>
        <w:t>Bernal C, Guzman F, Illanes A, Wilson L. Selective and ecofriendly synthesis of lipoaminoacid-based surfactants for food, using immobilized lipase and protease biocatalysts. Food Chem. 2018;239:189–95. https ://doi.org/10.1016/j.foodchem.2017.06.105.</w:t>
      </w:r>
    </w:p>
    <w:p w14:paraId="0E7531C1" w14:textId="530C3F02" w:rsidR="00447B44" w:rsidRDefault="00447B44" w:rsidP="00447B44">
      <w:pPr>
        <w:pStyle w:val="references"/>
      </w:pPr>
      <w:r>
        <w:t>Jhuang J-R, Lou S-N, Lin S-B, Chen SH, Chen L-C, Chen H-H. Immobilizing laccase on electrospun chitosan fiber to prepare time-temperature indicator for food quality monitoring. Innov Food Sci Emerg Technol. 2020;63:102370. https ://doi.org/10.1016/j.ifset .2020.10237 0.</w:t>
      </w:r>
    </w:p>
    <w:p w14:paraId="6E5C3898" w14:textId="2A57496B" w:rsidR="00447B44" w:rsidRDefault="00447B44" w:rsidP="00447B44">
      <w:pPr>
        <w:pStyle w:val="references"/>
      </w:pPr>
      <w:r>
        <w:t>Prado TMd, Foguel MV, Gonçalves LM, Sotomayor MdPT. β-Lactamase-based biosensor for the electrochemical determination of benzylpenicillin in milk. Sensors Actuators B Chem. 2015;210:254–8. https ://doi.org/10.1016/j.snb.2014.12.108.</w:t>
      </w:r>
    </w:p>
    <w:p w14:paraId="3A88E178" w14:textId="3C636970" w:rsidR="00447B44" w:rsidRDefault="00447B44" w:rsidP="00A77C0F">
      <w:pPr>
        <w:pStyle w:val="references"/>
      </w:pPr>
      <w:r>
        <w:t>Zhang R, Gao S-J, Zhu C-Y, Sun Y, Liu X-L, Zhao M-M, et al.</w:t>
      </w:r>
      <w:r w:rsidR="00A77C0F">
        <w:t xml:space="preserve"> </w:t>
      </w:r>
      <w:r>
        <w:t>Characterization of a novel alkaline Arxula adeninivorans urate</w:t>
      </w:r>
      <w:r w:rsidR="00A77C0F">
        <w:t xml:space="preserve"> </w:t>
      </w:r>
      <w:r>
        <w:t>oxidase expressed in Escherichia coli and its application in reducing</w:t>
      </w:r>
      <w:r w:rsidR="00A77C0F">
        <w:t xml:space="preserve"> </w:t>
      </w:r>
      <w:r>
        <w:t>uric acid content of food. Food Chem. 2019;293:254–62. https://doi.org/10.1016/j.foodc hem.2019.04.112.</w:t>
      </w:r>
    </w:p>
    <w:p w14:paraId="6D16EBE3" w14:textId="1806566F" w:rsidR="00447B44" w:rsidRDefault="00447B44" w:rsidP="00A77C0F">
      <w:pPr>
        <w:pStyle w:val="references"/>
      </w:pPr>
      <w:r>
        <w:t>Lan W, Chen G, Cui F, Tan F, Liu R, Yushupujiang M. Development</w:t>
      </w:r>
      <w:r w:rsidR="00A77C0F">
        <w:t xml:space="preserve"> </w:t>
      </w:r>
      <w:r>
        <w:t>of a novel optical biosensor for detection of organophoshorus</w:t>
      </w:r>
    </w:p>
    <w:p w14:paraId="3DAD2BD9" w14:textId="4CB35368" w:rsidR="00447B44" w:rsidRDefault="00447B44" w:rsidP="00A77C0F">
      <w:pPr>
        <w:pStyle w:val="references"/>
        <w:numPr>
          <w:ilvl w:val="0"/>
          <w:numId w:val="0"/>
        </w:numPr>
        <w:ind w:left="360"/>
      </w:pPr>
      <w:r>
        <w:t>pesticides based on methyl parathion hydrolase immobilized</w:t>
      </w:r>
      <w:r w:rsidR="00A77C0F">
        <w:t xml:space="preserve"> </w:t>
      </w:r>
      <w:r>
        <w:t>by metal-chelate affinity. Sensors. 2012;12(7):8477–90. https ://doi.org/10.3390/s1207 08477 .</w:t>
      </w:r>
    </w:p>
    <w:p w14:paraId="4FEB4F96" w14:textId="02C19179" w:rsidR="00447B44" w:rsidRDefault="00447B44" w:rsidP="00A77C0F">
      <w:pPr>
        <w:pStyle w:val="references"/>
      </w:pPr>
      <w:r>
        <w:t>Araya E, Urrutia P, Romero O, Illanes A, Wilson L. Design of</w:t>
      </w:r>
      <w:r w:rsidR="00A77C0F">
        <w:t xml:space="preserve"> </w:t>
      </w:r>
      <w:r>
        <w:t>combined crosslinked enzyme aggregates (combi-CLEAs) of</w:t>
      </w:r>
      <w:r w:rsidR="00A77C0F">
        <w:t xml:space="preserve"> </w:t>
      </w:r>
      <w:r>
        <w:t>β-galactosidase and glucose isomerase for the one-pot production</w:t>
      </w:r>
      <w:r w:rsidR="00A77C0F">
        <w:t xml:space="preserve"> </w:t>
      </w:r>
      <w:r>
        <w:t>of fructose syrup from lactose. Food Chem. 2019;288:102–7.</w:t>
      </w:r>
      <w:r w:rsidR="00A77C0F">
        <w:t xml:space="preserve"> </w:t>
      </w:r>
      <w:r>
        <w:t>https ://doi.org/10.1016/j.foodc hem.2019.02.024.</w:t>
      </w:r>
    </w:p>
    <w:p w14:paraId="71C0D2D2" w14:textId="7FE58C1E" w:rsidR="00447B44" w:rsidRDefault="00447B44" w:rsidP="00064751">
      <w:pPr>
        <w:pStyle w:val="references"/>
      </w:pPr>
      <w:r>
        <w:t>Huang Y-y, Yu J-j, Zhou Q-y, Sun L-n, Liu D-m, Liang M-h.</w:t>
      </w:r>
      <w:r w:rsidR="00064751">
        <w:t xml:space="preserve"> </w:t>
      </w:r>
      <w:r>
        <w:t>Preparation of yogurt-flavored bases by mixed lactic acid bacteria</w:t>
      </w:r>
      <w:r w:rsidR="00064751">
        <w:t xml:space="preserve"> </w:t>
      </w:r>
      <w:r>
        <w:t>with the addition of lipase. LWT. 2020;131:109577. https ://doi.org/10.1016/j.lwt.2020.10957 7.</w:t>
      </w:r>
    </w:p>
    <w:p w14:paraId="4AED108B" w14:textId="49D480DF" w:rsidR="00447B44" w:rsidRDefault="00447B44" w:rsidP="00064751">
      <w:pPr>
        <w:pStyle w:val="references"/>
      </w:pPr>
      <w:r>
        <w:t>Zhang H, Wang R, Chen Z, Zhong Q. Enzymatically modified</w:t>
      </w:r>
      <w:r w:rsidR="00064751">
        <w:t xml:space="preserve"> </w:t>
      </w:r>
      <w:r>
        <w:t>starch with low digestibility produced from amylopectin</w:t>
      </w:r>
      <w:r w:rsidR="00064751">
        <w:t xml:space="preserve"> </w:t>
      </w:r>
      <w:r>
        <w:t>by sequential amylosucrase and pullulanase treatments. Food</w:t>
      </w:r>
      <w:r w:rsidR="00064751">
        <w:t xml:space="preserve"> </w:t>
      </w:r>
      <w:r>
        <w:t>Hydrocoll. 2019;95:195–202. https ://doi.org/10.1016/j.foodhyd.2019.04.036.</w:t>
      </w:r>
    </w:p>
    <w:p w14:paraId="444CD7F6" w14:textId="4F8A8262" w:rsidR="00447B44" w:rsidRDefault="00447B44" w:rsidP="00064751">
      <w:pPr>
        <w:pStyle w:val="references"/>
      </w:pPr>
      <w:r>
        <w:t>Wolf M, Belfiore LA, Tambourgi EB, Paulino AT. Production</w:t>
      </w:r>
      <w:r w:rsidR="00064751">
        <w:t xml:space="preserve"> </w:t>
      </w:r>
      <w:r>
        <w:t>of low-dosage lactose milk using lactase immobilised in hydrogel.</w:t>
      </w:r>
      <w:r w:rsidR="00064751">
        <w:t xml:space="preserve"> </w:t>
      </w:r>
      <w:r>
        <w:t>Int Dairy J. 2019;92:77–83. https ://doi.org/10.1016/j.idairyj.2018.12.004.</w:t>
      </w:r>
    </w:p>
    <w:p w14:paraId="22EABB15" w14:textId="0D1A6D62" w:rsidR="00447B44" w:rsidRDefault="00447B44" w:rsidP="00064751">
      <w:pPr>
        <w:pStyle w:val="references"/>
      </w:pPr>
      <w:r>
        <w:t>De Gobba C, Tompa G, Otte J. Bioactive peptides from caseinsreleased by cold active proteolytic enzymes from Arsukibacterium</w:t>
      </w:r>
    </w:p>
    <w:p w14:paraId="1B0ACF0B" w14:textId="2377823E" w:rsidR="001E3E6E" w:rsidRPr="005E4830" w:rsidRDefault="00447B44" w:rsidP="00064751">
      <w:pPr>
        <w:pStyle w:val="references"/>
        <w:numPr>
          <w:ilvl w:val="0"/>
          <w:numId w:val="0"/>
        </w:numPr>
        <w:ind w:left="360"/>
      </w:pPr>
      <w:r>
        <w:t>ikkense. Food Chem. 2014;165:205–15. https ://doi.org/10.1016/j.foodc hem.2014.05.082.</w:t>
      </w:r>
    </w:p>
    <w:p w14:paraId="5BF91814" w14:textId="4E262257" w:rsidR="00756E15" w:rsidRDefault="00756E15" w:rsidP="00756E15">
      <w:pPr>
        <w:pStyle w:val="references"/>
        <w:numPr>
          <w:ilvl w:val="0"/>
          <w:numId w:val="0"/>
        </w:numPr>
        <w:spacing w:after="0" w:line="240" w:lineRule="auto"/>
        <w:rPr>
          <w:rFonts w:eastAsia="MS Mincho"/>
        </w:rPr>
      </w:pPr>
      <w:r>
        <w:rPr>
          <w:rFonts w:eastAsia="MS Mincho"/>
        </w:rPr>
        <w:t>[</w:t>
      </w:r>
      <w:r w:rsidR="001E3E6E">
        <w:rPr>
          <w:rFonts w:eastAsia="MS Mincho"/>
        </w:rPr>
        <w:t>79</w:t>
      </w:r>
      <w:r>
        <w:rPr>
          <w:rFonts w:eastAsia="MS Mincho"/>
        </w:rPr>
        <w:t>]  Pang, Cu</w:t>
      </w:r>
      <w:r w:rsidR="00320BEC">
        <w:rPr>
          <w:rFonts w:eastAsia="MS Mincho"/>
        </w:rPr>
        <w:t xml:space="preserve">iping, Xinxin Yin, Guoqiang Zhang, Song Liu, Jingwen Zhou, Jianghua Li, and Guocheng Du “Current Progress and     </w:t>
      </w:r>
    </w:p>
    <w:p w14:paraId="19D78B11" w14:textId="77777777" w:rsidR="00320BEC" w:rsidRDefault="00320BEC" w:rsidP="00320BEC">
      <w:pPr>
        <w:pStyle w:val="references"/>
        <w:numPr>
          <w:ilvl w:val="0"/>
          <w:numId w:val="0"/>
        </w:numPr>
        <w:spacing w:after="0" w:line="240" w:lineRule="auto"/>
        <w:rPr>
          <w:rFonts w:eastAsia="MS Mincho"/>
        </w:rPr>
      </w:pPr>
      <w:r>
        <w:rPr>
          <w:rFonts w:eastAsia="MS Mincho"/>
        </w:rPr>
        <w:t xml:space="preserve">         Prospects of  </w:t>
      </w:r>
      <w:r w:rsidRPr="00463FEE">
        <w:rPr>
          <w:rFonts w:eastAsia="MS Mincho"/>
        </w:rPr>
        <w:t>enzyme technologies in future foods.</w:t>
      </w:r>
      <w:r>
        <w:rPr>
          <w:rFonts w:eastAsia="MS Mincho"/>
        </w:rPr>
        <w:t>”</w:t>
      </w:r>
      <w:r w:rsidRPr="00463FEE">
        <w:rPr>
          <w:rFonts w:eastAsia="MS Mincho"/>
        </w:rPr>
        <w:t xml:space="preserve"> Systems Microbiology and Biomanufacturing 1 (2021): 24-32.</w:t>
      </w:r>
    </w:p>
    <w:p w14:paraId="7FDB19C6" w14:textId="7CFEDC2B" w:rsidR="00320BEC" w:rsidRDefault="00320BEC" w:rsidP="00756E15">
      <w:pPr>
        <w:pStyle w:val="references"/>
        <w:numPr>
          <w:ilvl w:val="0"/>
          <w:numId w:val="0"/>
        </w:numPr>
        <w:spacing w:after="0" w:line="240" w:lineRule="auto"/>
        <w:rPr>
          <w:rFonts w:eastAsia="MS Mincho"/>
        </w:rPr>
      </w:pPr>
    </w:p>
    <w:p w14:paraId="2039383C"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DC293" w14:textId="77777777" w:rsidR="00F503A5" w:rsidRDefault="00F503A5" w:rsidP="001E64C4">
      <w:r>
        <w:separator/>
      </w:r>
    </w:p>
  </w:endnote>
  <w:endnote w:type="continuationSeparator" w:id="0">
    <w:p w14:paraId="397BA996" w14:textId="77777777" w:rsidR="00F503A5" w:rsidRDefault="00F503A5"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Pro-BoldSemiC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BA3A" w14:textId="77777777" w:rsidR="001E64C4" w:rsidRPr="00012DED" w:rsidRDefault="005974A7" w:rsidP="00012DED">
    <w:pPr>
      <w:pStyle w:val="Footer"/>
      <w:rPr>
        <w:szCs w:val="24"/>
      </w:rPr>
    </w:pPr>
    <w:r w:rsidRPr="00012DED">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EBFE" w14:textId="77777777" w:rsidR="00EB0073" w:rsidRPr="00012DED" w:rsidRDefault="00EB0073"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9A11" w14:textId="77777777" w:rsidR="00F503A5" w:rsidRDefault="00F503A5" w:rsidP="001E64C4">
      <w:r>
        <w:separator/>
      </w:r>
    </w:p>
  </w:footnote>
  <w:footnote w:type="continuationSeparator" w:id="0">
    <w:p w14:paraId="6D633FB8" w14:textId="77777777" w:rsidR="00F503A5" w:rsidRDefault="00F503A5"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F8B3" w14:textId="77777777" w:rsidR="00430355" w:rsidRPr="00012DED" w:rsidRDefault="00430355" w:rsidP="00012DE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AD1C" w14:textId="77777777" w:rsidR="00EB0073" w:rsidRPr="00012DED" w:rsidRDefault="00EB0073"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804658144">
    <w:abstractNumId w:val="3"/>
  </w:num>
  <w:num w:numId="2" w16cid:durableId="1962570460">
    <w:abstractNumId w:val="7"/>
  </w:num>
  <w:num w:numId="3" w16cid:durableId="161900873">
    <w:abstractNumId w:val="2"/>
  </w:num>
  <w:num w:numId="4" w16cid:durableId="888809214">
    <w:abstractNumId w:val="5"/>
  </w:num>
  <w:num w:numId="5" w16cid:durableId="1907257466">
    <w:abstractNumId w:val="5"/>
  </w:num>
  <w:num w:numId="6" w16cid:durableId="2043894473">
    <w:abstractNumId w:val="5"/>
  </w:num>
  <w:num w:numId="7" w16cid:durableId="1434284404">
    <w:abstractNumId w:val="5"/>
  </w:num>
  <w:num w:numId="8" w16cid:durableId="1441804292">
    <w:abstractNumId w:val="6"/>
  </w:num>
  <w:num w:numId="9" w16cid:durableId="1406487444">
    <w:abstractNumId w:val="8"/>
  </w:num>
  <w:num w:numId="10" w16cid:durableId="1215772664">
    <w:abstractNumId w:val="4"/>
  </w:num>
  <w:num w:numId="11" w16cid:durableId="1831754976">
    <w:abstractNumId w:val="1"/>
  </w:num>
  <w:num w:numId="12" w16cid:durableId="1894346033">
    <w:abstractNumId w:val="9"/>
  </w:num>
  <w:num w:numId="13" w16cid:durableId="199706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14FF2"/>
    <w:rsid w:val="00036715"/>
    <w:rsid w:val="0004390D"/>
    <w:rsid w:val="00064751"/>
    <w:rsid w:val="00070FAB"/>
    <w:rsid w:val="000B4641"/>
    <w:rsid w:val="000B5B2F"/>
    <w:rsid w:val="000D5355"/>
    <w:rsid w:val="000D5F84"/>
    <w:rsid w:val="000F456A"/>
    <w:rsid w:val="0010711E"/>
    <w:rsid w:val="00125E34"/>
    <w:rsid w:val="00127EDD"/>
    <w:rsid w:val="0018330F"/>
    <w:rsid w:val="001906F4"/>
    <w:rsid w:val="001B221B"/>
    <w:rsid w:val="001C0DCD"/>
    <w:rsid w:val="001D17AB"/>
    <w:rsid w:val="001D2353"/>
    <w:rsid w:val="001D4508"/>
    <w:rsid w:val="001E3E6E"/>
    <w:rsid w:val="001E48C1"/>
    <w:rsid w:val="001E64C4"/>
    <w:rsid w:val="001F3597"/>
    <w:rsid w:val="002102E4"/>
    <w:rsid w:val="002165A6"/>
    <w:rsid w:val="00226C2C"/>
    <w:rsid w:val="00237505"/>
    <w:rsid w:val="00240391"/>
    <w:rsid w:val="00243A5F"/>
    <w:rsid w:val="00260730"/>
    <w:rsid w:val="00276735"/>
    <w:rsid w:val="00280068"/>
    <w:rsid w:val="00284B1D"/>
    <w:rsid w:val="00284C20"/>
    <w:rsid w:val="002864A3"/>
    <w:rsid w:val="00292EF9"/>
    <w:rsid w:val="00296792"/>
    <w:rsid w:val="00296F4C"/>
    <w:rsid w:val="002B3B81"/>
    <w:rsid w:val="002B5B4B"/>
    <w:rsid w:val="002C1EB7"/>
    <w:rsid w:val="002D49CD"/>
    <w:rsid w:val="002E1666"/>
    <w:rsid w:val="002E17E9"/>
    <w:rsid w:val="002F0CE7"/>
    <w:rsid w:val="002F5BB7"/>
    <w:rsid w:val="002F7D1C"/>
    <w:rsid w:val="00315FFD"/>
    <w:rsid w:val="00320BEC"/>
    <w:rsid w:val="00322D1E"/>
    <w:rsid w:val="00326BEB"/>
    <w:rsid w:val="00337FD1"/>
    <w:rsid w:val="00386460"/>
    <w:rsid w:val="00390F41"/>
    <w:rsid w:val="003A47B5"/>
    <w:rsid w:val="003A59A6"/>
    <w:rsid w:val="003C43DC"/>
    <w:rsid w:val="00402841"/>
    <w:rsid w:val="00402C25"/>
    <w:rsid w:val="004030A1"/>
    <w:rsid w:val="004059FE"/>
    <w:rsid w:val="004171C7"/>
    <w:rsid w:val="00430355"/>
    <w:rsid w:val="004445B3"/>
    <w:rsid w:val="00447B44"/>
    <w:rsid w:val="004562BA"/>
    <w:rsid w:val="0046220E"/>
    <w:rsid w:val="00463FEE"/>
    <w:rsid w:val="00466548"/>
    <w:rsid w:val="00467F3E"/>
    <w:rsid w:val="0049054B"/>
    <w:rsid w:val="004958AD"/>
    <w:rsid w:val="004C04C8"/>
    <w:rsid w:val="004C3DF5"/>
    <w:rsid w:val="004E0B04"/>
    <w:rsid w:val="004E7372"/>
    <w:rsid w:val="005028DA"/>
    <w:rsid w:val="00506E6D"/>
    <w:rsid w:val="00520240"/>
    <w:rsid w:val="00525FAE"/>
    <w:rsid w:val="00530820"/>
    <w:rsid w:val="00543851"/>
    <w:rsid w:val="00552F05"/>
    <w:rsid w:val="00572FF3"/>
    <w:rsid w:val="005818F8"/>
    <w:rsid w:val="005957E3"/>
    <w:rsid w:val="005974A7"/>
    <w:rsid w:val="005B520E"/>
    <w:rsid w:val="005B535B"/>
    <w:rsid w:val="005C1954"/>
    <w:rsid w:val="005D3C61"/>
    <w:rsid w:val="005D6F62"/>
    <w:rsid w:val="005F10BD"/>
    <w:rsid w:val="005F3022"/>
    <w:rsid w:val="00606992"/>
    <w:rsid w:val="006108A4"/>
    <w:rsid w:val="006116A9"/>
    <w:rsid w:val="006122E9"/>
    <w:rsid w:val="00655A28"/>
    <w:rsid w:val="0067551B"/>
    <w:rsid w:val="006870B7"/>
    <w:rsid w:val="0069740E"/>
    <w:rsid w:val="006B577B"/>
    <w:rsid w:val="006C4648"/>
    <w:rsid w:val="006D6521"/>
    <w:rsid w:val="0070334B"/>
    <w:rsid w:val="0070360D"/>
    <w:rsid w:val="00705409"/>
    <w:rsid w:val="007110C2"/>
    <w:rsid w:val="0072064C"/>
    <w:rsid w:val="0072265C"/>
    <w:rsid w:val="007442B3"/>
    <w:rsid w:val="007467D9"/>
    <w:rsid w:val="00753F7B"/>
    <w:rsid w:val="00756E15"/>
    <w:rsid w:val="0076068C"/>
    <w:rsid w:val="007633D0"/>
    <w:rsid w:val="00765FE2"/>
    <w:rsid w:val="00767BF4"/>
    <w:rsid w:val="007861EE"/>
    <w:rsid w:val="00787C5A"/>
    <w:rsid w:val="00790C81"/>
    <w:rsid w:val="007919DE"/>
    <w:rsid w:val="00793F81"/>
    <w:rsid w:val="00794DEE"/>
    <w:rsid w:val="007B79BD"/>
    <w:rsid w:val="007C0308"/>
    <w:rsid w:val="007F00F0"/>
    <w:rsid w:val="008014D2"/>
    <w:rsid w:val="008054BC"/>
    <w:rsid w:val="0080718E"/>
    <w:rsid w:val="00823839"/>
    <w:rsid w:val="008316EC"/>
    <w:rsid w:val="0085548B"/>
    <w:rsid w:val="008577FE"/>
    <w:rsid w:val="008609CA"/>
    <w:rsid w:val="00861799"/>
    <w:rsid w:val="008A55B5"/>
    <w:rsid w:val="008A75C8"/>
    <w:rsid w:val="008B5270"/>
    <w:rsid w:val="00924FB9"/>
    <w:rsid w:val="0092568F"/>
    <w:rsid w:val="00937636"/>
    <w:rsid w:val="0096105C"/>
    <w:rsid w:val="0097508D"/>
    <w:rsid w:val="009A40A1"/>
    <w:rsid w:val="009D170D"/>
    <w:rsid w:val="009F1150"/>
    <w:rsid w:val="00A03744"/>
    <w:rsid w:val="00A06B87"/>
    <w:rsid w:val="00A10D79"/>
    <w:rsid w:val="00A236A0"/>
    <w:rsid w:val="00A301C1"/>
    <w:rsid w:val="00A325D4"/>
    <w:rsid w:val="00A510F7"/>
    <w:rsid w:val="00A64CD3"/>
    <w:rsid w:val="00A77C0F"/>
    <w:rsid w:val="00A86313"/>
    <w:rsid w:val="00A87616"/>
    <w:rsid w:val="00A92805"/>
    <w:rsid w:val="00AA0700"/>
    <w:rsid w:val="00AB4115"/>
    <w:rsid w:val="00AB7AFD"/>
    <w:rsid w:val="00AC64FC"/>
    <w:rsid w:val="00AC6519"/>
    <w:rsid w:val="00AD601F"/>
    <w:rsid w:val="00AE2380"/>
    <w:rsid w:val="00B0160B"/>
    <w:rsid w:val="00B072ED"/>
    <w:rsid w:val="00B20C8E"/>
    <w:rsid w:val="00B23AE1"/>
    <w:rsid w:val="00B46120"/>
    <w:rsid w:val="00B62E35"/>
    <w:rsid w:val="00B703B3"/>
    <w:rsid w:val="00B85FB2"/>
    <w:rsid w:val="00B947D0"/>
    <w:rsid w:val="00BB088C"/>
    <w:rsid w:val="00C0280F"/>
    <w:rsid w:val="00C031C4"/>
    <w:rsid w:val="00C05DB1"/>
    <w:rsid w:val="00C05F7C"/>
    <w:rsid w:val="00C66137"/>
    <w:rsid w:val="00C703F9"/>
    <w:rsid w:val="00C8174F"/>
    <w:rsid w:val="00CA29F8"/>
    <w:rsid w:val="00CA4858"/>
    <w:rsid w:val="00CB0271"/>
    <w:rsid w:val="00CB66E6"/>
    <w:rsid w:val="00CB7398"/>
    <w:rsid w:val="00CD3C8D"/>
    <w:rsid w:val="00CF22F5"/>
    <w:rsid w:val="00CF25D6"/>
    <w:rsid w:val="00CF4455"/>
    <w:rsid w:val="00D01167"/>
    <w:rsid w:val="00D520EE"/>
    <w:rsid w:val="00D6190F"/>
    <w:rsid w:val="00D6227A"/>
    <w:rsid w:val="00D86913"/>
    <w:rsid w:val="00D9028A"/>
    <w:rsid w:val="00D9156D"/>
    <w:rsid w:val="00DB42A0"/>
    <w:rsid w:val="00DE2DFF"/>
    <w:rsid w:val="00DE714C"/>
    <w:rsid w:val="00DF2FC4"/>
    <w:rsid w:val="00E0289A"/>
    <w:rsid w:val="00E11872"/>
    <w:rsid w:val="00E25F3E"/>
    <w:rsid w:val="00E91219"/>
    <w:rsid w:val="00E97E42"/>
    <w:rsid w:val="00EA45DE"/>
    <w:rsid w:val="00EA506F"/>
    <w:rsid w:val="00EA53DF"/>
    <w:rsid w:val="00EB0073"/>
    <w:rsid w:val="00EB6B7D"/>
    <w:rsid w:val="00EC6857"/>
    <w:rsid w:val="00EE4362"/>
    <w:rsid w:val="00EF18D7"/>
    <w:rsid w:val="00EF1E8A"/>
    <w:rsid w:val="00EF3A1A"/>
    <w:rsid w:val="00EF7653"/>
    <w:rsid w:val="00F03A00"/>
    <w:rsid w:val="00F23229"/>
    <w:rsid w:val="00F503A5"/>
    <w:rsid w:val="00F531E1"/>
    <w:rsid w:val="00F74C4A"/>
    <w:rsid w:val="00F7586E"/>
    <w:rsid w:val="00F86FE6"/>
    <w:rsid w:val="00FA2AC5"/>
    <w:rsid w:val="00FA3271"/>
    <w:rsid w:val="00FA5537"/>
    <w:rsid w:val="00FA7465"/>
    <w:rsid w:val="00FB0705"/>
    <w:rsid w:val="00FC4CB5"/>
    <w:rsid w:val="00FD5DF1"/>
    <w:rsid w:val="00FE2DDA"/>
    <w:rsid w:val="00FE55D7"/>
    <w:rsid w:val="00FF4B7B"/>
    <w:rsid w:val="00FF6355"/>
    <w:rsid w:val="00FF78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D5CC32"/>
  <w15:docId w15:val="{DB9BACF4-929F-4E98-BF30-9C816F085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B87"/>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AB7AFD"/>
    <w:rPr>
      <w:color w:val="605E5C"/>
      <w:shd w:val="clear" w:color="auto" w:fill="E1DFDD"/>
    </w:rPr>
  </w:style>
  <w:style w:type="table" w:styleId="TableGrid">
    <w:name w:val="Table Grid"/>
    <w:basedOn w:val="TableNormal"/>
    <w:uiPriority w:val="59"/>
    <w:rsid w:val="00296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870B7"/>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F2FC4"/>
    <w:rPr>
      <w:sz w:val="16"/>
      <w:szCs w:val="16"/>
    </w:rPr>
  </w:style>
  <w:style w:type="paragraph" w:styleId="CommentText">
    <w:name w:val="annotation text"/>
    <w:basedOn w:val="Normal"/>
    <w:link w:val="CommentTextChar"/>
    <w:uiPriority w:val="99"/>
    <w:semiHidden/>
    <w:unhideWhenUsed/>
    <w:rsid w:val="00DF2FC4"/>
  </w:style>
  <w:style w:type="character" w:customStyle="1" w:styleId="CommentTextChar">
    <w:name w:val="Comment Text Char"/>
    <w:basedOn w:val="DefaultParagraphFont"/>
    <w:link w:val="CommentText"/>
    <w:uiPriority w:val="99"/>
    <w:semiHidden/>
    <w:rsid w:val="00DF2FC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F2FC4"/>
    <w:rPr>
      <w:b/>
      <w:bCs/>
    </w:rPr>
  </w:style>
  <w:style w:type="character" w:customStyle="1" w:styleId="CommentSubjectChar">
    <w:name w:val="Comment Subject Char"/>
    <w:basedOn w:val="CommentTextChar"/>
    <w:link w:val="CommentSubject"/>
    <w:uiPriority w:val="99"/>
    <w:semiHidden/>
    <w:rsid w:val="00DF2FC4"/>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4534</TotalTime>
  <Pages>10</Pages>
  <Words>6043</Words>
  <Characters>34448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Rupa Verma</cp:lastModifiedBy>
  <cp:revision>72</cp:revision>
  <cp:lastPrinted>2014-07-26T15:11:00Z</cp:lastPrinted>
  <dcterms:created xsi:type="dcterms:W3CDTF">2023-07-01T10:19:00Z</dcterms:created>
  <dcterms:modified xsi:type="dcterms:W3CDTF">2023-07-27T07:13:00Z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75cfabd38fd948261f01ba28c83b4499d57a0caa03cfb0dd75d54c7ace80b710</vt:lpwstr>
  </property>
</Properties>
</file>