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0C3D" w14:textId="11E58982" w:rsidR="009E2D01" w:rsidRPr="006C5123" w:rsidRDefault="00811D60" w:rsidP="009E2D01">
      <w:pPr>
        <w:spacing w:after="0" w:line="240" w:lineRule="auto"/>
        <w:jc w:val="center"/>
        <w:rPr>
          <w:rFonts w:ascii="Times New Roman" w:hAnsi="Times New Roman"/>
          <w:color w:val="000000" w:themeColor="text1"/>
          <w:sz w:val="10"/>
          <w:szCs w:val="24"/>
        </w:rPr>
      </w:pPr>
      <w:r w:rsidRPr="006C5123">
        <w:rPr>
          <w:rFonts w:ascii="Times New Roman" w:hAnsi="Times New Roman"/>
          <w:b/>
          <w:bCs/>
          <w:color w:val="000000" w:themeColor="text1"/>
          <w:sz w:val="24"/>
          <w:szCs w:val="24"/>
        </w:rPr>
        <w:t>Durability Evaluation of Self-Compacting Concrete with Controlled Permeable Formwork Liner</w:t>
      </w:r>
    </w:p>
    <w:p w14:paraId="6B7F63E3" w14:textId="67907438" w:rsidR="009E2D01" w:rsidRPr="006C5123" w:rsidRDefault="009E2D01" w:rsidP="009E2D01">
      <w:pPr>
        <w:tabs>
          <w:tab w:val="left" w:pos="180"/>
        </w:tabs>
        <w:spacing w:after="0" w:line="360" w:lineRule="auto"/>
        <w:jc w:val="center"/>
        <w:rPr>
          <w:rFonts w:ascii="Times New Roman" w:hAnsi="Times New Roman" w:cs="Times New Roman"/>
          <w:color w:val="000000" w:themeColor="text1"/>
          <w:szCs w:val="24"/>
        </w:rPr>
      </w:pPr>
      <w:r w:rsidRPr="006C5123">
        <w:rPr>
          <w:rFonts w:ascii="Times New Roman" w:hAnsi="Times New Roman" w:cs="Times New Roman"/>
          <w:color w:val="000000" w:themeColor="text1"/>
          <w:szCs w:val="24"/>
        </w:rPr>
        <w:t>S. Kandasamy</w:t>
      </w:r>
      <w:r w:rsidRPr="006C5123">
        <w:rPr>
          <w:rFonts w:ascii="Times New Roman" w:hAnsi="Times New Roman" w:cs="Times New Roman"/>
          <w:color w:val="000000" w:themeColor="text1"/>
          <w:szCs w:val="24"/>
          <w:vertAlign w:val="superscript"/>
        </w:rPr>
        <w:t>1*</w:t>
      </w:r>
      <w:r w:rsidRPr="006C5123">
        <w:rPr>
          <w:rFonts w:ascii="Times New Roman" w:hAnsi="Times New Roman" w:cs="Times New Roman"/>
          <w:color w:val="000000" w:themeColor="text1"/>
          <w:szCs w:val="24"/>
        </w:rPr>
        <w:t xml:space="preserve">, </w:t>
      </w:r>
      <w:r w:rsidR="00B42786" w:rsidRPr="006C5123">
        <w:rPr>
          <w:rFonts w:ascii="Times New Roman" w:hAnsi="Times New Roman" w:cs="Times New Roman"/>
          <w:color w:val="000000" w:themeColor="text1"/>
          <w:szCs w:val="24"/>
        </w:rPr>
        <w:t xml:space="preserve">N. Pannirselvam </w:t>
      </w:r>
      <w:r w:rsidRPr="006C5123">
        <w:rPr>
          <w:rFonts w:ascii="Times New Roman" w:hAnsi="Times New Roman" w:cs="Times New Roman"/>
          <w:color w:val="000000" w:themeColor="text1"/>
          <w:szCs w:val="24"/>
          <w:vertAlign w:val="superscript"/>
        </w:rPr>
        <w:t>2</w:t>
      </w:r>
      <w:r w:rsidRPr="006C5123">
        <w:rPr>
          <w:rFonts w:ascii="Times New Roman" w:hAnsi="Times New Roman" w:cs="Times New Roman"/>
          <w:color w:val="000000" w:themeColor="text1"/>
          <w:szCs w:val="24"/>
        </w:rPr>
        <w:t xml:space="preserve">, </w:t>
      </w:r>
      <w:r w:rsidR="00B42786" w:rsidRPr="006C5123">
        <w:rPr>
          <w:rFonts w:ascii="Times New Roman" w:hAnsi="Times New Roman" w:cs="Times New Roman"/>
          <w:color w:val="000000" w:themeColor="text1"/>
          <w:szCs w:val="24"/>
        </w:rPr>
        <w:t>S. Syed Ibrahim</w:t>
      </w:r>
      <w:r w:rsidR="00B42786" w:rsidRPr="006C5123">
        <w:rPr>
          <w:rFonts w:ascii="Times New Roman" w:hAnsi="Times New Roman" w:cs="Times New Roman"/>
          <w:color w:val="000000" w:themeColor="text1"/>
          <w:szCs w:val="24"/>
          <w:vertAlign w:val="superscript"/>
        </w:rPr>
        <w:t xml:space="preserve"> </w:t>
      </w:r>
      <w:r w:rsidRPr="006C5123">
        <w:rPr>
          <w:rFonts w:ascii="Times New Roman" w:hAnsi="Times New Roman" w:cs="Times New Roman"/>
          <w:color w:val="000000" w:themeColor="text1"/>
          <w:szCs w:val="24"/>
          <w:vertAlign w:val="superscript"/>
        </w:rPr>
        <w:t>3</w:t>
      </w:r>
      <w:r w:rsidRPr="006C5123">
        <w:rPr>
          <w:rFonts w:ascii="Times New Roman" w:hAnsi="Times New Roman" w:cs="Times New Roman"/>
          <w:color w:val="000000" w:themeColor="text1"/>
          <w:szCs w:val="24"/>
        </w:rPr>
        <w:t xml:space="preserve">, </w:t>
      </w:r>
      <w:r w:rsidR="007A33D1" w:rsidRPr="006C5123">
        <w:rPr>
          <w:rFonts w:ascii="Times New Roman" w:hAnsi="Times New Roman" w:cs="Times New Roman"/>
          <w:color w:val="000000" w:themeColor="text1"/>
          <w:szCs w:val="24"/>
        </w:rPr>
        <w:t>J. Vanjinathan</w:t>
      </w:r>
      <w:r w:rsidRPr="006C5123">
        <w:rPr>
          <w:rFonts w:ascii="Times New Roman" w:hAnsi="Times New Roman" w:cs="Times New Roman"/>
          <w:color w:val="000000" w:themeColor="text1"/>
          <w:szCs w:val="24"/>
          <w:vertAlign w:val="superscript"/>
        </w:rPr>
        <w:t>4</w:t>
      </w:r>
      <w:r w:rsidRPr="006C5123">
        <w:rPr>
          <w:rFonts w:ascii="Times New Roman" w:hAnsi="Times New Roman" w:cs="Times New Roman"/>
          <w:color w:val="000000" w:themeColor="text1"/>
          <w:szCs w:val="24"/>
        </w:rPr>
        <w:t xml:space="preserve">, </w:t>
      </w:r>
      <w:r w:rsidR="00B24D97" w:rsidRPr="006C5123">
        <w:rPr>
          <w:rFonts w:ascii="Times New Roman" w:hAnsi="Times New Roman" w:cs="Times New Roman"/>
          <w:color w:val="000000" w:themeColor="text1"/>
          <w:szCs w:val="24"/>
        </w:rPr>
        <w:t>S</w:t>
      </w:r>
      <w:r w:rsidRPr="006C5123">
        <w:rPr>
          <w:rFonts w:ascii="Times New Roman" w:hAnsi="Times New Roman" w:cs="Times New Roman"/>
          <w:color w:val="000000" w:themeColor="text1"/>
          <w:szCs w:val="24"/>
        </w:rPr>
        <w:t>. S</w:t>
      </w:r>
      <w:r w:rsidR="00B24D97" w:rsidRPr="006C5123">
        <w:rPr>
          <w:rFonts w:ascii="Times New Roman" w:hAnsi="Times New Roman" w:cs="Times New Roman"/>
          <w:color w:val="000000" w:themeColor="text1"/>
          <w:szCs w:val="24"/>
        </w:rPr>
        <w:t>undararaman</w:t>
      </w:r>
      <w:r w:rsidRPr="006C5123">
        <w:rPr>
          <w:rFonts w:ascii="Times New Roman" w:hAnsi="Times New Roman" w:cs="Times New Roman"/>
          <w:color w:val="000000" w:themeColor="text1"/>
          <w:szCs w:val="24"/>
          <w:vertAlign w:val="superscript"/>
        </w:rPr>
        <w:t>5</w:t>
      </w:r>
    </w:p>
    <w:p w14:paraId="1127F29B" w14:textId="1565792A" w:rsidR="009E2D01" w:rsidRPr="006C5123" w:rsidRDefault="009E2D01" w:rsidP="009E2D01">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1</w:t>
      </w:r>
      <w:r w:rsidRPr="006C5123">
        <w:rPr>
          <w:rFonts w:ascii="Times New Roman" w:hAnsi="Times New Roman" w:cs="Times New Roman"/>
          <w:i/>
          <w:color w:val="000000" w:themeColor="text1"/>
          <w:szCs w:val="24"/>
        </w:rPr>
        <w:t xml:space="preserve">Professor, Department of Civil Engineering, Vel Tech Rangarajan </w:t>
      </w:r>
      <w:proofErr w:type="spellStart"/>
      <w:r w:rsidRPr="006C5123">
        <w:rPr>
          <w:rFonts w:ascii="Times New Roman" w:hAnsi="Times New Roman" w:cs="Times New Roman"/>
          <w:i/>
          <w:color w:val="000000" w:themeColor="text1"/>
          <w:szCs w:val="24"/>
        </w:rPr>
        <w:t>Dr.</w:t>
      </w:r>
      <w:proofErr w:type="spellEnd"/>
      <w:r w:rsidRPr="006C5123">
        <w:rPr>
          <w:rFonts w:ascii="Times New Roman" w:hAnsi="Times New Roman" w:cs="Times New Roman"/>
          <w:i/>
          <w:color w:val="000000" w:themeColor="text1"/>
          <w:szCs w:val="24"/>
        </w:rPr>
        <w:t xml:space="preserve"> Sagunthala R&amp;D Institute of Science and Technology, Chennai-600062, Tamil Nadu, India</w:t>
      </w:r>
    </w:p>
    <w:p w14:paraId="4492D097" w14:textId="0ABFD8DB" w:rsidR="009E2D01" w:rsidRPr="006C5123" w:rsidRDefault="009E2D01" w:rsidP="009E2D01">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2</w:t>
      </w:r>
      <w:r w:rsidRPr="006C5123">
        <w:rPr>
          <w:rFonts w:ascii="Times New Roman" w:hAnsi="Times New Roman" w:cs="Times New Roman"/>
          <w:i/>
          <w:color w:val="000000" w:themeColor="text1"/>
          <w:szCs w:val="24"/>
        </w:rPr>
        <w:t xml:space="preserve">Professor, Department of Civil Engineering, </w:t>
      </w:r>
      <w:r w:rsidR="00B42786" w:rsidRPr="006C5123">
        <w:rPr>
          <w:rFonts w:ascii="Times New Roman" w:hAnsi="Times New Roman" w:cs="Times New Roman"/>
          <w:i/>
          <w:color w:val="000000" w:themeColor="text1"/>
          <w:szCs w:val="24"/>
        </w:rPr>
        <w:t>SRM Institute of Science</w:t>
      </w:r>
      <w:r w:rsidRPr="006C5123">
        <w:rPr>
          <w:rFonts w:ascii="Times New Roman" w:hAnsi="Times New Roman" w:cs="Times New Roman"/>
          <w:i/>
          <w:color w:val="000000" w:themeColor="text1"/>
          <w:szCs w:val="24"/>
        </w:rPr>
        <w:t xml:space="preserve"> and </w:t>
      </w:r>
      <w:r w:rsidR="00B42786" w:rsidRPr="006C5123">
        <w:rPr>
          <w:rFonts w:ascii="Times New Roman" w:hAnsi="Times New Roman" w:cs="Times New Roman"/>
          <w:i/>
          <w:color w:val="000000" w:themeColor="text1"/>
          <w:szCs w:val="24"/>
        </w:rPr>
        <w:t>Technology</w:t>
      </w:r>
      <w:r w:rsidRPr="006C5123">
        <w:rPr>
          <w:rFonts w:ascii="Times New Roman" w:hAnsi="Times New Roman" w:cs="Times New Roman"/>
          <w:i/>
          <w:color w:val="000000" w:themeColor="text1"/>
          <w:szCs w:val="24"/>
        </w:rPr>
        <w:t xml:space="preserve">, </w:t>
      </w:r>
      <w:r w:rsidR="00B42786" w:rsidRPr="006C5123">
        <w:rPr>
          <w:rFonts w:ascii="Times New Roman" w:hAnsi="Times New Roman" w:cs="Times New Roman"/>
          <w:i/>
          <w:color w:val="000000" w:themeColor="text1"/>
          <w:szCs w:val="24"/>
        </w:rPr>
        <w:t>Chennai</w:t>
      </w:r>
      <w:r w:rsidRPr="006C5123">
        <w:rPr>
          <w:rFonts w:ascii="Times New Roman" w:hAnsi="Times New Roman" w:cs="Times New Roman"/>
          <w:i/>
          <w:color w:val="000000" w:themeColor="text1"/>
          <w:szCs w:val="24"/>
        </w:rPr>
        <w:t xml:space="preserve">, </w:t>
      </w:r>
      <w:r w:rsidR="007A33D1" w:rsidRPr="006C5123">
        <w:rPr>
          <w:rFonts w:ascii="Times New Roman" w:hAnsi="Times New Roman" w:cs="Times New Roman"/>
          <w:i/>
          <w:color w:val="000000" w:themeColor="text1"/>
          <w:szCs w:val="24"/>
        </w:rPr>
        <w:t xml:space="preserve">Tamil Nadu, </w:t>
      </w:r>
      <w:r w:rsidRPr="006C5123">
        <w:rPr>
          <w:rFonts w:ascii="Times New Roman" w:hAnsi="Times New Roman" w:cs="Times New Roman"/>
          <w:i/>
          <w:color w:val="000000" w:themeColor="text1"/>
          <w:szCs w:val="24"/>
        </w:rPr>
        <w:t xml:space="preserve">India </w:t>
      </w:r>
    </w:p>
    <w:p w14:paraId="088C0E1F" w14:textId="7CEF0353" w:rsidR="00B42786" w:rsidRPr="006C5123" w:rsidRDefault="009E2D01" w:rsidP="00B42786">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3</w:t>
      </w:r>
      <w:r w:rsidR="00B42786" w:rsidRPr="006C5123">
        <w:rPr>
          <w:rFonts w:ascii="Times New Roman" w:hAnsi="Times New Roman" w:cs="Times New Roman"/>
          <w:i/>
          <w:color w:val="000000" w:themeColor="text1"/>
          <w:szCs w:val="24"/>
        </w:rPr>
        <w:t xml:space="preserve">Associate Professor, Department of Civil Engineering, </w:t>
      </w:r>
      <w:proofErr w:type="spellStart"/>
      <w:r w:rsidR="00B42786" w:rsidRPr="006C5123">
        <w:rPr>
          <w:rFonts w:ascii="Times New Roman" w:hAnsi="Times New Roman" w:cs="Times New Roman"/>
          <w:i/>
          <w:color w:val="000000" w:themeColor="text1"/>
          <w:szCs w:val="24"/>
        </w:rPr>
        <w:t>Ilahia</w:t>
      </w:r>
      <w:proofErr w:type="spellEnd"/>
      <w:r w:rsidR="00B42786" w:rsidRPr="006C5123">
        <w:rPr>
          <w:rFonts w:ascii="Times New Roman" w:hAnsi="Times New Roman" w:cs="Times New Roman"/>
          <w:i/>
          <w:color w:val="000000" w:themeColor="text1"/>
          <w:szCs w:val="24"/>
        </w:rPr>
        <w:t xml:space="preserve"> College of Engineering and Technology, Ernakulam, Kerala, India </w:t>
      </w:r>
    </w:p>
    <w:p w14:paraId="27FEA930" w14:textId="785F8913" w:rsidR="009E2D01" w:rsidRPr="006C5123" w:rsidRDefault="009E2D01" w:rsidP="009E2D01">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4</w:t>
      </w:r>
      <w:r w:rsidRPr="006C5123">
        <w:rPr>
          <w:rFonts w:ascii="Times New Roman" w:hAnsi="Times New Roman" w:cs="Times New Roman"/>
          <w:i/>
          <w:color w:val="000000" w:themeColor="text1"/>
          <w:szCs w:val="24"/>
        </w:rPr>
        <w:t>Ass</w:t>
      </w:r>
      <w:r w:rsidR="007A33D1" w:rsidRPr="006C5123">
        <w:rPr>
          <w:rFonts w:ascii="Times New Roman" w:hAnsi="Times New Roman" w:cs="Times New Roman"/>
          <w:i/>
          <w:color w:val="000000" w:themeColor="text1"/>
          <w:szCs w:val="24"/>
        </w:rPr>
        <w:t>istant</w:t>
      </w:r>
      <w:r w:rsidRPr="006C5123">
        <w:rPr>
          <w:rFonts w:ascii="Times New Roman" w:hAnsi="Times New Roman" w:cs="Times New Roman"/>
          <w:i/>
          <w:color w:val="000000" w:themeColor="text1"/>
          <w:szCs w:val="24"/>
        </w:rPr>
        <w:t xml:space="preserve"> Professor, Department of Civil Engineering, </w:t>
      </w:r>
      <w:r w:rsidR="000C37D8" w:rsidRPr="006C5123">
        <w:rPr>
          <w:rFonts w:ascii="Times New Roman" w:hAnsi="Times New Roman" w:cs="Times New Roman"/>
          <w:i/>
          <w:color w:val="000000" w:themeColor="text1"/>
          <w:szCs w:val="24"/>
        </w:rPr>
        <w:t>Sathyabama</w:t>
      </w:r>
      <w:r w:rsidRPr="006C5123">
        <w:rPr>
          <w:rFonts w:ascii="Times New Roman" w:hAnsi="Times New Roman" w:cs="Times New Roman"/>
          <w:i/>
          <w:color w:val="000000" w:themeColor="text1"/>
          <w:szCs w:val="24"/>
        </w:rPr>
        <w:t xml:space="preserve"> Institute of </w:t>
      </w:r>
      <w:r w:rsidR="007A33D1" w:rsidRPr="006C5123">
        <w:rPr>
          <w:rFonts w:ascii="Times New Roman" w:hAnsi="Times New Roman" w:cs="Times New Roman"/>
          <w:i/>
          <w:color w:val="000000" w:themeColor="text1"/>
          <w:szCs w:val="24"/>
        </w:rPr>
        <w:t>Sciences</w:t>
      </w:r>
      <w:r w:rsidRPr="006C5123">
        <w:rPr>
          <w:rFonts w:ascii="Times New Roman" w:hAnsi="Times New Roman" w:cs="Times New Roman"/>
          <w:i/>
          <w:color w:val="000000" w:themeColor="text1"/>
          <w:szCs w:val="24"/>
        </w:rPr>
        <w:t xml:space="preserve"> and </w:t>
      </w:r>
      <w:r w:rsidR="007A33D1" w:rsidRPr="006C5123">
        <w:rPr>
          <w:rFonts w:ascii="Times New Roman" w:hAnsi="Times New Roman" w:cs="Times New Roman"/>
          <w:i/>
          <w:color w:val="000000" w:themeColor="text1"/>
          <w:szCs w:val="24"/>
        </w:rPr>
        <w:t>Technology</w:t>
      </w:r>
      <w:r w:rsidRPr="006C5123">
        <w:rPr>
          <w:rFonts w:ascii="Times New Roman" w:hAnsi="Times New Roman" w:cs="Times New Roman"/>
          <w:i/>
          <w:color w:val="000000" w:themeColor="text1"/>
          <w:szCs w:val="24"/>
        </w:rPr>
        <w:t xml:space="preserve">, </w:t>
      </w:r>
      <w:r w:rsidR="007A33D1" w:rsidRPr="006C5123">
        <w:rPr>
          <w:rFonts w:ascii="Times New Roman" w:hAnsi="Times New Roman" w:cs="Times New Roman"/>
          <w:i/>
          <w:color w:val="000000" w:themeColor="text1"/>
          <w:szCs w:val="24"/>
        </w:rPr>
        <w:t>Chennai, Tamil Nadu</w:t>
      </w:r>
      <w:r w:rsidRPr="006C5123">
        <w:rPr>
          <w:rFonts w:ascii="Times New Roman" w:hAnsi="Times New Roman" w:cs="Times New Roman"/>
          <w:i/>
          <w:color w:val="000000" w:themeColor="text1"/>
          <w:szCs w:val="24"/>
        </w:rPr>
        <w:t>, India</w:t>
      </w:r>
    </w:p>
    <w:p w14:paraId="6FAD670F" w14:textId="041A9CE9" w:rsidR="009E2D01" w:rsidRPr="006C5123" w:rsidRDefault="009E2D01" w:rsidP="009E2D01">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5</w:t>
      </w:r>
      <w:r w:rsidRPr="006C5123">
        <w:rPr>
          <w:rFonts w:ascii="Times New Roman" w:hAnsi="Times New Roman" w:cs="Times New Roman"/>
          <w:i/>
          <w:color w:val="000000" w:themeColor="text1"/>
          <w:szCs w:val="24"/>
        </w:rPr>
        <w:t xml:space="preserve">Professor, Department of Civil Engineering, </w:t>
      </w:r>
      <w:r w:rsidR="00B24D97" w:rsidRPr="006C5123">
        <w:rPr>
          <w:rFonts w:ascii="Times New Roman" w:hAnsi="Times New Roman" w:cs="Times New Roman"/>
          <w:i/>
          <w:color w:val="000000" w:themeColor="text1"/>
          <w:szCs w:val="24"/>
        </w:rPr>
        <w:t xml:space="preserve">Sri </w:t>
      </w:r>
      <w:proofErr w:type="spellStart"/>
      <w:r w:rsidR="00B24D97" w:rsidRPr="006C5123">
        <w:rPr>
          <w:rFonts w:ascii="Times New Roman" w:hAnsi="Times New Roman" w:cs="Times New Roman"/>
          <w:i/>
          <w:color w:val="000000" w:themeColor="text1"/>
          <w:szCs w:val="24"/>
        </w:rPr>
        <w:t>Manakula</w:t>
      </w:r>
      <w:proofErr w:type="spellEnd"/>
      <w:r w:rsidR="00B24D97" w:rsidRPr="006C5123">
        <w:rPr>
          <w:rFonts w:ascii="Times New Roman" w:hAnsi="Times New Roman" w:cs="Times New Roman"/>
          <w:i/>
          <w:color w:val="000000" w:themeColor="text1"/>
          <w:szCs w:val="24"/>
        </w:rPr>
        <w:t xml:space="preserve"> Vinayagar</w:t>
      </w:r>
      <w:r w:rsidRPr="006C5123">
        <w:rPr>
          <w:rFonts w:ascii="Times New Roman" w:hAnsi="Times New Roman" w:cs="Times New Roman"/>
          <w:i/>
          <w:color w:val="000000" w:themeColor="text1"/>
          <w:szCs w:val="24"/>
        </w:rPr>
        <w:t xml:space="preserve"> Engineering College, </w:t>
      </w:r>
      <w:r w:rsidR="00B24D97" w:rsidRPr="006C5123">
        <w:rPr>
          <w:rFonts w:ascii="Times New Roman" w:hAnsi="Times New Roman" w:cs="Times New Roman"/>
          <w:i/>
          <w:color w:val="000000" w:themeColor="text1"/>
          <w:szCs w:val="24"/>
        </w:rPr>
        <w:t>Puducherry</w:t>
      </w:r>
      <w:r w:rsidRPr="006C5123">
        <w:rPr>
          <w:rFonts w:ascii="Times New Roman" w:hAnsi="Times New Roman" w:cs="Times New Roman"/>
          <w:i/>
          <w:color w:val="000000" w:themeColor="text1"/>
          <w:szCs w:val="24"/>
        </w:rPr>
        <w:t>, India</w:t>
      </w:r>
    </w:p>
    <w:p w14:paraId="3D0A3F25" w14:textId="77777777" w:rsidR="009E2D01" w:rsidRPr="006C5123" w:rsidRDefault="009E2D01" w:rsidP="009E2D01">
      <w:pPr>
        <w:tabs>
          <w:tab w:val="left" w:pos="180"/>
        </w:tabs>
        <w:spacing w:after="0" w:line="360" w:lineRule="auto"/>
        <w:jc w:val="center"/>
        <w:rPr>
          <w:rFonts w:ascii="Times New Roman" w:hAnsi="Times New Roman" w:cs="Times New Roman"/>
          <w:i/>
          <w:color w:val="000000" w:themeColor="text1"/>
          <w:szCs w:val="24"/>
        </w:rPr>
      </w:pPr>
      <w:r w:rsidRPr="006C5123">
        <w:rPr>
          <w:rFonts w:ascii="Times New Roman" w:hAnsi="Times New Roman" w:cs="Times New Roman"/>
          <w:i/>
          <w:color w:val="000000" w:themeColor="text1"/>
          <w:szCs w:val="24"/>
          <w:vertAlign w:val="superscript"/>
        </w:rPr>
        <w:t>*</w:t>
      </w:r>
      <w:r w:rsidRPr="006C5123">
        <w:rPr>
          <w:rFonts w:ascii="Times New Roman" w:hAnsi="Times New Roman" w:cs="Times New Roman"/>
          <w:i/>
          <w:color w:val="000000" w:themeColor="text1"/>
          <w:szCs w:val="24"/>
        </w:rPr>
        <w:t>Corresponding author E-mail:</w:t>
      </w:r>
      <w:r w:rsidRPr="006C5123">
        <w:rPr>
          <w:rFonts w:ascii="Times New Roman" w:hAnsi="Times New Roman" w:cs="Times New Roman"/>
          <w:i/>
          <w:color w:val="000000" w:themeColor="text1"/>
          <w:szCs w:val="24"/>
          <w:shd w:val="clear" w:color="auto" w:fill="FFFFFF"/>
        </w:rPr>
        <w:t xml:space="preserve"> </w:t>
      </w:r>
      <w:r w:rsidRPr="006C5123">
        <w:rPr>
          <w:rFonts w:ascii="Times New Roman" w:hAnsi="Times New Roman" w:cs="Times New Roman"/>
          <w:i/>
          <w:color w:val="000000" w:themeColor="text1"/>
          <w:szCs w:val="24"/>
        </w:rPr>
        <w:t>skandasamyisha@gmail.com</w:t>
      </w:r>
    </w:p>
    <w:p w14:paraId="6A18FEA9" w14:textId="14219CED" w:rsidR="00811D60" w:rsidRPr="006C5123" w:rsidRDefault="00A2391C" w:rsidP="00442FCE">
      <w:pPr>
        <w:widowControl w:val="0"/>
        <w:tabs>
          <w:tab w:val="left" w:pos="360"/>
        </w:tabs>
        <w:autoSpaceDE w:val="0"/>
        <w:autoSpaceDN w:val="0"/>
        <w:adjustRightInd w:val="0"/>
        <w:snapToGrid w:val="0"/>
        <w:spacing w:after="0" w:line="360" w:lineRule="auto"/>
        <w:jc w:val="both"/>
        <w:rPr>
          <w:rFonts w:ascii="Times New Roman" w:hAnsi="Times New Roman"/>
          <w:color w:val="000000" w:themeColor="text1"/>
          <w:sz w:val="24"/>
          <w:szCs w:val="24"/>
        </w:rPr>
      </w:pPr>
      <w:r w:rsidRPr="006C5123">
        <w:rPr>
          <w:rFonts w:ascii="Times New Roman" w:hAnsi="Times New Roman" w:cs="Times New Roman"/>
          <w:b/>
          <w:color w:val="000000" w:themeColor="text1"/>
          <w:sz w:val="24"/>
          <w:szCs w:val="24"/>
        </w:rPr>
        <w:t>Abstract</w:t>
      </w:r>
      <w:r w:rsidR="00D15A2D" w:rsidRPr="006C5123">
        <w:rPr>
          <w:rFonts w:ascii="Times New Roman" w:hAnsi="Times New Roman" w:cs="Times New Roman"/>
          <w:b/>
          <w:color w:val="000000" w:themeColor="text1"/>
          <w:sz w:val="24"/>
          <w:szCs w:val="24"/>
        </w:rPr>
        <w:t xml:space="preserve">: </w:t>
      </w:r>
      <w:r w:rsidR="00811D60" w:rsidRPr="006C5123">
        <w:rPr>
          <w:rFonts w:ascii="Times New Roman" w:hAnsi="Times New Roman"/>
          <w:color w:val="000000" w:themeColor="text1"/>
          <w:sz w:val="24"/>
          <w:szCs w:val="24"/>
        </w:rPr>
        <w:t xml:space="preserve">Corrosion in reinforced concrete structures is a pervasive global issue, incurring substantial costs for repair and retrofitting. Aggressive agents infiltrate concrete through its surface, triggering rebar corrosion. Controlled Permeability Formwork (CPF) represents an active approach to enhancing </w:t>
      </w:r>
      <w:r w:rsidR="0009797B" w:rsidRPr="006C5123">
        <w:rPr>
          <w:rFonts w:ascii="Times New Roman" w:hAnsi="Times New Roman"/>
          <w:color w:val="000000" w:themeColor="text1"/>
          <w:sz w:val="24"/>
          <w:szCs w:val="24"/>
        </w:rPr>
        <w:t>the surface area of the concrete's quality</w:t>
      </w:r>
      <w:r w:rsidR="00811D60" w:rsidRPr="006C5123">
        <w:rPr>
          <w:rFonts w:ascii="Times New Roman" w:hAnsi="Times New Roman"/>
          <w:color w:val="000000" w:themeColor="text1"/>
          <w:sz w:val="24"/>
          <w:szCs w:val="24"/>
        </w:rPr>
        <w:t xml:space="preserve">. </w:t>
      </w:r>
      <w:r w:rsidR="0009797B" w:rsidRPr="006C5123">
        <w:rPr>
          <w:rFonts w:ascii="Times New Roman" w:hAnsi="Times New Roman"/>
          <w:color w:val="000000" w:themeColor="text1"/>
          <w:sz w:val="24"/>
          <w:szCs w:val="24"/>
        </w:rPr>
        <w:t>Using this technique, the cement and fine particles are retained while the excess water and trapped air are successfully removed from the fresh concrete's near surface. As a result, the concrete's cover zone's surface porosity decreases, cement content rises, and the water-to-cement (w/c) ratio is decreased.</w:t>
      </w:r>
      <w:r w:rsidR="00811D60" w:rsidRPr="006C5123">
        <w:rPr>
          <w:rFonts w:ascii="Times New Roman" w:hAnsi="Times New Roman"/>
          <w:color w:val="000000" w:themeColor="text1"/>
          <w:sz w:val="24"/>
          <w:szCs w:val="24"/>
        </w:rPr>
        <w:t xml:space="preserve"> CPF operations yield a smooth surface devoid of pinholes and defects.</w:t>
      </w:r>
      <w:r w:rsidR="00046190">
        <w:rPr>
          <w:rFonts w:ascii="Times New Roman" w:hAnsi="Times New Roman"/>
          <w:color w:val="000000" w:themeColor="text1"/>
          <w:sz w:val="24"/>
          <w:szCs w:val="24"/>
        </w:rPr>
        <w:t xml:space="preserve"> </w:t>
      </w:r>
      <w:r w:rsidR="0009797B" w:rsidRPr="006C5123">
        <w:rPr>
          <w:rFonts w:ascii="Times New Roman" w:hAnsi="Times New Roman"/>
          <w:color w:val="000000" w:themeColor="text1"/>
          <w:sz w:val="24"/>
          <w:szCs w:val="24"/>
        </w:rPr>
        <w:t xml:space="preserve">The purpose of this paper is to report the findings of an experimental investigation that looked at the impact </w:t>
      </w:r>
      <w:r w:rsidR="00811D60" w:rsidRPr="006C5123">
        <w:rPr>
          <w:rFonts w:ascii="Times New Roman" w:hAnsi="Times New Roman"/>
          <w:color w:val="000000" w:themeColor="text1"/>
          <w:sz w:val="24"/>
          <w:szCs w:val="24"/>
        </w:rPr>
        <w:t xml:space="preserve">of CPF liner application on the durability properties of </w:t>
      </w:r>
      <w:r w:rsidR="007D320E" w:rsidRPr="006C5123">
        <w:rPr>
          <w:rFonts w:ascii="Times New Roman" w:hAnsi="Times New Roman"/>
          <w:color w:val="000000" w:themeColor="text1"/>
          <w:sz w:val="24"/>
          <w:szCs w:val="24"/>
        </w:rPr>
        <w:t xml:space="preserve">self-compacting concrete </w:t>
      </w:r>
      <w:r w:rsidR="00811D60" w:rsidRPr="006C5123">
        <w:rPr>
          <w:rFonts w:ascii="Times New Roman" w:hAnsi="Times New Roman"/>
          <w:color w:val="000000" w:themeColor="text1"/>
          <w:sz w:val="24"/>
          <w:szCs w:val="24"/>
        </w:rPr>
        <w:t xml:space="preserve">(SCC). </w:t>
      </w:r>
      <w:r w:rsidR="007D320E" w:rsidRPr="006C5123">
        <w:rPr>
          <w:rFonts w:ascii="Times New Roman" w:hAnsi="Times New Roman"/>
          <w:color w:val="000000" w:themeColor="text1"/>
          <w:sz w:val="24"/>
          <w:szCs w:val="24"/>
        </w:rPr>
        <w:t xml:space="preserve">Both CPF liners and impermeable steel formwork (IMF) were used to prepare the samples </w:t>
      </w:r>
      <w:r w:rsidR="00811D60" w:rsidRPr="006C5123">
        <w:rPr>
          <w:rFonts w:ascii="Times New Roman" w:hAnsi="Times New Roman"/>
          <w:color w:val="000000" w:themeColor="text1"/>
          <w:sz w:val="24"/>
          <w:szCs w:val="24"/>
        </w:rPr>
        <w:t xml:space="preserve">and subjected to various tests at different ages. These tests encompassed </w:t>
      </w:r>
      <w:proofErr w:type="spellStart"/>
      <w:r w:rsidR="007D320E" w:rsidRPr="006C5123">
        <w:rPr>
          <w:rFonts w:ascii="Times New Roman" w:hAnsi="Times New Roman"/>
          <w:color w:val="000000" w:themeColor="text1"/>
          <w:sz w:val="24"/>
          <w:szCs w:val="24"/>
        </w:rPr>
        <w:t>sulfate</w:t>
      </w:r>
      <w:proofErr w:type="spellEnd"/>
      <w:r w:rsidR="007D320E" w:rsidRPr="006C5123">
        <w:rPr>
          <w:rFonts w:ascii="Times New Roman" w:hAnsi="Times New Roman"/>
          <w:color w:val="000000" w:themeColor="text1"/>
          <w:sz w:val="24"/>
          <w:szCs w:val="24"/>
        </w:rPr>
        <w:t xml:space="preserve"> resistance, hydrochloric acid resistance, </w:t>
      </w:r>
      <w:proofErr w:type="spellStart"/>
      <w:r w:rsidR="007D320E" w:rsidRPr="006C5123">
        <w:rPr>
          <w:rFonts w:ascii="Times New Roman" w:hAnsi="Times New Roman"/>
          <w:color w:val="000000" w:themeColor="text1"/>
          <w:sz w:val="24"/>
          <w:szCs w:val="24"/>
        </w:rPr>
        <w:t>sorptivity</w:t>
      </w:r>
      <w:proofErr w:type="spellEnd"/>
      <w:r w:rsidR="007D320E" w:rsidRPr="006C5123">
        <w:rPr>
          <w:rFonts w:ascii="Times New Roman" w:hAnsi="Times New Roman"/>
          <w:color w:val="000000" w:themeColor="text1"/>
          <w:sz w:val="24"/>
          <w:szCs w:val="24"/>
        </w:rPr>
        <w:t>, and water absorption</w:t>
      </w:r>
      <w:r w:rsidR="00811D60" w:rsidRPr="006C5123">
        <w:rPr>
          <w:rFonts w:ascii="Times New Roman" w:hAnsi="Times New Roman"/>
          <w:color w:val="000000" w:themeColor="text1"/>
          <w:sz w:val="24"/>
          <w:szCs w:val="24"/>
        </w:rPr>
        <w:t xml:space="preserve">. The outcomes demonstrated that </w:t>
      </w:r>
      <w:r w:rsidR="007D320E" w:rsidRPr="006C5123">
        <w:rPr>
          <w:rFonts w:ascii="Times New Roman" w:hAnsi="Times New Roman"/>
          <w:color w:val="000000" w:themeColor="text1"/>
          <w:sz w:val="24"/>
          <w:szCs w:val="24"/>
        </w:rPr>
        <w:t xml:space="preserve">CPF concretes shown impressive </w:t>
      </w:r>
      <w:proofErr w:type="spellStart"/>
      <w:r w:rsidR="007D320E" w:rsidRPr="006C5123">
        <w:rPr>
          <w:rFonts w:ascii="Times New Roman" w:hAnsi="Times New Roman"/>
          <w:color w:val="000000" w:themeColor="text1"/>
          <w:sz w:val="24"/>
          <w:szCs w:val="24"/>
        </w:rPr>
        <w:t>sorptivity</w:t>
      </w:r>
      <w:proofErr w:type="spellEnd"/>
      <w:r w:rsidR="007D320E" w:rsidRPr="006C5123">
        <w:rPr>
          <w:rFonts w:ascii="Times New Roman" w:hAnsi="Times New Roman"/>
          <w:color w:val="000000" w:themeColor="text1"/>
          <w:sz w:val="24"/>
          <w:szCs w:val="24"/>
        </w:rPr>
        <w:t xml:space="preserve"> (resistance to water absorption) properties</w:t>
      </w:r>
      <w:r w:rsidR="00811D60" w:rsidRPr="006C5123">
        <w:rPr>
          <w:rFonts w:ascii="Times New Roman" w:hAnsi="Times New Roman"/>
          <w:color w:val="000000" w:themeColor="text1"/>
          <w:sz w:val="24"/>
          <w:szCs w:val="24"/>
        </w:rPr>
        <w:t xml:space="preserve">, ranging from 22 to 67%. Additionally, CPF concrete displayed a superior residual compressive strength, surpassing IMF concrete by 14 to 143%, particularly when subjected to </w:t>
      </w:r>
      <w:r w:rsidR="003408B4" w:rsidRPr="006C5123">
        <w:rPr>
          <w:rFonts w:ascii="Times New Roman" w:hAnsi="Times New Roman"/>
          <w:color w:val="000000" w:themeColor="text1"/>
          <w:sz w:val="24"/>
          <w:szCs w:val="24"/>
        </w:rPr>
        <w:t>an</w:t>
      </w:r>
      <w:r w:rsidR="00811D60" w:rsidRPr="006C5123">
        <w:rPr>
          <w:rFonts w:ascii="Times New Roman" w:hAnsi="Times New Roman"/>
          <w:color w:val="000000" w:themeColor="text1"/>
          <w:sz w:val="24"/>
          <w:szCs w:val="24"/>
        </w:rPr>
        <w:t xml:space="preserve"> </w:t>
      </w:r>
      <w:r w:rsidR="007D320E" w:rsidRPr="006C5123">
        <w:rPr>
          <w:rFonts w:ascii="Times New Roman" w:hAnsi="Times New Roman"/>
          <w:color w:val="000000" w:themeColor="text1"/>
          <w:sz w:val="24"/>
          <w:szCs w:val="24"/>
        </w:rPr>
        <w:t>environment with hydrochloric acid</w:t>
      </w:r>
      <w:r w:rsidR="00811D60" w:rsidRPr="006C5123">
        <w:rPr>
          <w:rFonts w:ascii="Times New Roman" w:hAnsi="Times New Roman"/>
          <w:color w:val="000000" w:themeColor="text1"/>
          <w:sz w:val="24"/>
          <w:szCs w:val="24"/>
        </w:rPr>
        <w:t>.</w:t>
      </w:r>
    </w:p>
    <w:p w14:paraId="52453F4C" w14:textId="63BFA69E" w:rsidR="000C2043" w:rsidRPr="006C5123" w:rsidRDefault="0057144E" w:rsidP="00811D60">
      <w:pPr>
        <w:widowControl w:val="0"/>
        <w:tabs>
          <w:tab w:val="left" w:pos="360"/>
        </w:tabs>
        <w:autoSpaceDE w:val="0"/>
        <w:autoSpaceDN w:val="0"/>
        <w:adjustRightInd w:val="0"/>
        <w:snapToGrid w:val="0"/>
        <w:spacing w:after="0" w:line="480" w:lineRule="auto"/>
        <w:jc w:val="both"/>
        <w:rPr>
          <w:rFonts w:ascii="Times New Roman" w:hAnsi="Times New Roman" w:cs="Times New Roman"/>
          <w:color w:val="000000" w:themeColor="text1"/>
          <w:sz w:val="24"/>
          <w:szCs w:val="24"/>
          <w:lang w:eastAsia="en-IN"/>
        </w:rPr>
      </w:pPr>
      <w:r w:rsidRPr="006C5123">
        <w:rPr>
          <w:rFonts w:ascii="Times New Roman" w:hAnsi="Times New Roman" w:cs="Times New Roman"/>
          <w:b/>
          <w:color w:val="000000" w:themeColor="text1"/>
          <w:sz w:val="24"/>
          <w:szCs w:val="24"/>
        </w:rPr>
        <w:t>Keyword</w:t>
      </w:r>
      <w:r w:rsidR="00674863" w:rsidRPr="006C5123">
        <w:rPr>
          <w:rFonts w:ascii="Times New Roman" w:hAnsi="Times New Roman" w:cs="Times New Roman"/>
          <w:b/>
          <w:color w:val="000000" w:themeColor="text1"/>
          <w:sz w:val="24"/>
          <w:szCs w:val="24"/>
        </w:rPr>
        <w:t>s</w:t>
      </w:r>
      <w:r w:rsidR="00D34929" w:rsidRPr="006C5123">
        <w:rPr>
          <w:rFonts w:ascii="Times New Roman" w:hAnsi="Times New Roman" w:cs="Times New Roman"/>
          <w:b/>
          <w:color w:val="000000" w:themeColor="text1"/>
          <w:sz w:val="24"/>
          <w:szCs w:val="24"/>
        </w:rPr>
        <w:t>:</w:t>
      </w:r>
      <w:r w:rsidR="006F4BCA" w:rsidRPr="006C5123">
        <w:rPr>
          <w:rFonts w:ascii="Times New Roman" w:hAnsi="Times New Roman" w:cs="Times New Roman"/>
          <w:color w:val="000000" w:themeColor="text1"/>
          <w:sz w:val="24"/>
          <w:szCs w:val="24"/>
        </w:rPr>
        <w:t xml:space="preserve"> </w:t>
      </w:r>
      <w:r w:rsidR="00442FCE" w:rsidRPr="006C5123">
        <w:rPr>
          <w:rFonts w:ascii="Times New Roman" w:hAnsi="Times New Roman" w:cs="Times New Roman"/>
          <w:color w:val="000000" w:themeColor="text1"/>
          <w:sz w:val="24"/>
          <w:szCs w:val="24"/>
        </w:rPr>
        <w:t xml:space="preserve">Controlled permeability formwork, </w:t>
      </w:r>
      <w:r w:rsidR="00442FCE" w:rsidRPr="006C5123">
        <w:rPr>
          <w:rFonts w:ascii="Times New Roman" w:hAnsi="Times New Roman" w:cs="Times New Roman"/>
          <w:color w:val="000000" w:themeColor="text1"/>
          <w:sz w:val="24"/>
          <w:szCs w:val="24"/>
          <w:lang w:eastAsia="en-IN"/>
        </w:rPr>
        <w:t xml:space="preserve">Hydrochloric acid resistance, </w:t>
      </w:r>
      <w:proofErr w:type="spellStart"/>
      <w:r w:rsidR="00614487" w:rsidRPr="006C5123">
        <w:rPr>
          <w:rFonts w:ascii="Times New Roman" w:hAnsi="Times New Roman" w:cs="Times New Roman"/>
          <w:color w:val="000000" w:themeColor="text1"/>
          <w:sz w:val="24"/>
          <w:szCs w:val="24"/>
        </w:rPr>
        <w:t>Sul</w:t>
      </w:r>
      <w:r w:rsidR="004F0ECF" w:rsidRPr="006C5123">
        <w:rPr>
          <w:rFonts w:ascii="Times New Roman" w:hAnsi="Times New Roman" w:cs="Times New Roman"/>
          <w:color w:val="000000" w:themeColor="text1"/>
          <w:sz w:val="24"/>
          <w:szCs w:val="24"/>
        </w:rPr>
        <w:t>f</w:t>
      </w:r>
      <w:r w:rsidR="00614487" w:rsidRPr="006C5123">
        <w:rPr>
          <w:rFonts w:ascii="Times New Roman" w:hAnsi="Times New Roman" w:cs="Times New Roman"/>
          <w:color w:val="000000" w:themeColor="text1"/>
          <w:sz w:val="24"/>
          <w:szCs w:val="24"/>
        </w:rPr>
        <w:t>ate</w:t>
      </w:r>
      <w:proofErr w:type="spellEnd"/>
      <w:r w:rsidR="00614487" w:rsidRPr="006C5123">
        <w:rPr>
          <w:rFonts w:ascii="Times New Roman" w:hAnsi="Times New Roman" w:cs="Times New Roman"/>
          <w:color w:val="000000" w:themeColor="text1"/>
          <w:sz w:val="24"/>
          <w:szCs w:val="24"/>
        </w:rPr>
        <w:t xml:space="preserve"> resistance</w:t>
      </w:r>
      <w:r w:rsidR="00442FCE" w:rsidRPr="006C5123">
        <w:rPr>
          <w:rFonts w:ascii="Times New Roman" w:hAnsi="Times New Roman" w:cs="Times New Roman"/>
          <w:color w:val="000000" w:themeColor="text1"/>
          <w:sz w:val="24"/>
          <w:szCs w:val="24"/>
        </w:rPr>
        <w:t xml:space="preserve">, </w:t>
      </w:r>
      <w:proofErr w:type="spellStart"/>
      <w:r w:rsidR="00442FCE" w:rsidRPr="006C5123">
        <w:rPr>
          <w:rFonts w:ascii="Times New Roman" w:hAnsi="Times New Roman" w:cs="Times New Roman"/>
          <w:color w:val="000000" w:themeColor="text1"/>
          <w:sz w:val="24"/>
          <w:szCs w:val="24"/>
        </w:rPr>
        <w:t>Sorptivity</w:t>
      </w:r>
      <w:proofErr w:type="spellEnd"/>
      <w:r w:rsidR="00442FCE" w:rsidRPr="006C5123">
        <w:rPr>
          <w:rFonts w:ascii="Times New Roman" w:hAnsi="Times New Roman" w:cs="Times New Roman"/>
          <w:color w:val="000000" w:themeColor="text1"/>
          <w:sz w:val="24"/>
          <w:szCs w:val="24"/>
        </w:rPr>
        <w:t>,</w:t>
      </w:r>
      <w:r w:rsidR="00614487" w:rsidRPr="006C5123">
        <w:rPr>
          <w:rFonts w:ascii="Times New Roman" w:hAnsi="Times New Roman" w:cs="Times New Roman"/>
          <w:color w:val="000000" w:themeColor="text1"/>
          <w:sz w:val="24"/>
          <w:szCs w:val="24"/>
          <w:lang w:eastAsia="en-IN"/>
        </w:rPr>
        <w:t xml:space="preserve"> </w:t>
      </w:r>
      <w:r w:rsidR="00442FCE" w:rsidRPr="006C5123">
        <w:rPr>
          <w:rFonts w:ascii="Times New Roman" w:hAnsi="Times New Roman" w:cs="Times New Roman"/>
          <w:color w:val="000000" w:themeColor="text1"/>
          <w:sz w:val="24"/>
          <w:szCs w:val="24"/>
        </w:rPr>
        <w:t>Water absorption.</w:t>
      </w:r>
    </w:p>
    <w:p w14:paraId="2E489459" w14:textId="5E591D73" w:rsidR="00442FCE" w:rsidRPr="006C5123" w:rsidRDefault="00442FCE" w:rsidP="00811D60">
      <w:pPr>
        <w:widowControl w:val="0"/>
        <w:tabs>
          <w:tab w:val="left" w:pos="360"/>
        </w:tabs>
        <w:autoSpaceDE w:val="0"/>
        <w:autoSpaceDN w:val="0"/>
        <w:adjustRightInd w:val="0"/>
        <w:snapToGrid w:val="0"/>
        <w:spacing w:after="0" w:line="480" w:lineRule="auto"/>
        <w:jc w:val="both"/>
        <w:rPr>
          <w:rFonts w:ascii="Times New Roman" w:hAnsi="Times New Roman" w:cs="Times New Roman"/>
          <w:color w:val="000000" w:themeColor="text1"/>
          <w:sz w:val="24"/>
          <w:szCs w:val="24"/>
        </w:rPr>
        <w:sectPr w:rsidR="00442FCE" w:rsidRPr="006C5123" w:rsidSect="00EF238F">
          <w:footerReference w:type="default" r:id="rId8"/>
          <w:pgSz w:w="11906" w:h="16838" w:code="9"/>
          <w:pgMar w:top="1440" w:right="1440" w:bottom="1440" w:left="1440" w:header="706" w:footer="706" w:gutter="0"/>
          <w:cols w:space="708"/>
          <w:docGrid w:linePitch="360"/>
        </w:sectPr>
      </w:pPr>
    </w:p>
    <w:p w14:paraId="2B92F4B7" w14:textId="77777777" w:rsidR="0022595D" w:rsidRPr="006C5123" w:rsidRDefault="0022595D" w:rsidP="00726D88">
      <w:pPr>
        <w:spacing w:after="240" w:line="276" w:lineRule="auto"/>
        <w:rPr>
          <w:rFonts w:ascii="Times New Roman" w:hAnsi="Times New Roman" w:cs="Times New Roman"/>
          <w:b/>
          <w:color w:val="000000" w:themeColor="text1"/>
          <w:sz w:val="20"/>
          <w:szCs w:val="20"/>
        </w:rPr>
      </w:pPr>
    </w:p>
    <w:p w14:paraId="3FC2D471" w14:textId="77777777" w:rsidR="00127AF2" w:rsidRPr="006C5123" w:rsidRDefault="008D6498" w:rsidP="00726D88">
      <w:pPr>
        <w:spacing w:after="240" w:line="276" w:lineRule="auto"/>
        <w:rPr>
          <w:rFonts w:ascii="Times New Roman" w:eastAsia="Times New Roman" w:hAnsi="Times New Roman" w:cs="Latha"/>
          <w:b/>
          <w:color w:val="000000" w:themeColor="text1"/>
          <w:sz w:val="24"/>
          <w:szCs w:val="24"/>
          <w:lang w:eastAsia="en-IN"/>
        </w:rPr>
      </w:pPr>
      <w:r w:rsidRPr="006C5123">
        <w:rPr>
          <w:rFonts w:ascii="Times New Roman" w:eastAsia="Times New Roman" w:hAnsi="Times New Roman" w:cs="Latha"/>
          <w:b/>
          <w:color w:val="000000" w:themeColor="text1"/>
          <w:sz w:val="24"/>
          <w:szCs w:val="24"/>
          <w:lang w:eastAsia="en-IN"/>
        </w:rPr>
        <w:lastRenderedPageBreak/>
        <w:t>INTRODUCTION</w:t>
      </w:r>
    </w:p>
    <w:p w14:paraId="5E9144ED" w14:textId="4039B4EE" w:rsidR="00811D60" w:rsidRPr="006C5123" w:rsidRDefault="00811D60" w:rsidP="00811D60">
      <w:pPr>
        <w:tabs>
          <w:tab w:val="left" w:pos="360"/>
        </w:tabs>
        <w:spacing w:after="240" w:line="360" w:lineRule="auto"/>
        <w:jc w:val="both"/>
        <w:rPr>
          <w:rFonts w:ascii="Times New Roman" w:hAnsi="Times New Roman"/>
          <w:color w:val="000000" w:themeColor="text1"/>
          <w:sz w:val="24"/>
          <w:szCs w:val="24"/>
        </w:rPr>
      </w:pPr>
      <w:r w:rsidRPr="006C5123">
        <w:rPr>
          <w:rFonts w:ascii="Times New Roman" w:hAnsi="Times New Roman"/>
          <w:color w:val="000000" w:themeColor="text1"/>
          <w:sz w:val="24"/>
          <w:szCs w:val="24"/>
        </w:rPr>
        <w:t xml:space="preserve">The corrosion of reinforced concrete structures represents a significant global challenge, resulting in substantial expenses for repair and retrofitting. Aggressive agents infiltrate concrete through its surface, initiating rebar corrosion. </w:t>
      </w:r>
      <w:r w:rsidR="003408B4" w:rsidRPr="006C5123">
        <w:rPr>
          <w:rFonts w:ascii="Times New Roman" w:hAnsi="Times New Roman"/>
          <w:color w:val="000000" w:themeColor="text1"/>
          <w:sz w:val="24"/>
          <w:szCs w:val="24"/>
        </w:rPr>
        <w:t>The durability of concrete structures is greatly influenced by the quality of the concrete's surface or cover zone.</w:t>
      </w:r>
      <w:r w:rsidRPr="006C5123">
        <w:rPr>
          <w:rFonts w:ascii="Times New Roman" w:hAnsi="Times New Roman"/>
          <w:color w:val="000000" w:themeColor="text1"/>
          <w:sz w:val="24"/>
          <w:szCs w:val="24"/>
        </w:rPr>
        <w:t xml:space="preserve"> This surface zone serves as the initial line of </w:t>
      </w:r>
      <w:proofErr w:type="spellStart"/>
      <w:r w:rsidRPr="006C5123">
        <w:rPr>
          <w:rFonts w:ascii="Times New Roman" w:hAnsi="Times New Roman"/>
          <w:color w:val="000000" w:themeColor="text1"/>
          <w:sz w:val="24"/>
          <w:szCs w:val="24"/>
        </w:rPr>
        <w:t>defense</w:t>
      </w:r>
      <w:proofErr w:type="spellEnd"/>
      <w:r w:rsidRPr="006C5123">
        <w:rPr>
          <w:rFonts w:ascii="Times New Roman" w:hAnsi="Times New Roman"/>
          <w:color w:val="000000" w:themeColor="text1"/>
          <w:sz w:val="24"/>
          <w:szCs w:val="24"/>
        </w:rPr>
        <w:t xml:space="preserve"> against both physical and chemical deterioration, profoundly influencing the overall structural longevity.</w:t>
      </w:r>
    </w:p>
    <w:p w14:paraId="68E666E9" w14:textId="3B5C90A4" w:rsidR="00811D60" w:rsidRPr="006C5123" w:rsidRDefault="003408B4" w:rsidP="00811D60">
      <w:pPr>
        <w:tabs>
          <w:tab w:val="left" w:pos="360"/>
        </w:tabs>
        <w:spacing w:after="240" w:line="360" w:lineRule="auto"/>
        <w:jc w:val="both"/>
        <w:rPr>
          <w:rFonts w:ascii="Times New Roman" w:hAnsi="Times New Roman"/>
          <w:color w:val="000000" w:themeColor="text1"/>
          <w:sz w:val="24"/>
          <w:szCs w:val="24"/>
        </w:rPr>
      </w:pPr>
      <w:r w:rsidRPr="006C5123">
        <w:rPr>
          <w:rFonts w:ascii="Times New Roman" w:hAnsi="Times New Roman"/>
          <w:color w:val="000000" w:themeColor="text1"/>
          <w:sz w:val="24"/>
          <w:szCs w:val="24"/>
        </w:rPr>
        <w:t>A crucial economic factor for extending the service life of reinforced concrete structures is to make the concrete cover zone more durable</w:t>
      </w:r>
      <w:r w:rsidR="00811D60" w:rsidRPr="006C5123">
        <w:rPr>
          <w:rFonts w:ascii="Times New Roman" w:hAnsi="Times New Roman"/>
          <w:color w:val="000000" w:themeColor="text1"/>
          <w:sz w:val="24"/>
          <w:szCs w:val="24"/>
        </w:rPr>
        <w:t xml:space="preserve">. Traditionally, efforts to improve concrete durability have focused on increasing cement content, reducing the water-cement ratio, and incorporating various admixtures. However, these approaches primarily impact </w:t>
      </w:r>
      <w:r w:rsidRPr="006C5123">
        <w:rPr>
          <w:rFonts w:ascii="Times New Roman" w:hAnsi="Times New Roman"/>
          <w:color w:val="000000" w:themeColor="text1"/>
          <w:sz w:val="24"/>
          <w:szCs w:val="24"/>
        </w:rPr>
        <w:t>rather than focusing on surface-level issues, consider the bulk qualities of concrete.</w:t>
      </w:r>
    </w:p>
    <w:p w14:paraId="287CCEE5" w14:textId="6A2A977E" w:rsidR="00811D60" w:rsidRPr="006C5123" w:rsidRDefault="00811D60" w:rsidP="00811D60">
      <w:pPr>
        <w:tabs>
          <w:tab w:val="left" w:pos="360"/>
        </w:tabs>
        <w:spacing w:after="240" w:line="360" w:lineRule="auto"/>
        <w:jc w:val="both"/>
        <w:rPr>
          <w:rFonts w:ascii="Times New Roman" w:hAnsi="Times New Roman"/>
          <w:color w:val="000000" w:themeColor="text1"/>
          <w:sz w:val="24"/>
          <w:szCs w:val="24"/>
        </w:rPr>
      </w:pPr>
      <w:r w:rsidRPr="006C5123">
        <w:rPr>
          <w:rFonts w:ascii="Times New Roman" w:hAnsi="Times New Roman"/>
          <w:color w:val="000000" w:themeColor="text1"/>
          <w:sz w:val="24"/>
          <w:szCs w:val="24"/>
        </w:rPr>
        <w:t xml:space="preserve">In practical terms, the concrete's surface layer is in direct contact with atmospheric conditions. Aggressive agents, whether in gaseous or liquid form, particularly chlorides or carbon dioxide, permeate the concrete through its surface layer, </w:t>
      </w:r>
      <w:r w:rsidR="00442FCE" w:rsidRPr="006C5123">
        <w:rPr>
          <w:rFonts w:ascii="Times New Roman" w:hAnsi="Times New Roman"/>
          <w:color w:val="000000" w:themeColor="text1"/>
          <w:sz w:val="24"/>
          <w:szCs w:val="24"/>
        </w:rPr>
        <w:t>threatening</w:t>
      </w:r>
      <w:r w:rsidRPr="006C5123">
        <w:rPr>
          <w:rFonts w:ascii="Times New Roman" w:hAnsi="Times New Roman"/>
          <w:color w:val="000000" w:themeColor="text1"/>
          <w:sz w:val="24"/>
          <w:szCs w:val="24"/>
        </w:rPr>
        <w:t xml:space="preserve"> the integrity of the concrete structures. Notably, the choice of formwork employed during construction significantly influences the performance of this surface layer [1].</w:t>
      </w:r>
    </w:p>
    <w:p w14:paraId="45E26FE1" w14:textId="41CC4C9A" w:rsidR="00811D60" w:rsidRPr="006C5123" w:rsidRDefault="00811D60" w:rsidP="00811D60">
      <w:pPr>
        <w:tabs>
          <w:tab w:val="left" w:pos="360"/>
        </w:tabs>
        <w:spacing w:after="240" w:line="360" w:lineRule="auto"/>
        <w:jc w:val="both"/>
        <w:rPr>
          <w:rFonts w:ascii="Times New Roman" w:eastAsia="Times New Roman" w:hAnsi="Times New Roman" w:cs="Latha"/>
          <w:color w:val="000000" w:themeColor="text1"/>
          <w:sz w:val="24"/>
          <w:szCs w:val="24"/>
          <w:lang w:eastAsia="en-IN"/>
        </w:rPr>
      </w:pPr>
      <w:r w:rsidRPr="006C5123">
        <w:rPr>
          <w:rFonts w:ascii="Times New Roman" w:eastAsia="Times New Roman" w:hAnsi="Times New Roman" w:cs="Latha"/>
          <w:color w:val="000000" w:themeColor="text1"/>
          <w:sz w:val="24"/>
          <w:szCs w:val="24"/>
          <w:lang w:eastAsia="en-IN"/>
        </w:rPr>
        <w:t xml:space="preserve">Commonly used formwork materials, such as </w:t>
      </w:r>
      <w:r w:rsidR="003408B4" w:rsidRPr="006C5123">
        <w:rPr>
          <w:rFonts w:ascii="Times New Roman" w:eastAsia="Times New Roman" w:hAnsi="Times New Roman" w:cs="Latha"/>
          <w:color w:val="000000" w:themeColor="text1"/>
          <w:sz w:val="24"/>
          <w:szCs w:val="24"/>
          <w:lang w:eastAsia="en-IN"/>
        </w:rPr>
        <w:t>Plywood or steel that has been impregnated is air and water-tight. When compaction is taking place</w:t>
      </w:r>
      <w:r w:rsidRPr="006C5123">
        <w:rPr>
          <w:rFonts w:ascii="Times New Roman" w:eastAsia="Times New Roman" w:hAnsi="Times New Roman" w:cs="Latha"/>
          <w:color w:val="000000" w:themeColor="text1"/>
          <w:sz w:val="24"/>
          <w:szCs w:val="24"/>
          <w:lang w:eastAsia="en-IN"/>
        </w:rPr>
        <w:t xml:space="preserve">, any excess water and trapped air tend to migrate towards the formwork. However, since conventional </w:t>
      </w:r>
      <w:r w:rsidR="001B0D7E" w:rsidRPr="006C5123">
        <w:rPr>
          <w:rFonts w:ascii="Times New Roman" w:eastAsia="Times New Roman" w:hAnsi="Times New Roman" w:cs="Latha"/>
          <w:color w:val="000000" w:themeColor="text1"/>
          <w:sz w:val="24"/>
          <w:szCs w:val="24"/>
          <w:lang w:eastAsia="en-IN"/>
        </w:rPr>
        <w:t xml:space="preserve">steel or wood </w:t>
      </w:r>
      <w:r w:rsidRPr="006C5123">
        <w:rPr>
          <w:rFonts w:ascii="Times New Roman" w:eastAsia="Times New Roman" w:hAnsi="Times New Roman" w:cs="Latha"/>
          <w:color w:val="000000" w:themeColor="text1"/>
          <w:sz w:val="24"/>
          <w:szCs w:val="24"/>
          <w:lang w:eastAsia="en-IN"/>
        </w:rPr>
        <w:t>is impermeable (referred to as an Impermeable Formwork or IMF), this migration halts when the concrete reaches the interface with the formwork. This phenomenon becomes visually evident on concrete surfaces upon formwork removal, manifesting as the presence of blowholes and pinholes [2].</w:t>
      </w:r>
    </w:p>
    <w:p w14:paraId="5F645BBB" w14:textId="0C4404AC" w:rsidR="00811D60" w:rsidRPr="006C5123" w:rsidRDefault="00811D60" w:rsidP="00442FCE">
      <w:pPr>
        <w:pStyle w:val="Default"/>
        <w:tabs>
          <w:tab w:val="left" w:pos="360"/>
        </w:tabs>
        <w:spacing w:after="240" w:line="360" w:lineRule="auto"/>
        <w:jc w:val="both"/>
        <w:rPr>
          <w:rFonts w:eastAsia="Times New Roman" w:cs="Latha"/>
          <w:color w:val="000000" w:themeColor="text1"/>
        </w:rPr>
      </w:pPr>
      <w:r w:rsidRPr="006C5123">
        <w:rPr>
          <w:rFonts w:eastAsia="Times New Roman" w:cs="Latha"/>
          <w:color w:val="000000" w:themeColor="text1"/>
        </w:rPr>
        <w:t xml:space="preserve">In terms of structural composition, the core of any given structural element typically displays higher density and superior quality compared to the surface, primarily attributable to the compaction process. Conversely, </w:t>
      </w:r>
      <w:r w:rsidR="00EE3852" w:rsidRPr="006C5123">
        <w:rPr>
          <w:rFonts w:eastAsia="Times New Roman" w:cs="Latha"/>
          <w:color w:val="000000" w:themeColor="text1"/>
        </w:rPr>
        <w:t xml:space="preserve">compared to the inner core of the concrete, the concrete surface is more vulnerable to inadequate curing and compaction </w:t>
      </w:r>
      <w:r w:rsidRPr="006C5123">
        <w:rPr>
          <w:rFonts w:eastAsia="Times New Roman" w:cs="Latha"/>
          <w:color w:val="000000" w:themeColor="text1"/>
        </w:rPr>
        <w:t>[3]. Hence, to ensure robust durability, it becomes imperative to establish a well-compacted, resilient concrete surface zone characterized by low permeability, minimal diffusion, and an absence of surface porosity.</w:t>
      </w:r>
    </w:p>
    <w:p w14:paraId="281FF598" w14:textId="77777777" w:rsidR="00811D60" w:rsidRPr="006C5123" w:rsidRDefault="00811D60" w:rsidP="00811D60">
      <w:pPr>
        <w:pStyle w:val="Default"/>
        <w:tabs>
          <w:tab w:val="left" w:pos="360"/>
        </w:tabs>
        <w:spacing w:after="240" w:line="276" w:lineRule="auto"/>
        <w:jc w:val="center"/>
        <w:rPr>
          <w:rFonts w:eastAsia="Times New Roman" w:cs="Latha"/>
          <w:color w:val="000000" w:themeColor="text1"/>
        </w:rPr>
      </w:pPr>
    </w:p>
    <w:p w14:paraId="6D1D934B" w14:textId="06829EB7" w:rsidR="00811D60" w:rsidRPr="006C5123" w:rsidRDefault="00D9333A" w:rsidP="00442FCE">
      <w:pPr>
        <w:pStyle w:val="Default"/>
        <w:tabs>
          <w:tab w:val="left" w:pos="360"/>
        </w:tabs>
        <w:spacing w:after="240" w:line="360" w:lineRule="auto"/>
        <w:jc w:val="both"/>
        <w:rPr>
          <w:rFonts w:eastAsia="Times New Roman" w:cs="Latha"/>
          <w:color w:val="000000" w:themeColor="text1"/>
        </w:rPr>
      </w:pPr>
      <w:r w:rsidRPr="006C5123">
        <w:rPr>
          <w:rFonts w:eastAsia="Times New Roman" w:cs="Latha"/>
          <w:color w:val="000000" w:themeColor="text1"/>
        </w:rPr>
        <w:t>CPF is an active method used to improve the surface layer's quality in concrete.</w:t>
      </w:r>
      <w:r w:rsidR="00811D60" w:rsidRPr="006C5123">
        <w:rPr>
          <w:rFonts w:eastAsia="Times New Roman" w:cs="Latha"/>
          <w:color w:val="000000" w:themeColor="text1"/>
        </w:rPr>
        <w:t xml:space="preserve"> The CPF system comprises a textile liner affixed to conventional formwork, as depicted in Figure 1. </w:t>
      </w:r>
      <w:r w:rsidR="00AE4C39" w:rsidRPr="006C5123">
        <w:rPr>
          <w:rFonts w:eastAsia="Times New Roman" w:cs="Latha"/>
          <w:color w:val="000000" w:themeColor="text1"/>
        </w:rPr>
        <w:t xml:space="preserve">The CPF liner helps the near-surface concrete to drain excess mix water and trapped air while holding cement and other fine particles inside of </w:t>
      </w:r>
      <w:r w:rsidR="00811D60" w:rsidRPr="006C5123">
        <w:rPr>
          <w:rFonts w:eastAsia="Times New Roman" w:cs="Latha"/>
          <w:color w:val="000000" w:themeColor="text1"/>
        </w:rPr>
        <w:t>it [5-16]. This mechanism serves to reduce the w</w:t>
      </w:r>
      <w:r w:rsidR="00442FCE" w:rsidRPr="006C5123">
        <w:rPr>
          <w:rFonts w:eastAsia="Times New Roman" w:cs="Latha"/>
          <w:color w:val="000000" w:themeColor="text1"/>
        </w:rPr>
        <w:t>/</w:t>
      </w:r>
      <w:r w:rsidR="009F5DD5" w:rsidRPr="006C5123">
        <w:rPr>
          <w:rFonts w:eastAsia="Times New Roman" w:cs="Latha"/>
          <w:color w:val="000000" w:themeColor="text1"/>
        </w:rPr>
        <w:t xml:space="preserve">c ratio, </w:t>
      </w:r>
      <w:r w:rsidR="00811D60" w:rsidRPr="006C5123">
        <w:rPr>
          <w:rFonts w:eastAsia="Times New Roman" w:cs="Latha"/>
          <w:color w:val="000000" w:themeColor="text1"/>
        </w:rPr>
        <w:t xml:space="preserve">reduce surface porosity </w:t>
      </w:r>
      <w:r w:rsidR="009F5DD5" w:rsidRPr="006C5123">
        <w:rPr>
          <w:rFonts w:eastAsia="Times New Roman" w:cs="Latha"/>
          <w:color w:val="000000" w:themeColor="text1"/>
        </w:rPr>
        <w:t xml:space="preserve">and increase cement content </w:t>
      </w:r>
      <w:r w:rsidR="00811D60" w:rsidRPr="006C5123">
        <w:rPr>
          <w:rFonts w:eastAsia="Times New Roman" w:cs="Latha"/>
          <w:color w:val="000000" w:themeColor="text1"/>
        </w:rPr>
        <w:t>within the concrete's cover zone. Consequently, this process yields a uniform surface devoid of blowholes, pinholes, and surface imperfections.</w:t>
      </w:r>
    </w:p>
    <w:p w14:paraId="2E86F1E6" w14:textId="77777777" w:rsidR="008850F4" w:rsidRPr="006C5123" w:rsidRDefault="007F4236" w:rsidP="00367506">
      <w:pPr>
        <w:pStyle w:val="Default"/>
        <w:tabs>
          <w:tab w:val="left" w:pos="360"/>
        </w:tabs>
        <w:spacing w:after="240" w:line="276" w:lineRule="auto"/>
        <w:jc w:val="center"/>
        <w:rPr>
          <w:rFonts w:eastAsia="Times New Roman" w:cs="Latha"/>
          <w:color w:val="000000" w:themeColor="text1"/>
          <w:sz w:val="18"/>
          <w:szCs w:val="18"/>
        </w:rPr>
      </w:pPr>
      <w:r w:rsidRPr="006C5123">
        <w:rPr>
          <w:noProof/>
          <w:color w:val="000000" w:themeColor="text1"/>
          <w:sz w:val="20"/>
          <w:szCs w:val="20"/>
          <w:lang w:val="en-US" w:eastAsia="en-US"/>
        </w:rPr>
        <w:drawing>
          <wp:inline distT="0" distB="0" distL="0" distR="0" wp14:anchorId="0A2B7CEF" wp14:editId="4164A102">
            <wp:extent cx="2488091" cy="2019300"/>
            <wp:effectExtent l="19050" t="19050" r="26670" b="19050"/>
            <wp:docPr id="5" name="Picture 1" descr="I:\ \CPF DRAWING NEW\kantha\02.png"/>
            <wp:cNvGraphicFramePr/>
            <a:graphic xmlns:a="http://schemas.openxmlformats.org/drawingml/2006/main">
              <a:graphicData uri="http://schemas.openxmlformats.org/drawingml/2006/picture">
                <pic:pic xmlns:pic="http://schemas.openxmlformats.org/drawingml/2006/picture">
                  <pic:nvPicPr>
                    <pic:cNvPr id="0" name="Picture 1" descr="I:\ \CPF DRAWING NEW\kantha\02.png"/>
                    <pic:cNvPicPr>
                      <a:picLocks noChangeAspect="1" noChangeArrowheads="1"/>
                    </pic:cNvPicPr>
                  </pic:nvPicPr>
                  <pic:blipFill>
                    <a:blip r:embed="rId9" cstate="print"/>
                    <a:srcRect/>
                    <a:stretch>
                      <a:fillRect/>
                    </a:stretch>
                  </pic:blipFill>
                  <pic:spPr bwMode="auto">
                    <a:xfrm>
                      <a:off x="0" y="0"/>
                      <a:ext cx="2488328" cy="2019492"/>
                    </a:xfrm>
                    <a:prstGeom prst="rect">
                      <a:avLst/>
                    </a:prstGeom>
                    <a:noFill/>
                    <a:ln w="9525">
                      <a:solidFill>
                        <a:srgbClr val="FF0000"/>
                      </a:solidFill>
                      <a:miter lim="800000"/>
                      <a:headEnd/>
                      <a:tailEnd/>
                    </a:ln>
                  </pic:spPr>
                </pic:pic>
              </a:graphicData>
            </a:graphic>
          </wp:inline>
        </w:drawing>
      </w:r>
    </w:p>
    <w:p w14:paraId="09FACA3E" w14:textId="77777777" w:rsidR="008850F4" w:rsidRPr="006C5123" w:rsidRDefault="00BF70D0" w:rsidP="00367506">
      <w:pPr>
        <w:tabs>
          <w:tab w:val="left" w:pos="180"/>
        </w:tabs>
        <w:spacing w:after="0" w:line="480" w:lineRule="auto"/>
        <w:jc w:val="center"/>
        <w:rPr>
          <w:rFonts w:ascii="Times New Roman" w:hAnsi="Times New Roman"/>
          <w:b/>
          <w:color w:val="000000" w:themeColor="text1"/>
          <w:sz w:val="24"/>
          <w:szCs w:val="24"/>
        </w:rPr>
      </w:pPr>
      <w:r w:rsidRPr="006C5123">
        <w:rPr>
          <w:rFonts w:ascii="Times New Roman" w:hAnsi="Times New Roman"/>
          <w:b/>
          <w:bCs/>
          <w:color w:val="000000" w:themeColor="text1"/>
          <w:sz w:val="24"/>
          <w:szCs w:val="24"/>
        </w:rPr>
        <w:t>Fig.</w:t>
      </w:r>
      <w:r w:rsidR="008850F4" w:rsidRPr="006C5123">
        <w:rPr>
          <w:rFonts w:ascii="Times New Roman" w:hAnsi="Times New Roman"/>
          <w:b/>
          <w:bCs/>
          <w:color w:val="000000" w:themeColor="text1"/>
          <w:sz w:val="24"/>
          <w:szCs w:val="24"/>
        </w:rPr>
        <w:t xml:space="preserve"> 1</w:t>
      </w:r>
      <w:r w:rsidR="00CB400E" w:rsidRPr="006C5123">
        <w:rPr>
          <w:rFonts w:ascii="Times New Roman" w:hAnsi="Times New Roman"/>
          <w:b/>
          <w:color w:val="000000" w:themeColor="text1"/>
          <w:sz w:val="24"/>
          <w:szCs w:val="24"/>
        </w:rPr>
        <w:t xml:space="preserve"> </w:t>
      </w:r>
      <w:r w:rsidR="007F4236" w:rsidRPr="006C5123">
        <w:rPr>
          <w:rFonts w:ascii="Times New Roman" w:hAnsi="Times New Roman"/>
          <w:color w:val="000000" w:themeColor="text1"/>
          <w:sz w:val="24"/>
          <w:szCs w:val="24"/>
        </w:rPr>
        <w:t>Function of CPF liner</w:t>
      </w:r>
      <w:r w:rsidRPr="006C5123">
        <w:rPr>
          <w:rFonts w:ascii="Times New Roman" w:hAnsi="Times New Roman"/>
          <w:color w:val="000000" w:themeColor="text1"/>
          <w:sz w:val="24"/>
          <w:szCs w:val="24"/>
        </w:rPr>
        <w:t xml:space="preserve"> [4]</w:t>
      </w:r>
    </w:p>
    <w:p w14:paraId="67F582BF" w14:textId="2DF3152D" w:rsidR="00811D60" w:rsidRPr="006C5123" w:rsidRDefault="008D65DE" w:rsidP="00811D60">
      <w:pPr>
        <w:pStyle w:val="BodyText"/>
        <w:tabs>
          <w:tab w:val="left" w:pos="360"/>
        </w:tabs>
        <w:spacing w:after="240" w:line="360" w:lineRule="auto"/>
        <w:rPr>
          <w:rFonts w:cs="Latha"/>
          <w:color w:val="000000" w:themeColor="text1"/>
          <w:szCs w:val="24"/>
          <w:lang w:eastAsia="en-IN"/>
        </w:rPr>
      </w:pPr>
      <w:r w:rsidRPr="006C5123">
        <w:rPr>
          <w:rFonts w:cs="Latha"/>
          <w:color w:val="000000" w:themeColor="text1"/>
          <w:szCs w:val="24"/>
          <w:lang w:eastAsia="en-IN"/>
        </w:rPr>
        <w:t>Many researchers have repeatedly noted that the vibration caused by the compaction process causes a precise amount of mix water and trapped air to be directed towards the formwork</w:t>
      </w:r>
      <w:r w:rsidR="00811D60" w:rsidRPr="006C5123">
        <w:rPr>
          <w:rFonts w:cs="Latha"/>
          <w:color w:val="000000" w:themeColor="text1"/>
          <w:szCs w:val="24"/>
          <w:lang w:eastAsia="en-IN"/>
        </w:rPr>
        <w:t xml:space="preserve">. However, </w:t>
      </w:r>
      <w:r w:rsidR="00442FCE" w:rsidRPr="006C5123">
        <w:rPr>
          <w:rFonts w:cs="Latha"/>
          <w:color w:val="000000" w:themeColor="text1"/>
          <w:szCs w:val="24"/>
          <w:lang w:eastAsia="en-IN"/>
        </w:rPr>
        <w:t>evaluating</w:t>
      </w:r>
      <w:r w:rsidR="00811D60" w:rsidRPr="006C5123">
        <w:rPr>
          <w:rFonts w:cs="Latha"/>
          <w:color w:val="000000" w:themeColor="text1"/>
          <w:szCs w:val="24"/>
          <w:lang w:eastAsia="en-IN"/>
        </w:rPr>
        <w:t xml:space="preserve"> CPF liner performance and efficiency in the context of SCC remains relatively scarce.</w:t>
      </w:r>
    </w:p>
    <w:p w14:paraId="1173BF9C" w14:textId="169F6FFC" w:rsidR="00811D60" w:rsidRPr="006C5123" w:rsidRDefault="00811D60" w:rsidP="00811D60">
      <w:pPr>
        <w:pStyle w:val="BodyText"/>
        <w:tabs>
          <w:tab w:val="clear" w:pos="234"/>
          <w:tab w:val="left" w:pos="360"/>
        </w:tabs>
        <w:spacing w:after="240" w:line="360" w:lineRule="auto"/>
        <w:rPr>
          <w:rFonts w:cs="Latha"/>
          <w:color w:val="000000" w:themeColor="text1"/>
          <w:szCs w:val="24"/>
          <w:lang w:eastAsia="en-IN"/>
        </w:rPr>
      </w:pPr>
      <w:r w:rsidRPr="006C5123">
        <w:rPr>
          <w:rFonts w:cs="Latha"/>
          <w:color w:val="000000" w:themeColor="text1"/>
          <w:szCs w:val="24"/>
          <w:lang w:eastAsia="en-IN"/>
        </w:rPr>
        <w:t xml:space="preserve">In the current experimental study, </w:t>
      </w:r>
      <w:r w:rsidR="008D65DE" w:rsidRPr="006C5123">
        <w:rPr>
          <w:rFonts w:cs="Latha"/>
          <w:color w:val="000000" w:themeColor="text1"/>
          <w:szCs w:val="24"/>
          <w:lang w:eastAsia="en-IN"/>
        </w:rPr>
        <w:t>our goal is to evaluate the CPF liner's performance in relation to self-compacting concrete</w:t>
      </w:r>
      <w:r w:rsidRPr="006C5123">
        <w:rPr>
          <w:rFonts w:cs="Latha"/>
          <w:color w:val="000000" w:themeColor="text1"/>
          <w:szCs w:val="24"/>
          <w:lang w:eastAsia="en-IN"/>
        </w:rPr>
        <w:t>, where traditional vibration for compaction is unnecessary.</w:t>
      </w:r>
    </w:p>
    <w:p w14:paraId="162CE261" w14:textId="0E7AA0B4" w:rsidR="0070633C" w:rsidRPr="006C5123" w:rsidRDefault="00D74B20" w:rsidP="00811D60">
      <w:pPr>
        <w:pStyle w:val="BodyText"/>
        <w:tabs>
          <w:tab w:val="clear" w:pos="234"/>
          <w:tab w:val="left" w:pos="360"/>
        </w:tabs>
        <w:spacing w:after="240" w:line="360" w:lineRule="auto"/>
        <w:rPr>
          <w:b/>
          <w:color w:val="000000" w:themeColor="text1"/>
          <w:szCs w:val="24"/>
        </w:rPr>
      </w:pPr>
      <w:r w:rsidRPr="006C5123">
        <w:rPr>
          <w:b/>
          <w:color w:val="000000" w:themeColor="text1"/>
          <w:szCs w:val="24"/>
        </w:rPr>
        <w:t>EXPERIMENTAL WORK</w:t>
      </w:r>
    </w:p>
    <w:p w14:paraId="52F56254" w14:textId="77777777" w:rsidR="00D5090B" w:rsidRPr="006C5123" w:rsidRDefault="00D5090B" w:rsidP="00D149AE">
      <w:pPr>
        <w:spacing w:line="276" w:lineRule="auto"/>
        <w:jc w:val="both"/>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t>Materials</w:t>
      </w:r>
    </w:p>
    <w:p w14:paraId="72C137AE" w14:textId="7111ADEB" w:rsidR="00811D60" w:rsidRPr="006C5123" w:rsidRDefault="00811D60" w:rsidP="00442FCE">
      <w:pPr>
        <w:pStyle w:val="BodyText"/>
        <w:tabs>
          <w:tab w:val="left" w:pos="180"/>
          <w:tab w:val="left" w:pos="360"/>
        </w:tabs>
        <w:spacing w:line="360" w:lineRule="auto"/>
        <w:rPr>
          <w:color w:val="000000" w:themeColor="text1"/>
          <w:szCs w:val="24"/>
        </w:rPr>
      </w:pPr>
      <w:r w:rsidRPr="006C5123">
        <w:rPr>
          <w:color w:val="000000" w:themeColor="text1"/>
          <w:szCs w:val="24"/>
        </w:rPr>
        <w:t xml:space="preserve">Throughout this investigation, </w:t>
      </w:r>
      <w:r w:rsidR="00D96929" w:rsidRPr="006C5123">
        <w:rPr>
          <w:color w:val="000000" w:themeColor="text1"/>
          <w:szCs w:val="24"/>
        </w:rPr>
        <w:t>OPC (Ordinary Portland Cement) of grade 43</w:t>
      </w:r>
      <w:r w:rsidRPr="006C5123">
        <w:rPr>
          <w:color w:val="000000" w:themeColor="text1"/>
          <w:szCs w:val="24"/>
        </w:rPr>
        <w:t xml:space="preserve">, adhering to IS: 8112-1989 [17] standards and possessing a </w:t>
      </w:r>
      <w:r w:rsidR="00EA7F56" w:rsidRPr="006C5123">
        <w:rPr>
          <w:color w:val="000000" w:themeColor="text1"/>
          <w:szCs w:val="24"/>
        </w:rPr>
        <w:t xml:space="preserve">specific gravity of 3.15 </w:t>
      </w:r>
      <w:r w:rsidRPr="006C5123">
        <w:rPr>
          <w:color w:val="000000" w:themeColor="text1"/>
          <w:szCs w:val="24"/>
        </w:rPr>
        <w:t xml:space="preserve">was </w:t>
      </w:r>
      <w:r w:rsidR="00EA7F56" w:rsidRPr="006C5123">
        <w:rPr>
          <w:color w:val="000000" w:themeColor="text1"/>
          <w:szCs w:val="24"/>
        </w:rPr>
        <w:t>used</w:t>
      </w:r>
      <w:r w:rsidRPr="006C5123">
        <w:rPr>
          <w:color w:val="000000" w:themeColor="text1"/>
          <w:szCs w:val="24"/>
        </w:rPr>
        <w:t xml:space="preserve">. </w:t>
      </w:r>
      <w:r w:rsidR="00EA7F56" w:rsidRPr="006C5123">
        <w:rPr>
          <w:color w:val="000000" w:themeColor="text1"/>
          <w:szCs w:val="24"/>
        </w:rPr>
        <w:t xml:space="preserve">Locally sourced natural river sand that conformed with IS: 383-2016 zone II was used as the fine aggregate </w:t>
      </w:r>
      <w:r w:rsidRPr="006C5123">
        <w:rPr>
          <w:color w:val="000000" w:themeColor="text1"/>
          <w:szCs w:val="24"/>
        </w:rPr>
        <w:t xml:space="preserve">[18] standards, </w:t>
      </w:r>
      <w:r w:rsidR="00EA7F56" w:rsidRPr="006C5123">
        <w:rPr>
          <w:color w:val="000000" w:themeColor="text1"/>
          <w:szCs w:val="24"/>
        </w:rPr>
        <w:t>having a 2.6 specific gravity and a 2.54 fineness modulus</w:t>
      </w:r>
      <w:r w:rsidRPr="006C5123">
        <w:rPr>
          <w:color w:val="000000" w:themeColor="text1"/>
          <w:szCs w:val="24"/>
        </w:rPr>
        <w:t xml:space="preserve">. </w:t>
      </w:r>
      <w:r w:rsidR="00584787" w:rsidRPr="006C5123">
        <w:rPr>
          <w:color w:val="000000" w:themeColor="text1"/>
          <w:szCs w:val="24"/>
        </w:rPr>
        <w:t xml:space="preserve">Crushed natural </w:t>
      </w:r>
      <w:r w:rsidR="00584787" w:rsidRPr="006C5123">
        <w:rPr>
          <w:color w:val="000000" w:themeColor="text1"/>
          <w:szCs w:val="24"/>
        </w:rPr>
        <w:lastRenderedPageBreak/>
        <w:t>rock stone that conformed with IS: 383-2016 requirements and had a specific gravity of 2.79 and a fineness modulus of 7.8 was used as the coarse aggregate [18].</w:t>
      </w:r>
    </w:p>
    <w:p w14:paraId="79820D70" w14:textId="77777777" w:rsidR="00811D60" w:rsidRPr="006C5123" w:rsidRDefault="00811D60" w:rsidP="00442FCE">
      <w:pPr>
        <w:pStyle w:val="BodyText"/>
        <w:tabs>
          <w:tab w:val="left" w:pos="180"/>
          <w:tab w:val="left" w:pos="360"/>
        </w:tabs>
        <w:spacing w:line="360" w:lineRule="auto"/>
        <w:rPr>
          <w:color w:val="000000" w:themeColor="text1"/>
          <w:szCs w:val="24"/>
        </w:rPr>
      </w:pPr>
    </w:p>
    <w:p w14:paraId="26CDF867" w14:textId="77777777" w:rsidR="0018407E" w:rsidRPr="006C5123" w:rsidRDefault="00811D60" w:rsidP="00442FCE">
      <w:pPr>
        <w:pStyle w:val="BodyText"/>
        <w:tabs>
          <w:tab w:val="left" w:pos="180"/>
          <w:tab w:val="left" w:pos="360"/>
        </w:tabs>
        <w:spacing w:line="360" w:lineRule="auto"/>
        <w:rPr>
          <w:color w:val="000000" w:themeColor="text1"/>
          <w:szCs w:val="24"/>
        </w:rPr>
      </w:pPr>
      <w:r w:rsidRPr="006C5123">
        <w:rPr>
          <w:color w:val="000000" w:themeColor="text1"/>
          <w:szCs w:val="24"/>
        </w:rPr>
        <w:t xml:space="preserve">For the mixing and </w:t>
      </w:r>
      <w:r w:rsidR="00442FCE" w:rsidRPr="006C5123">
        <w:rPr>
          <w:color w:val="000000" w:themeColor="text1"/>
          <w:szCs w:val="24"/>
        </w:rPr>
        <w:t>preparing</w:t>
      </w:r>
      <w:r w:rsidRPr="006C5123">
        <w:rPr>
          <w:color w:val="000000" w:themeColor="text1"/>
          <w:szCs w:val="24"/>
        </w:rPr>
        <w:t xml:space="preserve"> </w:t>
      </w:r>
      <w:r w:rsidR="00442FCE" w:rsidRPr="006C5123">
        <w:rPr>
          <w:color w:val="000000" w:themeColor="text1"/>
          <w:szCs w:val="24"/>
        </w:rPr>
        <w:t xml:space="preserve">of </w:t>
      </w:r>
      <w:r w:rsidRPr="006C5123">
        <w:rPr>
          <w:color w:val="000000" w:themeColor="text1"/>
          <w:szCs w:val="24"/>
        </w:rPr>
        <w:t xml:space="preserve">concrete, normal tap water, meeting the requirements stipulated in IS: 456-2000 [19], was employed. Additionally, </w:t>
      </w:r>
      <w:r w:rsidR="0018407E" w:rsidRPr="006C5123">
        <w:rPr>
          <w:color w:val="000000" w:themeColor="text1"/>
          <w:szCs w:val="24"/>
        </w:rPr>
        <w:t xml:space="preserve">Fly ash from Chennai's </w:t>
      </w:r>
      <w:proofErr w:type="spellStart"/>
      <w:r w:rsidR="0018407E" w:rsidRPr="006C5123">
        <w:rPr>
          <w:color w:val="000000" w:themeColor="text1"/>
          <w:szCs w:val="24"/>
        </w:rPr>
        <w:t>Ennore</w:t>
      </w:r>
      <w:proofErr w:type="spellEnd"/>
      <w:r w:rsidR="0018407E" w:rsidRPr="006C5123">
        <w:rPr>
          <w:color w:val="000000" w:themeColor="text1"/>
          <w:szCs w:val="24"/>
        </w:rPr>
        <w:t xml:space="preserve"> Thermal Power Station was added to the mixture.</w:t>
      </w:r>
      <w:r w:rsidRPr="006C5123">
        <w:rPr>
          <w:color w:val="000000" w:themeColor="text1"/>
          <w:szCs w:val="24"/>
        </w:rPr>
        <w:t xml:space="preserve"> </w:t>
      </w:r>
      <w:r w:rsidR="0018407E" w:rsidRPr="006C5123">
        <w:rPr>
          <w:color w:val="000000" w:themeColor="text1"/>
          <w:szCs w:val="24"/>
        </w:rPr>
        <w:t xml:space="preserve">A polycarboxylate ether polymer-based superplasticizer (SP) by IS: 9103-1999 was used in this work </w:t>
      </w:r>
      <w:r w:rsidRPr="006C5123">
        <w:rPr>
          <w:color w:val="000000" w:themeColor="text1"/>
          <w:szCs w:val="24"/>
        </w:rPr>
        <w:t>[20] standards</w:t>
      </w:r>
      <w:r w:rsidR="00442FCE" w:rsidRPr="006C5123">
        <w:rPr>
          <w:color w:val="000000" w:themeColor="text1"/>
          <w:szCs w:val="24"/>
        </w:rPr>
        <w:t>,</w:t>
      </w:r>
      <w:r w:rsidRPr="006C5123">
        <w:rPr>
          <w:color w:val="000000" w:themeColor="text1"/>
          <w:szCs w:val="24"/>
        </w:rPr>
        <w:t xml:space="preserve"> was utilized to enhance workability. </w:t>
      </w:r>
      <w:r w:rsidR="0018407E" w:rsidRPr="006C5123">
        <w:rPr>
          <w:color w:val="000000" w:themeColor="text1"/>
          <w:szCs w:val="24"/>
        </w:rPr>
        <w:t>A viscosity-modifying admixture (VMA) was also added to stop segregation.</w:t>
      </w:r>
    </w:p>
    <w:p w14:paraId="6E46214B" w14:textId="46BF5A83" w:rsidR="00FD3CF8" w:rsidRPr="006C5123" w:rsidRDefault="00811D60" w:rsidP="00442FCE">
      <w:pPr>
        <w:pStyle w:val="BodyText"/>
        <w:tabs>
          <w:tab w:val="left" w:pos="180"/>
          <w:tab w:val="left" w:pos="360"/>
        </w:tabs>
        <w:spacing w:line="360" w:lineRule="auto"/>
        <w:rPr>
          <w:color w:val="000000" w:themeColor="text1"/>
          <w:szCs w:val="24"/>
        </w:rPr>
      </w:pPr>
      <w:r w:rsidRPr="006C5123">
        <w:rPr>
          <w:color w:val="000000" w:themeColor="text1"/>
          <w:szCs w:val="24"/>
          <w:lang w:eastAsia="en-US"/>
        </w:rPr>
        <w:t>In this research, a Type II CPF liner was employed, characterized by a single-layer design. This CPF liner operates with its inner face, facing the concrete, functioning as a filter, while the outer face, oriented towards the formwork, serves as a drainage layer, as illustrated in Figure 1. The manufacturer-provided specifications for the CPF liner are detailed in Table 1.</w:t>
      </w:r>
    </w:p>
    <w:p w14:paraId="137822ED" w14:textId="77777777" w:rsidR="00314E9D" w:rsidRPr="006C5123" w:rsidRDefault="00BF70D0" w:rsidP="00167C0A">
      <w:pPr>
        <w:pStyle w:val="BodyText"/>
        <w:spacing w:after="200"/>
        <w:jc w:val="center"/>
        <w:rPr>
          <w:b/>
          <w:color w:val="000000" w:themeColor="text1"/>
          <w:szCs w:val="24"/>
          <w:lang w:eastAsia="en-US"/>
        </w:rPr>
      </w:pPr>
      <w:r w:rsidRPr="006C5123">
        <w:rPr>
          <w:b/>
          <w:color w:val="000000" w:themeColor="text1"/>
          <w:szCs w:val="24"/>
          <w:lang w:eastAsia="en-US"/>
        </w:rPr>
        <w:t>Table 1</w:t>
      </w:r>
      <w:r w:rsidR="00314E9D" w:rsidRPr="006C5123">
        <w:rPr>
          <w:b/>
          <w:color w:val="000000" w:themeColor="text1"/>
          <w:szCs w:val="24"/>
          <w:lang w:eastAsia="en-US"/>
        </w:rPr>
        <w:t xml:space="preserve"> </w:t>
      </w:r>
      <w:r w:rsidR="00314E9D" w:rsidRPr="006C5123">
        <w:rPr>
          <w:color w:val="000000" w:themeColor="text1"/>
          <w:szCs w:val="24"/>
          <w:lang w:eastAsia="en-US"/>
        </w:rPr>
        <w:t>Specifications of CPF liner [</w:t>
      </w:r>
      <w:r w:rsidR="00AB2C82" w:rsidRPr="006C5123">
        <w:rPr>
          <w:color w:val="000000" w:themeColor="text1"/>
          <w:szCs w:val="24"/>
          <w:lang w:eastAsia="en-US"/>
        </w:rPr>
        <w:t>21</w:t>
      </w:r>
      <w:r w:rsidRPr="006C5123">
        <w:rPr>
          <w:color w:val="000000" w:themeColor="text1"/>
          <w:szCs w:val="24"/>
          <w:lang w:eastAsia="en-US"/>
        </w:rPr>
        <w:t>]</w:t>
      </w:r>
    </w:p>
    <w:tbl>
      <w:tblPr>
        <w:tblW w:w="0" w:type="auto"/>
        <w:jc w:val="center"/>
        <w:tblLayout w:type="fixed"/>
        <w:tblCellMar>
          <w:left w:w="72" w:type="dxa"/>
          <w:right w:w="72" w:type="dxa"/>
        </w:tblCellMar>
        <w:tblLook w:val="0000" w:firstRow="0" w:lastRow="0" w:firstColumn="0" w:lastColumn="0" w:noHBand="0" w:noVBand="0"/>
      </w:tblPr>
      <w:tblGrid>
        <w:gridCol w:w="3066"/>
        <w:gridCol w:w="1074"/>
        <w:gridCol w:w="1082"/>
      </w:tblGrid>
      <w:tr w:rsidR="006C5123" w:rsidRPr="006C5123" w14:paraId="16E488EE"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02E08823" w14:textId="77777777" w:rsidR="00314E9D" w:rsidRPr="006C5123" w:rsidRDefault="00314E9D" w:rsidP="00167C0A">
            <w:pPr>
              <w:snapToGrid w:val="0"/>
              <w:spacing w:before="60" w:after="60" w:line="240" w:lineRule="auto"/>
              <w:rPr>
                <w:rFonts w:ascii="Times New Roman" w:hAnsi="Times New Roman"/>
                <w:b/>
                <w:color w:val="000000" w:themeColor="text1"/>
                <w:sz w:val="24"/>
                <w:szCs w:val="24"/>
              </w:rPr>
            </w:pPr>
            <w:r w:rsidRPr="006C5123">
              <w:rPr>
                <w:rFonts w:ascii="Times New Roman" w:hAnsi="Times New Roman"/>
                <w:b/>
                <w:color w:val="000000" w:themeColor="text1"/>
                <w:sz w:val="24"/>
                <w:szCs w:val="24"/>
              </w:rPr>
              <w:t>Specifications</w:t>
            </w:r>
          </w:p>
        </w:tc>
        <w:tc>
          <w:tcPr>
            <w:tcW w:w="1074" w:type="dxa"/>
            <w:tcBorders>
              <w:top w:val="single" w:sz="4" w:space="0" w:color="auto"/>
              <w:left w:val="single" w:sz="4" w:space="0" w:color="auto"/>
              <w:bottom w:val="single" w:sz="4" w:space="0" w:color="auto"/>
              <w:right w:val="single" w:sz="4" w:space="0" w:color="auto"/>
            </w:tcBorders>
            <w:vAlign w:val="center"/>
          </w:tcPr>
          <w:p w14:paraId="7AD3565E" w14:textId="77777777" w:rsidR="00314E9D" w:rsidRPr="006C5123" w:rsidRDefault="00314E9D" w:rsidP="00167C0A">
            <w:pPr>
              <w:snapToGrid w:val="0"/>
              <w:spacing w:before="60" w:after="60" w:line="240" w:lineRule="auto"/>
              <w:jc w:val="center"/>
              <w:rPr>
                <w:rFonts w:ascii="Times New Roman" w:hAnsi="Times New Roman"/>
                <w:b/>
                <w:color w:val="000000" w:themeColor="text1"/>
                <w:sz w:val="24"/>
                <w:szCs w:val="24"/>
              </w:rPr>
            </w:pPr>
            <w:r w:rsidRPr="006C5123">
              <w:rPr>
                <w:rFonts w:ascii="Times New Roman" w:hAnsi="Times New Roman"/>
                <w:b/>
                <w:color w:val="000000" w:themeColor="text1"/>
                <w:sz w:val="24"/>
                <w:szCs w:val="24"/>
              </w:rPr>
              <w:t>Unit</w:t>
            </w:r>
          </w:p>
        </w:tc>
        <w:tc>
          <w:tcPr>
            <w:tcW w:w="1082" w:type="dxa"/>
            <w:tcBorders>
              <w:top w:val="single" w:sz="4" w:space="0" w:color="auto"/>
              <w:left w:val="single" w:sz="4" w:space="0" w:color="auto"/>
              <w:bottom w:val="single" w:sz="4" w:space="0" w:color="auto"/>
              <w:right w:val="single" w:sz="4" w:space="0" w:color="auto"/>
            </w:tcBorders>
            <w:vAlign w:val="center"/>
          </w:tcPr>
          <w:p w14:paraId="18A54213" w14:textId="77777777" w:rsidR="00314E9D" w:rsidRPr="006C5123" w:rsidRDefault="00314E9D" w:rsidP="00167C0A">
            <w:pPr>
              <w:snapToGrid w:val="0"/>
              <w:spacing w:before="60" w:after="60" w:line="240" w:lineRule="auto"/>
              <w:jc w:val="center"/>
              <w:rPr>
                <w:rFonts w:ascii="Times New Roman" w:hAnsi="Times New Roman"/>
                <w:b/>
                <w:color w:val="000000" w:themeColor="text1"/>
                <w:sz w:val="24"/>
                <w:szCs w:val="24"/>
              </w:rPr>
            </w:pPr>
            <w:r w:rsidRPr="006C5123">
              <w:rPr>
                <w:rFonts w:ascii="Times New Roman" w:hAnsi="Times New Roman"/>
                <w:b/>
                <w:color w:val="000000" w:themeColor="text1"/>
                <w:sz w:val="24"/>
                <w:szCs w:val="24"/>
              </w:rPr>
              <w:t>Value</w:t>
            </w:r>
          </w:p>
        </w:tc>
      </w:tr>
      <w:tr w:rsidR="006C5123" w:rsidRPr="006C5123" w14:paraId="38F3A570"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5865C483" w14:textId="77777777" w:rsidR="00314E9D" w:rsidRPr="006C5123" w:rsidRDefault="00314E9D" w:rsidP="00167C0A">
            <w:pPr>
              <w:snapToGrid w:val="0"/>
              <w:spacing w:before="60" w:after="60" w:line="240" w:lineRule="auto"/>
              <w:rPr>
                <w:rFonts w:ascii="Times New Roman" w:hAnsi="Times New Roman"/>
                <w:color w:val="000000" w:themeColor="text1"/>
                <w:sz w:val="24"/>
                <w:szCs w:val="24"/>
              </w:rPr>
            </w:pPr>
            <w:r w:rsidRPr="006C5123">
              <w:rPr>
                <w:rFonts w:ascii="Times New Roman" w:hAnsi="Times New Roman"/>
                <w:color w:val="000000" w:themeColor="text1"/>
                <w:sz w:val="24"/>
                <w:szCs w:val="24"/>
              </w:rPr>
              <w:t>Mean pore size</w:t>
            </w:r>
          </w:p>
        </w:tc>
        <w:tc>
          <w:tcPr>
            <w:tcW w:w="1074" w:type="dxa"/>
            <w:tcBorders>
              <w:top w:val="single" w:sz="4" w:space="0" w:color="auto"/>
              <w:left w:val="single" w:sz="4" w:space="0" w:color="auto"/>
              <w:bottom w:val="single" w:sz="4" w:space="0" w:color="auto"/>
              <w:right w:val="single" w:sz="4" w:space="0" w:color="auto"/>
            </w:tcBorders>
            <w:vAlign w:val="center"/>
          </w:tcPr>
          <w:p w14:paraId="5330BC51" w14:textId="77777777" w:rsidR="00314E9D" w:rsidRPr="006C5123" w:rsidRDefault="00314E9D" w:rsidP="00167C0A">
            <w:pPr>
              <w:snapToGrid w:val="0"/>
              <w:spacing w:before="60" w:after="60" w:line="240" w:lineRule="auto"/>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 xml:space="preserve"> µm</w:t>
            </w:r>
          </w:p>
        </w:tc>
        <w:tc>
          <w:tcPr>
            <w:tcW w:w="1082" w:type="dxa"/>
            <w:tcBorders>
              <w:top w:val="single" w:sz="4" w:space="0" w:color="auto"/>
              <w:left w:val="single" w:sz="4" w:space="0" w:color="auto"/>
              <w:bottom w:val="single" w:sz="4" w:space="0" w:color="auto"/>
              <w:right w:val="single" w:sz="4" w:space="0" w:color="auto"/>
            </w:tcBorders>
            <w:vAlign w:val="center"/>
          </w:tcPr>
          <w:p w14:paraId="0FB54A64" w14:textId="77777777" w:rsidR="00314E9D" w:rsidRPr="006C5123" w:rsidRDefault="00314E9D" w:rsidP="00167C0A">
            <w:pPr>
              <w:snapToGrid w:val="0"/>
              <w:spacing w:before="60" w:after="60" w:line="240" w:lineRule="auto"/>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&lt;30</w:t>
            </w:r>
          </w:p>
        </w:tc>
      </w:tr>
      <w:tr w:rsidR="006C5123" w:rsidRPr="006C5123" w14:paraId="5837846D"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761E7B9F"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Unit weight</w:t>
            </w:r>
          </w:p>
        </w:tc>
        <w:tc>
          <w:tcPr>
            <w:tcW w:w="1074" w:type="dxa"/>
            <w:tcBorders>
              <w:top w:val="single" w:sz="4" w:space="0" w:color="auto"/>
              <w:left w:val="single" w:sz="4" w:space="0" w:color="auto"/>
              <w:bottom w:val="single" w:sz="4" w:space="0" w:color="auto"/>
              <w:right w:val="single" w:sz="4" w:space="0" w:color="auto"/>
            </w:tcBorders>
            <w:vAlign w:val="center"/>
          </w:tcPr>
          <w:p w14:paraId="0A797CF9"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g/m</w:t>
            </w:r>
            <w:r w:rsidRPr="006C5123">
              <w:rPr>
                <w:rFonts w:ascii="Times New Roman" w:hAnsi="Times New Roman"/>
                <w:color w:val="000000" w:themeColor="text1"/>
                <w:sz w:val="24"/>
                <w:szCs w:val="24"/>
                <w:vertAlign w:val="superscript"/>
              </w:rPr>
              <w:t>2</w:t>
            </w:r>
          </w:p>
        </w:tc>
        <w:tc>
          <w:tcPr>
            <w:tcW w:w="1082" w:type="dxa"/>
            <w:tcBorders>
              <w:top w:val="single" w:sz="4" w:space="0" w:color="auto"/>
              <w:left w:val="single" w:sz="4" w:space="0" w:color="auto"/>
              <w:bottom w:val="single" w:sz="4" w:space="0" w:color="auto"/>
              <w:right w:val="single" w:sz="4" w:space="0" w:color="auto"/>
            </w:tcBorders>
            <w:vAlign w:val="center"/>
          </w:tcPr>
          <w:p w14:paraId="71BC19D2"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250</w:t>
            </w:r>
          </w:p>
        </w:tc>
      </w:tr>
      <w:tr w:rsidR="006C5123" w:rsidRPr="006C5123" w14:paraId="22EF5953"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64E01C3E"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Air permeability at 800 Pa</w:t>
            </w:r>
          </w:p>
        </w:tc>
        <w:tc>
          <w:tcPr>
            <w:tcW w:w="1074" w:type="dxa"/>
            <w:tcBorders>
              <w:top w:val="single" w:sz="4" w:space="0" w:color="auto"/>
              <w:left w:val="single" w:sz="4" w:space="0" w:color="auto"/>
              <w:bottom w:val="single" w:sz="4" w:space="0" w:color="auto"/>
              <w:right w:val="single" w:sz="4" w:space="0" w:color="auto"/>
            </w:tcBorders>
            <w:vAlign w:val="center"/>
          </w:tcPr>
          <w:p w14:paraId="04A85DC7"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l/s/m</w:t>
            </w:r>
            <w:r w:rsidRPr="006C5123">
              <w:rPr>
                <w:rFonts w:ascii="Times New Roman" w:hAnsi="Times New Roman"/>
                <w:color w:val="000000" w:themeColor="text1"/>
                <w:sz w:val="24"/>
                <w:szCs w:val="24"/>
                <w:vertAlign w:val="superscript"/>
              </w:rPr>
              <w:t>2</w:t>
            </w:r>
          </w:p>
        </w:tc>
        <w:tc>
          <w:tcPr>
            <w:tcW w:w="1082" w:type="dxa"/>
            <w:tcBorders>
              <w:top w:val="single" w:sz="4" w:space="0" w:color="auto"/>
              <w:left w:val="single" w:sz="4" w:space="0" w:color="auto"/>
              <w:bottom w:val="single" w:sz="4" w:space="0" w:color="auto"/>
              <w:right w:val="single" w:sz="4" w:space="0" w:color="auto"/>
            </w:tcBorders>
            <w:vAlign w:val="center"/>
          </w:tcPr>
          <w:p w14:paraId="4A225A4F"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250</w:t>
            </w:r>
          </w:p>
        </w:tc>
      </w:tr>
      <w:tr w:rsidR="006C5123" w:rsidRPr="006C5123" w14:paraId="4D61CCFA"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534289B6"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Tear strength in  longitudinal</w:t>
            </w:r>
          </w:p>
        </w:tc>
        <w:tc>
          <w:tcPr>
            <w:tcW w:w="1074" w:type="dxa"/>
            <w:tcBorders>
              <w:top w:val="single" w:sz="4" w:space="0" w:color="auto"/>
              <w:left w:val="single" w:sz="4" w:space="0" w:color="auto"/>
              <w:bottom w:val="single" w:sz="4" w:space="0" w:color="auto"/>
              <w:right w:val="single" w:sz="4" w:space="0" w:color="auto"/>
            </w:tcBorders>
            <w:vAlign w:val="center"/>
          </w:tcPr>
          <w:p w14:paraId="3AA9ECAD"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N</w:t>
            </w:r>
          </w:p>
        </w:tc>
        <w:tc>
          <w:tcPr>
            <w:tcW w:w="1082" w:type="dxa"/>
            <w:tcBorders>
              <w:top w:val="single" w:sz="4" w:space="0" w:color="auto"/>
              <w:left w:val="single" w:sz="4" w:space="0" w:color="auto"/>
              <w:bottom w:val="single" w:sz="4" w:space="0" w:color="auto"/>
              <w:right w:val="single" w:sz="4" w:space="0" w:color="auto"/>
            </w:tcBorders>
            <w:vAlign w:val="center"/>
          </w:tcPr>
          <w:p w14:paraId="23E96F5B"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250</w:t>
            </w:r>
          </w:p>
        </w:tc>
      </w:tr>
      <w:tr w:rsidR="006C5123" w:rsidRPr="006C5123" w14:paraId="2513C415"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3C016145"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Tear strength in  transverse</w:t>
            </w:r>
          </w:p>
        </w:tc>
        <w:tc>
          <w:tcPr>
            <w:tcW w:w="1074" w:type="dxa"/>
            <w:tcBorders>
              <w:top w:val="single" w:sz="4" w:space="0" w:color="auto"/>
              <w:left w:val="single" w:sz="4" w:space="0" w:color="auto"/>
              <w:bottom w:val="single" w:sz="4" w:space="0" w:color="auto"/>
              <w:right w:val="single" w:sz="4" w:space="0" w:color="auto"/>
            </w:tcBorders>
            <w:vAlign w:val="center"/>
          </w:tcPr>
          <w:p w14:paraId="1BFD74BA"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N</w:t>
            </w:r>
          </w:p>
        </w:tc>
        <w:tc>
          <w:tcPr>
            <w:tcW w:w="1082" w:type="dxa"/>
            <w:tcBorders>
              <w:top w:val="single" w:sz="4" w:space="0" w:color="auto"/>
              <w:left w:val="single" w:sz="4" w:space="0" w:color="auto"/>
              <w:bottom w:val="single" w:sz="4" w:space="0" w:color="auto"/>
              <w:right w:val="single" w:sz="4" w:space="0" w:color="auto"/>
            </w:tcBorders>
            <w:vAlign w:val="center"/>
          </w:tcPr>
          <w:p w14:paraId="6573C32F"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200</w:t>
            </w:r>
          </w:p>
        </w:tc>
      </w:tr>
      <w:tr w:rsidR="006C5123" w:rsidRPr="006C5123" w14:paraId="0AC7A8F7"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02562396"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Thickness at 2 KPa</w:t>
            </w:r>
          </w:p>
        </w:tc>
        <w:tc>
          <w:tcPr>
            <w:tcW w:w="1074" w:type="dxa"/>
            <w:tcBorders>
              <w:top w:val="single" w:sz="4" w:space="0" w:color="auto"/>
              <w:left w:val="single" w:sz="4" w:space="0" w:color="auto"/>
              <w:bottom w:val="single" w:sz="4" w:space="0" w:color="auto"/>
              <w:right w:val="single" w:sz="4" w:space="0" w:color="auto"/>
            </w:tcBorders>
            <w:vAlign w:val="center"/>
          </w:tcPr>
          <w:p w14:paraId="3D9FEFAF"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mm</w:t>
            </w:r>
          </w:p>
        </w:tc>
        <w:tc>
          <w:tcPr>
            <w:tcW w:w="1082" w:type="dxa"/>
            <w:tcBorders>
              <w:top w:val="single" w:sz="4" w:space="0" w:color="auto"/>
              <w:left w:val="single" w:sz="4" w:space="0" w:color="auto"/>
              <w:bottom w:val="single" w:sz="4" w:space="0" w:color="auto"/>
              <w:right w:val="single" w:sz="4" w:space="0" w:color="auto"/>
            </w:tcBorders>
            <w:vAlign w:val="center"/>
          </w:tcPr>
          <w:p w14:paraId="3BBADD46"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1.2</w:t>
            </w:r>
          </w:p>
        </w:tc>
      </w:tr>
      <w:tr w:rsidR="006C5123" w:rsidRPr="006C5123" w14:paraId="54BC9C78"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28A9B9BD" w14:textId="77777777" w:rsidR="00314E9D" w:rsidRPr="006C5123" w:rsidRDefault="00314E9D" w:rsidP="005A411F">
            <w:pPr>
              <w:snapToGrid w:val="0"/>
              <w:spacing w:before="60" w:after="60"/>
              <w:rPr>
                <w:rFonts w:ascii="Times New Roman" w:hAnsi="Times New Roman"/>
                <w:color w:val="000000" w:themeColor="text1"/>
                <w:sz w:val="24"/>
                <w:szCs w:val="24"/>
              </w:rPr>
            </w:pPr>
            <w:r w:rsidRPr="006C5123">
              <w:rPr>
                <w:rFonts w:ascii="Times New Roman" w:hAnsi="Times New Roman"/>
                <w:color w:val="000000" w:themeColor="text1"/>
                <w:sz w:val="24"/>
                <w:szCs w:val="24"/>
              </w:rPr>
              <w:t xml:space="preserve">Composition </w:t>
            </w: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12474F5F" w14:textId="77777777" w:rsidR="00314E9D" w:rsidRPr="006C5123" w:rsidRDefault="00314E9D" w:rsidP="005A411F">
            <w:pPr>
              <w:snapToGrid w:val="0"/>
              <w:spacing w:before="60" w:after="60"/>
              <w:jc w:val="center"/>
              <w:rPr>
                <w:rFonts w:ascii="Times New Roman" w:hAnsi="Times New Roman"/>
                <w:color w:val="000000" w:themeColor="text1"/>
                <w:sz w:val="24"/>
                <w:szCs w:val="24"/>
              </w:rPr>
            </w:pPr>
            <w:r w:rsidRPr="006C5123">
              <w:rPr>
                <w:rFonts w:ascii="Times New Roman" w:hAnsi="Times New Roman"/>
                <w:color w:val="000000" w:themeColor="text1"/>
                <w:sz w:val="24"/>
                <w:szCs w:val="24"/>
              </w:rPr>
              <w:t>100% polypropylene</w:t>
            </w:r>
          </w:p>
        </w:tc>
      </w:tr>
    </w:tbl>
    <w:p w14:paraId="62CB80D5" w14:textId="77777777" w:rsidR="00AE69ED" w:rsidRPr="006C5123" w:rsidRDefault="00AE69ED" w:rsidP="00AE69ED">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color w:val="000000" w:themeColor="text1"/>
          <w:sz w:val="20"/>
          <w:lang w:eastAsia="en-US"/>
        </w:rPr>
      </w:pPr>
    </w:p>
    <w:p w14:paraId="341A5208" w14:textId="77777777" w:rsidR="00C54D0E" w:rsidRPr="006C5123" w:rsidRDefault="00C54D0E" w:rsidP="00AE69ED">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color w:val="000000" w:themeColor="text1"/>
          <w:szCs w:val="24"/>
          <w:lang w:eastAsia="en-US"/>
        </w:rPr>
      </w:pPr>
      <w:r w:rsidRPr="006C5123">
        <w:rPr>
          <w:b/>
          <w:bCs/>
          <w:color w:val="000000" w:themeColor="text1"/>
          <w:szCs w:val="24"/>
          <w:lang w:eastAsia="en-US"/>
        </w:rPr>
        <w:t>Concrete mixture proportions</w:t>
      </w:r>
    </w:p>
    <w:p w14:paraId="65A2ADF2" w14:textId="4262B4AF" w:rsidR="00811D60" w:rsidRPr="006C5123" w:rsidRDefault="007458A4" w:rsidP="00811D60">
      <w:pPr>
        <w:pStyle w:val="Heading5"/>
        <w:tabs>
          <w:tab w:val="num" w:pos="0"/>
        </w:tabs>
        <w:jc w:val="both"/>
        <w:rPr>
          <w:rFonts w:ascii="Times New Roman" w:hAnsi="Times New Roman"/>
          <w:b w:val="0"/>
          <w:bCs w:val="0"/>
          <w:i w:val="0"/>
          <w:iCs w:val="0"/>
          <w:color w:val="000000" w:themeColor="text1"/>
          <w:sz w:val="24"/>
          <w:szCs w:val="24"/>
          <w:lang w:eastAsia="en-US"/>
        </w:rPr>
      </w:pPr>
      <w:r w:rsidRPr="006C5123">
        <w:rPr>
          <w:rFonts w:ascii="Times New Roman" w:hAnsi="Times New Roman"/>
          <w:b w:val="0"/>
          <w:bCs w:val="0"/>
          <w:i w:val="0"/>
          <w:iCs w:val="0"/>
          <w:color w:val="000000" w:themeColor="text1"/>
          <w:sz w:val="24"/>
          <w:szCs w:val="24"/>
          <w:lang w:eastAsia="en-US"/>
        </w:rPr>
        <w:t xml:space="preserve">Table 2 lists the SCC's concrete mixture proportions and </w:t>
      </w:r>
      <w:proofErr w:type="gramStart"/>
      <w:r w:rsidRPr="006C5123">
        <w:rPr>
          <w:rFonts w:ascii="Times New Roman" w:hAnsi="Times New Roman"/>
          <w:b w:val="0"/>
          <w:bCs w:val="0"/>
          <w:i w:val="0"/>
          <w:iCs w:val="0"/>
          <w:color w:val="000000" w:themeColor="text1"/>
          <w:sz w:val="24"/>
          <w:szCs w:val="24"/>
          <w:lang w:eastAsia="en-US"/>
        </w:rPr>
        <w:t>characteristics.</w:t>
      </w:r>
      <w:r w:rsidR="00811D60" w:rsidRPr="006C5123">
        <w:rPr>
          <w:rFonts w:ascii="Times New Roman" w:hAnsi="Times New Roman"/>
          <w:b w:val="0"/>
          <w:bCs w:val="0"/>
          <w:i w:val="0"/>
          <w:iCs w:val="0"/>
          <w:color w:val="000000" w:themeColor="text1"/>
          <w:sz w:val="24"/>
          <w:szCs w:val="24"/>
          <w:lang w:eastAsia="en-US"/>
        </w:rPr>
        <w:t>.</w:t>
      </w:r>
      <w:proofErr w:type="gramEnd"/>
    </w:p>
    <w:p w14:paraId="41E5E85E" w14:textId="6E8B0098" w:rsidR="00F007AC" w:rsidRPr="006C5123" w:rsidRDefault="00BF70D0" w:rsidP="00367506">
      <w:pPr>
        <w:pStyle w:val="Heading5"/>
        <w:tabs>
          <w:tab w:val="num" w:pos="0"/>
        </w:tabs>
        <w:jc w:val="center"/>
        <w:rPr>
          <w:rFonts w:ascii="Times New Roman" w:hAnsi="Times New Roman"/>
          <w:i w:val="0"/>
          <w:color w:val="000000" w:themeColor="text1"/>
          <w:sz w:val="24"/>
          <w:szCs w:val="24"/>
        </w:rPr>
      </w:pPr>
      <w:r w:rsidRPr="006C5123">
        <w:rPr>
          <w:rFonts w:ascii="Times New Roman" w:hAnsi="Times New Roman"/>
          <w:i w:val="0"/>
          <w:color w:val="000000" w:themeColor="text1"/>
          <w:sz w:val="24"/>
          <w:szCs w:val="24"/>
        </w:rPr>
        <w:t>Table 2</w:t>
      </w:r>
      <w:r w:rsidR="00F007AC" w:rsidRPr="006C5123">
        <w:rPr>
          <w:rFonts w:ascii="Times New Roman" w:hAnsi="Times New Roman"/>
          <w:i w:val="0"/>
          <w:color w:val="000000" w:themeColor="text1"/>
          <w:sz w:val="24"/>
          <w:szCs w:val="24"/>
        </w:rPr>
        <w:t xml:space="preserve"> </w:t>
      </w:r>
      <w:r w:rsidRPr="006C5123">
        <w:rPr>
          <w:rFonts w:ascii="Times New Roman" w:hAnsi="Times New Roman"/>
          <w:b w:val="0"/>
          <w:i w:val="0"/>
          <w:color w:val="000000" w:themeColor="text1"/>
          <w:sz w:val="24"/>
          <w:szCs w:val="24"/>
        </w:rPr>
        <w:t xml:space="preserve">Mix proportions </w:t>
      </w:r>
      <w:r w:rsidR="0014412B" w:rsidRPr="006C5123">
        <w:rPr>
          <w:rFonts w:ascii="Times New Roman" w:hAnsi="Times New Roman"/>
          <w:b w:val="0"/>
          <w:i w:val="0"/>
          <w:color w:val="000000" w:themeColor="text1"/>
          <w:sz w:val="24"/>
          <w:szCs w:val="24"/>
        </w:rPr>
        <w:t xml:space="preserve">and properties </w:t>
      </w:r>
      <w:r w:rsidRPr="006C5123">
        <w:rPr>
          <w:rFonts w:ascii="Times New Roman" w:hAnsi="Times New Roman"/>
          <w:b w:val="0"/>
          <w:i w:val="0"/>
          <w:color w:val="000000" w:themeColor="text1"/>
          <w:sz w:val="24"/>
          <w:szCs w:val="24"/>
        </w:rPr>
        <w:t>of SCC</w:t>
      </w:r>
    </w:p>
    <w:p w14:paraId="2C103584" w14:textId="77777777" w:rsidR="00456331" w:rsidRPr="006C5123" w:rsidRDefault="00456331"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color w:val="000000" w:themeColor="text1"/>
          <w:sz w:val="20"/>
          <w:lang w:eastAsia="en-US"/>
        </w:rPr>
      </w:pPr>
    </w:p>
    <w:tbl>
      <w:tblPr>
        <w:tblStyle w:val="TableGrid"/>
        <w:tblW w:w="8910"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4A0" w:firstRow="1" w:lastRow="0" w:firstColumn="1" w:lastColumn="0" w:noHBand="0" w:noVBand="1"/>
      </w:tblPr>
      <w:tblGrid>
        <w:gridCol w:w="720"/>
        <w:gridCol w:w="540"/>
        <w:gridCol w:w="720"/>
        <w:gridCol w:w="810"/>
        <w:gridCol w:w="630"/>
        <w:gridCol w:w="810"/>
        <w:gridCol w:w="900"/>
        <w:gridCol w:w="540"/>
        <w:gridCol w:w="630"/>
        <w:gridCol w:w="630"/>
        <w:gridCol w:w="540"/>
        <w:gridCol w:w="810"/>
        <w:gridCol w:w="630"/>
      </w:tblGrid>
      <w:tr w:rsidR="006C5123" w:rsidRPr="006C5123" w14:paraId="7B7D0C12" w14:textId="77777777" w:rsidTr="00BC1937">
        <w:tc>
          <w:tcPr>
            <w:tcW w:w="5130" w:type="dxa"/>
            <w:gridSpan w:val="7"/>
            <w:tcBorders>
              <w:top w:val="single" w:sz="4" w:space="0" w:color="auto"/>
              <w:left w:val="single" w:sz="4" w:space="0" w:color="auto"/>
              <w:bottom w:val="single" w:sz="6" w:space="0" w:color="auto"/>
            </w:tcBorders>
          </w:tcPr>
          <w:p w14:paraId="04E1DADB" w14:textId="77777777" w:rsidR="0014412B" w:rsidRPr="006C5123" w:rsidRDefault="0014412B" w:rsidP="00BC1937">
            <w:pPr>
              <w:pStyle w:val="BodyText"/>
              <w:tabs>
                <w:tab w:val="left" w:pos="180"/>
              </w:tabs>
              <w:jc w:val="center"/>
              <w:rPr>
                <w:b/>
                <w:bCs/>
                <w:color w:val="000000" w:themeColor="text1"/>
                <w:sz w:val="18"/>
                <w:szCs w:val="18"/>
                <w:lang w:eastAsia="en-US"/>
              </w:rPr>
            </w:pPr>
            <w:r w:rsidRPr="006C5123">
              <w:rPr>
                <w:b/>
                <w:bCs/>
                <w:color w:val="000000" w:themeColor="text1"/>
                <w:sz w:val="18"/>
                <w:szCs w:val="18"/>
                <w:lang w:eastAsia="en-US"/>
              </w:rPr>
              <w:t>Constituent materials (kg/m</w:t>
            </w:r>
            <w:r w:rsidRPr="006C5123">
              <w:rPr>
                <w:b/>
                <w:bCs/>
                <w:color w:val="000000" w:themeColor="text1"/>
                <w:sz w:val="18"/>
                <w:szCs w:val="18"/>
                <w:vertAlign w:val="superscript"/>
                <w:lang w:eastAsia="en-US"/>
              </w:rPr>
              <w:t>3</w:t>
            </w:r>
            <w:r w:rsidRPr="006C5123">
              <w:rPr>
                <w:b/>
                <w:bCs/>
                <w:color w:val="000000" w:themeColor="text1"/>
                <w:sz w:val="18"/>
                <w:szCs w:val="18"/>
                <w:lang w:eastAsia="en-US"/>
              </w:rPr>
              <w:t>)</w:t>
            </w:r>
          </w:p>
        </w:tc>
        <w:tc>
          <w:tcPr>
            <w:tcW w:w="1800" w:type="dxa"/>
            <w:gridSpan w:val="3"/>
            <w:vMerge w:val="restart"/>
            <w:tcBorders>
              <w:top w:val="single" w:sz="4" w:space="0" w:color="auto"/>
              <w:bottom w:val="single" w:sz="6" w:space="0" w:color="auto"/>
            </w:tcBorders>
            <w:vAlign w:val="center"/>
          </w:tcPr>
          <w:p w14:paraId="6795A520" w14:textId="77777777" w:rsidR="0014412B" w:rsidRPr="006C5123" w:rsidRDefault="0014412B" w:rsidP="00BC1937">
            <w:pPr>
              <w:pStyle w:val="BodyText"/>
              <w:tabs>
                <w:tab w:val="left" w:pos="180"/>
              </w:tabs>
              <w:jc w:val="center"/>
              <w:rPr>
                <w:b/>
                <w:bCs/>
                <w:color w:val="000000" w:themeColor="text1"/>
                <w:sz w:val="18"/>
                <w:szCs w:val="18"/>
                <w:lang w:eastAsia="en-US"/>
              </w:rPr>
            </w:pPr>
            <w:r w:rsidRPr="006C5123">
              <w:rPr>
                <w:b/>
                <w:bCs/>
                <w:color w:val="000000" w:themeColor="text1"/>
                <w:sz w:val="18"/>
                <w:szCs w:val="18"/>
                <w:lang w:eastAsia="en-US"/>
              </w:rPr>
              <w:t>Constituent ratios</w:t>
            </w:r>
          </w:p>
        </w:tc>
        <w:tc>
          <w:tcPr>
            <w:tcW w:w="1980" w:type="dxa"/>
            <w:gridSpan w:val="3"/>
            <w:tcBorders>
              <w:top w:val="single" w:sz="4" w:space="0" w:color="auto"/>
              <w:bottom w:val="single" w:sz="6" w:space="0" w:color="auto"/>
              <w:right w:val="single" w:sz="4" w:space="0" w:color="auto"/>
            </w:tcBorders>
            <w:vAlign w:val="center"/>
            <w:hideMark/>
          </w:tcPr>
          <w:p w14:paraId="72ECA4D9" w14:textId="77777777" w:rsidR="0014412B" w:rsidRPr="006C5123" w:rsidRDefault="0014412B" w:rsidP="00BC1937">
            <w:pPr>
              <w:pStyle w:val="BodyText"/>
              <w:tabs>
                <w:tab w:val="clear" w:pos="0"/>
                <w:tab w:val="left" w:pos="180"/>
              </w:tabs>
              <w:jc w:val="center"/>
              <w:rPr>
                <w:b/>
                <w:bCs/>
                <w:color w:val="000000" w:themeColor="text1"/>
                <w:sz w:val="18"/>
                <w:szCs w:val="18"/>
                <w:lang w:eastAsia="en-US"/>
              </w:rPr>
            </w:pPr>
            <w:r w:rsidRPr="006C5123">
              <w:rPr>
                <w:b/>
                <w:bCs/>
                <w:color w:val="000000" w:themeColor="text1"/>
                <w:sz w:val="18"/>
                <w:szCs w:val="18"/>
                <w:lang w:eastAsia="en-US"/>
              </w:rPr>
              <w:t>Flow properties</w:t>
            </w:r>
          </w:p>
        </w:tc>
      </w:tr>
      <w:tr w:rsidR="006C5123" w:rsidRPr="006C5123" w14:paraId="20E56029" w14:textId="77777777" w:rsidTr="00BC1937">
        <w:trPr>
          <w:trHeight w:val="450"/>
        </w:trPr>
        <w:tc>
          <w:tcPr>
            <w:tcW w:w="720" w:type="dxa"/>
            <w:vMerge w:val="restart"/>
            <w:tcBorders>
              <w:top w:val="single" w:sz="6" w:space="0" w:color="auto"/>
              <w:left w:val="single" w:sz="4" w:space="0" w:color="auto"/>
              <w:bottom w:val="single" w:sz="6" w:space="0" w:color="auto"/>
            </w:tcBorders>
            <w:vAlign w:val="center"/>
            <w:hideMark/>
          </w:tcPr>
          <w:p w14:paraId="0744F678" w14:textId="77777777" w:rsidR="0014412B" w:rsidRPr="006C5123" w:rsidRDefault="0014412B" w:rsidP="00BC1937">
            <w:pPr>
              <w:pStyle w:val="BodyText"/>
              <w:tabs>
                <w:tab w:val="clear" w:pos="0"/>
                <w:tab w:val="clear" w:pos="234"/>
              </w:tabs>
              <w:ind w:left="-112" w:right="-104"/>
              <w:jc w:val="center"/>
              <w:rPr>
                <w:bCs/>
                <w:color w:val="000000" w:themeColor="text1"/>
                <w:sz w:val="18"/>
                <w:szCs w:val="18"/>
                <w:lang w:eastAsia="en-US"/>
              </w:rPr>
            </w:pPr>
            <w:r w:rsidRPr="006C5123">
              <w:rPr>
                <w:bCs/>
                <w:color w:val="000000" w:themeColor="text1"/>
                <w:sz w:val="18"/>
                <w:szCs w:val="18"/>
                <w:lang w:eastAsia="en-US"/>
              </w:rPr>
              <w:t>Cement</w:t>
            </w:r>
          </w:p>
        </w:tc>
        <w:tc>
          <w:tcPr>
            <w:tcW w:w="540" w:type="dxa"/>
            <w:vMerge w:val="restart"/>
            <w:tcBorders>
              <w:top w:val="single" w:sz="6" w:space="0" w:color="auto"/>
              <w:bottom w:val="single" w:sz="6" w:space="0" w:color="auto"/>
            </w:tcBorders>
            <w:vAlign w:val="center"/>
          </w:tcPr>
          <w:p w14:paraId="7BB00AAB" w14:textId="77777777" w:rsidR="0014412B" w:rsidRPr="006C5123" w:rsidRDefault="0014412B" w:rsidP="00BC1937">
            <w:pPr>
              <w:pStyle w:val="BodyText"/>
              <w:tabs>
                <w:tab w:val="clear" w:pos="0"/>
                <w:tab w:val="clear" w:pos="234"/>
              </w:tabs>
              <w:ind w:left="-112" w:right="-42"/>
              <w:jc w:val="center"/>
              <w:rPr>
                <w:bCs/>
                <w:color w:val="000000" w:themeColor="text1"/>
                <w:sz w:val="18"/>
                <w:szCs w:val="18"/>
                <w:lang w:eastAsia="en-US"/>
              </w:rPr>
            </w:pPr>
            <w:r w:rsidRPr="006C5123">
              <w:rPr>
                <w:bCs/>
                <w:color w:val="000000" w:themeColor="text1"/>
                <w:sz w:val="18"/>
                <w:szCs w:val="18"/>
                <w:lang w:eastAsia="en-US"/>
              </w:rPr>
              <w:t>Fly ash</w:t>
            </w:r>
          </w:p>
        </w:tc>
        <w:tc>
          <w:tcPr>
            <w:tcW w:w="720" w:type="dxa"/>
            <w:vMerge w:val="restart"/>
            <w:tcBorders>
              <w:top w:val="single" w:sz="6" w:space="0" w:color="auto"/>
              <w:bottom w:val="single" w:sz="6" w:space="0" w:color="auto"/>
            </w:tcBorders>
            <w:vAlign w:val="center"/>
            <w:hideMark/>
          </w:tcPr>
          <w:p w14:paraId="2B96415A" w14:textId="77777777" w:rsidR="0014412B" w:rsidRPr="006C5123" w:rsidRDefault="0014412B" w:rsidP="00BC1937">
            <w:pPr>
              <w:pStyle w:val="BodyText"/>
              <w:tabs>
                <w:tab w:val="clear" w:pos="0"/>
                <w:tab w:val="clear" w:pos="234"/>
                <w:tab w:val="clear" w:pos="720"/>
              </w:tabs>
              <w:ind w:left="-110" w:right="-104"/>
              <w:jc w:val="center"/>
              <w:rPr>
                <w:bCs/>
                <w:color w:val="000000" w:themeColor="text1"/>
                <w:sz w:val="18"/>
                <w:szCs w:val="18"/>
                <w:lang w:eastAsia="en-US"/>
              </w:rPr>
            </w:pPr>
            <w:r w:rsidRPr="006C5123">
              <w:rPr>
                <w:bCs/>
                <w:color w:val="000000" w:themeColor="text1"/>
                <w:sz w:val="18"/>
                <w:szCs w:val="18"/>
                <w:lang w:eastAsia="en-US"/>
              </w:rPr>
              <w:t>Coarse aggregate</w:t>
            </w:r>
          </w:p>
        </w:tc>
        <w:tc>
          <w:tcPr>
            <w:tcW w:w="810" w:type="dxa"/>
            <w:vMerge w:val="restart"/>
            <w:tcBorders>
              <w:top w:val="single" w:sz="6" w:space="0" w:color="auto"/>
              <w:bottom w:val="single" w:sz="6" w:space="0" w:color="auto"/>
            </w:tcBorders>
            <w:vAlign w:val="center"/>
            <w:hideMark/>
          </w:tcPr>
          <w:p w14:paraId="3E55DDA8" w14:textId="77777777" w:rsidR="0014412B" w:rsidRPr="006C5123" w:rsidRDefault="0014412B" w:rsidP="00BC1937">
            <w:pPr>
              <w:pStyle w:val="BodyText"/>
              <w:tabs>
                <w:tab w:val="clear" w:pos="0"/>
                <w:tab w:val="left" w:pos="180"/>
              </w:tabs>
              <w:ind w:left="-108" w:right="-110"/>
              <w:jc w:val="center"/>
              <w:rPr>
                <w:bCs/>
                <w:color w:val="000000" w:themeColor="text1"/>
                <w:sz w:val="18"/>
                <w:szCs w:val="18"/>
                <w:lang w:eastAsia="en-US"/>
              </w:rPr>
            </w:pPr>
            <w:r w:rsidRPr="006C5123">
              <w:rPr>
                <w:bCs/>
                <w:color w:val="000000" w:themeColor="text1"/>
                <w:sz w:val="18"/>
                <w:szCs w:val="18"/>
                <w:lang w:eastAsia="en-US"/>
              </w:rPr>
              <w:t>Fine aggregate</w:t>
            </w:r>
          </w:p>
        </w:tc>
        <w:tc>
          <w:tcPr>
            <w:tcW w:w="630" w:type="dxa"/>
            <w:vMerge w:val="restart"/>
            <w:tcBorders>
              <w:top w:val="single" w:sz="6" w:space="0" w:color="auto"/>
              <w:bottom w:val="single" w:sz="6" w:space="0" w:color="auto"/>
            </w:tcBorders>
            <w:vAlign w:val="center"/>
            <w:hideMark/>
          </w:tcPr>
          <w:p w14:paraId="7F254633" w14:textId="77777777" w:rsidR="0014412B" w:rsidRPr="006C5123" w:rsidRDefault="0014412B" w:rsidP="00BC1937">
            <w:pPr>
              <w:pStyle w:val="BodyText"/>
              <w:tabs>
                <w:tab w:val="clear" w:pos="0"/>
                <w:tab w:val="left" w:pos="180"/>
              </w:tabs>
              <w:ind w:left="-106" w:right="-168"/>
              <w:jc w:val="center"/>
              <w:rPr>
                <w:bCs/>
                <w:color w:val="000000" w:themeColor="text1"/>
                <w:sz w:val="18"/>
                <w:szCs w:val="18"/>
                <w:lang w:eastAsia="en-US"/>
              </w:rPr>
            </w:pPr>
            <w:r w:rsidRPr="006C5123">
              <w:rPr>
                <w:bCs/>
                <w:color w:val="000000" w:themeColor="text1"/>
                <w:sz w:val="18"/>
                <w:szCs w:val="18"/>
                <w:lang w:eastAsia="en-US"/>
              </w:rPr>
              <w:t>Water</w:t>
            </w:r>
          </w:p>
        </w:tc>
        <w:tc>
          <w:tcPr>
            <w:tcW w:w="810" w:type="dxa"/>
            <w:vMerge w:val="restart"/>
            <w:tcBorders>
              <w:top w:val="single" w:sz="6" w:space="0" w:color="auto"/>
              <w:bottom w:val="single" w:sz="6" w:space="0" w:color="auto"/>
            </w:tcBorders>
            <w:vAlign w:val="center"/>
            <w:hideMark/>
          </w:tcPr>
          <w:p w14:paraId="5403205E" w14:textId="77777777" w:rsidR="0014412B" w:rsidRPr="006C5123" w:rsidRDefault="0014412B" w:rsidP="00BC1937">
            <w:pPr>
              <w:pStyle w:val="BodyText"/>
              <w:tabs>
                <w:tab w:val="clear" w:pos="0"/>
                <w:tab w:val="left" w:pos="180"/>
              </w:tabs>
              <w:ind w:left="-110" w:right="-44"/>
              <w:jc w:val="center"/>
              <w:rPr>
                <w:bCs/>
                <w:color w:val="000000" w:themeColor="text1"/>
                <w:sz w:val="18"/>
                <w:szCs w:val="18"/>
                <w:lang w:eastAsia="en-US"/>
              </w:rPr>
            </w:pPr>
            <w:r w:rsidRPr="006C5123">
              <w:rPr>
                <w:bCs/>
                <w:color w:val="000000" w:themeColor="text1"/>
                <w:sz w:val="18"/>
                <w:szCs w:val="18"/>
                <w:lang w:eastAsia="en-US"/>
              </w:rPr>
              <w:t>Super plasticizer</w:t>
            </w:r>
          </w:p>
        </w:tc>
        <w:tc>
          <w:tcPr>
            <w:tcW w:w="900" w:type="dxa"/>
            <w:vMerge w:val="restart"/>
            <w:tcBorders>
              <w:top w:val="single" w:sz="6" w:space="0" w:color="auto"/>
              <w:bottom w:val="single" w:sz="6" w:space="0" w:color="auto"/>
            </w:tcBorders>
          </w:tcPr>
          <w:p w14:paraId="16FD8A25" w14:textId="77777777" w:rsidR="0014412B" w:rsidRPr="006C5123" w:rsidRDefault="0014412B" w:rsidP="00BC1937">
            <w:pPr>
              <w:pStyle w:val="BodyText"/>
              <w:tabs>
                <w:tab w:val="clear" w:pos="0"/>
                <w:tab w:val="clear" w:pos="1440"/>
                <w:tab w:val="left" w:pos="180"/>
              </w:tabs>
              <w:ind w:left="-112" w:right="-84"/>
              <w:jc w:val="center"/>
              <w:rPr>
                <w:bCs/>
                <w:color w:val="000000" w:themeColor="text1"/>
                <w:sz w:val="18"/>
                <w:szCs w:val="18"/>
                <w:lang w:eastAsia="en-US"/>
              </w:rPr>
            </w:pPr>
            <w:r w:rsidRPr="006C5123">
              <w:rPr>
                <w:bCs/>
                <w:color w:val="000000" w:themeColor="text1"/>
                <w:sz w:val="18"/>
                <w:szCs w:val="18"/>
                <w:lang w:eastAsia="en-US"/>
              </w:rPr>
              <w:t>Viscosity modifying admixture</w:t>
            </w:r>
          </w:p>
        </w:tc>
        <w:tc>
          <w:tcPr>
            <w:tcW w:w="1800" w:type="dxa"/>
            <w:gridSpan w:val="3"/>
            <w:vMerge/>
            <w:tcBorders>
              <w:top w:val="single" w:sz="6" w:space="0" w:color="auto"/>
              <w:bottom w:val="single" w:sz="6" w:space="0" w:color="auto"/>
            </w:tcBorders>
            <w:vAlign w:val="center"/>
            <w:hideMark/>
          </w:tcPr>
          <w:p w14:paraId="17A978AC"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p>
        </w:tc>
        <w:tc>
          <w:tcPr>
            <w:tcW w:w="540" w:type="dxa"/>
            <w:vMerge w:val="restart"/>
            <w:tcBorders>
              <w:top w:val="single" w:sz="6" w:space="0" w:color="auto"/>
              <w:bottom w:val="single" w:sz="6" w:space="0" w:color="auto"/>
            </w:tcBorders>
            <w:vAlign w:val="center"/>
            <w:hideMark/>
          </w:tcPr>
          <w:p w14:paraId="5B87200C" w14:textId="77777777" w:rsidR="0014412B" w:rsidRPr="006C5123" w:rsidRDefault="0014412B" w:rsidP="00BC1937">
            <w:pPr>
              <w:ind w:left="-110" w:right="-108"/>
              <w:jc w:val="center"/>
              <w:rPr>
                <w:bCs/>
                <w:color w:val="000000" w:themeColor="text1"/>
                <w:sz w:val="18"/>
                <w:szCs w:val="18"/>
              </w:rPr>
            </w:pPr>
            <w:r w:rsidRPr="006C5123">
              <w:rPr>
                <w:bCs/>
                <w:color w:val="000000" w:themeColor="text1"/>
                <w:sz w:val="18"/>
                <w:szCs w:val="18"/>
              </w:rPr>
              <w:t>Slump Flow</w:t>
            </w:r>
          </w:p>
          <w:p w14:paraId="69E543B9" w14:textId="77777777" w:rsidR="0014412B" w:rsidRPr="006C5123" w:rsidRDefault="0014412B" w:rsidP="00BC1937">
            <w:pPr>
              <w:ind w:left="-110" w:right="-108"/>
              <w:jc w:val="center"/>
              <w:rPr>
                <w:bCs/>
                <w:color w:val="000000" w:themeColor="text1"/>
                <w:sz w:val="18"/>
                <w:szCs w:val="18"/>
              </w:rPr>
            </w:pPr>
            <w:r w:rsidRPr="006C5123">
              <w:rPr>
                <w:bCs/>
                <w:color w:val="000000" w:themeColor="text1"/>
                <w:sz w:val="18"/>
                <w:szCs w:val="18"/>
              </w:rPr>
              <w:t>(mm)</w:t>
            </w:r>
          </w:p>
        </w:tc>
        <w:tc>
          <w:tcPr>
            <w:tcW w:w="810" w:type="dxa"/>
            <w:vMerge w:val="restart"/>
            <w:tcBorders>
              <w:top w:val="single" w:sz="6" w:space="0" w:color="auto"/>
              <w:bottom w:val="single" w:sz="6" w:space="0" w:color="auto"/>
            </w:tcBorders>
            <w:vAlign w:val="center"/>
          </w:tcPr>
          <w:p w14:paraId="1B640878" w14:textId="77777777" w:rsidR="0014412B" w:rsidRPr="006C5123" w:rsidRDefault="0014412B" w:rsidP="00BC1937">
            <w:pPr>
              <w:ind w:left="-106" w:right="-106"/>
              <w:jc w:val="center"/>
              <w:rPr>
                <w:bCs/>
                <w:color w:val="000000" w:themeColor="text1"/>
                <w:sz w:val="18"/>
                <w:szCs w:val="18"/>
              </w:rPr>
            </w:pPr>
            <w:r w:rsidRPr="006C5123">
              <w:rPr>
                <w:bCs/>
                <w:color w:val="000000" w:themeColor="text1"/>
                <w:sz w:val="18"/>
                <w:szCs w:val="18"/>
              </w:rPr>
              <w:t>V-Funnel</w:t>
            </w:r>
          </w:p>
          <w:p w14:paraId="67A5AB86" w14:textId="77777777" w:rsidR="0014412B" w:rsidRPr="006C5123" w:rsidRDefault="0014412B" w:rsidP="00BC1937">
            <w:pPr>
              <w:ind w:left="-106" w:right="-106"/>
              <w:jc w:val="center"/>
              <w:rPr>
                <w:bCs/>
                <w:color w:val="000000" w:themeColor="text1"/>
                <w:sz w:val="18"/>
                <w:szCs w:val="18"/>
              </w:rPr>
            </w:pPr>
            <w:r w:rsidRPr="006C5123">
              <w:rPr>
                <w:bCs/>
                <w:color w:val="000000" w:themeColor="text1"/>
                <w:sz w:val="18"/>
                <w:szCs w:val="18"/>
              </w:rPr>
              <w:t>(sec)</w:t>
            </w:r>
          </w:p>
        </w:tc>
        <w:tc>
          <w:tcPr>
            <w:tcW w:w="630" w:type="dxa"/>
            <w:vMerge w:val="restart"/>
            <w:tcBorders>
              <w:top w:val="single" w:sz="6" w:space="0" w:color="auto"/>
              <w:bottom w:val="single" w:sz="6" w:space="0" w:color="auto"/>
              <w:right w:val="single" w:sz="4" w:space="0" w:color="auto"/>
            </w:tcBorders>
            <w:vAlign w:val="center"/>
          </w:tcPr>
          <w:p w14:paraId="59B21BE7" w14:textId="77777777" w:rsidR="0014412B" w:rsidRPr="006C5123" w:rsidRDefault="0014412B" w:rsidP="00BC1937">
            <w:pPr>
              <w:ind w:left="-112" w:right="-110"/>
              <w:jc w:val="center"/>
              <w:rPr>
                <w:bCs/>
                <w:color w:val="000000" w:themeColor="text1"/>
                <w:sz w:val="18"/>
                <w:szCs w:val="18"/>
              </w:rPr>
            </w:pPr>
            <w:r w:rsidRPr="006C5123">
              <w:rPr>
                <w:bCs/>
                <w:color w:val="000000" w:themeColor="text1"/>
                <w:sz w:val="18"/>
                <w:szCs w:val="18"/>
              </w:rPr>
              <w:t>L-Box</w:t>
            </w:r>
          </w:p>
        </w:tc>
      </w:tr>
      <w:tr w:rsidR="006C5123" w:rsidRPr="006C5123" w14:paraId="766D6720" w14:textId="77777777" w:rsidTr="00BC1937">
        <w:trPr>
          <w:trHeight w:val="450"/>
        </w:trPr>
        <w:tc>
          <w:tcPr>
            <w:tcW w:w="720" w:type="dxa"/>
            <w:vMerge/>
            <w:tcBorders>
              <w:top w:val="single" w:sz="6" w:space="0" w:color="auto"/>
              <w:left w:val="single" w:sz="4" w:space="0" w:color="auto"/>
              <w:bottom w:val="single" w:sz="6" w:space="0" w:color="auto"/>
            </w:tcBorders>
            <w:vAlign w:val="center"/>
            <w:hideMark/>
          </w:tcPr>
          <w:p w14:paraId="1AA6C64F" w14:textId="77777777" w:rsidR="0014412B" w:rsidRPr="006C5123" w:rsidRDefault="0014412B" w:rsidP="00BC1937">
            <w:pPr>
              <w:jc w:val="center"/>
              <w:rPr>
                <w:bCs/>
                <w:color w:val="000000" w:themeColor="text1"/>
                <w:sz w:val="18"/>
                <w:szCs w:val="18"/>
              </w:rPr>
            </w:pPr>
          </w:p>
        </w:tc>
        <w:tc>
          <w:tcPr>
            <w:tcW w:w="540" w:type="dxa"/>
            <w:vMerge/>
            <w:tcBorders>
              <w:top w:val="single" w:sz="6" w:space="0" w:color="auto"/>
              <w:bottom w:val="single" w:sz="6" w:space="0" w:color="auto"/>
            </w:tcBorders>
          </w:tcPr>
          <w:p w14:paraId="0B128E22" w14:textId="77777777" w:rsidR="0014412B" w:rsidRPr="006C5123" w:rsidRDefault="0014412B" w:rsidP="00BC1937">
            <w:pPr>
              <w:jc w:val="center"/>
              <w:rPr>
                <w:bCs/>
                <w:color w:val="000000" w:themeColor="text1"/>
                <w:sz w:val="18"/>
                <w:szCs w:val="18"/>
              </w:rPr>
            </w:pPr>
          </w:p>
        </w:tc>
        <w:tc>
          <w:tcPr>
            <w:tcW w:w="720" w:type="dxa"/>
            <w:vMerge/>
            <w:tcBorders>
              <w:top w:val="single" w:sz="6" w:space="0" w:color="auto"/>
              <w:bottom w:val="single" w:sz="6" w:space="0" w:color="auto"/>
            </w:tcBorders>
            <w:vAlign w:val="center"/>
            <w:hideMark/>
          </w:tcPr>
          <w:p w14:paraId="61E36220" w14:textId="77777777" w:rsidR="0014412B" w:rsidRPr="006C5123" w:rsidRDefault="0014412B" w:rsidP="00BC1937">
            <w:pPr>
              <w:jc w:val="center"/>
              <w:rPr>
                <w:bCs/>
                <w:color w:val="000000" w:themeColor="text1"/>
                <w:sz w:val="18"/>
                <w:szCs w:val="18"/>
              </w:rPr>
            </w:pPr>
          </w:p>
        </w:tc>
        <w:tc>
          <w:tcPr>
            <w:tcW w:w="810" w:type="dxa"/>
            <w:vMerge/>
            <w:tcBorders>
              <w:top w:val="single" w:sz="6" w:space="0" w:color="auto"/>
              <w:bottom w:val="single" w:sz="6" w:space="0" w:color="auto"/>
            </w:tcBorders>
            <w:vAlign w:val="center"/>
            <w:hideMark/>
          </w:tcPr>
          <w:p w14:paraId="6B38532B" w14:textId="77777777" w:rsidR="0014412B" w:rsidRPr="006C5123" w:rsidRDefault="0014412B" w:rsidP="00BC1937">
            <w:pPr>
              <w:jc w:val="center"/>
              <w:rPr>
                <w:bCs/>
                <w:color w:val="000000" w:themeColor="text1"/>
                <w:sz w:val="18"/>
                <w:szCs w:val="18"/>
              </w:rPr>
            </w:pPr>
          </w:p>
        </w:tc>
        <w:tc>
          <w:tcPr>
            <w:tcW w:w="630" w:type="dxa"/>
            <w:vMerge/>
            <w:tcBorders>
              <w:top w:val="single" w:sz="6" w:space="0" w:color="auto"/>
              <w:bottom w:val="single" w:sz="6" w:space="0" w:color="auto"/>
            </w:tcBorders>
            <w:vAlign w:val="center"/>
            <w:hideMark/>
          </w:tcPr>
          <w:p w14:paraId="6ADB87E3" w14:textId="77777777" w:rsidR="0014412B" w:rsidRPr="006C5123" w:rsidRDefault="0014412B" w:rsidP="00BC1937">
            <w:pPr>
              <w:jc w:val="center"/>
              <w:rPr>
                <w:bCs/>
                <w:color w:val="000000" w:themeColor="text1"/>
                <w:sz w:val="18"/>
                <w:szCs w:val="18"/>
              </w:rPr>
            </w:pPr>
          </w:p>
        </w:tc>
        <w:tc>
          <w:tcPr>
            <w:tcW w:w="810" w:type="dxa"/>
            <w:vMerge/>
            <w:tcBorders>
              <w:top w:val="single" w:sz="6" w:space="0" w:color="auto"/>
              <w:bottom w:val="single" w:sz="6" w:space="0" w:color="auto"/>
            </w:tcBorders>
            <w:vAlign w:val="center"/>
            <w:hideMark/>
          </w:tcPr>
          <w:p w14:paraId="02F905A1" w14:textId="77777777" w:rsidR="0014412B" w:rsidRPr="006C5123" w:rsidRDefault="0014412B" w:rsidP="00BC1937">
            <w:pPr>
              <w:jc w:val="center"/>
              <w:rPr>
                <w:bCs/>
                <w:color w:val="000000" w:themeColor="text1"/>
                <w:sz w:val="18"/>
                <w:szCs w:val="18"/>
              </w:rPr>
            </w:pPr>
          </w:p>
        </w:tc>
        <w:tc>
          <w:tcPr>
            <w:tcW w:w="900" w:type="dxa"/>
            <w:vMerge/>
            <w:tcBorders>
              <w:top w:val="single" w:sz="6" w:space="0" w:color="auto"/>
              <w:bottom w:val="single" w:sz="6" w:space="0" w:color="auto"/>
            </w:tcBorders>
          </w:tcPr>
          <w:p w14:paraId="2659B633"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p>
        </w:tc>
        <w:tc>
          <w:tcPr>
            <w:tcW w:w="540" w:type="dxa"/>
            <w:vMerge w:val="restart"/>
            <w:tcBorders>
              <w:top w:val="single" w:sz="6" w:space="0" w:color="auto"/>
              <w:bottom w:val="single" w:sz="6" w:space="0" w:color="auto"/>
            </w:tcBorders>
            <w:vAlign w:val="center"/>
            <w:hideMark/>
          </w:tcPr>
          <w:p w14:paraId="5AAF8BA9" w14:textId="77777777" w:rsidR="0014412B" w:rsidRPr="006C5123" w:rsidRDefault="00000000" w:rsidP="00BC1937">
            <w:pPr>
              <w:pStyle w:val="BodyText"/>
              <w:tabs>
                <w:tab w:val="clear" w:pos="0"/>
                <w:tab w:val="left" w:pos="180"/>
              </w:tabs>
              <w:ind w:left="-108" w:right="-122"/>
              <w:jc w:val="center"/>
              <w:rPr>
                <w:bCs/>
                <w:color w:val="000000" w:themeColor="text1"/>
                <w:sz w:val="18"/>
                <w:szCs w:val="18"/>
                <w:lang w:eastAsia="en-US"/>
              </w:rPr>
            </w:pPr>
            <m:oMathPara>
              <m:oMath>
                <m:f>
                  <m:fPr>
                    <m:ctrlPr>
                      <w:rPr>
                        <w:rFonts w:ascii="Cambria Math" w:hAnsi="Cambria Math"/>
                        <w:bCs/>
                        <w:color w:val="000000" w:themeColor="text1"/>
                        <w:sz w:val="18"/>
                        <w:szCs w:val="18"/>
                        <w:lang w:eastAsia="en-US"/>
                      </w:rPr>
                    </m:ctrlPr>
                  </m:fPr>
                  <m:num>
                    <m:r>
                      <m:rPr>
                        <m:sty m:val="p"/>
                      </m:rPr>
                      <w:rPr>
                        <w:rFonts w:ascii="Cambria Math" w:hAnsi="Cambria Math"/>
                        <w:color w:val="000000" w:themeColor="text1"/>
                        <w:sz w:val="18"/>
                        <w:szCs w:val="18"/>
                        <w:lang w:eastAsia="en-US"/>
                      </w:rPr>
                      <m:t>W</m:t>
                    </m:r>
                  </m:num>
                  <m:den>
                    <m:r>
                      <m:rPr>
                        <m:sty m:val="p"/>
                      </m:rPr>
                      <w:rPr>
                        <w:rFonts w:ascii="Cambria Math" w:hAnsi="Cambria Math"/>
                        <w:color w:val="000000" w:themeColor="text1"/>
                        <w:sz w:val="18"/>
                        <w:szCs w:val="18"/>
                        <w:lang w:eastAsia="en-US"/>
                      </w:rPr>
                      <m:t>C</m:t>
                    </m:r>
                  </m:den>
                </m:f>
              </m:oMath>
            </m:oMathPara>
          </w:p>
        </w:tc>
        <w:tc>
          <w:tcPr>
            <w:tcW w:w="630" w:type="dxa"/>
            <w:vMerge w:val="restart"/>
            <w:tcBorders>
              <w:top w:val="single" w:sz="6" w:space="0" w:color="auto"/>
              <w:bottom w:val="single" w:sz="6" w:space="0" w:color="auto"/>
            </w:tcBorders>
            <w:vAlign w:val="center"/>
            <w:hideMark/>
          </w:tcPr>
          <w:p w14:paraId="1B8DA7AA" w14:textId="77777777" w:rsidR="0014412B" w:rsidRPr="006C5123" w:rsidRDefault="00000000" w:rsidP="00BC1937">
            <w:pPr>
              <w:pStyle w:val="BodyText"/>
              <w:tabs>
                <w:tab w:val="clear" w:pos="0"/>
                <w:tab w:val="left" w:pos="180"/>
              </w:tabs>
              <w:ind w:left="-112" w:right="-106"/>
              <w:jc w:val="center"/>
              <w:rPr>
                <w:bCs/>
                <w:color w:val="000000" w:themeColor="text1"/>
                <w:sz w:val="18"/>
                <w:szCs w:val="18"/>
                <w:lang w:eastAsia="en-US"/>
              </w:rPr>
            </w:pPr>
            <m:oMathPara>
              <m:oMath>
                <m:f>
                  <m:fPr>
                    <m:ctrlPr>
                      <w:rPr>
                        <w:rFonts w:ascii="Cambria Math" w:hAnsi="Cambria Math"/>
                        <w:bCs/>
                        <w:color w:val="000000" w:themeColor="text1"/>
                        <w:sz w:val="18"/>
                        <w:szCs w:val="18"/>
                        <w:lang w:eastAsia="en-US"/>
                      </w:rPr>
                    </m:ctrlPr>
                  </m:fPr>
                  <m:num>
                    <m:r>
                      <m:rPr>
                        <m:sty m:val="p"/>
                      </m:rPr>
                      <w:rPr>
                        <w:rFonts w:ascii="Cambria Math" w:hAnsi="Cambria Math"/>
                        <w:color w:val="000000" w:themeColor="text1"/>
                        <w:sz w:val="18"/>
                        <w:szCs w:val="18"/>
                        <w:lang w:eastAsia="en-US"/>
                      </w:rPr>
                      <m:t>W</m:t>
                    </m:r>
                  </m:num>
                  <m:den>
                    <m:r>
                      <m:rPr>
                        <m:sty m:val="p"/>
                      </m:rPr>
                      <w:rPr>
                        <w:rFonts w:ascii="Cambria Math" w:hAnsi="Cambria Math"/>
                        <w:color w:val="000000" w:themeColor="text1"/>
                        <w:sz w:val="18"/>
                        <w:szCs w:val="18"/>
                        <w:lang w:eastAsia="en-US"/>
                      </w:rPr>
                      <m:t>(C+F)</m:t>
                    </m:r>
                  </m:den>
                </m:f>
              </m:oMath>
            </m:oMathPara>
          </w:p>
        </w:tc>
        <w:tc>
          <w:tcPr>
            <w:tcW w:w="630" w:type="dxa"/>
            <w:vMerge w:val="restart"/>
            <w:tcBorders>
              <w:top w:val="single" w:sz="6" w:space="0" w:color="auto"/>
              <w:bottom w:val="single" w:sz="6" w:space="0" w:color="auto"/>
            </w:tcBorders>
            <w:vAlign w:val="center"/>
            <w:hideMark/>
          </w:tcPr>
          <w:p w14:paraId="2465F35C" w14:textId="77777777" w:rsidR="0014412B" w:rsidRPr="006C5123" w:rsidRDefault="00000000" w:rsidP="00BC1937">
            <w:pPr>
              <w:ind w:left="-108" w:right="-106"/>
              <w:jc w:val="center"/>
              <w:rPr>
                <w:bCs/>
                <w:color w:val="000000" w:themeColor="text1"/>
                <w:sz w:val="18"/>
                <w:szCs w:val="18"/>
              </w:rPr>
            </w:pPr>
            <m:oMathPara>
              <m:oMath>
                <m:f>
                  <m:fPr>
                    <m:ctrlPr>
                      <w:rPr>
                        <w:rFonts w:ascii="Cambria Math" w:hAnsi="Cambria Math"/>
                        <w:bCs/>
                        <w:color w:val="000000" w:themeColor="text1"/>
                        <w:sz w:val="18"/>
                        <w:szCs w:val="18"/>
                      </w:rPr>
                    </m:ctrlPr>
                  </m:fPr>
                  <m:num>
                    <m:r>
                      <m:rPr>
                        <m:sty m:val="p"/>
                      </m:rPr>
                      <w:rPr>
                        <w:rFonts w:ascii="Cambria Math" w:hAnsi="Cambria Math"/>
                        <w:color w:val="000000" w:themeColor="text1"/>
                        <w:sz w:val="18"/>
                        <w:szCs w:val="18"/>
                      </w:rPr>
                      <m:t>CA</m:t>
                    </m:r>
                  </m:num>
                  <m:den>
                    <m:r>
                      <m:rPr>
                        <m:sty m:val="p"/>
                      </m:rPr>
                      <w:rPr>
                        <w:rFonts w:ascii="Cambria Math" w:hAnsi="Cambria Math"/>
                        <w:color w:val="000000" w:themeColor="text1"/>
                        <w:sz w:val="18"/>
                        <w:szCs w:val="18"/>
                      </w:rPr>
                      <m:t>FA</m:t>
                    </m:r>
                  </m:den>
                </m:f>
              </m:oMath>
            </m:oMathPara>
          </w:p>
        </w:tc>
        <w:tc>
          <w:tcPr>
            <w:tcW w:w="540" w:type="dxa"/>
            <w:vMerge/>
            <w:tcBorders>
              <w:top w:val="single" w:sz="6" w:space="0" w:color="auto"/>
              <w:bottom w:val="single" w:sz="6" w:space="0" w:color="auto"/>
            </w:tcBorders>
            <w:vAlign w:val="center"/>
            <w:hideMark/>
          </w:tcPr>
          <w:p w14:paraId="7635D8A6" w14:textId="77777777" w:rsidR="0014412B" w:rsidRPr="006C5123" w:rsidRDefault="0014412B" w:rsidP="00BC1937">
            <w:pPr>
              <w:jc w:val="center"/>
              <w:rPr>
                <w:bCs/>
                <w:color w:val="000000" w:themeColor="text1"/>
                <w:sz w:val="18"/>
                <w:szCs w:val="18"/>
              </w:rPr>
            </w:pPr>
          </w:p>
        </w:tc>
        <w:tc>
          <w:tcPr>
            <w:tcW w:w="810" w:type="dxa"/>
            <w:vMerge/>
            <w:tcBorders>
              <w:top w:val="single" w:sz="6" w:space="0" w:color="auto"/>
              <w:bottom w:val="single" w:sz="6" w:space="0" w:color="auto"/>
            </w:tcBorders>
          </w:tcPr>
          <w:p w14:paraId="0AC55C68" w14:textId="77777777" w:rsidR="0014412B" w:rsidRPr="006C5123" w:rsidRDefault="0014412B" w:rsidP="00BC1937">
            <w:pPr>
              <w:jc w:val="center"/>
              <w:rPr>
                <w:bCs/>
                <w:color w:val="000000" w:themeColor="text1"/>
                <w:sz w:val="18"/>
                <w:szCs w:val="18"/>
              </w:rPr>
            </w:pPr>
          </w:p>
        </w:tc>
        <w:tc>
          <w:tcPr>
            <w:tcW w:w="630" w:type="dxa"/>
            <w:vMerge/>
            <w:tcBorders>
              <w:top w:val="single" w:sz="6" w:space="0" w:color="auto"/>
              <w:bottom w:val="single" w:sz="6" w:space="0" w:color="auto"/>
              <w:right w:val="single" w:sz="4" w:space="0" w:color="auto"/>
            </w:tcBorders>
          </w:tcPr>
          <w:p w14:paraId="5076BE3F" w14:textId="77777777" w:rsidR="0014412B" w:rsidRPr="006C5123" w:rsidRDefault="0014412B" w:rsidP="00BC1937">
            <w:pPr>
              <w:jc w:val="center"/>
              <w:rPr>
                <w:bCs/>
                <w:color w:val="000000" w:themeColor="text1"/>
                <w:sz w:val="18"/>
                <w:szCs w:val="18"/>
              </w:rPr>
            </w:pPr>
          </w:p>
        </w:tc>
      </w:tr>
      <w:tr w:rsidR="006C5123" w:rsidRPr="006C5123" w14:paraId="656F6192" w14:textId="77777777" w:rsidTr="00BC1937">
        <w:trPr>
          <w:trHeight w:val="561"/>
        </w:trPr>
        <w:tc>
          <w:tcPr>
            <w:tcW w:w="720" w:type="dxa"/>
            <w:tcBorders>
              <w:top w:val="single" w:sz="6" w:space="0" w:color="auto"/>
              <w:left w:val="single" w:sz="4" w:space="0" w:color="auto"/>
              <w:bottom w:val="single" w:sz="4" w:space="0" w:color="auto"/>
            </w:tcBorders>
            <w:vAlign w:val="center"/>
            <w:hideMark/>
          </w:tcPr>
          <w:p w14:paraId="5E1A3A92"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(C)</w:t>
            </w:r>
          </w:p>
        </w:tc>
        <w:tc>
          <w:tcPr>
            <w:tcW w:w="540" w:type="dxa"/>
            <w:tcBorders>
              <w:top w:val="single" w:sz="6" w:space="0" w:color="auto"/>
              <w:bottom w:val="single" w:sz="4" w:space="0" w:color="auto"/>
            </w:tcBorders>
            <w:vAlign w:val="center"/>
          </w:tcPr>
          <w:p w14:paraId="2F45EE4C"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(F)</w:t>
            </w:r>
          </w:p>
        </w:tc>
        <w:tc>
          <w:tcPr>
            <w:tcW w:w="720" w:type="dxa"/>
            <w:tcBorders>
              <w:top w:val="single" w:sz="6" w:space="0" w:color="auto"/>
              <w:bottom w:val="single" w:sz="4" w:space="0" w:color="auto"/>
            </w:tcBorders>
            <w:vAlign w:val="center"/>
            <w:hideMark/>
          </w:tcPr>
          <w:p w14:paraId="28D3ABBC"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(CA)</w:t>
            </w:r>
          </w:p>
        </w:tc>
        <w:tc>
          <w:tcPr>
            <w:tcW w:w="810" w:type="dxa"/>
            <w:tcBorders>
              <w:top w:val="single" w:sz="6" w:space="0" w:color="auto"/>
              <w:bottom w:val="single" w:sz="4" w:space="0" w:color="auto"/>
            </w:tcBorders>
            <w:vAlign w:val="center"/>
            <w:hideMark/>
          </w:tcPr>
          <w:p w14:paraId="5B7001C5"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(FA)</w:t>
            </w:r>
          </w:p>
        </w:tc>
        <w:tc>
          <w:tcPr>
            <w:tcW w:w="630" w:type="dxa"/>
            <w:tcBorders>
              <w:top w:val="single" w:sz="6" w:space="0" w:color="auto"/>
              <w:bottom w:val="single" w:sz="4" w:space="0" w:color="auto"/>
            </w:tcBorders>
            <w:vAlign w:val="center"/>
            <w:hideMark/>
          </w:tcPr>
          <w:p w14:paraId="7300BE6D"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(W)</w:t>
            </w:r>
          </w:p>
        </w:tc>
        <w:tc>
          <w:tcPr>
            <w:tcW w:w="810" w:type="dxa"/>
            <w:tcBorders>
              <w:top w:val="single" w:sz="6" w:space="0" w:color="auto"/>
              <w:bottom w:val="single" w:sz="4" w:space="0" w:color="auto"/>
            </w:tcBorders>
            <w:vAlign w:val="center"/>
            <w:hideMark/>
          </w:tcPr>
          <w:p w14:paraId="7E964FF5"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(SP)</w:t>
            </w:r>
          </w:p>
        </w:tc>
        <w:tc>
          <w:tcPr>
            <w:tcW w:w="900" w:type="dxa"/>
            <w:tcBorders>
              <w:top w:val="single" w:sz="6" w:space="0" w:color="auto"/>
              <w:bottom w:val="single" w:sz="4" w:space="0" w:color="auto"/>
            </w:tcBorders>
            <w:vAlign w:val="center"/>
          </w:tcPr>
          <w:p w14:paraId="67866DA7" w14:textId="77777777" w:rsidR="0014412B" w:rsidRPr="006C5123" w:rsidRDefault="0014412B" w:rsidP="00BC1937">
            <w:pPr>
              <w:jc w:val="center"/>
              <w:rPr>
                <w:bCs/>
                <w:color w:val="000000" w:themeColor="text1"/>
                <w:sz w:val="18"/>
                <w:szCs w:val="18"/>
              </w:rPr>
            </w:pPr>
            <w:r w:rsidRPr="006C5123">
              <w:rPr>
                <w:bCs/>
                <w:color w:val="000000" w:themeColor="text1"/>
                <w:sz w:val="18"/>
                <w:szCs w:val="18"/>
              </w:rPr>
              <w:t>(VMA)</w:t>
            </w:r>
          </w:p>
        </w:tc>
        <w:tc>
          <w:tcPr>
            <w:tcW w:w="540" w:type="dxa"/>
            <w:vMerge/>
            <w:tcBorders>
              <w:top w:val="single" w:sz="6" w:space="0" w:color="auto"/>
              <w:bottom w:val="single" w:sz="4" w:space="0" w:color="auto"/>
            </w:tcBorders>
            <w:vAlign w:val="center"/>
            <w:hideMark/>
          </w:tcPr>
          <w:p w14:paraId="2B297F0E" w14:textId="77777777" w:rsidR="0014412B" w:rsidRPr="006C5123" w:rsidRDefault="0014412B" w:rsidP="00BC1937">
            <w:pPr>
              <w:jc w:val="center"/>
              <w:rPr>
                <w:bCs/>
                <w:color w:val="000000" w:themeColor="text1"/>
                <w:sz w:val="18"/>
                <w:szCs w:val="18"/>
              </w:rPr>
            </w:pPr>
          </w:p>
        </w:tc>
        <w:tc>
          <w:tcPr>
            <w:tcW w:w="630" w:type="dxa"/>
            <w:vMerge/>
            <w:tcBorders>
              <w:top w:val="single" w:sz="6" w:space="0" w:color="auto"/>
              <w:bottom w:val="single" w:sz="4" w:space="0" w:color="auto"/>
            </w:tcBorders>
            <w:vAlign w:val="center"/>
            <w:hideMark/>
          </w:tcPr>
          <w:p w14:paraId="71FBF853" w14:textId="77777777" w:rsidR="0014412B" w:rsidRPr="006C5123" w:rsidRDefault="0014412B" w:rsidP="00BC1937">
            <w:pPr>
              <w:jc w:val="center"/>
              <w:rPr>
                <w:bCs/>
                <w:color w:val="000000" w:themeColor="text1"/>
                <w:sz w:val="18"/>
                <w:szCs w:val="18"/>
              </w:rPr>
            </w:pPr>
          </w:p>
        </w:tc>
        <w:tc>
          <w:tcPr>
            <w:tcW w:w="630" w:type="dxa"/>
            <w:vMerge/>
            <w:tcBorders>
              <w:top w:val="single" w:sz="6" w:space="0" w:color="auto"/>
              <w:bottom w:val="single" w:sz="4" w:space="0" w:color="auto"/>
            </w:tcBorders>
            <w:vAlign w:val="center"/>
            <w:hideMark/>
          </w:tcPr>
          <w:p w14:paraId="6A7289DA" w14:textId="77777777" w:rsidR="0014412B" w:rsidRPr="006C5123" w:rsidRDefault="0014412B" w:rsidP="00BC1937">
            <w:pPr>
              <w:jc w:val="center"/>
              <w:rPr>
                <w:bCs/>
                <w:color w:val="000000" w:themeColor="text1"/>
                <w:sz w:val="18"/>
                <w:szCs w:val="18"/>
              </w:rPr>
            </w:pPr>
          </w:p>
        </w:tc>
        <w:tc>
          <w:tcPr>
            <w:tcW w:w="540" w:type="dxa"/>
            <w:vMerge/>
            <w:tcBorders>
              <w:top w:val="single" w:sz="6" w:space="0" w:color="auto"/>
              <w:bottom w:val="single" w:sz="4" w:space="0" w:color="auto"/>
            </w:tcBorders>
            <w:vAlign w:val="center"/>
            <w:hideMark/>
          </w:tcPr>
          <w:p w14:paraId="471F5A38" w14:textId="77777777" w:rsidR="0014412B" w:rsidRPr="006C5123" w:rsidRDefault="0014412B" w:rsidP="00BC1937">
            <w:pPr>
              <w:jc w:val="center"/>
              <w:rPr>
                <w:bCs/>
                <w:color w:val="000000" w:themeColor="text1"/>
                <w:sz w:val="18"/>
                <w:szCs w:val="18"/>
              </w:rPr>
            </w:pPr>
          </w:p>
        </w:tc>
        <w:tc>
          <w:tcPr>
            <w:tcW w:w="810" w:type="dxa"/>
            <w:vMerge/>
            <w:tcBorders>
              <w:top w:val="single" w:sz="6" w:space="0" w:color="auto"/>
              <w:bottom w:val="single" w:sz="4" w:space="0" w:color="auto"/>
            </w:tcBorders>
          </w:tcPr>
          <w:p w14:paraId="18D4F102" w14:textId="77777777" w:rsidR="0014412B" w:rsidRPr="006C5123" w:rsidRDefault="0014412B" w:rsidP="00BC1937">
            <w:pPr>
              <w:jc w:val="center"/>
              <w:rPr>
                <w:bCs/>
                <w:color w:val="000000" w:themeColor="text1"/>
                <w:sz w:val="18"/>
                <w:szCs w:val="18"/>
              </w:rPr>
            </w:pPr>
          </w:p>
        </w:tc>
        <w:tc>
          <w:tcPr>
            <w:tcW w:w="630" w:type="dxa"/>
            <w:vMerge/>
            <w:tcBorders>
              <w:top w:val="single" w:sz="6" w:space="0" w:color="auto"/>
              <w:bottom w:val="single" w:sz="4" w:space="0" w:color="auto"/>
              <w:right w:val="single" w:sz="4" w:space="0" w:color="auto"/>
            </w:tcBorders>
          </w:tcPr>
          <w:p w14:paraId="3C2EAB53" w14:textId="77777777" w:rsidR="0014412B" w:rsidRPr="006C5123" w:rsidRDefault="0014412B" w:rsidP="00BC1937">
            <w:pPr>
              <w:jc w:val="center"/>
              <w:rPr>
                <w:bCs/>
                <w:color w:val="000000" w:themeColor="text1"/>
                <w:sz w:val="18"/>
                <w:szCs w:val="18"/>
              </w:rPr>
            </w:pPr>
          </w:p>
        </w:tc>
      </w:tr>
      <w:tr w:rsidR="006C5123" w:rsidRPr="006C5123" w14:paraId="599050DE" w14:textId="77777777" w:rsidTr="00BC1937">
        <w:trPr>
          <w:trHeight w:val="510"/>
        </w:trPr>
        <w:tc>
          <w:tcPr>
            <w:tcW w:w="720" w:type="dxa"/>
            <w:tcBorders>
              <w:top w:val="single" w:sz="4" w:space="0" w:color="auto"/>
              <w:left w:val="single" w:sz="4" w:space="0" w:color="auto"/>
              <w:bottom w:val="single" w:sz="4" w:space="0" w:color="auto"/>
            </w:tcBorders>
            <w:vAlign w:val="center"/>
            <w:hideMark/>
          </w:tcPr>
          <w:p w14:paraId="7CFF16BF"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435</w:t>
            </w:r>
          </w:p>
        </w:tc>
        <w:tc>
          <w:tcPr>
            <w:tcW w:w="540" w:type="dxa"/>
            <w:tcBorders>
              <w:top w:val="single" w:sz="4" w:space="0" w:color="auto"/>
              <w:bottom w:val="single" w:sz="4" w:space="0" w:color="auto"/>
            </w:tcBorders>
            <w:vAlign w:val="center"/>
          </w:tcPr>
          <w:p w14:paraId="61188F20"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100</w:t>
            </w:r>
          </w:p>
        </w:tc>
        <w:tc>
          <w:tcPr>
            <w:tcW w:w="720" w:type="dxa"/>
            <w:tcBorders>
              <w:top w:val="single" w:sz="4" w:space="0" w:color="auto"/>
              <w:bottom w:val="single" w:sz="4" w:space="0" w:color="auto"/>
            </w:tcBorders>
            <w:vAlign w:val="center"/>
            <w:hideMark/>
          </w:tcPr>
          <w:p w14:paraId="0637B4A4"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860</w:t>
            </w:r>
          </w:p>
        </w:tc>
        <w:tc>
          <w:tcPr>
            <w:tcW w:w="810" w:type="dxa"/>
            <w:tcBorders>
              <w:top w:val="single" w:sz="4" w:space="0" w:color="auto"/>
              <w:bottom w:val="single" w:sz="4" w:space="0" w:color="auto"/>
            </w:tcBorders>
            <w:vAlign w:val="center"/>
            <w:hideMark/>
          </w:tcPr>
          <w:p w14:paraId="2219AE47"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875</w:t>
            </w:r>
          </w:p>
        </w:tc>
        <w:tc>
          <w:tcPr>
            <w:tcW w:w="630" w:type="dxa"/>
            <w:tcBorders>
              <w:top w:val="single" w:sz="4" w:space="0" w:color="auto"/>
              <w:bottom w:val="single" w:sz="4" w:space="0" w:color="auto"/>
            </w:tcBorders>
            <w:vAlign w:val="center"/>
            <w:hideMark/>
          </w:tcPr>
          <w:p w14:paraId="4E3FA432"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210</w:t>
            </w:r>
          </w:p>
        </w:tc>
        <w:tc>
          <w:tcPr>
            <w:tcW w:w="810" w:type="dxa"/>
            <w:tcBorders>
              <w:top w:val="single" w:sz="4" w:space="0" w:color="auto"/>
              <w:bottom w:val="single" w:sz="4" w:space="0" w:color="auto"/>
            </w:tcBorders>
            <w:vAlign w:val="center"/>
            <w:hideMark/>
          </w:tcPr>
          <w:p w14:paraId="7A8AFA29"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5.4</w:t>
            </w:r>
          </w:p>
        </w:tc>
        <w:tc>
          <w:tcPr>
            <w:tcW w:w="900" w:type="dxa"/>
            <w:tcBorders>
              <w:top w:val="single" w:sz="4" w:space="0" w:color="auto"/>
              <w:bottom w:val="single" w:sz="4" w:space="0" w:color="auto"/>
            </w:tcBorders>
            <w:vAlign w:val="center"/>
          </w:tcPr>
          <w:p w14:paraId="40ABFB98"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1.0</w:t>
            </w:r>
          </w:p>
        </w:tc>
        <w:tc>
          <w:tcPr>
            <w:tcW w:w="540" w:type="dxa"/>
            <w:tcBorders>
              <w:top w:val="single" w:sz="4" w:space="0" w:color="auto"/>
              <w:bottom w:val="single" w:sz="4" w:space="0" w:color="auto"/>
            </w:tcBorders>
            <w:vAlign w:val="center"/>
          </w:tcPr>
          <w:p w14:paraId="20DFC412"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0.48</w:t>
            </w:r>
          </w:p>
        </w:tc>
        <w:tc>
          <w:tcPr>
            <w:tcW w:w="630" w:type="dxa"/>
            <w:tcBorders>
              <w:top w:val="single" w:sz="4" w:space="0" w:color="auto"/>
              <w:bottom w:val="single" w:sz="4" w:space="0" w:color="auto"/>
            </w:tcBorders>
            <w:vAlign w:val="center"/>
          </w:tcPr>
          <w:p w14:paraId="4371B5D0"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0.39</w:t>
            </w:r>
          </w:p>
        </w:tc>
        <w:tc>
          <w:tcPr>
            <w:tcW w:w="630" w:type="dxa"/>
            <w:tcBorders>
              <w:top w:val="single" w:sz="4" w:space="0" w:color="auto"/>
              <w:bottom w:val="single" w:sz="4" w:space="0" w:color="auto"/>
            </w:tcBorders>
            <w:vAlign w:val="center"/>
          </w:tcPr>
          <w:p w14:paraId="7C58CD24"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0.98</w:t>
            </w:r>
          </w:p>
        </w:tc>
        <w:tc>
          <w:tcPr>
            <w:tcW w:w="540" w:type="dxa"/>
            <w:tcBorders>
              <w:top w:val="single" w:sz="4" w:space="0" w:color="auto"/>
              <w:bottom w:val="single" w:sz="4" w:space="0" w:color="auto"/>
            </w:tcBorders>
            <w:vAlign w:val="center"/>
          </w:tcPr>
          <w:p w14:paraId="75C2E373"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660</w:t>
            </w:r>
          </w:p>
        </w:tc>
        <w:tc>
          <w:tcPr>
            <w:tcW w:w="810" w:type="dxa"/>
            <w:tcBorders>
              <w:top w:val="single" w:sz="4" w:space="0" w:color="auto"/>
              <w:bottom w:val="single" w:sz="4" w:space="0" w:color="auto"/>
            </w:tcBorders>
            <w:vAlign w:val="center"/>
          </w:tcPr>
          <w:p w14:paraId="509C98E7"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6.70</w:t>
            </w:r>
          </w:p>
        </w:tc>
        <w:tc>
          <w:tcPr>
            <w:tcW w:w="630" w:type="dxa"/>
            <w:tcBorders>
              <w:top w:val="single" w:sz="4" w:space="0" w:color="auto"/>
              <w:bottom w:val="single" w:sz="4" w:space="0" w:color="auto"/>
              <w:right w:val="single" w:sz="4" w:space="0" w:color="auto"/>
            </w:tcBorders>
            <w:vAlign w:val="center"/>
          </w:tcPr>
          <w:p w14:paraId="22A2C5F0" w14:textId="77777777" w:rsidR="0014412B" w:rsidRPr="006C5123" w:rsidRDefault="0014412B" w:rsidP="00BC1937">
            <w:pPr>
              <w:pStyle w:val="BodyText"/>
              <w:tabs>
                <w:tab w:val="clear" w:pos="0"/>
                <w:tab w:val="left" w:pos="180"/>
              </w:tabs>
              <w:jc w:val="center"/>
              <w:rPr>
                <w:bCs/>
                <w:color w:val="000000" w:themeColor="text1"/>
                <w:sz w:val="18"/>
                <w:szCs w:val="18"/>
                <w:lang w:eastAsia="en-US"/>
              </w:rPr>
            </w:pPr>
            <w:r w:rsidRPr="006C5123">
              <w:rPr>
                <w:bCs/>
                <w:color w:val="000000" w:themeColor="text1"/>
                <w:sz w:val="18"/>
                <w:szCs w:val="18"/>
                <w:lang w:eastAsia="en-US"/>
              </w:rPr>
              <w:t>0.86</w:t>
            </w:r>
          </w:p>
        </w:tc>
      </w:tr>
    </w:tbl>
    <w:p w14:paraId="107B35D5" w14:textId="77777777" w:rsidR="0077429B" w:rsidRPr="006C5123" w:rsidRDefault="0077429B"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color w:val="000000" w:themeColor="text1"/>
          <w:szCs w:val="24"/>
          <w:lang w:eastAsia="en-US"/>
        </w:rPr>
      </w:pPr>
    </w:p>
    <w:p w14:paraId="61CCF668" w14:textId="77777777" w:rsidR="00C54D0E" w:rsidRPr="006C5123" w:rsidRDefault="00C54D0E"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color w:val="000000" w:themeColor="text1"/>
          <w:szCs w:val="24"/>
          <w:lang w:eastAsia="en-US"/>
        </w:rPr>
      </w:pPr>
      <w:r w:rsidRPr="006C5123">
        <w:rPr>
          <w:b/>
          <w:bCs/>
          <w:color w:val="000000" w:themeColor="text1"/>
          <w:szCs w:val="24"/>
          <w:lang w:eastAsia="en-US"/>
        </w:rPr>
        <w:lastRenderedPageBreak/>
        <w:t>Preparation and curing of specimens</w:t>
      </w:r>
    </w:p>
    <w:p w14:paraId="0F15DF4F" w14:textId="77777777" w:rsidR="00567981" w:rsidRPr="006C5123" w:rsidRDefault="00567981"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color w:val="000000" w:themeColor="text1"/>
          <w:sz w:val="20"/>
          <w:lang w:eastAsia="en-US"/>
        </w:rPr>
      </w:pPr>
    </w:p>
    <w:p w14:paraId="3A5CB680" w14:textId="49F0E64B" w:rsidR="00442FCE" w:rsidRPr="006C5123" w:rsidRDefault="00811D60" w:rsidP="00442FCE">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360" w:lineRule="auto"/>
        <w:rPr>
          <w:color w:val="000000" w:themeColor="text1"/>
          <w:szCs w:val="24"/>
          <w:lang w:eastAsia="en-US"/>
        </w:rPr>
      </w:pPr>
      <w:r w:rsidRPr="006C5123">
        <w:rPr>
          <w:color w:val="000000" w:themeColor="text1"/>
          <w:szCs w:val="24"/>
          <w:lang w:eastAsia="en-US"/>
        </w:rPr>
        <w:t xml:space="preserve">To create the reference test specimens, steel </w:t>
      </w:r>
      <w:proofErr w:type="spellStart"/>
      <w:r w:rsidRPr="006C5123">
        <w:rPr>
          <w:color w:val="000000" w:themeColor="text1"/>
          <w:szCs w:val="24"/>
          <w:lang w:eastAsia="en-US"/>
        </w:rPr>
        <w:t>molds</w:t>
      </w:r>
      <w:proofErr w:type="spellEnd"/>
      <w:r w:rsidRPr="006C5123">
        <w:rPr>
          <w:color w:val="000000" w:themeColor="text1"/>
          <w:szCs w:val="24"/>
          <w:lang w:eastAsia="en-US"/>
        </w:rPr>
        <w:t xml:space="preserve"> were employed. CPF liners were securely attached to the side plates of these </w:t>
      </w:r>
      <w:proofErr w:type="spellStart"/>
      <w:r w:rsidRPr="006C5123">
        <w:rPr>
          <w:color w:val="000000" w:themeColor="text1"/>
          <w:szCs w:val="24"/>
          <w:lang w:eastAsia="en-US"/>
        </w:rPr>
        <w:t>molds</w:t>
      </w:r>
      <w:proofErr w:type="spellEnd"/>
      <w:r w:rsidRPr="006C5123">
        <w:rPr>
          <w:color w:val="000000" w:themeColor="text1"/>
          <w:szCs w:val="24"/>
          <w:lang w:eastAsia="en-US"/>
        </w:rPr>
        <w:t xml:space="preserve">, and the specimens were subsequently cast, as illustrated in Figure 2. </w:t>
      </w:r>
      <w:r w:rsidR="006327DB" w:rsidRPr="006C5123">
        <w:rPr>
          <w:color w:val="000000" w:themeColor="text1"/>
          <w:szCs w:val="24"/>
          <w:lang w:eastAsia="en-US"/>
        </w:rPr>
        <w:t xml:space="preserve">The concrete specimens known as "IMF" specimens have been manufactured using steel </w:t>
      </w:r>
      <w:proofErr w:type="spellStart"/>
      <w:r w:rsidR="006327DB" w:rsidRPr="006C5123">
        <w:rPr>
          <w:color w:val="000000" w:themeColor="text1"/>
          <w:szCs w:val="24"/>
          <w:lang w:eastAsia="en-US"/>
        </w:rPr>
        <w:t>molds</w:t>
      </w:r>
      <w:proofErr w:type="spellEnd"/>
      <w:r w:rsidRPr="006C5123">
        <w:rPr>
          <w:color w:val="000000" w:themeColor="text1"/>
          <w:szCs w:val="24"/>
          <w:lang w:eastAsia="en-US"/>
        </w:rPr>
        <w:t xml:space="preserve">, while those crafted using steel </w:t>
      </w:r>
      <w:proofErr w:type="spellStart"/>
      <w:r w:rsidRPr="006C5123">
        <w:rPr>
          <w:color w:val="000000" w:themeColor="text1"/>
          <w:szCs w:val="24"/>
          <w:lang w:eastAsia="en-US"/>
        </w:rPr>
        <w:t>molds</w:t>
      </w:r>
      <w:proofErr w:type="spellEnd"/>
      <w:r w:rsidRPr="006C5123">
        <w:rPr>
          <w:color w:val="000000" w:themeColor="text1"/>
          <w:szCs w:val="24"/>
          <w:lang w:eastAsia="en-US"/>
        </w:rPr>
        <w:t xml:space="preserve"> with CPF liners were </w:t>
      </w:r>
      <w:proofErr w:type="spellStart"/>
      <w:r w:rsidRPr="006C5123">
        <w:rPr>
          <w:color w:val="000000" w:themeColor="text1"/>
          <w:szCs w:val="24"/>
          <w:lang w:eastAsia="en-US"/>
        </w:rPr>
        <w:t>labeled</w:t>
      </w:r>
      <w:proofErr w:type="spellEnd"/>
      <w:r w:rsidRPr="006C5123">
        <w:rPr>
          <w:color w:val="000000" w:themeColor="text1"/>
          <w:szCs w:val="24"/>
          <w:lang w:eastAsia="en-US"/>
        </w:rPr>
        <w:t xml:space="preserve"> as "CPF" specimens. </w:t>
      </w:r>
      <w:r w:rsidR="006327DB" w:rsidRPr="006C5123">
        <w:rPr>
          <w:color w:val="000000" w:themeColor="text1"/>
          <w:szCs w:val="24"/>
          <w:lang w:eastAsia="en-US"/>
        </w:rPr>
        <w:t>A 55-liter drum mixer was used to carefully prepare the concrete mixes</w:t>
      </w:r>
      <w:r w:rsidRPr="006C5123">
        <w:rPr>
          <w:color w:val="000000" w:themeColor="text1"/>
          <w:szCs w:val="24"/>
          <w:lang w:eastAsia="en-US"/>
        </w:rPr>
        <w:t xml:space="preserve">. </w:t>
      </w:r>
      <w:r w:rsidR="006327DB" w:rsidRPr="006C5123">
        <w:rPr>
          <w:color w:val="000000" w:themeColor="text1"/>
          <w:szCs w:val="24"/>
          <w:lang w:eastAsia="en-US"/>
        </w:rPr>
        <w:t xml:space="preserve">The </w:t>
      </w:r>
      <w:proofErr w:type="spellStart"/>
      <w:r w:rsidR="006327DB" w:rsidRPr="006C5123">
        <w:rPr>
          <w:color w:val="000000" w:themeColor="text1"/>
          <w:szCs w:val="24"/>
          <w:lang w:eastAsia="en-US"/>
        </w:rPr>
        <w:t>molds</w:t>
      </w:r>
      <w:proofErr w:type="spellEnd"/>
      <w:r w:rsidR="006327DB" w:rsidRPr="006C5123">
        <w:rPr>
          <w:color w:val="000000" w:themeColor="text1"/>
          <w:szCs w:val="24"/>
          <w:lang w:eastAsia="en-US"/>
        </w:rPr>
        <w:t xml:space="preserve"> were filled with concrete, and when 24 hours were up, they were removed. The resulting specimens then underwent water curing until the testing date.</w:t>
      </w:r>
    </w:p>
    <w:p w14:paraId="744BFFE8" w14:textId="0ADF7A1F" w:rsidR="00C61DE8" w:rsidRPr="006C5123" w:rsidRDefault="007B4486" w:rsidP="00442FCE">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360" w:lineRule="auto"/>
        <w:jc w:val="center"/>
        <w:rPr>
          <w:color w:val="000000" w:themeColor="text1"/>
          <w:lang w:eastAsia="en-US"/>
        </w:rPr>
      </w:pPr>
      <w:r w:rsidRPr="006C5123">
        <w:rPr>
          <w:noProof/>
          <w:color w:val="000000" w:themeColor="text1"/>
          <w:szCs w:val="24"/>
          <w:lang w:val="en-US" w:eastAsia="en-US"/>
        </w:rPr>
        <w:drawing>
          <wp:inline distT="0" distB="0" distL="0" distR="0" wp14:anchorId="4C81AECE" wp14:editId="261BEFF3">
            <wp:extent cx="2437130" cy="1401737"/>
            <wp:effectExtent l="0" t="0" r="127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37130" cy="1401737"/>
                    </a:xfrm>
                    <a:prstGeom prst="rect">
                      <a:avLst/>
                    </a:prstGeom>
                    <a:noFill/>
                    <a:ln w="9525">
                      <a:noFill/>
                      <a:miter lim="800000"/>
                      <a:headEnd/>
                      <a:tailEnd/>
                    </a:ln>
                  </pic:spPr>
                </pic:pic>
              </a:graphicData>
            </a:graphic>
          </wp:inline>
        </w:drawing>
      </w:r>
    </w:p>
    <w:p w14:paraId="22A56790" w14:textId="1FF355D1" w:rsidR="00CC4BCA" w:rsidRPr="006C5123" w:rsidRDefault="007B4486" w:rsidP="00CE3632">
      <w:pPr>
        <w:pStyle w:val="BodyText"/>
        <w:jc w:val="center"/>
        <w:rPr>
          <w:color w:val="000000" w:themeColor="text1"/>
          <w:szCs w:val="24"/>
          <w:lang w:eastAsia="en-US"/>
        </w:rPr>
      </w:pPr>
      <w:r w:rsidRPr="006C5123">
        <w:rPr>
          <w:b/>
          <w:color w:val="000000" w:themeColor="text1"/>
          <w:szCs w:val="24"/>
          <w:lang w:eastAsia="en-US"/>
        </w:rPr>
        <w:t>Fig</w:t>
      </w:r>
      <w:r w:rsidR="00BF70D0" w:rsidRPr="006C5123">
        <w:rPr>
          <w:b/>
          <w:color w:val="000000" w:themeColor="text1"/>
          <w:szCs w:val="24"/>
          <w:lang w:eastAsia="en-US"/>
        </w:rPr>
        <w:t>. 2</w:t>
      </w:r>
      <w:r w:rsidR="00674785" w:rsidRPr="006C5123">
        <w:rPr>
          <w:b/>
          <w:color w:val="000000" w:themeColor="text1"/>
          <w:szCs w:val="24"/>
          <w:lang w:eastAsia="en-US"/>
        </w:rPr>
        <w:t xml:space="preserve"> </w:t>
      </w:r>
      <w:r w:rsidR="008D6762" w:rsidRPr="006C5123">
        <w:rPr>
          <w:color w:val="000000" w:themeColor="text1"/>
          <w:szCs w:val="24"/>
          <w:lang w:eastAsia="en-US"/>
        </w:rPr>
        <w:t xml:space="preserve">preparing the </w:t>
      </w:r>
      <w:proofErr w:type="spellStart"/>
      <w:r w:rsidR="008D6762" w:rsidRPr="006C5123">
        <w:rPr>
          <w:color w:val="000000" w:themeColor="text1"/>
          <w:szCs w:val="24"/>
          <w:lang w:eastAsia="en-US"/>
        </w:rPr>
        <w:t>mold</w:t>
      </w:r>
      <w:proofErr w:type="spellEnd"/>
      <w:r w:rsidR="008D6762" w:rsidRPr="006C5123">
        <w:rPr>
          <w:color w:val="000000" w:themeColor="text1"/>
          <w:szCs w:val="24"/>
          <w:lang w:eastAsia="en-US"/>
        </w:rPr>
        <w:t xml:space="preserve"> to cast the cube specimens</w:t>
      </w:r>
      <w:r w:rsidR="00622B14" w:rsidRPr="006C5123">
        <w:rPr>
          <w:color w:val="000000" w:themeColor="text1"/>
          <w:szCs w:val="24"/>
          <w:lang w:eastAsia="en-US"/>
        </w:rPr>
        <w:t>.</w:t>
      </w:r>
    </w:p>
    <w:p w14:paraId="3E82B197" w14:textId="77777777" w:rsidR="00367506" w:rsidRPr="006C5123" w:rsidRDefault="00367506" w:rsidP="00367506">
      <w:pPr>
        <w:pStyle w:val="BodyText"/>
        <w:spacing w:line="360" w:lineRule="auto"/>
        <w:jc w:val="left"/>
        <w:rPr>
          <w:b/>
          <w:color w:val="000000" w:themeColor="text1"/>
          <w:sz w:val="18"/>
          <w:szCs w:val="18"/>
          <w:lang w:eastAsia="en-US"/>
        </w:rPr>
      </w:pPr>
    </w:p>
    <w:p w14:paraId="36E3C320" w14:textId="77777777" w:rsidR="00EB69D8" w:rsidRPr="006C5123" w:rsidRDefault="00FB2447" w:rsidP="00567981">
      <w:pPr>
        <w:spacing w:line="276" w:lineRule="auto"/>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t>TEST PROGRAMME</w:t>
      </w:r>
    </w:p>
    <w:p w14:paraId="5AC17139" w14:textId="037DE00E" w:rsidR="00CC4BCA" w:rsidRPr="006C5123" w:rsidRDefault="0099585E" w:rsidP="00567981">
      <w:pPr>
        <w:pStyle w:val="BodyText"/>
        <w:spacing w:after="240" w:line="276" w:lineRule="auto"/>
        <w:rPr>
          <w:b/>
          <w:color w:val="000000" w:themeColor="text1"/>
          <w:szCs w:val="24"/>
        </w:rPr>
      </w:pPr>
      <w:r w:rsidRPr="006C5123">
        <w:rPr>
          <w:b/>
          <w:color w:val="000000" w:themeColor="text1"/>
          <w:szCs w:val="24"/>
        </w:rPr>
        <w:t>Water absorption</w:t>
      </w:r>
    </w:p>
    <w:p w14:paraId="3C3E4D40" w14:textId="2E95876F" w:rsidR="00811D60" w:rsidRPr="006C5123" w:rsidRDefault="00811D60" w:rsidP="00442FCE">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both"/>
        <w:rPr>
          <w:rFonts w:ascii="Times New Roman" w:eastAsia="Times New Roman" w:hAnsi="Times New Roman" w:cs="Times New Roman"/>
          <w:color w:val="000000" w:themeColor="text1"/>
          <w:sz w:val="24"/>
          <w:szCs w:val="24"/>
          <w:lang w:eastAsia="ar-SA"/>
        </w:rPr>
      </w:pPr>
      <w:r w:rsidRPr="006C5123">
        <w:rPr>
          <w:rFonts w:ascii="Times New Roman" w:eastAsia="Times New Roman" w:hAnsi="Times New Roman" w:cs="Times New Roman"/>
          <w:color w:val="000000" w:themeColor="text1"/>
          <w:sz w:val="24"/>
          <w:szCs w:val="24"/>
          <w:lang w:eastAsia="ar-SA"/>
        </w:rPr>
        <w:t xml:space="preserve">A </w:t>
      </w:r>
      <w:r w:rsidR="008D6762" w:rsidRPr="006C5123">
        <w:rPr>
          <w:rFonts w:ascii="Times New Roman" w:eastAsia="Times New Roman" w:hAnsi="Times New Roman" w:cs="Times New Roman"/>
          <w:color w:val="000000" w:themeColor="text1"/>
          <w:sz w:val="24"/>
          <w:szCs w:val="24"/>
          <w:lang w:eastAsia="ar-SA"/>
        </w:rPr>
        <w:t xml:space="preserve">cube </w:t>
      </w:r>
      <w:r w:rsidRPr="006C5123">
        <w:rPr>
          <w:rFonts w:ascii="Times New Roman" w:eastAsia="Times New Roman" w:hAnsi="Times New Roman" w:cs="Times New Roman"/>
          <w:color w:val="000000" w:themeColor="text1"/>
          <w:sz w:val="24"/>
          <w:szCs w:val="24"/>
          <w:lang w:eastAsia="ar-SA"/>
        </w:rPr>
        <w:t xml:space="preserve">specimen measuring 100 mm in dimensions was employed for the test. The testing was conducted at 7, 14, 28, 60, and 90 days, following the guidelines outlined in ASTM C 642 [22]. </w:t>
      </w:r>
      <w:r w:rsidR="008A0198" w:rsidRPr="006C5123">
        <w:rPr>
          <w:rFonts w:ascii="Times New Roman" w:eastAsia="Times New Roman" w:hAnsi="Times New Roman" w:cs="Times New Roman"/>
          <w:color w:val="000000" w:themeColor="text1"/>
          <w:sz w:val="24"/>
          <w:szCs w:val="24"/>
          <w:lang w:eastAsia="ar-SA"/>
        </w:rPr>
        <w:t>Prior to the test, the samples were dried for 24 hours in an oven with a temperature of 105°C.</w:t>
      </w:r>
      <w:r w:rsidRPr="006C5123">
        <w:rPr>
          <w:rFonts w:ascii="Times New Roman" w:eastAsia="Times New Roman" w:hAnsi="Times New Roman" w:cs="Times New Roman"/>
          <w:color w:val="000000" w:themeColor="text1"/>
          <w:sz w:val="24"/>
          <w:szCs w:val="24"/>
          <w:lang w:eastAsia="ar-SA"/>
        </w:rPr>
        <w:t xml:space="preserve"> Subsequently, the samples were cooled and weighed (W1). Following this, the specimens were submerged in water for 72 hours. </w:t>
      </w:r>
      <w:r w:rsidR="00AC314D" w:rsidRPr="006C5123">
        <w:rPr>
          <w:rFonts w:ascii="Times New Roman" w:eastAsia="Times New Roman" w:hAnsi="Times New Roman" w:cs="Times New Roman"/>
          <w:color w:val="000000" w:themeColor="text1"/>
          <w:sz w:val="24"/>
          <w:szCs w:val="24"/>
          <w:lang w:eastAsia="ar-SA"/>
        </w:rPr>
        <w:t>The samples were taken out of the water bath, allowed to dry on the surface, and then weighed (W2).</w:t>
      </w:r>
    </w:p>
    <w:p w14:paraId="032A15B6" w14:textId="6DCBBDD4" w:rsidR="00CC4BCA" w:rsidRPr="006C5123" w:rsidRDefault="00CC4BCA"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color w:val="000000" w:themeColor="text1"/>
          <w:sz w:val="24"/>
          <w:szCs w:val="24"/>
        </w:rPr>
      </w:pPr>
      <w:proofErr w:type="spellStart"/>
      <w:r w:rsidRPr="006C5123">
        <w:rPr>
          <w:rFonts w:ascii="Times New Roman" w:hAnsi="Times New Roman" w:cs="Times New Roman"/>
          <w:b/>
          <w:color w:val="000000" w:themeColor="text1"/>
          <w:sz w:val="24"/>
          <w:szCs w:val="24"/>
        </w:rPr>
        <w:t>S</w:t>
      </w:r>
      <w:r w:rsidR="0099585E" w:rsidRPr="006C5123">
        <w:rPr>
          <w:rFonts w:ascii="Times New Roman" w:hAnsi="Times New Roman" w:cs="Times New Roman"/>
          <w:b/>
          <w:color w:val="000000" w:themeColor="text1"/>
          <w:sz w:val="24"/>
          <w:szCs w:val="24"/>
        </w:rPr>
        <w:t>orptivity</w:t>
      </w:r>
      <w:proofErr w:type="spellEnd"/>
    </w:p>
    <w:p w14:paraId="55F85610" w14:textId="094CE823" w:rsidR="00811D60" w:rsidRPr="006C5123" w:rsidRDefault="00BE038A" w:rsidP="00811D60">
      <w:pPr>
        <w:pStyle w:val="BodyText"/>
        <w:tabs>
          <w:tab w:val="left" w:pos="180"/>
        </w:tabs>
        <w:spacing w:line="360" w:lineRule="auto"/>
        <w:rPr>
          <w:color w:val="000000" w:themeColor="text1"/>
          <w:szCs w:val="24"/>
        </w:rPr>
      </w:pPr>
      <w:r w:rsidRPr="006C5123">
        <w:rPr>
          <w:color w:val="000000" w:themeColor="text1"/>
          <w:szCs w:val="24"/>
        </w:rPr>
        <w:t>A cube specimen with dimensions of 100 mm on each side was used for the test.</w:t>
      </w:r>
      <w:r w:rsidR="00811D60" w:rsidRPr="006C5123">
        <w:rPr>
          <w:color w:val="000000" w:themeColor="text1"/>
          <w:szCs w:val="24"/>
        </w:rPr>
        <w:t xml:space="preserve"> The testing was carried out at 7, 14, 28, 60, and 90 days, following the procedures outlined in ASTM C 1585 [23]. After </w:t>
      </w:r>
      <w:r w:rsidR="00442FCE" w:rsidRPr="006C5123">
        <w:rPr>
          <w:color w:val="000000" w:themeColor="text1"/>
          <w:szCs w:val="24"/>
        </w:rPr>
        <w:t>removing</w:t>
      </w:r>
      <w:r w:rsidR="00811D60" w:rsidRPr="006C5123">
        <w:rPr>
          <w:color w:val="000000" w:themeColor="text1"/>
          <w:szCs w:val="24"/>
        </w:rPr>
        <w:t xml:space="preserve"> the curing tank, t</w:t>
      </w:r>
      <w:r w:rsidR="003E67D3" w:rsidRPr="006C5123">
        <w:rPr>
          <w:color w:val="000000" w:themeColor="text1"/>
          <w:szCs w:val="24"/>
        </w:rPr>
        <w:t xml:space="preserve">he samples were dried in an oven for three days at 50°C. </w:t>
      </w:r>
      <w:r w:rsidR="00811D60" w:rsidRPr="006C5123">
        <w:rPr>
          <w:color w:val="000000" w:themeColor="text1"/>
          <w:szCs w:val="24"/>
        </w:rPr>
        <w:t xml:space="preserve">Subsequently, the samples were allowed to cool to room temperature, </w:t>
      </w:r>
      <w:r w:rsidR="00442FCE" w:rsidRPr="006C5123">
        <w:rPr>
          <w:color w:val="000000" w:themeColor="text1"/>
          <w:szCs w:val="24"/>
        </w:rPr>
        <w:t>except for</w:t>
      </w:r>
      <w:r w:rsidR="00811D60" w:rsidRPr="006C5123">
        <w:rPr>
          <w:color w:val="000000" w:themeColor="text1"/>
          <w:szCs w:val="24"/>
        </w:rPr>
        <w:t xml:space="preserve"> the suction face (the side in contact with water), which was coated with epoxy. The initial weight of each specimen was recorded.</w:t>
      </w:r>
    </w:p>
    <w:p w14:paraId="330A8D2A" w14:textId="77777777" w:rsidR="00811D60" w:rsidRPr="006C5123" w:rsidRDefault="00811D60" w:rsidP="00811D60">
      <w:pPr>
        <w:pStyle w:val="BodyText"/>
        <w:tabs>
          <w:tab w:val="left" w:pos="180"/>
        </w:tabs>
        <w:spacing w:line="360" w:lineRule="auto"/>
        <w:rPr>
          <w:color w:val="000000" w:themeColor="text1"/>
          <w:szCs w:val="24"/>
        </w:rPr>
      </w:pPr>
    </w:p>
    <w:p w14:paraId="7C47EB75" w14:textId="36D64692" w:rsidR="00622B14" w:rsidRPr="006C5123" w:rsidRDefault="00811D60" w:rsidP="00811D60">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rPr>
          <w:color w:val="000000" w:themeColor="text1"/>
          <w:szCs w:val="24"/>
          <w:lang w:eastAsia="en-US"/>
        </w:rPr>
      </w:pPr>
      <w:r w:rsidRPr="006C5123">
        <w:rPr>
          <w:color w:val="000000" w:themeColor="text1"/>
          <w:szCs w:val="24"/>
        </w:rPr>
        <w:lastRenderedPageBreak/>
        <w:t>As depicted in Figure 3, the samples were placed on a tray supported by a platform and submerged in water to a depth of approximately 3 mm. After blotting away any excess water, the samples were removed and weighed.</w:t>
      </w:r>
    </w:p>
    <w:p w14:paraId="7EB68476" w14:textId="78AFC563" w:rsidR="00622B14" w:rsidRPr="006C5123" w:rsidRDefault="00E37106" w:rsidP="00E37106">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jc w:val="center"/>
        <w:rPr>
          <w:color w:val="000000" w:themeColor="text1"/>
          <w:szCs w:val="24"/>
          <w:lang w:eastAsia="en-US"/>
        </w:rPr>
      </w:pPr>
      <w:r w:rsidRPr="006C5123">
        <w:rPr>
          <w:noProof/>
          <w:color w:val="000000" w:themeColor="text1"/>
          <w:sz w:val="20"/>
          <w:lang w:val="en-US" w:eastAsia="en-US"/>
        </w:rPr>
        <w:drawing>
          <wp:inline distT="0" distB="0" distL="0" distR="0" wp14:anchorId="0A345B7B" wp14:editId="15A6428C">
            <wp:extent cx="2618679" cy="1352550"/>
            <wp:effectExtent l="19050" t="19050" r="0" b="0"/>
            <wp:docPr id="47735369" name="Picture 47735369" descr="C:\Users\ADMIN\Desktop\dddddddddd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dddddddddddd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905" cy="1364546"/>
                    </a:xfrm>
                    <a:prstGeom prst="rect">
                      <a:avLst/>
                    </a:prstGeom>
                    <a:noFill/>
                    <a:ln>
                      <a:solidFill>
                        <a:schemeClr val="accent6">
                          <a:lumMod val="50000"/>
                        </a:schemeClr>
                      </a:solidFill>
                    </a:ln>
                  </pic:spPr>
                </pic:pic>
              </a:graphicData>
            </a:graphic>
          </wp:inline>
        </w:drawing>
      </w:r>
    </w:p>
    <w:p w14:paraId="7019E51F" w14:textId="3B715F76" w:rsidR="00622B14" w:rsidRPr="006C5123" w:rsidRDefault="00622B14" w:rsidP="00622B14">
      <w:pPr>
        <w:pStyle w:val="BodyText"/>
        <w:jc w:val="center"/>
        <w:rPr>
          <w:color w:val="000000" w:themeColor="text1"/>
          <w:szCs w:val="24"/>
          <w:lang w:eastAsia="en-US"/>
        </w:rPr>
      </w:pPr>
      <w:r w:rsidRPr="006C5123">
        <w:rPr>
          <w:b/>
          <w:color w:val="000000" w:themeColor="text1"/>
          <w:szCs w:val="24"/>
          <w:lang w:eastAsia="en-US"/>
        </w:rPr>
        <w:t xml:space="preserve">Fig. 3 </w:t>
      </w:r>
      <w:r w:rsidRPr="006C5123">
        <w:rPr>
          <w:color w:val="000000" w:themeColor="text1"/>
          <w:szCs w:val="24"/>
          <w:lang w:eastAsia="en-US"/>
        </w:rPr>
        <w:t xml:space="preserve">Layout for </w:t>
      </w:r>
      <w:proofErr w:type="spellStart"/>
      <w:r w:rsidRPr="006C5123">
        <w:rPr>
          <w:color w:val="000000" w:themeColor="text1"/>
          <w:szCs w:val="24"/>
          <w:lang w:eastAsia="en-US"/>
        </w:rPr>
        <w:t>sorptivity</w:t>
      </w:r>
      <w:proofErr w:type="spellEnd"/>
      <w:r w:rsidR="00E37106" w:rsidRPr="006C5123">
        <w:rPr>
          <w:color w:val="000000" w:themeColor="text1"/>
          <w:szCs w:val="24"/>
          <w:lang w:eastAsia="en-US"/>
        </w:rPr>
        <w:t xml:space="preserve"> test</w:t>
      </w:r>
      <w:r w:rsidRPr="006C5123">
        <w:rPr>
          <w:color w:val="000000" w:themeColor="text1"/>
          <w:szCs w:val="24"/>
          <w:lang w:eastAsia="en-US"/>
        </w:rPr>
        <w:t>.</w:t>
      </w:r>
    </w:p>
    <w:p w14:paraId="3B66C17E" w14:textId="77777777" w:rsidR="00622B14" w:rsidRPr="006C5123" w:rsidRDefault="00622B14" w:rsidP="001D4E75">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rPr>
          <w:color w:val="000000" w:themeColor="text1"/>
          <w:szCs w:val="24"/>
          <w:lang w:eastAsia="en-US"/>
        </w:rPr>
      </w:pPr>
    </w:p>
    <w:p w14:paraId="21809B81" w14:textId="2DFCD75B" w:rsidR="00CC4BCA" w:rsidRPr="006C5123" w:rsidRDefault="0099585E"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t>Hydrochloric acid resistance</w:t>
      </w:r>
    </w:p>
    <w:p w14:paraId="7A922AC7" w14:textId="59EF8970" w:rsidR="00811D60" w:rsidRPr="006C5123" w:rsidRDefault="00D76C8C" w:rsidP="00442FCE">
      <w:pPr>
        <w:tabs>
          <w:tab w:val="left" w:pos="-1440"/>
          <w:tab w:val="left" w:pos="-720"/>
          <w:tab w:val="left" w:pos="180"/>
        </w:tabs>
        <w:suppressAutoHyphens/>
        <w:spacing w:after="240" w:line="360" w:lineRule="auto"/>
        <w:jc w:val="both"/>
        <w:rPr>
          <w:rFonts w:ascii="Times New Roman" w:hAnsi="Times New Roman" w:cs="Times New Roman"/>
          <w:color w:val="000000" w:themeColor="text1"/>
          <w:sz w:val="24"/>
          <w:szCs w:val="24"/>
        </w:rPr>
      </w:pPr>
      <w:r w:rsidRPr="006C5123">
        <w:rPr>
          <w:rFonts w:ascii="Times New Roman" w:hAnsi="Times New Roman" w:cs="Times New Roman"/>
          <w:color w:val="000000" w:themeColor="text1"/>
          <w:sz w:val="24"/>
          <w:szCs w:val="24"/>
        </w:rPr>
        <w:t>A cube</w:t>
      </w:r>
      <w:r w:rsidR="00811D60" w:rsidRPr="006C5123">
        <w:rPr>
          <w:rFonts w:ascii="Times New Roman" w:hAnsi="Times New Roman" w:cs="Times New Roman"/>
          <w:color w:val="000000" w:themeColor="text1"/>
          <w:sz w:val="24"/>
          <w:szCs w:val="24"/>
        </w:rPr>
        <w:t xml:space="preserve"> specimen measuring 100 mm on each side was employed for this test. After being removed from the curing chamber following a 28-day curing period, the specimens were allowed to air dry for one day, and their original weights were recorded.</w:t>
      </w:r>
      <w:r w:rsidR="00442FCE" w:rsidRPr="006C5123">
        <w:rPr>
          <w:rFonts w:ascii="Times New Roman" w:hAnsi="Times New Roman" w:cs="Times New Roman"/>
          <w:color w:val="000000" w:themeColor="text1"/>
          <w:sz w:val="24"/>
          <w:szCs w:val="24"/>
        </w:rPr>
        <w:t xml:space="preserve"> </w:t>
      </w:r>
      <w:r w:rsidRPr="006C5123">
        <w:rPr>
          <w:rFonts w:ascii="Times New Roman" w:hAnsi="Times New Roman" w:cs="Times New Roman"/>
          <w:color w:val="000000" w:themeColor="text1"/>
          <w:sz w:val="24"/>
          <w:szCs w:val="24"/>
        </w:rPr>
        <w:t>Hydrochloric acid (HCl) solution with a 5% concentration was prepared. The specimens were subsequently submerged in the acidic solution for 60, 90, 120, and 180 days, respectively, while the concentration of the solution remained constant.</w:t>
      </w:r>
      <w:r w:rsidR="00811D60" w:rsidRPr="006C5123">
        <w:rPr>
          <w:rFonts w:ascii="Times New Roman" w:hAnsi="Times New Roman" w:cs="Times New Roman"/>
          <w:color w:val="000000" w:themeColor="text1"/>
          <w:sz w:val="24"/>
          <w:szCs w:val="24"/>
        </w:rPr>
        <w:t xml:space="preserve"> </w:t>
      </w:r>
      <w:r w:rsidR="008C493B" w:rsidRPr="006C5123">
        <w:rPr>
          <w:rFonts w:ascii="Times New Roman" w:hAnsi="Times New Roman" w:cs="Times New Roman"/>
          <w:color w:val="000000" w:themeColor="text1"/>
          <w:sz w:val="24"/>
          <w:szCs w:val="24"/>
        </w:rPr>
        <w:t xml:space="preserve">The specimens were removed from the acid solution after each designated time period. Following a thorough cleaning of their surfaces and the recording of their weights, they were tested in a 3000 </w:t>
      </w:r>
      <w:proofErr w:type="spellStart"/>
      <w:r w:rsidR="008C493B" w:rsidRPr="006C5123">
        <w:rPr>
          <w:rFonts w:ascii="Times New Roman" w:hAnsi="Times New Roman" w:cs="Times New Roman"/>
          <w:color w:val="000000" w:themeColor="text1"/>
          <w:sz w:val="24"/>
          <w:szCs w:val="24"/>
        </w:rPr>
        <w:t>kN</w:t>
      </w:r>
      <w:proofErr w:type="spellEnd"/>
      <w:r w:rsidR="008C493B" w:rsidRPr="006C5123">
        <w:rPr>
          <w:rFonts w:ascii="Times New Roman" w:hAnsi="Times New Roman" w:cs="Times New Roman"/>
          <w:color w:val="000000" w:themeColor="text1"/>
          <w:sz w:val="24"/>
          <w:szCs w:val="24"/>
        </w:rPr>
        <w:t xml:space="preserve"> compression testing machine at a constant loading rate of 140 kg/cm2/min. Each test duration included the use of three specimens. The concrete specimens' weight loss and remaining compressive strength were the subject of the analysis.</w:t>
      </w:r>
    </w:p>
    <w:p w14:paraId="20F5877D" w14:textId="7CB4085A" w:rsidR="00CC4BCA" w:rsidRPr="006C5123" w:rsidRDefault="0099585E" w:rsidP="00567981">
      <w:pPr>
        <w:tabs>
          <w:tab w:val="left" w:pos="-1440"/>
          <w:tab w:val="left" w:pos="-720"/>
          <w:tab w:val="left" w:pos="180"/>
        </w:tabs>
        <w:suppressAutoHyphens/>
        <w:spacing w:after="240" w:line="276" w:lineRule="auto"/>
        <w:jc w:val="both"/>
        <w:rPr>
          <w:rFonts w:ascii="Times New Roman" w:hAnsi="Times New Roman" w:cs="Times New Roman"/>
          <w:b/>
          <w:color w:val="000000" w:themeColor="text1"/>
          <w:sz w:val="24"/>
          <w:szCs w:val="24"/>
        </w:rPr>
      </w:pPr>
      <w:proofErr w:type="spellStart"/>
      <w:r w:rsidRPr="006C5123">
        <w:rPr>
          <w:rFonts w:ascii="Times New Roman" w:hAnsi="Times New Roman" w:cs="Times New Roman"/>
          <w:b/>
          <w:color w:val="000000" w:themeColor="text1"/>
          <w:sz w:val="24"/>
          <w:szCs w:val="24"/>
        </w:rPr>
        <w:t>Sulfate</w:t>
      </w:r>
      <w:proofErr w:type="spellEnd"/>
      <w:r w:rsidRPr="006C5123">
        <w:rPr>
          <w:rFonts w:ascii="Times New Roman" w:hAnsi="Times New Roman" w:cs="Times New Roman"/>
          <w:b/>
          <w:color w:val="000000" w:themeColor="text1"/>
          <w:sz w:val="24"/>
          <w:szCs w:val="24"/>
        </w:rPr>
        <w:t xml:space="preserve"> resistance</w:t>
      </w:r>
    </w:p>
    <w:p w14:paraId="3E8628BF" w14:textId="4DC0E55A" w:rsidR="00E25368" w:rsidRPr="006C5123" w:rsidRDefault="00E3373B" w:rsidP="00442FCE">
      <w:pPr>
        <w:spacing w:line="360" w:lineRule="auto"/>
        <w:jc w:val="both"/>
        <w:rPr>
          <w:rFonts w:ascii="Times New Roman" w:hAnsi="Times New Roman" w:cs="Times New Roman"/>
          <w:color w:val="000000" w:themeColor="text1"/>
          <w:sz w:val="24"/>
          <w:szCs w:val="24"/>
        </w:rPr>
      </w:pPr>
      <w:r w:rsidRPr="006C5123">
        <w:rPr>
          <w:rFonts w:ascii="Times New Roman" w:hAnsi="Times New Roman" w:cs="Times New Roman"/>
          <w:color w:val="000000" w:themeColor="text1"/>
          <w:sz w:val="24"/>
          <w:szCs w:val="24"/>
        </w:rPr>
        <w:t>A cube</w:t>
      </w:r>
      <w:r w:rsidR="00E25368" w:rsidRPr="006C5123">
        <w:rPr>
          <w:rFonts w:ascii="Times New Roman" w:hAnsi="Times New Roman" w:cs="Times New Roman"/>
          <w:color w:val="000000" w:themeColor="text1"/>
          <w:sz w:val="24"/>
          <w:szCs w:val="24"/>
        </w:rPr>
        <w:t xml:space="preserve"> specimen measuring 100 mm on each side was employed for this test. After a curing period of 28 days, </w:t>
      </w:r>
      <w:r w:rsidRPr="006C5123">
        <w:rPr>
          <w:rFonts w:ascii="Times New Roman" w:hAnsi="Times New Roman" w:cs="Times New Roman"/>
          <w:color w:val="000000" w:themeColor="text1"/>
          <w:sz w:val="24"/>
          <w:szCs w:val="24"/>
        </w:rPr>
        <w:t xml:space="preserve">the specimens' original weights were noted after they were taken out of the curing chamber. </w:t>
      </w:r>
      <w:r w:rsidR="00E25368" w:rsidRPr="006C5123">
        <w:rPr>
          <w:rFonts w:ascii="Times New Roman" w:hAnsi="Times New Roman" w:cs="Times New Roman"/>
          <w:color w:val="000000" w:themeColor="text1"/>
          <w:sz w:val="24"/>
          <w:szCs w:val="24"/>
        </w:rPr>
        <w:t xml:space="preserve">A solution was prepared using a 5% concentration of sodium </w:t>
      </w:r>
      <w:proofErr w:type="spellStart"/>
      <w:r w:rsidR="00E25368" w:rsidRPr="006C5123">
        <w:rPr>
          <w:rFonts w:ascii="Times New Roman" w:hAnsi="Times New Roman" w:cs="Times New Roman"/>
          <w:color w:val="000000" w:themeColor="text1"/>
          <w:sz w:val="24"/>
          <w:szCs w:val="24"/>
        </w:rPr>
        <w:t>sulfate</w:t>
      </w:r>
      <w:proofErr w:type="spellEnd"/>
      <w:r w:rsidR="00E25368" w:rsidRPr="006C5123">
        <w:rPr>
          <w:rFonts w:ascii="Times New Roman" w:hAnsi="Times New Roman" w:cs="Times New Roman"/>
          <w:color w:val="000000" w:themeColor="text1"/>
          <w:sz w:val="24"/>
          <w:szCs w:val="24"/>
        </w:rPr>
        <w:t xml:space="preserve"> (Na2SO4) and magnesium </w:t>
      </w:r>
      <w:proofErr w:type="spellStart"/>
      <w:r w:rsidR="00E25368" w:rsidRPr="006C5123">
        <w:rPr>
          <w:rFonts w:ascii="Times New Roman" w:hAnsi="Times New Roman" w:cs="Times New Roman"/>
          <w:color w:val="000000" w:themeColor="text1"/>
          <w:sz w:val="24"/>
          <w:szCs w:val="24"/>
        </w:rPr>
        <w:t>sulfate</w:t>
      </w:r>
      <w:proofErr w:type="spellEnd"/>
      <w:r w:rsidR="00E25368" w:rsidRPr="006C5123">
        <w:rPr>
          <w:rFonts w:ascii="Times New Roman" w:hAnsi="Times New Roman" w:cs="Times New Roman"/>
          <w:color w:val="000000" w:themeColor="text1"/>
          <w:sz w:val="24"/>
          <w:szCs w:val="24"/>
        </w:rPr>
        <w:t xml:space="preserve"> (MgSO4) relative to the weight of water. </w:t>
      </w:r>
      <w:r w:rsidRPr="006C5123">
        <w:rPr>
          <w:rFonts w:ascii="Times New Roman" w:hAnsi="Times New Roman" w:cs="Times New Roman"/>
          <w:color w:val="000000" w:themeColor="text1"/>
          <w:sz w:val="24"/>
          <w:szCs w:val="24"/>
        </w:rPr>
        <w:t xml:space="preserve">The specimens were subsequently submerged for 60, 90, 120, and 180 days, respectively, in solutions of sodium </w:t>
      </w:r>
      <w:proofErr w:type="spellStart"/>
      <w:r w:rsidRPr="006C5123">
        <w:rPr>
          <w:rFonts w:ascii="Times New Roman" w:hAnsi="Times New Roman" w:cs="Times New Roman"/>
          <w:color w:val="000000" w:themeColor="text1"/>
          <w:sz w:val="24"/>
          <w:szCs w:val="24"/>
        </w:rPr>
        <w:t>sulfate</w:t>
      </w:r>
      <w:proofErr w:type="spellEnd"/>
      <w:r w:rsidRPr="006C5123">
        <w:rPr>
          <w:rFonts w:ascii="Times New Roman" w:hAnsi="Times New Roman" w:cs="Times New Roman"/>
          <w:color w:val="000000" w:themeColor="text1"/>
          <w:sz w:val="24"/>
          <w:szCs w:val="24"/>
        </w:rPr>
        <w:t xml:space="preserve"> and magnesium </w:t>
      </w:r>
      <w:proofErr w:type="spellStart"/>
      <w:r w:rsidRPr="006C5123">
        <w:rPr>
          <w:rFonts w:ascii="Times New Roman" w:hAnsi="Times New Roman" w:cs="Times New Roman"/>
          <w:color w:val="000000" w:themeColor="text1"/>
          <w:sz w:val="24"/>
          <w:szCs w:val="24"/>
        </w:rPr>
        <w:t>sulfate</w:t>
      </w:r>
      <w:proofErr w:type="spellEnd"/>
      <w:r w:rsidRPr="006C5123">
        <w:rPr>
          <w:rFonts w:ascii="Times New Roman" w:hAnsi="Times New Roman" w:cs="Times New Roman"/>
          <w:color w:val="000000" w:themeColor="text1"/>
          <w:sz w:val="24"/>
          <w:szCs w:val="24"/>
        </w:rPr>
        <w:t>, while preserving the concentration of the solutions</w:t>
      </w:r>
      <w:r w:rsidR="00E25368" w:rsidRPr="006C5123">
        <w:rPr>
          <w:rFonts w:ascii="Times New Roman" w:hAnsi="Times New Roman" w:cs="Times New Roman"/>
          <w:color w:val="000000" w:themeColor="text1"/>
          <w:sz w:val="24"/>
          <w:szCs w:val="24"/>
        </w:rPr>
        <w:t xml:space="preserve">. After each specified time interval, the specimens were removed from the </w:t>
      </w:r>
      <w:proofErr w:type="spellStart"/>
      <w:r w:rsidR="00E25368" w:rsidRPr="006C5123">
        <w:rPr>
          <w:rFonts w:ascii="Times New Roman" w:hAnsi="Times New Roman" w:cs="Times New Roman"/>
          <w:color w:val="000000" w:themeColor="text1"/>
          <w:sz w:val="24"/>
          <w:szCs w:val="24"/>
        </w:rPr>
        <w:t>sulfate</w:t>
      </w:r>
      <w:proofErr w:type="spellEnd"/>
      <w:r w:rsidR="00E25368" w:rsidRPr="006C5123">
        <w:rPr>
          <w:rFonts w:ascii="Times New Roman" w:hAnsi="Times New Roman" w:cs="Times New Roman"/>
          <w:color w:val="000000" w:themeColor="text1"/>
          <w:sz w:val="24"/>
          <w:szCs w:val="24"/>
        </w:rPr>
        <w:t xml:space="preserve"> solutions. Their surfaces were thoroughly cleaned, their weights were recorded, and subsequently, they were subjected to testing in a 3000 </w:t>
      </w:r>
      <w:proofErr w:type="spellStart"/>
      <w:r w:rsidR="00E25368" w:rsidRPr="006C5123">
        <w:rPr>
          <w:rFonts w:ascii="Times New Roman" w:hAnsi="Times New Roman" w:cs="Times New Roman"/>
          <w:color w:val="000000" w:themeColor="text1"/>
          <w:sz w:val="24"/>
          <w:szCs w:val="24"/>
        </w:rPr>
        <w:t>kN</w:t>
      </w:r>
      <w:proofErr w:type="spellEnd"/>
      <w:r w:rsidR="00E25368" w:rsidRPr="006C5123">
        <w:rPr>
          <w:rFonts w:ascii="Times New Roman" w:hAnsi="Times New Roman" w:cs="Times New Roman"/>
          <w:color w:val="000000" w:themeColor="text1"/>
          <w:sz w:val="24"/>
          <w:szCs w:val="24"/>
        </w:rPr>
        <w:t xml:space="preserve"> compression testing machine at a consistent loading </w:t>
      </w:r>
      <w:r w:rsidR="00E25368" w:rsidRPr="006C5123">
        <w:rPr>
          <w:rFonts w:ascii="Times New Roman" w:hAnsi="Times New Roman" w:cs="Times New Roman"/>
          <w:color w:val="000000" w:themeColor="text1"/>
          <w:sz w:val="24"/>
          <w:szCs w:val="24"/>
        </w:rPr>
        <w:lastRenderedPageBreak/>
        <w:t>rate of 140 kg/cm</w:t>
      </w:r>
      <w:r w:rsidR="00E25368" w:rsidRPr="006C5123">
        <w:rPr>
          <w:rFonts w:ascii="Times New Roman" w:hAnsi="Times New Roman" w:cs="Times New Roman"/>
          <w:color w:val="000000" w:themeColor="text1"/>
          <w:sz w:val="24"/>
          <w:szCs w:val="24"/>
          <w:vertAlign w:val="superscript"/>
        </w:rPr>
        <w:t>2</w:t>
      </w:r>
      <w:r w:rsidR="00E25368" w:rsidRPr="006C5123">
        <w:rPr>
          <w:rFonts w:ascii="Times New Roman" w:hAnsi="Times New Roman" w:cs="Times New Roman"/>
          <w:color w:val="000000" w:themeColor="text1"/>
          <w:sz w:val="24"/>
          <w:szCs w:val="24"/>
        </w:rPr>
        <w:t>/min. For each category and test duration, three specimens were utilized. The analysis focused on the weight loss and residual compressive strength of the concrete specimens.</w:t>
      </w:r>
    </w:p>
    <w:p w14:paraId="7C770023" w14:textId="77777777" w:rsidR="00C96B72" w:rsidRPr="006C5123" w:rsidRDefault="00095957" w:rsidP="00567981">
      <w:pPr>
        <w:spacing w:line="276" w:lineRule="auto"/>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t>RESULTS AND DISCUSSION</w:t>
      </w:r>
    </w:p>
    <w:p w14:paraId="42906577" w14:textId="748E359F" w:rsidR="00AF341F" w:rsidRPr="006C5123" w:rsidRDefault="0099585E" w:rsidP="00567981">
      <w:pPr>
        <w:pStyle w:val="BodyText"/>
        <w:spacing w:after="240" w:line="276" w:lineRule="auto"/>
        <w:rPr>
          <w:b/>
          <w:color w:val="000000" w:themeColor="text1"/>
          <w:szCs w:val="24"/>
        </w:rPr>
      </w:pPr>
      <w:r w:rsidRPr="006C5123">
        <w:rPr>
          <w:b/>
          <w:color w:val="000000" w:themeColor="text1"/>
          <w:szCs w:val="24"/>
        </w:rPr>
        <w:t>Water absorption</w:t>
      </w:r>
    </w:p>
    <w:p w14:paraId="1E9E6C65" w14:textId="39A0BABB" w:rsidR="00E25368" w:rsidRPr="006C5123" w:rsidRDefault="003F0268" w:rsidP="00442FCE">
      <w:pPr>
        <w:tabs>
          <w:tab w:val="left" w:pos="-1440"/>
          <w:tab w:val="left" w:pos="-720"/>
          <w:tab w:val="left" w:pos="180"/>
        </w:tabs>
        <w:suppressAutoHyphens/>
        <w:spacing w:after="200" w:line="360" w:lineRule="auto"/>
        <w:jc w:val="both"/>
        <w:rPr>
          <w:rFonts w:ascii="Times New Roman" w:eastAsia="Times New Roman" w:hAnsi="Times New Roman" w:cs="Times New Roman"/>
          <w:color w:val="000000" w:themeColor="text1"/>
          <w:sz w:val="24"/>
          <w:szCs w:val="24"/>
        </w:rPr>
      </w:pPr>
      <w:r w:rsidRPr="006C5123">
        <w:rPr>
          <w:rFonts w:ascii="Times New Roman" w:eastAsia="Times New Roman" w:hAnsi="Times New Roman" w:cs="Times New Roman"/>
          <w:color w:val="000000" w:themeColor="text1"/>
          <w:sz w:val="24"/>
          <w:szCs w:val="24"/>
        </w:rPr>
        <w:t>Figure 4 displays the results of the water absorption.</w:t>
      </w:r>
      <w:r w:rsidR="00E25368" w:rsidRPr="006C5123">
        <w:rPr>
          <w:rFonts w:ascii="Times New Roman" w:eastAsia="Times New Roman" w:hAnsi="Times New Roman" w:cs="Times New Roman"/>
          <w:color w:val="000000" w:themeColor="text1"/>
          <w:sz w:val="24"/>
          <w:szCs w:val="24"/>
        </w:rPr>
        <w:t xml:space="preserve"> Notably, the CPF concrete samples exhibited a substantial reduction in water absorption, ranging from 22 to 30%, which was considerably lower than that observed in the IMF specimens. This observation underscores the effective barrier created by the CPF liner, which serves as a robust and impermeable cover, effectively minimizing water ingress. Similar studies [8,11] have reported a reduction in water absorption ranging from 29 to 50% in CPF samples.</w:t>
      </w:r>
    </w:p>
    <w:p w14:paraId="3BE306ED" w14:textId="2896072F" w:rsidR="00090B9A" w:rsidRPr="006C5123" w:rsidRDefault="00D52129" w:rsidP="00E25368">
      <w:pPr>
        <w:tabs>
          <w:tab w:val="left" w:pos="-1440"/>
          <w:tab w:val="left" w:pos="-720"/>
          <w:tab w:val="left" w:pos="180"/>
        </w:tabs>
        <w:suppressAutoHyphens/>
        <w:spacing w:after="200" w:line="240" w:lineRule="auto"/>
        <w:jc w:val="center"/>
        <w:rPr>
          <w:rFonts w:ascii="Times New Roman" w:hAnsi="Times New Roman" w:cs="Times New Roman"/>
          <w:color w:val="000000" w:themeColor="text1"/>
          <w:sz w:val="24"/>
          <w:szCs w:val="24"/>
        </w:rPr>
      </w:pPr>
      <w:r w:rsidRPr="006C5123">
        <w:rPr>
          <w:noProof/>
          <w:color w:val="000000" w:themeColor="text1"/>
          <w:lang w:val="en-US"/>
        </w:rPr>
        <w:drawing>
          <wp:inline distT="0" distB="0" distL="0" distR="0" wp14:anchorId="646C17DC" wp14:editId="21DC493C">
            <wp:extent cx="3761154" cy="2674816"/>
            <wp:effectExtent l="0" t="0" r="10795" b="11430"/>
            <wp:docPr id="1519597902"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D954E" w14:textId="25CD9399" w:rsidR="00AF341F" w:rsidRPr="006C5123" w:rsidRDefault="00BF70D0" w:rsidP="00167C0A">
      <w:pPr>
        <w:tabs>
          <w:tab w:val="left" w:pos="180"/>
        </w:tabs>
        <w:spacing w:line="240" w:lineRule="auto"/>
        <w:jc w:val="center"/>
        <w:rPr>
          <w:rFonts w:ascii="Times New Roman" w:eastAsia="Times New Roman" w:hAnsi="Times New Roman" w:cs="Times New Roman"/>
          <w:color w:val="000000" w:themeColor="text1"/>
          <w:sz w:val="24"/>
          <w:szCs w:val="24"/>
          <w:lang w:eastAsia="ar-SA"/>
        </w:rPr>
      </w:pPr>
      <w:r w:rsidRPr="006C5123">
        <w:rPr>
          <w:rFonts w:ascii="Times New Roman" w:eastAsia="Times New Roman" w:hAnsi="Times New Roman" w:cs="Times New Roman"/>
          <w:b/>
          <w:color w:val="000000" w:themeColor="text1"/>
          <w:sz w:val="24"/>
          <w:szCs w:val="24"/>
          <w:lang w:eastAsia="ar-SA"/>
        </w:rPr>
        <w:t xml:space="preserve">Fig. 4 </w:t>
      </w:r>
      <w:r w:rsidR="00D52129" w:rsidRPr="006C5123">
        <w:rPr>
          <w:rFonts w:ascii="Times New Roman" w:eastAsia="Times New Roman" w:hAnsi="Times New Roman" w:cs="Times New Roman"/>
          <w:color w:val="000000" w:themeColor="text1"/>
          <w:sz w:val="24"/>
          <w:szCs w:val="24"/>
          <w:lang w:eastAsia="ar-SA"/>
        </w:rPr>
        <w:t>Water absorption vs age.</w:t>
      </w:r>
    </w:p>
    <w:p w14:paraId="45A597B2" w14:textId="283BC439" w:rsidR="00AF341F" w:rsidRPr="006C5123" w:rsidRDefault="00AF341F"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color w:val="000000" w:themeColor="text1"/>
          <w:sz w:val="24"/>
          <w:szCs w:val="24"/>
        </w:rPr>
      </w:pPr>
      <w:proofErr w:type="spellStart"/>
      <w:r w:rsidRPr="006C5123">
        <w:rPr>
          <w:rFonts w:ascii="Times New Roman" w:hAnsi="Times New Roman" w:cs="Times New Roman"/>
          <w:b/>
          <w:color w:val="000000" w:themeColor="text1"/>
          <w:sz w:val="24"/>
          <w:szCs w:val="24"/>
        </w:rPr>
        <w:t>S</w:t>
      </w:r>
      <w:r w:rsidR="0099585E" w:rsidRPr="006C5123">
        <w:rPr>
          <w:rFonts w:ascii="Times New Roman" w:hAnsi="Times New Roman" w:cs="Times New Roman"/>
          <w:b/>
          <w:color w:val="000000" w:themeColor="text1"/>
          <w:sz w:val="24"/>
          <w:szCs w:val="24"/>
        </w:rPr>
        <w:t>orptivity</w:t>
      </w:r>
      <w:proofErr w:type="spellEnd"/>
    </w:p>
    <w:p w14:paraId="6C57A0A2" w14:textId="012086F3" w:rsidR="00AF341F" w:rsidRPr="006C5123" w:rsidRDefault="0009555B" w:rsidP="00442FCE">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both"/>
        <w:rPr>
          <w:rFonts w:ascii="Times New Roman" w:hAnsi="Times New Roman" w:cs="Times New Roman"/>
          <w:color w:val="000000" w:themeColor="text1"/>
          <w:sz w:val="24"/>
          <w:szCs w:val="24"/>
        </w:rPr>
      </w:pPr>
      <w:r w:rsidRPr="006C5123">
        <w:rPr>
          <w:rFonts w:ascii="Times New Roman" w:eastAsia="Times New Roman" w:hAnsi="Times New Roman" w:cs="Times New Roman"/>
          <w:color w:val="000000" w:themeColor="text1"/>
          <w:sz w:val="24"/>
          <w:szCs w:val="24"/>
          <w:lang w:eastAsia="ar-SA"/>
        </w:rPr>
        <w:t xml:space="preserve">Figure 5 shows how water </w:t>
      </w:r>
      <w:proofErr w:type="spellStart"/>
      <w:r w:rsidRPr="006C5123">
        <w:rPr>
          <w:rFonts w:ascii="Times New Roman" w:eastAsia="Times New Roman" w:hAnsi="Times New Roman" w:cs="Times New Roman"/>
          <w:color w:val="000000" w:themeColor="text1"/>
          <w:sz w:val="24"/>
          <w:szCs w:val="24"/>
          <w:lang w:eastAsia="ar-SA"/>
        </w:rPr>
        <w:t>sorptivity</w:t>
      </w:r>
      <w:proofErr w:type="spellEnd"/>
      <w:r w:rsidRPr="006C5123">
        <w:rPr>
          <w:rFonts w:ascii="Times New Roman" w:eastAsia="Times New Roman" w:hAnsi="Times New Roman" w:cs="Times New Roman"/>
          <w:color w:val="000000" w:themeColor="text1"/>
          <w:sz w:val="24"/>
          <w:szCs w:val="24"/>
          <w:lang w:eastAsia="ar-SA"/>
        </w:rPr>
        <w:t xml:space="preserve"> affects the results.</w:t>
      </w:r>
      <w:r w:rsidR="00E25368" w:rsidRPr="006C5123">
        <w:rPr>
          <w:rFonts w:ascii="Times New Roman" w:eastAsia="Times New Roman" w:hAnsi="Times New Roman" w:cs="Times New Roman"/>
          <w:color w:val="000000" w:themeColor="text1"/>
          <w:sz w:val="24"/>
          <w:szCs w:val="24"/>
          <w:lang w:eastAsia="ar-SA"/>
        </w:rPr>
        <w:t xml:space="preserve"> </w:t>
      </w:r>
      <w:r w:rsidRPr="006C5123">
        <w:rPr>
          <w:rFonts w:ascii="Times New Roman" w:eastAsia="Times New Roman" w:hAnsi="Times New Roman" w:cs="Times New Roman"/>
          <w:color w:val="000000" w:themeColor="text1"/>
          <w:sz w:val="24"/>
          <w:szCs w:val="24"/>
          <w:lang w:eastAsia="ar-SA"/>
        </w:rPr>
        <w:t xml:space="preserve">It is clear from comparing CPF specimens to IMF specimens at all testing ages that the CPF specimens have significantly less water </w:t>
      </w:r>
      <w:proofErr w:type="spellStart"/>
      <w:r w:rsidRPr="006C5123">
        <w:rPr>
          <w:rFonts w:ascii="Times New Roman" w:eastAsia="Times New Roman" w:hAnsi="Times New Roman" w:cs="Times New Roman"/>
          <w:color w:val="000000" w:themeColor="text1"/>
          <w:sz w:val="24"/>
          <w:szCs w:val="24"/>
          <w:lang w:eastAsia="ar-SA"/>
        </w:rPr>
        <w:t>sorptivity</w:t>
      </w:r>
      <w:proofErr w:type="spellEnd"/>
      <w:r w:rsidRPr="006C5123">
        <w:rPr>
          <w:rFonts w:ascii="Times New Roman" w:eastAsia="Times New Roman" w:hAnsi="Times New Roman" w:cs="Times New Roman"/>
          <w:color w:val="000000" w:themeColor="text1"/>
          <w:sz w:val="24"/>
          <w:szCs w:val="24"/>
          <w:lang w:eastAsia="ar-SA"/>
        </w:rPr>
        <w:t>.</w:t>
      </w:r>
      <w:r w:rsidR="00E25368" w:rsidRPr="006C5123">
        <w:rPr>
          <w:rFonts w:ascii="Times New Roman" w:eastAsia="Times New Roman" w:hAnsi="Times New Roman" w:cs="Times New Roman"/>
          <w:color w:val="000000" w:themeColor="text1"/>
          <w:sz w:val="24"/>
          <w:szCs w:val="24"/>
          <w:lang w:eastAsia="ar-SA"/>
        </w:rPr>
        <w:t xml:space="preserve"> The enhancement in water </w:t>
      </w:r>
      <w:proofErr w:type="spellStart"/>
      <w:r w:rsidR="00E25368" w:rsidRPr="006C5123">
        <w:rPr>
          <w:rFonts w:ascii="Times New Roman" w:eastAsia="Times New Roman" w:hAnsi="Times New Roman" w:cs="Times New Roman"/>
          <w:color w:val="000000" w:themeColor="text1"/>
          <w:sz w:val="24"/>
          <w:szCs w:val="24"/>
          <w:lang w:eastAsia="ar-SA"/>
        </w:rPr>
        <w:t>sorptivity</w:t>
      </w:r>
      <w:proofErr w:type="spellEnd"/>
      <w:r w:rsidR="00E25368" w:rsidRPr="006C5123">
        <w:rPr>
          <w:rFonts w:ascii="Times New Roman" w:eastAsia="Times New Roman" w:hAnsi="Times New Roman" w:cs="Times New Roman"/>
          <w:color w:val="000000" w:themeColor="text1"/>
          <w:sz w:val="24"/>
          <w:szCs w:val="24"/>
          <w:lang w:eastAsia="ar-SA"/>
        </w:rPr>
        <w:t xml:space="preserve"> achieved with the CPF liner is particularly notable, with reductions of 67% at 7 days and 51% at 90 days, respectively.</w:t>
      </w:r>
    </w:p>
    <w:p w14:paraId="75AB2874" w14:textId="423BD01E" w:rsidR="00442FCE" w:rsidRPr="006C5123" w:rsidRDefault="00442FCE" w:rsidP="00167C0A">
      <w:pPr>
        <w:tabs>
          <w:tab w:val="left" w:pos="180"/>
        </w:tabs>
        <w:spacing w:line="240" w:lineRule="auto"/>
        <w:jc w:val="center"/>
        <w:rPr>
          <w:rFonts w:ascii="Times New Roman" w:eastAsia="Times New Roman" w:hAnsi="Times New Roman" w:cs="Times New Roman"/>
          <w:b/>
          <w:color w:val="000000" w:themeColor="text1"/>
          <w:sz w:val="24"/>
          <w:szCs w:val="24"/>
          <w:lang w:eastAsia="ar-SA"/>
        </w:rPr>
      </w:pPr>
      <w:r w:rsidRPr="006C5123">
        <w:rPr>
          <w:noProof/>
          <w:color w:val="000000" w:themeColor="text1"/>
          <w:lang w:val="en-US"/>
        </w:rPr>
        <w:lastRenderedPageBreak/>
        <w:drawing>
          <wp:inline distT="0" distB="0" distL="0" distR="0" wp14:anchorId="0BABF0FC" wp14:editId="5E489E1B">
            <wp:extent cx="3677478" cy="2627244"/>
            <wp:effectExtent l="0" t="0" r="18415" b="1905"/>
            <wp:docPr id="840321318"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BA46D5" w14:textId="7897E14C" w:rsidR="00090B9A" w:rsidRPr="006C5123" w:rsidRDefault="00BF70D0" w:rsidP="00167C0A">
      <w:pPr>
        <w:tabs>
          <w:tab w:val="left" w:pos="180"/>
        </w:tabs>
        <w:spacing w:line="240" w:lineRule="auto"/>
        <w:jc w:val="center"/>
        <w:rPr>
          <w:rFonts w:ascii="Times New Roman" w:eastAsia="Times New Roman" w:hAnsi="Times New Roman" w:cs="Times New Roman"/>
          <w:color w:val="000000" w:themeColor="text1"/>
          <w:sz w:val="24"/>
          <w:szCs w:val="24"/>
          <w:lang w:eastAsia="ar-SA"/>
        </w:rPr>
      </w:pPr>
      <w:r w:rsidRPr="006C5123">
        <w:rPr>
          <w:rFonts w:ascii="Times New Roman" w:eastAsia="Times New Roman" w:hAnsi="Times New Roman" w:cs="Times New Roman"/>
          <w:b/>
          <w:color w:val="000000" w:themeColor="text1"/>
          <w:sz w:val="24"/>
          <w:szCs w:val="24"/>
          <w:lang w:eastAsia="ar-SA"/>
        </w:rPr>
        <w:t xml:space="preserve">Fig. 5 </w:t>
      </w:r>
      <w:proofErr w:type="spellStart"/>
      <w:r w:rsidRPr="006C5123">
        <w:rPr>
          <w:rFonts w:ascii="Times New Roman" w:eastAsia="Times New Roman" w:hAnsi="Times New Roman" w:cs="Times New Roman"/>
          <w:color w:val="000000" w:themeColor="text1"/>
          <w:sz w:val="24"/>
          <w:szCs w:val="24"/>
          <w:lang w:eastAsia="ar-SA"/>
        </w:rPr>
        <w:t>S</w:t>
      </w:r>
      <w:r w:rsidR="00D52129" w:rsidRPr="006C5123">
        <w:rPr>
          <w:rFonts w:ascii="Times New Roman" w:eastAsia="Times New Roman" w:hAnsi="Times New Roman" w:cs="Times New Roman"/>
          <w:color w:val="000000" w:themeColor="text1"/>
          <w:sz w:val="24"/>
          <w:szCs w:val="24"/>
          <w:lang w:eastAsia="ar-SA"/>
        </w:rPr>
        <w:t>orptivity</w:t>
      </w:r>
      <w:proofErr w:type="spellEnd"/>
      <w:r w:rsidR="00D52129" w:rsidRPr="006C5123">
        <w:rPr>
          <w:rFonts w:ascii="Times New Roman" w:eastAsia="Times New Roman" w:hAnsi="Times New Roman" w:cs="Times New Roman"/>
          <w:color w:val="000000" w:themeColor="text1"/>
          <w:sz w:val="24"/>
          <w:szCs w:val="24"/>
          <w:lang w:eastAsia="ar-SA"/>
        </w:rPr>
        <w:t xml:space="preserve"> vs age.</w:t>
      </w:r>
    </w:p>
    <w:p w14:paraId="1D3C4D72" w14:textId="518C438C" w:rsidR="00AF341F" w:rsidRPr="006C5123" w:rsidRDefault="0099585E" w:rsidP="0026436A">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both"/>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t>Hydrochloric acid resistance</w:t>
      </w:r>
    </w:p>
    <w:p w14:paraId="51E9FA28" w14:textId="697A18A4" w:rsidR="00E25368" w:rsidRPr="006C5123" w:rsidRDefault="00E25368" w:rsidP="00442FCE">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both"/>
        <w:rPr>
          <w:rFonts w:ascii="Times New Roman" w:hAnsi="Times New Roman" w:cs="Times New Roman"/>
          <w:noProof/>
          <w:color w:val="000000" w:themeColor="text1"/>
          <w:sz w:val="24"/>
          <w:szCs w:val="24"/>
        </w:rPr>
      </w:pPr>
      <w:r w:rsidRPr="006C5123">
        <w:rPr>
          <w:rFonts w:ascii="Times New Roman" w:hAnsi="Times New Roman" w:cs="Times New Roman"/>
          <w:noProof/>
          <w:color w:val="000000" w:themeColor="text1"/>
          <w:sz w:val="24"/>
          <w:szCs w:val="24"/>
        </w:rPr>
        <w:t>Figure 6 displays the weight loss of both IMF and CPF concrete specimens when subjected to HCl solution. The outcomes clearly indicate that IMF specimens experienced greater weight loss when compared to CPF specimens across all age intervals. The reduction in weight loss observed in CPF specimens ranged from 42% to 48%.</w:t>
      </w:r>
      <w:r w:rsidR="00C93511" w:rsidRPr="006C5123">
        <w:rPr>
          <w:color w:val="000000" w:themeColor="text1"/>
        </w:rPr>
        <w:t xml:space="preserve"> </w:t>
      </w:r>
      <w:r w:rsidR="00C93511" w:rsidRPr="006C5123">
        <w:rPr>
          <w:rFonts w:ascii="Times New Roman" w:hAnsi="Times New Roman" w:cs="Times New Roman"/>
          <w:noProof/>
          <w:color w:val="000000" w:themeColor="text1"/>
          <w:sz w:val="24"/>
          <w:szCs w:val="24"/>
        </w:rPr>
        <w:t>Figure 7 shows the residual compressive strength of the IMF and CPF specimens in the presence of HCl solution.</w:t>
      </w:r>
      <w:r w:rsidRPr="006C5123">
        <w:rPr>
          <w:rFonts w:ascii="Times New Roman" w:hAnsi="Times New Roman" w:cs="Times New Roman"/>
          <w:noProof/>
          <w:color w:val="000000" w:themeColor="text1"/>
          <w:sz w:val="24"/>
          <w:szCs w:val="24"/>
        </w:rPr>
        <w:t xml:space="preserve"> </w:t>
      </w:r>
      <w:r w:rsidR="00C93511" w:rsidRPr="006C5123">
        <w:rPr>
          <w:rFonts w:ascii="Times New Roman" w:hAnsi="Times New Roman" w:cs="Times New Roman"/>
          <w:noProof/>
          <w:color w:val="000000" w:themeColor="text1"/>
          <w:sz w:val="24"/>
          <w:szCs w:val="24"/>
        </w:rPr>
        <w:t>These findings show that across all age groups, IMF specimens had lower residual compressive strength than CPF specimens</w:t>
      </w:r>
      <w:r w:rsidRPr="006C5123">
        <w:rPr>
          <w:rFonts w:ascii="Times New Roman" w:hAnsi="Times New Roman" w:cs="Times New Roman"/>
          <w:noProof/>
          <w:color w:val="000000" w:themeColor="text1"/>
          <w:sz w:val="24"/>
          <w:szCs w:val="24"/>
        </w:rPr>
        <w:t>. The improvement brought about by the CPF liner ranged from 14% to 143%. It's worth noting that the weight loss of concrete specimens is reflected in the residual compressive strength of the concrete.</w:t>
      </w:r>
    </w:p>
    <w:p w14:paraId="182EC306" w14:textId="77777777" w:rsidR="00E25368" w:rsidRPr="006C5123" w:rsidRDefault="00E25368" w:rsidP="00E25368">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center"/>
        <w:rPr>
          <w:rFonts w:ascii="Times New Roman" w:hAnsi="Times New Roman" w:cs="Times New Roman"/>
          <w:noProof/>
          <w:color w:val="000000" w:themeColor="text1"/>
          <w:sz w:val="24"/>
          <w:szCs w:val="24"/>
        </w:rPr>
      </w:pPr>
    </w:p>
    <w:p w14:paraId="54FC85A2" w14:textId="77777777" w:rsidR="00E25368" w:rsidRPr="006C5123" w:rsidRDefault="00E25368" w:rsidP="00E25368">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center"/>
        <w:rPr>
          <w:rFonts w:ascii="Times New Roman" w:hAnsi="Times New Roman" w:cs="Times New Roman"/>
          <w:noProof/>
          <w:color w:val="000000" w:themeColor="text1"/>
          <w:sz w:val="24"/>
          <w:szCs w:val="24"/>
        </w:rPr>
      </w:pPr>
    </w:p>
    <w:p w14:paraId="769F8A7D" w14:textId="77777777" w:rsidR="00E25368" w:rsidRPr="006C5123" w:rsidRDefault="00E25368" w:rsidP="00E25368">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center"/>
        <w:rPr>
          <w:rFonts w:ascii="Times New Roman" w:hAnsi="Times New Roman" w:cs="Times New Roman"/>
          <w:noProof/>
          <w:color w:val="000000" w:themeColor="text1"/>
          <w:sz w:val="24"/>
          <w:szCs w:val="24"/>
        </w:rPr>
      </w:pPr>
    </w:p>
    <w:p w14:paraId="588D7B7F" w14:textId="6BC6FC31" w:rsidR="00AE14DD" w:rsidRPr="006C5123" w:rsidRDefault="00051EE5" w:rsidP="00051EE5">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center"/>
        <w:rPr>
          <w:rFonts w:ascii="Times New Roman" w:hAnsi="Times New Roman" w:cs="Times New Roman"/>
          <w:color w:val="000000" w:themeColor="text1"/>
          <w:sz w:val="24"/>
          <w:szCs w:val="24"/>
        </w:rPr>
      </w:pPr>
      <w:r w:rsidRPr="006C5123">
        <w:rPr>
          <w:noProof/>
          <w:color w:val="000000" w:themeColor="text1"/>
          <w:lang w:val="en-US"/>
        </w:rPr>
        <w:lastRenderedPageBreak/>
        <w:drawing>
          <wp:inline distT="0" distB="0" distL="0" distR="0" wp14:anchorId="4BC5E101" wp14:editId="0155D14A">
            <wp:extent cx="3736731" cy="2674815"/>
            <wp:effectExtent l="0" t="0" r="16510" b="11430"/>
            <wp:docPr id="233243834"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6DEE39" w14:textId="627E18E7" w:rsidR="00DB4E46" w:rsidRPr="006C5123" w:rsidRDefault="00DB4E46" w:rsidP="00DB4E46">
      <w:pPr>
        <w:spacing w:line="480" w:lineRule="auto"/>
        <w:jc w:val="center"/>
        <w:rPr>
          <w:rFonts w:ascii="Times New Roman" w:hAnsi="Times New Roman" w:cs="Times New Roman"/>
          <w:color w:val="000000" w:themeColor="text1"/>
          <w:sz w:val="24"/>
          <w:szCs w:val="24"/>
        </w:rPr>
      </w:pPr>
      <w:r w:rsidRPr="006C5123">
        <w:rPr>
          <w:rFonts w:ascii="Times New Roman" w:hAnsi="Times New Roman" w:cs="Times New Roman"/>
          <w:b/>
          <w:color w:val="000000" w:themeColor="text1"/>
          <w:sz w:val="24"/>
          <w:szCs w:val="24"/>
        </w:rPr>
        <w:t xml:space="preserve">Fig. </w:t>
      </w:r>
      <w:r w:rsidR="00CC7935" w:rsidRPr="006C5123">
        <w:rPr>
          <w:rFonts w:ascii="Times New Roman" w:hAnsi="Times New Roman" w:cs="Times New Roman"/>
          <w:b/>
          <w:color w:val="000000" w:themeColor="text1"/>
          <w:sz w:val="24"/>
          <w:szCs w:val="24"/>
        </w:rPr>
        <w:t>6</w:t>
      </w:r>
      <w:r w:rsidRPr="006C5123">
        <w:rPr>
          <w:rFonts w:ascii="Times New Roman" w:hAnsi="Times New Roman" w:cs="Times New Roman"/>
          <w:b/>
          <w:color w:val="000000" w:themeColor="text1"/>
          <w:sz w:val="24"/>
          <w:szCs w:val="24"/>
        </w:rPr>
        <w:t xml:space="preserve">. </w:t>
      </w:r>
      <w:r w:rsidRPr="006C5123">
        <w:rPr>
          <w:rFonts w:ascii="Times New Roman" w:hAnsi="Times New Roman" w:cs="Times New Roman"/>
          <w:color w:val="000000" w:themeColor="text1"/>
          <w:sz w:val="24"/>
          <w:szCs w:val="24"/>
        </w:rPr>
        <w:t>Weight loss vs duration of exposure.</w:t>
      </w:r>
    </w:p>
    <w:p w14:paraId="61F383B2" w14:textId="3EE71FF9" w:rsidR="00051EE5" w:rsidRPr="006C5123" w:rsidRDefault="00051EE5" w:rsidP="00DB4E46">
      <w:pPr>
        <w:spacing w:line="480" w:lineRule="auto"/>
        <w:jc w:val="center"/>
        <w:rPr>
          <w:rFonts w:ascii="Times New Roman" w:hAnsi="Times New Roman" w:cs="Times New Roman"/>
          <w:color w:val="000000" w:themeColor="text1"/>
          <w:sz w:val="24"/>
          <w:szCs w:val="24"/>
        </w:rPr>
      </w:pPr>
      <w:r w:rsidRPr="006C5123">
        <w:rPr>
          <w:noProof/>
          <w:color w:val="000000" w:themeColor="text1"/>
          <w:lang w:val="en-US"/>
        </w:rPr>
        <w:drawing>
          <wp:inline distT="0" distB="0" distL="0" distR="0" wp14:anchorId="43C25D69" wp14:editId="128669B4">
            <wp:extent cx="4197350" cy="2647950"/>
            <wp:effectExtent l="0" t="0" r="12700" b="0"/>
            <wp:docPr id="28549994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CD6205" w14:textId="139E7A73" w:rsidR="00DB4E46" w:rsidRPr="006C5123" w:rsidRDefault="00DB4E46" w:rsidP="00DB4E46">
      <w:pPr>
        <w:spacing w:line="360" w:lineRule="auto"/>
        <w:jc w:val="center"/>
        <w:rPr>
          <w:rFonts w:ascii="Times New Roman" w:hAnsi="Times New Roman" w:cs="Times New Roman"/>
          <w:color w:val="000000" w:themeColor="text1"/>
          <w:sz w:val="24"/>
          <w:szCs w:val="24"/>
        </w:rPr>
      </w:pPr>
      <w:r w:rsidRPr="006C5123">
        <w:rPr>
          <w:rFonts w:ascii="Times New Roman" w:hAnsi="Times New Roman" w:cs="Times New Roman"/>
          <w:b/>
          <w:color w:val="000000" w:themeColor="text1"/>
          <w:sz w:val="24"/>
          <w:szCs w:val="24"/>
        </w:rPr>
        <w:t xml:space="preserve">Fig. </w:t>
      </w:r>
      <w:r w:rsidR="00CC7935" w:rsidRPr="006C5123">
        <w:rPr>
          <w:rFonts w:ascii="Times New Roman" w:hAnsi="Times New Roman" w:cs="Times New Roman"/>
          <w:b/>
          <w:color w:val="000000" w:themeColor="text1"/>
          <w:sz w:val="24"/>
          <w:szCs w:val="24"/>
        </w:rPr>
        <w:t>7</w:t>
      </w:r>
      <w:r w:rsidRPr="006C5123">
        <w:rPr>
          <w:rFonts w:ascii="Times New Roman" w:hAnsi="Times New Roman" w:cs="Times New Roman"/>
          <w:b/>
          <w:color w:val="000000" w:themeColor="text1"/>
          <w:sz w:val="24"/>
          <w:szCs w:val="24"/>
        </w:rPr>
        <w:t xml:space="preserve">. </w:t>
      </w:r>
      <w:r w:rsidRPr="006C5123">
        <w:rPr>
          <w:rFonts w:ascii="Times New Roman" w:hAnsi="Times New Roman" w:cs="Times New Roman"/>
          <w:color w:val="000000" w:themeColor="text1"/>
          <w:sz w:val="24"/>
          <w:szCs w:val="24"/>
        </w:rPr>
        <w:t>Residual compressive strength vs duration of exposure.</w:t>
      </w:r>
    </w:p>
    <w:p w14:paraId="0D486AC5" w14:textId="469D907B" w:rsidR="00AF341F" w:rsidRPr="006C5123" w:rsidRDefault="0099585E" w:rsidP="00567981">
      <w:pPr>
        <w:tabs>
          <w:tab w:val="left" w:pos="-1440"/>
          <w:tab w:val="left" w:pos="-720"/>
          <w:tab w:val="left" w:pos="180"/>
        </w:tabs>
        <w:suppressAutoHyphens/>
        <w:spacing w:after="240" w:line="276" w:lineRule="auto"/>
        <w:jc w:val="both"/>
        <w:rPr>
          <w:rFonts w:ascii="Times New Roman" w:hAnsi="Times New Roman" w:cs="Times New Roman"/>
          <w:b/>
          <w:color w:val="000000" w:themeColor="text1"/>
          <w:sz w:val="24"/>
          <w:szCs w:val="24"/>
        </w:rPr>
      </w:pPr>
      <w:proofErr w:type="spellStart"/>
      <w:r w:rsidRPr="006C5123">
        <w:rPr>
          <w:rFonts w:ascii="Times New Roman" w:hAnsi="Times New Roman" w:cs="Times New Roman"/>
          <w:b/>
          <w:color w:val="000000" w:themeColor="text1"/>
          <w:sz w:val="24"/>
          <w:szCs w:val="24"/>
        </w:rPr>
        <w:t>Sulfate</w:t>
      </w:r>
      <w:proofErr w:type="spellEnd"/>
      <w:r w:rsidRPr="006C5123">
        <w:rPr>
          <w:rFonts w:ascii="Times New Roman" w:hAnsi="Times New Roman" w:cs="Times New Roman"/>
          <w:b/>
          <w:color w:val="000000" w:themeColor="text1"/>
          <w:sz w:val="24"/>
          <w:szCs w:val="24"/>
        </w:rPr>
        <w:t xml:space="preserve"> resistance</w:t>
      </w:r>
    </w:p>
    <w:p w14:paraId="29C99FD4" w14:textId="37385C0E" w:rsidR="00E25368" w:rsidRPr="006C5123" w:rsidRDefault="00B96225" w:rsidP="00442FCE">
      <w:pPr>
        <w:tabs>
          <w:tab w:val="left" w:pos="-1440"/>
          <w:tab w:val="left" w:pos="-720"/>
          <w:tab w:val="left" w:pos="180"/>
        </w:tabs>
        <w:suppressAutoHyphens/>
        <w:spacing w:after="240" w:line="360" w:lineRule="auto"/>
        <w:jc w:val="both"/>
        <w:rPr>
          <w:rFonts w:ascii="Times New Roman" w:hAnsi="Times New Roman" w:cs="Times New Roman"/>
          <w:noProof/>
          <w:color w:val="000000" w:themeColor="text1"/>
          <w:sz w:val="24"/>
          <w:szCs w:val="24"/>
        </w:rPr>
      </w:pPr>
      <w:r w:rsidRPr="006C5123">
        <w:rPr>
          <w:rFonts w:ascii="Times New Roman" w:hAnsi="Times New Roman" w:cs="Times New Roman"/>
          <w:noProof/>
          <w:color w:val="000000" w:themeColor="text1"/>
          <w:sz w:val="24"/>
          <w:szCs w:val="24"/>
        </w:rPr>
        <w:t>Figure 8 shows the weight loss of concrete specimens made of IMF and CPF after being subjected to a sulfate solution.</w:t>
      </w:r>
      <w:r w:rsidR="00E25368" w:rsidRPr="006C5123">
        <w:rPr>
          <w:rFonts w:ascii="Times New Roman" w:hAnsi="Times New Roman" w:cs="Times New Roman"/>
          <w:noProof/>
          <w:color w:val="000000" w:themeColor="text1"/>
          <w:sz w:val="24"/>
          <w:szCs w:val="24"/>
        </w:rPr>
        <w:t xml:space="preserve"> The test results clearly indicate that IMF specimens experienced more significant weight loss compared to CPF specimens. The reduction in weight loss observed in CPF specimens ranged from 37% to 43%. Notably, the weight loss was lower when compared to specimens exposed to HCl solution, both for IMF and CPF specimens.</w:t>
      </w:r>
    </w:p>
    <w:p w14:paraId="37054815" w14:textId="77777777" w:rsidR="00E25368" w:rsidRPr="006C5123" w:rsidRDefault="00E25368" w:rsidP="00E25368">
      <w:pPr>
        <w:tabs>
          <w:tab w:val="left" w:pos="-1440"/>
          <w:tab w:val="left" w:pos="-720"/>
          <w:tab w:val="left" w:pos="180"/>
        </w:tabs>
        <w:suppressAutoHyphens/>
        <w:spacing w:after="240" w:line="276" w:lineRule="auto"/>
        <w:jc w:val="center"/>
        <w:rPr>
          <w:rFonts w:ascii="Times New Roman" w:hAnsi="Times New Roman" w:cs="Times New Roman"/>
          <w:noProof/>
          <w:color w:val="000000" w:themeColor="text1"/>
          <w:sz w:val="24"/>
          <w:szCs w:val="24"/>
        </w:rPr>
      </w:pPr>
    </w:p>
    <w:p w14:paraId="60AB0CB8" w14:textId="19ADB896" w:rsidR="00E25368" w:rsidRPr="006C5123" w:rsidRDefault="00B96225" w:rsidP="00442FCE">
      <w:pPr>
        <w:tabs>
          <w:tab w:val="left" w:pos="-1440"/>
          <w:tab w:val="left" w:pos="-720"/>
          <w:tab w:val="left" w:pos="180"/>
        </w:tabs>
        <w:suppressAutoHyphens/>
        <w:spacing w:after="240" w:line="360" w:lineRule="auto"/>
        <w:jc w:val="both"/>
        <w:rPr>
          <w:rFonts w:ascii="Times New Roman" w:hAnsi="Times New Roman" w:cs="Times New Roman"/>
          <w:noProof/>
          <w:color w:val="000000" w:themeColor="text1"/>
          <w:sz w:val="24"/>
          <w:szCs w:val="24"/>
        </w:rPr>
      </w:pPr>
      <w:r w:rsidRPr="006C5123">
        <w:rPr>
          <w:rFonts w:ascii="Times New Roman" w:hAnsi="Times New Roman" w:cs="Times New Roman"/>
          <w:noProof/>
          <w:color w:val="000000" w:themeColor="text1"/>
          <w:sz w:val="24"/>
          <w:szCs w:val="24"/>
        </w:rPr>
        <w:t>The residual compressive strength of both IMF and CPF specimens in sulfate solution is shown in Figure 9.</w:t>
      </w:r>
      <w:r w:rsidR="00E25368" w:rsidRPr="006C5123">
        <w:rPr>
          <w:rFonts w:ascii="Times New Roman" w:hAnsi="Times New Roman" w:cs="Times New Roman"/>
          <w:noProof/>
          <w:color w:val="000000" w:themeColor="text1"/>
          <w:sz w:val="24"/>
          <w:szCs w:val="24"/>
        </w:rPr>
        <w:t xml:space="preserve"> </w:t>
      </w:r>
      <w:r w:rsidRPr="006C5123">
        <w:rPr>
          <w:rFonts w:ascii="Times New Roman" w:hAnsi="Times New Roman" w:cs="Times New Roman"/>
          <w:noProof/>
          <w:color w:val="000000" w:themeColor="text1"/>
          <w:sz w:val="24"/>
          <w:szCs w:val="24"/>
        </w:rPr>
        <w:t>The results show that when compared to CPF concrete specimens, IMF concrete specimens showed lower residual compressive strength. But there wasn't much of a difference in the residual compressive strength between IMF and CPF specimens. The CPF liner showed an improvement of between 8% and 28%.</w:t>
      </w:r>
    </w:p>
    <w:p w14:paraId="3B2E81AE" w14:textId="6F832334" w:rsidR="00AF341F" w:rsidRPr="006C5123" w:rsidRDefault="00051EE5" w:rsidP="00DD3A2F">
      <w:pPr>
        <w:tabs>
          <w:tab w:val="left" w:pos="-1440"/>
          <w:tab w:val="left" w:pos="-720"/>
          <w:tab w:val="left" w:pos="180"/>
        </w:tabs>
        <w:suppressAutoHyphens/>
        <w:spacing w:after="240" w:line="276" w:lineRule="auto"/>
        <w:jc w:val="center"/>
        <w:rPr>
          <w:rFonts w:ascii="Times New Roman" w:hAnsi="Times New Roman" w:cs="Times New Roman"/>
          <w:color w:val="000000" w:themeColor="text1"/>
          <w:sz w:val="24"/>
          <w:szCs w:val="24"/>
        </w:rPr>
      </w:pPr>
      <w:r w:rsidRPr="006C5123">
        <w:rPr>
          <w:noProof/>
          <w:color w:val="000000" w:themeColor="text1"/>
          <w:lang w:val="en-US"/>
        </w:rPr>
        <w:drawing>
          <wp:inline distT="0" distB="0" distL="0" distR="0" wp14:anchorId="14EA804C" wp14:editId="0348A793">
            <wp:extent cx="3604847" cy="2674815"/>
            <wp:effectExtent l="0" t="0" r="15240" b="11430"/>
            <wp:docPr id="1429708618"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6BBFC8" w14:textId="43AD8E09" w:rsidR="00DB4E46" w:rsidRPr="006C5123" w:rsidRDefault="00DB4E46" w:rsidP="00DB4E46">
      <w:pPr>
        <w:spacing w:line="480" w:lineRule="auto"/>
        <w:jc w:val="center"/>
        <w:rPr>
          <w:rFonts w:ascii="Times New Roman" w:hAnsi="Times New Roman" w:cs="Times New Roman"/>
          <w:color w:val="000000" w:themeColor="text1"/>
          <w:sz w:val="24"/>
          <w:szCs w:val="24"/>
        </w:rPr>
      </w:pPr>
      <w:r w:rsidRPr="006C5123">
        <w:rPr>
          <w:rFonts w:ascii="Times New Roman" w:hAnsi="Times New Roman" w:cs="Times New Roman"/>
          <w:b/>
          <w:color w:val="000000" w:themeColor="text1"/>
          <w:sz w:val="24"/>
          <w:szCs w:val="24"/>
        </w:rPr>
        <w:t xml:space="preserve">Fig. </w:t>
      </w:r>
      <w:r w:rsidR="00CC7935" w:rsidRPr="006C5123">
        <w:rPr>
          <w:rFonts w:ascii="Times New Roman" w:hAnsi="Times New Roman" w:cs="Times New Roman"/>
          <w:b/>
          <w:color w:val="000000" w:themeColor="text1"/>
          <w:sz w:val="24"/>
          <w:szCs w:val="24"/>
        </w:rPr>
        <w:t>8</w:t>
      </w:r>
      <w:r w:rsidRPr="006C5123">
        <w:rPr>
          <w:rFonts w:ascii="Times New Roman" w:hAnsi="Times New Roman" w:cs="Times New Roman"/>
          <w:b/>
          <w:color w:val="000000" w:themeColor="text1"/>
          <w:sz w:val="24"/>
          <w:szCs w:val="24"/>
        </w:rPr>
        <w:t xml:space="preserve">. </w:t>
      </w:r>
      <w:r w:rsidRPr="006C5123">
        <w:rPr>
          <w:rFonts w:ascii="Times New Roman" w:hAnsi="Times New Roman" w:cs="Times New Roman"/>
          <w:color w:val="000000" w:themeColor="text1"/>
          <w:sz w:val="24"/>
          <w:szCs w:val="24"/>
        </w:rPr>
        <w:t>Weight loss vs duration of exposure.</w:t>
      </w:r>
    </w:p>
    <w:p w14:paraId="541A2790" w14:textId="089CAD53" w:rsidR="00051EE5" w:rsidRPr="006C5123" w:rsidRDefault="00051EE5" w:rsidP="00DB4E46">
      <w:pPr>
        <w:spacing w:line="480" w:lineRule="auto"/>
        <w:jc w:val="center"/>
        <w:rPr>
          <w:rFonts w:ascii="Times New Roman" w:hAnsi="Times New Roman" w:cs="Times New Roman"/>
          <w:color w:val="000000" w:themeColor="text1"/>
          <w:sz w:val="24"/>
          <w:szCs w:val="24"/>
        </w:rPr>
      </w:pPr>
      <w:r w:rsidRPr="006C5123">
        <w:rPr>
          <w:noProof/>
          <w:color w:val="000000" w:themeColor="text1"/>
          <w:lang w:val="en-US"/>
        </w:rPr>
        <w:drawing>
          <wp:inline distT="0" distB="0" distL="0" distR="0" wp14:anchorId="7DB203AB" wp14:editId="3143B201">
            <wp:extent cx="3336193" cy="2669930"/>
            <wp:effectExtent l="0" t="0" r="17145" b="16510"/>
            <wp:docPr id="1447356827"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922C4" w14:textId="7F50EB84" w:rsidR="00DB4E46" w:rsidRPr="006C5123" w:rsidRDefault="00DB4E46" w:rsidP="00DB4E46">
      <w:pPr>
        <w:spacing w:line="360" w:lineRule="auto"/>
        <w:jc w:val="center"/>
        <w:rPr>
          <w:rFonts w:ascii="Times New Roman" w:hAnsi="Times New Roman" w:cs="Times New Roman"/>
          <w:color w:val="000000" w:themeColor="text1"/>
          <w:sz w:val="24"/>
          <w:szCs w:val="24"/>
        </w:rPr>
      </w:pPr>
      <w:r w:rsidRPr="006C5123">
        <w:rPr>
          <w:rFonts w:ascii="Times New Roman" w:hAnsi="Times New Roman" w:cs="Times New Roman"/>
          <w:b/>
          <w:color w:val="000000" w:themeColor="text1"/>
          <w:sz w:val="24"/>
          <w:szCs w:val="24"/>
        </w:rPr>
        <w:t xml:space="preserve">Fig. </w:t>
      </w:r>
      <w:r w:rsidR="00CC7935" w:rsidRPr="006C5123">
        <w:rPr>
          <w:rFonts w:ascii="Times New Roman" w:hAnsi="Times New Roman" w:cs="Times New Roman"/>
          <w:b/>
          <w:color w:val="000000" w:themeColor="text1"/>
          <w:sz w:val="24"/>
          <w:szCs w:val="24"/>
        </w:rPr>
        <w:t>9</w:t>
      </w:r>
      <w:r w:rsidRPr="006C5123">
        <w:rPr>
          <w:rFonts w:ascii="Times New Roman" w:hAnsi="Times New Roman" w:cs="Times New Roman"/>
          <w:b/>
          <w:color w:val="000000" w:themeColor="text1"/>
          <w:sz w:val="24"/>
          <w:szCs w:val="24"/>
        </w:rPr>
        <w:t xml:space="preserve">. </w:t>
      </w:r>
      <w:r w:rsidRPr="006C5123">
        <w:rPr>
          <w:rFonts w:ascii="Times New Roman" w:hAnsi="Times New Roman" w:cs="Times New Roman"/>
          <w:color w:val="000000" w:themeColor="text1"/>
          <w:sz w:val="24"/>
          <w:szCs w:val="24"/>
        </w:rPr>
        <w:t>Residual compressive strength vs duration of exposure.</w:t>
      </w:r>
    </w:p>
    <w:p w14:paraId="72E06181" w14:textId="77777777" w:rsidR="005764C7" w:rsidRPr="006C5123" w:rsidRDefault="005764C7" w:rsidP="00570CE6">
      <w:pPr>
        <w:spacing w:before="30" w:after="30" w:line="480" w:lineRule="auto"/>
        <w:rPr>
          <w:rFonts w:ascii="Times New Roman" w:hAnsi="Times New Roman" w:cs="Times New Roman"/>
          <w:b/>
          <w:color w:val="000000" w:themeColor="text1"/>
          <w:sz w:val="24"/>
          <w:szCs w:val="24"/>
        </w:rPr>
      </w:pPr>
    </w:p>
    <w:p w14:paraId="29B87910" w14:textId="77777777" w:rsidR="009E3C5D" w:rsidRPr="006C5123" w:rsidRDefault="00EE70EB" w:rsidP="00570CE6">
      <w:pPr>
        <w:spacing w:before="30" w:after="30" w:line="480" w:lineRule="auto"/>
        <w:rPr>
          <w:rFonts w:ascii="Times New Roman" w:hAnsi="Times New Roman" w:cs="Times New Roman"/>
          <w:b/>
          <w:color w:val="000000" w:themeColor="text1"/>
          <w:sz w:val="24"/>
          <w:szCs w:val="24"/>
        </w:rPr>
      </w:pPr>
      <w:r w:rsidRPr="006C5123">
        <w:rPr>
          <w:rFonts w:ascii="Times New Roman" w:hAnsi="Times New Roman" w:cs="Times New Roman"/>
          <w:b/>
          <w:color w:val="000000" w:themeColor="text1"/>
          <w:sz w:val="24"/>
          <w:szCs w:val="24"/>
        </w:rPr>
        <w:lastRenderedPageBreak/>
        <w:t>CONCLUSION</w:t>
      </w:r>
      <w:r w:rsidR="00404DCF" w:rsidRPr="006C5123">
        <w:rPr>
          <w:rFonts w:ascii="Times New Roman" w:hAnsi="Times New Roman" w:cs="Times New Roman"/>
          <w:b/>
          <w:color w:val="000000" w:themeColor="text1"/>
          <w:sz w:val="24"/>
          <w:szCs w:val="24"/>
        </w:rPr>
        <w:t>S</w:t>
      </w:r>
    </w:p>
    <w:p w14:paraId="0E769E09" w14:textId="4C537539" w:rsidR="00E25368" w:rsidRPr="006C5123" w:rsidRDefault="006C5123" w:rsidP="00442FCE">
      <w:pPr>
        <w:spacing w:after="240" w:line="360" w:lineRule="auto"/>
        <w:jc w:val="both"/>
        <w:rPr>
          <w:rFonts w:ascii="Times New Roman" w:hAnsi="Times New Roman"/>
          <w:color w:val="000000" w:themeColor="text1"/>
          <w:sz w:val="24"/>
          <w:szCs w:val="24"/>
        </w:rPr>
      </w:pPr>
      <w:r w:rsidRPr="006C5123">
        <w:rPr>
          <w:rFonts w:ascii="Times New Roman" w:hAnsi="Times New Roman"/>
          <w:color w:val="000000" w:themeColor="text1"/>
          <w:sz w:val="24"/>
          <w:szCs w:val="24"/>
        </w:rPr>
        <w:t>The following conclusions were derived as a result of the current experimental investigation</w:t>
      </w:r>
      <w:r w:rsidR="00E25368" w:rsidRPr="006C5123">
        <w:rPr>
          <w:rFonts w:ascii="Times New Roman" w:hAnsi="Times New Roman"/>
          <w:color w:val="000000" w:themeColor="text1"/>
          <w:sz w:val="24"/>
          <w:szCs w:val="24"/>
        </w:rPr>
        <w:t>:</w:t>
      </w:r>
    </w:p>
    <w:p w14:paraId="2B7A064C" w14:textId="77777777" w:rsidR="006C5123" w:rsidRPr="006C5123" w:rsidRDefault="006C5123" w:rsidP="006C5123">
      <w:pPr>
        <w:pStyle w:val="ListParagraph"/>
        <w:numPr>
          <w:ilvl w:val="0"/>
          <w:numId w:val="10"/>
        </w:numPr>
        <w:spacing w:after="240" w:line="360" w:lineRule="auto"/>
        <w:jc w:val="both"/>
        <w:rPr>
          <w:rFonts w:ascii="Times New Roman" w:hAnsi="Times New Roman"/>
          <w:color w:val="000000" w:themeColor="text1"/>
          <w:sz w:val="24"/>
          <w:szCs w:val="24"/>
          <w:lang w:val="en-IN"/>
        </w:rPr>
      </w:pPr>
      <w:r w:rsidRPr="006C5123">
        <w:rPr>
          <w:rFonts w:ascii="Times New Roman" w:hAnsi="Times New Roman"/>
          <w:color w:val="000000" w:themeColor="text1"/>
          <w:sz w:val="24"/>
          <w:szCs w:val="24"/>
          <w:lang w:val="en-IN"/>
        </w:rPr>
        <w:t>Compared to IMF concrete specimens, CPF concrete specimens have a low water absorption value. The improvement ranges from roughly 22% to 30%.</w:t>
      </w:r>
      <w:r w:rsidR="00E25368" w:rsidRPr="006C5123">
        <w:rPr>
          <w:rFonts w:ascii="Times New Roman" w:hAnsi="Times New Roman"/>
          <w:color w:val="000000" w:themeColor="text1"/>
          <w:sz w:val="24"/>
          <w:szCs w:val="24"/>
          <w:lang w:val="en-IN"/>
        </w:rPr>
        <w:t xml:space="preserve"> </w:t>
      </w:r>
      <w:r w:rsidRPr="006C5123">
        <w:rPr>
          <w:rFonts w:ascii="Times New Roman" w:hAnsi="Times New Roman"/>
          <w:color w:val="000000" w:themeColor="text1"/>
          <w:sz w:val="24"/>
          <w:szCs w:val="24"/>
          <w:lang w:val="en-IN"/>
        </w:rPr>
        <w:t xml:space="preserve">Similar to the way CPF samples had considerably lower rates of </w:t>
      </w:r>
      <w:proofErr w:type="spellStart"/>
      <w:r w:rsidRPr="006C5123">
        <w:rPr>
          <w:rFonts w:ascii="Times New Roman" w:hAnsi="Times New Roman"/>
          <w:color w:val="000000" w:themeColor="text1"/>
          <w:sz w:val="24"/>
          <w:szCs w:val="24"/>
          <w:lang w:val="en-IN"/>
        </w:rPr>
        <w:t>sorptivity</w:t>
      </w:r>
      <w:proofErr w:type="spellEnd"/>
      <w:r w:rsidRPr="006C5123">
        <w:rPr>
          <w:rFonts w:ascii="Times New Roman" w:hAnsi="Times New Roman"/>
          <w:color w:val="000000" w:themeColor="text1"/>
          <w:sz w:val="24"/>
          <w:szCs w:val="24"/>
          <w:lang w:val="en-IN"/>
        </w:rPr>
        <w:t xml:space="preserve"> (water absorption) than samples made of impermeable formwork. The increase was between 51% and 67%.</w:t>
      </w:r>
    </w:p>
    <w:p w14:paraId="564F49FD" w14:textId="19027548" w:rsidR="00E25368" w:rsidRPr="006C5123" w:rsidRDefault="006C5123" w:rsidP="006C5123">
      <w:pPr>
        <w:pStyle w:val="ListParagraph"/>
        <w:numPr>
          <w:ilvl w:val="0"/>
          <w:numId w:val="10"/>
        </w:numPr>
        <w:spacing w:after="240" w:line="360" w:lineRule="auto"/>
        <w:jc w:val="both"/>
        <w:rPr>
          <w:rFonts w:ascii="Times New Roman" w:hAnsi="Times New Roman"/>
          <w:color w:val="000000" w:themeColor="text1"/>
          <w:sz w:val="24"/>
          <w:szCs w:val="24"/>
          <w:lang w:val="en-IN"/>
        </w:rPr>
      </w:pPr>
      <w:r w:rsidRPr="006C5123">
        <w:rPr>
          <w:rFonts w:ascii="Times New Roman" w:hAnsi="Times New Roman"/>
          <w:color w:val="000000" w:themeColor="text1"/>
          <w:sz w:val="24"/>
          <w:szCs w:val="24"/>
          <w:lang w:val="en-IN"/>
        </w:rPr>
        <w:t xml:space="preserve">Compared to samples of impermeable formwork, the weight loss of the CPF concrete samples is reduced </w:t>
      </w:r>
      <w:r w:rsidR="00E25368" w:rsidRPr="006C5123">
        <w:rPr>
          <w:rFonts w:ascii="Times New Roman" w:hAnsi="Times New Roman"/>
          <w:color w:val="000000" w:themeColor="text1"/>
          <w:sz w:val="24"/>
          <w:szCs w:val="24"/>
          <w:lang w:val="en-IN"/>
        </w:rPr>
        <w:t xml:space="preserve">under both hydrochloric acid and </w:t>
      </w:r>
      <w:proofErr w:type="spellStart"/>
      <w:r w:rsidR="00E25368" w:rsidRPr="006C5123">
        <w:rPr>
          <w:rFonts w:ascii="Times New Roman" w:hAnsi="Times New Roman"/>
          <w:color w:val="000000" w:themeColor="text1"/>
          <w:sz w:val="24"/>
          <w:szCs w:val="24"/>
          <w:lang w:val="en-IN"/>
        </w:rPr>
        <w:t>sulfate</w:t>
      </w:r>
      <w:proofErr w:type="spellEnd"/>
      <w:r w:rsidR="00E25368" w:rsidRPr="006C5123">
        <w:rPr>
          <w:rFonts w:ascii="Times New Roman" w:hAnsi="Times New Roman"/>
          <w:color w:val="000000" w:themeColor="text1"/>
          <w:sz w:val="24"/>
          <w:szCs w:val="24"/>
          <w:lang w:val="en-IN"/>
        </w:rPr>
        <w:t xml:space="preserve"> environment.</w:t>
      </w:r>
      <w:r w:rsidRPr="006C5123">
        <w:rPr>
          <w:color w:val="000000" w:themeColor="text1"/>
        </w:rPr>
        <w:t xml:space="preserve"> </w:t>
      </w:r>
      <w:r w:rsidRPr="006C5123">
        <w:rPr>
          <w:rFonts w:ascii="Times New Roman" w:hAnsi="Times New Roman"/>
          <w:color w:val="000000" w:themeColor="text1"/>
          <w:sz w:val="24"/>
          <w:szCs w:val="24"/>
          <w:lang w:val="en-IN"/>
        </w:rPr>
        <w:t>The range of improvement is between 37 and 48%.</w:t>
      </w:r>
    </w:p>
    <w:p w14:paraId="1A6688A8" w14:textId="10DDA2DE" w:rsidR="00C85863" w:rsidRPr="006C5123" w:rsidRDefault="006C5123" w:rsidP="006C5123">
      <w:pPr>
        <w:pStyle w:val="ListParagraph"/>
        <w:numPr>
          <w:ilvl w:val="0"/>
          <w:numId w:val="10"/>
        </w:numPr>
        <w:spacing w:after="240" w:line="360" w:lineRule="auto"/>
        <w:jc w:val="both"/>
        <w:rPr>
          <w:rFonts w:ascii="Times New Roman" w:hAnsi="Times New Roman" w:cs="Times New Roman"/>
          <w:color w:val="000000" w:themeColor="text1"/>
          <w:sz w:val="24"/>
          <w:szCs w:val="24"/>
        </w:rPr>
      </w:pPr>
      <w:r w:rsidRPr="006C5123">
        <w:rPr>
          <w:rFonts w:ascii="Times New Roman" w:hAnsi="Times New Roman"/>
          <w:color w:val="000000" w:themeColor="text1"/>
          <w:sz w:val="24"/>
          <w:szCs w:val="24"/>
          <w:lang w:val="en-IN"/>
        </w:rPr>
        <w:t>Outstanding performance was shown by CPF concretes in a chemical environment.</w:t>
      </w:r>
      <w:r w:rsidR="00E25368" w:rsidRPr="006C5123">
        <w:rPr>
          <w:rFonts w:ascii="Times New Roman" w:hAnsi="Times New Roman"/>
          <w:color w:val="000000" w:themeColor="text1"/>
          <w:sz w:val="24"/>
          <w:szCs w:val="24"/>
          <w:lang w:val="en-IN"/>
        </w:rPr>
        <w:t xml:space="preserve"> </w:t>
      </w:r>
      <w:r w:rsidRPr="006C5123">
        <w:rPr>
          <w:rFonts w:ascii="Times New Roman" w:hAnsi="Times New Roman"/>
          <w:color w:val="000000" w:themeColor="text1"/>
          <w:sz w:val="24"/>
          <w:szCs w:val="24"/>
          <w:lang w:val="en-IN"/>
        </w:rPr>
        <w:t>When exposed to hydrochloric acid, CPF concrete's residual compressive strength outperformed IMF concretes by 14% to 143%</w:t>
      </w:r>
      <w:r w:rsidR="00E25368" w:rsidRPr="006C5123">
        <w:rPr>
          <w:rFonts w:ascii="Times New Roman" w:hAnsi="Times New Roman"/>
          <w:color w:val="000000" w:themeColor="text1"/>
          <w:sz w:val="24"/>
          <w:szCs w:val="24"/>
          <w:lang w:val="en-IN"/>
        </w:rPr>
        <w:t xml:space="preserve">. </w:t>
      </w:r>
      <w:r w:rsidRPr="006C5123">
        <w:rPr>
          <w:rFonts w:ascii="Times New Roman" w:hAnsi="Times New Roman"/>
          <w:color w:val="000000" w:themeColor="text1"/>
          <w:sz w:val="24"/>
          <w:szCs w:val="24"/>
          <w:lang w:val="en-IN"/>
        </w:rPr>
        <w:t xml:space="preserve">The improvement in a </w:t>
      </w:r>
      <w:proofErr w:type="spellStart"/>
      <w:r w:rsidRPr="006C5123">
        <w:rPr>
          <w:rFonts w:ascii="Times New Roman" w:hAnsi="Times New Roman"/>
          <w:color w:val="000000" w:themeColor="text1"/>
          <w:sz w:val="24"/>
          <w:szCs w:val="24"/>
          <w:lang w:val="en-IN"/>
        </w:rPr>
        <w:t>sulfate</w:t>
      </w:r>
      <w:proofErr w:type="spellEnd"/>
      <w:r w:rsidRPr="006C5123">
        <w:rPr>
          <w:rFonts w:ascii="Times New Roman" w:hAnsi="Times New Roman"/>
          <w:color w:val="000000" w:themeColor="text1"/>
          <w:sz w:val="24"/>
          <w:szCs w:val="24"/>
          <w:lang w:val="en-IN"/>
        </w:rPr>
        <w:t xml:space="preserve"> environment ranged from 8% to 28%.</w:t>
      </w:r>
    </w:p>
    <w:p w14:paraId="5411DF79" w14:textId="77777777" w:rsidR="00501A3A" w:rsidRPr="006C5123" w:rsidRDefault="00F0423A" w:rsidP="00501A3A">
      <w:pPr>
        <w:spacing w:line="360" w:lineRule="auto"/>
        <w:rPr>
          <w:rFonts w:ascii="Times New Roman" w:hAnsi="Times New Roman"/>
          <w:b/>
          <w:color w:val="000000" w:themeColor="text1"/>
          <w:sz w:val="20"/>
          <w:szCs w:val="20"/>
        </w:rPr>
      </w:pPr>
      <w:r w:rsidRPr="006C5123">
        <w:rPr>
          <w:rFonts w:ascii="Times New Roman" w:hAnsi="Times New Roman"/>
          <w:b/>
          <w:color w:val="000000" w:themeColor="text1"/>
          <w:sz w:val="20"/>
          <w:szCs w:val="20"/>
        </w:rPr>
        <w:t>References</w:t>
      </w:r>
    </w:p>
    <w:p w14:paraId="4CB70C5C" w14:textId="2D8A5259" w:rsidR="00501A3A" w:rsidRPr="006C5123" w:rsidRDefault="00286207" w:rsidP="001752E5">
      <w:pPr>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 </w:t>
      </w:r>
      <w:r w:rsidR="001752E5" w:rsidRPr="006C5123">
        <w:rPr>
          <w:rFonts w:ascii="Times New Roman" w:hAnsi="Times New Roman"/>
          <w:color w:val="000000" w:themeColor="text1"/>
          <w:sz w:val="18"/>
          <w:szCs w:val="18"/>
        </w:rPr>
        <w:t xml:space="preserve">A. </w:t>
      </w:r>
      <w:proofErr w:type="spellStart"/>
      <w:r w:rsidR="001752E5" w:rsidRPr="006C5123">
        <w:rPr>
          <w:rFonts w:ascii="Times New Roman" w:hAnsi="Times New Roman"/>
          <w:color w:val="000000" w:themeColor="text1"/>
          <w:sz w:val="18"/>
          <w:szCs w:val="18"/>
        </w:rPr>
        <w:t>Ajdukiewicz</w:t>
      </w:r>
      <w:proofErr w:type="spellEnd"/>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On durability aspects of concrete members formed against   permeable formwork,</w:t>
      </w:r>
      <w:r w:rsidR="00501A3A" w:rsidRPr="006C5123">
        <w:rPr>
          <w:rFonts w:ascii="Times New Roman" w:hAnsi="Times New Roman"/>
          <w:color w:val="000000" w:themeColor="text1"/>
          <w:sz w:val="18"/>
          <w:szCs w:val="18"/>
        </w:rPr>
        <w:t xml:space="preserve"> Foundation of Civil </w:t>
      </w:r>
      <w:r w:rsidR="002C0001" w:rsidRPr="006C5123">
        <w:rPr>
          <w:rFonts w:ascii="Times New Roman" w:hAnsi="Times New Roman"/>
          <w:color w:val="000000" w:themeColor="text1"/>
          <w:sz w:val="18"/>
          <w:szCs w:val="18"/>
        </w:rPr>
        <w:t xml:space="preserve">  </w:t>
      </w:r>
      <w:r w:rsidR="00501A3A" w:rsidRPr="006C5123">
        <w:rPr>
          <w:rFonts w:ascii="Times New Roman" w:hAnsi="Times New Roman"/>
          <w:color w:val="000000" w:themeColor="text1"/>
          <w:sz w:val="18"/>
          <w:szCs w:val="18"/>
        </w:rPr>
        <w:t xml:space="preserve">and </w:t>
      </w:r>
      <w:r w:rsidR="001752E5" w:rsidRPr="006C5123">
        <w:rPr>
          <w:rFonts w:ascii="Times New Roman" w:hAnsi="Times New Roman"/>
          <w:color w:val="000000" w:themeColor="text1"/>
          <w:sz w:val="18"/>
          <w:szCs w:val="18"/>
        </w:rPr>
        <w:t>Environmental Engineering 7</w:t>
      </w:r>
      <w:r w:rsidR="00501A3A" w:rsidRPr="006C5123">
        <w:rPr>
          <w:rFonts w:ascii="Times New Roman" w:hAnsi="Times New Roman"/>
          <w:color w:val="000000" w:themeColor="text1"/>
          <w:sz w:val="18"/>
          <w:szCs w:val="18"/>
        </w:rPr>
        <w:t xml:space="preserve"> </w:t>
      </w:r>
      <w:r w:rsidR="001752E5"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2006</w:t>
      </w:r>
      <w:r w:rsidR="001752E5"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007-016.</w:t>
      </w:r>
    </w:p>
    <w:p w14:paraId="2561F260" w14:textId="77777777" w:rsidR="00501A3A" w:rsidRPr="006C5123" w:rsidRDefault="00286207" w:rsidP="001752E5">
      <w:pPr>
        <w:tabs>
          <w:tab w:val="left" w:pos="180"/>
          <w:tab w:val="left" w:pos="54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[2] </w:t>
      </w:r>
      <w:r w:rsidR="00583426" w:rsidRPr="006C5123">
        <w:rPr>
          <w:rFonts w:ascii="Times New Roman" w:hAnsi="Times New Roman"/>
          <w:color w:val="000000" w:themeColor="text1"/>
          <w:sz w:val="18"/>
          <w:szCs w:val="18"/>
        </w:rPr>
        <w:t xml:space="preserve">W.F. </w:t>
      </w:r>
      <w:r w:rsidR="00501A3A" w:rsidRPr="006C5123">
        <w:rPr>
          <w:rFonts w:ascii="Times New Roman" w:hAnsi="Times New Roman"/>
          <w:color w:val="000000" w:themeColor="text1"/>
          <w:sz w:val="18"/>
          <w:szCs w:val="18"/>
        </w:rPr>
        <w:t>Pri</w:t>
      </w:r>
      <w:r w:rsidR="00583426" w:rsidRPr="006C5123">
        <w:rPr>
          <w:rFonts w:ascii="Times New Roman" w:hAnsi="Times New Roman"/>
          <w:color w:val="000000" w:themeColor="text1"/>
          <w:sz w:val="18"/>
          <w:szCs w:val="18"/>
        </w:rPr>
        <w:t>ce</w:t>
      </w:r>
      <w:r w:rsidR="00501A3A" w:rsidRPr="006C5123">
        <w:rPr>
          <w:rFonts w:ascii="Times New Roman" w:hAnsi="Times New Roman"/>
          <w:color w:val="000000" w:themeColor="text1"/>
          <w:sz w:val="18"/>
          <w:szCs w:val="18"/>
        </w:rPr>
        <w:t xml:space="preserve">, </w:t>
      </w:r>
      <w:r w:rsidR="00583426" w:rsidRPr="006C5123">
        <w:rPr>
          <w:rFonts w:ascii="Times New Roman" w:hAnsi="Times New Roman"/>
          <w:color w:val="000000" w:themeColor="text1"/>
          <w:sz w:val="18"/>
          <w:szCs w:val="18"/>
        </w:rPr>
        <w:t>S.J. Widdows</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The effect of permeable formwork on the surface properties of concrete</w:t>
      </w:r>
      <w:r w:rsidR="00583426" w:rsidRPr="006C5123">
        <w:rPr>
          <w:rFonts w:ascii="Times New Roman" w:hAnsi="Times New Roman"/>
          <w:color w:val="000000" w:themeColor="text1"/>
          <w:sz w:val="18"/>
          <w:szCs w:val="18"/>
        </w:rPr>
        <w:t>, Magazine of Concrete Research</w:t>
      </w:r>
      <w:r w:rsidR="00501A3A" w:rsidRPr="006C5123">
        <w:rPr>
          <w:rFonts w:ascii="Times New Roman" w:hAnsi="Times New Roman"/>
          <w:color w:val="000000" w:themeColor="text1"/>
          <w:sz w:val="18"/>
          <w:szCs w:val="18"/>
        </w:rPr>
        <w:t xml:space="preserve"> 43 (1991</w:t>
      </w:r>
      <w:proofErr w:type="gramStart"/>
      <w:r w:rsidR="00501A3A" w:rsidRPr="006C5123">
        <w:rPr>
          <w:rFonts w:ascii="Times New Roman" w:hAnsi="Times New Roman"/>
          <w:color w:val="000000" w:themeColor="text1"/>
          <w:sz w:val="18"/>
          <w:szCs w:val="18"/>
        </w:rPr>
        <w:t>)  93</w:t>
      </w:r>
      <w:proofErr w:type="gramEnd"/>
      <w:r w:rsidR="00501A3A" w:rsidRPr="006C5123">
        <w:rPr>
          <w:rFonts w:ascii="Times New Roman" w:hAnsi="Times New Roman"/>
          <w:color w:val="000000" w:themeColor="text1"/>
          <w:sz w:val="18"/>
          <w:szCs w:val="18"/>
        </w:rPr>
        <w:t xml:space="preserve">-104. </w:t>
      </w:r>
    </w:p>
    <w:p w14:paraId="399C1542" w14:textId="77777777" w:rsidR="00501A3A" w:rsidRPr="006C5123" w:rsidRDefault="00286207" w:rsidP="00EA1E58">
      <w:pPr>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[3] </w:t>
      </w:r>
      <w:r w:rsidR="00EA1E58" w:rsidRPr="006C5123">
        <w:rPr>
          <w:rFonts w:ascii="Times New Roman" w:hAnsi="Times New Roman"/>
          <w:color w:val="000000" w:themeColor="text1"/>
          <w:sz w:val="18"/>
          <w:szCs w:val="18"/>
        </w:rPr>
        <w:t>J. Cairns</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Enhancements in surface quality of concrete through use of controlled permeability formwork liners</w:t>
      </w:r>
      <w:r w:rsidR="00501A3A" w:rsidRPr="006C5123">
        <w:rPr>
          <w:rFonts w:ascii="Times New Roman" w:hAnsi="Times New Roman"/>
          <w:color w:val="000000" w:themeColor="text1"/>
          <w:sz w:val="18"/>
          <w:szCs w:val="18"/>
        </w:rPr>
        <w:t>, Mag</w:t>
      </w:r>
      <w:r w:rsidR="00583426" w:rsidRPr="006C5123">
        <w:rPr>
          <w:rFonts w:ascii="Times New Roman" w:hAnsi="Times New Roman"/>
          <w:color w:val="000000" w:themeColor="text1"/>
          <w:sz w:val="18"/>
          <w:szCs w:val="18"/>
        </w:rPr>
        <w:t>azine of Concrete Research 51</w:t>
      </w:r>
      <w:r w:rsidR="00501A3A" w:rsidRPr="006C5123">
        <w:rPr>
          <w:rFonts w:ascii="Times New Roman" w:hAnsi="Times New Roman"/>
          <w:color w:val="000000" w:themeColor="text1"/>
          <w:sz w:val="18"/>
          <w:szCs w:val="18"/>
        </w:rPr>
        <w:t xml:space="preserve"> </w:t>
      </w:r>
      <w:r w:rsidR="0058342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w:t>
      </w:r>
      <w:r w:rsidR="0058342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w:t>
      </w:r>
      <w:r w:rsidR="0058342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1999</w:t>
      </w:r>
      <w:r w:rsidR="0058342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73-86. </w:t>
      </w:r>
    </w:p>
    <w:p w14:paraId="33E84A49"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[4] </w:t>
      </w:r>
      <w:r w:rsidR="00BA0CC7" w:rsidRPr="006C5123">
        <w:rPr>
          <w:rFonts w:ascii="Times New Roman" w:hAnsi="Times New Roman"/>
          <w:color w:val="000000" w:themeColor="text1"/>
          <w:sz w:val="18"/>
          <w:szCs w:val="18"/>
        </w:rPr>
        <w:t>J.S. Coutinho</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Effect of controlled permeability formwork (CPF) on white concrete</w:t>
      </w:r>
      <w:r w:rsidR="00BA0CC7" w:rsidRPr="006C5123">
        <w:rPr>
          <w:rFonts w:ascii="Times New Roman" w:hAnsi="Times New Roman"/>
          <w:color w:val="000000" w:themeColor="text1"/>
          <w:sz w:val="18"/>
          <w:szCs w:val="18"/>
        </w:rPr>
        <w:t>, ACI Materials Journal 98</w:t>
      </w:r>
      <w:r w:rsidR="00501A3A" w:rsidRPr="006C5123">
        <w:rPr>
          <w:rFonts w:ascii="Times New Roman" w:hAnsi="Times New Roman"/>
          <w:color w:val="000000" w:themeColor="text1"/>
          <w:sz w:val="18"/>
          <w:szCs w:val="18"/>
        </w:rPr>
        <w:t xml:space="preserve"> </w:t>
      </w:r>
      <w:r w:rsidR="00BA0CC7"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w:t>
      </w:r>
      <w:r w:rsidR="00BA0CC7" w:rsidRPr="006C5123">
        <w:rPr>
          <w:rFonts w:ascii="Times New Roman" w:hAnsi="Times New Roman"/>
          <w:color w:val="000000" w:themeColor="text1"/>
          <w:sz w:val="18"/>
          <w:szCs w:val="18"/>
        </w:rPr>
        <w:t>) 2001</w:t>
      </w:r>
      <w:r w:rsidR="00501A3A" w:rsidRPr="006C5123">
        <w:rPr>
          <w:rFonts w:ascii="Times New Roman" w:hAnsi="Times New Roman"/>
          <w:color w:val="000000" w:themeColor="text1"/>
          <w:sz w:val="18"/>
          <w:szCs w:val="18"/>
        </w:rPr>
        <w:t xml:space="preserve"> 148-169.</w:t>
      </w:r>
    </w:p>
    <w:p w14:paraId="7176AD08" w14:textId="77777777" w:rsidR="00501A3A" w:rsidRPr="006C5123" w:rsidRDefault="00286207" w:rsidP="001752E5">
      <w:pPr>
        <w:tabs>
          <w:tab w:val="left" w:pos="180"/>
          <w:tab w:val="left" w:pos="54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[5] </w:t>
      </w:r>
      <w:r w:rsidR="00BA0CC7" w:rsidRPr="006C5123">
        <w:rPr>
          <w:rFonts w:ascii="Times New Roman" w:hAnsi="Times New Roman"/>
          <w:color w:val="000000" w:themeColor="text1"/>
          <w:sz w:val="18"/>
          <w:szCs w:val="18"/>
        </w:rPr>
        <w:t>W.F. Price,</w:t>
      </w:r>
      <w:r w:rsidR="00501A3A" w:rsidRPr="006C5123">
        <w:rPr>
          <w:rFonts w:ascii="Times New Roman" w:hAnsi="Times New Roman"/>
          <w:color w:val="000000" w:themeColor="text1"/>
          <w:sz w:val="18"/>
          <w:szCs w:val="18"/>
        </w:rPr>
        <w:t xml:space="preserve"> Controlled permeability formwork, CIRIA Report, C 511, 2000.</w:t>
      </w:r>
    </w:p>
    <w:p w14:paraId="70D8F5ED" w14:textId="77777777" w:rsidR="00501A3A" w:rsidRPr="006C5123" w:rsidRDefault="00286207" w:rsidP="001752E5">
      <w:pPr>
        <w:tabs>
          <w:tab w:val="left" w:pos="180"/>
          <w:tab w:val="left" w:pos="54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[6] </w:t>
      </w:r>
      <w:r w:rsidR="00BA0CC7" w:rsidRPr="006C5123">
        <w:rPr>
          <w:rFonts w:ascii="Times New Roman" w:hAnsi="Times New Roman"/>
          <w:color w:val="000000" w:themeColor="text1"/>
          <w:sz w:val="18"/>
          <w:szCs w:val="18"/>
        </w:rPr>
        <w:t>J.S. Coutinho,</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The combined benefits of CPF and RHA in improving the durability of concrete structure</w:t>
      </w:r>
      <w:r w:rsidR="00BA0CC7" w:rsidRPr="006C5123">
        <w:rPr>
          <w:rFonts w:ascii="Times New Roman" w:hAnsi="Times New Roman"/>
          <w:color w:val="000000" w:themeColor="text1"/>
          <w:sz w:val="18"/>
          <w:szCs w:val="18"/>
        </w:rPr>
        <w:t>, Cement&amp; Concrete Composites</w:t>
      </w:r>
      <w:r w:rsidR="00501A3A" w:rsidRPr="006C5123">
        <w:rPr>
          <w:rFonts w:ascii="Times New Roman" w:hAnsi="Times New Roman"/>
          <w:color w:val="000000" w:themeColor="text1"/>
          <w:sz w:val="18"/>
          <w:szCs w:val="18"/>
        </w:rPr>
        <w:t xml:space="preserve"> 25 (2003) 51-59.</w:t>
      </w:r>
    </w:p>
    <w:p w14:paraId="4E5F8633"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[7] </w:t>
      </w:r>
      <w:r w:rsidR="00902D53" w:rsidRPr="006C5123">
        <w:rPr>
          <w:rFonts w:ascii="Times New Roman" w:hAnsi="Times New Roman"/>
          <w:color w:val="000000" w:themeColor="text1"/>
          <w:sz w:val="18"/>
          <w:szCs w:val="18"/>
        </w:rPr>
        <w:t>E. Nolan</w:t>
      </w:r>
      <w:r w:rsidR="00501A3A" w:rsidRPr="006C5123">
        <w:rPr>
          <w:rFonts w:ascii="Times New Roman" w:hAnsi="Times New Roman"/>
          <w:color w:val="000000" w:themeColor="text1"/>
          <w:sz w:val="18"/>
          <w:szCs w:val="18"/>
        </w:rPr>
        <w:t xml:space="preserve">, </w:t>
      </w:r>
      <w:r w:rsidR="00902D53" w:rsidRPr="006C5123">
        <w:rPr>
          <w:rFonts w:ascii="Times New Roman" w:hAnsi="Times New Roman"/>
          <w:color w:val="000000" w:themeColor="text1"/>
          <w:sz w:val="18"/>
          <w:szCs w:val="18"/>
        </w:rPr>
        <w:t>P.A.M. Basheer</w:t>
      </w:r>
      <w:r w:rsidR="00501A3A" w:rsidRPr="006C5123">
        <w:rPr>
          <w:rFonts w:ascii="Times New Roman" w:hAnsi="Times New Roman"/>
          <w:color w:val="000000" w:themeColor="text1"/>
          <w:sz w:val="18"/>
          <w:szCs w:val="18"/>
        </w:rPr>
        <w:t xml:space="preserve"> and </w:t>
      </w:r>
      <w:r w:rsidR="00902D53" w:rsidRPr="006C5123">
        <w:rPr>
          <w:rFonts w:ascii="Times New Roman" w:hAnsi="Times New Roman"/>
          <w:color w:val="000000" w:themeColor="text1"/>
          <w:sz w:val="18"/>
          <w:szCs w:val="18"/>
        </w:rPr>
        <w:t xml:space="preserve">A.E. Long, </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Effects of three durability enhancing products on some physical properties of near surface concrete</w:t>
      </w:r>
      <w:r w:rsidR="00501A3A" w:rsidRPr="006C5123">
        <w:rPr>
          <w:rFonts w:ascii="Times New Roman" w:hAnsi="Times New Roman"/>
          <w:color w:val="000000" w:themeColor="text1"/>
          <w:sz w:val="18"/>
          <w:szCs w:val="18"/>
        </w:rPr>
        <w:t>, Construction and Building Materials, 9 (1995) 267-272.</w:t>
      </w:r>
    </w:p>
    <w:p w14:paraId="41AC2B2B"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[8] </w:t>
      </w:r>
      <w:r w:rsidR="00902D53" w:rsidRPr="006C5123">
        <w:rPr>
          <w:rFonts w:ascii="Times New Roman" w:hAnsi="Times New Roman"/>
          <w:color w:val="000000" w:themeColor="text1"/>
          <w:sz w:val="18"/>
          <w:szCs w:val="18"/>
        </w:rPr>
        <w:t>F. Helena</w:t>
      </w:r>
      <w:r w:rsidR="00501A3A" w:rsidRPr="006C5123">
        <w:rPr>
          <w:rFonts w:ascii="Times New Roman" w:hAnsi="Times New Roman"/>
          <w:color w:val="000000" w:themeColor="text1"/>
          <w:sz w:val="18"/>
          <w:szCs w:val="18"/>
        </w:rPr>
        <w:t xml:space="preserve">, </w:t>
      </w:r>
      <w:r w:rsidR="00902D53" w:rsidRPr="006C5123">
        <w:rPr>
          <w:rFonts w:ascii="Times New Roman" w:hAnsi="Times New Roman"/>
          <w:color w:val="000000" w:themeColor="text1"/>
          <w:sz w:val="18"/>
          <w:szCs w:val="18"/>
        </w:rPr>
        <w:t>N. Sandra</w:t>
      </w:r>
      <w:r w:rsidR="00501A3A" w:rsidRPr="006C5123">
        <w:rPr>
          <w:rFonts w:ascii="Times New Roman" w:hAnsi="Times New Roman"/>
          <w:color w:val="000000" w:themeColor="text1"/>
          <w:sz w:val="18"/>
          <w:szCs w:val="18"/>
        </w:rPr>
        <w:t xml:space="preserve">, </w:t>
      </w:r>
      <w:r w:rsidR="00902D53" w:rsidRPr="006C5123">
        <w:rPr>
          <w:rFonts w:ascii="Times New Roman" w:hAnsi="Times New Roman"/>
          <w:color w:val="000000" w:themeColor="text1"/>
          <w:sz w:val="18"/>
          <w:szCs w:val="18"/>
        </w:rPr>
        <w:t>S. Joana</w:t>
      </w:r>
      <w:r w:rsidR="00501A3A" w:rsidRPr="006C5123">
        <w:rPr>
          <w:rFonts w:ascii="Times New Roman" w:hAnsi="Times New Roman"/>
          <w:color w:val="000000" w:themeColor="text1"/>
          <w:sz w:val="18"/>
          <w:szCs w:val="18"/>
        </w:rPr>
        <w:t xml:space="preserve"> and </w:t>
      </w:r>
      <w:r w:rsidR="00902D53" w:rsidRPr="006C5123">
        <w:rPr>
          <w:rFonts w:ascii="Times New Roman" w:hAnsi="Times New Roman"/>
          <w:color w:val="000000" w:themeColor="text1"/>
          <w:sz w:val="18"/>
          <w:szCs w:val="18"/>
        </w:rPr>
        <w:t>F. Joaquim,</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 xml:space="preserve">Combined effect of two sustainable technologies: </w:t>
      </w:r>
      <w:proofErr w:type="spellStart"/>
      <w:r w:rsidR="00501A3A" w:rsidRPr="006C5123">
        <w:rPr>
          <w:rFonts w:ascii="Times New Roman" w:hAnsi="Times New Roman"/>
          <w:i/>
          <w:color w:val="000000" w:themeColor="text1"/>
          <w:sz w:val="18"/>
          <w:szCs w:val="18"/>
        </w:rPr>
        <w:t>self compacting</w:t>
      </w:r>
      <w:proofErr w:type="spellEnd"/>
      <w:r w:rsidR="00501A3A" w:rsidRPr="006C5123">
        <w:rPr>
          <w:rFonts w:ascii="Times New Roman" w:hAnsi="Times New Roman"/>
          <w:i/>
          <w:color w:val="000000" w:themeColor="text1"/>
          <w:sz w:val="18"/>
          <w:szCs w:val="18"/>
        </w:rPr>
        <w:t xml:space="preserve"> concrete and controlled permeability formwork</w:t>
      </w:r>
      <w:r w:rsidR="00501A3A" w:rsidRPr="006C5123">
        <w:rPr>
          <w:rFonts w:ascii="Times New Roman" w:hAnsi="Times New Roman"/>
          <w:color w:val="000000" w:themeColor="text1"/>
          <w:sz w:val="18"/>
          <w:szCs w:val="18"/>
        </w:rPr>
        <w:t>, Constructi</w:t>
      </w:r>
      <w:r w:rsidR="00902D53" w:rsidRPr="006C5123">
        <w:rPr>
          <w:rFonts w:ascii="Times New Roman" w:hAnsi="Times New Roman"/>
          <w:color w:val="000000" w:themeColor="text1"/>
          <w:sz w:val="18"/>
          <w:szCs w:val="18"/>
        </w:rPr>
        <w:t>on and Building Materials 23</w:t>
      </w:r>
      <w:r w:rsidR="00501A3A" w:rsidRPr="006C5123">
        <w:rPr>
          <w:rFonts w:ascii="Times New Roman" w:hAnsi="Times New Roman"/>
          <w:color w:val="000000" w:themeColor="text1"/>
          <w:sz w:val="18"/>
          <w:szCs w:val="18"/>
        </w:rPr>
        <w:t xml:space="preserve"> </w:t>
      </w:r>
      <w:r w:rsidR="00902D53"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2009</w:t>
      </w:r>
      <w:r w:rsidR="00902D53"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2518-2526.</w:t>
      </w:r>
    </w:p>
    <w:p w14:paraId="0500E5E5"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[9] </w:t>
      </w:r>
      <w:r w:rsidR="00C70760" w:rsidRPr="006C5123">
        <w:rPr>
          <w:rFonts w:ascii="Times New Roman" w:hAnsi="Times New Roman"/>
          <w:color w:val="000000" w:themeColor="text1"/>
          <w:sz w:val="18"/>
          <w:szCs w:val="18"/>
        </w:rPr>
        <w:t>A.A. Adam</w:t>
      </w:r>
      <w:r w:rsidR="00501A3A" w:rsidRPr="006C5123">
        <w:rPr>
          <w:rFonts w:ascii="Times New Roman" w:hAnsi="Times New Roman"/>
          <w:color w:val="000000" w:themeColor="text1"/>
          <w:sz w:val="18"/>
          <w:szCs w:val="18"/>
        </w:rPr>
        <w:t xml:space="preserve">, </w:t>
      </w:r>
      <w:r w:rsidR="00C70760" w:rsidRPr="006C5123">
        <w:rPr>
          <w:rFonts w:ascii="Times New Roman" w:hAnsi="Times New Roman"/>
          <w:color w:val="000000" w:themeColor="text1"/>
          <w:sz w:val="18"/>
          <w:szCs w:val="18"/>
        </w:rPr>
        <w:t>D.W. Law</w:t>
      </w:r>
      <w:r w:rsidR="00501A3A" w:rsidRPr="006C5123">
        <w:rPr>
          <w:rFonts w:ascii="Times New Roman" w:hAnsi="Times New Roman"/>
          <w:color w:val="000000" w:themeColor="text1"/>
          <w:sz w:val="18"/>
          <w:szCs w:val="18"/>
        </w:rPr>
        <w:t xml:space="preserve">, </w:t>
      </w:r>
      <w:r w:rsidR="00C70760" w:rsidRPr="006C5123">
        <w:rPr>
          <w:rFonts w:ascii="Times New Roman" w:hAnsi="Times New Roman"/>
          <w:color w:val="000000" w:themeColor="text1"/>
          <w:sz w:val="18"/>
          <w:szCs w:val="18"/>
        </w:rPr>
        <w:t>T. Molyneaux,</w:t>
      </w:r>
      <w:r w:rsidR="00501A3A" w:rsidRPr="006C5123">
        <w:rPr>
          <w:rFonts w:ascii="Times New Roman" w:hAnsi="Times New Roman"/>
          <w:color w:val="000000" w:themeColor="text1"/>
          <w:sz w:val="18"/>
          <w:szCs w:val="18"/>
        </w:rPr>
        <w:t xml:space="preserve"> </w:t>
      </w:r>
      <w:r w:rsidR="00C70760" w:rsidRPr="006C5123">
        <w:rPr>
          <w:rFonts w:ascii="Times New Roman" w:hAnsi="Times New Roman"/>
          <w:color w:val="000000" w:themeColor="text1"/>
          <w:sz w:val="18"/>
          <w:szCs w:val="18"/>
        </w:rPr>
        <w:t xml:space="preserve">I. </w:t>
      </w:r>
      <w:proofErr w:type="spellStart"/>
      <w:r w:rsidR="00C70760" w:rsidRPr="006C5123">
        <w:rPr>
          <w:rFonts w:ascii="Times New Roman" w:hAnsi="Times New Roman"/>
          <w:color w:val="000000" w:themeColor="text1"/>
          <w:sz w:val="18"/>
          <w:szCs w:val="18"/>
        </w:rPr>
        <w:t>Patnaikuni</w:t>
      </w:r>
      <w:proofErr w:type="spellEnd"/>
      <w:r w:rsidR="00501A3A" w:rsidRPr="006C5123">
        <w:rPr>
          <w:rFonts w:ascii="Times New Roman" w:hAnsi="Times New Roman"/>
          <w:color w:val="000000" w:themeColor="text1"/>
          <w:sz w:val="18"/>
          <w:szCs w:val="18"/>
        </w:rPr>
        <w:t xml:space="preserve"> and </w:t>
      </w:r>
      <w:r w:rsidR="00C70760" w:rsidRPr="006C5123">
        <w:rPr>
          <w:rFonts w:ascii="Times New Roman" w:hAnsi="Times New Roman"/>
          <w:color w:val="000000" w:themeColor="text1"/>
          <w:sz w:val="18"/>
          <w:szCs w:val="18"/>
        </w:rPr>
        <w:t>T. Aly,</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The effect of using controlled permeability formwork on the durability of concrete containing OPC and PFA,</w:t>
      </w:r>
      <w:r w:rsidR="00501A3A" w:rsidRPr="006C5123">
        <w:rPr>
          <w:rFonts w:ascii="Times New Roman" w:hAnsi="Times New Roman"/>
          <w:color w:val="000000" w:themeColor="text1"/>
          <w:sz w:val="18"/>
          <w:szCs w:val="18"/>
        </w:rPr>
        <w:t xml:space="preserve"> Australian Jo</w:t>
      </w:r>
      <w:r w:rsidR="00C70760" w:rsidRPr="006C5123">
        <w:rPr>
          <w:rFonts w:ascii="Times New Roman" w:hAnsi="Times New Roman"/>
          <w:color w:val="000000" w:themeColor="text1"/>
          <w:sz w:val="18"/>
          <w:szCs w:val="18"/>
        </w:rPr>
        <w:t>urnal of Civil Engineering 6 (</w:t>
      </w:r>
      <w:r w:rsidR="00501A3A" w:rsidRPr="006C5123">
        <w:rPr>
          <w:rFonts w:ascii="Times New Roman" w:hAnsi="Times New Roman"/>
          <w:color w:val="000000" w:themeColor="text1"/>
          <w:sz w:val="18"/>
          <w:szCs w:val="18"/>
        </w:rPr>
        <w:t>1</w:t>
      </w:r>
      <w:r w:rsidR="00C70760" w:rsidRPr="006C5123">
        <w:rPr>
          <w:rFonts w:ascii="Times New Roman" w:hAnsi="Times New Roman"/>
          <w:color w:val="000000" w:themeColor="text1"/>
          <w:sz w:val="18"/>
          <w:szCs w:val="18"/>
        </w:rPr>
        <w:t>) 2010</w:t>
      </w:r>
      <w:r w:rsidR="00501A3A" w:rsidRPr="006C5123">
        <w:rPr>
          <w:rFonts w:ascii="Times New Roman" w:hAnsi="Times New Roman"/>
          <w:color w:val="000000" w:themeColor="text1"/>
          <w:sz w:val="18"/>
          <w:szCs w:val="18"/>
        </w:rPr>
        <w:t xml:space="preserve"> 1-12.</w:t>
      </w:r>
    </w:p>
    <w:p w14:paraId="0E802A6E"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[10] </w:t>
      </w:r>
      <w:r w:rsidR="00501A3A" w:rsidRPr="006C5123">
        <w:rPr>
          <w:rFonts w:ascii="Times New Roman" w:hAnsi="Times New Roman"/>
          <w:color w:val="000000" w:themeColor="text1"/>
          <w:sz w:val="18"/>
          <w:szCs w:val="18"/>
        </w:rPr>
        <w:t xml:space="preserve">McKenna, P., </w:t>
      </w:r>
      <w:r w:rsidR="00501A3A" w:rsidRPr="006C5123">
        <w:rPr>
          <w:rFonts w:ascii="Times New Roman" w:hAnsi="Times New Roman"/>
          <w:i/>
          <w:color w:val="000000" w:themeColor="text1"/>
          <w:sz w:val="18"/>
          <w:szCs w:val="18"/>
        </w:rPr>
        <w:t>The effect of controlled permeability formwork on carbonation-induced corrosion</w:t>
      </w:r>
      <w:r w:rsidR="00501A3A" w:rsidRPr="006C5123">
        <w:rPr>
          <w:rFonts w:ascii="Times New Roman" w:hAnsi="Times New Roman"/>
          <w:color w:val="000000" w:themeColor="text1"/>
          <w:sz w:val="18"/>
          <w:szCs w:val="18"/>
        </w:rPr>
        <w:t>, 3rd FIB International Congress, Scotland, 2010.</w:t>
      </w:r>
    </w:p>
    <w:p w14:paraId="65E88631"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[11] </w:t>
      </w:r>
      <w:r w:rsidR="00FC510B" w:rsidRPr="006C5123">
        <w:rPr>
          <w:rFonts w:ascii="Times New Roman" w:hAnsi="Times New Roman"/>
          <w:color w:val="000000" w:themeColor="text1"/>
          <w:sz w:val="18"/>
          <w:szCs w:val="18"/>
        </w:rPr>
        <w:t>L. Basheer,</w:t>
      </w:r>
      <w:r w:rsidR="00501A3A" w:rsidRPr="006C5123">
        <w:rPr>
          <w:rFonts w:ascii="Times New Roman" w:hAnsi="Times New Roman"/>
          <w:color w:val="000000" w:themeColor="text1"/>
          <w:sz w:val="18"/>
          <w:szCs w:val="18"/>
        </w:rPr>
        <w:t xml:space="preserve"> </w:t>
      </w:r>
      <w:r w:rsidR="00FC510B" w:rsidRPr="006C5123">
        <w:rPr>
          <w:rFonts w:ascii="Times New Roman" w:hAnsi="Times New Roman"/>
          <w:color w:val="000000" w:themeColor="text1"/>
          <w:sz w:val="18"/>
          <w:szCs w:val="18"/>
        </w:rPr>
        <w:t xml:space="preserve">S.V. </w:t>
      </w:r>
      <w:proofErr w:type="spellStart"/>
      <w:r w:rsidR="00501A3A" w:rsidRPr="006C5123">
        <w:rPr>
          <w:rFonts w:ascii="Times New Roman" w:hAnsi="Times New Roman"/>
          <w:color w:val="000000" w:themeColor="text1"/>
          <w:sz w:val="18"/>
          <w:szCs w:val="18"/>
        </w:rPr>
        <w:t>Nanuk</w:t>
      </w:r>
      <w:r w:rsidR="00FC510B" w:rsidRPr="006C5123">
        <w:rPr>
          <w:rFonts w:ascii="Times New Roman" w:hAnsi="Times New Roman"/>
          <w:color w:val="000000" w:themeColor="text1"/>
          <w:sz w:val="18"/>
          <w:szCs w:val="18"/>
        </w:rPr>
        <w:t>uttan</w:t>
      </w:r>
      <w:proofErr w:type="spellEnd"/>
      <w:r w:rsidR="00501A3A" w:rsidRPr="006C5123">
        <w:rPr>
          <w:rFonts w:ascii="Times New Roman" w:hAnsi="Times New Roman"/>
          <w:color w:val="000000" w:themeColor="text1"/>
          <w:sz w:val="18"/>
          <w:szCs w:val="18"/>
        </w:rPr>
        <w:t xml:space="preserve"> and </w:t>
      </w:r>
      <w:r w:rsidR="00FC510B" w:rsidRPr="006C5123">
        <w:rPr>
          <w:rFonts w:ascii="Times New Roman" w:hAnsi="Times New Roman"/>
          <w:color w:val="000000" w:themeColor="text1"/>
          <w:sz w:val="18"/>
          <w:szCs w:val="18"/>
        </w:rPr>
        <w:t>P.A.M. Basheer</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The influence of reusing ‘</w:t>
      </w:r>
      <w:proofErr w:type="spellStart"/>
      <w:r w:rsidR="00501A3A" w:rsidRPr="006C5123">
        <w:rPr>
          <w:rFonts w:ascii="Times New Roman" w:hAnsi="Times New Roman"/>
          <w:i/>
          <w:color w:val="000000" w:themeColor="text1"/>
          <w:sz w:val="18"/>
          <w:szCs w:val="18"/>
        </w:rPr>
        <w:t>Formtex</w:t>
      </w:r>
      <w:proofErr w:type="spellEnd"/>
      <w:r w:rsidR="00501A3A" w:rsidRPr="006C5123">
        <w:rPr>
          <w:rFonts w:ascii="Times New Roman" w:hAnsi="Times New Roman"/>
          <w:i/>
          <w:color w:val="000000" w:themeColor="text1"/>
          <w:sz w:val="18"/>
          <w:szCs w:val="18"/>
        </w:rPr>
        <w:t xml:space="preserve">’ controlled permeability formwork on strength and durability of concrete, </w:t>
      </w:r>
      <w:r w:rsidR="00FC510B" w:rsidRPr="006C5123">
        <w:rPr>
          <w:rFonts w:ascii="Times New Roman" w:hAnsi="Times New Roman"/>
          <w:color w:val="000000" w:themeColor="text1"/>
          <w:sz w:val="18"/>
          <w:szCs w:val="18"/>
        </w:rPr>
        <w:t>Materials and Structures 41</w:t>
      </w:r>
      <w:r w:rsidR="00501A3A" w:rsidRPr="006C5123">
        <w:rPr>
          <w:rFonts w:ascii="Times New Roman" w:hAnsi="Times New Roman"/>
          <w:color w:val="000000" w:themeColor="text1"/>
          <w:sz w:val="18"/>
          <w:szCs w:val="18"/>
        </w:rPr>
        <w:t xml:space="preserve"> </w:t>
      </w:r>
      <w:r w:rsidR="00FC510B"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2008</w:t>
      </w:r>
      <w:r w:rsidR="00FC510B"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1363-1375.</w:t>
      </w:r>
    </w:p>
    <w:p w14:paraId="2470E38A"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[12] </w:t>
      </w:r>
      <w:r w:rsidR="00152C21" w:rsidRPr="006C5123">
        <w:rPr>
          <w:rFonts w:ascii="Times New Roman" w:hAnsi="Times New Roman"/>
          <w:color w:val="000000" w:themeColor="text1"/>
          <w:sz w:val="18"/>
          <w:szCs w:val="18"/>
        </w:rPr>
        <w:t>P.J. Schubel,</w:t>
      </w:r>
      <w:r w:rsidR="00501A3A" w:rsidRPr="006C5123">
        <w:rPr>
          <w:rFonts w:ascii="Times New Roman" w:hAnsi="Times New Roman"/>
          <w:color w:val="000000" w:themeColor="text1"/>
          <w:sz w:val="18"/>
          <w:szCs w:val="18"/>
        </w:rPr>
        <w:t xml:space="preserve"> </w:t>
      </w:r>
      <w:r w:rsidR="00152C21" w:rsidRPr="006C5123">
        <w:rPr>
          <w:rFonts w:ascii="Times New Roman" w:hAnsi="Times New Roman"/>
          <w:color w:val="000000" w:themeColor="text1"/>
          <w:sz w:val="18"/>
          <w:szCs w:val="18"/>
        </w:rPr>
        <w:t>N.A. Warrior,</w:t>
      </w:r>
      <w:r w:rsidR="00501A3A" w:rsidRPr="006C5123">
        <w:rPr>
          <w:rFonts w:ascii="Times New Roman" w:hAnsi="Times New Roman"/>
          <w:color w:val="000000" w:themeColor="text1"/>
          <w:sz w:val="18"/>
          <w:szCs w:val="18"/>
        </w:rPr>
        <w:t xml:space="preserve"> </w:t>
      </w:r>
      <w:r w:rsidR="00152C21" w:rsidRPr="006C5123">
        <w:rPr>
          <w:rFonts w:ascii="Times New Roman" w:hAnsi="Times New Roman"/>
          <w:color w:val="000000" w:themeColor="text1"/>
          <w:sz w:val="18"/>
          <w:szCs w:val="18"/>
        </w:rPr>
        <w:t>K.S. Elliott</w:t>
      </w:r>
      <w:r w:rsidR="00501A3A" w:rsidRPr="006C5123">
        <w:rPr>
          <w:rFonts w:ascii="Times New Roman" w:hAnsi="Times New Roman"/>
          <w:color w:val="000000" w:themeColor="text1"/>
          <w:sz w:val="18"/>
          <w:szCs w:val="18"/>
        </w:rPr>
        <w:t xml:space="preserve"> and </w:t>
      </w:r>
      <w:r w:rsidR="00152C21" w:rsidRPr="006C5123">
        <w:rPr>
          <w:rFonts w:ascii="Times New Roman" w:hAnsi="Times New Roman"/>
          <w:color w:val="000000" w:themeColor="text1"/>
          <w:sz w:val="18"/>
          <w:szCs w:val="18"/>
        </w:rPr>
        <w:t>M. Jones,</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An Investigation into the critical factors affecting the performance of composite controlled permeability formwork liners</w:t>
      </w:r>
      <w:r w:rsidR="00501A3A" w:rsidRPr="006C5123">
        <w:rPr>
          <w:rFonts w:ascii="Times New Roman" w:hAnsi="Times New Roman"/>
          <w:color w:val="000000" w:themeColor="text1"/>
          <w:sz w:val="18"/>
          <w:szCs w:val="18"/>
        </w:rPr>
        <w:t>, Construct</w:t>
      </w:r>
      <w:r w:rsidR="00152C21" w:rsidRPr="006C5123">
        <w:rPr>
          <w:rFonts w:ascii="Times New Roman" w:hAnsi="Times New Roman"/>
          <w:color w:val="000000" w:themeColor="text1"/>
          <w:sz w:val="18"/>
          <w:szCs w:val="18"/>
        </w:rPr>
        <w:t xml:space="preserve">ion and Building Materials </w:t>
      </w:r>
      <w:proofErr w:type="gramStart"/>
      <w:r w:rsidR="00152C21" w:rsidRPr="006C5123">
        <w:rPr>
          <w:rFonts w:ascii="Times New Roman" w:hAnsi="Times New Roman"/>
          <w:color w:val="000000" w:themeColor="text1"/>
          <w:sz w:val="18"/>
          <w:szCs w:val="18"/>
        </w:rPr>
        <w:t xml:space="preserve">22 </w:t>
      </w:r>
      <w:r w:rsidR="00501A3A" w:rsidRPr="006C5123">
        <w:rPr>
          <w:rFonts w:ascii="Times New Roman" w:hAnsi="Times New Roman"/>
          <w:color w:val="000000" w:themeColor="text1"/>
          <w:sz w:val="18"/>
          <w:szCs w:val="18"/>
        </w:rPr>
        <w:t xml:space="preserve"> </w:t>
      </w:r>
      <w:r w:rsidR="00152C21" w:rsidRPr="006C5123">
        <w:rPr>
          <w:rFonts w:ascii="Times New Roman" w:hAnsi="Times New Roman"/>
          <w:color w:val="000000" w:themeColor="text1"/>
          <w:sz w:val="18"/>
          <w:szCs w:val="18"/>
        </w:rPr>
        <w:t>(</w:t>
      </w:r>
      <w:proofErr w:type="gramEnd"/>
      <w:r w:rsidR="00501A3A" w:rsidRPr="006C5123">
        <w:rPr>
          <w:rFonts w:ascii="Times New Roman" w:hAnsi="Times New Roman"/>
          <w:color w:val="000000" w:themeColor="text1"/>
          <w:sz w:val="18"/>
          <w:szCs w:val="18"/>
        </w:rPr>
        <w:t>2008</w:t>
      </w:r>
      <w:r w:rsidR="00152C21"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1551-1559.</w:t>
      </w:r>
    </w:p>
    <w:p w14:paraId="19D5E187"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[13] </w:t>
      </w:r>
      <w:r w:rsidR="001A6256" w:rsidRPr="006C5123">
        <w:rPr>
          <w:rFonts w:ascii="Times New Roman" w:hAnsi="Times New Roman"/>
          <w:color w:val="000000" w:themeColor="text1"/>
          <w:sz w:val="18"/>
          <w:szCs w:val="18"/>
        </w:rPr>
        <w:t>M.J. McCarthy,</w:t>
      </w:r>
      <w:r w:rsidR="00501A3A" w:rsidRPr="006C5123">
        <w:rPr>
          <w:rFonts w:ascii="Times New Roman" w:hAnsi="Times New Roman"/>
          <w:color w:val="000000" w:themeColor="text1"/>
          <w:sz w:val="18"/>
          <w:szCs w:val="18"/>
        </w:rPr>
        <w:t xml:space="preserve"> </w:t>
      </w:r>
      <w:r w:rsidR="001A6256" w:rsidRPr="006C5123">
        <w:rPr>
          <w:rFonts w:ascii="Times New Roman" w:hAnsi="Times New Roman"/>
          <w:color w:val="000000" w:themeColor="text1"/>
          <w:sz w:val="18"/>
          <w:szCs w:val="18"/>
        </w:rPr>
        <w:t>A. Giannakou</w:t>
      </w:r>
      <w:r w:rsidR="00501A3A" w:rsidRPr="006C5123">
        <w:rPr>
          <w:rFonts w:ascii="Times New Roman" w:hAnsi="Times New Roman"/>
          <w:color w:val="000000" w:themeColor="text1"/>
          <w:sz w:val="18"/>
          <w:szCs w:val="18"/>
        </w:rPr>
        <w:t xml:space="preserve"> and </w:t>
      </w:r>
      <w:r w:rsidR="001A6256" w:rsidRPr="006C5123">
        <w:rPr>
          <w:rFonts w:ascii="Times New Roman" w:hAnsi="Times New Roman"/>
          <w:color w:val="000000" w:themeColor="text1"/>
          <w:sz w:val="18"/>
          <w:szCs w:val="18"/>
        </w:rPr>
        <w:t>M.R. Jones,</w:t>
      </w:r>
      <w:r w:rsidR="00501A3A" w:rsidRPr="006C5123">
        <w:rPr>
          <w:rFonts w:ascii="Times New Roman" w:hAnsi="Times New Roman"/>
          <w:color w:val="000000" w:themeColor="text1"/>
          <w:sz w:val="18"/>
          <w:szCs w:val="18"/>
        </w:rPr>
        <w:t xml:space="preserve"> </w:t>
      </w:r>
      <w:proofErr w:type="gramStart"/>
      <w:r w:rsidR="00501A3A" w:rsidRPr="006C5123">
        <w:rPr>
          <w:rFonts w:ascii="Times New Roman" w:hAnsi="Times New Roman"/>
          <w:i/>
          <w:color w:val="000000" w:themeColor="text1"/>
          <w:sz w:val="18"/>
          <w:szCs w:val="18"/>
        </w:rPr>
        <w:t>Specifying</w:t>
      </w:r>
      <w:proofErr w:type="gramEnd"/>
      <w:r w:rsidR="00501A3A" w:rsidRPr="006C5123">
        <w:rPr>
          <w:rFonts w:ascii="Times New Roman" w:hAnsi="Times New Roman"/>
          <w:i/>
          <w:color w:val="000000" w:themeColor="text1"/>
          <w:sz w:val="18"/>
          <w:szCs w:val="18"/>
        </w:rPr>
        <w:t xml:space="preserve"> concrete for chloride environments using controlled permeability formwork</w:t>
      </w:r>
      <w:r w:rsidR="001A6256" w:rsidRPr="006C5123">
        <w:rPr>
          <w:rFonts w:ascii="Times New Roman" w:hAnsi="Times New Roman"/>
          <w:color w:val="000000" w:themeColor="text1"/>
          <w:sz w:val="18"/>
          <w:szCs w:val="18"/>
        </w:rPr>
        <w:t>, Materials and Structures 34</w:t>
      </w:r>
      <w:r w:rsidR="00501A3A" w:rsidRPr="006C5123">
        <w:rPr>
          <w:rFonts w:ascii="Times New Roman" w:hAnsi="Times New Roman"/>
          <w:color w:val="000000" w:themeColor="text1"/>
          <w:sz w:val="18"/>
          <w:szCs w:val="18"/>
        </w:rPr>
        <w:t xml:space="preserve"> </w:t>
      </w:r>
      <w:r w:rsidR="001A625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2001</w:t>
      </w:r>
      <w:r w:rsidR="001A6256"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566-576.</w:t>
      </w:r>
    </w:p>
    <w:p w14:paraId="3D39BAF4"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[14] </w:t>
      </w:r>
      <w:r w:rsidR="00B85287" w:rsidRPr="006C5123">
        <w:rPr>
          <w:rFonts w:ascii="Times New Roman" w:hAnsi="Times New Roman"/>
          <w:color w:val="000000" w:themeColor="text1"/>
          <w:sz w:val="18"/>
          <w:szCs w:val="18"/>
        </w:rPr>
        <w:t>M.J. McCarthy,</w:t>
      </w:r>
      <w:r w:rsidR="00501A3A" w:rsidRPr="006C5123">
        <w:rPr>
          <w:rFonts w:ascii="Times New Roman" w:hAnsi="Times New Roman"/>
          <w:color w:val="000000" w:themeColor="text1"/>
          <w:sz w:val="18"/>
          <w:szCs w:val="18"/>
        </w:rPr>
        <w:t xml:space="preserve"> </w:t>
      </w:r>
      <w:r w:rsidR="00B85287" w:rsidRPr="006C5123">
        <w:rPr>
          <w:rFonts w:ascii="Times New Roman" w:hAnsi="Times New Roman"/>
          <w:color w:val="000000" w:themeColor="text1"/>
          <w:sz w:val="18"/>
          <w:szCs w:val="18"/>
        </w:rPr>
        <w:t xml:space="preserve">A. </w:t>
      </w:r>
      <w:proofErr w:type="gramStart"/>
      <w:r w:rsidR="00B85287" w:rsidRPr="006C5123">
        <w:rPr>
          <w:rFonts w:ascii="Times New Roman" w:hAnsi="Times New Roman"/>
          <w:color w:val="000000" w:themeColor="text1"/>
          <w:sz w:val="18"/>
          <w:szCs w:val="18"/>
        </w:rPr>
        <w:t xml:space="preserve">Giannakou, </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In</w:t>
      </w:r>
      <w:proofErr w:type="gramEnd"/>
      <w:r w:rsidR="00501A3A" w:rsidRPr="006C5123">
        <w:rPr>
          <w:rFonts w:ascii="Times New Roman" w:hAnsi="Times New Roman"/>
          <w:i/>
          <w:color w:val="000000" w:themeColor="text1"/>
          <w:sz w:val="18"/>
          <w:szCs w:val="18"/>
        </w:rPr>
        <w:t>-situ performance of CPF concrete in a coastal environment</w:t>
      </w:r>
      <w:r w:rsidR="00501A3A" w:rsidRPr="006C5123">
        <w:rPr>
          <w:rFonts w:ascii="Times New Roman" w:hAnsi="Times New Roman"/>
          <w:color w:val="000000" w:themeColor="text1"/>
          <w:sz w:val="18"/>
          <w:szCs w:val="18"/>
        </w:rPr>
        <w:t>, Cement and Concrete Resear</w:t>
      </w:r>
      <w:r w:rsidR="00B85287" w:rsidRPr="006C5123">
        <w:rPr>
          <w:rFonts w:ascii="Times New Roman" w:hAnsi="Times New Roman"/>
          <w:color w:val="000000" w:themeColor="text1"/>
          <w:sz w:val="18"/>
          <w:szCs w:val="18"/>
        </w:rPr>
        <w:t>ch 32</w:t>
      </w:r>
      <w:r w:rsidR="00501A3A" w:rsidRPr="006C5123">
        <w:rPr>
          <w:rFonts w:ascii="Times New Roman" w:hAnsi="Times New Roman"/>
          <w:color w:val="000000" w:themeColor="text1"/>
          <w:sz w:val="18"/>
          <w:szCs w:val="18"/>
        </w:rPr>
        <w:t xml:space="preserve"> </w:t>
      </w:r>
      <w:r w:rsidR="00B85287"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2002</w:t>
      </w:r>
      <w:r w:rsidR="00B85287"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451-457.</w:t>
      </w:r>
    </w:p>
    <w:p w14:paraId="6AC60458"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[15] </w:t>
      </w:r>
      <w:r w:rsidR="00FF4B85" w:rsidRPr="006C5123">
        <w:rPr>
          <w:rFonts w:ascii="Times New Roman" w:hAnsi="Times New Roman"/>
          <w:color w:val="000000" w:themeColor="text1"/>
          <w:sz w:val="18"/>
          <w:szCs w:val="18"/>
        </w:rPr>
        <w:t>A.K. Suryavanshi,</w:t>
      </w:r>
      <w:r w:rsidR="00501A3A" w:rsidRPr="006C5123">
        <w:rPr>
          <w:rFonts w:ascii="Times New Roman" w:hAnsi="Times New Roman"/>
          <w:color w:val="000000" w:themeColor="text1"/>
          <w:sz w:val="18"/>
          <w:szCs w:val="18"/>
        </w:rPr>
        <w:t xml:space="preserve"> </w:t>
      </w:r>
      <w:r w:rsidR="00FF4B85" w:rsidRPr="006C5123">
        <w:rPr>
          <w:rFonts w:ascii="Times New Roman" w:hAnsi="Times New Roman"/>
          <w:color w:val="000000" w:themeColor="text1"/>
          <w:sz w:val="18"/>
          <w:szCs w:val="18"/>
        </w:rPr>
        <w:t>R.N. Swamy,</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An evaluation of controlled permeability formwork for long- term durability of structural concrete elements</w:t>
      </w:r>
      <w:r w:rsidR="00501A3A" w:rsidRPr="006C5123">
        <w:rPr>
          <w:rFonts w:ascii="Times New Roman" w:hAnsi="Times New Roman"/>
          <w:color w:val="000000" w:themeColor="text1"/>
          <w:sz w:val="18"/>
          <w:szCs w:val="18"/>
        </w:rPr>
        <w:t>, Cem</w:t>
      </w:r>
      <w:r w:rsidR="00FF4B85" w:rsidRPr="006C5123">
        <w:rPr>
          <w:rFonts w:ascii="Times New Roman" w:hAnsi="Times New Roman"/>
          <w:color w:val="000000" w:themeColor="text1"/>
          <w:sz w:val="18"/>
          <w:szCs w:val="18"/>
        </w:rPr>
        <w:t>ent and Concrete Research 27</w:t>
      </w:r>
      <w:r w:rsidR="00501A3A" w:rsidRPr="006C5123">
        <w:rPr>
          <w:rFonts w:ascii="Times New Roman" w:hAnsi="Times New Roman"/>
          <w:color w:val="000000" w:themeColor="text1"/>
          <w:sz w:val="18"/>
          <w:szCs w:val="18"/>
        </w:rPr>
        <w:t xml:space="preserve"> </w:t>
      </w:r>
      <w:r w:rsidR="00FF4B85"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1997</w:t>
      </w:r>
      <w:r w:rsidR="00FF4B85"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1047-1060.</w:t>
      </w:r>
    </w:p>
    <w:p w14:paraId="49A19EC7"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lastRenderedPageBreak/>
        <w:t xml:space="preserve">[16] </w:t>
      </w:r>
      <w:r w:rsidR="003C6D88" w:rsidRPr="006C5123">
        <w:rPr>
          <w:rFonts w:ascii="Times New Roman" w:hAnsi="Times New Roman"/>
          <w:color w:val="000000" w:themeColor="text1"/>
          <w:sz w:val="18"/>
          <w:szCs w:val="18"/>
        </w:rPr>
        <w:t>A Metin</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 xml:space="preserve">The effects of permeable formworks with sucker liners on the </w:t>
      </w:r>
      <w:proofErr w:type="gramStart"/>
      <w:r w:rsidR="00501A3A" w:rsidRPr="006C5123">
        <w:rPr>
          <w:rFonts w:ascii="Times New Roman" w:hAnsi="Times New Roman"/>
          <w:i/>
          <w:color w:val="000000" w:themeColor="text1"/>
          <w:sz w:val="18"/>
          <w:szCs w:val="18"/>
        </w:rPr>
        <w:t>physical  properties</w:t>
      </w:r>
      <w:proofErr w:type="gramEnd"/>
      <w:r w:rsidR="00501A3A" w:rsidRPr="006C5123">
        <w:rPr>
          <w:rFonts w:ascii="Times New Roman" w:hAnsi="Times New Roman"/>
          <w:i/>
          <w:color w:val="000000" w:themeColor="text1"/>
          <w:sz w:val="18"/>
          <w:szCs w:val="18"/>
        </w:rPr>
        <w:t xml:space="preserve"> of concrete surfaces</w:t>
      </w:r>
      <w:r w:rsidR="00501A3A" w:rsidRPr="006C5123">
        <w:rPr>
          <w:rFonts w:ascii="Times New Roman" w:hAnsi="Times New Roman"/>
          <w:color w:val="000000" w:themeColor="text1"/>
          <w:sz w:val="18"/>
          <w:szCs w:val="18"/>
        </w:rPr>
        <w:t>, Constructi</w:t>
      </w:r>
      <w:r w:rsidR="003C6D88" w:rsidRPr="006C5123">
        <w:rPr>
          <w:rFonts w:ascii="Times New Roman" w:hAnsi="Times New Roman"/>
          <w:color w:val="000000" w:themeColor="text1"/>
          <w:sz w:val="18"/>
          <w:szCs w:val="18"/>
        </w:rPr>
        <w:t>on and Building Materials 15</w:t>
      </w:r>
      <w:r w:rsidR="00501A3A" w:rsidRPr="006C5123">
        <w:rPr>
          <w:rFonts w:ascii="Times New Roman" w:hAnsi="Times New Roman"/>
          <w:color w:val="000000" w:themeColor="text1"/>
          <w:sz w:val="18"/>
          <w:szCs w:val="18"/>
        </w:rPr>
        <w:t xml:space="preserve"> </w:t>
      </w:r>
      <w:r w:rsidR="003C6D88"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2001</w:t>
      </w:r>
      <w:r w:rsidR="003C6D88" w:rsidRPr="006C5123">
        <w:rPr>
          <w:rFonts w:ascii="Times New Roman" w:hAnsi="Times New Roman"/>
          <w:color w:val="000000" w:themeColor="text1"/>
          <w:sz w:val="18"/>
          <w:szCs w:val="18"/>
        </w:rPr>
        <w:t>)</w:t>
      </w:r>
      <w:r w:rsidR="00501A3A" w:rsidRPr="006C5123">
        <w:rPr>
          <w:rFonts w:ascii="Times New Roman" w:hAnsi="Times New Roman"/>
          <w:color w:val="000000" w:themeColor="text1"/>
          <w:sz w:val="18"/>
          <w:szCs w:val="18"/>
        </w:rPr>
        <w:t xml:space="preserve"> 149-156.</w:t>
      </w:r>
    </w:p>
    <w:p w14:paraId="5855070B" w14:textId="77777777" w:rsidR="00501A3A" w:rsidRPr="006C5123" w:rsidRDefault="00286207" w:rsidP="00DD3A2F">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[17] </w:t>
      </w:r>
      <w:r w:rsidR="003B7A0C" w:rsidRPr="006C5123">
        <w:rPr>
          <w:rFonts w:ascii="Times New Roman" w:hAnsi="Times New Roman"/>
          <w:color w:val="000000" w:themeColor="text1"/>
          <w:sz w:val="18"/>
          <w:szCs w:val="18"/>
        </w:rPr>
        <w:t>IS 8112-1989,</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 xml:space="preserve">Specification for 43 </w:t>
      </w:r>
      <w:proofErr w:type="gramStart"/>
      <w:r w:rsidR="00501A3A" w:rsidRPr="006C5123">
        <w:rPr>
          <w:rFonts w:ascii="Times New Roman" w:hAnsi="Times New Roman"/>
          <w:i/>
          <w:color w:val="000000" w:themeColor="text1"/>
          <w:sz w:val="18"/>
          <w:szCs w:val="18"/>
        </w:rPr>
        <w:t>grade</w:t>
      </w:r>
      <w:proofErr w:type="gramEnd"/>
      <w:r w:rsidR="00501A3A" w:rsidRPr="006C5123">
        <w:rPr>
          <w:rFonts w:ascii="Times New Roman" w:hAnsi="Times New Roman"/>
          <w:i/>
          <w:color w:val="000000" w:themeColor="text1"/>
          <w:sz w:val="18"/>
          <w:szCs w:val="18"/>
        </w:rPr>
        <w:t xml:space="preserve"> ordinary </w:t>
      </w:r>
      <w:proofErr w:type="spellStart"/>
      <w:r w:rsidR="00501A3A" w:rsidRPr="006C5123">
        <w:rPr>
          <w:rFonts w:ascii="Times New Roman" w:hAnsi="Times New Roman"/>
          <w:i/>
          <w:color w:val="000000" w:themeColor="text1"/>
          <w:sz w:val="18"/>
          <w:szCs w:val="18"/>
        </w:rPr>
        <w:t>portland</w:t>
      </w:r>
      <w:proofErr w:type="spellEnd"/>
      <w:r w:rsidR="00501A3A" w:rsidRPr="006C5123">
        <w:rPr>
          <w:rFonts w:ascii="Times New Roman" w:hAnsi="Times New Roman"/>
          <w:i/>
          <w:color w:val="000000" w:themeColor="text1"/>
          <w:sz w:val="18"/>
          <w:szCs w:val="18"/>
        </w:rPr>
        <w:t xml:space="preserve"> cement</w:t>
      </w:r>
      <w:r w:rsidR="00501A3A" w:rsidRPr="006C5123">
        <w:rPr>
          <w:rFonts w:ascii="Times New Roman" w:hAnsi="Times New Roman"/>
          <w:color w:val="000000" w:themeColor="text1"/>
          <w:sz w:val="18"/>
          <w:szCs w:val="18"/>
        </w:rPr>
        <w:t xml:space="preserve">, Bureau </w:t>
      </w:r>
      <w:r w:rsidR="003B7A0C" w:rsidRPr="006C5123">
        <w:rPr>
          <w:rFonts w:ascii="Times New Roman" w:hAnsi="Times New Roman"/>
          <w:color w:val="000000" w:themeColor="text1"/>
          <w:sz w:val="18"/>
          <w:szCs w:val="18"/>
        </w:rPr>
        <w:t>of Indian Standards, New Delhi, 1989.</w:t>
      </w:r>
    </w:p>
    <w:p w14:paraId="50FC072A" w14:textId="77777777" w:rsidR="00501A3A" w:rsidRPr="006C5123" w:rsidRDefault="00286207" w:rsidP="001752E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[18] </w:t>
      </w:r>
      <w:r w:rsidR="003B7A0C" w:rsidRPr="006C5123">
        <w:rPr>
          <w:rFonts w:ascii="Times New Roman" w:hAnsi="Times New Roman"/>
          <w:color w:val="000000" w:themeColor="text1"/>
          <w:sz w:val="18"/>
          <w:szCs w:val="18"/>
        </w:rPr>
        <w:t>IS 383-1987,</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Specification for coarse and fine aggregates from natural source for concrete</w:t>
      </w:r>
      <w:r w:rsidR="00501A3A" w:rsidRPr="006C5123">
        <w:rPr>
          <w:rFonts w:ascii="Times New Roman" w:hAnsi="Times New Roman"/>
          <w:color w:val="000000" w:themeColor="text1"/>
          <w:sz w:val="18"/>
          <w:szCs w:val="18"/>
        </w:rPr>
        <w:t>, Bureau</w:t>
      </w:r>
      <w:r w:rsidR="003B7A0C" w:rsidRPr="006C5123">
        <w:rPr>
          <w:rFonts w:ascii="Times New Roman" w:hAnsi="Times New Roman"/>
          <w:color w:val="000000" w:themeColor="text1"/>
          <w:sz w:val="18"/>
          <w:szCs w:val="18"/>
        </w:rPr>
        <w:t xml:space="preserve"> of Indian Standards, New Delhi, 1987.</w:t>
      </w:r>
    </w:p>
    <w:p w14:paraId="6FABABC0" w14:textId="77777777" w:rsidR="00501A3A" w:rsidRPr="006C5123" w:rsidRDefault="00286207" w:rsidP="00DD3A2F">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 xml:space="preserve">[19] </w:t>
      </w:r>
      <w:r w:rsidR="003B7A0C" w:rsidRPr="006C5123">
        <w:rPr>
          <w:rFonts w:ascii="Times New Roman" w:hAnsi="Times New Roman"/>
          <w:color w:val="000000" w:themeColor="text1"/>
          <w:sz w:val="18"/>
          <w:szCs w:val="18"/>
        </w:rPr>
        <w:t>IS 456-2000,</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Plain and reinforced concrete, Code of Practice</w:t>
      </w:r>
      <w:r w:rsidR="00501A3A" w:rsidRPr="006C5123">
        <w:rPr>
          <w:rFonts w:ascii="Times New Roman" w:hAnsi="Times New Roman"/>
          <w:color w:val="000000" w:themeColor="text1"/>
          <w:sz w:val="18"/>
          <w:szCs w:val="18"/>
        </w:rPr>
        <w:t xml:space="preserve">, Bureau of Indian </w:t>
      </w:r>
      <w:r w:rsidR="003B7A0C" w:rsidRPr="006C5123">
        <w:rPr>
          <w:rFonts w:ascii="Times New Roman" w:hAnsi="Times New Roman"/>
          <w:color w:val="000000" w:themeColor="text1"/>
          <w:sz w:val="18"/>
          <w:szCs w:val="18"/>
        </w:rPr>
        <w:t>Standards, New Delhi, 2000.</w:t>
      </w:r>
    </w:p>
    <w:p w14:paraId="27E8C842" w14:textId="77777777" w:rsidR="00501A3A" w:rsidRPr="006C5123" w:rsidRDefault="00CB1A71" w:rsidP="00DD3A2F">
      <w:pPr>
        <w:tabs>
          <w:tab w:val="left" w:pos="0"/>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[20</w:t>
      </w:r>
      <w:r w:rsidR="00CD25DE" w:rsidRPr="006C5123">
        <w:rPr>
          <w:rFonts w:ascii="Times New Roman" w:hAnsi="Times New Roman"/>
          <w:color w:val="000000" w:themeColor="text1"/>
          <w:sz w:val="18"/>
          <w:szCs w:val="18"/>
        </w:rPr>
        <w:t xml:space="preserve">] </w:t>
      </w:r>
      <w:r w:rsidR="003B7A0C" w:rsidRPr="006C5123">
        <w:rPr>
          <w:rFonts w:ascii="Times New Roman" w:hAnsi="Times New Roman"/>
          <w:color w:val="000000" w:themeColor="text1"/>
          <w:sz w:val="18"/>
          <w:szCs w:val="18"/>
        </w:rPr>
        <w:t>IS 9103-1999,</w:t>
      </w:r>
      <w:r w:rsidR="00501A3A" w:rsidRPr="006C5123">
        <w:rPr>
          <w:rFonts w:ascii="Times New Roman" w:hAnsi="Times New Roman"/>
          <w:color w:val="000000" w:themeColor="text1"/>
          <w:sz w:val="18"/>
          <w:szCs w:val="18"/>
        </w:rPr>
        <w:t xml:space="preserve"> </w:t>
      </w:r>
      <w:r w:rsidR="00501A3A" w:rsidRPr="006C5123">
        <w:rPr>
          <w:rFonts w:ascii="Times New Roman" w:hAnsi="Times New Roman"/>
          <w:i/>
          <w:color w:val="000000" w:themeColor="text1"/>
          <w:sz w:val="18"/>
          <w:szCs w:val="18"/>
        </w:rPr>
        <w:t>Specification for concrete admixtures,</w:t>
      </w:r>
      <w:r w:rsidR="00501A3A" w:rsidRPr="006C5123">
        <w:rPr>
          <w:rFonts w:ascii="Times New Roman" w:hAnsi="Times New Roman"/>
          <w:color w:val="000000" w:themeColor="text1"/>
          <w:sz w:val="18"/>
          <w:szCs w:val="18"/>
        </w:rPr>
        <w:t xml:space="preserve"> Bureau</w:t>
      </w:r>
      <w:r w:rsidR="003B7A0C" w:rsidRPr="006C5123">
        <w:rPr>
          <w:rFonts w:ascii="Times New Roman" w:hAnsi="Times New Roman"/>
          <w:color w:val="000000" w:themeColor="text1"/>
          <w:sz w:val="18"/>
          <w:szCs w:val="18"/>
        </w:rPr>
        <w:t xml:space="preserve"> of Indian Standards, New Delhi, 1999.</w:t>
      </w:r>
    </w:p>
    <w:p w14:paraId="285747D9" w14:textId="77777777" w:rsidR="00501A3A" w:rsidRPr="006C5123" w:rsidRDefault="00CB1A71" w:rsidP="001752E5">
      <w:pPr>
        <w:tabs>
          <w:tab w:val="left" w:pos="180"/>
          <w:tab w:val="left" w:pos="54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[21</w:t>
      </w:r>
      <w:r w:rsidR="00286207" w:rsidRPr="006C5123">
        <w:rPr>
          <w:rFonts w:ascii="Times New Roman" w:hAnsi="Times New Roman"/>
          <w:color w:val="000000" w:themeColor="text1"/>
          <w:sz w:val="18"/>
          <w:szCs w:val="18"/>
        </w:rPr>
        <w:t xml:space="preserve">] </w:t>
      </w:r>
      <w:proofErr w:type="spellStart"/>
      <w:r w:rsidR="00501A3A" w:rsidRPr="006C5123">
        <w:rPr>
          <w:rFonts w:ascii="Times New Roman" w:hAnsi="Times New Roman"/>
          <w:color w:val="000000" w:themeColor="text1"/>
          <w:sz w:val="18"/>
          <w:szCs w:val="18"/>
        </w:rPr>
        <w:t>Fibertex</w:t>
      </w:r>
      <w:proofErr w:type="spellEnd"/>
      <w:r w:rsidR="00501A3A" w:rsidRPr="006C5123">
        <w:rPr>
          <w:rFonts w:ascii="Times New Roman" w:hAnsi="Times New Roman"/>
          <w:color w:val="000000" w:themeColor="text1"/>
          <w:sz w:val="18"/>
          <w:szCs w:val="18"/>
        </w:rPr>
        <w:t xml:space="preserve"> A/S, Denmark, BBA Agre</w:t>
      </w:r>
      <w:r w:rsidR="00501A3A" w:rsidRPr="006C5123">
        <w:rPr>
          <w:rFonts w:ascii="Times New Roman" w:hAnsi="Times New Roman" w:cs="Times New Roman"/>
          <w:color w:val="000000" w:themeColor="text1"/>
          <w:sz w:val="18"/>
          <w:szCs w:val="18"/>
        </w:rPr>
        <w:t>e</w:t>
      </w:r>
      <w:r w:rsidR="00501A3A" w:rsidRPr="006C5123">
        <w:rPr>
          <w:rFonts w:ascii="Times New Roman" w:hAnsi="Times New Roman"/>
          <w:color w:val="000000" w:themeColor="text1"/>
          <w:sz w:val="18"/>
          <w:szCs w:val="18"/>
        </w:rPr>
        <w:t>ment Certificate 03/4038, 2009.</w:t>
      </w:r>
    </w:p>
    <w:p w14:paraId="6FD1ECDC" w14:textId="21DF263D" w:rsidR="00360425" w:rsidRPr="006C5123" w:rsidRDefault="00CB1A71" w:rsidP="00360425">
      <w:pPr>
        <w:tabs>
          <w:tab w:val="left" w:pos="0"/>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[22</w:t>
      </w:r>
      <w:r w:rsidR="00286207" w:rsidRPr="006C5123">
        <w:rPr>
          <w:rFonts w:ascii="Times New Roman" w:hAnsi="Times New Roman"/>
          <w:color w:val="000000" w:themeColor="text1"/>
          <w:sz w:val="18"/>
          <w:szCs w:val="18"/>
        </w:rPr>
        <w:t xml:space="preserve">] </w:t>
      </w:r>
      <w:r w:rsidR="00360425" w:rsidRPr="006C5123">
        <w:rPr>
          <w:rFonts w:ascii="Times New Roman" w:hAnsi="Times New Roman"/>
          <w:color w:val="000000" w:themeColor="text1"/>
          <w:sz w:val="18"/>
          <w:szCs w:val="18"/>
        </w:rPr>
        <w:t xml:space="preserve">ASTM C 642: 1997. </w:t>
      </w:r>
      <w:r w:rsidR="00360425" w:rsidRPr="006C5123">
        <w:rPr>
          <w:rFonts w:ascii="Times New Roman" w:hAnsi="Times New Roman"/>
          <w:i/>
          <w:iCs/>
          <w:color w:val="000000" w:themeColor="text1"/>
          <w:sz w:val="18"/>
          <w:szCs w:val="18"/>
        </w:rPr>
        <w:t>Standard test method for density, absorption and voids in hardened concrete,</w:t>
      </w:r>
      <w:r w:rsidR="00360425" w:rsidRPr="006C5123">
        <w:rPr>
          <w:rFonts w:ascii="Times New Roman" w:hAnsi="Times New Roman"/>
          <w:color w:val="000000" w:themeColor="text1"/>
          <w:sz w:val="18"/>
          <w:szCs w:val="18"/>
        </w:rPr>
        <w:t xml:space="preserve"> American Society for Testing Materials, 1997.</w:t>
      </w:r>
    </w:p>
    <w:p w14:paraId="1D90FECB" w14:textId="23B7BD5F" w:rsidR="00360425" w:rsidRPr="006C5123" w:rsidRDefault="00286207" w:rsidP="00360425">
      <w:pPr>
        <w:tabs>
          <w:tab w:val="left" w:pos="180"/>
        </w:tabs>
        <w:spacing w:after="0" w:line="276" w:lineRule="auto"/>
        <w:jc w:val="both"/>
        <w:rPr>
          <w:rFonts w:ascii="Times New Roman" w:hAnsi="Times New Roman"/>
          <w:color w:val="000000" w:themeColor="text1"/>
          <w:sz w:val="18"/>
          <w:szCs w:val="18"/>
        </w:rPr>
      </w:pPr>
      <w:r w:rsidRPr="006C5123">
        <w:rPr>
          <w:rFonts w:ascii="Times New Roman" w:hAnsi="Times New Roman"/>
          <w:color w:val="000000" w:themeColor="text1"/>
          <w:sz w:val="18"/>
          <w:szCs w:val="18"/>
        </w:rPr>
        <w:t>[2</w:t>
      </w:r>
      <w:r w:rsidR="00360425" w:rsidRPr="006C5123">
        <w:rPr>
          <w:rFonts w:ascii="Times New Roman" w:hAnsi="Times New Roman"/>
          <w:color w:val="000000" w:themeColor="text1"/>
          <w:sz w:val="18"/>
          <w:szCs w:val="18"/>
        </w:rPr>
        <w:t>3</w:t>
      </w:r>
      <w:r w:rsidRPr="006C5123">
        <w:rPr>
          <w:rFonts w:ascii="Times New Roman" w:hAnsi="Times New Roman"/>
          <w:color w:val="000000" w:themeColor="text1"/>
          <w:sz w:val="18"/>
          <w:szCs w:val="18"/>
        </w:rPr>
        <w:t xml:space="preserve">] </w:t>
      </w:r>
      <w:r w:rsidR="00360425" w:rsidRPr="006C5123">
        <w:rPr>
          <w:rFonts w:ascii="Times New Roman" w:hAnsi="Times New Roman"/>
          <w:color w:val="000000" w:themeColor="text1"/>
          <w:sz w:val="18"/>
          <w:szCs w:val="18"/>
        </w:rPr>
        <w:t xml:space="preserve">ASTM C 1585: 2004. </w:t>
      </w:r>
      <w:r w:rsidR="00360425" w:rsidRPr="006C5123">
        <w:rPr>
          <w:rFonts w:ascii="Times New Roman" w:hAnsi="Times New Roman"/>
          <w:i/>
          <w:iCs/>
          <w:color w:val="000000" w:themeColor="text1"/>
          <w:sz w:val="18"/>
          <w:szCs w:val="18"/>
        </w:rPr>
        <w:t>Standard test method for measurement of rate of absorption of water by hydraulic cement concrete,</w:t>
      </w:r>
      <w:r w:rsidR="00360425" w:rsidRPr="006C5123">
        <w:rPr>
          <w:rFonts w:ascii="Times New Roman" w:hAnsi="Times New Roman"/>
          <w:color w:val="000000" w:themeColor="text1"/>
          <w:sz w:val="18"/>
          <w:szCs w:val="18"/>
        </w:rPr>
        <w:t xml:space="preserve"> American Society for Testing Materials, 2004.</w:t>
      </w:r>
    </w:p>
    <w:p w14:paraId="656D10CD" w14:textId="77777777" w:rsidR="000C2043" w:rsidRPr="006C5123" w:rsidRDefault="000C2043" w:rsidP="00575E7E">
      <w:pPr>
        <w:tabs>
          <w:tab w:val="left" w:pos="180"/>
        </w:tabs>
        <w:spacing w:line="480" w:lineRule="auto"/>
        <w:ind w:left="547" w:hanging="547"/>
        <w:jc w:val="both"/>
        <w:rPr>
          <w:rFonts w:ascii="Times New Roman" w:hAnsi="Times New Roman"/>
          <w:color w:val="000000" w:themeColor="text1"/>
          <w:sz w:val="24"/>
          <w:szCs w:val="24"/>
        </w:rPr>
      </w:pPr>
    </w:p>
    <w:p w14:paraId="28CF3F34" w14:textId="77777777" w:rsidR="00360425" w:rsidRPr="006C5123" w:rsidRDefault="00360425" w:rsidP="00575E7E">
      <w:pPr>
        <w:tabs>
          <w:tab w:val="left" w:pos="180"/>
        </w:tabs>
        <w:spacing w:line="480" w:lineRule="auto"/>
        <w:ind w:left="547" w:hanging="547"/>
        <w:jc w:val="both"/>
        <w:rPr>
          <w:rFonts w:ascii="Times New Roman" w:hAnsi="Times New Roman"/>
          <w:color w:val="000000" w:themeColor="text1"/>
          <w:sz w:val="24"/>
          <w:szCs w:val="24"/>
        </w:rPr>
        <w:sectPr w:rsidR="00360425" w:rsidRPr="006C5123" w:rsidSect="00586F37">
          <w:type w:val="continuous"/>
          <w:pgSz w:w="11906" w:h="16838" w:code="9"/>
          <w:pgMar w:top="1440" w:right="1440" w:bottom="1440" w:left="1440" w:header="706" w:footer="706" w:gutter="0"/>
          <w:cols w:space="708"/>
          <w:docGrid w:linePitch="360"/>
        </w:sectPr>
      </w:pPr>
    </w:p>
    <w:p w14:paraId="31B865F0" w14:textId="77777777" w:rsidR="00465DF1" w:rsidRPr="006C5123" w:rsidRDefault="00465DF1" w:rsidP="00575E7E">
      <w:pPr>
        <w:tabs>
          <w:tab w:val="left" w:pos="180"/>
        </w:tabs>
        <w:spacing w:line="480" w:lineRule="auto"/>
        <w:ind w:left="547" w:hanging="547"/>
        <w:jc w:val="both"/>
        <w:rPr>
          <w:rFonts w:ascii="Times New Roman" w:hAnsi="Times New Roman"/>
          <w:color w:val="000000" w:themeColor="text1"/>
          <w:sz w:val="24"/>
          <w:szCs w:val="24"/>
        </w:rPr>
      </w:pPr>
    </w:p>
    <w:sectPr w:rsidR="00465DF1" w:rsidRPr="006C5123" w:rsidSect="00586F37">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D817" w14:textId="77777777" w:rsidR="0097103C" w:rsidRDefault="0097103C" w:rsidP="00575E7E">
      <w:pPr>
        <w:spacing w:after="0" w:line="240" w:lineRule="auto"/>
      </w:pPr>
      <w:r>
        <w:separator/>
      </w:r>
    </w:p>
  </w:endnote>
  <w:endnote w:type="continuationSeparator" w:id="0">
    <w:p w14:paraId="113E9473" w14:textId="77777777" w:rsidR="0097103C" w:rsidRDefault="0097103C" w:rsidP="0057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713"/>
      <w:docPartObj>
        <w:docPartGallery w:val="Page Numbers (Bottom of Page)"/>
        <w:docPartUnique/>
      </w:docPartObj>
    </w:sdtPr>
    <w:sdtEndPr>
      <w:rPr>
        <w:rFonts w:ascii="Times New Roman" w:hAnsi="Times New Roman" w:cs="Times New Roman"/>
        <w:noProof/>
      </w:rPr>
    </w:sdtEndPr>
    <w:sdtContent>
      <w:p w14:paraId="3BD3843F" w14:textId="77777777" w:rsidR="00575E7E" w:rsidRPr="00575E7E" w:rsidRDefault="00575E7E">
        <w:pPr>
          <w:pStyle w:val="Footer"/>
          <w:jc w:val="center"/>
          <w:rPr>
            <w:rFonts w:ascii="Times New Roman" w:hAnsi="Times New Roman" w:cs="Times New Roman"/>
          </w:rPr>
        </w:pPr>
        <w:r w:rsidRPr="00575E7E">
          <w:rPr>
            <w:rFonts w:ascii="Times New Roman" w:hAnsi="Times New Roman" w:cs="Times New Roman"/>
          </w:rPr>
          <w:fldChar w:fldCharType="begin"/>
        </w:r>
        <w:r w:rsidRPr="00575E7E">
          <w:rPr>
            <w:rFonts w:ascii="Times New Roman" w:hAnsi="Times New Roman" w:cs="Times New Roman"/>
          </w:rPr>
          <w:instrText xml:space="preserve"> PAGE   \* MERGEFORMAT </w:instrText>
        </w:r>
        <w:r w:rsidRPr="00575E7E">
          <w:rPr>
            <w:rFonts w:ascii="Times New Roman" w:hAnsi="Times New Roman" w:cs="Times New Roman"/>
          </w:rPr>
          <w:fldChar w:fldCharType="separate"/>
        </w:r>
        <w:r w:rsidR="00757221">
          <w:rPr>
            <w:rFonts w:ascii="Times New Roman" w:hAnsi="Times New Roman" w:cs="Times New Roman"/>
            <w:noProof/>
          </w:rPr>
          <w:t>1</w:t>
        </w:r>
        <w:r w:rsidRPr="00575E7E">
          <w:rPr>
            <w:rFonts w:ascii="Times New Roman" w:hAnsi="Times New Roman" w:cs="Times New Roman"/>
            <w:noProof/>
          </w:rPr>
          <w:fldChar w:fldCharType="end"/>
        </w:r>
      </w:p>
    </w:sdtContent>
  </w:sdt>
  <w:p w14:paraId="3C853895" w14:textId="77777777" w:rsidR="00575E7E" w:rsidRDefault="0057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5CB0" w14:textId="77777777" w:rsidR="0097103C" w:rsidRDefault="0097103C" w:rsidP="00575E7E">
      <w:pPr>
        <w:spacing w:after="0" w:line="240" w:lineRule="auto"/>
      </w:pPr>
      <w:r>
        <w:separator/>
      </w:r>
    </w:p>
  </w:footnote>
  <w:footnote w:type="continuationSeparator" w:id="0">
    <w:p w14:paraId="36B8A98C" w14:textId="77777777" w:rsidR="0097103C" w:rsidRDefault="0097103C" w:rsidP="00575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5F1"/>
    <w:multiLevelType w:val="hybridMultilevel"/>
    <w:tmpl w:val="702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4C4D"/>
    <w:multiLevelType w:val="hybridMultilevel"/>
    <w:tmpl w:val="D554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F5532"/>
    <w:multiLevelType w:val="hybridMultilevel"/>
    <w:tmpl w:val="E5A4576A"/>
    <w:lvl w:ilvl="0" w:tplc="80165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0265ED"/>
    <w:multiLevelType w:val="hybridMultilevel"/>
    <w:tmpl w:val="FE72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451C7"/>
    <w:multiLevelType w:val="hybridMultilevel"/>
    <w:tmpl w:val="074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469B"/>
    <w:multiLevelType w:val="hybridMultilevel"/>
    <w:tmpl w:val="C1C6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D7811"/>
    <w:multiLevelType w:val="hybridMultilevel"/>
    <w:tmpl w:val="F15E6710"/>
    <w:lvl w:ilvl="0" w:tplc="9B4AFE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E57A0"/>
    <w:multiLevelType w:val="hybridMultilevel"/>
    <w:tmpl w:val="3CBEB27A"/>
    <w:lvl w:ilvl="0" w:tplc="F2D8CF0A">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70AB1570"/>
    <w:multiLevelType w:val="hybridMultilevel"/>
    <w:tmpl w:val="603E9B70"/>
    <w:lvl w:ilvl="0" w:tplc="9B4AFEAA">
      <w:start w:val="1"/>
      <w:numFmt w:val="lowerRoman"/>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2E75234"/>
    <w:multiLevelType w:val="multilevel"/>
    <w:tmpl w:val="A36E4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6465943">
    <w:abstractNumId w:val="0"/>
  </w:num>
  <w:num w:numId="2" w16cid:durableId="1750227882">
    <w:abstractNumId w:val="5"/>
  </w:num>
  <w:num w:numId="3" w16cid:durableId="1505631078">
    <w:abstractNumId w:val="4"/>
  </w:num>
  <w:num w:numId="4" w16cid:durableId="479150900">
    <w:abstractNumId w:val="3"/>
  </w:num>
  <w:num w:numId="5" w16cid:durableId="606085416">
    <w:abstractNumId w:val="1"/>
  </w:num>
  <w:num w:numId="6" w16cid:durableId="548035216">
    <w:abstractNumId w:val="7"/>
  </w:num>
  <w:num w:numId="7" w16cid:durableId="1943371220">
    <w:abstractNumId w:val="9"/>
  </w:num>
  <w:num w:numId="8" w16cid:durableId="941188156">
    <w:abstractNumId w:val="8"/>
  </w:num>
  <w:num w:numId="9" w16cid:durableId="651716054">
    <w:abstractNumId w:val="6"/>
  </w:num>
  <w:num w:numId="10" w16cid:durableId="1088697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9B"/>
    <w:rsid w:val="00004964"/>
    <w:rsid w:val="00013810"/>
    <w:rsid w:val="000139ED"/>
    <w:rsid w:val="000267C2"/>
    <w:rsid w:val="00046190"/>
    <w:rsid w:val="00051EE5"/>
    <w:rsid w:val="00064160"/>
    <w:rsid w:val="00067071"/>
    <w:rsid w:val="00090B9A"/>
    <w:rsid w:val="0009374A"/>
    <w:rsid w:val="0009555B"/>
    <w:rsid w:val="00095957"/>
    <w:rsid w:val="0009797B"/>
    <w:rsid w:val="000A2036"/>
    <w:rsid w:val="000A5B99"/>
    <w:rsid w:val="000A6A14"/>
    <w:rsid w:val="000C2043"/>
    <w:rsid w:val="000C37D8"/>
    <w:rsid w:val="000D2F16"/>
    <w:rsid w:val="000E5176"/>
    <w:rsid w:val="00104887"/>
    <w:rsid w:val="00104FD8"/>
    <w:rsid w:val="00106DE0"/>
    <w:rsid w:val="00107022"/>
    <w:rsid w:val="001104BD"/>
    <w:rsid w:val="00127AF2"/>
    <w:rsid w:val="00127FF5"/>
    <w:rsid w:val="00137247"/>
    <w:rsid w:val="0014412B"/>
    <w:rsid w:val="00152C21"/>
    <w:rsid w:val="001578F4"/>
    <w:rsid w:val="00167C0A"/>
    <w:rsid w:val="00174DE5"/>
    <w:rsid w:val="001752E5"/>
    <w:rsid w:val="001811D0"/>
    <w:rsid w:val="00183B7D"/>
    <w:rsid w:val="0018407E"/>
    <w:rsid w:val="001A0EFA"/>
    <w:rsid w:val="001A35B7"/>
    <w:rsid w:val="001A6256"/>
    <w:rsid w:val="001B0D7E"/>
    <w:rsid w:val="001B4BB9"/>
    <w:rsid w:val="001D4E75"/>
    <w:rsid w:val="001E1B45"/>
    <w:rsid w:val="001E60AB"/>
    <w:rsid w:val="002035E1"/>
    <w:rsid w:val="00204C8D"/>
    <w:rsid w:val="002063EB"/>
    <w:rsid w:val="00206B52"/>
    <w:rsid w:val="00215FD8"/>
    <w:rsid w:val="002257A9"/>
    <w:rsid w:val="0022594A"/>
    <w:rsid w:val="0022595D"/>
    <w:rsid w:val="0022765C"/>
    <w:rsid w:val="0024375E"/>
    <w:rsid w:val="002547CE"/>
    <w:rsid w:val="0026436A"/>
    <w:rsid w:val="00273A9D"/>
    <w:rsid w:val="00286207"/>
    <w:rsid w:val="00291C56"/>
    <w:rsid w:val="002A5BDB"/>
    <w:rsid w:val="002C0001"/>
    <w:rsid w:val="002C05CD"/>
    <w:rsid w:val="002D1720"/>
    <w:rsid w:val="002D3805"/>
    <w:rsid w:val="002D436B"/>
    <w:rsid w:val="002D4698"/>
    <w:rsid w:val="002F665E"/>
    <w:rsid w:val="0030494C"/>
    <w:rsid w:val="00313DC6"/>
    <w:rsid w:val="00314E9D"/>
    <w:rsid w:val="003207DE"/>
    <w:rsid w:val="00321048"/>
    <w:rsid w:val="0032235B"/>
    <w:rsid w:val="00332079"/>
    <w:rsid w:val="003408B4"/>
    <w:rsid w:val="00347AED"/>
    <w:rsid w:val="00354EAC"/>
    <w:rsid w:val="00360425"/>
    <w:rsid w:val="003617D3"/>
    <w:rsid w:val="00367506"/>
    <w:rsid w:val="00374017"/>
    <w:rsid w:val="00374F24"/>
    <w:rsid w:val="00390566"/>
    <w:rsid w:val="003918E7"/>
    <w:rsid w:val="00392431"/>
    <w:rsid w:val="00395D7B"/>
    <w:rsid w:val="003A2026"/>
    <w:rsid w:val="003B3949"/>
    <w:rsid w:val="003B7A0C"/>
    <w:rsid w:val="003C6D88"/>
    <w:rsid w:val="003D3727"/>
    <w:rsid w:val="003D4154"/>
    <w:rsid w:val="003E4C7E"/>
    <w:rsid w:val="003E67D3"/>
    <w:rsid w:val="003F0268"/>
    <w:rsid w:val="003F222A"/>
    <w:rsid w:val="00404DCF"/>
    <w:rsid w:val="00421CBA"/>
    <w:rsid w:val="004308CB"/>
    <w:rsid w:val="00442FCE"/>
    <w:rsid w:val="004443E1"/>
    <w:rsid w:val="00444D52"/>
    <w:rsid w:val="004464B9"/>
    <w:rsid w:val="00446610"/>
    <w:rsid w:val="0045037C"/>
    <w:rsid w:val="004522D4"/>
    <w:rsid w:val="00456331"/>
    <w:rsid w:val="00463D08"/>
    <w:rsid w:val="00465DF1"/>
    <w:rsid w:val="0046679C"/>
    <w:rsid w:val="00466A15"/>
    <w:rsid w:val="00493B3A"/>
    <w:rsid w:val="004978FD"/>
    <w:rsid w:val="004A029E"/>
    <w:rsid w:val="004A2B1D"/>
    <w:rsid w:val="004A5563"/>
    <w:rsid w:val="004A651B"/>
    <w:rsid w:val="004B3D6D"/>
    <w:rsid w:val="004B7635"/>
    <w:rsid w:val="004C1943"/>
    <w:rsid w:val="004C6C38"/>
    <w:rsid w:val="004D671E"/>
    <w:rsid w:val="004E3791"/>
    <w:rsid w:val="004F0284"/>
    <w:rsid w:val="004F031E"/>
    <w:rsid w:val="004F09F8"/>
    <w:rsid w:val="004F0ECF"/>
    <w:rsid w:val="004F4720"/>
    <w:rsid w:val="00500D1F"/>
    <w:rsid w:val="00501A3A"/>
    <w:rsid w:val="005364B8"/>
    <w:rsid w:val="00551EE2"/>
    <w:rsid w:val="00555928"/>
    <w:rsid w:val="00556F96"/>
    <w:rsid w:val="005614DF"/>
    <w:rsid w:val="00567981"/>
    <w:rsid w:val="00570CE6"/>
    <w:rsid w:val="0057144E"/>
    <w:rsid w:val="00575E7E"/>
    <w:rsid w:val="005764C7"/>
    <w:rsid w:val="00583426"/>
    <w:rsid w:val="00583D53"/>
    <w:rsid w:val="00584787"/>
    <w:rsid w:val="00586F37"/>
    <w:rsid w:val="0059271D"/>
    <w:rsid w:val="00593A54"/>
    <w:rsid w:val="005B3A2F"/>
    <w:rsid w:val="005B772B"/>
    <w:rsid w:val="005D516C"/>
    <w:rsid w:val="005E1B59"/>
    <w:rsid w:val="006113FE"/>
    <w:rsid w:val="00614487"/>
    <w:rsid w:val="00622B14"/>
    <w:rsid w:val="0062487A"/>
    <w:rsid w:val="00626259"/>
    <w:rsid w:val="006304C4"/>
    <w:rsid w:val="006327DB"/>
    <w:rsid w:val="00640DA2"/>
    <w:rsid w:val="00657C99"/>
    <w:rsid w:val="00674785"/>
    <w:rsid w:val="00674863"/>
    <w:rsid w:val="00690129"/>
    <w:rsid w:val="00693612"/>
    <w:rsid w:val="006936D2"/>
    <w:rsid w:val="00695999"/>
    <w:rsid w:val="006A1634"/>
    <w:rsid w:val="006B518D"/>
    <w:rsid w:val="006B73EA"/>
    <w:rsid w:val="006C2F81"/>
    <w:rsid w:val="006C5123"/>
    <w:rsid w:val="006C5F3B"/>
    <w:rsid w:val="006D06F9"/>
    <w:rsid w:val="006E51C4"/>
    <w:rsid w:val="006F4900"/>
    <w:rsid w:val="006F4BCA"/>
    <w:rsid w:val="0070633C"/>
    <w:rsid w:val="007074A2"/>
    <w:rsid w:val="007207AA"/>
    <w:rsid w:val="00726D79"/>
    <w:rsid w:val="00726D88"/>
    <w:rsid w:val="00743B38"/>
    <w:rsid w:val="007448E7"/>
    <w:rsid w:val="007458A4"/>
    <w:rsid w:val="007536AD"/>
    <w:rsid w:val="00754C92"/>
    <w:rsid w:val="00757221"/>
    <w:rsid w:val="00765E91"/>
    <w:rsid w:val="00770986"/>
    <w:rsid w:val="0077429B"/>
    <w:rsid w:val="007A13DA"/>
    <w:rsid w:val="007A2F00"/>
    <w:rsid w:val="007A33D1"/>
    <w:rsid w:val="007A4C70"/>
    <w:rsid w:val="007B4486"/>
    <w:rsid w:val="007C2A67"/>
    <w:rsid w:val="007C4631"/>
    <w:rsid w:val="007C484F"/>
    <w:rsid w:val="007D04EC"/>
    <w:rsid w:val="007D05DD"/>
    <w:rsid w:val="007D320E"/>
    <w:rsid w:val="007D501B"/>
    <w:rsid w:val="007E215E"/>
    <w:rsid w:val="007E56C6"/>
    <w:rsid w:val="007E642C"/>
    <w:rsid w:val="007F1528"/>
    <w:rsid w:val="007F4236"/>
    <w:rsid w:val="00811D60"/>
    <w:rsid w:val="00823B65"/>
    <w:rsid w:val="00846131"/>
    <w:rsid w:val="008749F4"/>
    <w:rsid w:val="008850F4"/>
    <w:rsid w:val="008A0198"/>
    <w:rsid w:val="008A15AB"/>
    <w:rsid w:val="008A353A"/>
    <w:rsid w:val="008A480C"/>
    <w:rsid w:val="008A6A81"/>
    <w:rsid w:val="008C24A5"/>
    <w:rsid w:val="008C493B"/>
    <w:rsid w:val="008C52BC"/>
    <w:rsid w:val="008D6021"/>
    <w:rsid w:val="008D6498"/>
    <w:rsid w:val="008D64E5"/>
    <w:rsid w:val="008D65DE"/>
    <w:rsid w:val="008D6762"/>
    <w:rsid w:val="008E29F7"/>
    <w:rsid w:val="008E4294"/>
    <w:rsid w:val="008F073B"/>
    <w:rsid w:val="008F2426"/>
    <w:rsid w:val="00902A08"/>
    <w:rsid w:val="00902D53"/>
    <w:rsid w:val="00905B99"/>
    <w:rsid w:val="00906B96"/>
    <w:rsid w:val="00915702"/>
    <w:rsid w:val="009276F9"/>
    <w:rsid w:val="00940EDF"/>
    <w:rsid w:val="00941A91"/>
    <w:rsid w:val="00950635"/>
    <w:rsid w:val="0096408E"/>
    <w:rsid w:val="00965B03"/>
    <w:rsid w:val="00967BCE"/>
    <w:rsid w:val="00970E9B"/>
    <w:rsid w:val="0097103C"/>
    <w:rsid w:val="0099585E"/>
    <w:rsid w:val="009A56DD"/>
    <w:rsid w:val="009B2CBD"/>
    <w:rsid w:val="009C0254"/>
    <w:rsid w:val="009C6C1F"/>
    <w:rsid w:val="009E185F"/>
    <w:rsid w:val="009E2D01"/>
    <w:rsid w:val="009E3C5D"/>
    <w:rsid w:val="009E6439"/>
    <w:rsid w:val="009F5DD5"/>
    <w:rsid w:val="00A02AB9"/>
    <w:rsid w:val="00A10850"/>
    <w:rsid w:val="00A12348"/>
    <w:rsid w:val="00A21632"/>
    <w:rsid w:val="00A2391C"/>
    <w:rsid w:val="00A354D3"/>
    <w:rsid w:val="00A513E8"/>
    <w:rsid w:val="00A64ACE"/>
    <w:rsid w:val="00A65A1E"/>
    <w:rsid w:val="00A67CF2"/>
    <w:rsid w:val="00A72AF5"/>
    <w:rsid w:val="00A7406A"/>
    <w:rsid w:val="00A76BD5"/>
    <w:rsid w:val="00A83454"/>
    <w:rsid w:val="00A840E8"/>
    <w:rsid w:val="00A847EC"/>
    <w:rsid w:val="00AA0679"/>
    <w:rsid w:val="00AB2C82"/>
    <w:rsid w:val="00AC1967"/>
    <w:rsid w:val="00AC314D"/>
    <w:rsid w:val="00AD0569"/>
    <w:rsid w:val="00AD7EA7"/>
    <w:rsid w:val="00AE14DD"/>
    <w:rsid w:val="00AE4C39"/>
    <w:rsid w:val="00AE69ED"/>
    <w:rsid w:val="00AE7535"/>
    <w:rsid w:val="00AF1445"/>
    <w:rsid w:val="00AF341F"/>
    <w:rsid w:val="00B24D97"/>
    <w:rsid w:val="00B30801"/>
    <w:rsid w:val="00B330D6"/>
    <w:rsid w:val="00B37283"/>
    <w:rsid w:val="00B3771C"/>
    <w:rsid w:val="00B42786"/>
    <w:rsid w:val="00B4711A"/>
    <w:rsid w:val="00B51332"/>
    <w:rsid w:val="00B549F4"/>
    <w:rsid w:val="00B65133"/>
    <w:rsid w:val="00B666F4"/>
    <w:rsid w:val="00B7383D"/>
    <w:rsid w:val="00B85287"/>
    <w:rsid w:val="00B96225"/>
    <w:rsid w:val="00B97275"/>
    <w:rsid w:val="00B9777C"/>
    <w:rsid w:val="00BA0CC7"/>
    <w:rsid w:val="00BA2E4C"/>
    <w:rsid w:val="00BA60DA"/>
    <w:rsid w:val="00BA7A24"/>
    <w:rsid w:val="00BB004D"/>
    <w:rsid w:val="00BB6145"/>
    <w:rsid w:val="00BC0849"/>
    <w:rsid w:val="00BC2E05"/>
    <w:rsid w:val="00BC4B43"/>
    <w:rsid w:val="00BC5D29"/>
    <w:rsid w:val="00BC6DDC"/>
    <w:rsid w:val="00BD4B90"/>
    <w:rsid w:val="00BE038A"/>
    <w:rsid w:val="00BE6E53"/>
    <w:rsid w:val="00BF1559"/>
    <w:rsid w:val="00BF70D0"/>
    <w:rsid w:val="00C02F8A"/>
    <w:rsid w:val="00C056EA"/>
    <w:rsid w:val="00C54D0E"/>
    <w:rsid w:val="00C61DE8"/>
    <w:rsid w:val="00C67F53"/>
    <w:rsid w:val="00C70760"/>
    <w:rsid w:val="00C70BC3"/>
    <w:rsid w:val="00C738F6"/>
    <w:rsid w:val="00C749C1"/>
    <w:rsid w:val="00C85863"/>
    <w:rsid w:val="00C93511"/>
    <w:rsid w:val="00C94877"/>
    <w:rsid w:val="00C96B72"/>
    <w:rsid w:val="00C970DF"/>
    <w:rsid w:val="00CA3517"/>
    <w:rsid w:val="00CB1A71"/>
    <w:rsid w:val="00CB400E"/>
    <w:rsid w:val="00CB528C"/>
    <w:rsid w:val="00CB73D9"/>
    <w:rsid w:val="00CC2B8E"/>
    <w:rsid w:val="00CC4A94"/>
    <w:rsid w:val="00CC4BCA"/>
    <w:rsid w:val="00CC7935"/>
    <w:rsid w:val="00CD25DE"/>
    <w:rsid w:val="00CD4CFA"/>
    <w:rsid w:val="00CE3632"/>
    <w:rsid w:val="00CE6A86"/>
    <w:rsid w:val="00CF6784"/>
    <w:rsid w:val="00D02DD8"/>
    <w:rsid w:val="00D1097D"/>
    <w:rsid w:val="00D149AE"/>
    <w:rsid w:val="00D15A2D"/>
    <w:rsid w:val="00D16846"/>
    <w:rsid w:val="00D34929"/>
    <w:rsid w:val="00D5090B"/>
    <w:rsid w:val="00D52129"/>
    <w:rsid w:val="00D5324C"/>
    <w:rsid w:val="00D623EB"/>
    <w:rsid w:val="00D74B20"/>
    <w:rsid w:val="00D74BCA"/>
    <w:rsid w:val="00D7646B"/>
    <w:rsid w:val="00D76C8C"/>
    <w:rsid w:val="00D9333A"/>
    <w:rsid w:val="00D95C3E"/>
    <w:rsid w:val="00D96929"/>
    <w:rsid w:val="00DB1D52"/>
    <w:rsid w:val="00DB4B54"/>
    <w:rsid w:val="00DB4E46"/>
    <w:rsid w:val="00DC0BBC"/>
    <w:rsid w:val="00DC7DC9"/>
    <w:rsid w:val="00DD33EE"/>
    <w:rsid w:val="00DD3A2F"/>
    <w:rsid w:val="00DE72A8"/>
    <w:rsid w:val="00E05808"/>
    <w:rsid w:val="00E07C01"/>
    <w:rsid w:val="00E176A1"/>
    <w:rsid w:val="00E25368"/>
    <w:rsid w:val="00E3373B"/>
    <w:rsid w:val="00E3536A"/>
    <w:rsid w:val="00E37106"/>
    <w:rsid w:val="00E41816"/>
    <w:rsid w:val="00E42F52"/>
    <w:rsid w:val="00E4349E"/>
    <w:rsid w:val="00E47ED5"/>
    <w:rsid w:val="00E5638F"/>
    <w:rsid w:val="00E62841"/>
    <w:rsid w:val="00E629BA"/>
    <w:rsid w:val="00E7505F"/>
    <w:rsid w:val="00E767EF"/>
    <w:rsid w:val="00E775C8"/>
    <w:rsid w:val="00E77C8C"/>
    <w:rsid w:val="00EA1E58"/>
    <w:rsid w:val="00EA7F56"/>
    <w:rsid w:val="00EB3293"/>
    <w:rsid w:val="00EB69D8"/>
    <w:rsid w:val="00EB7313"/>
    <w:rsid w:val="00ED4ED1"/>
    <w:rsid w:val="00ED798D"/>
    <w:rsid w:val="00EE1764"/>
    <w:rsid w:val="00EE3852"/>
    <w:rsid w:val="00EE70EB"/>
    <w:rsid w:val="00EF238F"/>
    <w:rsid w:val="00EF66E7"/>
    <w:rsid w:val="00EF6E88"/>
    <w:rsid w:val="00F007AC"/>
    <w:rsid w:val="00F013A3"/>
    <w:rsid w:val="00F0423A"/>
    <w:rsid w:val="00F367C6"/>
    <w:rsid w:val="00F41C3F"/>
    <w:rsid w:val="00F65AF6"/>
    <w:rsid w:val="00F676F2"/>
    <w:rsid w:val="00F927C3"/>
    <w:rsid w:val="00FB2447"/>
    <w:rsid w:val="00FB2BAC"/>
    <w:rsid w:val="00FC510B"/>
    <w:rsid w:val="00FD3CF8"/>
    <w:rsid w:val="00FE46B3"/>
    <w:rsid w:val="00FE603A"/>
    <w:rsid w:val="00FF1341"/>
    <w:rsid w:val="00FF496A"/>
    <w:rsid w:val="00FF4B8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530F"/>
  <w15:docId w15:val="{B5D61680-3BB8-4B66-8CDD-79037CD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1D"/>
  </w:style>
  <w:style w:type="paragraph" w:styleId="Heading5">
    <w:name w:val="heading 5"/>
    <w:basedOn w:val="Normal"/>
    <w:next w:val="Normal"/>
    <w:link w:val="Heading5Char"/>
    <w:uiPriority w:val="9"/>
    <w:unhideWhenUsed/>
    <w:qFormat/>
    <w:rsid w:val="00F007AC"/>
    <w:pPr>
      <w:spacing w:before="240" w:after="60" w:line="276" w:lineRule="auto"/>
      <w:outlineLvl w:val="4"/>
    </w:pPr>
    <w:rPr>
      <w:rFonts w:ascii="Calibri" w:eastAsia="Times New Roman" w:hAnsi="Calibri" w:cs="Times New Roman"/>
      <w:b/>
      <w:bCs/>
      <w:i/>
      <w:iCs/>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F2"/>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BC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29"/>
    <w:rPr>
      <w:rFonts w:ascii="Tahoma" w:hAnsi="Tahoma" w:cs="Tahoma"/>
      <w:sz w:val="16"/>
      <w:szCs w:val="16"/>
    </w:rPr>
  </w:style>
  <w:style w:type="paragraph" w:styleId="NormalWeb">
    <w:name w:val="Normal (Web)"/>
    <w:basedOn w:val="Normal"/>
    <w:uiPriority w:val="99"/>
    <w:unhideWhenUsed/>
    <w:rsid w:val="0070633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70633C"/>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B2BAC"/>
    <w:pPr>
      <w:spacing w:after="0" w:line="240" w:lineRule="auto"/>
    </w:pPr>
  </w:style>
  <w:style w:type="paragraph" w:customStyle="1" w:styleId="Body1">
    <w:name w:val="Body 1"/>
    <w:rsid w:val="00EB69D8"/>
    <w:pPr>
      <w:spacing w:after="0" w:line="240" w:lineRule="auto"/>
    </w:pPr>
    <w:rPr>
      <w:rFonts w:ascii="Helvetica" w:eastAsia="Arial Unicode MS" w:hAnsi="Helvetica" w:cs="Times New Roman"/>
      <w:color w:val="000000"/>
      <w:sz w:val="24"/>
      <w:szCs w:val="20"/>
      <w:lang w:val="en-US"/>
    </w:rPr>
  </w:style>
  <w:style w:type="character" w:styleId="Hyperlink">
    <w:name w:val="Hyperlink"/>
    <w:unhideWhenUsed/>
    <w:rsid w:val="00CF6784"/>
    <w:rPr>
      <w:color w:val="0000FF"/>
      <w:u w:val="single"/>
    </w:rPr>
  </w:style>
  <w:style w:type="paragraph" w:styleId="BodyText">
    <w:name w:val="Body Text"/>
    <w:basedOn w:val="Normal"/>
    <w:link w:val="BodyTextChar"/>
    <w:rsid w:val="00965B03"/>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965B03"/>
    <w:rPr>
      <w:rFonts w:ascii="Times New Roman" w:eastAsia="Times New Roman" w:hAnsi="Times New Roman" w:cs="Times New Roman"/>
      <w:sz w:val="24"/>
      <w:szCs w:val="20"/>
      <w:lang w:eastAsia="ar-SA"/>
    </w:rPr>
  </w:style>
  <w:style w:type="paragraph" w:customStyle="1" w:styleId="Default">
    <w:name w:val="Default"/>
    <w:rsid w:val="00965B03"/>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character" w:customStyle="1" w:styleId="Heading5Char">
    <w:name w:val="Heading 5 Char"/>
    <w:basedOn w:val="DefaultParagraphFont"/>
    <w:link w:val="Heading5"/>
    <w:uiPriority w:val="9"/>
    <w:rsid w:val="00F007AC"/>
    <w:rPr>
      <w:rFonts w:ascii="Calibri" w:eastAsia="Times New Roman" w:hAnsi="Calibri" w:cs="Times New Roman"/>
      <w:b/>
      <w:bCs/>
      <w:i/>
      <w:iCs/>
      <w:sz w:val="26"/>
      <w:szCs w:val="26"/>
      <w:lang w:eastAsia="en-IN"/>
    </w:rPr>
  </w:style>
  <w:style w:type="paragraph" w:styleId="Header">
    <w:name w:val="header"/>
    <w:basedOn w:val="Normal"/>
    <w:link w:val="HeaderChar"/>
    <w:uiPriority w:val="99"/>
    <w:unhideWhenUsed/>
    <w:rsid w:val="0057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7E"/>
  </w:style>
  <w:style w:type="paragraph" w:styleId="Footer">
    <w:name w:val="footer"/>
    <w:basedOn w:val="Normal"/>
    <w:link w:val="FooterChar"/>
    <w:uiPriority w:val="99"/>
    <w:unhideWhenUsed/>
    <w:rsid w:val="0057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SK\BOOK%20CHAPTER\BC%203\GRAPH\WA-BAR%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BOOK%20CHAPTER\BC%203\GRAPH\SORPTIVITY%20-%20BAR%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BOOK%20CHAPTER\BC%203\GRAPH\ACID-W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BOOK%20CHAPTER\BC%203\GRAPH\ACID-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BOOK%20CHAPTER\BC%203\GRAPH\SULPHATE-W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BOOK%20CHAPTER\BC%203\GRAPH\SULPHATE-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48916529341792"/>
          <c:y val="3.3078521434820644E-2"/>
          <c:w val="0.8237309612953897"/>
          <c:h val="0.80690653251676869"/>
        </c:manualLayout>
      </c:layout>
      <c:barChart>
        <c:barDir val="col"/>
        <c:grouping val="clustered"/>
        <c:varyColors val="0"/>
        <c:ser>
          <c:idx val="0"/>
          <c:order val="0"/>
          <c:tx>
            <c:v>IMF</c:v>
          </c:tx>
          <c:spPr>
            <a:pattFill prst="dkUpDiag">
              <a:fgClr>
                <a:srgbClr val="FF0000"/>
              </a:fgClr>
              <a:bgClr>
                <a:srgbClr val="FFFFFF"/>
              </a:bgClr>
            </a:pattFill>
            <a:ln w="12700">
              <a:solidFill>
                <a:srgbClr val="FF0000"/>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Sheet1!$M$6:$M$10</c:f>
              <c:numCache>
                <c:formatCode>General</c:formatCode>
                <c:ptCount val="5"/>
                <c:pt idx="0">
                  <c:v>5.2</c:v>
                </c:pt>
                <c:pt idx="1">
                  <c:v>5</c:v>
                </c:pt>
                <c:pt idx="2">
                  <c:v>4.8</c:v>
                </c:pt>
                <c:pt idx="3">
                  <c:v>4.2</c:v>
                </c:pt>
                <c:pt idx="4">
                  <c:v>3.9</c:v>
                </c:pt>
              </c:numCache>
            </c:numRef>
          </c:val>
          <c:extLst>
            <c:ext xmlns:c16="http://schemas.microsoft.com/office/drawing/2014/chart" uri="{C3380CC4-5D6E-409C-BE32-E72D297353CC}">
              <c16:uniqueId val="{00000000-A9EA-45DF-A76C-9D29E3990730}"/>
            </c:ext>
          </c:extLst>
        </c:ser>
        <c:ser>
          <c:idx val="1"/>
          <c:order val="1"/>
          <c:tx>
            <c:v>CPF</c:v>
          </c:tx>
          <c:spPr>
            <a:pattFill prst="narHorz">
              <a:fgClr>
                <a:srgbClr val="4F81BD"/>
              </a:fgClr>
              <a:bgClr>
                <a:srgbClr val="FFFFFF"/>
              </a:bgClr>
            </a:pattFill>
            <a:ln w="12700">
              <a:solidFill>
                <a:schemeClr val="accent1"/>
              </a:solidFill>
            </a:ln>
          </c:spPr>
          <c:invertIfNegative val="0"/>
          <c:dLbls>
            <c:delete val="1"/>
          </c:dLbls>
          <c:errBars>
            <c:errBarType val="both"/>
            <c:errValType val="cust"/>
            <c:noEndCap val="0"/>
            <c:plus>
              <c:numRef>
                <c:f>Sheet1!$Q$16:$Q$20</c:f>
                <c:numCache>
                  <c:formatCode>General</c:formatCode>
                  <c:ptCount val="5"/>
                </c:numCache>
              </c:numRef>
            </c:plus>
            <c:minus>
              <c:numRef>
                <c:f>Sheet1!$Q$16:$Q$20</c:f>
                <c:numCache>
                  <c:formatCode>General</c:formatCode>
                  <c:ptCount val="5"/>
                </c:numCache>
              </c:numRef>
            </c:minus>
          </c:errBars>
          <c:cat>
            <c:numRef>
              <c:f>Sheet1!$L$6:$L$10</c:f>
              <c:numCache>
                <c:formatCode>General</c:formatCode>
                <c:ptCount val="5"/>
                <c:pt idx="0">
                  <c:v>7</c:v>
                </c:pt>
                <c:pt idx="1">
                  <c:v>14</c:v>
                </c:pt>
                <c:pt idx="2">
                  <c:v>28</c:v>
                </c:pt>
                <c:pt idx="3">
                  <c:v>60</c:v>
                </c:pt>
                <c:pt idx="4">
                  <c:v>90</c:v>
                </c:pt>
              </c:numCache>
            </c:numRef>
          </c:cat>
          <c:val>
            <c:numRef>
              <c:f>Sheet1!$N$6:$N$10</c:f>
              <c:numCache>
                <c:formatCode>General</c:formatCode>
                <c:ptCount val="5"/>
                <c:pt idx="0">
                  <c:v>4</c:v>
                </c:pt>
                <c:pt idx="1">
                  <c:v>3.9</c:v>
                </c:pt>
                <c:pt idx="2">
                  <c:v>3.8</c:v>
                </c:pt>
                <c:pt idx="3">
                  <c:v>3.4</c:v>
                </c:pt>
                <c:pt idx="4">
                  <c:v>3.2</c:v>
                </c:pt>
              </c:numCache>
            </c:numRef>
          </c:val>
          <c:extLst>
            <c:ext xmlns:c16="http://schemas.microsoft.com/office/drawing/2014/chart" uri="{C3380CC4-5D6E-409C-BE32-E72D297353CC}">
              <c16:uniqueId val="{00000001-A9EA-45DF-A76C-9D29E3990730}"/>
            </c:ext>
          </c:extLst>
        </c:ser>
        <c:dLbls>
          <c:dLblPos val="outEnd"/>
          <c:showLegendKey val="0"/>
          <c:showVal val="1"/>
          <c:showCatName val="0"/>
          <c:showSerName val="0"/>
          <c:showPercent val="0"/>
          <c:showBubbleSize val="0"/>
        </c:dLbls>
        <c:gapWidth val="150"/>
        <c:overlap val="-36"/>
        <c:axId val="211215872"/>
        <c:axId val="211178240"/>
      </c:barChart>
      <c:catAx>
        <c:axId val="211215872"/>
        <c:scaling>
          <c:orientation val="minMax"/>
        </c:scaling>
        <c:delete val="0"/>
        <c:axPos val="b"/>
        <c:title>
          <c:tx>
            <c:rich>
              <a:bodyPr/>
              <a:lstStyle/>
              <a:p>
                <a:pPr>
                  <a:defRPr/>
                </a:pPr>
                <a:r>
                  <a:rPr lang="en-US"/>
                  <a:t>Age (Days)</a:t>
                </a:r>
              </a:p>
            </c:rich>
          </c:tx>
          <c:overlay val="0"/>
        </c:title>
        <c:numFmt formatCode="General" sourceLinked="1"/>
        <c:majorTickMark val="out"/>
        <c:minorTickMark val="none"/>
        <c:tickLblPos val="nextTo"/>
        <c:spPr>
          <a:ln>
            <a:solidFill>
              <a:schemeClr val="tx1"/>
            </a:solidFill>
          </a:ln>
        </c:spPr>
        <c:crossAx val="211178240"/>
        <c:crosses val="autoZero"/>
        <c:auto val="1"/>
        <c:lblAlgn val="ctr"/>
        <c:lblOffset val="100"/>
        <c:noMultiLvlLbl val="0"/>
      </c:catAx>
      <c:valAx>
        <c:axId val="211178240"/>
        <c:scaling>
          <c:orientation val="minMax"/>
        </c:scaling>
        <c:delete val="0"/>
        <c:axPos val="l"/>
        <c:title>
          <c:tx>
            <c:rich>
              <a:bodyPr rot="-5400000" vert="horz"/>
              <a:lstStyle/>
              <a:p>
                <a:pPr>
                  <a:defRPr/>
                </a:pPr>
                <a:r>
                  <a:rPr lang="en-US"/>
                  <a:t>Water absorption (%)</a:t>
                </a:r>
              </a:p>
            </c:rich>
          </c:tx>
          <c:overlay val="0"/>
        </c:title>
        <c:numFmt formatCode="General" sourceLinked="1"/>
        <c:majorTickMark val="out"/>
        <c:minorTickMark val="none"/>
        <c:tickLblPos val="nextTo"/>
        <c:spPr>
          <a:ln>
            <a:solidFill>
              <a:schemeClr val="tx1"/>
            </a:solidFill>
          </a:ln>
        </c:spPr>
        <c:crossAx val="211215872"/>
        <c:crosses val="autoZero"/>
        <c:crossBetween val="between"/>
      </c:valAx>
      <c:spPr>
        <a:ln>
          <a:solidFill>
            <a:schemeClr val="tx1"/>
          </a:solidFill>
        </a:ln>
      </c:spPr>
    </c:plotArea>
    <c:legend>
      <c:legendPos val="r"/>
      <c:layout>
        <c:manualLayout>
          <c:xMode val="edge"/>
          <c:yMode val="edge"/>
          <c:x val="0.66380504494099413"/>
          <c:y val="6.8947546298511742E-2"/>
          <c:w val="0.25796480572652586"/>
          <c:h val="0.1096445512513758"/>
        </c:manualLayout>
      </c:layout>
      <c:overlay val="0"/>
      <c:spPr>
        <a:ln>
          <a:solidFill>
            <a:schemeClr val="tx2">
              <a:lumMod val="40000"/>
              <a:lumOff val="60000"/>
            </a:schemeClr>
          </a:solidFill>
        </a:ln>
      </c:spPr>
    </c:legend>
    <c:plotVisOnly val="1"/>
    <c:dispBlanksAs val="gap"/>
    <c:showDLblsOverMax val="0"/>
  </c:chart>
  <c:spPr>
    <a:ln>
      <a:solidFill>
        <a:schemeClr val="bg2">
          <a:lumMod val="5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93198922997345"/>
          <c:y val="3.3078389369240159E-2"/>
          <c:w val="0.83584048633329688"/>
          <c:h val="0.80227690288713915"/>
        </c:manualLayout>
      </c:layout>
      <c:barChart>
        <c:barDir val="col"/>
        <c:grouping val="clustered"/>
        <c:varyColors val="0"/>
        <c:ser>
          <c:idx val="0"/>
          <c:order val="0"/>
          <c:tx>
            <c:v>IMF</c:v>
          </c:tx>
          <c:spPr>
            <a:pattFill prst="dkUpDiag">
              <a:fgClr>
                <a:srgbClr val="FF0000"/>
              </a:fgClr>
              <a:bgClr>
                <a:srgbClr val="FFFFFF"/>
              </a:bgClr>
            </a:pattFill>
            <a:ln w="12700">
              <a:solidFill>
                <a:srgbClr val="FF0000"/>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Sheet1!$M$6:$M$10</c:f>
              <c:numCache>
                <c:formatCode>General</c:formatCode>
                <c:ptCount val="5"/>
                <c:pt idx="0">
                  <c:v>9.1999999999999993</c:v>
                </c:pt>
                <c:pt idx="1">
                  <c:v>8.1999999999999993</c:v>
                </c:pt>
                <c:pt idx="2">
                  <c:v>7.6</c:v>
                </c:pt>
                <c:pt idx="3">
                  <c:v>6.8</c:v>
                </c:pt>
                <c:pt idx="4">
                  <c:v>5.3</c:v>
                </c:pt>
              </c:numCache>
            </c:numRef>
          </c:val>
          <c:extLst>
            <c:ext xmlns:c16="http://schemas.microsoft.com/office/drawing/2014/chart" uri="{C3380CC4-5D6E-409C-BE32-E72D297353CC}">
              <c16:uniqueId val="{00000000-9775-490B-9BCE-8E1BBD88D18A}"/>
            </c:ext>
          </c:extLst>
        </c:ser>
        <c:ser>
          <c:idx val="1"/>
          <c:order val="1"/>
          <c:tx>
            <c:v>CPF</c:v>
          </c:tx>
          <c:spPr>
            <a:pattFill prst="narHorz">
              <a:fgClr>
                <a:srgbClr val="4F81BD"/>
              </a:fgClr>
              <a:bgClr>
                <a:srgbClr val="FFFFFF"/>
              </a:bgClr>
            </a:pattFill>
            <a:ln w="12700">
              <a:solidFill>
                <a:schemeClr val="accent1"/>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Sheet1!$N$6:$N$10</c:f>
              <c:numCache>
                <c:formatCode>General</c:formatCode>
                <c:ptCount val="5"/>
                <c:pt idx="0">
                  <c:v>5.5</c:v>
                </c:pt>
                <c:pt idx="1">
                  <c:v>5.0999999999999996</c:v>
                </c:pt>
                <c:pt idx="2">
                  <c:v>4.8</c:v>
                </c:pt>
                <c:pt idx="3">
                  <c:v>4.4000000000000004</c:v>
                </c:pt>
                <c:pt idx="4">
                  <c:v>3.5</c:v>
                </c:pt>
              </c:numCache>
            </c:numRef>
          </c:val>
          <c:extLst>
            <c:ext xmlns:c16="http://schemas.microsoft.com/office/drawing/2014/chart" uri="{C3380CC4-5D6E-409C-BE32-E72D297353CC}">
              <c16:uniqueId val="{00000001-9775-490B-9BCE-8E1BBD88D18A}"/>
            </c:ext>
          </c:extLst>
        </c:ser>
        <c:dLbls>
          <c:dLblPos val="outEnd"/>
          <c:showLegendKey val="0"/>
          <c:showVal val="1"/>
          <c:showCatName val="0"/>
          <c:showSerName val="0"/>
          <c:showPercent val="0"/>
          <c:showBubbleSize val="0"/>
        </c:dLbls>
        <c:gapWidth val="150"/>
        <c:overlap val="-36"/>
        <c:axId val="209394304"/>
        <c:axId val="209396480"/>
      </c:barChart>
      <c:catAx>
        <c:axId val="20939430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Age</a:t>
                </a:r>
                <a:r>
                  <a:rPr lang="en-US" baseline="0">
                    <a:latin typeface="Times New Roman" pitchFamily="18" charset="0"/>
                    <a:cs typeface="Times New Roman" pitchFamily="18" charset="0"/>
                  </a:rPr>
                  <a:t> (Days)</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spPr>
          <a:ln>
            <a:solidFill>
              <a:schemeClr val="tx1"/>
            </a:solidFill>
          </a:ln>
        </c:spPr>
        <c:crossAx val="209396480"/>
        <c:crosses val="autoZero"/>
        <c:auto val="1"/>
        <c:lblAlgn val="ctr"/>
        <c:lblOffset val="100"/>
        <c:noMultiLvlLbl val="0"/>
      </c:catAx>
      <c:valAx>
        <c:axId val="209396480"/>
        <c:scaling>
          <c:orientation val="minMax"/>
        </c:scaling>
        <c:delete val="0"/>
        <c:axPos val="l"/>
        <c:title>
          <c:tx>
            <c:rich>
              <a:bodyPr rot="-5400000" vert="horz"/>
              <a:lstStyle/>
              <a:p>
                <a:pPr>
                  <a:defRPr>
                    <a:latin typeface="Times New Roman" pitchFamily="18" charset="0"/>
                    <a:cs typeface="Times New Roman" pitchFamily="18" charset="0"/>
                  </a:defRPr>
                </a:pPr>
                <a:r>
                  <a:rPr lang="en-US" baseline="0">
                    <a:latin typeface="Times New Roman" pitchFamily="18" charset="0"/>
                    <a:cs typeface="Times New Roman" pitchFamily="18" charset="0"/>
                  </a:rPr>
                  <a:t>Sorptivity (mm)</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spPr>
          <a:ln>
            <a:solidFill>
              <a:schemeClr val="tx1"/>
            </a:solidFill>
          </a:ln>
        </c:spPr>
        <c:crossAx val="209394304"/>
        <c:crosses val="autoZero"/>
        <c:crossBetween val="between"/>
      </c:valAx>
      <c:spPr>
        <a:ln>
          <a:solidFill>
            <a:schemeClr val="tx1"/>
          </a:solidFill>
        </a:ln>
      </c:spPr>
    </c:plotArea>
    <c:legend>
      <c:legendPos val="r"/>
      <c:layout>
        <c:manualLayout>
          <c:xMode val="edge"/>
          <c:yMode val="edge"/>
          <c:x val="0.71659300205194976"/>
          <c:y val="7.7067832298789135E-2"/>
          <c:w val="0.22353417206030876"/>
          <c:h val="0.12659273367833368"/>
        </c:manualLayout>
      </c:layout>
      <c:overlay val="0"/>
      <c:spPr>
        <a:ln>
          <a:solidFill>
            <a:schemeClr val="tx2">
              <a:lumMod val="40000"/>
              <a:lumOff val="60000"/>
            </a:schemeClr>
          </a:solid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ln>
      <a:solidFill>
        <a:schemeClr val="bg2">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30341252822319"/>
          <c:y val="4.9344347179150705E-2"/>
          <c:w val="0.8200052398741039"/>
          <c:h val="0.79279235928842262"/>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errBars>
            <c:errBarType val="both"/>
            <c:errValType val="cust"/>
            <c:noEndCap val="0"/>
            <c:plus>
              <c:numRef>
                <c:f>Sheet1!$C$17:$C$21</c:f>
                <c:numCache>
                  <c:formatCode>General</c:formatCode>
                  <c:ptCount val="5"/>
                </c:numCache>
              </c:numRef>
            </c:plus>
            <c:minus>
              <c:numRef>
                <c:f>Sheet1!$C$17:$C$21</c:f>
                <c:numCache>
                  <c:formatCode>General</c:formatCode>
                  <c:ptCount val="5"/>
                </c:numCache>
              </c:numRef>
            </c:minus>
          </c:errBars>
          <c:cat>
            <c:numRef>
              <c:f>Sheet1!$B$7:$B$10</c:f>
              <c:numCache>
                <c:formatCode>General</c:formatCode>
                <c:ptCount val="4"/>
                <c:pt idx="0">
                  <c:v>60</c:v>
                </c:pt>
                <c:pt idx="1">
                  <c:v>90</c:v>
                </c:pt>
                <c:pt idx="2">
                  <c:v>120</c:v>
                </c:pt>
                <c:pt idx="3">
                  <c:v>180</c:v>
                </c:pt>
              </c:numCache>
            </c:numRef>
          </c:cat>
          <c:val>
            <c:numRef>
              <c:f>Sheet1!$C$7:$C$10</c:f>
              <c:numCache>
                <c:formatCode>0.0</c:formatCode>
                <c:ptCount val="4"/>
                <c:pt idx="0">
                  <c:v>3.4</c:v>
                </c:pt>
                <c:pt idx="1">
                  <c:v>5.6</c:v>
                </c:pt>
                <c:pt idx="2">
                  <c:v>8.1999999999999993</c:v>
                </c:pt>
                <c:pt idx="3">
                  <c:v>11.4</c:v>
                </c:pt>
              </c:numCache>
            </c:numRef>
          </c:val>
          <c:extLst>
            <c:ext xmlns:c16="http://schemas.microsoft.com/office/drawing/2014/chart" uri="{C3380CC4-5D6E-409C-BE32-E72D297353CC}">
              <c16:uniqueId val="{00000000-1066-4480-9061-ACF6203C0AB3}"/>
            </c:ext>
          </c:extLst>
        </c:ser>
        <c:ser>
          <c:idx val="2"/>
          <c:order val="1"/>
          <c:tx>
            <c:v>CPF</c:v>
          </c:tx>
          <c:spPr>
            <a:pattFill prst="narHorz">
              <a:fgClr>
                <a:srgbClr val="4F81BD"/>
              </a:fgClr>
              <a:bgClr>
                <a:srgbClr val="FFFFFF"/>
              </a:bgClr>
            </a:pattFill>
            <a:ln>
              <a:solidFill>
                <a:schemeClr val="accent1"/>
              </a:solidFill>
            </a:ln>
          </c:spPr>
          <c:invertIfNegative val="0"/>
          <c:dLbls>
            <c:delete val="1"/>
          </c:dLbls>
          <c:errBars>
            <c:errBarType val="both"/>
            <c:errValType val="cust"/>
            <c:noEndCap val="0"/>
            <c:plus>
              <c:numRef>
                <c:f>Sheet1!$D$17:$D$20</c:f>
                <c:numCache>
                  <c:formatCode>General</c:formatCode>
                  <c:ptCount val="4"/>
                </c:numCache>
              </c:numRef>
            </c:plus>
            <c:minus>
              <c:numRef>
                <c:f>Sheet1!$D$17:$D$20</c:f>
                <c:numCache>
                  <c:formatCode>General</c:formatCode>
                  <c:ptCount val="4"/>
                </c:numCache>
              </c:numRef>
            </c:minus>
          </c:errBars>
          <c:cat>
            <c:numRef>
              <c:f>Sheet1!$B$7:$B$10</c:f>
              <c:numCache>
                <c:formatCode>General</c:formatCode>
                <c:ptCount val="4"/>
                <c:pt idx="0">
                  <c:v>60</c:v>
                </c:pt>
                <c:pt idx="1">
                  <c:v>90</c:v>
                </c:pt>
                <c:pt idx="2">
                  <c:v>120</c:v>
                </c:pt>
                <c:pt idx="3">
                  <c:v>180</c:v>
                </c:pt>
              </c:numCache>
            </c:numRef>
          </c:cat>
          <c:val>
            <c:numRef>
              <c:f>Sheet1!$D$7:$D$10</c:f>
              <c:numCache>
                <c:formatCode>0.0</c:formatCode>
                <c:ptCount val="4"/>
                <c:pt idx="0">
                  <c:v>1.8</c:v>
                </c:pt>
                <c:pt idx="1">
                  <c:v>3.5</c:v>
                </c:pt>
                <c:pt idx="2">
                  <c:v>4.8</c:v>
                </c:pt>
                <c:pt idx="3">
                  <c:v>6.4</c:v>
                </c:pt>
              </c:numCache>
            </c:numRef>
          </c:val>
          <c:extLst>
            <c:ext xmlns:c16="http://schemas.microsoft.com/office/drawing/2014/chart" uri="{C3380CC4-5D6E-409C-BE32-E72D297353CC}">
              <c16:uniqueId val="{00000001-1066-4480-9061-ACF6203C0AB3}"/>
            </c:ext>
          </c:extLst>
        </c:ser>
        <c:dLbls>
          <c:showLegendKey val="0"/>
          <c:showVal val="1"/>
          <c:showCatName val="0"/>
          <c:showSerName val="0"/>
          <c:showPercent val="0"/>
          <c:showBubbleSize val="0"/>
        </c:dLbls>
        <c:gapWidth val="150"/>
        <c:overlap val="-21"/>
        <c:axId val="209419648"/>
        <c:axId val="209425920"/>
      </c:barChart>
      <c:catAx>
        <c:axId val="209419648"/>
        <c:scaling>
          <c:orientation val="minMax"/>
        </c:scaling>
        <c:delete val="0"/>
        <c:axPos val="b"/>
        <c:title>
          <c:tx>
            <c:rich>
              <a:bodyPr/>
              <a:lstStyle/>
              <a:p>
                <a:pPr>
                  <a:defRPr/>
                </a:pPr>
                <a:r>
                  <a:rPr lang="en-US"/>
                  <a:t>Duration of exposure (Days)</a:t>
                </a:r>
              </a:p>
            </c:rich>
          </c:tx>
          <c:overlay val="0"/>
        </c:title>
        <c:numFmt formatCode="General" sourceLinked="1"/>
        <c:majorTickMark val="out"/>
        <c:minorTickMark val="none"/>
        <c:tickLblPos val="nextTo"/>
        <c:spPr>
          <a:ln>
            <a:solidFill>
              <a:schemeClr val="tx1"/>
            </a:solidFill>
          </a:ln>
        </c:spPr>
        <c:crossAx val="209425920"/>
        <c:crosses val="autoZero"/>
        <c:auto val="1"/>
        <c:lblAlgn val="ctr"/>
        <c:lblOffset val="100"/>
        <c:noMultiLvlLbl val="0"/>
      </c:catAx>
      <c:valAx>
        <c:axId val="209425920"/>
        <c:scaling>
          <c:orientation val="minMax"/>
        </c:scaling>
        <c:delete val="0"/>
        <c:axPos val="l"/>
        <c:title>
          <c:tx>
            <c:rich>
              <a:bodyPr rot="-5400000" vert="horz"/>
              <a:lstStyle/>
              <a:p>
                <a:pPr>
                  <a:defRPr/>
                </a:pPr>
                <a:r>
                  <a:rPr lang="en-US"/>
                  <a:t>Weight loss (%)</a:t>
                </a:r>
              </a:p>
            </c:rich>
          </c:tx>
          <c:overlay val="0"/>
        </c:title>
        <c:numFmt formatCode="0.0" sourceLinked="1"/>
        <c:majorTickMark val="out"/>
        <c:minorTickMark val="none"/>
        <c:tickLblPos val="nextTo"/>
        <c:spPr>
          <a:ln>
            <a:solidFill>
              <a:schemeClr val="tx1"/>
            </a:solidFill>
          </a:ln>
        </c:spPr>
        <c:crossAx val="209419648"/>
        <c:crosses val="autoZero"/>
        <c:crossBetween val="between"/>
      </c:valAx>
      <c:spPr>
        <a:ln>
          <a:solidFill>
            <a:schemeClr val="tx1"/>
          </a:solidFill>
        </a:ln>
      </c:spPr>
    </c:plotArea>
    <c:legend>
      <c:legendPos val="r"/>
      <c:layout>
        <c:manualLayout>
          <c:xMode val="edge"/>
          <c:yMode val="edge"/>
          <c:x val="0.17965917268328921"/>
          <c:y val="6.8724379069206643E-2"/>
          <c:w val="0.28576557341862324"/>
          <c:h val="9.9977381613307839E-2"/>
        </c:manualLayout>
      </c:layout>
      <c:overlay val="0"/>
      <c:spPr>
        <a:ln>
          <a:solidFill>
            <a:schemeClr val="tx2">
              <a:lumMod val="40000"/>
              <a:lumOff val="60000"/>
            </a:schemeClr>
          </a:solidFill>
        </a:ln>
      </c:spPr>
    </c:legend>
    <c:plotVisOnly val="1"/>
    <c:dispBlanksAs val="gap"/>
    <c:showDLblsOverMax val="0"/>
  </c:chart>
  <c:spPr>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21953137098407"/>
          <c:y val="5.0925925925925923E-2"/>
          <c:w val="0.8070444447091617"/>
          <c:h val="0.78254629629629635"/>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cat>
            <c:numRef>
              <c:f>Sheet1!$B$7:$B$10</c:f>
              <c:numCache>
                <c:formatCode>General</c:formatCode>
                <c:ptCount val="4"/>
                <c:pt idx="0">
                  <c:v>60</c:v>
                </c:pt>
                <c:pt idx="1">
                  <c:v>90</c:v>
                </c:pt>
                <c:pt idx="2">
                  <c:v>120</c:v>
                </c:pt>
                <c:pt idx="3">
                  <c:v>180</c:v>
                </c:pt>
              </c:numCache>
            </c:numRef>
          </c:cat>
          <c:val>
            <c:numRef>
              <c:f>Sheet1!$C$7:$C$10</c:f>
              <c:numCache>
                <c:formatCode>0.0</c:formatCode>
                <c:ptCount val="4"/>
                <c:pt idx="0">
                  <c:v>27.8</c:v>
                </c:pt>
                <c:pt idx="1">
                  <c:v>21</c:v>
                </c:pt>
                <c:pt idx="2">
                  <c:v>11.9</c:v>
                </c:pt>
                <c:pt idx="3">
                  <c:v>7.2</c:v>
                </c:pt>
              </c:numCache>
            </c:numRef>
          </c:val>
          <c:extLst>
            <c:ext xmlns:c16="http://schemas.microsoft.com/office/drawing/2014/chart" uri="{C3380CC4-5D6E-409C-BE32-E72D297353CC}">
              <c16:uniqueId val="{00000000-CB44-457C-92EE-027AD85B7B8A}"/>
            </c:ext>
          </c:extLst>
        </c:ser>
        <c:ser>
          <c:idx val="2"/>
          <c:order val="1"/>
          <c:tx>
            <c:v>CPF</c:v>
          </c:tx>
          <c:spPr>
            <a:pattFill prst="narHorz">
              <a:fgClr>
                <a:srgbClr val="4F81BD"/>
              </a:fgClr>
              <a:bgClr>
                <a:srgbClr val="FFFFFF"/>
              </a:bgClr>
            </a:pattFill>
            <a:ln>
              <a:solidFill>
                <a:schemeClr val="accent1"/>
              </a:solidFill>
            </a:ln>
          </c:spPr>
          <c:invertIfNegative val="0"/>
          <c:dLbls>
            <c:delete val="1"/>
          </c:dLbls>
          <c:cat>
            <c:numRef>
              <c:f>Sheet1!$B$7:$B$10</c:f>
              <c:numCache>
                <c:formatCode>General</c:formatCode>
                <c:ptCount val="4"/>
                <c:pt idx="0">
                  <c:v>60</c:v>
                </c:pt>
                <c:pt idx="1">
                  <c:v>90</c:v>
                </c:pt>
                <c:pt idx="2">
                  <c:v>120</c:v>
                </c:pt>
                <c:pt idx="3">
                  <c:v>180</c:v>
                </c:pt>
              </c:numCache>
            </c:numRef>
          </c:cat>
          <c:val>
            <c:numRef>
              <c:f>Sheet1!$D$7:$D$10</c:f>
              <c:numCache>
                <c:formatCode>0.0</c:formatCode>
                <c:ptCount val="4"/>
                <c:pt idx="0">
                  <c:v>31.9</c:v>
                </c:pt>
                <c:pt idx="1">
                  <c:v>26.3</c:v>
                </c:pt>
                <c:pt idx="2">
                  <c:v>20.399999999999999</c:v>
                </c:pt>
                <c:pt idx="3">
                  <c:v>17.600000000000001</c:v>
                </c:pt>
              </c:numCache>
            </c:numRef>
          </c:val>
          <c:extLst>
            <c:ext xmlns:c16="http://schemas.microsoft.com/office/drawing/2014/chart" uri="{C3380CC4-5D6E-409C-BE32-E72D297353CC}">
              <c16:uniqueId val="{00000001-CB44-457C-92EE-027AD85B7B8A}"/>
            </c:ext>
          </c:extLst>
        </c:ser>
        <c:dLbls>
          <c:showLegendKey val="0"/>
          <c:showVal val="1"/>
          <c:showCatName val="0"/>
          <c:showSerName val="0"/>
          <c:showPercent val="0"/>
          <c:showBubbleSize val="0"/>
        </c:dLbls>
        <c:gapWidth val="150"/>
        <c:overlap val="-23"/>
        <c:axId val="209444224"/>
        <c:axId val="209450496"/>
      </c:barChart>
      <c:catAx>
        <c:axId val="209444224"/>
        <c:scaling>
          <c:orientation val="minMax"/>
        </c:scaling>
        <c:delete val="0"/>
        <c:axPos val="b"/>
        <c:title>
          <c:tx>
            <c:rich>
              <a:bodyPr/>
              <a:lstStyle/>
              <a:p>
                <a:pPr>
                  <a:defRPr/>
                </a:pPr>
                <a:r>
                  <a:rPr lang="en-US" baseline="0"/>
                  <a:t>Duration of exposure (Days)</a:t>
                </a:r>
                <a:endParaRPr lang="en-US"/>
              </a:p>
            </c:rich>
          </c:tx>
          <c:overlay val="0"/>
        </c:title>
        <c:numFmt formatCode="General" sourceLinked="1"/>
        <c:majorTickMark val="out"/>
        <c:minorTickMark val="none"/>
        <c:tickLblPos val="nextTo"/>
        <c:spPr>
          <a:ln>
            <a:solidFill>
              <a:schemeClr val="tx1"/>
            </a:solidFill>
          </a:ln>
        </c:spPr>
        <c:crossAx val="209450496"/>
        <c:crosses val="autoZero"/>
        <c:auto val="1"/>
        <c:lblAlgn val="ctr"/>
        <c:lblOffset val="100"/>
        <c:noMultiLvlLbl val="0"/>
      </c:catAx>
      <c:valAx>
        <c:axId val="209450496"/>
        <c:scaling>
          <c:orientation val="minMax"/>
        </c:scaling>
        <c:delete val="0"/>
        <c:axPos val="l"/>
        <c:title>
          <c:tx>
            <c:rich>
              <a:bodyPr rot="-5400000" vert="horz"/>
              <a:lstStyle/>
              <a:p>
                <a:pPr>
                  <a:defRPr/>
                </a:pPr>
                <a:r>
                  <a:rPr lang="en-US"/>
                  <a:t>Residual compressive</a:t>
                </a:r>
                <a:r>
                  <a:rPr lang="en-US" baseline="0"/>
                  <a:t> strength (MPa)</a:t>
                </a:r>
                <a:endParaRPr lang="en-US"/>
              </a:p>
            </c:rich>
          </c:tx>
          <c:overlay val="0"/>
        </c:title>
        <c:numFmt formatCode="0.0" sourceLinked="1"/>
        <c:majorTickMark val="out"/>
        <c:minorTickMark val="none"/>
        <c:tickLblPos val="nextTo"/>
        <c:spPr>
          <a:ln>
            <a:solidFill>
              <a:schemeClr val="tx1"/>
            </a:solidFill>
          </a:ln>
        </c:spPr>
        <c:crossAx val="209444224"/>
        <c:crosses val="autoZero"/>
        <c:crossBetween val="between"/>
      </c:valAx>
      <c:spPr>
        <a:ln>
          <a:solidFill>
            <a:schemeClr val="tx1"/>
          </a:solidFill>
        </a:ln>
      </c:spPr>
    </c:plotArea>
    <c:legend>
      <c:legendPos val="r"/>
      <c:layout>
        <c:manualLayout>
          <c:xMode val="edge"/>
          <c:yMode val="edge"/>
          <c:x val="0.72896470392033064"/>
          <c:y val="9.422270057969373E-2"/>
          <c:w val="0.20082750072907554"/>
          <c:h val="0.12590343473252896"/>
        </c:manualLayout>
      </c:layout>
      <c:overlay val="0"/>
      <c:spPr>
        <a:ln>
          <a:solidFill>
            <a:schemeClr val="tx2">
              <a:lumMod val="40000"/>
              <a:lumOff val="60000"/>
            </a:schemeClr>
          </a:solidFill>
        </a:ln>
      </c:sp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9417994716558"/>
          <c:y val="3.1566669096741266E-2"/>
          <c:w val="0.79465231117991975"/>
          <c:h val="0.81871811023622043"/>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errBars>
            <c:errBarType val="both"/>
            <c:errValType val="cust"/>
            <c:noEndCap val="0"/>
            <c:plus>
              <c:numRef>
                <c:f>Sheet1!$C$18:$C$21</c:f>
                <c:numCache>
                  <c:formatCode>General</c:formatCode>
                  <c:ptCount val="4"/>
                </c:numCache>
              </c:numRef>
            </c:plus>
            <c:minus>
              <c:numRef>
                <c:f>Sheet1!$C$18:$C$21</c:f>
                <c:numCache>
                  <c:formatCode>General</c:formatCode>
                  <c:ptCount val="4"/>
                </c:numCache>
              </c:numRef>
            </c:minus>
          </c:errBars>
          <c:cat>
            <c:numRef>
              <c:f>Sheet1!$B$8:$B$11</c:f>
              <c:numCache>
                <c:formatCode>General</c:formatCode>
                <c:ptCount val="4"/>
                <c:pt idx="0">
                  <c:v>60</c:v>
                </c:pt>
                <c:pt idx="1">
                  <c:v>90</c:v>
                </c:pt>
                <c:pt idx="2">
                  <c:v>120</c:v>
                </c:pt>
                <c:pt idx="3">
                  <c:v>180</c:v>
                </c:pt>
              </c:numCache>
            </c:numRef>
          </c:cat>
          <c:val>
            <c:numRef>
              <c:f>Sheet1!$C$8:$C$11</c:f>
              <c:numCache>
                <c:formatCode>0.0</c:formatCode>
                <c:ptCount val="4"/>
                <c:pt idx="0">
                  <c:v>2.1</c:v>
                </c:pt>
                <c:pt idx="1">
                  <c:v>2.9</c:v>
                </c:pt>
                <c:pt idx="2">
                  <c:v>4.5</c:v>
                </c:pt>
                <c:pt idx="3">
                  <c:v>6</c:v>
                </c:pt>
              </c:numCache>
            </c:numRef>
          </c:val>
          <c:extLst>
            <c:ext xmlns:c16="http://schemas.microsoft.com/office/drawing/2014/chart" uri="{C3380CC4-5D6E-409C-BE32-E72D297353CC}">
              <c16:uniqueId val="{00000000-B335-4FE7-980B-6807D64B4405}"/>
            </c:ext>
          </c:extLst>
        </c:ser>
        <c:ser>
          <c:idx val="2"/>
          <c:order val="1"/>
          <c:tx>
            <c:v>CPF</c:v>
          </c:tx>
          <c:spPr>
            <a:pattFill prst="narHorz">
              <a:fgClr>
                <a:srgbClr val="0070C0"/>
              </a:fgClr>
              <a:bgClr>
                <a:srgbClr val="FFFFFF"/>
              </a:bgClr>
            </a:pattFill>
            <a:ln>
              <a:solidFill>
                <a:schemeClr val="accent1"/>
              </a:solidFill>
            </a:ln>
          </c:spPr>
          <c:invertIfNegative val="0"/>
          <c:dLbls>
            <c:delete val="1"/>
          </c:dLbls>
          <c:errBars>
            <c:errBarType val="both"/>
            <c:errValType val="cust"/>
            <c:noEndCap val="0"/>
            <c:plus>
              <c:numRef>
                <c:f>Sheet1!$D$18:$D$21</c:f>
                <c:numCache>
                  <c:formatCode>General</c:formatCode>
                  <c:ptCount val="4"/>
                </c:numCache>
              </c:numRef>
            </c:plus>
            <c:minus>
              <c:numRef>
                <c:f>Sheet1!$D$18:$D$21</c:f>
                <c:numCache>
                  <c:formatCode>General</c:formatCode>
                  <c:ptCount val="4"/>
                </c:numCache>
              </c:numRef>
            </c:minus>
          </c:errBars>
          <c:cat>
            <c:numRef>
              <c:f>Sheet1!$B$8:$B$11</c:f>
              <c:numCache>
                <c:formatCode>General</c:formatCode>
                <c:ptCount val="4"/>
                <c:pt idx="0">
                  <c:v>60</c:v>
                </c:pt>
                <c:pt idx="1">
                  <c:v>90</c:v>
                </c:pt>
                <c:pt idx="2">
                  <c:v>120</c:v>
                </c:pt>
                <c:pt idx="3">
                  <c:v>180</c:v>
                </c:pt>
              </c:numCache>
            </c:numRef>
          </c:cat>
          <c:val>
            <c:numRef>
              <c:f>Sheet1!$D$8:$D$11</c:f>
              <c:numCache>
                <c:formatCode>0.0</c:formatCode>
                <c:ptCount val="4"/>
                <c:pt idx="0">
                  <c:v>1.2</c:v>
                </c:pt>
                <c:pt idx="1">
                  <c:v>1.9</c:v>
                </c:pt>
                <c:pt idx="2">
                  <c:v>2.8</c:v>
                </c:pt>
                <c:pt idx="3">
                  <c:v>3.8</c:v>
                </c:pt>
              </c:numCache>
            </c:numRef>
          </c:val>
          <c:extLst>
            <c:ext xmlns:c16="http://schemas.microsoft.com/office/drawing/2014/chart" uri="{C3380CC4-5D6E-409C-BE32-E72D297353CC}">
              <c16:uniqueId val="{00000001-B335-4FE7-980B-6807D64B4405}"/>
            </c:ext>
          </c:extLst>
        </c:ser>
        <c:dLbls>
          <c:showLegendKey val="0"/>
          <c:showVal val="1"/>
          <c:showCatName val="0"/>
          <c:showSerName val="0"/>
          <c:showPercent val="0"/>
          <c:showBubbleSize val="0"/>
        </c:dLbls>
        <c:gapWidth val="150"/>
        <c:overlap val="-21"/>
        <c:axId val="209617280"/>
        <c:axId val="209619200"/>
      </c:barChart>
      <c:catAx>
        <c:axId val="209617280"/>
        <c:scaling>
          <c:orientation val="minMax"/>
        </c:scaling>
        <c:delete val="0"/>
        <c:axPos val="b"/>
        <c:title>
          <c:tx>
            <c:rich>
              <a:bodyPr/>
              <a:lstStyle/>
              <a:p>
                <a:pPr>
                  <a:defRPr/>
                </a:pPr>
                <a:r>
                  <a:rPr lang="en-US"/>
                  <a:t>Duration of exposure (Days)</a:t>
                </a:r>
              </a:p>
            </c:rich>
          </c:tx>
          <c:overlay val="0"/>
        </c:title>
        <c:numFmt formatCode="General" sourceLinked="1"/>
        <c:majorTickMark val="out"/>
        <c:minorTickMark val="none"/>
        <c:tickLblPos val="nextTo"/>
        <c:spPr>
          <a:ln>
            <a:solidFill>
              <a:schemeClr val="tx1"/>
            </a:solidFill>
          </a:ln>
        </c:spPr>
        <c:crossAx val="209619200"/>
        <c:crosses val="autoZero"/>
        <c:auto val="1"/>
        <c:lblAlgn val="ctr"/>
        <c:lblOffset val="100"/>
        <c:noMultiLvlLbl val="0"/>
      </c:catAx>
      <c:valAx>
        <c:axId val="209619200"/>
        <c:scaling>
          <c:orientation val="minMax"/>
        </c:scaling>
        <c:delete val="0"/>
        <c:axPos val="l"/>
        <c:title>
          <c:tx>
            <c:rich>
              <a:bodyPr rot="-5400000" vert="horz"/>
              <a:lstStyle/>
              <a:p>
                <a:pPr>
                  <a:defRPr/>
                </a:pPr>
                <a:r>
                  <a:rPr lang="en-US"/>
                  <a:t>Weight loss (%)</a:t>
                </a:r>
              </a:p>
            </c:rich>
          </c:tx>
          <c:overlay val="0"/>
        </c:title>
        <c:numFmt formatCode="0.0" sourceLinked="1"/>
        <c:majorTickMark val="out"/>
        <c:minorTickMark val="none"/>
        <c:tickLblPos val="nextTo"/>
        <c:spPr>
          <a:ln>
            <a:solidFill>
              <a:schemeClr val="tx1"/>
            </a:solidFill>
          </a:ln>
        </c:spPr>
        <c:crossAx val="209617280"/>
        <c:crosses val="autoZero"/>
        <c:crossBetween val="between"/>
      </c:valAx>
      <c:spPr>
        <a:ln>
          <a:solidFill>
            <a:schemeClr val="tx1"/>
          </a:solidFill>
        </a:ln>
      </c:spPr>
    </c:plotArea>
    <c:legend>
      <c:legendPos val="r"/>
      <c:layout>
        <c:manualLayout>
          <c:xMode val="edge"/>
          <c:yMode val="edge"/>
          <c:x val="0.13561242344706914"/>
          <c:y val="6.7783377077865331E-2"/>
          <c:w val="0.29772090988626454"/>
          <c:h val="0.10280673616680035"/>
        </c:manualLayout>
      </c:layout>
      <c:overlay val="0"/>
      <c:spPr>
        <a:ln>
          <a:solidFill>
            <a:schemeClr val="tx2">
              <a:lumMod val="40000"/>
              <a:lumOff val="60000"/>
            </a:schemeClr>
          </a:solidFill>
        </a:ln>
      </c:sp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33219301161532"/>
          <c:y val="2.7777881817126291E-2"/>
          <c:w val="0.78197424429581863"/>
          <c:h val="0.81032407407407459"/>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cat>
            <c:numRef>
              <c:f>Sheet1!$B$25:$B$28</c:f>
              <c:numCache>
                <c:formatCode>General</c:formatCode>
                <c:ptCount val="4"/>
                <c:pt idx="0">
                  <c:v>60</c:v>
                </c:pt>
                <c:pt idx="1">
                  <c:v>90</c:v>
                </c:pt>
                <c:pt idx="2">
                  <c:v>120</c:v>
                </c:pt>
                <c:pt idx="3">
                  <c:v>180</c:v>
                </c:pt>
              </c:numCache>
            </c:numRef>
          </c:cat>
          <c:val>
            <c:numRef>
              <c:f>Sheet1!$C$25:$C$28</c:f>
              <c:numCache>
                <c:formatCode>0.0</c:formatCode>
                <c:ptCount val="4"/>
                <c:pt idx="0">
                  <c:v>30.8</c:v>
                </c:pt>
                <c:pt idx="1">
                  <c:v>28</c:v>
                </c:pt>
                <c:pt idx="2">
                  <c:v>25.1</c:v>
                </c:pt>
                <c:pt idx="3">
                  <c:v>20.3</c:v>
                </c:pt>
              </c:numCache>
            </c:numRef>
          </c:val>
          <c:extLst>
            <c:ext xmlns:c16="http://schemas.microsoft.com/office/drawing/2014/chart" uri="{C3380CC4-5D6E-409C-BE32-E72D297353CC}">
              <c16:uniqueId val="{00000000-1EDD-4C4D-B3F8-46C25DC9AB94}"/>
            </c:ext>
          </c:extLst>
        </c:ser>
        <c:ser>
          <c:idx val="2"/>
          <c:order val="1"/>
          <c:tx>
            <c:v>CPF</c:v>
          </c:tx>
          <c:spPr>
            <a:pattFill prst="narHorz">
              <a:fgClr>
                <a:srgbClr val="4F81BD"/>
              </a:fgClr>
              <a:bgClr>
                <a:srgbClr val="FFFFFF"/>
              </a:bgClr>
            </a:pattFill>
            <a:ln>
              <a:solidFill>
                <a:schemeClr val="accent1"/>
              </a:solidFill>
            </a:ln>
          </c:spPr>
          <c:invertIfNegative val="0"/>
          <c:dLbls>
            <c:delete val="1"/>
          </c:dLbls>
          <c:cat>
            <c:numRef>
              <c:f>Sheet1!$B$25:$B$28</c:f>
              <c:numCache>
                <c:formatCode>General</c:formatCode>
                <c:ptCount val="4"/>
                <c:pt idx="0">
                  <c:v>60</c:v>
                </c:pt>
                <c:pt idx="1">
                  <c:v>90</c:v>
                </c:pt>
                <c:pt idx="2">
                  <c:v>120</c:v>
                </c:pt>
                <c:pt idx="3">
                  <c:v>180</c:v>
                </c:pt>
              </c:numCache>
            </c:numRef>
          </c:cat>
          <c:val>
            <c:numRef>
              <c:f>Sheet1!$D$25:$D$28</c:f>
              <c:numCache>
                <c:formatCode>0.0</c:formatCode>
                <c:ptCount val="4"/>
                <c:pt idx="0">
                  <c:v>33.200000000000003</c:v>
                </c:pt>
                <c:pt idx="1">
                  <c:v>31.3</c:v>
                </c:pt>
                <c:pt idx="2">
                  <c:v>28.6</c:v>
                </c:pt>
                <c:pt idx="3">
                  <c:v>26.1</c:v>
                </c:pt>
              </c:numCache>
            </c:numRef>
          </c:val>
          <c:extLst>
            <c:ext xmlns:c16="http://schemas.microsoft.com/office/drawing/2014/chart" uri="{C3380CC4-5D6E-409C-BE32-E72D297353CC}">
              <c16:uniqueId val="{00000001-1EDD-4C4D-B3F8-46C25DC9AB94}"/>
            </c:ext>
          </c:extLst>
        </c:ser>
        <c:dLbls>
          <c:showLegendKey val="0"/>
          <c:showVal val="1"/>
          <c:showCatName val="0"/>
          <c:showSerName val="0"/>
          <c:showPercent val="0"/>
          <c:showBubbleSize val="0"/>
        </c:dLbls>
        <c:gapWidth val="150"/>
        <c:overlap val="-23"/>
        <c:axId val="209633664"/>
        <c:axId val="209635584"/>
      </c:barChart>
      <c:catAx>
        <c:axId val="209633664"/>
        <c:scaling>
          <c:orientation val="minMax"/>
        </c:scaling>
        <c:delete val="0"/>
        <c:axPos val="b"/>
        <c:title>
          <c:tx>
            <c:rich>
              <a:bodyPr/>
              <a:lstStyle/>
              <a:p>
                <a:pPr>
                  <a:defRPr/>
                </a:pPr>
                <a:r>
                  <a:rPr lang="en-US" baseline="0"/>
                  <a:t>Duration of exposure (Days)</a:t>
                </a:r>
                <a:endParaRPr lang="en-US"/>
              </a:p>
            </c:rich>
          </c:tx>
          <c:overlay val="0"/>
        </c:title>
        <c:numFmt formatCode="General" sourceLinked="1"/>
        <c:majorTickMark val="out"/>
        <c:minorTickMark val="none"/>
        <c:tickLblPos val="nextTo"/>
        <c:spPr>
          <a:ln>
            <a:solidFill>
              <a:schemeClr val="tx1"/>
            </a:solidFill>
          </a:ln>
        </c:spPr>
        <c:crossAx val="209635584"/>
        <c:crosses val="autoZero"/>
        <c:auto val="1"/>
        <c:lblAlgn val="ctr"/>
        <c:lblOffset val="100"/>
        <c:noMultiLvlLbl val="0"/>
      </c:catAx>
      <c:valAx>
        <c:axId val="209635584"/>
        <c:scaling>
          <c:orientation val="minMax"/>
        </c:scaling>
        <c:delete val="0"/>
        <c:axPos val="l"/>
        <c:title>
          <c:tx>
            <c:rich>
              <a:bodyPr rot="-5400000" vert="horz"/>
              <a:lstStyle/>
              <a:p>
                <a:pPr>
                  <a:defRPr/>
                </a:pPr>
                <a:r>
                  <a:rPr lang="en-US"/>
                  <a:t>Residual compressive</a:t>
                </a:r>
                <a:r>
                  <a:rPr lang="en-US" baseline="0"/>
                  <a:t> strength (MPa)</a:t>
                </a:r>
                <a:endParaRPr lang="en-US"/>
              </a:p>
            </c:rich>
          </c:tx>
          <c:overlay val="0"/>
        </c:title>
        <c:numFmt formatCode="0.0" sourceLinked="1"/>
        <c:majorTickMark val="out"/>
        <c:minorTickMark val="none"/>
        <c:tickLblPos val="nextTo"/>
        <c:spPr>
          <a:ln>
            <a:solidFill>
              <a:schemeClr val="tx1"/>
            </a:solidFill>
          </a:ln>
        </c:spPr>
        <c:crossAx val="209633664"/>
        <c:crosses val="autoZero"/>
        <c:crossBetween val="between"/>
      </c:valAx>
      <c:spPr>
        <a:ln>
          <a:solidFill>
            <a:schemeClr val="tx1"/>
          </a:solidFill>
        </a:ln>
      </c:spPr>
    </c:plotArea>
    <c:legend>
      <c:legendPos val="r"/>
      <c:layout>
        <c:manualLayout>
          <c:xMode val="edge"/>
          <c:yMode val="edge"/>
          <c:x val="0.60754044489429204"/>
          <c:y val="6.7401018004217342E-2"/>
          <c:w val="0.28471584227890895"/>
          <c:h val="7.5279127168128027E-2"/>
        </c:manualLayout>
      </c:layout>
      <c:overlay val="0"/>
      <c:spPr>
        <a:ln>
          <a:solidFill>
            <a:schemeClr val="tx2">
              <a:lumMod val="40000"/>
              <a:lumOff val="60000"/>
            </a:schemeClr>
          </a:solidFill>
        </a:ln>
      </c:spPr>
    </c:legend>
    <c:plotVisOnly val="1"/>
    <c:dispBlanksAs val="gap"/>
    <c:showDLblsOverMax val="0"/>
  </c:chart>
  <c:spPr>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B2AE-3C45-4B53-8F28-916B8FC5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dc:creator>
  <cp:lastModifiedBy>Kandasamy S</cp:lastModifiedBy>
  <cp:revision>2</cp:revision>
  <cp:lastPrinted>2023-08-11T04:56:00Z</cp:lastPrinted>
  <dcterms:created xsi:type="dcterms:W3CDTF">2023-09-26T14:48:00Z</dcterms:created>
  <dcterms:modified xsi:type="dcterms:W3CDTF">2023-09-26T14:48:00Z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1454f170497929bc3d26c98e6d4346566cac708923f2e9ba48c705bb3bd14217</vt:lpwstr>
  </property>
</Properties>
</file>