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D41EC" w14:textId="03F6A6AA" w:rsidR="00D64004" w:rsidRPr="003B1AF1" w:rsidRDefault="00C27669" w:rsidP="00D64004">
      <w:pPr>
        <w:pStyle w:val="MDPI12title"/>
      </w:pPr>
      <w:bookmarkStart w:id="0" w:name="_Hlk146305071"/>
      <w:r>
        <w:t xml:space="preserve">Molecular Docking of Various Chalcone Analogues for their </w:t>
      </w:r>
      <w:proofErr w:type="spellStart"/>
      <w:r>
        <w:t>Antihyperlipidemic</w:t>
      </w:r>
      <w:proofErr w:type="spellEnd"/>
      <w:r>
        <w:t xml:space="preserve"> Activity Using </w:t>
      </w:r>
      <w:proofErr w:type="spellStart"/>
      <w:r>
        <w:t>Molegro</w:t>
      </w:r>
      <w:proofErr w:type="spellEnd"/>
      <w:r>
        <w:t xml:space="preserve"> Virtual </w:t>
      </w:r>
      <w:proofErr w:type="spellStart"/>
      <w:r>
        <w:t>Docker</w:t>
      </w:r>
      <w:proofErr w:type="spellEnd"/>
      <w:r>
        <w:t xml:space="preserve"> </w:t>
      </w:r>
    </w:p>
    <w:p w14:paraId="34B6BE9F" w14:textId="06B7C798" w:rsidR="00BA6D28" w:rsidRDefault="00681650" w:rsidP="00D64004">
      <w:pPr>
        <w:pStyle w:val="MDPI13authornames"/>
      </w:pPr>
      <w:proofErr w:type="spellStart"/>
      <w:r>
        <w:t>H</w:t>
      </w:r>
      <w:r w:rsidR="00D64004" w:rsidRPr="00D945EC">
        <w:t>e</w:t>
      </w:r>
      <w:r>
        <w:t>mlata</w:t>
      </w:r>
      <w:proofErr w:type="spellEnd"/>
      <w:r>
        <w:t xml:space="preserve"> Mahant</w:t>
      </w:r>
      <w:r w:rsidR="00D64004" w:rsidRPr="001F31D1">
        <w:rPr>
          <w:vertAlign w:val="superscript"/>
        </w:rPr>
        <w:t>1</w:t>
      </w:r>
      <w:proofErr w:type="gramStart"/>
      <w:r>
        <w:rPr>
          <w:vertAlign w:val="superscript"/>
        </w:rPr>
        <w:t>,2</w:t>
      </w:r>
      <w:proofErr w:type="gramEnd"/>
      <w:r w:rsidR="00D64004" w:rsidRPr="00D945EC">
        <w:t xml:space="preserve">, </w:t>
      </w:r>
      <w:proofErr w:type="spellStart"/>
      <w:r>
        <w:t>Gitanjali</w:t>
      </w:r>
      <w:proofErr w:type="spellEnd"/>
      <w:r>
        <w:t xml:space="preserve"> Kashyap</w:t>
      </w:r>
      <w:r>
        <w:rPr>
          <w:vertAlign w:val="superscript"/>
        </w:rPr>
        <w:t>1</w:t>
      </w:r>
      <w:r>
        <w:t xml:space="preserve">, </w:t>
      </w:r>
      <w:proofErr w:type="spellStart"/>
      <w:r>
        <w:t>Vinay</w:t>
      </w:r>
      <w:proofErr w:type="spellEnd"/>
      <w:r>
        <w:t xml:space="preserve"> </w:t>
      </w:r>
      <w:proofErr w:type="spellStart"/>
      <w:r>
        <w:t>Sagar</w:t>
      </w:r>
      <w:proofErr w:type="spellEnd"/>
      <w:r>
        <w:t xml:space="preserve"> Verma</w:t>
      </w:r>
      <w:r>
        <w:rPr>
          <w:vertAlign w:val="superscript"/>
        </w:rPr>
        <w:t>1</w:t>
      </w:r>
      <w:r w:rsidR="00C27669">
        <w:t xml:space="preserve">, </w:t>
      </w:r>
      <w:proofErr w:type="spellStart"/>
      <w:r>
        <w:t>Achal</w:t>
      </w:r>
      <w:proofErr w:type="spellEnd"/>
      <w:r>
        <w:t xml:space="preserve"> Mishra</w:t>
      </w:r>
      <w:r>
        <w:rPr>
          <w:vertAlign w:val="superscript"/>
        </w:rPr>
        <w:t>1</w:t>
      </w:r>
      <w:r w:rsidR="00D64004" w:rsidRPr="001F31D1">
        <w:rPr>
          <w:vertAlign w:val="superscript"/>
        </w:rPr>
        <w:t>,</w:t>
      </w:r>
      <w:r w:rsidR="00D64004" w:rsidRPr="00331633">
        <w:t>*</w:t>
      </w:r>
    </w:p>
    <w:p w14:paraId="6CAADB96" w14:textId="17D0ADF8" w:rsidR="00D64004" w:rsidRPr="00673EC5" w:rsidRDefault="00794F16" w:rsidP="00D64004">
      <w:pPr>
        <w:pStyle w:val="MDPI16affiliation"/>
        <w:rPr>
          <w:sz w:val="24"/>
          <w:szCs w:val="24"/>
        </w:rPr>
      </w:pPr>
      <w:proofErr w:type="gramStart"/>
      <w:r w:rsidRPr="00794F16">
        <w:rPr>
          <w:vertAlign w:val="superscript"/>
        </w:rPr>
        <w:t>1</w:t>
      </w:r>
      <w:r w:rsidR="00D64004" w:rsidRPr="00673EC5">
        <w:rPr>
          <w:sz w:val="24"/>
          <w:szCs w:val="24"/>
        </w:rPr>
        <w:tab/>
      </w:r>
      <w:r w:rsidR="00F56DD3">
        <w:rPr>
          <w:sz w:val="24"/>
          <w:szCs w:val="24"/>
        </w:rPr>
        <w:t>Shri Shankaracharya Technical Campus Faculty of Pharmaceutical Sc</w:t>
      </w:r>
      <w:r w:rsidR="00F56DD3">
        <w:rPr>
          <w:sz w:val="24"/>
          <w:szCs w:val="24"/>
        </w:rPr>
        <w:t>i</w:t>
      </w:r>
      <w:r w:rsidR="00F56DD3">
        <w:rPr>
          <w:sz w:val="24"/>
          <w:szCs w:val="24"/>
        </w:rPr>
        <w:t>ences</w:t>
      </w:r>
      <w:r w:rsidR="00681650" w:rsidRPr="00673EC5">
        <w:rPr>
          <w:sz w:val="24"/>
          <w:szCs w:val="24"/>
        </w:rPr>
        <w:t>,</w:t>
      </w:r>
      <w:r w:rsidR="00F56DD3">
        <w:rPr>
          <w:sz w:val="24"/>
          <w:szCs w:val="24"/>
        </w:rPr>
        <w:t xml:space="preserve"> J</w:t>
      </w:r>
      <w:r w:rsidR="00681650" w:rsidRPr="00673EC5">
        <w:rPr>
          <w:sz w:val="24"/>
          <w:szCs w:val="24"/>
        </w:rPr>
        <w:t>unwani, Bhilai.</w:t>
      </w:r>
      <w:proofErr w:type="gramEnd"/>
      <w:r w:rsidR="00681650" w:rsidRPr="00673EC5">
        <w:rPr>
          <w:sz w:val="24"/>
          <w:szCs w:val="24"/>
        </w:rPr>
        <w:t xml:space="preserve">   </w:t>
      </w:r>
    </w:p>
    <w:p w14:paraId="71B70A5E" w14:textId="2190023D" w:rsidR="00D64004" w:rsidRPr="00673EC5" w:rsidRDefault="00D64004" w:rsidP="001512B6">
      <w:pPr>
        <w:pStyle w:val="MDPI16affiliation"/>
        <w:rPr>
          <w:sz w:val="24"/>
          <w:szCs w:val="24"/>
        </w:rPr>
      </w:pPr>
      <w:proofErr w:type="gramStart"/>
      <w:r w:rsidRPr="00673EC5">
        <w:rPr>
          <w:sz w:val="24"/>
          <w:szCs w:val="24"/>
          <w:vertAlign w:val="superscript"/>
        </w:rPr>
        <w:t>2</w:t>
      </w:r>
      <w:r w:rsidRPr="00673EC5">
        <w:rPr>
          <w:sz w:val="24"/>
          <w:szCs w:val="24"/>
        </w:rPr>
        <w:tab/>
      </w:r>
      <w:r w:rsidR="00681650" w:rsidRPr="00673EC5">
        <w:rPr>
          <w:sz w:val="24"/>
          <w:szCs w:val="24"/>
        </w:rPr>
        <w:t xml:space="preserve">Shri Shankaracharya collage of pharmaceutical sciences, </w:t>
      </w:r>
      <w:r w:rsidR="00F56DD3">
        <w:rPr>
          <w:sz w:val="24"/>
          <w:szCs w:val="24"/>
        </w:rPr>
        <w:t>J</w:t>
      </w:r>
      <w:bookmarkStart w:id="1" w:name="_GoBack"/>
      <w:bookmarkEnd w:id="1"/>
      <w:r w:rsidR="00681650" w:rsidRPr="00673EC5">
        <w:rPr>
          <w:sz w:val="24"/>
          <w:szCs w:val="24"/>
        </w:rPr>
        <w:t>unwani, Bhilai.</w:t>
      </w:r>
      <w:proofErr w:type="gramEnd"/>
    </w:p>
    <w:p w14:paraId="1615B941" w14:textId="1B19C63A" w:rsidR="00D64004" w:rsidRPr="00673EC5" w:rsidRDefault="00D64004" w:rsidP="00D64004">
      <w:pPr>
        <w:pStyle w:val="MDPI16affiliation"/>
        <w:rPr>
          <w:sz w:val="24"/>
          <w:szCs w:val="24"/>
        </w:rPr>
      </w:pPr>
      <w:r w:rsidRPr="00673EC5">
        <w:rPr>
          <w:b/>
          <w:sz w:val="24"/>
          <w:szCs w:val="24"/>
        </w:rPr>
        <w:t>*</w:t>
      </w:r>
      <w:r w:rsidRPr="00673EC5">
        <w:rPr>
          <w:sz w:val="24"/>
          <w:szCs w:val="24"/>
        </w:rPr>
        <w:tab/>
        <w:t xml:space="preserve">Correspondence: </w:t>
      </w:r>
      <w:r w:rsidR="00681650" w:rsidRPr="00673EC5">
        <w:rPr>
          <w:sz w:val="24"/>
          <w:szCs w:val="24"/>
        </w:rPr>
        <w:t>achal.mishra03@</w:t>
      </w:r>
      <w:r w:rsidRPr="00673EC5">
        <w:rPr>
          <w:sz w:val="24"/>
          <w:szCs w:val="24"/>
        </w:rPr>
        <w:t>.</w:t>
      </w:r>
      <w:r w:rsidR="00681650" w:rsidRPr="00673EC5">
        <w:rPr>
          <w:sz w:val="24"/>
          <w:szCs w:val="24"/>
        </w:rPr>
        <w:t>gmail.</w:t>
      </w:r>
      <w:r w:rsidR="00F56DD3">
        <w:rPr>
          <w:sz w:val="24"/>
          <w:szCs w:val="24"/>
        </w:rPr>
        <w:t>com</w:t>
      </w:r>
    </w:p>
    <w:p w14:paraId="5A70A4E4" w14:textId="77777777" w:rsidR="00295605" w:rsidRPr="00673EC5" w:rsidRDefault="00295605" w:rsidP="00295605">
      <w:pPr>
        <w:adjustRightInd w:val="0"/>
        <w:snapToGrid w:val="0"/>
        <w:spacing w:before="240"/>
        <w:ind w:left="2608"/>
        <w:rPr>
          <w:rFonts w:eastAsia="Times New Roman"/>
          <w:noProof w:val="0"/>
          <w:sz w:val="24"/>
          <w:szCs w:val="24"/>
          <w:lang w:val="en-IN" w:eastAsia="de-DE" w:bidi="en-US"/>
        </w:rPr>
      </w:pPr>
      <w:r w:rsidRPr="00673EC5">
        <w:rPr>
          <w:rFonts w:eastAsia="Times New Roman"/>
          <w:b/>
          <w:noProof w:val="0"/>
          <w:sz w:val="24"/>
          <w:szCs w:val="24"/>
          <w:lang w:eastAsia="de-DE" w:bidi="en-US"/>
        </w:rPr>
        <w:t xml:space="preserve">Abstract: </w:t>
      </w:r>
      <w:r w:rsidRPr="00673EC5">
        <w:rPr>
          <w:rFonts w:eastAsia="Times New Roman"/>
          <w:noProof w:val="0"/>
          <w:sz w:val="24"/>
          <w:szCs w:val="24"/>
          <w:lang w:val="en-IN" w:eastAsia="de-DE" w:bidi="en-US"/>
        </w:rPr>
        <w:t xml:space="preserve">A high quantity of fat particles (lipids) in the blood is a disorder known as </w:t>
      </w:r>
      <w:proofErr w:type="spellStart"/>
      <w:r w:rsidRPr="00673EC5">
        <w:rPr>
          <w:rFonts w:eastAsia="Times New Roman"/>
          <w:noProof w:val="0"/>
          <w:sz w:val="24"/>
          <w:szCs w:val="24"/>
          <w:lang w:val="en-IN" w:eastAsia="de-DE" w:bidi="en-US"/>
        </w:rPr>
        <w:t>hyperlipidemia</w:t>
      </w:r>
      <w:proofErr w:type="spellEnd"/>
      <w:r w:rsidRPr="00673EC5">
        <w:rPr>
          <w:rFonts w:eastAsia="Times New Roman"/>
          <w:noProof w:val="0"/>
          <w:sz w:val="24"/>
          <w:szCs w:val="24"/>
          <w:lang w:val="en-IN" w:eastAsia="de-DE" w:bidi="en-US"/>
        </w:rPr>
        <w:t xml:space="preserve">. Antihyperlipidemic drugs work to enhance HDL cholesterol, while others work to lower triglyceride levels and low-density lipoprotein cholesterol levels. In this paper, we investigate many substituted </w:t>
      </w:r>
      <w:proofErr w:type="spellStart"/>
      <w:r w:rsidRPr="00673EC5">
        <w:rPr>
          <w:rFonts w:eastAsia="Times New Roman"/>
          <w:noProof w:val="0"/>
          <w:sz w:val="24"/>
          <w:szCs w:val="24"/>
          <w:lang w:val="en-IN" w:eastAsia="de-DE" w:bidi="en-US"/>
        </w:rPr>
        <w:t>chalcone</w:t>
      </w:r>
      <w:proofErr w:type="spellEnd"/>
      <w:r w:rsidRPr="00673EC5">
        <w:rPr>
          <w:rFonts w:eastAsia="Times New Roman"/>
          <w:noProof w:val="0"/>
          <w:sz w:val="24"/>
          <w:szCs w:val="24"/>
          <w:lang w:val="en-IN" w:eastAsia="de-DE" w:bidi="en-US"/>
        </w:rPr>
        <w:t xml:space="preserve"> </w:t>
      </w:r>
      <w:proofErr w:type="spellStart"/>
      <w:r w:rsidRPr="00673EC5">
        <w:rPr>
          <w:rFonts w:eastAsia="Times New Roman"/>
          <w:noProof w:val="0"/>
          <w:sz w:val="24"/>
          <w:szCs w:val="24"/>
          <w:lang w:val="en-IN" w:eastAsia="de-DE" w:bidi="en-US"/>
        </w:rPr>
        <w:t>analogs</w:t>
      </w:r>
      <w:proofErr w:type="spellEnd"/>
      <w:r w:rsidRPr="00673EC5">
        <w:rPr>
          <w:rFonts w:eastAsia="Times New Roman"/>
          <w:noProof w:val="0"/>
          <w:sz w:val="24"/>
          <w:szCs w:val="24"/>
          <w:lang w:val="en-IN" w:eastAsia="de-DE" w:bidi="en-US"/>
        </w:rPr>
        <w:t xml:space="preserve">. Using the </w:t>
      </w:r>
      <w:proofErr w:type="spellStart"/>
      <w:r w:rsidRPr="00673EC5">
        <w:rPr>
          <w:rFonts w:eastAsia="Times New Roman"/>
          <w:noProof w:val="0"/>
          <w:sz w:val="24"/>
          <w:szCs w:val="24"/>
          <w:lang w:val="en-IN" w:eastAsia="de-DE" w:bidi="en-US"/>
        </w:rPr>
        <w:t>Molegro</w:t>
      </w:r>
      <w:proofErr w:type="spellEnd"/>
      <w:r w:rsidRPr="00673EC5">
        <w:rPr>
          <w:rFonts w:eastAsia="Times New Roman"/>
          <w:noProof w:val="0"/>
          <w:sz w:val="24"/>
          <w:szCs w:val="24"/>
          <w:lang w:val="en-IN" w:eastAsia="de-DE" w:bidi="en-US"/>
        </w:rPr>
        <w:t xml:space="preserve"> virtual </w:t>
      </w:r>
      <w:proofErr w:type="spellStart"/>
      <w:r w:rsidRPr="00673EC5">
        <w:rPr>
          <w:rFonts w:eastAsia="Times New Roman"/>
          <w:noProof w:val="0"/>
          <w:sz w:val="24"/>
          <w:szCs w:val="24"/>
          <w:lang w:val="en-IN" w:eastAsia="de-DE" w:bidi="en-US"/>
        </w:rPr>
        <w:t>Docker</w:t>
      </w:r>
      <w:proofErr w:type="spellEnd"/>
      <w:r w:rsidRPr="00673EC5">
        <w:rPr>
          <w:rFonts w:eastAsia="Times New Roman"/>
          <w:noProof w:val="0"/>
          <w:sz w:val="24"/>
          <w:szCs w:val="24"/>
          <w:lang w:val="en-IN" w:eastAsia="de-DE" w:bidi="en-US"/>
        </w:rPr>
        <w:t xml:space="preserve"> program, we </w:t>
      </w:r>
      <w:proofErr w:type="spellStart"/>
      <w:r w:rsidRPr="00673EC5">
        <w:rPr>
          <w:rFonts w:eastAsia="Times New Roman"/>
          <w:noProof w:val="0"/>
          <w:sz w:val="24"/>
          <w:szCs w:val="24"/>
          <w:lang w:val="en-IN" w:eastAsia="de-DE" w:bidi="en-US"/>
        </w:rPr>
        <w:t>analyze</w:t>
      </w:r>
      <w:proofErr w:type="spellEnd"/>
      <w:r w:rsidRPr="00673EC5">
        <w:rPr>
          <w:rFonts w:eastAsia="Times New Roman"/>
          <w:noProof w:val="0"/>
          <w:sz w:val="24"/>
          <w:szCs w:val="24"/>
          <w:lang w:val="en-IN" w:eastAsia="de-DE" w:bidi="en-US"/>
        </w:rPr>
        <w:t xml:space="preserve"> the docking experiments of the substituted </w:t>
      </w:r>
      <w:proofErr w:type="spellStart"/>
      <w:r w:rsidRPr="00673EC5">
        <w:rPr>
          <w:rFonts w:eastAsia="Times New Roman"/>
          <w:noProof w:val="0"/>
          <w:sz w:val="24"/>
          <w:szCs w:val="24"/>
          <w:lang w:val="en-IN" w:eastAsia="de-DE" w:bidi="en-US"/>
        </w:rPr>
        <w:t>chalcone</w:t>
      </w:r>
      <w:proofErr w:type="spellEnd"/>
      <w:r w:rsidRPr="00673EC5">
        <w:rPr>
          <w:rFonts w:eastAsia="Times New Roman"/>
          <w:noProof w:val="0"/>
          <w:sz w:val="24"/>
          <w:szCs w:val="24"/>
          <w:lang w:val="en-IN" w:eastAsia="de-DE" w:bidi="en-US"/>
        </w:rPr>
        <w:t xml:space="preserve"> </w:t>
      </w:r>
      <w:proofErr w:type="spellStart"/>
      <w:r w:rsidRPr="00673EC5">
        <w:rPr>
          <w:rFonts w:eastAsia="Times New Roman"/>
          <w:noProof w:val="0"/>
          <w:sz w:val="24"/>
          <w:szCs w:val="24"/>
          <w:lang w:val="en-IN" w:eastAsia="de-DE" w:bidi="en-US"/>
        </w:rPr>
        <w:t>analogus</w:t>
      </w:r>
      <w:proofErr w:type="spellEnd"/>
      <w:r w:rsidRPr="00673EC5">
        <w:rPr>
          <w:rFonts w:eastAsia="Times New Roman"/>
          <w:noProof w:val="0"/>
          <w:sz w:val="24"/>
          <w:szCs w:val="24"/>
          <w:lang w:val="en-IN" w:eastAsia="de-DE" w:bidi="en-US"/>
        </w:rPr>
        <w:t xml:space="preserve"> as the anti-</w:t>
      </w:r>
      <w:proofErr w:type="spellStart"/>
      <w:r w:rsidRPr="00673EC5">
        <w:rPr>
          <w:rFonts w:eastAsia="Times New Roman"/>
          <w:noProof w:val="0"/>
          <w:sz w:val="24"/>
          <w:szCs w:val="24"/>
          <w:lang w:val="en-IN" w:eastAsia="de-DE" w:bidi="en-US"/>
        </w:rPr>
        <w:t>hyperlipidemic</w:t>
      </w:r>
      <w:proofErr w:type="spellEnd"/>
      <w:r w:rsidRPr="00673EC5">
        <w:rPr>
          <w:rFonts w:eastAsia="Times New Roman"/>
          <w:noProof w:val="0"/>
          <w:sz w:val="24"/>
          <w:szCs w:val="24"/>
          <w:lang w:val="en-IN" w:eastAsia="de-DE" w:bidi="en-US"/>
        </w:rPr>
        <w:t xml:space="preserve"> drug in this study. Out of 650 co</w:t>
      </w:r>
      <w:r w:rsidRPr="00673EC5">
        <w:rPr>
          <w:rFonts w:eastAsia="Times New Roman"/>
          <w:noProof w:val="0"/>
          <w:sz w:val="24"/>
          <w:szCs w:val="24"/>
          <w:lang w:val="en-IN" w:eastAsia="de-DE" w:bidi="en-US"/>
        </w:rPr>
        <w:t>m</w:t>
      </w:r>
      <w:r w:rsidRPr="00673EC5">
        <w:rPr>
          <w:rFonts w:eastAsia="Times New Roman"/>
          <w:noProof w:val="0"/>
          <w:sz w:val="24"/>
          <w:szCs w:val="24"/>
          <w:lang w:val="en-IN" w:eastAsia="de-DE" w:bidi="en-US"/>
        </w:rPr>
        <w:t>pounds, our research found that over 10 compounds had substantial binding affinities with five different types of proteins. The five different protein receptor types 1EZF, 1OSH, 2ZNN, 2ZNQ, and 3LD6 each demonstrated strong binding affinity for the substances 444, 419, 380, 366, and 234. Researchers can create another powerful chemical that acts as an anti-</w:t>
      </w:r>
      <w:proofErr w:type="spellStart"/>
      <w:r w:rsidRPr="00673EC5">
        <w:rPr>
          <w:rFonts w:eastAsia="Times New Roman"/>
          <w:noProof w:val="0"/>
          <w:sz w:val="24"/>
          <w:szCs w:val="24"/>
          <w:lang w:val="en-IN" w:eastAsia="de-DE" w:bidi="en-US"/>
        </w:rPr>
        <w:t>hyperlipidemic</w:t>
      </w:r>
      <w:proofErr w:type="spellEnd"/>
      <w:r w:rsidRPr="00673EC5">
        <w:rPr>
          <w:rFonts w:eastAsia="Times New Roman"/>
          <w:noProof w:val="0"/>
          <w:sz w:val="24"/>
          <w:szCs w:val="24"/>
          <w:lang w:val="en-IN" w:eastAsia="de-DE" w:bidi="en-US"/>
        </w:rPr>
        <w:t xml:space="preserve"> drug using docking experiments.</w:t>
      </w:r>
    </w:p>
    <w:p w14:paraId="2E729419" w14:textId="77777777" w:rsidR="00295605" w:rsidRPr="00295605" w:rsidRDefault="00295605" w:rsidP="00295605">
      <w:pPr>
        <w:adjustRightInd w:val="0"/>
        <w:snapToGrid w:val="0"/>
        <w:spacing w:before="240"/>
        <w:ind w:left="2608"/>
        <w:rPr>
          <w:rFonts w:eastAsia="Times New Roman"/>
          <w:b/>
          <w:noProof w:val="0"/>
          <w:sz w:val="18"/>
          <w:szCs w:val="18"/>
          <w:lang w:val="en-IN" w:eastAsia="de-DE" w:bidi="en-US"/>
        </w:rPr>
      </w:pPr>
      <w:r w:rsidRPr="00673EC5">
        <w:rPr>
          <w:rFonts w:eastAsia="Times New Roman"/>
          <w:b/>
          <w:noProof w:val="0"/>
          <w:sz w:val="24"/>
          <w:szCs w:val="24"/>
          <w:lang w:eastAsia="de-DE" w:bidi="en-US"/>
        </w:rPr>
        <w:t xml:space="preserve">Keywords: </w:t>
      </w:r>
      <w:r w:rsidRPr="00673EC5">
        <w:rPr>
          <w:rFonts w:eastAsia="Times New Roman"/>
          <w:noProof w:val="0"/>
          <w:sz w:val="24"/>
          <w:szCs w:val="24"/>
          <w:lang w:eastAsia="de-DE" w:bidi="en-US"/>
        </w:rPr>
        <w:t xml:space="preserve">keyword 1; </w:t>
      </w:r>
      <w:proofErr w:type="spellStart"/>
      <w:r w:rsidRPr="00673EC5">
        <w:rPr>
          <w:rFonts w:eastAsia="Times New Roman"/>
          <w:noProof w:val="0"/>
          <w:sz w:val="24"/>
          <w:szCs w:val="24"/>
          <w:lang w:val="en-IN" w:eastAsia="de-DE" w:bidi="en-US"/>
        </w:rPr>
        <w:t>Molegro</w:t>
      </w:r>
      <w:proofErr w:type="spellEnd"/>
      <w:r w:rsidRPr="00673EC5">
        <w:rPr>
          <w:rFonts w:eastAsia="Times New Roman"/>
          <w:noProof w:val="0"/>
          <w:sz w:val="24"/>
          <w:szCs w:val="24"/>
          <w:lang w:val="en-IN" w:eastAsia="de-DE" w:bidi="en-US"/>
        </w:rPr>
        <w:t xml:space="preserve"> Virtual </w:t>
      </w:r>
      <w:proofErr w:type="spellStart"/>
      <w:r w:rsidRPr="00673EC5">
        <w:rPr>
          <w:rFonts w:eastAsia="Times New Roman"/>
          <w:noProof w:val="0"/>
          <w:sz w:val="24"/>
          <w:szCs w:val="24"/>
          <w:lang w:val="en-IN" w:eastAsia="de-DE" w:bidi="en-US"/>
        </w:rPr>
        <w:t>Docker</w:t>
      </w:r>
      <w:proofErr w:type="spellEnd"/>
      <w:r w:rsidRPr="00673EC5">
        <w:rPr>
          <w:rFonts w:eastAsia="Times New Roman"/>
          <w:noProof w:val="0"/>
          <w:sz w:val="24"/>
          <w:szCs w:val="24"/>
          <w:lang w:eastAsia="de-DE" w:bidi="en-US"/>
        </w:rPr>
        <w:t xml:space="preserve"> 2; </w:t>
      </w:r>
      <w:r w:rsidRPr="00673EC5">
        <w:rPr>
          <w:rFonts w:eastAsia="Times New Roman"/>
          <w:noProof w:val="0"/>
          <w:sz w:val="24"/>
          <w:szCs w:val="24"/>
          <w:lang w:val="en-IN" w:eastAsia="de-DE" w:bidi="en-US"/>
        </w:rPr>
        <w:t>RCSB</w:t>
      </w:r>
      <w:r w:rsidRPr="00673EC5">
        <w:rPr>
          <w:rFonts w:eastAsia="Times New Roman"/>
          <w:noProof w:val="0"/>
          <w:sz w:val="24"/>
          <w:szCs w:val="24"/>
          <w:lang w:eastAsia="de-DE" w:bidi="en-US"/>
        </w:rPr>
        <w:t xml:space="preserve"> 3;</w:t>
      </w:r>
      <w:r w:rsidRPr="00673EC5">
        <w:rPr>
          <w:rFonts w:eastAsia="Times New Roman"/>
          <w:noProof w:val="0"/>
          <w:sz w:val="24"/>
          <w:szCs w:val="24"/>
          <w:lang w:val="en-IN" w:eastAsia="de-DE" w:bidi="en-US"/>
        </w:rPr>
        <w:t xml:space="preserve"> HDL</w:t>
      </w:r>
      <w:r w:rsidRPr="00673EC5">
        <w:rPr>
          <w:rFonts w:eastAsia="Times New Roman"/>
          <w:noProof w:val="0"/>
          <w:sz w:val="24"/>
          <w:szCs w:val="24"/>
          <w:lang w:eastAsia="de-DE" w:bidi="en-US"/>
        </w:rPr>
        <w:t xml:space="preserve"> 4;</w:t>
      </w:r>
      <w:r w:rsidRPr="00673EC5">
        <w:rPr>
          <w:rFonts w:eastAsia="Times New Roman"/>
          <w:noProof w:val="0"/>
          <w:sz w:val="24"/>
          <w:szCs w:val="24"/>
          <w:lang w:val="en-IN" w:eastAsia="de-DE" w:bidi="en-US"/>
        </w:rPr>
        <w:t xml:space="preserve"> 3D structure</w:t>
      </w:r>
      <w:r w:rsidRPr="00295605">
        <w:rPr>
          <w:rFonts w:eastAsia="Times New Roman"/>
          <w:noProof w:val="0"/>
          <w:sz w:val="18"/>
          <w:szCs w:val="18"/>
          <w:lang w:eastAsia="de-DE" w:bidi="en-US"/>
        </w:rPr>
        <w:t xml:space="preserve"> </w:t>
      </w:r>
    </w:p>
    <w:p w14:paraId="7CA851AE"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bidi="en-US"/>
        </w:rPr>
      </w:pPr>
      <w:r w:rsidRPr="00295605">
        <w:rPr>
          <w:rFonts w:eastAsia="Times New Roman"/>
          <w:b/>
          <w:noProof w:val="0"/>
          <w:snapToGrid w:val="0"/>
          <w:szCs w:val="22"/>
          <w:lang w:bidi="en-US"/>
        </w:rPr>
        <w:t>1. Introduction</w:t>
      </w:r>
    </w:p>
    <w:p w14:paraId="60526ECE" w14:textId="77777777" w:rsidR="00295605" w:rsidRPr="00295605" w:rsidRDefault="00295605" w:rsidP="00D159D3">
      <w:pPr>
        <w:adjustRightInd w:val="0"/>
        <w:snapToGrid w:val="0"/>
        <w:spacing w:before="240" w:after="60" w:line="228" w:lineRule="auto"/>
        <w:ind w:left="2608" w:firstLine="425"/>
        <w:outlineLvl w:val="0"/>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t>In addition to performing other important biochemical activities for maintaining the health of the human heart, cholesterol is a key component in the production of me</w:t>
      </w:r>
      <w:r w:rsidRPr="00295605">
        <w:rPr>
          <w:rFonts w:eastAsia="Times New Roman"/>
          <w:noProof w:val="0"/>
          <w:snapToGrid w:val="0"/>
          <w:szCs w:val="22"/>
          <w:lang w:val="en-IN" w:eastAsia="de-DE" w:bidi="en-US"/>
        </w:rPr>
        <w:t>m</w:t>
      </w:r>
      <w:r w:rsidRPr="00295605">
        <w:rPr>
          <w:rFonts w:eastAsia="Times New Roman"/>
          <w:noProof w:val="0"/>
          <w:snapToGrid w:val="0"/>
          <w:szCs w:val="22"/>
          <w:lang w:val="en-IN" w:eastAsia="de-DE" w:bidi="en-US"/>
        </w:rPr>
        <w:t>branes.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{"citationItems":[{"id":"ITEM-1","itemData":{"DOI":"10.2147/DDDT.S158554","ISSN":"11778881","PMID":"30127594","abstract":"Background: Hyperlipidemia is a worth-mentioning risk factor in quickly expanding cardiovascular diseases, including myocardial infarction and, furthermore, in stroke. Methods: The present work describes the synthesis of phenolic derivatives 4a–e and 6a–c with the aim of developing antihyperlipidemic agents. The structures of the synthesized compounds were confirmed by spectroscopic data. The in silico docking studies were performed against human 3-hydroxy-3-methylglutaryl-coenzyme A (HMG CoA) reductase enzyme (PDB ID: 1HWK), and it was observed that compounds 4a and 6a exhibited maximum binding affinity with target protein having binding energies −8.3 and −7.9 kcal, respectively. Results: Compound 4a interacts with amino acids Val805 with distance 1.89 Å and Met656, Thr558, and Glu559 with bonding distances 2.96, 2.70, and 2.20 Å, respectively. The in vivo antihyperlipidemic activity results revealed that compound 4a indicated minimum weight increment, ie, 20% compared with 35% weight increment with standard drug atorvastatin during 6 weeks of treatment. Moreover, increment in high-density lipoprotein cholesterol and decrease in total cholesterol, low-density lipoprotein cholesterol, and triglyceride levels were more prominent in case of 4a compared to atorvastatin with P&lt;0.05. The synthesized compounds were nontoxic and well tolerated because none of the mice were found to suffer from any kind of morbidity and death during 6 weeks of dosing. Conclusion: Based on our pharmacological evaluation, we may propose that compound 4a may act as a lead structure for the design and development of more potent antihyperlipidemic drugs.","author":[{"dropping-particle":"","family":"Aqeel","given":"Muhammad Tahir","non-dropping-particle":"","parse-names":false,"suffix":""},{"dropping-particle":"","family":"Ur-Rahman","given":"Nisar","non-dropping-particle":"","parse-names":false,"suffix":""},{"dropping-particle":"","family":"Khan","given":"Arif Ullah","non-dropping-particle":"","parse-names":false,"suffix":""},{"dropping-particle":"","family":"Ashraf","given":"Zaman","non-dropping-particle":"","parse-names":false,"suffix":""},{"dropping-particle":"","family":"Latif","given":"Muhammad","non-dropping-particle":"","parse-names":false,"suffix":""},{"dropping-particle":"","family":"Rafique","given":"Hummera","non-dropping-particle":"","parse-names":false,"suffix":""},{"dropping-particle":"","family":"Rasheed","given":"Usman","non-dropping-particle":"","parse-names":false,"suffix":""}],"container-title":"Drug Design, Development and Therapy","id":"ITEM-1","issued":{"date-parts":[["2018"]]},"page":"2443-2453","title":"Antihyperlipidemic studies of newly synthesized phenolic derivatives: In silico and in vivo approaches","type":"article-journal","volume":"12"},"uris":["http://www.mendeley.com/documents/?uuid=c630c286-e69f-4a94-a6aa-b80c7c6173d0"]}],"mendeley":{"formattedCitation":"(1)","plainTextFormattedCitation":"(1)","previouslyFormattedCitation":"(1)"},"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However, atherosclerotic cardiovascular diseases such as coronary heart di</w:t>
      </w:r>
      <w:r w:rsidRPr="00295605">
        <w:rPr>
          <w:rFonts w:eastAsia="Times New Roman"/>
          <w:noProof w:val="0"/>
          <w:snapToGrid w:val="0"/>
          <w:szCs w:val="22"/>
          <w:lang w:val="en-IN" w:eastAsia="de-DE" w:bidi="en-US"/>
        </w:rPr>
        <w:t>s</w:t>
      </w:r>
      <w:r w:rsidRPr="00295605">
        <w:rPr>
          <w:rFonts w:eastAsia="Times New Roman"/>
          <w:noProof w:val="0"/>
          <w:snapToGrid w:val="0"/>
          <w:szCs w:val="22"/>
          <w:lang w:val="en-IN" w:eastAsia="de-DE" w:bidi="en-US"/>
        </w:rPr>
        <w:t>ease and stroke arise when plasma cholesterol levels rise above what is necessary for these processes.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{"citationItems":[{"id":"ITEM-1","itemData":{"DOI":"10.1016/j.carbpol.2019.01.039","ISSN":"01448617","PMID":"30732817","abstract":"This study investigated the in vitro and in silico inhibitory properties of fucoidan extracted from Turbinaria conoides against α-amylase and α-D-glucosidase. Extracted fucoidan contained 59 and 35% of fucose and sulphate and was characterized using 1 H NMR. Dose dependent inhibition assays showed maximum of 85 and 72% of inhibition for α-amylase and α-D-glucosidase at 2.07 and 1.03 μM concentration of fucoidan. The IC 50 value of fucoidan was found to be 1.07 and 0.68 μM against α-amylase and α-D-glucosidase. In silico studies (grid based docking) by Schrödinger software revealed that fucoidan as a potent inhibitor for both α-amylase and α-D-glucosidase based on number of interactions, hydrogen bond length and binding energy. Furthermore, fucoidan fulfilled the pharmacokinetic properties thus promising to develop fucoidan as drug for type 2 DM.","author":[{"dropping-particle":"","family":"S.","given":"Lakshmana Senthil","non-dropping-particle":"","parse-names":false,"suffix":""},{"dropping-particle":"","family":"Raghu","given":"Chandrasekaran","non-dropping-particle":"","parse-names":false,"suffix":""},{"dropping-particle":"","family":"Arjun","given":"H. A.","non-dropping-particle":"","parse-names":false,"suffix":""},{"dropping-particle":"","family":"Anantharaman","given":"P.","non-dropping-particle":"","parse-names":false,"suffix":""}],"container-title":"Carbohydrate Polymers","id":"ITEM-1","issue":"1. Aqeel MT, Ur-Rahman N, Khan AU, Ashraf Z, Latif M, Rafique H, et al. Antihyperlipidemic studies of newly synthesized phenolic derivatives: In silico and in vivo approaches. Drug Des Devel Ther. 2018;12:2443–53. 2. Meng X-Y, Zhang H-X, Mezei M, Cui M. M","issued":{"date-parts":[["2019"]]},"page":"350-355","title":"In vitro and in silico inhibition properties of fucoidan against α-amylase and α-D-glucosidase with relevance to type 2 diabetes mellitus","type":"article-journal","volume":"209"},"uris":["http://www.mendeley.com/documents/?uuid=66ab5e45-32d5-4a53-88ad-fb8188090342"]}],"mendeley":{"formattedCitation":"(2)","plainTextFormattedCitation":"(2)","previouslyFormattedCitation":"(2)"},"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(2)</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Additionally, hyper-</w:t>
      </w:r>
      <w:proofErr w:type="spellStart"/>
      <w:r w:rsidRPr="00295605">
        <w:rPr>
          <w:rFonts w:eastAsia="Times New Roman"/>
          <w:noProof w:val="0"/>
          <w:snapToGrid w:val="0"/>
          <w:szCs w:val="22"/>
          <w:lang w:val="en-IN" w:eastAsia="de-DE" w:bidi="en-US"/>
        </w:rPr>
        <w:t>lipidemia</w:t>
      </w:r>
      <w:proofErr w:type="spellEnd"/>
      <w:r w:rsidRPr="00295605">
        <w:rPr>
          <w:rFonts w:eastAsia="Times New Roman"/>
          <w:noProof w:val="0"/>
          <w:snapToGrid w:val="0"/>
          <w:szCs w:val="22"/>
          <w:lang w:val="en-IN" w:eastAsia="de-DE" w:bidi="en-US"/>
        </w:rPr>
        <w:t xml:space="preserve"> may hide the liver and muscle insulin resistance that starts the development of diabetes in patients and cause additional irre</w:t>
      </w:r>
      <w:r w:rsidRPr="00295605">
        <w:rPr>
          <w:rFonts w:eastAsia="Times New Roman"/>
          <w:noProof w:val="0"/>
          <w:snapToGrid w:val="0"/>
          <w:szCs w:val="22"/>
          <w:lang w:val="en-IN" w:eastAsia="de-DE" w:bidi="en-US"/>
        </w:rPr>
        <w:t>g</w:t>
      </w:r>
      <w:r w:rsidRPr="00295605">
        <w:rPr>
          <w:rFonts w:eastAsia="Times New Roman"/>
          <w:noProof w:val="0"/>
          <w:snapToGrid w:val="0"/>
          <w:szCs w:val="22"/>
          <w:lang w:val="en-IN" w:eastAsia="de-DE" w:bidi="en-US"/>
        </w:rPr>
        <w:t>ularities such as the oxidation of free fatty acids, which results in the creation of ketone bodies.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{"citationItems":[{"id":"ITEM-1","itemData":{"DOI":"10.1007/s00044-016-1675-y","ISSN":"15548120","abstract":"A novel series of thiazolidine-2,4-diones was designed, synthesized and investigated for anti-diabetic activity. The (2,4-dioxo-1,3-thiazolidin-5-yl)methylphenylbenzamide derivatives contain an amide linkage between the central aryl ring and the hydrophobic tail. Structures of the compounds were confirmed by spectroscopic techniques fourier transform infrared spectroscopy, 1H-nuclear magnetic resonance and elemental (C, H, N) analysis. The synthesized compounds were evaluated for their in-vivo pharmacological activity (blood glucose and triglyceride lowering activity), where compounds thiazolidinediones-C and thiazolidinediones-E showed significant effects, comparable to the standard pioglitazone. Computational studies positively substantiated the nature and interaction of the designed compounds with peroxisome proliferator-activated receptor gamma.","author":[{"dropping-particle":"","family":"Shrivastava","given":"Sushant K.","non-dropping-particle":"","parse-names":false,"suffix":""},{"dropping-particle":"","family":"Batham","given":"Ankit","non-dropping-particle":"","parse-names":false,"suffix":""},{"dropping-particle":"","family":"Sinha","given":"Saurabh K.","non-dropping-particle":"","parse-names":false,"suffix":""},{"dropping-particle":"","family":"Parida","given":"Tanmaya K.","non-dropping-particle":"","parse-names":false,"suffix":""},{"dropping-particle":"","family":"Garabadu","given":"Debapriya","non-dropping-particle":"","parse-names":false,"suffix":""},{"dropping-particle":"","family":"Choubey","given":"Priyanka K.","non-dropping-particle":"","parse-names":false,"suffix":""}],"container-title":"Medicinal Chemistry Research","id":"ITEM-1","issue":"1. Aqeel MT, Ur-Rahman N, Khan AU, Ashraf Z, Latif M, Rafique H, et al. Antihyperlipidemic studies of newly synthesized phenolic derivatives: In silico and in vivo approaches. Drug Des Devel Ther. 2018;12:2443–53. 2. Meng X-Y, Zhang H-X, Mezei M, Cui M. M","issued":{"date-parts":[["2016"]]},"page":"2258-2266","publisher":"Springer US","title":"Design, synthesis and evaluation of novel thiazolidinedione derivatives as anti-hyperglycemic and anti-hyperlipidemic agents","type":"article-journal","volume":"25"},"uris":["http://www.mendeley.com/documents/?uuid=64b863f3-630f-4eb2-a04b-77c1c9c8313c"]}],"mendeley":{"formattedCitation":"(3)","plainTextFormattedCitation":"(3)","previouslyFormattedCitation":"(3)"},"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(3)</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Anti-</w:t>
      </w:r>
      <w:proofErr w:type="spellStart"/>
      <w:r w:rsidRPr="00295605">
        <w:rPr>
          <w:rFonts w:eastAsia="Times New Roman"/>
          <w:noProof w:val="0"/>
          <w:snapToGrid w:val="0"/>
          <w:szCs w:val="22"/>
          <w:lang w:val="en-IN" w:eastAsia="de-DE" w:bidi="en-US"/>
        </w:rPr>
        <w:t>hyperlipidemic</w:t>
      </w:r>
      <w:proofErr w:type="spellEnd"/>
      <w:r w:rsidRPr="00295605">
        <w:rPr>
          <w:rFonts w:eastAsia="Times New Roman"/>
          <w:noProof w:val="0"/>
          <w:snapToGrid w:val="0"/>
          <w:szCs w:val="22"/>
          <w:lang w:val="en-IN" w:eastAsia="de-DE" w:bidi="en-US"/>
        </w:rPr>
        <w:t xml:space="preserve"> medications work to lower blood lipid levels in various ways.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{"citationItems":[{"id":"ITEM-1","itemData":{"DOI":"10.1021/ci700388k","ISSN":"1549960X","PMID":"18656912","abstract":"A group of flavanones and their chalcones, isolated from Boesenbergia rotunda L., were previously reported to show varying degrees of noncompetitive inhibitory activities toward Dengue virus type 2 (Den2) protease. Results obtained from automated docking studies are in agreement with experimental data in which the ligands were shown to bind to sites other than the active site of the protease. The calculated K4 values are very small, indicating that the ligands bind quite well to the allosteric binding site. Greater inhibition by pinostrobin, compared to the other compounds, can be explained by H-bonding interaction with the backbone carbonyl of Lys74, which is bonded to Asp75 (one of the catalytic triad residues). In addition, structure-activity relationship analysis yields structural information that may be useful for designing more effective therapeutic drugs against dengue virus infections. © 2008 American Chemical Society.","author":[{"dropping-particle":"","family":"Othman","given":"Rozana","non-dropping-particle":"","parse-names":false,"suffix":""},{"dropping-particle":"","family":"Kiat","given":"Tan Siew","non-dropping-particle":"","parse-names":false,"suffix":""},{"dropping-particle":"","family":"Khalid","given":"Norzulaani","non-dropping-particle":"","parse-names":false,"suffix":""},{"dropping-particle":"","family":"Yusof","given":"Rohana","non-dropping-particle":"","parse-names":false,"suffix":""},{"dropping-particle":"","family":"Newhouse","given":"E. Irene","non-dropping-particle":"","parse-names":false,"suffix":""},{"dropping-particle":"","family":"Newhouse","given":"James S.","non-dropping-particle":"","parse-names":false,"suffix":""},{"dropping-particle":"","family":"Alam","given":"Masqudul","non-dropping-particle":"","parse-names":false,"suffix":""},{"dropping-particle":"","family":"Rahman","given":"Noorsaadah Abdul","non-dropping-particle":"","parse-names":false,"suffix":""}],"container-title":"Journal of Chemical Information and Modeling","id":"ITEM-1","issue":"1. Aqeel MT, Ur-Rahman N, Khan AU, Ashraf Z, Latif M, Rafique H, et al. Antihyperlipidemic studies of newly synthesized phenolic derivatives: In silico and in vivo approaches. Drug Des Devel Ther. 2018;12:2443–53. 2. Meng X-Y, Zhang H-X, Mezei M, Cui M. M","issued":{"date-parts":[["2008"]]},"page":"1582-1591","title":"Docking of noncompetitive inhibitors into dengue virus type 2 protease: Understanding the interactions with allosteric binding sites","type":"article-journal","volume":"48"},"uris":["http://www.mendeley.com/documents/?uuid=02583cd8-dbdb-4304-b330-c73aedcc54be"]}],"mendeley":{"formattedCitation":"(4)","plainTextFormattedCitation":"(4)","previouslyFormattedCitation":"(4)"},"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(4)</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Some try to lower levels of low-density lipoprotein cholesterol, while others lower triglyceride levels, and yet others help boost levels of high-density lipoprotein cholesterol.</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{"citationItems":[{"id":"ITEM-1","itemData":{"DOI":"10.1097/01.NURSE.0000383897.65472.6b","ISSN":"15388689","PMID":"20647877","author":[{"dropping-particle":"","family":"Woods","given":"Anne Dabrow","non-dropping-particle":"","parse-names":false,"suffix":""}],"container-title":"Nursing","id":"ITEM-1","issue":"8","issued":{"date-parts":[["2010"]]},"page":"31","title":"Cholesterol levels","type":"article-journal","volume":"40"},"uris":["http://www.mendeley.com/documents/?uuid=750633e5-f421-4af0-89ee-dd2881284965"]}],"mendeley":{"formattedCitation":"(5)","plainTextFormattedCitation":"(5)","previouslyFormattedCitation":"(5)"},"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(5)</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Modern drug design currently uses the molecular docking technique to study drug-receptor interactions.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{"citationItems":[{"id":"ITEM-1","itemData":{"DOI":"10.3390/ijms20184574","ISSN":"14220067","PMID":"31540192","abstract":"Molecular docking has been widely employed as a fast and inexpensive technique in the past decades, both in academic and industrial settings. Although this discipline has now had enough time to consolidate, many aspects remain challenging and there is still not a straightforward and accurate route to readily pinpoint true ligands among a set of molecules, nor to identify with precision the correct ligand conformation within the binding pocket of a given target molecule. Nevertheless, new approaches continue to be developed and the volume of published works grows at a rapid pace. In this review, we present an overview of the method and attempt to summarise recent developments regarding four main aspects of molecular docking approaches: (i) the available benchmarking sets, highlighting their advantages and caveats, (ii) the advances in consensus methods, (iii) recent algorithms and applications using fragment-based approaches, and (iv) the use of machine learning algorithms in molecular docking. These recent developments incrementally contribute to an increase in accuracy and are expected, given time, and together with advances in computing power and hardware capability, to eventually accomplish the full potential of this area.","author":[{"dropping-particle":"","family":"Torres","given":"Pedro H.M.","non-dropping-particle":"","parse-names":false,"suffix":""},{"dropping-particle":"","family":"Sodero","given":"Ana C.R.","non-dropping-particle":"","parse-names":false,"suffix":""},{"dropping-particle":"","family":"Jofily","given":"Paula","non-dropping-particle":"","parse-names":false,"suffix":""},{"dropping-particle":"","family":"Silva-Jr","given":"Floriano P.","non-dropping-particle":"","parse-names":false,"suffix":""}],"container-title":"International Journal of Molecular Sciences","id":"ITEM-1","issue":"18","issued":{"date-parts":[["2019"]]},"page":"1-29","title":"Key topics in molecular docking for drug design","type":"article-journal","volume":"20"},"uris":["http://www.mendeley.com/documents/?uuid=d0ccbf37-7d19-4e80-865b-9739e20943fe"]}],"mendeley":{"formattedCitation":"(6)","plainTextFormattedCitation":"(6)","previouslyFormattedCitation":"(6)"},"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(6)</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The literature claims that computational tools can assist in drug design.</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author":[{"dropping-particle":"","family":"Ramdhani","given":"Danni","non-dropping-particle":"","parse-names":false,"suffix":""},{"dropping-particle":"","family":"Mustarichie","given":"Resmi","non-dropping-particle":"","parse-names":false,"suffix":""}],"container-title":"World Journal of Pharmaceutical Research","id":"ITEM-1","issue":"2","issued":{"date-parts":[["2021"]]},"page":"28-35","title":"Antihyperlipidemic Docking Study of Monascin and Ankaflavin Compounds From Monascus Purpureus With Some Targets Related With Hyperlipidemia","type":"article-journal","volume":"10"},"uris":["http://www.mendeley.com/documents/?uuid=bb6b3f1c-9265-4158-ae19-0df5ae46557b"]}],"mendeley":{"formattedCitation":"(7)","plainTextFormattedCitation":"(7)","previouslyFormattedCitation":"(7)"},"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(7)</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It can also be used to understand how drugs interact with r</w:t>
      </w:r>
      <w:r w:rsidRPr="00295605">
        <w:rPr>
          <w:rFonts w:eastAsia="Times New Roman"/>
          <w:noProof w:val="0"/>
          <w:snapToGrid w:val="0"/>
          <w:szCs w:val="22"/>
          <w:lang w:val="en-IN" w:eastAsia="de-DE" w:bidi="en-US"/>
        </w:rPr>
        <w:t>e</w:t>
      </w:r>
      <w:r w:rsidRPr="00295605">
        <w:rPr>
          <w:rFonts w:eastAsia="Times New Roman"/>
          <w:noProof w:val="0"/>
          <w:snapToGrid w:val="0"/>
          <w:szCs w:val="22"/>
          <w:lang w:val="en-IN" w:eastAsia="de-DE" w:bidi="en-US"/>
        </w:rPr>
        <w:t xml:space="preserve">ceptors. In this study we docked </w:t>
      </w:r>
      <w:proofErr w:type="spellStart"/>
      <w:r w:rsidRPr="00295605">
        <w:rPr>
          <w:rFonts w:eastAsia="Times New Roman"/>
          <w:noProof w:val="0"/>
          <w:snapToGrid w:val="0"/>
          <w:szCs w:val="22"/>
          <w:lang w:val="en-IN" w:eastAsia="de-DE" w:bidi="en-US"/>
        </w:rPr>
        <w:t>Squalene</w:t>
      </w:r>
      <w:proofErr w:type="spellEnd"/>
      <w:r w:rsidRPr="00295605">
        <w:rPr>
          <w:rFonts w:eastAsia="Times New Roman"/>
          <w:noProof w:val="0"/>
          <w:snapToGrid w:val="0"/>
          <w:szCs w:val="22"/>
          <w:lang w:val="en-IN" w:eastAsia="de-DE" w:bidi="en-US"/>
        </w:rPr>
        <w:t xml:space="preserve"> synthase </w:t>
      </w:r>
      <w:proofErr w:type="spellStart"/>
      <w:r w:rsidRPr="00295605">
        <w:rPr>
          <w:rFonts w:eastAsia="Times New Roman"/>
          <w:noProof w:val="0"/>
          <w:snapToGrid w:val="0"/>
          <w:szCs w:val="22"/>
          <w:lang w:val="en-IN" w:eastAsia="de-DE" w:bidi="en-US"/>
        </w:rPr>
        <w:t>catalyzes</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farnesoid</w:t>
      </w:r>
      <w:proofErr w:type="spellEnd"/>
      <w:r w:rsidRPr="00295605">
        <w:rPr>
          <w:rFonts w:eastAsia="Times New Roman"/>
          <w:noProof w:val="0"/>
          <w:snapToGrid w:val="0"/>
          <w:szCs w:val="22"/>
          <w:lang w:val="en-IN" w:eastAsia="de-DE" w:bidi="en-US"/>
        </w:rPr>
        <w:t xml:space="preserve"> X receptor, P</w:t>
      </w:r>
      <w:r w:rsidRPr="00295605">
        <w:rPr>
          <w:rFonts w:eastAsia="Times New Roman"/>
          <w:noProof w:val="0"/>
          <w:snapToGrid w:val="0"/>
          <w:szCs w:val="22"/>
          <w:lang w:val="en-IN" w:eastAsia="de-DE" w:bidi="en-US"/>
        </w:rPr>
        <w:t>e</w:t>
      </w:r>
      <w:r w:rsidRPr="00295605">
        <w:rPr>
          <w:rFonts w:eastAsia="Times New Roman"/>
          <w:noProof w:val="0"/>
          <w:snapToGrid w:val="0"/>
          <w:szCs w:val="22"/>
          <w:lang w:val="en-IN" w:eastAsia="de-DE" w:bidi="en-US"/>
        </w:rPr>
        <w:t>roxisome proliferator-activated receptors (PPARs)alpha, Peroxisome prolifer</w:t>
      </w:r>
      <w:r w:rsidRPr="00295605">
        <w:rPr>
          <w:rFonts w:eastAsia="Times New Roman"/>
          <w:noProof w:val="0"/>
          <w:snapToGrid w:val="0"/>
          <w:szCs w:val="22"/>
          <w:lang w:val="en-IN" w:eastAsia="de-DE" w:bidi="en-US"/>
        </w:rPr>
        <w:t>a</w:t>
      </w:r>
      <w:r w:rsidRPr="00295605">
        <w:rPr>
          <w:rFonts w:eastAsia="Times New Roman"/>
          <w:noProof w:val="0"/>
          <w:snapToGrid w:val="0"/>
          <w:szCs w:val="22"/>
          <w:lang w:val="en-IN" w:eastAsia="de-DE" w:bidi="en-US"/>
        </w:rPr>
        <w:t>tor-activated receptors (PPARs) delta and lanosterol 14alpha-demethylase with deriv</w:t>
      </w:r>
      <w:r w:rsidRPr="00295605">
        <w:rPr>
          <w:rFonts w:eastAsia="Times New Roman"/>
          <w:noProof w:val="0"/>
          <w:snapToGrid w:val="0"/>
          <w:szCs w:val="22"/>
          <w:lang w:val="en-IN" w:eastAsia="de-DE" w:bidi="en-US"/>
        </w:rPr>
        <w:t>a</w:t>
      </w:r>
      <w:r w:rsidRPr="00295605">
        <w:rPr>
          <w:rFonts w:eastAsia="Times New Roman"/>
          <w:noProof w:val="0"/>
          <w:snapToGrid w:val="0"/>
          <w:szCs w:val="22"/>
          <w:lang w:val="en-IN" w:eastAsia="de-DE" w:bidi="en-US"/>
        </w:rPr>
        <w:t xml:space="preserve">tives of chalcone analogues as ligand by </w:t>
      </w:r>
      <w:proofErr w:type="spellStart"/>
      <w:r w:rsidRPr="00295605">
        <w:rPr>
          <w:rFonts w:eastAsia="Times New Roman"/>
          <w:noProof w:val="0"/>
          <w:snapToGrid w:val="0"/>
          <w:szCs w:val="22"/>
          <w:lang w:val="en-IN" w:eastAsia="de-DE" w:bidi="en-US"/>
        </w:rPr>
        <w:t>Molegro</w:t>
      </w:r>
      <w:proofErr w:type="spellEnd"/>
      <w:r w:rsidRPr="00295605">
        <w:rPr>
          <w:rFonts w:eastAsia="Times New Roman"/>
          <w:noProof w:val="0"/>
          <w:snapToGrid w:val="0"/>
          <w:szCs w:val="22"/>
          <w:lang w:val="en-IN" w:eastAsia="de-DE" w:bidi="en-US"/>
        </w:rPr>
        <w:t xml:space="preserve"> Virtual </w:t>
      </w:r>
      <w:proofErr w:type="spellStart"/>
      <w:r w:rsidRPr="00295605">
        <w:rPr>
          <w:rFonts w:eastAsia="Times New Roman"/>
          <w:noProof w:val="0"/>
          <w:snapToGrid w:val="0"/>
          <w:szCs w:val="22"/>
          <w:lang w:val="en-IN" w:eastAsia="de-DE" w:bidi="en-US"/>
        </w:rPr>
        <w:t>Docker</w:t>
      </w:r>
      <w:proofErr w:type="spellEnd"/>
      <w:r w:rsidRPr="00295605">
        <w:rPr>
          <w:rFonts w:eastAsia="Times New Roman"/>
          <w:noProof w:val="0"/>
          <w:snapToGrid w:val="0"/>
          <w:szCs w:val="22"/>
          <w:lang w:val="en-IN" w:eastAsia="de-DE" w:bidi="en-US"/>
        </w:rPr>
        <w:t xml:space="preserve"> (MVD)</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{"citationItems":[{"id":"ITEM-1","itemData":{"DOI":"10.1186/2193-1801-3-628","ISSN":"21931801","abstract":"An investigation into the mechanism of antihyperlipidemic action of 2-chloromethyl-5,6,7,8-tetrahydrobenzo(b)thieno[2,3-d]pyrimidin-4(3H)-one (LM-1554) was carried out through docking experiments with six different molecular targets; Niemann Pick C1 Like1 protein (NPC1L1), ATP citrate lyase (ACL), C-reactive protein (CRP), lanosterol 14α-demethylase (LDM), squalene synthase (SqS) and farnesiod X-receptor (FXR) known to be implicated in the physiology of hyperlipidemia. The interactions of LM-1554 were compared with the interactions of their respective co-crystallized native ligands at the active sites of these receptors. These comparisons are based on their docking parameters, as well as, types of interactions and vicinity with various amino acids in the active site pockets. The interaction of LM-1554 with the target, NPC1L1 has been found to be the quite favourable as compared to those with the other targets assessed in this study.","author":[{"dropping-particle":"","family":"Khedkar","given":"Vijay M.","non-dropping-particle":"","parse-names":false,"suffix":""},{"dropping-particle":"","family":"Arya","given":"Nikhilesh","non-dropping-particle":"","parse-names":false,"suffix":""},{"dropping-particle":"","family":"Coutinho","given":"Evans C.","non-dropping-particle":"","parse-names":false,"suffix":""},{"dropping-particle":"","family":"Shishoo","given":"Chamanlal J.","non-dropping-particle":"","parse-names":false,"suffix":""},{"dropping-particle":"","family":"Jain","given":"Kishor S.","non-dropping-particle":"","parse-names":false,"suffix":""}],"container-title":"SpringerPlus","id":"ITEM-1","issue":"1","issued":{"date-parts":[["2014"]]},"page":"1-31","title":"Docking study of novel antihyperlipidemic thieno[2,3-d]pyrimidine; LM-1554, with some molecular targets related to hyperlipidemia - an investigation into its mechanism of action","type":"article-journal","volume":"3"},"uris":["http://www.mendeley.com/documents/?uuid=9091e1b0-4752-42b7-acd1-49bbfbb8769e"]}],"mendeley":{"formattedCitation":"(8)","plainTextFormattedCitation":"(8)","previouslyFormattedCitation":"(8)"},"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(8)</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w:t>
      </w:r>
    </w:p>
    <w:p w14:paraId="5571B292" w14:textId="77777777" w:rsidR="00295605" w:rsidRPr="00295605" w:rsidRDefault="00295605" w:rsidP="00D159D3">
      <w:pPr>
        <w:adjustRightInd w:val="0"/>
        <w:snapToGrid w:val="0"/>
        <w:spacing w:before="240" w:after="60" w:line="228" w:lineRule="auto"/>
        <w:ind w:left="2608" w:firstLine="425"/>
        <w:outlineLvl w:val="0"/>
        <w:rPr>
          <w:rFonts w:eastAsia="Times New Roman"/>
          <w:b/>
          <w:noProof w:val="0"/>
          <w:snapToGrid w:val="0"/>
          <w:szCs w:val="22"/>
          <w:lang w:val="en-IN" w:eastAsia="de-DE" w:bidi="en-US"/>
        </w:rPr>
      </w:pPr>
      <w:r w:rsidRPr="00295605">
        <w:rPr>
          <w:rFonts w:eastAsia="Times New Roman"/>
          <w:b/>
          <w:noProof w:val="0"/>
          <w:snapToGrid w:val="0"/>
          <w:szCs w:val="22"/>
          <w:lang w:val="en-IN" w:eastAsia="de-DE" w:bidi="en-US"/>
        </w:rPr>
        <w:lastRenderedPageBreak/>
        <w:t>Chalcone</w:t>
      </w:r>
    </w:p>
    <w:p w14:paraId="05DC6DCC" w14:textId="77777777" w:rsidR="00295605" w:rsidRPr="00295605" w:rsidRDefault="00295605" w:rsidP="00D159D3">
      <w:pPr>
        <w:adjustRightInd w:val="0"/>
        <w:snapToGrid w:val="0"/>
        <w:spacing w:before="240" w:after="60" w:line="228" w:lineRule="auto"/>
        <w:ind w:left="2608" w:firstLine="425"/>
        <w:outlineLvl w:val="0"/>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t>A chalcone is a basic chemical structure found in a variety of natural plant products, such as teas, vegetables, fruits, and spices. Chalcones, which are members of the flav</w:t>
      </w:r>
      <w:r w:rsidRPr="00295605">
        <w:rPr>
          <w:rFonts w:eastAsia="Times New Roman"/>
          <w:noProof w:val="0"/>
          <w:snapToGrid w:val="0"/>
          <w:szCs w:val="22"/>
          <w:lang w:val="en-IN" w:eastAsia="de-DE" w:bidi="en-US"/>
        </w:rPr>
        <w:t>o</w:t>
      </w:r>
      <w:r w:rsidRPr="00295605">
        <w:rPr>
          <w:rFonts w:eastAsia="Times New Roman"/>
          <w:noProof w:val="0"/>
          <w:snapToGrid w:val="0"/>
          <w:szCs w:val="22"/>
          <w:lang w:val="en-IN" w:eastAsia="de-DE" w:bidi="en-US"/>
        </w:rPr>
        <w:t>noid family and function as biosynthetic intermediaries for flavonoids, have a diverse range of pharmacological targets and structural variability.</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{"citationItems":[{"id":"ITEM-1","itemData":{"DOI":"10.1016/j.bmcl.2011.03.057","ISSN":"0960894X","PMID":"21515043","abstract":"A series of chalcone based PPAR-α agonists were synthesized and evaluated for their antidyslipidemic activity in high fructose high fat fed dyslipidemic Syrian golden hamsters. Most of the compounds exhibited antidyslipidemic activity. The compounds 4c and 4f have been identified as most potent antidyslipidemics. A definite structure-activity relationship was observed while varying the nature as well as the position of the substituent. © 2011 Elsevier Ltd. All rights reserved. © 2011 Elsevier Ltd. All rights reserved.","author":[{"dropping-particle":"","family":"Shukla","given":"Poonam","non-dropping-particle":"","parse-names":false,"suffix":""},{"dropping-particle":"","family":"Srivastava","given":"Swayam P.","non-dropping-particle":"","parse-names":false,"suffix":""},{"dropping-particle":"","family":"Srivastava","given":"Rohit","non-dropping-particle":"","parse-names":false,"suffix":""},{"dropping-particle":"","family":"Rawat","given":"Arun K.","non-dropping-particle":"","parse-names":false,"suffix":""},{"dropping-particle":"","family":"Srivastava","given":"Arvind K.","non-dropping-particle":"","parse-names":false,"suffix":""},{"dropping-particle":"","family":"Pratap","given":"Ram","non-dropping-particle":"","parse-names":false,"suffix":""}],"container-title":"Bioorganic and Medicinal Chemistry Letters","id":"ITEM-1","issue":"11","issued":{"date-parts":[["2011"]]},"page":"3475-3478","publisher":"Elsevier Ltd","title":"Synthesis and antidyslipidemic activity of chalcone fibrates","type":"article-journal","volume":"21"},"uris":["http://www.mendeley.com/documents/?uuid=ab0fe63b-5262-4da6-ab84-057f898ba8c0"]}],"mendeley":{"formattedCitation":"(9)","plainTextFormattedCitation":"(9)","previouslyFormattedCitation":"(9)"},"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(9)</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{"citationItems":[{"id":"ITEM-1","itemData":{"DOI":"10.1080/13543776.2019.1613374","ISBN":"2017219509","ISSN":"17447674","PMID":"31030616","abstract":"Introduction: Chalcone or benzylideneacetophenone or 1,3-diphenyl-2-propene-1-one is a natural product comprising of two aromatic rings connected together by a three-carbon α, β unsaturated carbonyl bridge. It is one of the most privileged scaffolds in medicinal chemistry that can be synthesized in the laboratory and can be converted into several therapeutically active heterocyclic scaffolds. It exhibits multifarious pharmacological activities and also plays a key role in several non-pharmacological scientific applications. Areas covered: The present article comprehensively focuses on the approved patents during the time duration 2014–2018 on various chalcone molecules with diverse pharmacological activities. Expert opinion: The study puts forward the latest updated therapeutic applications of chalcone-based compounds as antiproliferative, antidiabetic, anti-infective, anti-inflammatory, antioxidant, antiaging, neuroprotective, and cardioprotective agents. The type, position, and the number of substituents present on the chalcone scaffold have been perceived to play an imperative function in interacting with molecular targets (receptor, enzyme, and/or channel) to express the biological responses. In the majority of the studies, the overall activity of the ligand administered as pharmaceutically acceptable salt is found to be better than that of standard marketed drug preparation. The article will certainly attract (medicinal)-chemists actively involved in the development of therapeutically active scaffolds.","author":[{"dropping-particle":"","family":"Kar Mahapatra","given":"Debarshi","non-dropping-particle":"","parse-names":false,"suffix":""},{"dropping-particle":"","family":"Asati","given":"Vivek","non-dropping-particle":"","parse-names":false,"suffix":""},{"dropping-particle":"","family":"Bharti","given":"Sanjay Kumar","non-dropping-particle":"","parse-names":false,"suffix":""}],"container-title":"Expert Opinion on Therapeutic Patents","id":"ITEM-1","issue":"5","issued":{"date-parts":[["2019"]]},"number-of-pages":"385-406","publisher":"Taylor &amp; Francis","title":"An updated patent review of therapeutic applications of chalcone derivatives (2014-present)","type":"book","volume":"29"},"uris":["http://www.mendeley.com/documents/?uuid=46a64717-0c71-4e52-b09f-ddde5ff20fd6"]}],"mendeley":{"formattedCitation":"(10)","plainTextFormattedCitation":"(10)","previouslyFormattedCitation":"(10)"},"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(10)</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Members of the Cha</w:t>
      </w:r>
      <w:r w:rsidRPr="00295605">
        <w:rPr>
          <w:rFonts w:eastAsia="Times New Roman"/>
          <w:noProof w:val="0"/>
          <w:snapToGrid w:val="0"/>
          <w:szCs w:val="22"/>
          <w:lang w:val="en-IN" w:eastAsia="de-DE" w:bidi="en-US"/>
        </w:rPr>
        <w:t>l</w:t>
      </w:r>
      <w:r w:rsidRPr="00295605">
        <w:rPr>
          <w:rFonts w:eastAsia="Times New Roman"/>
          <w:noProof w:val="0"/>
          <w:snapToGrid w:val="0"/>
          <w:szCs w:val="22"/>
          <w:lang w:val="en-IN" w:eastAsia="de-DE" w:bidi="en-US"/>
        </w:rPr>
        <w:t>cone family have drawn a lot of attention due to their potential for synthetic and bi</w:t>
      </w:r>
      <w:r w:rsidRPr="00295605">
        <w:rPr>
          <w:rFonts w:eastAsia="Times New Roman"/>
          <w:noProof w:val="0"/>
          <w:snapToGrid w:val="0"/>
          <w:szCs w:val="22"/>
          <w:lang w:val="en-IN" w:eastAsia="de-DE" w:bidi="en-US"/>
        </w:rPr>
        <w:t>o</w:t>
      </w:r>
      <w:r w:rsidRPr="00295605">
        <w:rPr>
          <w:rFonts w:eastAsia="Times New Roman"/>
          <w:noProof w:val="0"/>
          <w:snapToGrid w:val="0"/>
          <w:szCs w:val="22"/>
          <w:lang w:val="en-IN" w:eastAsia="de-DE" w:bidi="en-US"/>
        </w:rPr>
        <w:t xml:space="preserve">synthetic production as well as the breadth of their biological activities, which include anticancer, anti-inflammatory, </w:t>
      </w:r>
      <w:proofErr w:type="spellStart"/>
      <w:r w:rsidRPr="00295605">
        <w:rPr>
          <w:rFonts w:eastAsia="Times New Roman"/>
          <w:noProof w:val="0"/>
          <w:snapToGrid w:val="0"/>
          <w:szCs w:val="22"/>
          <w:lang w:val="en-IN" w:eastAsia="de-DE" w:bidi="en-US"/>
        </w:rPr>
        <w:t>antidiabetic</w:t>
      </w:r>
      <w:proofErr w:type="spellEnd"/>
      <w:r w:rsidRPr="00295605">
        <w:rPr>
          <w:rFonts w:eastAsia="Times New Roman"/>
          <w:noProof w:val="0"/>
          <w:snapToGrid w:val="0"/>
          <w:szCs w:val="22"/>
          <w:lang w:val="en-IN" w:eastAsia="de-DE" w:bidi="en-US"/>
        </w:rPr>
        <w:t xml:space="preserve">, cancer </w:t>
      </w:r>
      <w:proofErr w:type="spellStart"/>
      <w:r w:rsidRPr="00295605">
        <w:rPr>
          <w:rFonts w:eastAsia="Times New Roman"/>
          <w:noProof w:val="0"/>
          <w:snapToGrid w:val="0"/>
          <w:szCs w:val="22"/>
          <w:lang w:val="en-IN" w:eastAsia="de-DE" w:bidi="en-US"/>
        </w:rPr>
        <w:t>chemopreventive</w:t>
      </w:r>
      <w:proofErr w:type="spellEnd"/>
      <w:r w:rsidRPr="00295605">
        <w:rPr>
          <w:rFonts w:eastAsia="Times New Roman"/>
          <w:noProof w:val="0"/>
          <w:snapToGrid w:val="0"/>
          <w:szCs w:val="22"/>
          <w:lang w:val="en-IN" w:eastAsia="de-DE" w:bidi="en-US"/>
        </w:rPr>
        <w:t>, antioxidant, ant</w:t>
      </w:r>
      <w:r w:rsidRPr="00295605">
        <w:rPr>
          <w:rFonts w:eastAsia="Times New Roman"/>
          <w:noProof w:val="0"/>
          <w:snapToGrid w:val="0"/>
          <w:szCs w:val="22"/>
          <w:lang w:val="en-IN" w:eastAsia="de-DE" w:bidi="en-US"/>
        </w:rPr>
        <w:t>i</w:t>
      </w:r>
      <w:r w:rsidRPr="00295605">
        <w:rPr>
          <w:rFonts w:eastAsia="Times New Roman"/>
          <w:noProof w:val="0"/>
          <w:snapToGrid w:val="0"/>
          <w:szCs w:val="22"/>
          <w:lang w:val="en-IN" w:eastAsia="de-DE" w:bidi="en-US"/>
        </w:rPr>
        <w:t>microbial, anti-</w:t>
      </w:r>
      <w:proofErr w:type="spellStart"/>
      <w:r w:rsidRPr="00295605">
        <w:rPr>
          <w:rFonts w:eastAsia="Times New Roman"/>
          <w:noProof w:val="0"/>
          <w:snapToGrid w:val="0"/>
          <w:szCs w:val="22"/>
          <w:lang w:val="en-IN" w:eastAsia="de-DE" w:bidi="en-US"/>
        </w:rPr>
        <w:t>leishmanial</w:t>
      </w:r>
      <w:proofErr w:type="spellEnd"/>
      <w:r w:rsidRPr="00295605">
        <w:rPr>
          <w:rFonts w:eastAsia="Times New Roman"/>
          <w:noProof w:val="0"/>
          <w:snapToGrid w:val="0"/>
          <w:szCs w:val="22"/>
          <w:lang w:val="en-IN" w:eastAsia="de-DE" w:bidi="en-US"/>
        </w:rPr>
        <w:t>, anti-malarial, and antihyperlipidemic effects.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{"citationItems":[{"id":"ITEM-1","itemData":{"DOI":"10.3390/biom11060894","ISSN":"2218273X","PMID":"34208562","abstract":"Chalcones (1,3-diaryl-2-propen-1-ones) are precursors for flavonoids and isoflavonoids, which are common simple chemical scaffolds found in many naturally occurring compounds. Many chalcone derivatives were also prepared due to their convenient synthesis. Chalcones as weandhetic analogues have attracted much interest due to their broad biological activities with clinical poten-tials against various diseases, particularly for antitumor activity. The chalcone family has demonstrated potential in vitro and in vivo activity against cancers via multiple mechanisms, including cell cycle disruption, autophagy regulation, apoptosis induction, and immunomodulatory and inflammatory mediators. It represents a promising strategy to develop chalcones as novel anticancer agents. In addition, the combination of chalcones and other therapies is expected to be an effective way to improve anticancer therapeutic efficacy. However, despite the encouraging results for their response to cancers observed in clinical studies, a full description of toxicity is required for their clinical use as safe drugs for the treatment of cancer. In this review, we will summarize the recent advances of the chalcone family as potential anticancer agents and the mechanisms of action. Be-sides, future applications and scope of the chalcone family toward the treatment and prevention of cancer are brought out.","author":[{"dropping-particle":"","family":"Ouyang","given":"Yang","non-dropping-particle":"","parse-names":false,"suffix":""},{"dropping-particle":"","family":"Li","given":"Juanjuan","non-dropping-particle":"","parse-names":false,"suffix":""},{"dropping-particle":"","family":"Chen","given":"Xinyue","non-dropping-particle":"","parse-names":false,"suffix":""},{"dropping-particle":"","family":"Fu","given":"Xiaoyu","non-dropping-particle":"","parse-names":false,"suffix":""},{"dropping-particle":"","family":"Sun","given":"Si","non-dropping-particle":"","parse-names":false,"suffix":""},{"dropping-particle":"","family":"Wu","given":"Qi","non-dropping-particle":"","parse-names":false,"suffix":""}],"container-title":"Biomolecules","id":"ITEM-1","issue":"6","issued":{"date-parts":[["2021"]]},"page":"1-36","title":"Chalcone derivatives: Role in anticancer therapy","type":"article-journal","volume":"11"},"uris":["http://www.mendeley.com/documents/?uuid=6b14da71-acd2-4f27-a130-e3dc22dedeec"]}],"mendeley":{"formattedCitation":"(11)","plainTextFormattedCitation":"(11)","previouslyFormattedCitation":"(11)"},"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(11)</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{"citationItems":[{"id":"ITEM-1","itemData":{"DOI":"10.1007/s10311-019-00959-w","ISBN":"1031101900899","ISSN":"16103661","abstract":"Chalcone is an aromatic ketone that forms the central core of many important biological compounds, which are known as chalcones. Chalcones are the biogenetic precursors of flavonoids and isoflavonoids, which are abundant in plants. Chalcones are active lead molecules in medicinal chemistry for the discovery of new drugs. Here, we review properties, biosynthesis and structural diversity of natural chalcones. Then, we present the synthesis of chalcones and their biological activities with focus on structure–activity relationships. Pharmaceutically important and patented chalcones are also discussed.","author":[{"dropping-particle":"","family":"Rammohan","given":"Aluru","non-dropping-particle":"","parse-names":false,"suffix":""},{"dropping-particle":"","family":"Reddy","given":"Julakanti Satyanarayana","non-dropping-particle":"","parse-names":false,"suffix":""},{"dropping-particle":"","family":"Sravya","given":"Gundala","non-dropping-particle":"","parse-names":false,"suffix":""},{"dropping-particle":"","family":"Rao","given":"Chittluri Narasimha","non-dropping-particle":"","parse-names":false,"suffix":""},{"dropping-particle":"V.","family":"Zyryanov","given":"Grigory","non-dropping-particle":"","parse-names":false,"suffix":""}],"container-title":"Environmental Chemistry Letters","id":"ITEM-1","issue":"2","issued":{"date-parts":[["2020"]]},"number-of-pages":"433-458","title":"Chalcone synthesis, properties and medicinal applications: a review","type":"book","volume":"18"},"uris":["http://www.mendeley.com/documents/?uuid=415ac6c6-be1f-4b23-b02d-de18adb4d793"]}],"mendeley":{"formattedCitation":"(12)","plainTextFormattedCitation":"(12)","previouslyFormattedCitation":"(12)"},"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(12)</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More significantly, a number of chalcone compounds have been authorized for use in both clinical and commercial settings for a range of medical disorders.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{"citationItems":[{"id":"ITEM-1","itemData":{"DOI":"10.1021/acs.chemrev.7b00020","ISSN":"15206890","PMID":"28488435","abstract":"Privileged structures have been widely used as an effective template in medicinal chemistry for drug discovery. Chalcone is a common simple scaffold found in many naturally occurring compounds. Many chalcone derivatives have also been prepared due to their convenient synthesis. These natural products and synthetic compounds have shown numerous interesting biological activities with clinical potentials against various diseases. This review aims to highlight the recent evidence of chalcone as a privileged scaffold in medicinal chemistry. Multiple aspects of chalcone will be summarized herein, including the isolation of novel chalcone derivatives, the development of new synthetic methodologies, the evaluation of their biological properties, and the exploration of the mechanisms of action as well as target identification. This review is expected to be a comprehensive, authoritative, and critical review of the chalcone template to the chemistry community.","author":[{"dropping-particle":"","family":"Zhuang","given":"Chunlin","non-dropping-particle":"","parse-names":false,"suffix":""},{"dropping-particle":"","family":"Zhang","given":"Wen","non-dropping-particle":"","parse-names":false,"suffix":""},{"dropping-particle":"","family":"Sheng","given":"Chunquan","non-dropping-particle":"","parse-names":false,"suffix":""},{"dropping-particle":"","family":"Zhang","given":"Wannian","non-dropping-particle":"","parse-names":false,"suffix":""},{"dropping-particle":"","family":"Xing","given":"Chengguo","non-dropping-particle":"","parse-names":false,"suffix":""},{"dropping-particle":"","family":"Miao","given":"Zhenyuan","non-dropping-particle":"","parse-names":false,"suffix":""}],"container-title":"Chemical Reviews","id":"ITEM-1","issue":"12","issued":{"date-parts":[["2017"]]},"page":"7762-7810","title":"Chalcone: A Privileged Structure in Medicinal Chemistry","type":"article-journal","volume":"117"},"uris":["http://www.mendeley.com/documents/?uuid=35d49df4-7e34-4f0b-be0b-18ec31d2530c"]}],"mendeley":{"formattedCitation":"(13)","plainTextFormattedCitation":"(13)","previouslyFormattedCitation":"(13)"},"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(13)</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{"citationItems":[{"id":"ITEM-1","itemData":{"DOI":"10.1016/j.bioorg.2021.105170","ISBN":"0045206821","ISSN":"10902120","PMID":"34332233","abstract":"In the current work, a series of novel 4-benzyloxy and 4-(2-phenylethoxy) chalcone fibrate hybrids (10a-o) and (11a-e) were synthesized and evaluated as new PPARα agonists in order to find new agents with higher activity and fewer side effects. The 2-propanoic acid derivative 10a and the 2-butanoic acid congener 10i showed the best overall PPARα agonistic activity showing Emax% values of 50.80 and 90.55%, respectively, and EC50 values of 8.9 and 25.0 μM, respectively, compared to fenofibric acid with Emax = 100% and EC50 = 23.22 μM, respectively. These two compounds also stimulated carnitine palmitoyltransferase 1A gene transcription in HepG2 cells and PPARα protein expression. Molecular docking simulations were performed for the newly synthesized compounds to study their predicted binding pattern and energies in PPARα active site to rationalize their promising activity. In vivo, compounds 10a and 10i elicited a significant hypolipidemic activity improving the lipid profile in triton WR-1339-induced hyperlipidemic rats, including serum triglycerides, total cholesterol, LDL, HDL and VLDL levels. Compound 10i possessed better anti-hyperlipidemic activity than 10a. At a dose of 200 mg/kg, it demonstrated significantly lower TC, TG, LDL and VLDL levels than that of fenofibrate at the same dose with similar HDL levels. Compounds 10i and 10a possessed atherogenic indices (CRR, AC, AI, CRI-II) like that of fenofibrate. Additionally, a promising antioxidant activity indicated by the increased tissue reduced glutathione and plasma total antioxidant capacity with decreased plasma malondialdehyde levels was demonstrated by compounds 10a and 10i. No histopathological alterations were recorded in the hepatic tissue of compound 10i (200 mg/kg).","author":[{"dropping-particle":"","family":"Hassan","given":"Rasha M.","non-dropping-particle":"","parse-names":false,"suffix":""},{"dropping-particle":"","family":"Aboutabl","given":"Mona E.","non-dropping-particle":"","parse-names":false,"suffix":""},{"dropping-particle":"","family":"Bozzi","given":"Manuela","non-dropping-particle":"","parse-names":false,"suffix":""},{"dropping-particle":"","family":"El-Behairy","given":"Mohammed F.","non-dropping-particle":"","parse-names":false,"suffix":""},{"dropping-particle":"","family":"Kerdawy","given":"Ahmed M.","non-dropping-particle":"El","parse-names":false,"suffix":""},{"dropping-particle":"","family":"Sampaolese","given":"Beatrice","non-dropping-particle":"","parse-names":false,"suffix":""},{"dropping-particle":"","family":"Desiderio","given":"Claudia","non-dropping-particle":"","parse-names":false,"suffix":""},{"dropping-particle":"","family":"Vincenzoni","given":"Federica","non-dropping-particle":"","parse-names":false,"suffix":""},{"dropping-particle":"","family":"Sciandra","given":"Francesca","non-dropping-particle":"","parse-names":false,"suffix":""},{"dropping-particle":"","family":"Ghannam","given":"Iman A.Y.","non-dropping-particle":"","parse-names":false,"suffix":""}],"container-title":"Bioorganic Chemistry","id":"ITEM-1","issue":"October","issued":{"date-parts":[["2021"]]},"page":"2021-2023","title":"Discovery of 4-benzyloxy and 4-(2-phenylethoxy) chalcone fibrate hybrids as novel PPARα agonists with anti-hyperlipidemic and antioxidant activities: Design, synthesis and in vitro/in vivo biological evaluation","type":"article-journal","volume":"115"},"uris":["http://www.mendeley.com/documents/?uuid=6d4b69c5-1b90-4da0-8e96-0a9022a16ac2"]}],"mendeley":{"formattedCitation":"(14)","plainTextFormattedCitation":"(14)","previouslyFormattedCitation":"(14)"},"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(14)</w:t>
      </w:r>
      <w:r w:rsidRPr="00295605">
        <w:rPr>
          <w:rFonts w:eastAsia="Times New Roman"/>
          <w:noProof w:val="0"/>
          <w:snapToGrid w:val="0"/>
          <w:szCs w:val="22"/>
          <w:lang w:eastAsia="de-DE" w:bidi="en-US"/>
        </w:rPr>
        <w:fldChar w:fldCharType="end"/>
      </w:r>
    </w:p>
    <w:p w14:paraId="746CEE04" w14:textId="77777777" w:rsidR="00295605" w:rsidRPr="00295605" w:rsidRDefault="00295605" w:rsidP="00D159D3">
      <w:pPr>
        <w:adjustRightInd w:val="0"/>
        <w:snapToGrid w:val="0"/>
        <w:spacing w:before="240" w:after="60" w:line="228" w:lineRule="auto"/>
        <w:ind w:left="2608" w:firstLine="425"/>
        <w:outlineLvl w:val="0"/>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object w:dxaOrig="6104" w:dyaOrig="2317" w14:anchorId="2ECEB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pt;height:66.15pt" o:ole="">
            <v:imagedata r:id="rId8" o:title="" cropright="17951f"/>
          </v:shape>
          <o:OLEObject Type="Embed" ProgID="ACD.ChemSketchCDX" ShapeID="_x0000_i1025" DrawAspect="Content" ObjectID="_1756968189" r:id="rId9"/>
        </w:object>
      </w:r>
    </w:p>
    <w:p w14:paraId="11F41787" w14:textId="77777777" w:rsidR="00295605" w:rsidRPr="00295605" w:rsidRDefault="00295605" w:rsidP="00295605">
      <w:pPr>
        <w:adjustRightInd w:val="0"/>
        <w:snapToGrid w:val="0"/>
        <w:spacing w:before="240" w:after="60" w:line="228" w:lineRule="auto"/>
        <w:ind w:left="2608" w:firstLine="425"/>
        <w:outlineLvl w:val="0"/>
        <w:rPr>
          <w:rFonts w:eastAsia="Times New Roman"/>
          <w:noProof w:val="0"/>
          <w:snapToGrid w:val="0"/>
          <w:szCs w:val="22"/>
          <w:lang w:val="en-IN" w:eastAsia="de-DE" w:bidi="en-US"/>
        </w:rPr>
      </w:pPr>
      <w:r w:rsidRPr="00295605">
        <w:rPr>
          <w:rFonts w:eastAsia="Times New Roman"/>
          <w:b/>
          <w:noProof w:val="0"/>
          <w:snapToGrid w:val="0"/>
          <w:szCs w:val="22"/>
          <w:lang w:val="en-IN" w:eastAsia="de-DE" w:bidi="en-US"/>
        </w:rPr>
        <w:t xml:space="preserve">Figure </w:t>
      </w:r>
      <w:r w:rsidRPr="00295605">
        <w:rPr>
          <w:rFonts w:eastAsia="Times New Roman"/>
          <w:b/>
          <w:noProof w:val="0"/>
          <w:snapToGrid w:val="0"/>
          <w:szCs w:val="22"/>
          <w:lang w:val="en-IN" w:eastAsia="de-DE" w:bidi="en-US"/>
        </w:rPr>
        <w:fldChar w:fldCharType="begin"/>
      </w:r>
      <w:r w:rsidRPr="00295605">
        <w:rPr>
          <w:rFonts w:eastAsia="Times New Roman"/>
          <w:b/>
          <w:noProof w:val="0"/>
          <w:snapToGrid w:val="0"/>
          <w:szCs w:val="22"/>
          <w:lang w:val="en-IN" w:eastAsia="de-DE" w:bidi="en-US"/>
        </w:rPr>
        <w:instrText xml:space="preserve"> SEQ Figure \* ARABIC </w:instrText>
      </w:r>
      <w:r w:rsidRPr="00295605">
        <w:rPr>
          <w:rFonts w:eastAsia="Times New Roman"/>
          <w:b/>
          <w:noProof w:val="0"/>
          <w:snapToGrid w:val="0"/>
          <w:szCs w:val="22"/>
          <w:lang w:val="en-IN" w:eastAsia="de-DE" w:bidi="en-US"/>
        </w:rPr>
        <w:fldChar w:fldCharType="separate"/>
      </w:r>
      <w:r w:rsidRPr="00295605">
        <w:rPr>
          <w:rFonts w:eastAsia="Times New Roman"/>
          <w:b/>
          <w:snapToGrid w:val="0"/>
          <w:szCs w:val="22"/>
          <w:lang w:val="en-IN" w:eastAsia="de-DE" w:bidi="en-US"/>
        </w:rPr>
        <w:t>1</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2D Structure of Chalcone</w:t>
      </w:r>
    </w:p>
    <w:p w14:paraId="5C37441F" w14:textId="77777777" w:rsidR="00295605" w:rsidRPr="00295605" w:rsidRDefault="00295605" w:rsidP="00295605">
      <w:pPr>
        <w:adjustRightInd w:val="0"/>
        <w:snapToGrid w:val="0"/>
        <w:spacing w:before="240" w:after="60" w:line="228" w:lineRule="auto"/>
        <w:ind w:left="2608" w:firstLine="425"/>
        <w:outlineLvl w:val="0"/>
        <w:rPr>
          <w:rFonts w:eastAsia="Times New Roman"/>
          <w:b/>
          <w:bCs/>
          <w:noProof w:val="0"/>
          <w:snapToGrid w:val="0"/>
          <w:szCs w:val="22"/>
          <w:lang w:val="en-IN" w:eastAsia="de-DE" w:bidi="en-US"/>
        </w:rPr>
      </w:pPr>
      <w:proofErr w:type="spellStart"/>
      <w:r w:rsidRPr="00295605">
        <w:rPr>
          <w:rFonts w:eastAsia="Times New Roman"/>
          <w:b/>
          <w:bCs/>
          <w:noProof w:val="0"/>
          <w:snapToGrid w:val="0"/>
          <w:szCs w:val="22"/>
          <w:lang w:val="en-IN" w:eastAsia="de-DE" w:bidi="en-US"/>
        </w:rPr>
        <w:t>Molegro</w:t>
      </w:r>
      <w:proofErr w:type="spellEnd"/>
      <w:r w:rsidRPr="00295605">
        <w:rPr>
          <w:rFonts w:eastAsia="Times New Roman"/>
          <w:b/>
          <w:bCs/>
          <w:noProof w:val="0"/>
          <w:snapToGrid w:val="0"/>
          <w:szCs w:val="22"/>
          <w:lang w:val="en-IN" w:eastAsia="de-DE" w:bidi="en-US"/>
        </w:rPr>
        <w:t xml:space="preserve"> Virtual </w:t>
      </w:r>
      <w:proofErr w:type="spellStart"/>
      <w:r w:rsidRPr="00295605">
        <w:rPr>
          <w:rFonts w:eastAsia="Times New Roman"/>
          <w:b/>
          <w:bCs/>
          <w:noProof w:val="0"/>
          <w:snapToGrid w:val="0"/>
          <w:szCs w:val="22"/>
          <w:lang w:val="en-IN" w:eastAsia="de-DE" w:bidi="en-US"/>
        </w:rPr>
        <w:t>Docker</w:t>
      </w:r>
      <w:proofErr w:type="spellEnd"/>
    </w:p>
    <w:p w14:paraId="4F3D4E4D" w14:textId="77777777" w:rsidR="00295605" w:rsidRPr="00295605" w:rsidRDefault="00295605" w:rsidP="00D159D3">
      <w:pPr>
        <w:adjustRightInd w:val="0"/>
        <w:snapToGrid w:val="0"/>
        <w:spacing w:before="240" w:after="60" w:line="228" w:lineRule="auto"/>
        <w:ind w:left="2608" w:firstLine="425"/>
        <w:outlineLvl w:val="0"/>
        <w:rPr>
          <w:rFonts w:eastAsia="Times New Roman"/>
          <w:b/>
          <w:bCs/>
          <w:noProof w:val="0"/>
          <w:snapToGrid w:val="0"/>
          <w:szCs w:val="22"/>
          <w:lang w:val="en-IN" w:eastAsia="de-DE" w:bidi="en-US"/>
        </w:rPr>
      </w:pPr>
      <w:r w:rsidRPr="00295605">
        <w:rPr>
          <w:rFonts w:eastAsia="Times New Roman"/>
          <w:noProof w:val="0"/>
          <w:snapToGrid w:val="0"/>
          <w:szCs w:val="22"/>
          <w:lang w:val="en-IN" w:eastAsia="de-DE" w:bidi="en-US"/>
        </w:rPr>
        <w:t>We can do docking simulations in a completely integrated computational enviro</w:t>
      </w:r>
      <w:r w:rsidRPr="00295605">
        <w:rPr>
          <w:rFonts w:eastAsia="Times New Roman"/>
          <w:noProof w:val="0"/>
          <w:snapToGrid w:val="0"/>
          <w:szCs w:val="22"/>
          <w:lang w:val="en-IN" w:eastAsia="de-DE" w:bidi="en-US"/>
        </w:rPr>
        <w:t>n</w:t>
      </w:r>
      <w:r w:rsidRPr="00295605">
        <w:rPr>
          <w:rFonts w:eastAsia="Times New Roman"/>
          <w:noProof w:val="0"/>
          <w:snapToGrid w:val="0"/>
          <w:szCs w:val="22"/>
          <w:lang w:val="en-IN" w:eastAsia="de-DE" w:bidi="en-US"/>
        </w:rPr>
        <w:t xml:space="preserve">ment thanks to a program called </w:t>
      </w:r>
      <w:proofErr w:type="spellStart"/>
      <w:r w:rsidRPr="00295605">
        <w:rPr>
          <w:rFonts w:eastAsia="Times New Roman"/>
          <w:noProof w:val="0"/>
          <w:snapToGrid w:val="0"/>
          <w:szCs w:val="22"/>
          <w:lang w:val="en-IN" w:eastAsia="de-DE" w:bidi="en-US"/>
        </w:rPr>
        <w:t>Molegro</w:t>
      </w:r>
      <w:proofErr w:type="spellEnd"/>
      <w:r w:rsidRPr="00295605">
        <w:rPr>
          <w:rFonts w:eastAsia="Times New Roman"/>
          <w:noProof w:val="0"/>
          <w:snapToGrid w:val="0"/>
          <w:szCs w:val="22"/>
          <w:lang w:val="en-IN" w:eastAsia="de-DE" w:bidi="en-US"/>
        </w:rPr>
        <w:t xml:space="preserve"> Virtual </w:t>
      </w:r>
      <w:proofErr w:type="spellStart"/>
      <w:r w:rsidRPr="00295605">
        <w:rPr>
          <w:rFonts w:eastAsia="Times New Roman"/>
          <w:noProof w:val="0"/>
          <w:snapToGrid w:val="0"/>
          <w:szCs w:val="22"/>
          <w:lang w:val="en-IN" w:eastAsia="de-DE" w:bidi="en-US"/>
        </w:rPr>
        <w:t>Docker</w:t>
      </w:r>
      <w:proofErr w:type="spellEnd"/>
      <w:r w:rsidRPr="00295605">
        <w:rPr>
          <w:rFonts w:eastAsia="Times New Roman"/>
          <w:noProof w:val="0"/>
          <w:snapToGrid w:val="0"/>
          <w:szCs w:val="22"/>
          <w:lang w:val="en-IN" w:eastAsia="de-DE" w:bidi="en-US"/>
        </w:rPr>
        <w:t xml:space="preserve"> that simulates the docking of proteins and ligands.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{"citationItems":[{"id":"ITEM-1","itemData":{"DOI":"10.7324/JAPS.2014.4119","ISSN":"22313354","abstract":"Polo-like kinase 1 (Plk1) is over expressed in many types of human cancers, and has been implicated as an adverse prognostic marker for cancer patients. Plk1 is localized to its intracellular anchoring sites via its polo-box domain (PBD). The PBD of Plk1 has a crucial role in proper subcellular localization and mitotic functions of Plk1. Plk1 is the preferential target for inhibition of the mitotic processing therefore it can be chosen as drug target for the treatment of cancer. The aim of the study is to find plk1 inhibitor potential from naphthoquinone derivatives through binding free energy analysis into plk1 using molecular docking. We conducted docking simulation to naphthoquinone derivatives as ligands into plk1 as receptor. The 3D structure of plk1 was downloaded from PDB (Code ID:3THB). The structure of ligands and protein were prepared using ChemBioDrawUltra 12.0. Docking process, the interaction and binding of ligands - protein were done and visualized using software Molegro Virtual Docking.(MVD). The results showed no hydrogen bonding and electrostatic interaction between compound NO11(modified naphthoquinone) with Plk1, but this compound have more steric interaction with Phe 133, Asp 194, Glu 101, Lys 82, Cys 133 and Glu 140 of Plk1. Moldock scores of compound NO11, is -134.73 kcal/mol. It is predicted that compound NO11 has potency as lead compound to find a new anticancer candidates for possible therapeutic agents.","author":[{"dropping-particle":"","family":"Kusumaningrum","given":"Susi","non-dropping-particle":"","parse-names":false,"suffix":""},{"dropping-particle":"","family":"Budianto","given":"Emil","non-dropping-particle":"","parse-names":false,"suffix":""},{"dropping-particle":"","family":"Kosela","given":"Soleh","non-dropping-particle":"","parse-names":false,"suffix":""},{"dropping-particle":"","family":"Sumaryono","given":"Wahono","non-dropping-particle":"","parse-names":false,"suffix":""},{"dropping-particle":"","family":"Juniarti","given":"Fifit","non-dropping-particle":"","parse-names":false,"suffix":""}],"container-title":"Journal of Applied Pharmaceutical Science","id":"ITEM-1","issue":"11","issued":{"date-parts":[["2014"]]},"page":"47-53","title":"The molecular docking of 1,4-naphthoquinone derivatives as inhibitors of Polo-like kinase 1 using Molegro Virtual Docker","type":"article-journal","volume":"4"},"uris":["http://www.mendeley.com/documents/?uuid=4f21b92c-e39a-4960-9d55-847b957b337c"]}],"mendeley":{"formattedCitation":"(15)","plainTextFormattedCitation":"(15)","previouslyFormattedCitation":"(15)"},"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(15)</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Numerous different proteins have been successfully docked using MVD, which has performance comparable to that of other docking tools like A</w:t>
      </w:r>
      <w:r w:rsidRPr="00295605">
        <w:rPr>
          <w:rFonts w:eastAsia="Times New Roman"/>
          <w:noProof w:val="0"/>
          <w:snapToGrid w:val="0"/>
          <w:szCs w:val="22"/>
          <w:lang w:val="en-IN" w:eastAsia="de-DE" w:bidi="en-US"/>
        </w:rPr>
        <w:t>u</w:t>
      </w:r>
      <w:r w:rsidRPr="00295605">
        <w:rPr>
          <w:rFonts w:eastAsia="Times New Roman"/>
          <w:noProof w:val="0"/>
          <w:snapToGrid w:val="0"/>
          <w:szCs w:val="22"/>
          <w:lang w:val="en-IN" w:eastAsia="de-DE" w:bidi="en-US"/>
        </w:rPr>
        <w:t xml:space="preserve">toDock4 and </w:t>
      </w:r>
      <w:proofErr w:type="spellStart"/>
      <w:r w:rsidRPr="00295605">
        <w:rPr>
          <w:rFonts w:eastAsia="Times New Roman"/>
          <w:noProof w:val="0"/>
          <w:snapToGrid w:val="0"/>
          <w:szCs w:val="22"/>
          <w:lang w:val="en-IN" w:eastAsia="de-DE" w:bidi="en-US"/>
        </w:rPr>
        <w:t>AutoDock</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Vina</w:t>
      </w:r>
      <w:proofErr w:type="spellEnd"/>
      <w:r w:rsidRPr="00295605">
        <w:rPr>
          <w:rFonts w:eastAsia="Times New Roman"/>
          <w:noProof w:val="0"/>
          <w:snapToGrid w:val="0"/>
          <w:szCs w:val="22"/>
          <w:lang w:val="en-IN" w:eastAsia="de-DE" w:bidi="en-US"/>
        </w:rPr>
        <w:t>.</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{"citationItems":[{"id":"ITEM-1","itemData":{"DOI":"10.1007/978-1-4939-9752-7_10","ISBN":"9781493997527","ISSN":"19406029","PMID":"31452104","abstract":"Molegro Virtual Docker is a protein-ligand docking simulation program that allows us to carry out docking simulations in a fully integrated computational package. MVD has been successfully applied to hundreds of different proteins, with docking performance similar to other docking programs such as AutoDock4 and AutoDock Vina. The program MVD has four search algorithms and four native scoring functions. Considering that we may have water molecules or not in the docking simulations, we have a total of 32 docking protocols. The integration of the programs SAnDReS (https://github.com/azevedolab/sandres ) and MVD opens the possibility to carry out a detailed statistical analysis of docking results, which adds to the native capabilities of the program MVD. In this chapter, we describe a tutorial to carry out docking simulations with MVD and how to perform a statistical analysis of the docking results with the program SAnDReS. To illustrate the integration of both programs, we describe the redocking simulation focused the cyclin-dependent kinase 2 in complex with a competitive inhibitor.","author":[{"dropping-particle":"","family":"Bitencourt-Ferreira","given":"Gabriela","non-dropping-particle":"","parse-names":false,"suffix":""},{"dropping-particle":"","family":"Azevedo","given":"Walter Filgueira","non-dropping-particle":"de","parse-names":false,"suffix":""}],"container-title":"Methods in Molecular Biology","id":"ITEM-1","issued":{"date-parts":[["2019"]]},"page":"149-167","title":"Molegro virtual docker for docking","type":"article-journal","volume":"2053"},"uris":["http://www.mendeley.com/documents/?uuid=3e6c838b-bc5e-4903-b997-a7c42ecf7f4a"]}],"mendeley":{"formattedCitation":"(16)","plainTextFormattedCitation":"(16)","previouslyFormattedCitation":"(16)"},"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(16)</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Four native scoring functions and four search alg</w:t>
      </w:r>
      <w:r w:rsidRPr="00295605">
        <w:rPr>
          <w:rFonts w:eastAsia="Times New Roman"/>
          <w:noProof w:val="0"/>
          <w:snapToGrid w:val="0"/>
          <w:szCs w:val="22"/>
          <w:lang w:val="en-IN" w:eastAsia="de-DE" w:bidi="en-US"/>
        </w:rPr>
        <w:t>o</w:t>
      </w:r>
      <w:r w:rsidRPr="00295605">
        <w:rPr>
          <w:rFonts w:eastAsia="Times New Roman"/>
          <w:noProof w:val="0"/>
          <w:snapToGrid w:val="0"/>
          <w:szCs w:val="22"/>
          <w:lang w:val="en-IN" w:eastAsia="de-DE" w:bidi="en-US"/>
        </w:rPr>
        <w:t>rithms are included in the MVD software.</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{"citationItems":[{"id":"ITEM-1","itemData":{"DOI":"10.5155/eurjchem.11.1.30","author":[{"dropping-particle":"","family":"Binzet","given":"Gun","non-dropping-particle":"","parse-names":false,"suffix":""}],"container-title":"European Journal of Chemistry","id":"ITEM-1","issue":"9","issued":{"date-parts":[["2018"]]},"page":"360-368","publisher":"Atlanta Publishing House LLC","title":"Eur opean J ournal of Chem istry","type":"article-journal","volume":"4"},"uris":["http://www.mendeley.com/documents/?uuid=5e0b4c76-df6a-4640-9a82-3573785b6ddb"]}],"mendeley":{"formattedCitation":"(17)","plainTextFormattedCitation":"(17)","previouslyFormattedCitation":"(17)"},"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(17)</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{"citationItems":[{"id":"ITEM-1","itemData":{"DOI":"10.22067/jcmr.2021.71517.1013","ISSN":"2008-9147","abstract":"Coronavirus disease 2019 (COVID-19) has emerged in Wuhan, China, and because of fast transmission, it has led to its extensive prevalence in almost all countries, which has made it a global crisis. Drug repurposing is considered a fast way to discover new applications of the current drugs. This study aims to recognize a possible small molecule as a primary protease inhibitor versus the main protease protein of SARS-CoV-2 by computational programs. Virtual screening procedures like using Molegro Virtual Docker, AutoDock Tool, and AutoDock Vina, were done for more than 1600 FDA-approved medicines downloaded from the ZINC database, were employed to characterize new implied molecule inhibitors for the recently published crystal structure of the main protease protein of SARS-CoV-2. Virtual screening results indicated, many drugs including ARBs, cephalosporins, some kinase inhibitors, HMG CoA reductase, and leukotriene receptor antagonist, may inhibit the main protease of SARS-COV-2. Velpatasvir, Molnupiravir, and Ivermectin were selected by virtual screening methods for further studies to find an efficient ligand for the treatment of COVID-19. Due to some other beneficial features, including anti-infectious, anti-inflammatory properties, and ADME profile, they could be a promising drug nominee for repurposing to the treatment of COVID-19. Velpatasvir was selected by some virtual screening methods for further studies to find a suitable ligand for the treatment of COVID-19. Furthermore, more studies need to approve this data and finally clinical trial needs to be done to examine the efficacy of Velpatasvir for the treatment of covid-19 as an anti-viral agent.","author":[{"dropping-particle":"","family":"Manavi","given":"Mohammad Amin","non-dropping-particle":"","parse-names":false,"suffix":""}],"container-title":"Journal of Cell and Molecular Research","id":"ITEM-1","issue":"2","issued":{"date-parts":[["2022"]]},"page":"108-112","title":"In silico Study to Identification of Potential SARS-CoV-2 Main Protease Inhibitors: Virtual Drug Screening and Molecular Docking with AutoDock Vina and Molegro Virtual Docker","type":"article-journal","volume":"13"},"uris":["http://www.mendeley.com/documents/?uuid=0b53a3cf-1e23-4b2d-affd-14f3a04de04c"]}],"mendeley":{"formattedCitation":"(18)","plainTextFormattedCitation":"(18)","previouslyFormattedCitation":"(18)"},"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(18)</w:t>
      </w:r>
      <w:r w:rsidRPr="00295605">
        <w:rPr>
          <w:rFonts w:eastAsia="Times New Roman"/>
          <w:noProof w:val="0"/>
          <w:snapToGrid w:val="0"/>
          <w:szCs w:val="22"/>
          <w:lang w:eastAsia="de-DE" w:bidi="en-US"/>
        </w:rPr>
        <w:fldChar w:fldCharType="end"/>
      </w:r>
    </w:p>
    <w:p w14:paraId="7DF1AF2B" w14:textId="77777777" w:rsidR="00295605" w:rsidRPr="00295605" w:rsidRDefault="00295605" w:rsidP="00295605">
      <w:pPr>
        <w:adjustRightInd w:val="0"/>
        <w:snapToGrid w:val="0"/>
        <w:spacing w:before="240" w:after="60" w:line="228" w:lineRule="auto"/>
        <w:ind w:left="2608" w:firstLine="425"/>
        <w:jc w:val="left"/>
        <w:outlineLvl w:val="0"/>
        <w:rPr>
          <w:rFonts w:eastAsia="Times New Roman"/>
          <w:noProof w:val="0"/>
          <w:snapToGrid w:val="0"/>
          <w:szCs w:val="22"/>
          <w:lang w:val="en-IN" w:eastAsia="de-DE" w:bidi="en-US"/>
        </w:rPr>
      </w:pPr>
      <w:r w:rsidRPr="00295605">
        <w:rPr>
          <w:rFonts w:eastAsia="Times New Roman"/>
          <w:snapToGrid w:val="0"/>
          <w:szCs w:val="22"/>
          <w:lang w:eastAsia="en-US"/>
        </w:rPr>
        <w:drawing>
          <wp:inline distT="0" distB="0" distL="0" distR="0" wp14:anchorId="4A877391" wp14:editId="49694BB4">
            <wp:extent cx="4762500" cy="300142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7700"/>
                    <a:stretch/>
                  </pic:blipFill>
                  <pic:spPr bwMode="auto">
                    <a:xfrm>
                      <a:off x="0" y="0"/>
                      <a:ext cx="4765949" cy="3003603"/>
                    </a:xfrm>
                    <a:prstGeom prst="rect">
                      <a:avLst/>
                    </a:prstGeom>
                    <a:ln>
                      <a:noFill/>
                    </a:ln>
                    <a:extLst>
                      <a:ext uri="{53640926-AAD7-44D8-BBD7-CCE9431645EC}">
                        <a14:shadowObscured xmlns:a14="http://schemas.microsoft.com/office/drawing/2010/main"/>
                      </a:ext>
                    </a:extLst>
                  </pic:spPr>
                </pic:pic>
              </a:graphicData>
            </a:graphic>
          </wp:inline>
        </w:drawing>
      </w:r>
    </w:p>
    <w:p w14:paraId="3BDA0499" w14:textId="77777777" w:rsidR="00295605" w:rsidRPr="00295605" w:rsidRDefault="00295605" w:rsidP="00295605">
      <w:pPr>
        <w:adjustRightInd w:val="0"/>
        <w:snapToGrid w:val="0"/>
        <w:spacing w:before="240" w:after="60" w:line="228" w:lineRule="auto"/>
        <w:ind w:left="2608" w:firstLine="425"/>
        <w:outlineLvl w:val="0"/>
        <w:rPr>
          <w:rFonts w:eastAsia="Times New Roman"/>
          <w:b/>
          <w:bCs/>
          <w:noProof w:val="0"/>
          <w:snapToGrid w:val="0"/>
          <w:szCs w:val="22"/>
          <w:lang w:val="en-IN" w:eastAsia="de-DE" w:bidi="en-US"/>
        </w:rPr>
      </w:pPr>
      <w:r w:rsidRPr="00295605">
        <w:rPr>
          <w:rFonts w:eastAsia="Times New Roman"/>
          <w:b/>
          <w:bCs/>
          <w:noProof w:val="0"/>
          <w:snapToGrid w:val="0"/>
          <w:szCs w:val="22"/>
          <w:lang w:val="en-IN" w:eastAsia="de-DE" w:bidi="en-US"/>
        </w:rPr>
        <w:t xml:space="preserve">Figure </w:t>
      </w:r>
      <w:r w:rsidRPr="00295605">
        <w:rPr>
          <w:rFonts w:eastAsia="Times New Roman"/>
          <w:b/>
          <w:bCs/>
          <w:noProof w:val="0"/>
          <w:snapToGrid w:val="0"/>
          <w:szCs w:val="22"/>
          <w:lang w:val="en-IN" w:eastAsia="de-DE" w:bidi="en-US"/>
        </w:rPr>
        <w:fldChar w:fldCharType="begin"/>
      </w:r>
      <w:r w:rsidRPr="00295605">
        <w:rPr>
          <w:rFonts w:eastAsia="Times New Roman"/>
          <w:b/>
          <w:bCs/>
          <w:noProof w:val="0"/>
          <w:snapToGrid w:val="0"/>
          <w:szCs w:val="22"/>
          <w:lang w:val="en-IN" w:eastAsia="de-DE" w:bidi="en-US"/>
        </w:rPr>
        <w:instrText xml:space="preserve"> SEQ Figure \* ARABIC </w:instrText>
      </w:r>
      <w:r w:rsidRPr="00295605">
        <w:rPr>
          <w:rFonts w:eastAsia="Times New Roman"/>
          <w:b/>
          <w:bCs/>
          <w:noProof w:val="0"/>
          <w:snapToGrid w:val="0"/>
          <w:szCs w:val="22"/>
          <w:lang w:val="en-IN" w:eastAsia="de-DE" w:bidi="en-US"/>
        </w:rPr>
        <w:fldChar w:fldCharType="separate"/>
      </w:r>
      <w:r w:rsidRPr="00295605">
        <w:rPr>
          <w:rFonts w:eastAsia="Times New Roman"/>
          <w:b/>
          <w:bCs/>
          <w:snapToGrid w:val="0"/>
          <w:szCs w:val="22"/>
          <w:lang w:val="en-IN" w:eastAsia="de-DE" w:bidi="en-US"/>
        </w:rPr>
        <w:t>2</w:t>
      </w:r>
      <w:r w:rsidRPr="00295605">
        <w:rPr>
          <w:rFonts w:eastAsia="Times New Roman"/>
          <w:noProof w:val="0"/>
          <w:snapToGrid w:val="0"/>
          <w:szCs w:val="22"/>
          <w:lang w:eastAsia="de-DE" w:bidi="en-US"/>
        </w:rPr>
        <w:fldChar w:fldCharType="end"/>
      </w:r>
      <w:r w:rsidRPr="00295605">
        <w:rPr>
          <w:rFonts w:eastAsia="Times New Roman"/>
          <w:bCs/>
          <w:noProof w:val="0"/>
          <w:snapToGrid w:val="0"/>
          <w:szCs w:val="22"/>
          <w:lang w:val="en-IN" w:eastAsia="de-DE" w:bidi="en-US"/>
        </w:rPr>
        <w:t>Molegro Virtual Docker 6.0</w:t>
      </w:r>
    </w:p>
    <w:p w14:paraId="35EF44B7"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eastAsia="de-DE" w:bidi="en-US"/>
        </w:rPr>
      </w:pPr>
      <w:r w:rsidRPr="00295605">
        <w:rPr>
          <w:rFonts w:eastAsia="Times New Roman"/>
          <w:b/>
          <w:noProof w:val="0"/>
          <w:snapToGrid w:val="0"/>
          <w:szCs w:val="22"/>
          <w:lang w:eastAsia="de-DE" w:bidi="en-US"/>
        </w:rPr>
        <w:t>2. Results</w:t>
      </w:r>
    </w:p>
    <w:p w14:paraId="372BDFDF" w14:textId="77777777" w:rsidR="00295605" w:rsidRPr="00295605" w:rsidRDefault="00295605" w:rsidP="00D159D3">
      <w:pPr>
        <w:numPr>
          <w:ilvl w:val="0"/>
          <w:numId w:val="29"/>
        </w:numPr>
        <w:adjustRightInd w:val="0"/>
        <w:snapToGrid w:val="0"/>
        <w:spacing w:after="60" w:line="228" w:lineRule="auto"/>
        <w:ind w:left="2608" w:firstLine="0"/>
        <w:outlineLvl w:val="1"/>
      </w:pPr>
      <w:r w:rsidRPr="00295605">
        <w:t xml:space="preserve">The MolDock Score describes the ability of Chalcone derivatives to bind to targets. The metric for analyzing the docking outcomes is the MolDock Score. The Chalcone </w:t>
      </w:r>
      <w:r w:rsidRPr="00295605">
        <w:lastRenderedPageBreak/>
        <w:t>Derivatives' MolDock Score, Rerank Score, and Hydrogen Bond Interaction are ranked in that manner. The ligand's posture, which has the lowest MolDcok score, demonstrates a high affinity for its enzyme target. Chalcone derivatives' in silico docking study on</w:t>
      </w:r>
      <w:r w:rsidRPr="00295605">
        <w:rPr>
          <w:lang w:eastAsia="en-IN"/>
        </w:rPr>
        <w:t xml:space="preserve"> Squalene synthase catalyzes</w:t>
      </w:r>
      <w:r w:rsidRPr="00295605">
        <w:rPr>
          <w:lang w:eastAsia="en-IN"/>
        </w:rPr>
        <w:softHyphen/>
      </w:r>
      <w:r w:rsidRPr="00295605">
        <w:rPr>
          <w:lang w:eastAsia="en-IN"/>
        </w:rPr>
        <w:softHyphen/>
        <w:t>(</w:t>
      </w:r>
      <w:r w:rsidRPr="00295605">
        <w:t>PDB ID: 1EZF)</w:t>
      </w:r>
      <w:r w:rsidRPr="00295605">
        <w:rPr>
          <w:lang w:eastAsia="en-IN"/>
        </w:rPr>
        <w:t>, farnesoid X receptor (</w:t>
      </w:r>
      <w:r w:rsidRPr="00295605">
        <w:t>PDB ID: 1OSH)</w:t>
      </w:r>
      <w:r w:rsidRPr="00295605">
        <w:rPr>
          <w:lang w:eastAsia="en-IN"/>
        </w:rPr>
        <w:t>, Peroxisome proliferator-activated receptors (PPARs)alpha (</w:t>
      </w:r>
      <w:r w:rsidRPr="00295605">
        <w:t>PDB ID: 2ZNN)</w:t>
      </w:r>
      <w:r w:rsidRPr="00295605">
        <w:rPr>
          <w:lang w:eastAsia="en-IN"/>
        </w:rPr>
        <w:t>, Peroxisome proliferator-activated receptors (PPARs) delta (</w:t>
      </w:r>
      <w:r w:rsidRPr="00295605">
        <w:t>PDB ID: 2ZNQ)</w:t>
      </w:r>
      <w:r w:rsidRPr="00295605">
        <w:rPr>
          <w:lang w:eastAsia="en-IN"/>
        </w:rPr>
        <w:t xml:space="preserve"> and lanosterol 14alpha-demethylase (</w:t>
      </w:r>
      <w:r w:rsidRPr="00295605">
        <w:t xml:space="preserve">PDB ID: 3LD6) ranking based on </w:t>
      </w:r>
      <w:r w:rsidRPr="00295605">
        <w:rPr>
          <w:lang w:eastAsia="en-IN"/>
        </w:rPr>
        <w:t>Re-rank</w:t>
      </w:r>
      <w:r w:rsidRPr="00295605">
        <w:t xml:space="preserve"> Score is represented in Table 2,3,4,5 and 6. The re-rank score was suggested to compare binding affinities, according to the literature. The cutoff score for this software was set at -60 AU. molecule presentations that can get cut-off scores. The binding patterns of the poses are captured using Biovia Visualizer software. docking pose of Chalcone derivatives is represented in Figure</w:t>
      </w:r>
    </w:p>
    <w:p w14:paraId="29383B1D" w14:textId="77777777" w:rsidR="00295605" w:rsidRPr="00295605" w:rsidRDefault="00295605" w:rsidP="00295605">
      <w:pPr>
        <w:keepNext/>
        <w:spacing w:after="200" w:line="240" w:lineRule="auto"/>
        <w:jc w:val="right"/>
        <w:rPr>
          <w:b/>
          <w:bCs/>
          <w:color w:val="4472C4"/>
          <w:sz w:val="18"/>
          <w:szCs w:val="18"/>
        </w:rPr>
      </w:pPr>
      <w:r w:rsidRPr="00295605">
        <w:rPr>
          <w:b/>
          <w:bCs/>
          <w:color w:val="auto"/>
          <w:sz w:val="18"/>
          <w:szCs w:val="18"/>
        </w:rPr>
        <w:t xml:space="preserve">Table </w:t>
      </w:r>
      <w:r w:rsidRPr="00295605">
        <w:rPr>
          <w:b/>
          <w:bCs/>
          <w:color w:val="auto"/>
          <w:sz w:val="18"/>
          <w:szCs w:val="18"/>
        </w:rPr>
        <w:fldChar w:fldCharType="begin"/>
      </w:r>
      <w:r w:rsidRPr="00295605">
        <w:rPr>
          <w:b/>
          <w:bCs/>
          <w:color w:val="auto"/>
          <w:sz w:val="18"/>
          <w:szCs w:val="18"/>
        </w:rPr>
        <w:instrText xml:space="preserve"> SEQ Table \* ARABIC </w:instrText>
      </w:r>
      <w:r w:rsidRPr="00295605">
        <w:rPr>
          <w:b/>
          <w:bCs/>
          <w:color w:val="auto"/>
          <w:sz w:val="18"/>
          <w:szCs w:val="18"/>
        </w:rPr>
        <w:fldChar w:fldCharType="separate"/>
      </w:r>
      <w:r w:rsidRPr="00295605">
        <w:rPr>
          <w:b/>
          <w:bCs/>
          <w:color w:val="auto"/>
          <w:sz w:val="18"/>
          <w:szCs w:val="18"/>
        </w:rPr>
        <w:t>1</w:t>
      </w:r>
      <w:r w:rsidRPr="00295605">
        <w:rPr>
          <w:b/>
          <w:bCs/>
          <w:color w:val="auto"/>
          <w:sz w:val="18"/>
          <w:szCs w:val="18"/>
        </w:rPr>
        <w:fldChar w:fldCharType="end"/>
      </w:r>
      <w:r w:rsidRPr="00295605">
        <w:rPr>
          <w:rFonts w:eastAsia="Times New Roman" w:cs="Cordia New"/>
          <w:noProof w:val="0"/>
          <w:color w:val="auto"/>
          <w:sz w:val="18"/>
          <w:szCs w:val="22"/>
          <w:lang w:val="en-IN" w:eastAsia="de-DE" w:bidi="en-US"/>
        </w:rPr>
        <w:t xml:space="preserve"> </w:t>
      </w:r>
      <w:r w:rsidRPr="00295605">
        <w:rPr>
          <w:b/>
          <w:bCs/>
          <w:color w:val="auto"/>
          <w:sz w:val="18"/>
          <w:szCs w:val="18"/>
          <w:lang w:val="en-IN"/>
        </w:rPr>
        <w:t>Ranking of ligand and poses based on Re-rank score for Squalene synthase catalyzes</w:t>
      </w:r>
    </w:p>
    <w:tbl>
      <w:tblPr>
        <w:tblW w:w="6380" w:type="dxa"/>
        <w:tblInd w:w="3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3"/>
        <w:gridCol w:w="1477"/>
        <w:gridCol w:w="1004"/>
        <w:gridCol w:w="980"/>
        <w:gridCol w:w="1276"/>
      </w:tblGrid>
      <w:tr w:rsidR="00295605" w:rsidRPr="00295605" w14:paraId="4079E27B" w14:textId="77777777" w:rsidTr="00D4167D">
        <w:tc>
          <w:tcPr>
            <w:tcW w:w="1643" w:type="dxa"/>
            <w:tcBorders>
              <w:top w:val="single" w:sz="8" w:space="0" w:color="auto"/>
              <w:left w:val="nil"/>
              <w:bottom w:val="single" w:sz="4" w:space="0" w:color="auto"/>
              <w:right w:val="nil"/>
            </w:tcBorders>
          </w:tcPr>
          <w:p w14:paraId="6D409DDA"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Ligand code</w:t>
            </w:r>
          </w:p>
        </w:tc>
        <w:tc>
          <w:tcPr>
            <w:tcW w:w="1477" w:type="dxa"/>
            <w:tcBorders>
              <w:top w:val="single" w:sz="8" w:space="0" w:color="auto"/>
              <w:left w:val="nil"/>
              <w:bottom w:val="single" w:sz="4" w:space="0" w:color="auto"/>
              <w:right w:val="nil"/>
            </w:tcBorders>
            <w:vAlign w:val="bottom"/>
            <w:hideMark/>
          </w:tcPr>
          <w:p w14:paraId="62F497A0"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Moldock</w:t>
            </w:r>
          </w:p>
        </w:tc>
        <w:tc>
          <w:tcPr>
            <w:tcW w:w="1004" w:type="dxa"/>
            <w:tcBorders>
              <w:top w:val="single" w:sz="8" w:space="0" w:color="auto"/>
              <w:left w:val="nil"/>
              <w:bottom w:val="single" w:sz="4" w:space="0" w:color="auto"/>
              <w:right w:val="nil"/>
            </w:tcBorders>
            <w:vAlign w:val="bottom"/>
            <w:hideMark/>
          </w:tcPr>
          <w:p w14:paraId="5C69B076"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Re-ran k</w:t>
            </w:r>
          </w:p>
        </w:tc>
        <w:tc>
          <w:tcPr>
            <w:tcW w:w="980" w:type="dxa"/>
            <w:tcBorders>
              <w:top w:val="single" w:sz="8" w:space="0" w:color="auto"/>
              <w:left w:val="nil"/>
              <w:bottom w:val="single" w:sz="4" w:space="0" w:color="auto"/>
              <w:right w:val="nil"/>
            </w:tcBorders>
            <w:vAlign w:val="bottom"/>
            <w:hideMark/>
          </w:tcPr>
          <w:p w14:paraId="5DA388D0"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Docking</w:t>
            </w:r>
          </w:p>
        </w:tc>
        <w:tc>
          <w:tcPr>
            <w:tcW w:w="1276" w:type="dxa"/>
            <w:tcBorders>
              <w:top w:val="single" w:sz="8" w:space="0" w:color="auto"/>
              <w:left w:val="nil"/>
              <w:bottom w:val="single" w:sz="4" w:space="0" w:color="auto"/>
              <w:right w:val="nil"/>
            </w:tcBorders>
          </w:tcPr>
          <w:p w14:paraId="65C48D9E" w14:textId="77777777" w:rsidR="00295605" w:rsidRPr="00295605" w:rsidRDefault="00295605" w:rsidP="00295605">
            <w:pPr>
              <w:adjustRightInd w:val="0"/>
              <w:snapToGrid w:val="0"/>
              <w:jc w:val="center"/>
              <w:rPr>
                <w:rFonts w:eastAsia="Times New Roman"/>
                <w:b/>
                <w:bCs/>
                <w:noProof w:val="0"/>
                <w:snapToGrid w:val="0"/>
                <w:lang w:eastAsia="de-DE" w:bidi="en-US"/>
              </w:rPr>
            </w:pPr>
            <w:r w:rsidRPr="00295605">
              <w:rPr>
                <w:rFonts w:eastAsia="Times New Roman"/>
                <w:lang w:eastAsia="en-IN"/>
              </w:rPr>
              <w:t>H Bond</w:t>
            </w:r>
          </w:p>
        </w:tc>
      </w:tr>
      <w:tr w:rsidR="00295605" w:rsidRPr="00295605" w14:paraId="17A464DE" w14:textId="77777777" w:rsidTr="00D4167D">
        <w:tc>
          <w:tcPr>
            <w:tcW w:w="1643" w:type="dxa"/>
            <w:tcBorders>
              <w:top w:val="single" w:sz="4" w:space="0" w:color="auto"/>
              <w:left w:val="nil"/>
              <w:bottom w:val="nil"/>
              <w:right w:val="nil"/>
            </w:tcBorders>
            <w:vAlign w:val="bottom"/>
          </w:tcPr>
          <w:p w14:paraId="1EF25ABB"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444</w:t>
            </w:r>
          </w:p>
        </w:tc>
        <w:tc>
          <w:tcPr>
            <w:tcW w:w="1477" w:type="dxa"/>
            <w:tcBorders>
              <w:top w:val="single" w:sz="4" w:space="0" w:color="auto"/>
              <w:left w:val="nil"/>
              <w:bottom w:val="nil"/>
              <w:right w:val="nil"/>
            </w:tcBorders>
            <w:vAlign w:val="bottom"/>
            <w:hideMark/>
          </w:tcPr>
          <w:p w14:paraId="528F8DC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-118.879</w:t>
            </w:r>
          </w:p>
        </w:tc>
        <w:tc>
          <w:tcPr>
            <w:tcW w:w="1004" w:type="dxa"/>
            <w:tcBorders>
              <w:top w:val="single" w:sz="4" w:space="0" w:color="auto"/>
              <w:left w:val="nil"/>
              <w:bottom w:val="nil"/>
              <w:right w:val="nil"/>
            </w:tcBorders>
            <w:vAlign w:val="bottom"/>
            <w:hideMark/>
          </w:tcPr>
          <w:p w14:paraId="683FD17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-89.4759</w:t>
            </w:r>
          </w:p>
        </w:tc>
        <w:tc>
          <w:tcPr>
            <w:tcW w:w="980" w:type="dxa"/>
            <w:tcBorders>
              <w:top w:val="single" w:sz="4" w:space="0" w:color="auto"/>
              <w:left w:val="nil"/>
              <w:bottom w:val="nil"/>
              <w:right w:val="nil"/>
            </w:tcBorders>
            <w:vAlign w:val="bottom"/>
            <w:hideMark/>
          </w:tcPr>
          <w:p w14:paraId="73534320"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-118.088</w:t>
            </w:r>
          </w:p>
        </w:tc>
        <w:tc>
          <w:tcPr>
            <w:tcW w:w="1276" w:type="dxa"/>
            <w:tcBorders>
              <w:top w:val="single" w:sz="4" w:space="0" w:color="auto"/>
              <w:left w:val="nil"/>
              <w:bottom w:val="nil"/>
              <w:right w:val="nil"/>
            </w:tcBorders>
            <w:vAlign w:val="bottom"/>
          </w:tcPr>
          <w:p w14:paraId="5C4329B8"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-1.81252</w:t>
            </w:r>
          </w:p>
        </w:tc>
      </w:tr>
      <w:tr w:rsidR="00295605" w:rsidRPr="00295605" w14:paraId="75EB39BE" w14:textId="77777777" w:rsidTr="00D4167D">
        <w:tc>
          <w:tcPr>
            <w:tcW w:w="1643" w:type="dxa"/>
            <w:tcBorders>
              <w:top w:val="nil"/>
              <w:left w:val="nil"/>
              <w:bottom w:val="nil"/>
              <w:right w:val="nil"/>
            </w:tcBorders>
            <w:vAlign w:val="bottom"/>
          </w:tcPr>
          <w:p w14:paraId="18BE572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586</w:t>
            </w:r>
          </w:p>
        </w:tc>
        <w:tc>
          <w:tcPr>
            <w:tcW w:w="1477" w:type="dxa"/>
            <w:tcBorders>
              <w:top w:val="nil"/>
              <w:left w:val="nil"/>
              <w:bottom w:val="nil"/>
              <w:right w:val="nil"/>
            </w:tcBorders>
            <w:vAlign w:val="bottom"/>
            <w:hideMark/>
          </w:tcPr>
          <w:p w14:paraId="5921C649"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-110.948</w:t>
            </w:r>
          </w:p>
        </w:tc>
        <w:tc>
          <w:tcPr>
            <w:tcW w:w="1004" w:type="dxa"/>
            <w:tcBorders>
              <w:top w:val="nil"/>
              <w:left w:val="nil"/>
              <w:bottom w:val="nil"/>
              <w:right w:val="nil"/>
            </w:tcBorders>
            <w:vAlign w:val="bottom"/>
            <w:hideMark/>
          </w:tcPr>
          <w:p w14:paraId="7FC0BFEC"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-86.5549</w:t>
            </w:r>
          </w:p>
        </w:tc>
        <w:tc>
          <w:tcPr>
            <w:tcW w:w="980" w:type="dxa"/>
            <w:tcBorders>
              <w:top w:val="nil"/>
              <w:left w:val="nil"/>
              <w:bottom w:val="nil"/>
              <w:right w:val="nil"/>
            </w:tcBorders>
            <w:vAlign w:val="bottom"/>
            <w:hideMark/>
          </w:tcPr>
          <w:p w14:paraId="208FC609"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-111.205</w:t>
            </w:r>
          </w:p>
        </w:tc>
        <w:tc>
          <w:tcPr>
            <w:tcW w:w="1276" w:type="dxa"/>
            <w:tcBorders>
              <w:top w:val="nil"/>
              <w:left w:val="nil"/>
              <w:bottom w:val="nil"/>
              <w:right w:val="nil"/>
            </w:tcBorders>
            <w:vAlign w:val="bottom"/>
          </w:tcPr>
          <w:p w14:paraId="46AD002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0</w:t>
            </w:r>
          </w:p>
        </w:tc>
      </w:tr>
      <w:tr w:rsidR="00295605" w:rsidRPr="00295605" w14:paraId="210B29E9" w14:textId="77777777" w:rsidTr="00D4167D">
        <w:tc>
          <w:tcPr>
            <w:tcW w:w="1643" w:type="dxa"/>
            <w:tcBorders>
              <w:top w:val="nil"/>
              <w:left w:val="nil"/>
              <w:bottom w:val="nil"/>
              <w:right w:val="nil"/>
            </w:tcBorders>
            <w:vAlign w:val="bottom"/>
          </w:tcPr>
          <w:p w14:paraId="5C1337F7"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445</w:t>
            </w:r>
          </w:p>
        </w:tc>
        <w:tc>
          <w:tcPr>
            <w:tcW w:w="1477" w:type="dxa"/>
            <w:tcBorders>
              <w:top w:val="nil"/>
              <w:left w:val="nil"/>
              <w:bottom w:val="nil"/>
              <w:right w:val="nil"/>
            </w:tcBorders>
            <w:vAlign w:val="bottom"/>
            <w:hideMark/>
          </w:tcPr>
          <w:p w14:paraId="6856E801"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-112.373</w:t>
            </w:r>
          </w:p>
        </w:tc>
        <w:tc>
          <w:tcPr>
            <w:tcW w:w="1004" w:type="dxa"/>
            <w:tcBorders>
              <w:top w:val="nil"/>
              <w:left w:val="nil"/>
              <w:bottom w:val="nil"/>
              <w:right w:val="nil"/>
            </w:tcBorders>
            <w:vAlign w:val="bottom"/>
            <w:hideMark/>
          </w:tcPr>
          <w:p w14:paraId="690F5011"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-85.4024</w:t>
            </w:r>
          </w:p>
        </w:tc>
        <w:tc>
          <w:tcPr>
            <w:tcW w:w="980" w:type="dxa"/>
            <w:tcBorders>
              <w:top w:val="nil"/>
              <w:left w:val="nil"/>
              <w:bottom w:val="nil"/>
              <w:right w:val="nil"/>
            </w:tcBorders>
            <w:vAlign w:val="bottom"/>
            <w:hideMark/>
          </w:tcPr>
          <w:p w14:paraId="0B7F96F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-113.471</w:t>
            </w:r>
          </w:p>
        </w:tc>
        <w:tc>
          <w:tcPr>
            <w:tcW w:w="1276" w:type="dxa"/>
            <w:tcBorders>
              <w:top w:val="nil"/>
              <w:left w:val="nil"/>
              <w:bottom w:val="nil"/>
              <w:right w:val="nil"/>
            </w:tcBorders>
            <w:vAlign w:val="bottom"/>
          </w:tcPr>
          <w:p w14:paraId="38D01039"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-1.93558</w:t>
            </w:r>
          </w:p>
        </w:tc>
      </w:tr>
      <w:tr w:rsidR="00295605" w:rsidRPr="00295605" w14:paraId="17D653FD" w14:textId="77777777" w:rsidTr="00D4167D">
        <w:tc>
          <w:tcPr>
            <w:tcW w:w="1643" w:type="dxa"/>
            <w:tcBorders>
              <w:top w:val="nil"/>
              <w:left w:val="nil"/>
              <w:bottom w:val="nil"/>
              <w:right w:val="nil"/>
            </w:tcBorders>
            <w:vAlign w:val="bottom"/>
          </w:tcPr>
          <w:p w14:paraId="445382E5"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99</w:t>
            </w:r>
          </w:p>
        </w:tc>
        <w:tc>
          <w:tcPr>
            <w:tcW w:w="1477" w:type="dxa"/>
            <w:tcBorders>
              <w:top w:val="nil"/>
              <w:left w:val="nil"/>
              <w:bottom w:val="nil"/>
              <w:right w:val="nil"/>
            </w:tcBorders>
            <w:vAlign w:val="bottom"/>
          </w:tcPr>
          <w:p w14:paraId="52D16E52"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-105.398</w:t>
            </w:r>
          </w:p>
        </w:tc>
        <w:tc>
          <w:tcPr>
            <w:tcW w:w="1004" w:type="dxa"/>
            <w:tcBorders>
              <w:top w:val="nil"/>
              <w:left w:val="nil"/>
              <w:bottom w:val="nil"/>
              <w:right w:val="nil"/>
            </w:tcBorders>
            <w:vAlign w:val="bottom"/>
          </w:tcPr>
          <w:p w14:paraId="4782258B"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-82.3979</w:t>
            </w:r>
          </w:p>
        </w:tc>
        <w:tc>
          <w:tcPr>
            <w:tcW w:w="980" w:type="dxa"/>
            <w:tcBorders>
              <w:top w:val="nil"/>
              <w:left w:val="nil"/>
              <w:bottom w:val="nil"/>
              <w:right w:val="nil"/>
            </w:tcBorders>
            <w:vAlign w:val="bottom"/>
          </w:tcPr>
          <w:p w14:paraId="66E71298"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-104.97</w:t>
            </w:r>
          </w:p>
        </w:tc>
        <w:tc>
          <w:tcPr>
            <w:tcW w:w="1276" w:type="dxa"/>
            <w:tcBorders>
              <w:top w:val="nil"/>
              <w:left w:val="nil"/>
              <w:bottom w:val="nil"/>
              <w:right w:val="nil"/>
            </w:tcBorders>
            <w:vAlign w:val="bottom"/>
          </w:tcPr>
          <w:p w14:paraId="49C14DE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-1.68423</w:t>
            </w:r>
          </w:p>
        </w:tc>
      </w:tr>
      <w:tr w:rsidR="00295605" w:rsidRPr="00295605" w14:paraId="490E4FC0" w14:textId="77777777" w:rsidTr="00D4167D">
        <w:tc>
          <w:tcPr>
            <w:tcW w:w="1643" w:type="dxa"/>
            <w:tcBorders>
              <w:top w:val="nil"/>
              <w:left w:val="nil"/>
              <w:bottom w:val="nil"/>
              <w:right w:val="nil"/>
            </w:tcBorders>
            <w:vAlign w:val="bottom"/>
          </w:tcPr>
          <w:p w14:paraId="1460C5D0"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244</w:t>
            </w:r>
          </w:p>
        </w:tc>
        <w:tc>
          <w:tcPr>
            <w:tcW w:w="1477" w:type="dxa"/>
            <w:tcBorders>
              <w:top w:val="nil"/>
              <w:left w:val="nil"/>
              <w:bottom w:val="nil"/>
              <w:right w:val="nil"/>
            </w:tcBorders>
            <w:vAlign w:val="bottom"/>
          </w:tcPr>
          <w:p w14:paraId="5F91792E"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-93.0628</w:t>
            </w:r>
          </w:p>
        </w:tc>
        <w:tc>
          <w:tcPr>
            <w:tcW w:w="1004" w:type="dxa"/>
            <w:tcBorders>
              <w:top w:val="nil"/>
              <w:left w:val="nil"/>
              <w:bottom w:val="nil"/>
              <w:right w:val="nil"/>
            </w:tcBorders>
            <w:vAlign w:val="bottom"/>
          </w:tcPr>
          <w:p w14:paraId="6AE2B18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-81.7151</w:t>
            </w:r>
          </w:p>
        </w:tc>
        <w:tc>
          <w:tcPr>
            <w:tcW w:w="980" w:type="dxa"/>
            <w:tcBorders>
              <w:top w:val="nil"/>
              <w:left w:val="nil"/>
              <w:bottom w:val="nil"/>
              <w:right w:val="nil"/>
            </w:tcBorders>
            <w:vAlign w:val="bottom"/>
          </w:tcPr>
          <w:p w14:paraId="15C15D6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-92.3871</w:t>
            </w:r>
          </w:p>
        </w:tc>
        <w:tc>
          <w:tcPr>
            <w:tcW w:w="1276" w:type="dxa"/>
            <w:tcBorders>
              <w:top w:val="nil"/>
              <w:left w:val="nil"/>
              <w:bottom w:val="nil"/>
              <w:right w:val="nil"/>
            </w:tcBorders>
            <w:vAlign w:val="bottom"/>
          </w:tcPr>
          <w:p w14:paraId="3628749C"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-1.37222</w:t>
            </w:r>
          </w:p>
        </w:tc>
      </w:tr>
      <w:tr w:rsidR="00295605" w:rsidRPr="00295605" w14:paraId="4221945A" w14:textId="77777777" w:rsidTr="00D4167D">
        <w:tc>
          <w:tcPr>
            <w:tcW w:w="1643" w:type="dxa"/>
            <w:tcBorders>
              <w:top w:val="nil"/>
              <w:left w:val="nil"/>
              <w:bottom w:val="nil"/>
              <w:right w:val="nil"/>
            </w:tcBorders>
            <w:vAlign w:val="bottom"/>
          </w:tcPr>
          <w:p w14:paraId="451652B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451</w:t>
            </w:r>
          </w:p>
        </w:tc>
        <w:tc>
          <w:tcPr>
            <w:tcW w:w="1477" w:type="dxa"/>
            <w:tcBorders>
              <w:top w:val="nil"/>
              <w:left w:val="nil"/>
              <w:bottom w:val="nil"/>
              <w:right w:val="nil"/>
            </w:tcBorders>
            <w:vAlign w:val="bottom"/>
          </w:tcPr>
          <w:p w14:paraId="0470FC4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-94.9064</w:t>
            </w:r>
          </w:p>
        </w:tc>
        <w:tc>
          <w:tcPr>
            <w:tcW w:w="1004" w:type="dxa"/>
            <w:tcBorders>
              <w:top w:val="nil"/>
              <w:left w:val="nil"/>
              <w:bottom w:val="nil"/>
              <w:right w:val="nil"/>
            </w:tcBorders>
            <w:vAlign w:val="bottom"/>
          </w:tcPr>
          <w:p w14:paraId="7D8AB43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-81.3992</w:t>
            </w:r>
          </w:p>
        </w:tc>
        <w:tc>
          <w:tcPr>
            <w:tcW w:w="980" w:type="dxa"/>
            <w:tcBorders>
              <w:top w:val="nil"/>
              <w:left w:val="nil"/>
              <w:bottom w:val="nil"/>
              <w:right w:val="nil"/>
            </w:tcBorders>
            <w:vAlign w:val="bottom"/>
          </w:tcPr>
          <w:p w14:paraId="4D3070F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-95.2335</w:t>
            </w:r>
          </w:p>
        </w:tc>
        <w:tc>
          <w:tcPr>
            <w:tcW w:w="1276" w:type="dxa"/>
            <w:tcBorders>
              <w:top w:val="nil"/>
              <w:left w:val="nil"/>
              <w:bottom w:val="nil"/>
              <w:right w:val="nil"/>
            </w:tcBorders>
            <w:vAlign w:val="bottom"/>
          </w:tcPr>
          <w:p w14:paraId="566A2BD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0</w:t>
            </w:r>
          </w:p>
        </w:tc>
      </w:tr>
      <w:tr w:rsidR="00295605" w:rsidRPr="00295605" w14:paraId="13CE4E6C" w14:textId="77777777" w:rsidTr="00D4167D">
        <w:tc>
          <w:tcPr>
            <w:tcW w:w="1643" w:type="dxa"/>
            <w:tcBorders>
              <w:top w:val="nil"/>
              <w:left w:val="nil"/>
              <w:bottom w:val="nil"/>
              <w:right w:val="nil"/>
            </w:tcBorders>
            <w:vAlign w:val="bottom"/>
          </w:tcPr>
          <w:p w14:paraId="1D451D1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643</w:t>
            </w:r>
          </w:p>
        </w:tc>
        <w:tc>
          <w:tcPr>
            <w:tcW w:w="1477" w:type="dxa"/>
            <w:tcBorders>
              <w:top w:val="nil"/>
              <w:left w:val="nil"/>
              <w:bottom w:val="nil"/>
              <w:right w:val="nil"/>
            </w:tcBorders>
            <w:vAlign w:val="bottom"/>
          </w:tcPr>
          <w:p w14:paraId="7F79870A"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-105.495</w:t>
            </w:r>
          </w:p>
        </w:tc>
        <w:tc>
          <w:tcPr>
            <w:tcW w:w="1004" w:type="dxa"/>
            <w:tcBorders>
              <w:top w:val="nil"/>
              <w:left w:val="nil"/>
              <w:bottom w:val="nil"/>
              <w:right w:val="nil"/>
            </w:tcBorders>
            <w:vAlign w:val="bottom"/>
          </w:tcPr>
          <w:p w14:paraId="743E97B8"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-81.1421</w:t>
            </w:r>
          </w:p>
        </w:tc>
        <w:tc>
          <w:tcPr>
            <w:tcW w:w="980" w:type="dxa"/>
            <w:tcBorders>
              <w:top w:val="nil"/>
              <w:left w:val="nil"/>
              <w:bottom w:val="nil"/>
              <w:right w:val="nil"/>
            </w:tcBorders>
            <w:vAlign w:val="bottom"/>
          </w:tcPr>
          <w:p w14:paraId="204F6F3F"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-103.937</w:t>
            </w:r>
          </w:p>
        </w:tc>
        <w:tc>
          <w:tcPr>
            <w:tcW w:w="1276" w:type="dxa"/>
            <w:tcBorders>
              <w:top w:val="nil"/>
              <w:left w:val="nil"/>
              <w:bottom w:val="nil"/>
              <w:right w:val="nil"/>
            </w:tcBorders>
            <w:vAlign w:val="bottom"/>
          </w:tcPr>
          <w:p w14:paraId="226B920A"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0</w:t>
            </w:r>
          </w:p>
        </w:tc>
      </w:tr>
      <w:tr w:rsidR="00295605" w:rsidRPr="00295605" w14:paraId="4BE32F29" w14:textId="77777777" w:rsidTr="00D4167D">
        <w:tc>
          <w:tcPr>
            <w:tcW w:w="1643" w:type="dxa"/>
            <w:tcBorders>
              <w:top w:val="nil"/>
              <w:left w:val="nil"/>
              <w:bottom w:val="nil"/>
              <w:right w:val="nil"/>
            </w:tcBorders>
            <w:vAlign w:val="bottom"/>
          </w:tcPr>
          <w:p w14:paraId="6CA32EF8"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446</w:t>
            </w:r>
          </w:p>
        </w:tc>
        <w:tc>
          <w:tcPr>
            <w:tcW w:w="1477" w:type="dxa"/>
            <w:tcBorders>
              <w:top w:val="nil"/>
              <w:left w:val="nil"/>
              <w:bottom w:val="nil"/>
              <w:right w:val="nil"/>
            </w:tcBorders>
            <w:vAlign w:val="bottom"/>
          </w:tcPr>
          <w:p w14:paraId="4B4DC09A"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-103.897</w:t>
            </w:r>
          </w:p>
        </w:tc>
        <w:tc>
          <w:tcPr>
            <w:tcW w:w="1004" w:type="dxa"/>
            <w:tcBorders>
              <w:top w:val="nil"/>
              <w:left w:val="nil"/>
              <w:bottom w:val="nil"/>
              <w:right w:val="nil"/>
            </w:tcBorders>
            <w:vAlign w:val="bottom"/>
          </w:tcPr>
          <w:p w14:paraId="00E2ABF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-81.0609</w:t>
            </w:r>
          </w:p>
        </w:tc>
        <w:tc>
          <w:tcPr>
            <w:tcW w:w="980" w:type="dxa"/>
            <w:tcBorders>
              <w:top w:val="nil"/>
              <w:left w:val="nil"/>
              <w:bottom w:val="nil"/>
              <w:right w:val="nil"/>
            </w:tcBorders>
            <w:vAlign w:val="bottom"/>
          </w:tcPr>
          <w:p w14:paraId="12ECCCCC"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-102.983</w:t>
            </w:r>
          </w:p>
        </w:tc>
        <w:tc>
          <w:tcPr>
            <w:tcW w:w="1276" w:type="dxa"/>
            <w:tcBorders>
              <w:top w:val="nil"/>
              <w:left w:val="nil"/>
              <w:bottom w:val="nil"/>
              <w:right w:val="nil"/>
            </w:tcBorders>
            <w:vAlign w:val="bottom"/>
          </w:tcPr>
          <w:p w14:paraId="21797751"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-1.45297</w:t>
            </w:r>
          </w:p>
        </w:tc>
      </w:tr>
      <w:tr w:rsidR="00295605" w:rsidRPr="00295605" w14:paraId="3705FFCE" w14:textId="77777777" w:rsidTr="00D4167D">
        <w:tc>
          <w:tcPr>
            <w:tcW w:w="1643" w:type="dxa"/>
            <w:tcBorders>
              <w:top w:val="nil"/>
              <w:left w:val="nil"/>
              <w:bottom w:val="nil"/>
              <w:right w:val="nil"/>
            </w:tcBorders>
            <w:vAlign w:val="bottom"/>
          </w:tcPr>
          <w:p w14:paraId="65951A1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418</w:t>
            </w:r>
          </w:p>
        </w:tc>
        <w:tc>
          <w:tcPr>
            <w:tcW w:w="1477" w:type="dxa"/>
            <w:tcBorders>
              <w:top w:val="nil"/>
              <w:left w:val="nil"/>
              <w:bottom w:val="nil"/>
              <w:right w:val="nil"/>
            </w:tcBorders>
            <w:vAlign w:val="bottom"/>
          </w:tcPr>
          <w:p w14:paraId="2416AC97"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-104.313</w:t>
            </w:r>
          </w:p>
        </w:tc>
        <w:tc>
          <w:tcPr>
            <w:tcW w:w="1004" w:type="dxa"/>
            <w:tcBorders>
              <w:top w:val="nil"/>
              <w:left w:val="nil"/>
              <w:bottom w:val="nil"/>
              <w:right w:val="nil"/>
            </w:tcBorders>
            <w:vAlign w:val="bottom"/>
          </w:tcPr>
          <w:p w14:paraId="14E7D43B"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-80.8477</w:t>
            </w:r>
          </w:p>
        </w:tc>
        <w:tc>
          <w:tcPr>
            <w:tcW w:w="980" w:type="dxa"/>
            <w:tcBorders>
              <w:top w:val="nil"/>
              <w:left w:val="nil"/>
              <w:bottom w:val="nil"/>
              <w:right w:val="nil"/>
            </w:tcBorders>
            <w:vAlign w:val="bottom"/>
          </w:tcPr>
          <w:p w14:paraId="1CC597D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-112.995</w:t>
            </w:r>
          </w:p>
        </w:tc>
        <w:tc>
          <w:tcPr>
            <w:tcW w:w="1276" w:type="dxa"/>
            <w:tcBorders>
              <w:top w:val="nil"/>
              <w:left w:val="nil"/>
              <w:bottom w:val="nil"/>
              <w:right w:val="nil"/>
            </w:tcBorders>
            <w:vAlign w:val="bottom"/>
          </w:tcPr>
          <w:p w14:paraId="635E62E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-1.96331</w:t>
            </w:r>
          </w:p>
        </w:tc>
      </w:tr>
      <w:tr w:rsidR="00295605" w:rsidRPr="00295605" w14:paraId="76A6AF4E" w14:textId="77777777" w:rsidTr="00D4167D">
        <w:tc>
          <w:tcPr>
            <w:tcW w:w="1643" w:type="dxa"/>
            <w:tcBorders>
              <w:top w:val="nil"/>
              <w:left w:val="nil"/>
              <w:bottom w:val="nil"/>
              <w:right w:val="nil"/>
            </w:tcBorders>
            <w:vAlign w:val="bottom"/>
          </w:tcPr>
          <w:p w14:paraId="7C335647"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674</w:t>
            </w:r>
          </w:p>
        </w:tc>
        <w:tc>
          <w:tcPr>
            <w:tcW w:w="1477" w:type="dxa"/>
            <w:tcBorders>
              <w:top w:val="nil"/>
              <w:left w:val="nil"/>
              <w:bottom w:val="nil"/>
              <w:right w:val="nil"/>
            </w:tcBorders>
            <w:vAlign w:val="bottom"/>
          </w:tcPr>
          <w:p w14:paraId="5881D6D4"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-101.554</w:t>
            </w:r>
          </w:p>
        </w:tc>
        <w:tc>
          <w:tcPr>
            <w:tcW w:w="1004" w:type="dxa"/>
            <w:tcBorders>
              <w:top w:val="nil"/>
              <w:left w:val="nil"/>
              <w:bottom w:val="nil"/>
              <w:right w:val="nil"/>
            </w:tcBorders>
            <w:vAlign w:val="bottom"/>
          </w:tcPr>
          <w:p w14:paraId="081B78BB"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-80.8459</w:t>
            </w:r>
          </w:p>
        </w:tc>
        <w:tc>
          <w:tcPr>
            <w:tcW w:w="980" w:type="dxa"/>
            <w:tcBorders>
              <w:top w:val="nil"/>
              <w:left w:val="nil"/>
              <w:bottom w:val="nil"/>
              <w:right w:val="nil"/>
            </w:tcBorders>
            <w:vAlign w:val="bottom"/>
          </w:tcPr>
          <w:p w14:paraId="20F35F20"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-100.848</w:t>
            </w:r>
          </w:p>
        </w:tc>
        <w:tc>
          <w:tcPr>
            <w:tcW w:w="1276" w:type="dxa"/>
            <w:tcBorders>
              <w:top w:val="nil"/>
              <w:left w:val="nil"/>
              <w:bottom w:val="nil"/>
              <w:right w:val="nil"/>
            </w:tcBorders>
            <w:vAlign w:val="bottom"/>
          </w:tcPr>
          <w:p w14:paraId="33950327"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-1.19106</w:t>
            </w:r>
          </w:p>
        </w:tc>
      </w:tr>
      <w:tr w:rsidR="00295605" w:rsidRPr="00295605" w14:paraId="6C97FC1B" w14:textId="77777777" w:rsidTr="00D4167D">
        <w:tc>
          <w:tcPr>
            <w:tcW w:w="1643" w:type="dxa"/>
            <w:tcBorders>
              <w:top w:val="nil"/>
              <w:left w:val="nil"/>
              <w:bottom w:val="nil"/>
              <w:right w:val="nil"/>
            </w:tcBorders>
            <w:vAlign w:val="bottom"/>
          </w:tcPr>
          <w:p w14:paraId="73A02FC1"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ROSUVASTATIN</w:t>
            </w:r>
          </w:p>
        </w:tc>
        <w:tc>
          <w:tcPr>
            <w:tcW w:w="1477" w:type="dxa"/>
            <w:tcBorders>
              <w:top w:val="nil"/>
              <w:left w:val="nil"/>
              <w:bottom w:val="nil"/>
              <w:right w:val="nil"/>
            </w:tcBorders>
            <w:vAlign w:val="bottom"/>
          </w:tcPr>
          <w:p w14:paraId="6354F905"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-115.354</w:t>
            </w:r>
          </w:p>
        </w:tc>
        <w:tc>
          <w:tcPr>
            <w:tcW w:w="1004" w:type="dxa"/>
            <w:tcBorders>
              <w:top w:val="nil"/>
              <w:left w:val="nil"/>
              <w:bottom w:val="nil"/>
              <w:right w:val="nil"/>
            </w:tcBorders>
            <w:vAlign w:val="bottom"/>
          </w:tcPr>
          <w:p w14:paraId="4DE22309"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-74.58</w:t>
            </w:r>
          </w:p>
        </w:tc>
        <w:tc>
          <w:tcPr>
            <w:tcW w:w="980" w:type="dxa"/>
            <w:tcBorders>
              <w:top w:val="nil"/>
              <w:left w:val="nil"/>
              <w:bottom w:val="nil"/>
              <w:right w:val="nil"/>
            </w:tcBorders>
            <w:vAlign w:val="bottom"/>
          </w:tcPr>
          <w:p w14:paraId="7766F186"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-117.069</w:t>
            </w:r>
          </w:p>
        </w:tc>
        <w:tc>
          <w:tcPr>
            <w:tcW w:w="1276" w:type="dxa"/>
            <w:tcBorders>
              <w:top w:val="nil"/>
              <w:left w:val="nil"/>
              <w:bottom w:val="nil"/>
              <w:right w:val="nil"/>
            </w:tcBorders>
            <w:vAlign w:val="bottom"/>
          </w:tcPr>
          <w:p w14:paraId="434C990A"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-6.62626</w:t>
            </w:r>
          </w:p>
        </w:tc>
      </w:tr>
      <w:tr w:rsidR="00295605" w:rsidRPr="00295605" w14:paraId="669611F4" w14:textId="77777777" w:rsidTr="00D4167D">
        <w:tc>
          <w:tcPr>
            <w:tcW w:w="1643" w:type="dxa"/>
            <w:tcBorders>
              <w:top w:val="nil"/>
              <w:left w:val="nil"/>
              <w:bottom w:val="nil"/>
              <w:right w:val="nil"/>
            </w:tcBorders>
            <w:vAlign w:val="bottom"/>
          </w:tcPr>
          <w:p w14:paraId="1DAF9218"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EZELIMIBE</w:t>
            </w:r>
          </w:p>
        </w:tc>
        <w:tc>
          <w:tcPr>
            <w:tcW w:w="1477" w:type="dxa"/>
            <w:tcBorders>
              <w:top w:val="nil"/>
              <w:left w:val="nil"/>
              <w:bottom w:val="nil"/>
              <w:right w:val="nil"/>
            </w:tcBorders>
            <w:vAlign w:val="bottom"/>
          </w:tcPr>
          <w:p w14:paraId="738466FA"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-106.047</w:t>
            </w:r>
          </w:p>
        </w:tc>
        <w:tc>
          <w:tcPr>
            <w:tcW w:w="1004" w:type="dxa"/>
            <w:tcBorders>
              <w:top w:val="nil"/>
              <w:left w:val="nil"/>
              <w:bottom w:val="nil"/>
              <w:right w:val="nil"/>
            </w:tcBorders>
            <w:vAlign w:val="bottom"/>
          </w:tcPr>
          <w:p w14:paraId="396F70DE"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-59.6707</w:t>
            </w:r>
          </w:p>
        </w:tc>
        <w:tc>
          <w:tcPr>
            <w:tcW w:w="980" w:type="dxa"/>
            <w:tcBorders>
              <w:top w:val="nil"/>
              <w:left w:val="nil"/>
              <w:bottom w:val="nil"/>
              <w:right w:val="nil"/>
            </w:tcBorders>
            <w:vAlign w:val="bottom"/>
          </w:tcPr>
          <w:p w14:paraId="0349CBCB"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-111.311</w:t>
            </w:r>
          </w:p>
        </w:tc>
        <w:tc>
          <w:tcPr>
            <w:tcW w:w="1276" w:type="dxa"/>
            <w:tcBorders>
              <w:top w:val="nil"/>
              <w:left w:val="nil"/>
              <w:bottom w:val="nil"/>
              <w:right w:val="nil"/>
            </w:tcBorders>
            <w:vAlign w:val="bottom"/>
          </w:tcPr>
          <w:p w14:paraId="411BE7BD"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-6.43995</w:t>
            </w:r>
          </w:p>
        </w:tc>
      </w:tr>
      <w:tr w:rsidR="00295605" w:rsidRPr="00295605" w14:paraId="17B604AC" w14:textId="77777777" w:rsidTr="00D4167D">
        <w:tc>
          <w:tcPr>
            <w:tcW w:w="1643" w:type="dxa"/>
            <w:tcBorders>
              <w:top w:val="nil"/>
              <w:left w:val="nil"/>
              <w:bottom w:val="nil"/>
              <w:right w:val="nil"/>
            </w:tcBorders>
            <w:vAlign w:val="bottom"/>
          </w:tcPr>
          <w:p w14:paraId="263BBBBF"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ATORVASTATIN</w:t>
            </w:r>
          </w:p>
        </w:tc>
        <w:tc>
          <w:tcPr>
            <w:tcW w:w="1477" w:type="dxa"/>
            <w:tcBorders>
              <w:top w:val="nil"/>
              <w:left w:val="nil"/>
              <w:bottom w:val="nil"/>
              <w:right w:val="nil"/>
            </w:tcBorders>
            <w:vAlign w:val="bottom"/>
          </w:tcPr>
          <w:p w14:paraId="5C9E5CC3"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-135.523</w:t>
            </w:r>
          </w:p>
        </w:tc>
        <w:tc>
          <w:tcPr>
            <w:tcW w:w="1004" w:type="dxa"/>
            <w:tcBorders>
              <w:top w:val="nil"/>
              <w:left w:val="nil"/>
              <w:bottom w:val="nil"/>
              <w:right w:val="nil"/>
            </w:tcBorders>
            <w:vAlign w:val="bottom"/>
          </w:tcPr>
          <w:p w14:paraId="42597E87" w14:textId="77777777" w:rsidR="00295605" w:rsidRPr="00295605" w:rsidRDefault="00295605" w:rsidP="00295605">
            <w:pPr>
              <w:spacing w:line="240" w:lineRule="auto"/>
              <w:jc w:val="right"/>
              <w:rPr>
                <w:rFonts w:eastAsia="Times New Roman" w:cs="Calibri"/>
                <w:lang w:eastAsia="en-IN"/>
              </w:rPr>
            </w:pPr>
            <w:r w:rsidRPr="00295605">
              <w:rPr>
                <w:rFonts w:eastAsia="Times New Roman" w:cs="Calibri"/>
                <w:lang w:eastAsia="en-IN"/>
              </w:rPr>
              <w:t>-56.1164</w:t>
            </w:r>
          </w:p>
        </w:tc>
        <w:tc>
          <w:tcPr>
            <w:tcW w:w="980" w:type="dxa"/>
            <w:tcBorders>
              <w:top w:val="nil"/>
              <w:left w:val="nil"/>
              <w:bottom w:val="nil"/>
              <w:right w:val="nil"/>
            </w:tcBorders>
            <w:vAlign w:val="bottom"/>
          </w:tcPr>
          <w:p w14:paraId="7E57EB23" w14:textId="77777777" w:rsidR="00295605" w:rsidRPr="00295605" w:rsidRDefault="00295605" w:rsidP="00295605">
            <w:pPr>
              <w:spacing w:line="240" w:lineRule="auto"/>
              <w:jc w:val="right"/>
              <w:rPr>
                <w:rFonts w:eastAsia="Times New Roman" w:cs="Calibri"/>
                <w:lang w:eastAsia="en-IN"/>
              </w:rPr>
            </w:pPr>
            <w:r w:rsidRPr="00295605">
              <w:rPr>
                <w:rFonts w:eastAsia="Times New Roman" w:cs="Calibri"/>
                <w:lang w:eastAsia="en-IN"/>
              </w:rPr>
              <w:t>-132.113</w:t>
            </w:r>
          </w:p>
        </w:tc>
        <w:tc>
          <w:tcPr>
            <w:tcW w:w="1276" w:type="dxa"/>
            <w:tcBorders>
              <w:top w:val="nil"/>
              <w:left w:val="nil"/>
              <w:bottom w:val="nil"/>
              <w:right w:val="nil"/>
            </w:tcBorders>
            <w:vAlign w:val="bottom"/>
          </w:tcPr>
          <w:p w14:paraId="0DE4A5B7" w14:textId="77777777" w:rsidR="00295605" w:rsidRPr="00295605" w:rsidRDefault="00295605" w:rsidP="00295605">
            <w:pPr>
              <w:spacing w:line="240" w:lineRule="auto"/>
              <w:jc w:val="center"/>
              <w:rPr>
                <w:rFonts w:eastAsia="Times New Roman" w:cs="Calibri"/>
                <w:lang w:eastAsia="en-IN"/>
              </w:rPr>
            </w:pPr>
            <w:r w:rsidRPr="00295605">
              <w:rPr>
                <w:rFonts w:eastAsia="Times New Roman" w:cs="Calibri"/>
                <w:lang w:eastAsia="en-IN"/>
              </w:rPr>
              <w:t>-2.5</w:t>
            </w:r>
          </w:p>
        </w:tc>
      </w:tr>
    </w:tbl>
    <w:p w14:paraId="3CDDEDE3" w14:textId="77777777" w:rsidR="00295605" w:rsidRPr="00295605" w:rsidRDefault="00295605" w:rsidP="00295605">
      <w:pPr>
        <w:jc w:val="center"/>
      </w:pPr>
    </w:p>
    <w:p w14:paraId="28FBE82C" w14:textId="77777777" w:rsidR="00295605" w:rsidRPr="00295605" w:rsidRDefault="00295605" w:rsidP="00295605">
      <w:pPr>
        <w:keepNext/>
        <w:spacing w:after="200" w:line="240" w:lineRule="auto"/>
        <w:jc w:val="right"/>
        <w:rPr>
          <w:b/>
          <w:bCs/>
          <w:color w:val="auto"/>
          <w:sz w:val="18"/>
          <w:szCs w:val="18"/>
        </w:rPr>
      </w:pPr>
      <w:r w:rsidRPr="00295605">
        <w:rPr>
          <w:b/>
          <w:bCs/>
          <w:color w:val="auto"/>
          <w:sz w:val="18"/>
          <w:szCs w:val="18"/>
        </w:rPr>
        <w:t xml:space="preserve">Table </w:t>
      </w:r>
      <w:r w:rsidRPr="00295605">
        <w:rPr>
          <w:b/>
          <w:bCs/>
          <w:color w:val="auto"/>
          <w:sz w:val="18"/>
          <w:szCs w:val="18"/>
        </w:rPr>
        <w:fldChar w:fldCharType="begin"/>
      </w:r>
      <w:r w:rsidRPr="00295605">
        <w:rPr>
          <w:b/>
          <w:bCs/>
          <w:color w:val="auto"/>
          <w:sz w:val="18"/>
          <w:szCs w:val="18"/>
        </w:rPr>
        <w:instrText xml:space="preserve"> SEQ Table \* ARABIC </w:instrText>
      </w:r>
      <w:r w:rsidRPr="00295605">
        <w:rPr>
          <w:b/>
          <w:bCs/>
          <w:color w:val="auto"/>
          <w:sz w:val="18"/>
          <w:szCs w:val="18"/>
        </w:rPr>
        <w:fldChar w:fldCharType="separate"/>
      </w:r>
      <w:r w:rsidRPr="00295605">
        <w:rPr>
          <w:b/>
          <w:bCs/>
          <w:color w:val="auto"/>
          <w:sz w:val="18"/>
          <w:szCs w:val="18"/>
        </w:rPr>
        <w:t>2</w:t>
      </w:r>
      <w:r w:rsidRPr="00295605">
        <w:rPr>
          <w:b/>
          <w:bCs/>
          <w:color w:val="auto"/>
          <w:sz w:val="18"/>
          <w:szCs w:val="18"/>
        </w:rPr>
        <w:fldChar w:fldCharType="end"/>
      </w:r>
      <w:r w:rsidRPr="00295605">
        <w:rPr>
          <w:rFonts w:ascii="Times New Roman" w:hAnsi="Times New Roman"/>
          <w:color w:val="auto"/>
          <w:sz w:val="24"/>
          <w:szCs w:val="24"/>
        </w:rPr>
        <w:t xml:space="preserve"> </w:t>
      </w:r>
      <w:r w:rsidRPr="00295605">
        <w:rPr>
          <w:b/>
          <w:bCs/>
          <w:color w:val="auto"/>
          <w:sz w:val="18"/>
          <w:szCs w:val="18"/>
        </w:rPr>
        <w:t>Ranking of ligand and poses based on Re-rank score for farnesoid X receptor</w:t>
      </w:r>
    </w:p>
    <w:tbl>
      <w:tblPr>
        <w:tblpPr w:leftFromText="180" w:rightFromText="180" w:vertAnchor="text" w:horzAnchor="page" w:tblpX="4331" w:tblpY="106"/>
        <w:tblW w:w="6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3"/>
        <w:gridCol w:w="1477"/>
        <w:gridCol w:w="1004"/>
        <w:gridCol w:w="980"/>
        <w:gridCol w:w="1276"/>
      </w:tblGrid>
      <w:tr w:rsidR="00295605" w:rsidRPr="00295605" w14:paraId="6A83EFA9" w14:textId="77777777" w:rsidTr="00D4167D">
        <w:tc>
          <w:tcPr>
            <w:tcW w:w="1643" w:type="dxa"/>
            <w:tcBorders>
              <w:top w:val="single" w:sz="8" w:space="0" w:color="auto"/>
              <w:left w:val="nil"/>
              <w:bottom w:val="single" w:sz="4" w:space="0" w:color="auto"/>
              <w:right w:val="nil"/>
            </w:tcBorders>
          </w:tcPr>
          <w:p w14:paraId="63069721"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Ligand code</w:t>
            </w:r>
          </w:p>
        </w:tc>
        <w:tc>
          <w:tcPr>
            <w:tcW w:w="1477" w:type="dxa"/>
            <w:tcBorders>
              <w:top w:val="single" w:sz="8" w:space="0" w:color="auto"/>
              <w:left w:val="nil"/>
              <w:bottom w:val="single" w:sz="4" w:space="0" w:color="auto"/>
              <w:right w:val="nil"/>
            </w:tcBorders>
            <w:vAlign w:val="bottom"/>
            <w:hideMark/>
          </w:tcPr>
          <w:p w14:paraId="0EE0C135"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Moldock</w:t>
            </w:r>
          </w:p>
        </w:tc>
        <w:tc>
          <w:tcPr>
            <w:tcW w:w="1004" w:type="dxa"/>
            <w:tcBorders>
              <w:top w:val="single" w:sz="8" w:space="0" w:color="auto"/>
              <w:left w:val="nil"/>
              <w:bottom w:val="single" w:sz="4" w:space="0" w:color="auto"/>
              <w:right w:val="nil"/>
            </w:tcBorders>
            <w:vAlign w:val="bottom"/>
            <w:hideMark/>
          </w:tcPr>
          <w:p w14:paraId="5F60B72A"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Re-ran k</w:t>
            </w:r>
          </w:p>
        </w:tc>
        <w:tc>
          <w:tcPr>
            <w:tcW w:w="980" w:type="dxa"/>
            <w:tcBorders>
              <w:top w:val="single" w:sz="8" w:space="0" w:color="auto"/>
              <w:left w:val="nil"/>
              <w:bottom w:val="single" w:sz="4" w:space="0" w:color="auto"/>
              <w:right w:val="nil"/>
            </w:tcBorders>
            <w:vAlign w:val="bottom"/>
            <w:hideMark/>
          </w:tcPr>
          <w:p w14:paraId="1C5FA6D8"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Docking</w:t>
            </w:r>
          </w:p>
        </w:tc>
        <w:tc>
          <w:tcPr>
            <w:tcW w:w="1276" w:type="dxa"/>
            <w:tcBorders>
              <w:top w:val="single" w:sz="8" w:space="0" w:color="auto"/>
              <w:left w:val="nil"/>
              <w:bottom w:val="single" w:sz="4" w:space="0" w:color="auto"/>
              <w:right w:val="nil"/>
            </w:tcBorders>
          </w:tcPr>
          <w:p w14:paraId="1C90651E" w14:textId="77777777" w:rsidR="00295605" w:rsidRPr="00295605" w:rsidRDefault="00295605" w:rsidP="00295605">
            <w:pPr>
              <w:adjustRightInd w:val="0"/>
              <w:snapToGrid w:val="0"/>
              <w:jc w:val="center"/>
              <w:rPr>
                <w:rFonts w:eastAsia="Times New Roman"/>
                <w:b/>
                <w:bCs/>
                <w:noProof w:val="0"/>
                <w:snapToGrid w:val="0"/>
                <w:lang w:eastAsia="de-DE" w:bidi="en-US"/>
              </w:rPr>
            </w:pPr>
            <w:r w:rsidRPr="00295605">
              <w:rPr>
                <w:rFonts w:eastAsia="Times New Roman"/>
                <w:lang w:eastAsia="en-IN"/>
              </w:rPr>
              <w:t>H Bond</w:t>
            </w:r>
          </w:p>
        </w:tc>
      </w:tr>
      <w:tr w:rsidR="00295605" w:rsidRPr="00295605" w14:paraId="35A035D3" w14:textId="77777777" w:rsidTr="00D4167D">
        <w:tc>
          <w:tcPr>
            <w:tcW w:w="1643" w:type="dxa"/>
            <w:tcBorders>
              <w:top w:val="single" w:sz="4" w:space="0" w:color="auto"/>
              <w:left w:val="nil"/>
              <w:bottom w:val="nil"/>
              <w:right w:val="nil"/>
            </w:tcBorders>
            <w:vAlign w:val="bottom"/>
          </w:tcPr>
          <w:p w14:paraId="628E165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419</w:t>
            </w:r>
          </w:p>
        </w:tc>
        <w:tc>
          <w:tcPr>
            <w:tcW w:w="1477" w:type="dxa"/>
            <w:tcBorders>
              <w:top w:val="single" w:sz="4" w:space="0" w:color="auto"/>
              <w:left w:val="nil"/>
              <w:bottom w:val="nil"/>
              <w:right w:val="nil"/>
            </w:tcBorders>
            <w:vAlign w:val="bottom"/>
            <w:hideMark/>
          </w:tcPr>
          <w:p w14:paraId="7FFBC95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-120.983</w:t>
            </w:r>
          </w:p>
        </w:tc>
        <w:tc>
          <w:tcPr>
            <w:tcW w:w="1004" w:type="dxa"/>
            <w:tcBorders>
              <w:top w:val="single" w:sz="4" w:space="0" w:color="auto"/>
              <w:left w:val="nil"/>
              <w:bottom w:val="nil"/>
              <w:right w:val="nil"/>
            </w:tcBorders>
            <w:vAlign w:val="bottom"/>
            <w:hideMark/>
          </w:tcPr>
          <w:p w14:paraId="79670DB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-102.951</w:t>
            </w:r>
          </w:p>
        </w:tc>
        <w:tc>
          <w:tcPr>
            <w:tcW w:w="980" w:type="dxa"/>
            <w:tcBorders>
              <w:top w:val="single" w:sz="4" w:space="0" w:color="auto"/>
              <w:left w:val="nil"/>
              <w:bottom w:val="nil"/>
              <w:right w:val="nil"/>
            </w:tcBorders>
            <w:vAlign w:val="bottom"/>
            <w:hideMark/>
          </w:tcPr>
          <w:p w14:paraId="0186889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-83.4149</w:t>
            </w:r>
          </w:p>
        </w:tc>
        <w:tc>
          <w:tcPr>
            <w:tcW w:w="1276" w:type="dxa"/>
            <w:tcBorders>
              <w:top w:val="single" w:sz="4" w:space="0" w:color="auto"/>
              <w:left w:val="nil"/>
              <w:bottom w:val="nil"/>
              <w:right w:val="nil"/>
            </w:tcBorders>
            <w:vAlign w:val="bottom"/>
          </w:tcPr>
          <w:p w14:paraId="2132D19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-0.2694</w:t>
            </w:r>
          </w:p>
        </w:tc>
      </w:tr>
      <w:tr w:rsidR="00295605" w:rsidRPr="00295605" w14:paraId="2303A541" w14:textId="77777777" w:rsidTr="00D4167D">
        <w:tc>
          <w:tcPr>
            <w:tcW w:w="1643" w:type="dxa"/>
            <w:tcBorders>
              <w:top w:val="nil"/>
              <w:left w:val="nil"/>
              <w:bottom w:val="nil"/>
              <w:right w:val="nil"/>
            </w:tcBorders>
            <w:vAlign w:val="bottom"/>
          </w:tcPr>
          <w:p w14:paraId="5E3DB10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444</w:t>
            </w:r>
          </w:p>
        </w:tc>
        <w:tc>
          <w:tcPr>
            <w:tcW w:w="1477" w:type="dxa"/>
            <w:tcBorders>
              <w:top w:val="nil"/>
              <w:left w:val="nil"/>
              <w:bottom w:val="nil"/>
              <w:right w:val="nil"/>
            </w:tcBorders>
            <w:vAlign w:val="bottom"/>
            <w:hideMark/>
          </w:tcPr>
          <w:p w14:paraId="7FBE870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-127.973</w:t>
            </w:r>
          </w:p>
        </w:tc>
        <w:tc>
          <w:tcPr>
            <w:tcW w:w="1004" w:type="dxa"/>
            <w:tcBorders>
              <w:top w:val="nil"/>
              <w:left w:val="nil"/>
              <w:bottom w:val="nil"/>
              <w:right w:val="nil"/>
            </w:tcBorders>
            <w:vAlign w:val="bottom"/>
            <w:hideMark/>
          </w:tcPr>
          <w:p w14:paraId="4B4F1E0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-101.576</w:t>
            </w:r>
          </w:p>
        </w:tc>
        <w:tc>
          <w:tcPr>
            <w:tcW w:w="980" w:type="dxa"/>
            <w:tcBorders>
              <w:top w:val="nil"/>
              <w:left w:val="nil"/>
              <w:bottom w:val="nil"/>
              <w:right w:val="nil"/>
            </w:tcBorders>
            <w:vAlign w:val="bottom"/>
            <w:hideMark/>
          </w:tcPr>
          <w:p w14:paraId="35404145"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-109.376</w:t>
            </w:r>
          </w:p>
        </w:tc>
        <w:tc>
          <w:tcPr>
            <w:tcW w:w="1276" w:type="dxa"/>
            <w:tcBorders>
              <w:top w:val="nil"/>
              <w:left w:val="nil"/>
              <w:bottom w:val="nil"/>
              <w:right w:val="nil"/>
            </w:tcBorders>
            <w:vAlign w:val="bottom"/>
          </w:tcPr>
          <w:p w14:paraId="7D14D38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6A335551" w14:textId="77777777" w:rsidTr="00D4167D">
        <w:tc>
          <w:tcPr>
            <w:tcW w:w="1643" w:type="dxa"/>
            <w:tcBorders>
              <w:top w:val="nil"/>
              <w:left w:val="nil"/>
              <w:bottom w:val="nil"/>
              <w:right w:val="nil"/>
            </w:tcBorders>
            <w:vAlign w:val="bottom"/>
          </w:tcPr>
          <w:p w14:paraId="5DE785E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233</w:t>
            </w:r>
          </w:p>
        </w:tc>
        <w:tc>
          <w:tcPr>
            <w:tcW w:w="1477" w:type="dxa"/>
            <w:tcBorders>
              <w:top w:val="nil"/>
              <w:left w:val="nil"/>
              <w:bottom w:val="nil"/>
              <w:right w:val="nil"/>
            </w:tcBorders>
            <w:vAlign w:val="bottom"/>
            <w:hideMark/>
          </w:tcPr>
          <w:p w14:paraId="1608E03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-123.015</w:t>
            </w:r>
          </w:p>
        </w:tc>
        <w:tc>
          <w:tcPr>
            <w:tcW w:w="1004" w:type="dxa"/>
            <w:tcBorders>
              <w:top w:val="nil"/>
              <w:left w:val="nil"/>
              <w:bottom w:val="nil"/>
              <w:right w:val="nil"/>
            </w:tcBorders>
            <w:vAlign w:val="bottom"/>
            <w:hideMark/>
          </w:tcPr>
          <w:p w14:paraId="6D8E43A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-100.519</w:t>
            </w:r>
          </w:p>
        </w:tc>
        <w:tc>
          <w:tcPr>
            <w:tcW w:w="980" w:type="dxa"/>
            <w:tcBorders>
              <w:top w:val="nil"/>
              <w:left w:val="nil"/>
              <w:bottom w:val="nil"/>
              <w:right w:val="nil"/>
            </w:tcBorders>
            <w:vAlign w:val="bottom"/>
            <w:hideMark/>
          </w:tcPr>
          <w:p w14:paraId="05C6DEF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-96.967</w:t>
            </w:r>
          </w:p>
        </w:tc>
        <w:tc>
          <w:tcPr>
            <w:tcW w:w="1276" w:type="dxa"/>
            <w:tcBorders>
              <w:top w:val="nil"/>
              <w:left w:val="nil"/>
              <w:bottom w:val="nil"/>
              <w:right w:val="nil"/>
            </w:tcBorders>
            <w:vAlign w:val="bottom"/>
          </w:tcPr>
          <w:p w14:paraId="3964C70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21E4F52D" w14:textId="77777777" w:rsidTr="00D4167D">
        <w:tc>
          <w:tcPr>
            <w:tcW w:w="1643" w:type="dxa"/>
            <w:tcBorders>
              <w:top w:val="nil"/>
              <w:left w:val="nil"/>
              <w:bottom w:val="nil"/>
              <w:right w:val="nil"/>
            </w:tcBorders>
            <w:vAlign w:val="bottom"/>
          </w:tcPr>
          <w:p w14:paraId="4E5CEA1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582</w:t>
            </w:r>
          </w:p>
        </w:tc>
        <w:tc>
          <w:tcPr>
            <w:tcW w:w="1477" w:type="dxa"/>
            <w:tcBorders>
              <w:top w:val="nil"/>
              <w:left w:val="nil"/>
              <w:bottom w:val="nil"/>
              <w:right w:val="nil"/>
            </w:tcBorders>
            <w:vAlign w:val="bottom"/>
          </w:tcPr>
          <w:p w14:paraId="5D8DD3F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-123.821</w:t>
            </w:r>
          </w:p>
        </w:tc>
        <w:tc>
          <w:tcPr>
            <w:tcW w:w="1004" w:type="dxa"/>
            <w:tcBorders>
              <w:top w:val="nil"/>
              <w:left w:val="nil"/>
              <w:bottom w:val="nil"/>
              <w:right w:val="nil"/>
            </w:tcBorders>
            <w:vAlign w:val="bottom"/>
          </w:tcPr>
          <w:p w14:paraId="25089EF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-98.5686</w:t>
            </w:r>
          </w:p>
        </w:tc>
        <w:tc>
          <w:tcPr>
            <w:tcW w:w="980" w:type="dxa"/>
            <w:tcBorders>
              <w:top w:val="nil"/>
              <w:left w:val="nil"/>
              <w:bottom w:val="nil"/>
              <w:right w:val="nil"/>
            </w:tcBorders>
            <w:vAlign w:val="bottom"/>
          </w:tcPr>
          <w:p w14:paraId="56C832F7"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-82.1567</w:t>
            </w:r>
          </w:p>
        </w:tc>
        <w:tc>
          <w:tcPr>
            <w:tcW w:w="1276" w:type="dxa"/>
            <w:tcBorders>
              <w:top w:val="nil"/>
              <w:left w:val="nil"/>
              <w:bottom w:val="nil"/>
              <w:right w:val="nil"/>
            </w:tcBorders>
            <w:vAlign w:val="bottom"/>
          </w:tcPr>
          <w:p w14:paraId="59580C83"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5D896F4E" w14:textId="77777777" w:rsidTr="00D4167D">
        <w:tc>
          <w:tcPr>
            <w:tcW w:w="1643" w:type="dxa"/>
            <w:tcBorders>
              <w:top w:val="nil"/>
              <w:left w:val="nil"/>
              <w:bottom w:val="nil"/>
              <w:right w:val="nil"/>
            </w:tcBorders>
            <w:vAlign w:val="bottom"/>
          </w:tcPr>
          <w:p w14:paraId="679E954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418</w:t>
            </w:r>
          </w:p>
        </w:tc>
        <w:tc>
          <w:tcPr>
            <w:tcW w:w="1477" w:type="dxa"/>
            <w:tcBorders>
              <w:top w:val="nil"/>
              <w:left w:val="nil"/>
              <w:bottom w:val="nil"/>
              <w:right w:val="nil"/>
            </w:tcBorders>
            <w:vAlign w:val="bottom"/>
          </w:tcPr>
          <w:p w14:paraId="49D21ED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-113.617</w:t>
            </w:r>
          </w:p>
        </w:tc>
        <w:tc>
          <w:tcPr>
            <w:tcW w:w="1004" w:type="dxa"/>
            <w:tcBorders>
              <w:top w:val="nil"/>
              <w:left w:val="nil"/>
              <w:bottom w:val="nil"/>
              <w:right w:val="nil"/>
            </w:tcBorders>
            <w:vAlign w:val="bottom"/>
          </w:tcPr>
          <w:p w14:paraId="1CF5C14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-98.2649</w:t>
            </w:r>
          </w:p>
        </w:tc>
        <w:tc>
          <w:tcPr>
            <w:tcW w:w="980" w:type="dxa"/>
            <w:tcBorders>
              <w:top w:val="nil"/>
              <w:left w:val="nil"/>
              <w:bottom w:val="nil"/>
              <w:right w:val="nil"/>
            </w:tcBorders>
            <w:vAlign w:val="bottom"/>
          </w:tcPr>
          <w:p w14:paraId="1B036EFF"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-88.4015</w:t>
            </w:r>
          </w:p>
        </w:tc>
        <w:tc>
          <w:tcPr>
            <w:tcW w:w="1276" w:type="dxa"/>
            <w:tcBorders>
              <w:top w:val="nil"/>
              <w:left w:val="nil"/>
              <w:bottom w:val="nil"/>
              <w:right w:val="nil"/>
            </w:tcBorders>
            <w:vAlign w:val="bottom"/>
          </w:tcPr>
          <w:p w14:paraId="6DC5EFB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-1.11672</w:t>
            </w:r>
          </w:p>
        </w:tc>
      </w:tr>
      <w:tr w:rsidR="00295605" w:rsidRPr="00295605" w14:paraId="32F62903" w14:textId="77777777" w:rsidTr="00D4167D">
        <w:tc>
          <w:tcPr>
            <w:tcW w:w="1643" w:type="dxa"/>
            <w:tcBorders>
              <w:top w:val="nil"/>
              <w:left w:val="nil"/>
              <w:bottom w:val="nil"/>
              <w:right w:val="nil"/>
            </w:tcBorders>
            <w:vAlign w:val="bottom"/>
          </w:tcPr>
          <w:p w14:paraId="7C7FF60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648</w:t>
            </w:r>
          </w:p>
        </w:tc>
        <w:tc>
          <w:tcPr>
            <w:tcW w:w="1477" w:type="dxa"/>
            <w:tcBorders>
              <w:top w:val="nil"/>
              <w:left w:val="nil"/>
              <w:bottom w:val="nil"/>
              <w:right w:val="nil"/>
            </w:tcBorders>
            <w:vAlign w:val="bottom"/>
          </w:tcPr>
          <w:p w14:paraId="540F2E15"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-114.817</w:t>
            </w:r>
          </w:p>
        </w:tc>
        <w:tc>
          <w:tcPr>
            <w:tcW w:w="1004" w:type="dxa"/>
            <w:tcBorders>
              <w:top w:val="nil"/>
              <w:left w:val="nil"/>
              <w:bottom w:val="nil"/>
              <w:right w:val="nil"/>
            </w:tcBorders>
            <w:vAlign w:val="bottom"/>
          </w:tcPr>
          <w:p w14:paraId="6567C20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-97.9852</w:t>
            </w:r>
          </w:p>
        </w:tc>
        <w:tc>
          <w:tcPr>
            <w:tcW w:w="980" w:type="dxa"/>
            <w:tcBorders>
              <w:top w:val="nil"/>
              <w:left w:val="nil"/>
              <w:bottom w:val="nil"/>
              <w:right w:val="nil"/>
            </w:tcBorders>
            <w:vAlign w:val="bottom"/>
          </w:tcPr>
          <w:p w14:paraId="588C788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-94.2071</w:t>
            </w:r>
          </w:p>
        </w:tc>
        <w:tc>
          <w:tcPr>
            <w:tcW w:w="1276" w:type="dxa"/>
            <w:tcBorders>
              <w:top w:val="nil"/>
              <w:left w:val="nil"/>
              <w:bottom w:val="nil"/>
              <w:right w:val="nil"/>
            </w:tcBorders>
            <w:vAlign w:val="bottom"/>
          </w:tcPr>
          <w:p w14:paraId="1FF91DB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6BE76023" w14:textId="77777777" w:rsidTr="00D4167D">
        <w:tc>
          <w:tcPr>
            <w:tcW w:w="1643" w:type="dxa"/>
            <w:tcBorders>
              <w:top w:val="nil"/>
              <w:left w:val="nil"/>
              <w:bottom w:val="nil"/>
              <w:right w:val="nil"/>
            </w:tcBorders>
            <w:vAlign w:val="bottom"/>
          </w:tcPr>
          <w:p w14:paraId="289013A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686</w:t>
            </w:r>
          </w:p>
        </w:tc>
        <w:tc>
          <w:tcPr>
            <w:tcW w:w="1477" w:type="dxa"/>
            <w:tcBorders>
              <w:top w:val="nil"/>
              <w:left w:val="nil"/>
              <w:bottom w:val="nil"/>
              <w:right w:val="nil"/>
            </w:tcBorders>
            <w:vAlign w:val="bottom"/>
          </w:tcPr>
          <w:p w14:paraId="3A4EFD6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-107.919</w:t>
            </w:r>
          </w:p>
        </w:tc>
        <w:tc>
          <w:tcPr>
            <w:tcW w:w="1004" w:type="dxa"/>
            <w:tcBorders>
              <w:top w:val="nil"/>
              <w:left w:val="nil"/>
              <w:bottom w:val="nil"/>
              <w:right w:val="nil"/>
            </w:tcBorders>
            <w:vAlign w:val="bottom"/>
          </w:tcPr>
          <w:p w14:paraId="035B5AE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-97.3327</w:t>
            </w:r>
          </w:p>
        </w:tc>
        <w:tc>
          <w:tcPr>
            <w:tcW w:w="980" w:type="dxa"/>
            <w:tcBorders>
              <w:top w:val="nil"/>
              <w:left w:val="nil"/>
              <w:bottom w:val="nil"/>
              <w:right w:val="nil"/>
            </w:tcBorders>
            <w:vAlign w:val="bottom"/>
          </w:tcPr>
          <w:p w14:paraId="62BB935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-90.2736</w:t>
            </w:r>
          </w:p>
        </w:tc>
        <w:tc>
          <w:tcPr>
            <w:tcW w:w="1276" w:type="dxa"/>
            <w:tcBorders>
              <w:top w:val="nil"/>
              <w:left w:val="nil"/>
              <w:bottom w:val="nil"/>
              <w:right w:val="nil"/>
            </w:tcBorders>
            <w:vAlign w:val="bottom"/>
          </w:tcPr>
          <w:p w14:paraId="510FF2E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-2.42386</w:t>
            </w:r>
          </w:p>
        </w:tc>
      </w:tr>
      <w:tr w:rsidR="00295605" w:rsidRPr="00295605" w14:paraId="115B57F2" w14:textId="77777777" w:rsidTr="00D4167D">
        <w:tc>
          <w:tcPr>
            <w:tcW w:w="1643" w:type="dxa"/>
            <w:tcBorders>
              <w:top w:val="nil"/>
              <w:left w:val="nil"/>
              <w:bottom w:val="nil"/>
              <w:right w:val="nil"/>
            </w:tcBorders>
            <w:vAlign w:val="bottom"/>
          </w:tcPr>
          <w:p w14:paraId="26600A1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366</w:t>
            </w:r>
          </w:p>
        </w:tc>
        <w:tc>
          <w:tcPr>
            <w:tcW w:w="1477" w:type="dxa"/>
            <w:tcBorders>
              <w:top w:val="nil"/>
              <w:left w:val="nil"/>
              <w:bottom w:val="nil"/>
              <w:right w:val="nil"/>
            </w:tcBorders>
            <w:vAlign w:val="bottom"/>
          </w:tcPr>
          <w:p w14:paraId="4D6FD31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-115.416</w:t>
            </w:r>
          </w:p>
        </w:tc>
        <w:tc>
          <w:tcPr>
            <w:tcW w:w="1004" w:type="dxa"/>
            <w:tcBorders>
              <w:top w:val="nil"/>
              <w:left w:val="nil"/>
              <w:bottom w:val="nil"/>
              <w:right w:val="nil"/>
            </w:tcBorders>
            <w:vAlign w:val="bottom"/>
          </w:tcPr>
          <w:p w14:paraId="560134A7"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-97.1997</w:t>
            </w:r>
          </w:p>
        </w:tc>
        <w:tc>
          <w:tcPr>
            <w:tcW w:w="980" w:type="dxa"/>
            <w:tcBorders>
              <w:top w:val="nil"/>
              <w:left w:val="nil"/>
              <w:bottom w:val="nil"/>
              <w:right w:val="nil"/>
            </w:tcBorders>
            <w:vAlign w:val="bottom"/>
          </w:tcPr>
          <w:p w14:paraId="074DBFB7"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-95.2135</w:t>
            </w:r>
          </w:p>
        </w:tc>
        <w:tc>
          <w:tcPr>
            <w:tcW w:w="1276" w:type="dxa"/>
            <w:tcBorders>
              <w:top w:val="nil"/>
              <w:left w:val="nil"/>
              <w:bottom w:val="nil"/>
              <w:right w:val="nil"/>
            </w:tcBorders>
            <w:vAlign w:val="bottom"/>
          </w:tcPr>
          <w:p w14:paraId="4CC0892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1F05E767" w14:textId="77777777" w:rsidTr="00D4167D">
        <w:tc>
          <w:tcPr>
            <w:tcW w:w="1643" w:type="dxa"/>
            <w:tcBorders>
              <w:top w:val="nil"/>
              <w:left w:val="nil"/>
              <w:bottom w:val="nil"/>
              <w:right w:val="nil"/>
            </w:tcBorders>
            <w:vAlign w:val="bottom"/>
          </w:tcPr>
          <w:p w14:paraId="7849952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472</w:t>
            </w:r>
          </w:p>
        </w:tc>
        <w:tc>
          <w:tcPr>
            <w:tcW w:w="1477" w:type="dxa"/>
            <w:tcBorders>
              <w:top w:val="nil"/>
              <w:left w:val="nil"/>
              <w:bottom w:val="nil"/>
              <w:right w:val="nil"/>
            </w:tcBorders>
            <w:vAlign w:val="bottom"/>
          </w:tcPr>
          <w:p w14:paraId="39EC333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-113.794</w:t>
            </w:r>
          </w:p>
        </w:tc>
        <w:tc>
          <w:tcPr>
            <w:tcW w:w="1004" w:type="dxa"/>
            <w:tcBorders>
              <w:top w:val="nil"/>
              <w:left w:val="nil"/>
              <w:bottom w:val="nil"/>
              <w:right w:val="nil"/>
            </w:tcBorders>
            <w:vAlign w:val="bottom"/>
          </w:tcPr>
          <w:p w14:paraId="35759F6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-95.9952</w:t>
            </w:r>
          </w:p>
        </w:tc>
        <w:tc>
          <w:tcPr>
            <w:tcW w:w="980" w:type="dxa"/>
            <w:tcBorders>
              <w:top w:val="nil"/>
              <w:left w:val="nil"/>
              <w:bottom w:val="nil"/>
              <w:right w:val="nil"/>
            </w:tcBorders>
            <w:vAlign w:val="bottom"/>
          </w:tcPr>
          <w:p w14:paraId="7C71AEEC"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-93.3231</w:t>
            </w:r>
          </w:p>
        </w:tc>
        <w:tc>
          <w:tcPr>
            <w:tcW w:w="1276" w:type="dxa"/>
            <w:tcBorders>
              <w:top w:val="nil"/>
              <w:left w:val="nil"/>
              <w:bottom w:val="nil"/>
              <w:right w:val="nil"/>
            </w:tcBorders>
            <w:vAlign w:val="bottom"/>
          </w:tcPr>
          <w:p w14:paraId="305098E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6B52B52C" w14:textId="77777777" w:rsidTr="00D4167D">
        <w:tc>
          <w:tcPr>
            <w:tcW w:w="1643" w:type="dxa"/>
            <w:tcBorders>
              <w:top w:val="nil"/>
              <w:left w:val="nil"/>
              <w:bottom w:val="nil"/>
              <w:right w:val="nil"/>
            </w:tcBorders>
            <w:vAlign w:val="bottom"/>
          </w:tcPr>
          <w:p w14:paraId="408B10F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487</w:t>
            </w:r>
          </w:p>
        </w:tc>
        <w:tc>
          <w:tcPr>
            <w:tcW w:w="1477" w:type="dxa"/>
            <w:tcBorders>
              <w:top w:val="nil"/>
              <w:left w:val="nil"/>
              <w:bottom w:val="nil"/>
              <w:right w:val="nil"/>
            </w:tcBorders>
            <w:vAlign w:val="bottom"/>
          </w:tcPr>
          <w:p w14:paraId="3216B69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-110.109</w:t>
            </w:r>
          </w:p>
        </w:tc>
        <w:tc>
          <w:tcPr>
            <w:tcW w:w="1004" w:type="dxa"/>
            <w:tcBorders>
              <w:top w:val="nil"/>
              <w:left w:val="nil"/>
              <w:bottom w:val="nil"/>
              <w:right w:val="nil"/>
            </w:tcBorders>
            <w:vAlign w:val="bottom"/>
          </w:tcPr>
          <w:p w14:paraId="2C667C3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-95.7819</w:t>
            </w:r>
          </w:p>
        </w:tc>
        <w:tc>
          <w:tcPr>
            <w:tcW w:w="980" w:type="dxa"/>
            <w:tcBorders>
              <w:top w:val="nil"/>
              <w:left w:val="nil"/>
              <w:bottom w:val="nil"/>
              <w:right w:val="nil"/>
            </w:tcBorders>
            <w:vAlign w:val="bottom"/>
          </w:tcPr>
          <w:p w14:paraId="72B7416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-88.015</w:t>
            </w:r>
          </w:p>
        </w:tc>
        <w:tc>
          <w:tcPr>
            <w:tcW w:w="1276" w:type="dxa"/>
            <w:tcBorders>
              <w:top w:val="nil"/>
              <w:left w:val="nil"/>
              <w:bottom w:val="nil"/>
              <w:right w:val="nil"/>
            </w:tcBorders>
            <w:vAlign w:val="bottom"/>
          </w:tcPr>
          <w:p w14:paraId="7B5447C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-2.76144</w:t>
            </w:r>
          </w:p>
        </w:tc>
      </w:tr>
      <w:tr w:rsidR="00295605" w:rsidRPr="00295605" w14:paraId="0A7AE4BC" w14:textId="77777777" w:rsidTr="00D4167D">
        <w:tc>
          <w:tcPr>
            <w:tcW w:w="1643" w:type="dxa"/>
            <w:tcBorders>
              <w:top w:val="nil"/>
              <w:left w:val="nil"/>
              <w:bottom w:val="nil"/>
              <w:right w:val="nil"/>
            </w:tcBorders>
            <w:vAlign w:val="bottom"/>
          </w:tcPr>
          <w:p w14:paraId="5EFD3A0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ROSUVASTATIN</w:t>
            </w:r>
          </w:p>
        </w:tc>
        <w:tc>
          <w:tcPr>
            <w:tcW w:w="1477" w:type="dxa"/>
            <w:tcBorders>
              <w:top w:val="nil"/>
              <w:left w:val="nil"/>
              <w:bottom w:val="nil"/>
              <w:right w:val="nil"/>
            </w:tcBorders>
            <w:vAlign w:val="bottom"/>
          </w:tcPr>
          <w:p w14:paraId="33A78DF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-126.105</w:t>
            </w:r>
          </w:p>
        </w:tc>
        <w:tc>
          <w:tcPr>
            <w:tcW w:w="1004" w:type="dxa"/>
            <w:tcBorders>
              <w:top w:val="nil"/>
              <w:left w:val="nil"/>
              <w:bottom w:val="nil"/>
              <w:right w:val="nil"/>
            </w:tcBorders>
            <w:vAlign w:val="bottom"/>
          </w:tcPr>
          <w:p w14:paraId="3DFED0E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-88.505</w:t>
            </w:r>
          </w:p>
        </w:tc>
        <w:tc>
          <w:tcPr>
            <w:tcW w:w="980" w:type="dxa"/>
            <w:tcBorders>
              <w:top w:val="nil"/>
              <w:left w:val="nil"/>
              <w:bottom w:val="nil"/>
              <w:right w:val="nil"/>
            </w:tcBorders>
            <w:vAlign w:val="bottom"/>
          </w:tcPr>
          <w:p w14:paraId="73A18F13"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-93.3884</w:t>
            </w:r>
          </w:p>
        </w:tc>
        <w:tc>
          <w:tcPr>
            <w:tcW w:w="1276" w:type="dxa"/>
            <w:tcBorders>
              <w:top w:val="nil"/>
              <w:left w:val="nil"/>
              <w:bottom w:val="nil"/>
              <w:right w:val="nil"/>
            </w:tcBorders>
            <w:vAlign w:val="bottom"/>
          </w:tcPr>
          <w:p w14:paraId="17FAC597"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-2.26085</w:t>
            </w:r>
          </w:p>
        </w:tc>
      </w:tr>
      <w:tr w:rsidR="00295605" w:rsidRPr="00295605" w14:paraId="14AE5C2F" w14:textId="77777777" w:rsidTr="00D4167D">
        <w:tc>
          <w:tcPr>
            <w:tcW w:w="1643" w:type="dxa"/>
            <w:tcBorders>
              <w:top w:val="nil"/>
              <w:left w:val="nil"/>
              <w:bottom w:val="nil"/>
              <w:right w:val="nil"/>
            </w:tcBorders>
            <w:vAlign w:val="bottom"/>
          </w:tcPr>
          <w:p w14:paraId="27A5C09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EZELIMIBE</w:t>
            </w:r>
          </w:p>
        </w:tc>
        <w:tc>
          <w:tcPr>
            <w:tcW w:w="1477" w:type="dxa"/>
            <w:tcBorders>
              <w:top w:val="nil"/>
              <w:left w:val="nil"/>
              <w:bottom w:val="nil"/>
              <w:right w:val="nil"/>
            </w:tcBorders>
            <w:vAlign w:val="bottom"/>
          </w:tcPr>
          <w:p w14:paraId="1CDA0E7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-105.989</w:t>
            </w:r>
          </w:p>
        </w:tc>
        <w:tc>
          <w:tcPr>
            <w:tcW w:w="1004" w:type="dxa"/>
            <w:tcBorders>
              <w:top w:val="nil"/>
              <w:left w:val="nil"/>
              <w:bottom w:val="nil"/>
              <w:right w:val="nil"/>
            </w:tcBorders>
            <w:vAlign w:val="bottom"/>
          </w:tcPr>
          <w:p w14:paraId="746A9CA3"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-48.3069</w:t>
            </w:r>
          </w:p>
        </w:tc>
        <w:tc>
          <w:tcPr>
            <w:tcW w:w="980" w:type="dxa"/>
            <w:tcBorders>
              <w:top w:val="nil"/>
              <w:left w:val="nil"/>
              <w:bottom w:val="nil"/>
              <w:right w:val="nil"/>
            </w:tcBorders>
            <w:vAlign w:val="bottom"/>
          </w:tcPr>
          <w:p w14:paraId="3908012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-103.42</w:t>
            </w:r>
          </w:p>
        </w:tc>
        <w:tc>
          <w:tcPr>
            <w:tcW w:w="1276" w:type="dxa"/>
            <w:tcBorders>
              <w:top w:val="nil"/>
              <w:left w:val="nil"/>
              <w:bottom w:val="nil"/>
              <w:right w:val="nil"/>
            </w:tcBorders>
            <w:vAlign w:val="bottom"/>
          </w:tcPr>
          <w:p w14:paraId="0320998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-5.74129</w:t>
            </w:r>
          </w:p>
        </w:tc>
      </w:tr>
      <w:tr w:rsidR="00295605" w:rsidRPr="00295605" w14:paraId="17C6212E" w14:textId="77777777" w:rsidTr="00D4167D">
        <w:tc>
          <w:tcPr>
            <w:tcW w:w="1643" w:type="dxa"/>
            <w:tcBorders>
              <w:top w:val="nil"/>
              <w:left w:val="nil"/>
              <w:bottom w:val="nil"/>
              <w:right w:val="nil"/>
            </w:tcBorders>
            <w:vAlign w:val="bottom"/>
          </w:tcPr>
          <w:p w14:paraId="00133AE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ATORVASTATIN</w:t>
            </w:r>
          </w:p>
        </w:tc>
        <w:tc>
          <w:tcPr>
            <w:tcW w:w="1477" w:type="dxa"/>
            <w:tcBorders>
              <w:top w:val="nil"/>
              <w:left w:val="nil"/>
              <w:bottom w:val="nil"/>
              <w:right w:val="nil"/>
            </w:tcBorders>
            <w:vAlign w:val="bottom"/>
          </w:tcPr>
          <w:p w14:paraId="7CC6EFB3" w14:textId="77777777" w:rsidR="00295605" w:rsidRPr="00295605" w:rsidRDefault="00295605" w:rsidP="00295605">
            <w:pPr>
              <w:spacing w:line="240" w:lineRule="auto"/>
              <w:jc w:val="center"/>
              <w:rPr>
                <w:rFonts w:eastAsia="Times New Roman"/>
                <w:sz w:val="22"/>
                <w:szCs w:val="22"/>
                <w:lang w:eastAsia="en-IN"/>
              </w:rPr>
            </w:pPr>
            <w:r w:rsidRPr="00295605">
              <w:rPr>
                <w:rFonts w:eastAsia="Times New Roman"/>
                <w:lang w:eastAsia="en-IN"/>
              </w:rPr>
              <w:t>-101.82</w:t>
            </w:r>
          </w:p>
        </w:tc>
        <w:tc>
          <w:tcPr>
            <w:tcW w:w="1004" w:type="dxa"/>
            <w:tcBorders>
              <w:top w:val="nil"/>
              <w:left w:val="nil"/>
              <w:bottom w:val="nil"/>
              <w:right w:val="nil"/>
            </w:tcBorders>
            <w:vAlign w:val="bottom"/>
          </w:tcPr>
          <w:p w14:paraId="76E6B30A" w14:textId="77777777" w:rsidR="00295605" w:rsidRPr="00295605" w:rsidRDefault="00295605" w:rsidP="00295605">
            <w:pPr>
              <w:spacing w:line="240" w:lineRule="auto"/>
              <w:jc w:val="center"/>
              <w:rPr>
                <w:rFonts w:ascii="Times New Roman" w:eastAsia="Times New Roman" w:hAnsi="Times New Roman"/>
                <w:sz w:val="22"/>
                <w:szCs w:val="22"/>
                <w:lang w:eastAsia="en-IN"/>
              </w:rPr>
            </w:pPr>
            <w:r w:rsidRPr="00295605">
              <w:rPr>
                <w:rFonts w:ascii="Times New Roman" w:eastAsia="Times New Roman" w:hAnsi="Times New Roman"/>
                <w:lang w:eastAsia="en-IN"/>
              </w:rPr>
              <w:t>353.338</w:t>
            </w:r>
          </w:p>
        </w:tc>
        <w:tc>
          <w:tcPr>
            <w:tcW w:w="980" w:type="dxa"/>
            <w:tcBorders>
              <w:top w:val="nil"/>
              <w:left w:val="nil"/>
              <w:bottom w:val="nil"/>
              <w:right w:val="nil"/>
            </w:tcBorders>
            <w:vAlign w:val="bottom"/>
          </w:tcPr>
          <w:p w14:paraId="0B6F8EC8" w14:textId="77777777" w:rsidR="00295605" w:rsidRPr="00295605" w:rsidRDefault="00295605" w:rsidP="00295605">
            <w:pPr>
              <w:spacing w:line="240" w:lineRule="auto"/>
              <w:jc w:val="center"/>
              <w:rPr>
                <w:rFonts w:ascii="Times New Roman" w:eastAsia="Times New Roman" w:hAnsi="Times New Roman"/>
                <w:sz w:val="22"/>
                <w:szCs w:val="22"/>
                <w:lang w:eastAsia="en-IN"/>
              </w:rPr>
            </w:pPr>
            <w:r w:rsidRPr="00295605">
              <w:rPr>
                <w:rFonts w:ascii="Times New Roman" w:eastAsia="Times New Roman" w:hAnsi="Times New Roman"/>
                <w:lang w:eastAsia="en-IN"/>
              </w:rPr>
              <w:t>9923.55</w:t>
            </w:r>
          </w:p>
        </w:tc>
        <w:tc>
          <w:tcPr>
            <w:tcW w:w="1276" w:type="dxa"/>
            <w:tcBorders>
              <w:top w:val="nil"/>
              <w:left w:val="nil"/>
              <w:bottom w:val="nil"/>
              <w:right w:val="nil"/>
            </w:tcBorders>
            <w:vAlign w:val="bottom"/>
          </w:tcPr>
          <w:p w14:paraId="51C543C8" w14:textId="77777777" w:rsidR="00295605" w:rsidRPr="00295605" w:rsidRDefault="00295605" w:rsidP="00295605">
            <w:pPr>
              <w:spacing w:line="240" w:lineRule="auto"/>
              <w:jc w:val="center"/>
              <w:rPr>
                <w:rFonts w:ascii="Times New Roman" w:eastAsia="Times New Roman" w:hAnsi="Times New Roman"/>
                <w:sz w:val="22"/>
                <w:szCs w:val="22"/>
                <w:lang w:eastAsia="en-IN"/>
              </w:rPr>
            </w:pPr>
            <w:r w:rsidRPr="00295605">
              <w:rPr>
                <w:rFonts w:ascii="Times New Roman" w:eastAsia="Times New Roman" w:hAnsi="Times New Roman"/>
                <w:lang w:eastAsia="en-IN"/>
              </w:rPr>
              <w:t>-2.41255</w:t>
            </w:r>
          </w:p>
        </w:tc>
      </w:tr>
    </w:tbl>
    <w:p w14:paraId="26F3AD2A" w14:textId="77777777" w:rsidR="00295605" w:rsidRPr="00295605" w:rsidRDefault="00295605" w:rsidP="00295605"/>
    <w:p w14:paraId="6D46FAB9" w14:textId="77777777" w:rsidR="00295605" w:rsidRPr="00295605" w:rsidRDefault="00295605" w:rsidP="00295605">
      <w:pPr>
        <w:numPr>
          <w:ilvl w:val="0"/>
          <w:numId w:val="29"/>
        </w:numPr>
        <w:adjustRightInd w:val="0"/>
        <w:snapToGrid w:val="0"/>
        <w:spacing w:after="60" w:line="228" w:lineRule="auto"/>
        <w:ind w:left="2608" w:firstLine="0"/>
        <w:jc w:val="left"/>
        <w:outlineLvl w:val="1"/>
        <w:rPr>
          <w:rFonts w:eastAsia="Times New Roman"/>
          <w:i/>
          <w:noProof w:val="0"/>
          <w:snapToGrid w:val="0"/>
          <w:szCs w:val="22"/>
          <w:lang w:eastAsia="de-DE" w:bidi="en-US"/>
        </w:rPr>
      </w:pPr>
      <w:r w:rsidRPr="00295605">
        <w:rPr>
          <w:rFonts w:eastAsia="Times New Roman"/>
          <w:snapToGrid w:val="0"/>
          <w:szCs w:val="22"/>
          <w:lang w:eastAsia="de-DE" w:bidi="en-US"/>
        </w:rPr>
        <w:br w:type="page"/>
      </w:r>
      <w:bookmarkStart w:id="2" w:name="page2"/>
      <w:bookmarkEnd w:id="2"/>
    </w:p>
    <w:p w14:paraId="570D7C93" w14:textId="77777777" w:rsidR="00295605" w:rsidRPr="00295605" w:rsidRDefault="00295605" w:rsidP="00295605">
      <w:pPr>
        <w:keepNext/>
        <w:spacing w:after="200" w:line="240" w:lineRule="auto"/>
        <w:jc w:val="right"/>
        <w:rPr>
          <w:b/>
          <w:bCs/>
          <w:color w:val="auto"/>
          <w:sz w:val="18"/>
          <w:szCs w:val="18"/>
          <w:lang w:val="en-IN"/>
        </w:rPr>
      </w:pPr>
      <w:r w:rsidRPr="00295605">
        <w:rPr>
          <w:b/>
          <w:bCs/>
          <w:color w:val="auto"/>
          <w:sz w:val="18"/>
          <w:szCs w:val="18"/>
        </w:rPr>
        <w:lastRenderedPageBreak/>
        <w:t xml:space="preserve">Table </w:t>
      </w:r>
      <w:r w:rsidRPr="00295605">
        <w:rPr>
          <w:b/>
          <w:bCs/>
          <w:color w:val="auto"/>
          <w:sz w:val="18"/>
          <w:szCs w:val="18"/>
        </w:rPr>
        <w:fldChar w:fldCharType="begin"/>
      </w:r>
      <w:r w:rsidRPr="00295605">
        <w:rPr>
          <w:b/>
          <w:bCs/>
          <w:color w:val="auto"/>
          <w:sz w:val="18"/>
          <w:szCs w:val="18"/>
        </w:rPr>
        <w:instrText xml:space="preserve"> SEQ Table \* ARABIC </w:instrText>
      </w:r>
      <w:r w:rsidRPr="00295605">
        <w:rPr>
          <w:b/>
          <w:bCs/>
          <w:color w:val="auto"/>
          <w:sz w:val="18"/>
          <w:szCs w:val="18"/>
        </w:rPr>
        <w:fldChar w:fldCharType="separate"/>
      </w:r>
      <w:r w:rsidRPr="00295605">
        <w:rPr>
          <w:b/>
          <w:bCs/>
          <w:color w:val="auto"/>
          <w:sz w:val="18"/>
          <w:szCs w:val="18"/>
        </w:rPr>
        <w:t>3</w:t>
      </w:r>
      <w:r w:rsidRPr="00295605">
        <w:rPr>
          <w:b/>
          <w:bCs/>
          <w:color w:val="auto"/>
          <w:sz w:val="18"/>
          <w:szCs w:val="18"/>
        </w:rPr>
        <w:fldChar w:fldCharType="end"/>
      </w:r>
      <w:r w:rsidRPr="00295605">
        <w:rPr>
          <w:b/>
          <w:bCs/>
          <w:color w:val="auto"/>
          <w:sz w:val="18"/>
          <w:szCs w:val="18"/>
          <w:lang w:val="en-IN"/>
        </w:rPr>
        <w:t>Ranking of ligand and poses based on Re-rank score for Peroxisome proliferator-activated receptors (PPARs)alpha</w:t>
      </w:r>
    </w:p>
    <w:tbl>
      <w:tblPr>
        <w:tblW w:w="6380" w:type="dxa"/>
        <w:tblInd w:w="3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3"/>
        <w:gridCol w:w="1477"/>
        <w:gridCol w:w="1004"/>
        <w:gridCol w:w="980"/>
        <w:gridCol w:w="1276"/>
      </w:tblGrid>
      <w:tr w:rsidR="00295605" w:rsidRPr="00295605" w14:paraId="4B9803B7" w14:textId="77777777" w:rsidTr="00D4167D">
        <w:tc>
          <w:tcPr>
            <w:tcW w:w="1643" w:type="dxa"/>
            <w:tcBorders>
              <w:top w:val="single" w:sz="8" w:space="0" w:color="auto"/>
              <w:left w:val="nil"/>
              <w:bottom w:val="single" w:sz="4" w:space="0" w:color="auto"/>
              <w:right w:val="nil"/>
            </w:tcBorders>
          </w:tcPr>
          <w:p w14:paraId="3B70E680"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Ligand code</w:t>
            </w:r>
          </w:p>
        </w:tc>
        <w:tc>
          <w:tcPr>
            <w:tcW w:w="1477" w:type="dxa"/>
            <w:tcBorders>
              <w:top w:val="single" w:sz="8" w:space="0" w:color="auto"/>
              <w:left w:val="nil"/>
              <w:bottom w:val="single" w:sz="4" w:space="0" w:color="auto"/>
              <w:right w:val="nil"/>
            </w:tcBorders>
            <w:vAlign w:val="bottom"/>
            <w:hideMark/>
          </w:tcPr>
          <w:p w14:paraId="754780D5"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Moldock</w:t>
            </w:r>
          </w:p>
        </w:tc>
        <w:tc>
          <w:tcPr>
            <w:tcW w:w="1004" w:type="dxa"/>
            <w:tcBorders>
              <w:top w:val="single" w:sz="8" w:space="0" w:color="auto"/>
              <w:left w:val="nil"/>
              <w:bottom w:val="single" w:sz="4" w:space="0" w:color="auto"/>
              <w:right w:val="nil"/>
            </w:tcBorders>
            <w:vAlign w:val="bottom"/>
            <w:hideMark/>
          </w:tcPr>
          <w:p w14:paraId="53265E65"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Re-ran k</w:t>
            </w:r>
          </w:p>
        </w:tc>
        <w:tc>
          <w:tcPr>
            <w:tcW w:w="980" w:type="dxa"/>
            <w:tcBorders>
              <w:top w:val="single" w:sz="8" w:space="0" w:color="auto"/>
              <w:left w:val="nil"/>
              <w:bottom w:val="single" w:sz="4" w:space="0" w:color="auto"/>
              <w:right w:val="nil"/>
            </w:tcBorders>
            <w:vAlign w:val="bottom"/>
            <w:hideMark/>
          </w:tcPr>
          <w:p w14:paraId="02001BA4"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Docking</w:t>
            </w:r>
          </w:p>
        </w:tc>
        <w:tc>
          <w:tcPr>
            <w:tcW w:w="1276" w:type="dxa"/>
            <w:tcBorders>
              <w:top w:val="single" w:sz="8" w:space="0" w:color="auto"/>
              <w:left w:val="nil"/>
              <w:bottom w:val="single" w:sz="4" w:space="0" w:color="auto"/>
              <w:right w:val="nil"/>
            </w:tcBorders>
          </w:tcPr>
          <w:p w14:paraId="593118FA" w14:textId="77777777" w:rsidR="00295605" w:rsidRPr="00295605" w:rsidRDefault="00295605" w:rsidP="00295605">
            <w:pPr>
              <w:adjustRightInd w:val="0"/>
              <w:snapToGrid w:val="0"/>
              <w:jc w:val="center"/>
              <w:rPr>
                <w:rFonts w:eastAsia="Times New Roman"/>
                <w:b/>
                <w:bCs/>
                <w:noProof w:val="0"/>
                <w:snapToGrid w:val="0"/>
                <w:lang w:eastAsia="de-DE" w:bidi="en-US"/>
              </w:rPr>
            </w:pPr>
            <w:r w:rsidRPr="00295605">
              <w:rPr>
                <w:rFonts w:eastAsia="Times New Roman"/>
                <w:lang w:eastAsia="en-IN"/>
              </w:rPr>
              <w:t>H Bond</w:t>
            </w:r>
          </w:p>
        </w:tc>
      </w:tr>
      <w:tr w:rsidR="00295605" w:rsidRPr="00295605" w14:paraId="57CAE2D5" w14:textId="77777777" w:rsidTr="00D4167D">
        <w:tc>
          <w:tcPr>
            <w:tcW w:w="1643" w:type="dxa"/>
            <w:tcBorders>
              <w:top w:val="single" w:sz="4" w:space="0" w:color="auto"/>
              <w:left w:val="nil"/>
              <w:bottom w:val="nil"/>
              <w:right w:val="nil"/>
            </w:tcBorders>
            <w:vAlign w:val="bottom"/>
          </w:tcPr>
          <w:p w14:paraId="21D36C9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380</w:t>
            </w:r>
          </w:p>
        </w:tc>
        <w:tc>
          <w:tcPr>
            <w:tcW w:w="1477" w:type="dxa"/>
            <w:tcBorders>
              <w:top w:val="single" w:sz="4" w:space="0" w:color="auto"/>
              <w:left w:val="nil"/>
              <w:bottom w:val="nil"/>
              <w:right w:val="nil"/>
            </w:tcBorders>
            <w:vAlign w:val="bottom"/>
            <w:hideMark/>
          </w:tcPr>
          <w:p w14:paraId="46FA4A1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-147.552</w:t>
            </w:r>
          </w:p>
        </w:tc>
        <w:tc>
          <w:tcPr>
            <w:tcW w:w="1004" w:type="dxa"/>
            <w:tcBorders>
              <w:top w:val="single" w:sz="4" w:space="0" w:color="auto"/>
              <w:left w:val="nil"/>
              <w:bottom w:val="nil"/>
              <w:right w:val="nil"/>
            </w:tcBorders>
            <w:vAlign w:val="bottom"/>
            <w:hideMark/>
          </w:tcPr>
          <w:p w14:paraId="0AF8BDF5"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-121.521</w:t>
            </w:r>
          </w:p>
        </w:tc>
        <w:tc>
          <w:tcPr>
            <w:tcW w:w="980" w:type="dxa"/>
            <w:tcBorders>
              <w:top w:val="single" w:sz="4" w:space="0" w:color="auto"/>
              <w:left w:val="nil"/>
              <w:bottom w:val="nil"/>
              <w:right w:val="nil"/>
            </w:tcBorders>
            <w:vAlign w:val="bottom"/>
            <w:hideMark/>
          </w:tcPr>
          <w:p w14:paraId="039C079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-141.598</w:t>
            </w:r>
          </w:p>
        </w:tc>
        <w:tc>
          <w:tcPr>
            <w:tcW w:w="1276" w:type="dxa"/>
            <w:tcBorders>
              <w:top w:val="single" w:sz="4" w:space="0" w:color="auto"/>
              <w:left w:val="nil"/>
              <w:bottom w:val="nil"/>
              <w:right w:val="nil"/>
            </w:tcBorders>
            <w:vAlign w:val="bottom"/>
          </w:tcPr>
          <w:p w14:paraId="13DB1BEC"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5AF97CD0" w14:textId="77777777" w:rsidTr="00D4167D">
        <w:tc>
          <w:tcPr>
            <w:tcW w:w="1643" w:type="dxa"/>
            <w:tcBorders>
              <w:top w:val="nil"/>
              <w:left w:val="nil"/>
              <w:bottom w:val="nil"/>
              <w:right w:val="nil"/>
            </w:tcBorders>
            <w:vAlign w:val="bottom"/>
          </w:tcPr>
          <w:p w14:paraId="1D6CE4C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586</w:t>
            </w:r>
          </w:p>
        </w:tc>
        <w:tc>
          <w:tcPr>
            <w:tcW w:w="1477" w:type="dxa"/>
            <w:tcBorders>
              <w:top w:val="nil"/>
              <w:left w:val="nil"/>
              <w:bottom w:val="nil"/>
              <w:right w:val="nil"/>
            </w:tcBorders>
            <w:vAlign w:val="bottom"/>
            <w:hideMark/>
          </w:tcPr>
          <w:p w14:paraId="7590EF7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-159.652</w:t>
            </w:r>
          </w:p>
        </w:tc>
        <w:tc>
          <w:tcPr>
            <w:tcW w:w="1004" w:type="dxa"/>
            <w:tcBorders>
              <w:top w:val="nil"/>
              <w:left w:val="nil"/>
              <w:bottom w:val="nil"/>
              <w:right w:val="nil"/>
            </w:tcBorders>
            <w:vAlign w:val="bottom"/>
            <w:hideMark/>
          </w:tcPr>
          <w:p w14:paraId="543EC3C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-111.438</w:t>
            </w:r>
          </w:p>
        </w:tc>
        <w:tc>
          <w:tcPr>
            <w:tcW w:w="980" w:type="dxa"/>
            <w:tcBorders>
              <w:top w:val="nil"/>
              <w:left w:val="nil"/>
              <w:bottom w:val="nil"/>
              <w:right w:val="nil"/>
            </w:tcBorders>
            <w:vAlign w:val="bottom"/>
            <w:hideMark/>
          </w:tcPr>
          <w:p w14:paraId="06E886C7"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-154.761</w:t>
            </w:r>
          </w:p>
        </w:tc>
        <w:tc>
          <w:tcPr>
            <w:tcW w:w="1276" w:type="dxa"/>
            <w:tcBorders>
              <w:top w:val="nil"/>
              <w:left w:val="nil"/>
              <w:bottom w:val="nil"/>
              <w:right w:val="nil"/>
            </w:tcBorders>
            <w:vAlign w:val="bottom"/>
          </w:tcPr>
          <w:p w14:paraId="2187349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-0.9247</w:t>
            </w:r>
          </w:p>
        </w:tc>
      </w:tr>
      <w:tr w:rsidR="00295605" w:rsidRPr="00295605" w14:paraId="7C2DB137" w14:textId="77777777" w:rsidTr="00D4167D">
        <w:tc>
          <w:tcPr>
            <w:tcW w:w="1643" w:type="dxa"/>
            <w:tcBorders>
              <w:top w:val="nil"/>
              <w:left w:val="nil"/>
              <w:bottom w:val="nil"/>
              <w:right w:val="nil"/>
            </w:tcBorders>
            <w:vAlign w:val="bottom"/>
          </w:tcPr>
          <w:p w14:paraId="3036305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336</w:t>
            </w:r>
          </w:p>
        </w:tc>
        <w:tc>
          <w:tcPr>
            <w:tcW w:w="1477" w:type="dxa"/>
            <w:tcBorders>
              <w:top w:val="nil"/>
              <w:left w:val="nil"/>
              <w:bottom w:val="nil"/>
              <w:right w:val="nil"/>
            </w:tcBorders>
            <w:vAlign w:val="bottom"/>
            <w:hideMark/>
          </w:tcPr>
          <w:p w14:paraId="29E998A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-133.77</w:t>
            </w:r>
          </w:p>
        </w:tc>
        <w:tc>
          <w:tcPr>
            <w:tcW w:w="1004" w:type="dxa"/>
            <w:tcBorders>
              <w:top w:val="nil"/>
              <w:left w:val="nil"/>
              <w:bottom w:val="nil"/>
              <w:right w:val="nil"/>
            </w:tcBorders>
            <w:vAlign w:val="bottom"/>
            <w:hideMark/>
          </w:tcPr>
          <w:p w14:paraId="0193169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-111.123</w:t>
            </w:r>
          </w:p>
        </w:tc>
        <w:tc>
          <w:tcPr>
            <w:tcW w:w="980" w:type="dxa"/>
            <w:tcBorders>
              <w:top w:val="nil"/>
              <w:left w:val="nil"/>
              <w:bottom w:val="nil"/>
              <w:right w:val="nil"/>
            </w:tcBorders>
            <w:vAlign w:val="bottom"/>
            <w:hideMark/>
          </w:tcPr>
          <w:p w14:paraId="02D66E5C"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-131.095</w:t>
            </w:r>
          </w:p>
        </w:tc>
        <w:tc>
          <w:tcPr>
            <w:tcW w:w="1276" w:type="dxa"/>
            <w:tcBorders>
              <w:top w:val="nil"/>
              <w:left w:val="nil"/>
              <w:bottom w:val="nil"/>
              <w:right w:val="nil"/>
            </w:tcBorders>
            <w:vAlign w:val="bottom"/>
          </w:tcPr>
          <w:p w14:paraId="7754682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-0.2143</w:t>
            </w:r>
          </w:p>
        </w:tc>
      </w:tr>
      <w:tr w:rsidR="00295605" w:rsidRPr="00295605" w14:paraId="370040BA" w14:textId="77777777" w:rsidTr="00D4167D">
        <w:tc>
          <w:tcPr>
            <w:tcW w:w="1643" w:type="dxa"/>
            <w:tcBorders>
              <w:top w:val="nil"/>
              <w:left w:val="nil"/>
              <w:bottom w:val="nil"/>
              <w:right w:val="nil"/>
            </w:tcBorders>
            <w:vAlign w:val="bottom"/>
          </w:tcPr>
          <w:p w14:paraId="7FF4904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557</w:t>
            </w:r>
          </w:p>
        </w:tc>
        <w:tc>
          <w:tcPr>
            <w:tcW w:w="1477" w:type="dxa"/>
            <w:tcBorders>
              <w:top w:val="nil"/>
              <w:left w:val="nil"/>
              <w:bottom w:val="nil"/>
              <w:right w:val="nil"/>
            </w:tcBorders>
            <w:vAlign w:val="bottom"/>
          </w:tcPr>
          <w:p w14:paraId="644FD30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-145.608</w:t>
            </w:r>
          </w:p>
        </w:tc>
        <w:tc>
          <w:tcPr>
            <w:tcW w:w="1004" w:type="dxa"/>
            <w:tcBorders>
              <w:top w:val="nil"/>
              <w:left w:val="nil"/>
              <w:bottom w:val="nil"/>
              <w:right w:val="nil"/>
            </w:tcBorders>
            <w:vAlign w:val="bottom"/>
          </w:tcPr>
          <w:p w14:paraId="655F884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-110.913</w:t>
            </w:r>
          </w:p>
        </w:tc>
        <w:tc>
          <w:tcPr>
            <w:tcW w:w="980" w:type="dxa"/>
            <w:tcBorders>
              <w:top w:val="nil"/>
              <w:left w:val="nil"/>
              <w:bottom w:val="nil"/>
              <w:right w:val="nil"/>
            </w:tcBorders>
            <w:vAlign w:val="bottom"/>
          </w:tcPr>
          <w:p w14:paraId="1CFC431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-132.302</w:t>
            </w:r>
          </w:p>
        </w:tc>
        <w:tc>
          <w:tcPr>
            <w:tcW w:w="1276" w:type="dxa"/>
            <w:tcBorders>
              <w:top w:val="nil"/>
              <w:left w:val="nil"/>
              <w:bottom w:val="nil"/>
              <w:right w:val="nil"/>
            </w:tcBorders>
            <w:vAlign w:val="bottom"/>
          </w:tcPr>
          <w:p w14:paraId="14A5C84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520C3D33" w14:textId="77777777" w:rsidTr="00D4167D">
        <w:tc>
          <w:tcPr>
            <w:tcW w:w="1643" w:type="dxa"/>
            <w:tcBorders>
              <w:top w:val="nil"/>
              <w:left w:val="nil"/>
              <w:bottom w:val="nil"/>
              <w:right w:val="nil"/>
            </w:tcBorders>
            <w:vAlign w:val="bottom"/>
          </w:tcPr>
          <w:p w14:paraId="1FBFF49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175</w:t>
            </w:r>
          </w:p>
        </w:tc>
        <w:tc>
          <w:tcPr>
            <w:tcW w:w="1477" w:type="dxa"/>
            <w:tcBorders>
              <w:top w:val="nil"/>
              <w:left w:val="nil"/>
              <w:bottom w:val="nil"/>
              <w:right w:val="nil"/>
            </w:tcBorders>
            <w:vAlign w:val="bottom"/>
          </w:tcPr>
          <w:p w14:paraId="22180B1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-134.568</w:t>
            </w:r>
          </w:p>
        </w:tc>
        <w:tc>
          <w:tcPr>
            <w:tcW w:w="1004" w:type="dxa"/>
            <w:tcBorders>
              <w:top w:val="nil"/>
              <w:left w:val="nil"/>
              <w:bottom w:val="nil"/>
              <w:right w:val="nil"/>
            </w:tcBorders>
            <w:vAlign w:val="bottom"/>
          </w:tcPr>
          <w:p w14:paraId="0F6E6C5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-109.98</w:t>
            </w:r>
          </w:p>
        </w:tc>
        <w:tc>
          <w:tcPr>
            <w:tcW w:w="980" w:type="dxa"/>
            <w:tcBorders>
              <w:top w:val="nil"/>
              <w:left w:val="nil"/>
              <w:bottom w:val="nil"/>
              <w:right w:val="nil"/>
            </w:tcBorders>
            <w:vAlign w:val="bottom"/>
          </w:tcPr>
          <w:p w14:paraId="1A3E15A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-134.998</w:t>
            </w:r>
          </w:p>
        </w:tc>
        <w:tc>
          <w:tcPr>
            <w:tcW w:w="1276" w:type="dxa"/>
            <w:tcBorders>
              <w:top w:val="nil"/>
              <w:left w:val="nil"/>
              <w:bottom w:val="nil"/>
              <w:right w:val="nil"/>
            </w:tcBorders>
            <w:vAlign w:val="bottom"/>
          </w:tcPr>
          <w:p w14:paraId="5AD254C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4E0A301D" w14:textId="77777777" w:rsidTr="00D4167D">
        <w:tc>
          <w:tcPr>
            <w:tcW w:w="1643" w:type="dxa"/>
            <w:tcBorders>
              <w:top w:val="nil"/>
              <w:left w:val="nil"/>
              <w:bottom w:val="nil"/>
              <w:right w:val="nil"/>
            </w:tcBorders>
            <w:vAlign w:val="bottom"/>
          </w:tcPr>
          <w:p w14:paraId="3A94A99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441</w:t>
            </w:r>
          </w:p>
        </w:tc>
        <w:tc>
          <w:tcPr>
            <w:tcW w:w="1477" w:type="dxa"/>
            <w:tcBorders>
              <w:top w:val="nil"/>
              <w:left w:val="nil"/>
              <w:bottom w:val="nil"/>
              <w:right w:val="nil"/>
            </w:tcBorders>
            <w:vAlign w:val="bottom"/>
          </w:tcPr>
          <w:p w14:paraId="743BCEF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-147.701</w:t>
            </w:r>
          </w:p>
        </w:tc>
        <w:tc>
          <w:tcPr>
            <w:tcW w:w="1004" w:type="dxa"/>
            <w:tcBorders>
              <w:top w:val="nil"/>
              <w:left w:val="nil"/>
              <w:bottom w:val="nil"/>
              <w:right w:val="nil"/>
            </w:tcBorders>
            <w:vAlign w:val="bottom"/>
          </w:tcPr>
          <w:p w14:paraId="357EC46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-109.975</w:t>
            </w:r>
          </w:p>
        </w:tc>
        <w:tc>
          <w:tcPr>
            <w:tcW w:w="980" w:type="dxa"/>
            <w:tcBorders>
              <w:top w:val="nil"/>
              <w:left w:val="nil"/>
              <w:bottom w:val="nil"/>
              <w:right w:val="nil"/>
            </w:tcBorders>
            <w:vAlign w:val="bottom"/>
          </w:tcPr>
          <w:p w14:paraId="5B41569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-147.841</w:t>
            </w:r>
          </w:p>
        </w:tc>
        <w:tc>
          <w:tcPr>
            <w:tcW w:w="1276" w:type="dxa"/>
            <w:tcBorders>
              <w:top w:val="nil"/>
              <w:left w:val="nil"/>
              <w:bottom w:val="nil"/>
              <w:right w:val="nil"/>
            </w:tcBorders>
            <w:vAlign w:val="bottom"/>
          </w:tcPr>
          <w:p w14:paraId="74A3E16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4B034E29" w14:textId="77777777" w:rsidTr="00D4167D">
        <w:tc>
          <w:tcPr>
            <w:tcW w:w="1643" w:type="dxa"/>
            <w:tcBorders>
              <w:top w:val="nil"/>
              <w:left w:val="nil"/>
              <w:bottom w:val="nil"/>
              <w:right w:val="nil"/>
            </w:tcBorders>
            <w:vAlign w:val="bottom"/>
          </w:tcPr>
          <w:p w14:paraId="77E49555"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179</w:t>
            </w:r>
          </w:p>
        </w:tc>
        <w:tc>
          <w:tcPr>
            <w:tcW w:w="1477" w:type="dxa"/>
            <w:tcBorders>
              <w:top w:val="nil"/>
              <w:left w:val="nil"/>
              <w:bottom w:val="nil"/>
              <w:right w:val="nil"/>
            </w:tcBorders>
            <w:vAlign w:val="bottom"/>
          </w:tcPr>
          <w:p w14:paraId="1741E50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-140.591</w:t>
            </w:r>
          </w:p>
        </w:tc>
        <w:tc>
          <w:tcPr>
            <w:tcW w:w="1004" w:type="dxa"/>
            <w:tcBorders>
              <w:top w:val="nil"/>
              <w:left w:val="nil"/>
              <w:bottom w:val="nil"/>
              <w:right w:val="nil"/>
            </w:tcBorders>
            <w:vAlign w:val="bottom"/>
          </w:tcPr>
          <w:p w14:paraId="55FCF14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-107.939</w:t>
            </w:r>
          </w:p>
        </w:tc>
        <w:tc>
          <w:tcPr>
            <w:tcW w:w="980" w:type="dxa"/>
            <w:tcBorders>
              <w:top w:val="nil"/>
              <w:left w:val="nil"/>
              <w:bottom w:val="nil"/>
              <w:right w:val="nil"/>
            </w:tcBorders>
            <w:vAlign w:val="bottom"/>
          </w:tcPr>
          <w:p w14:paraId="63C0E43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-142.698</w:t>
            </w:r>
          </w:p>
        </w:tc>
        <w:tc>
          <w:tcPr>
            <w:tcW w:w="1276" w:type="dxa"/>
            <w:tcBorders>
              <w:top w:val="nil"/>
              <w:left w:val="nil"/>
              <w:bottom w:val="nil"/>
              <w:right w:val="nil"/>
            </w:tcBorders>
            <w:vAlign w:val="bottom"/>
          </w:tcPr>
          <w:p w14:paraId="79FF1CD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0994A606" w14:textId="77777777" w:rsidTr="00D4167D">
        <w:tc>
          <w:tcPr>
            <w:tcW w:w="1643" w:type="dxa"/>
            <w:tcBorders>
              <w:top w:val="nil"/>
              <w:left w:val="nil"/>
              <w:bottom w:val="nil"/>
              <w:right w:val="nil"/>
            </w:tcBorders>
            <w:vAlign w:val="bottom"/>
          </w:tcPr>
          <w:p w14:paraId="58DA48B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444</w:t>
            </w:r>
          </w:p>
        </w:tc>
        <w:tc>
          <w:tcPr>
            <w:tcW w:w="1477" w:type="dxa"/>
            <w:tcBorders>
              <w:top w:val="nil"/>
              <w:left w:val="nil"/>
              <w:bottom w:val="nil"/>
              <w:right w:val="nil"/>
            </w:tcBorders>
            <w:vAlign w:val="bottom"/>
          </w:tcPr>
          <w:p w14:paraId="492596A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-132.671</w:t>
            </w:r>
          </w:p>
        </w:tc>
        <w:tc>
          <w:tcPr>
            <w:tcW w:w="1004" w:type="dxa"/>
            <w:tcBorders>
              <w:top w:val="nil"/>
              <w:left w:val="nil"/>
              <w:bottom w:val="nil"/>
              <w:right w:val="nil"/>
            </w:tcBorders>
            <w:vAlign w:val="bottom"/>
          </w:tcPr>
          <w:p w14:paraId="4211B1F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-107.44</w:t>
            </w:r>
          </w:p>
        </w:tc>
        <w:tc>
          <w:tcPr>
            <w:tcW w:w="980" w:type="dxa"/>
            <w:tcBorders>
              <w:top w:val="nil"/>
              <w:left w:val="nil"/>
              <w:bottom w:val="nil"/>
              <w:right w:val="nil"/>
            </w:tcBorders>
            <w:vAlign w:val="bottom"/>
          </w:tcPr>
          <w:p w14:paraId="3BE5A2D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-131.582</w:t>
            </w:r>
          </w:p>
        </w:tc>
        <w:tc>
          <w:tcPr>
            <w:tcW w:w="1276" w:type="dxa"/>
            <w:tcBorders>
              <w:top w:val="nil"/>
              <w:left w:val="nil"/>
              <w:bottom w:val="nil"/>
              <w:right w:val="nil"/>
            </w:tcBorders>
            <w:vAlign w:val="bottom"/>
          </w:tcPr>
          <w:p w14:paraId="73A4852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3F10F993" w14:textId="77777777" w:rsidTr="00D4167D">
        <w:tc>
          <w:tcPr>
            <w:tcW w:w="1643" w:type="dxa"/>
            <w:tcBorders>
              <w:top w:val="nil"/>
              <w:left w:val="nil"/>
              <w:bottom w:val="nil"/>
              <w:right w:val="nil"/>
            </w:tcBorders>
            <w:vAlign w:val="bottom"/>
          </w:tcPr>
          <w:p w14:paraId="26B1F60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559</w:t>
            </w:r>
          </w:p>
        </w:tc>
        <w:tc>
          <w:tcPr>
            <w:tcW w:w="1477" w:type="dxa"/>
            <w:tcBorders>
              <w:top w:val="nil"/>
              <w:left w:val="nil"/>
              <w:bottom w:val="nil"/>
              <w:right w:val="nil"/>
            </w:tcBorders>
            <w:vAlign w:val="bottom"/>
          </w:tcPr>
          <w:p w14:paraId="1438D0E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-162.56</w:t>
            </w:r>
          </w:p>
        </w:tc>
        <w:tc>
          <w:tcPr>
            <w:tcW w:w="1004" w:type="dxa"/>
            <w:tcBorders>
              <w:top w:val="nil"/>
              <w:left w:val="nil"/>
              <w:bottom w:val="nil"/>
              <w:right w:val="nil"/>
            </w:tcBorders>
            <w:vAlign w:val="bottom"/>
          </w:tcPr>
          <w:p w14:paraId="62B1E2C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-107.191</w:t>
            </w:r>
          </w:p>
        </w:tc>
        <w:tc>
          <w:tcPr>
            <w:tcW w:w="980" w:type="dxa"/>
            <w:tcBorders>
              <w:top w:val="nil"/>
              <w:left w:val="nil"/>
              <w:bottom w:val="nil"/>
              <w:right w:val="nil"/>
            </w:tcBorders>
            <w:vAlign w:val="bottom"/>
          </w:tcPr>
          <w:p w14:paraId="5D5628D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-151.129</w:t>
            </w:r>
          </w:p>
        </w:tc>
        <w:tc>
          <w:tcPr>
            <w:tcW w:w="1276" w:type="dxa"/>
            <w:tcBorders>
              <w:top w:val="nil"/>
              <w:left w:val="nil"/>
              <w:bottom w:val="nil"/>
              <w:right w:val="nil"/>
            </w:tcBorders>
            <w:vAlign w:val="bottom"/>
          </w:tcPr>
          <w:p w14:paraId="4D688DB3"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442BAD70" w14:textId="77777777" w:rsidTr="00D4167D">
        <w:tc>
          <w:tcPr>
            <w:tcW w:w="1643" w:type="dxa"/>
            <w:tcBorders>
              <w:top w:val="nil"/>
              <w:left w:val="nil"/>
              <w:bottom w:val="nil"/>
              <w:right w:val="nil"/>
            </w:tcBorders>
            <w:vAlign w:val="bottom"/>
          </w:tcPr>
          <w:p w14:paraId="0943455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328</w:t>
            </w:r>
          </w:p>
        </w:tc>
        <w:tc>
          <w:tcPr>
            <w:tcW w:w="1477" w:type="dxa"/>
            <w:tcBorders>
              <w:top w:val="nil"/>
              <w:left w:val="nil"/>
              <w:bottom w:val="nil"/>
              <w:right w:val="nil"/>
            </w:tcBorders>
            <w:vAlign w:val="bottom"/>
          </w:tcPr>
          <w:p w14:paraId="74C6B76C"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-127.318</w:t>
            </w:r>
          </w:p>
        </w:tc>
        <w:tc>
          <w:tcPr>
            <w:tcW w:w="1004" w:type="dxa"/>
            <w:tcBorders>
              <w:top w:val="nil"/>
              <w:left w:val="nil"/>
              <w:bottom w:val="nil"/>
              <w:right w:val="nil"/>
            </w:tcBorders>
            <w:vAlign w:val="bottom"/>
          </w:tcPr>
          <w:p w14:paraId="06778E44"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-106.192</w:t>
            </w:r>
          </w:p>
        </w:tc>
        <w:tc>
          <w:tcPr>
            <w:tcW w:w="980" w:type="dxa"/>
            <w:tcBorders>
              <w:top w:val="nil"/>
              <w:left w:val="nil"/>
              <w:bottom w:val="nil"/>
              <w:right w:val="nil"/>
            </w:tcBorders>
            <w:vAlign w:val="bottom"/>
          </w:tcPr>
          <w:p w14:paraId="33998D1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-121.473</w:t>
            </w:r>
          </w:p>
        </w:tc>
        <w:tc>
          <w:tcPr>
            <w:tcW w:w="1276" w:type="dxa"/>
            <w:tcBorders>
              <w:top w:val="nil"/>
              <w:left w:val="nil"/>
              <w:bottom w:val="nil"/>
              <w:right w:val="nil"/>
            </w:tcBorders>
            <w:vAlign w:val="bottom"/>
          </w:tcPr>
          <w:p w14:paraId="24C567C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0</w:t>
            </w:r>
          </w:p>
        </w:tc>
      </w:tr>
      <w:tr w:rsidR="00295605" w:rsidRPr="00295605" w14:paraId="6817A068" w14:textId="77777777" w:rsidTr="00D4167D">
        <w:tc>
          <w:tcPr>
            <w:tcW w:w="1643" w:type="dxa"/>
            <w:tcBorders>
              <w:top w:val="nil"/>
              <w:left w:val="nil"/>
              <w:bottom w:val="nil"/>
              <w:right w:val="nil"/>
            </w:tcBorders>
            <w:vAlign w:val="bottom"/>
          </w:tcPr>
          <w:p w14:paraId="5AA9819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ATORVASTATIN</w:t>
            </w:r>
          </w:p>
        </w:tc>
        <w:tc>
          <w:tcPr>
            <w:tcW w:w="1477" w:type="dxa"/>
            <w:tcBorders>
              <w:top w:val="nil"/>
              <w:left w:val="nil"/>
              <w:bottom w:val="nil"/>
              <w:right w:val="nil"/>
            </w:tcBorders>
            <w:vAlign w:val="bottom"/>
          </w:tcPr>
          <w:p w14:paraId="33DD913E"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-184.003</w:t>
            </w:r>
          </w:p>
        </w:tc>
        <w:tc>
          <w:tcPr>
            <w:tcW w:w="1004" w:type="dxa"/>
            <w:tcBorders>
              <w:top w:val="nil"/>
              <w:left w:val="nil"/>
              <w:bottom w:val="nil"/>
              <w:right w:val="nil"/>
            </w:tcBorders>
            <w:vAlign w:val="bottom"/>
          </w:tcPr>
          <w:p w14:paraId="5619B603"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-123.226</w:t>
            </w:r>
          </w:p>
        </w:tc>
        <w:tc>
          <w:tcPr>
            <w:tcW w:w="980" w:type="dxa"/>
            <w:tcBorders>
              <w:top w:val="nil"/>
              <w:left w:val="nil"/>
              <w:bottom w:val="nil"/>
              <w:right w:val="nil"/>
            </w:tcBorders>
            <w:vAlign w:val="bottom"/>
          </w:tcPr>
          <w:p w14:paraId="33687DA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-192.426</w:t>
            </w:r>
          </w:p>
        </w:tc>
        <w:tc>
          <w:tcPr>
            <w:tcW w:w="1276" w:type="dxa"/>
            <w:tcBorders>
              <w:top w:val="nil"/>
              <w:left w:val="nil"/>
              <w:bottom w:val="nil"/>
              <w:right w:val="nil"/>
            </w:tcBorders>
            <w:vAlign w:val="bottom"/>
          </w:tcPr>
          <w:p w14:paraId="4AA99DC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-4.48156</w:t>
            </w:r>
          </w:p>
        </w:tc>
      </w:tr>
      <w:tr w:rsidR="00295605" w:rsidRPr="00295605" w14:paraId="29B18DD7" w14:textId="77777777" w:rsidTr="00D4167D">
        <w:tc>
          <w:tcPr>
            <w:tcW w:w="1643" w:type="dxa"/>
            <w:tcBorders>
              <w:top w:val="nil"/>
              <w:left w:val="nil"/>
              <w:bottom w:val="nil"/>
              <w:right w:val="nil"/>
            </w:tcBorders>
            <w:vAlign w:val="bottom"/>
          </w:tcPr>
          <w:p w14:paraId="6D7194F0"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EZELIMIBE</w:t>
            </w:r>
          </w:p>
        </w:tc>
        <w:tc>
          <w:tcPr>
            <w:tcW w:w="1477" w:type="dxa"/>
            <w:tcBorders>
              <w:top w:val="nil"/>
              <w:left w:val="nil"/>
              <w:bottom w:val="nil"/>
              <w:right w:val="nil"/>
            </w:tcBorders>
            <w:vAlign w:val="bottom"/>
          </w:tcPr>
          <w:p w14:paraId="396BAF41"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-143.527</w:t>
            </w:r>
          </w:p>
        </w:tc>
        <w:tc>
          <w:tcPr>
            <w:tcW w:w="1004" w:type="dxa"/>
            <w:tcBorders>
              <w:top w:val="nil"/>
              <w:left w:val="nil"/>
              <w:bottom w:val="nil"/>
              <w:right w:val="nil"/>
            </w:tcBorders>
            <w:vAlign w:val="bottom"/>
          </w:tcPr>
          <w:p w14:paraId="732F1206"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-109.854</w:t>
            </w:r>
          </w:p>
        </w:tc>
        <w:tc>
          <w:tcPr>
            <w:tcW w:w="980" w:type="dxa"/>
            <w:tcBorders>
              <w:top w:val="nil"/>
              <w:left w:val="nil"/>
              <w:bottom w:val="nil"/>
              <w:right w:val="nil"/>
            </w:tcBorders>
            <w:vAlign w:val="bottom"/>
          </w:tcPr>
          <w:p w14:paraId="6FD35FF8"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-145.443</w:t>
            </w:r>
          </w:p>
        </w:tc>
        <w:tc>
          <w:tcPr>
            <w:tcW w:w="1276" w:type="dxa"/>
            <w:tcBorders>
              <w:top w:val="nil"/>
              <w:left w:val="nil"/>
              <w:bottom w:val="nil"/>
              <w:right w:val="nil"/>
            </w:tcBorders>
            <w:vAlign w:val="bottom"/>
          </w:tcPr>
          <w:p w14:paraId="1B15AD99"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-4.83029</w:t>
            </w:r>
          </w:p>
        </w:tc>
      </w:tr>
      <w:tr w:rsidR="00295605" w:rsidRPr="00295605" w14:paraId="3C85637E" w14:textId="77777777" w:rsidTr="00D4167D">
        <w:tc>
          <w:tcPr>
            <w:tcW w:w="1643" w:type="dxa"/>
            <w:tcBorders>
              <w:top w:val="nil"/>
              <w:left w:val="nil"/>
              <w:bottom w:val="nil"/>
              <w:right w:val="nil"/>
            </w:tcBorders>
            <w:vAlign w:val="bottom"/>
          </w:tcPr>
          <w:p w14:paraId="1B9B40FB"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ROSUVASTATIN</w:t>
            </w:r>
          </w:p>
        </w:tc>
        <w:tc>
          <w:tcPr>
            <w:tcW w:w="1477" w:type="dxa"/>
            <w:tcBorders>
              <w:top w:val="nil"/>
              <w:left w:val="nil"/>
              <w:bottom w:val="nil"/>
              <w:right w:val="nil"/>
            </w:tcBorders>
            <w:vAlign w:val="bottom"/>
          </w:tcPr>
          <w:p w14:paraId="2E18A8CA"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-123.979</w:t>
            </w:r>
          </w:p>
        </w:tc>
        <w:tc>
          <w:tcPr>
            <w:tcW w:w="1004" w:type="dxa"/>
            <w:tcBorders>
              <w:top w:val="nil"/>
              <w:left w:val="nil"/>
              <w:bottom w:val="nil"/>
              <w:right w:val="nil"/>
            </w:tcBorders>
            <w:vAlign w:val="bottom"/>
          </w:tcPr>
          <w:p w14:paraId="03100B6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-72.9949</w:t>
            </w:r>
          </w:p>
        </w:tc>
        <w:tc>
          <w:tcPr>
            <w:tcW w:w="980" w:type="dxa"/>
            <w:tcBorders>
              <w:top w:val="nil"/>
              <w:left w:val="nil"/>
              <w:bottom w:val="nil"/>
              <w:right w:val="nil"/>
            </w:tcBorders>
            <w:vAlign w:val="bottom"/>
          </w:tcPr>
          <w:p w14:paraId="1993175D"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-135.193</w:t>
            </w:r>
          </w:p>
        </w:tc>
        <w:tc>
          <w:tcPr>
            <w:tcW w:w="1276" w:type="dxa"/>
            <w:tcBorders>
              <w:top w:val="nil"/>
              <w:left w:val="nil"/>
              <w:bottom w:val="nil"/>
              <w:right w:val="nil"/>
            </w:tcBorders>
            <w:vAlign w:val="bottom"/>
          </w:tcPr>
          <w:p w14:paraId="3AF3F832" w14:textId="77777777" w:rsidR="00295605" w:rsidRPr="00295605" w:rsidRDefault="00295605" w:rsidP="00295605">
            <w:pPr>
              <w:spacing w:line="240" w:lineRule="auto"/>
              <w:jc w:val="center"/>
              <w:rPr>
                <w:rFonts w:ascii="Calibri" w:eastAsia="Times New Roman" w:hAnsi="Calibri" w:cs="Calibri"/>
                <w:sz w:val="22"/>
                <w:szCs w:val="22"/>
                <w:lang w:eastAsia="en-IN"/>
              </w:rPr>
            </w:pPr>
            <w:r w:rsidRPr="00295605">
              <w:rPr>
                <w:rFonts w:ascii="Calibri" w:eastAsia="Times New Roman" w:hAnsi="Calibri" w:cs="Calibri"/>
                <w:lang w:eastAsia="en-IN"/>
              </w:rPr>
              <w:t>-2.71965</w:t>
            </w:r>
          </w:p>
        </w:tc>
      </w:tr>
    </w:tbl>
    <w:p w14:paraId="64469DA1" w14:textId="77777777" w:rsidR="00295605" w:rsidRPr="00295605" w:rsidRDefault="00295605" w:rsidP="00295605">
      <w:pPr>
        <w:numPr>
          <w:ilvl w:val="0"/>
          <w:numId w:val="29"/>
        </w:numPr>
        <w:adjustRightInd w:val="0"/>
        <w:snapToGrid w:val="0"/>
        <w:spacing w:after="60" w:line="228" w:lineRule="auto"/>
        <w:ind w:left="0" w:firstLine="0"/>
        <w:jc w:val="left"/>
        <w:outlineLvl w:val="1"/>
        <w:rPr>
          <w:rFonts w:eastAsia="Times New Roman"/>
          <w:i/>
          <w:noProof w:val="0"/>
          <w:snapToGrid w:val="0"/>
          <w:szCs w:val="22"/>
          <w:lang w:eastAsia="de-DE" w:bidi="en-US"/>
        </w:rPr>
      </w:pPr>
    </w:p>
    <w:p w14:paraId="041A26EC" w14:textId="77777777" w:rsidR="00295605" w:rsidRPr="00295605" w:rsidRDefault="00295605" w:rsidP="00295605">
      <w:pPr>
        <w:numPr>
          <w:ilvl w:val="0"/>
          <w:numId w:val="29"/>
        </w:numPr>
        <w:adjustRightInd w:val="0"/>
        <w:snapToGrid w:val="0"/>
        <w:spacing w:after="60" w:line="228" w:lineRule="auto"/>
        <w:ind w:left="2608" w:firstLine="0"/>
        <w:jc w:val="left"/>
        <w:outlineLvl w:val="1"/>
        <w:rPr>
          <w:rFonts w:eastAsia="Times New Roman"/>
          <w:i/>
          <w:noProof w:val="0"/>
          <w:snapToGrid w:val="0"/>
          <w:szCs w:val="22"/>
          <w:lang w:eastAsia="de-DE" w:bidi="en-US"/>
        </w:rPr>
      </w:pPr>
    </w:p>
    <w:p w14:paraId="7A53E1C1" w14:textId="77777777" w:rsidR="00295605" w:rsidRPr="00295605" w:rsidRDefault="00295605" w:rsidP="00295605">
      <w:pPr>
        <w:keepNext/>
        <w:spacing w:after="200" w:line="240" w:lineRule="auto"/>
        <w:jc w:val="right"/>
        <w:rPr>
          <w:b/>
          <w:bCs/>
          <w:color w:val="auto"/>
          <w:sz w:val="18"/>
          <w:szCs w:val="18"/>
          <w:lang w:val="en-IN"/>
        </w:rPr>
      </w:pPr>
      <w:r w:rsidRPr="00295605">
        <w:rPr>
          <w:b/>
          <w:bCs/>
          <w:color w:val="auto"/>
          <w:sz w:val="18"/>
          <w:szCs w:val="18"/>
        </w:rPr>
        <w:t xml:space="preserve">Table </w:t>
      </w:r>
      <w:r w:rsidRPr="00295605">
        <w:rPr>
          <w:b/>
          <w:bCs/>
          <w:color w:val="auto"/>
          <w:sz w:val="18"/>
          <w:szCs w:val="18"/>
        </w:rPr>
        <w:fldChar w:fldCharType="begin"/>
      </w:r>
      <w:r w:rsidRPr="00295605">
        <w:rPr>
          <w:b/>
          <w:bCs/>
          <w:color w:val="auto"/>
          <w:sz w:val="18"/>
          <w:szCs w:val="18"/>
        </w:rPr>
        <w:instrText xml:space="preserve"> SEQ Table \* ARABIC </w:instrText>
      </w:r>
      <w:r w:rsidRPr="00295605">
        <w:rPr>
          <w:b/>
          <w:bCs/>
          <w:color w:val="auto"/>
          <w:sz w:val="18"/>
          <w:szCs w:val="18"/>
        </w:rPr>
        <w:fldChar w:fldCharType="separate"/>
      </w:r>
      <w:r w:rsidRPr="00295605">
        <w:rPr>
          <w:b/>
          <w:bCs/>
          <w:color w:val="auto"/>
          <w:sz w:val="18"/>
          <w:szCs w:val="18"/>
        </w:rPr>
        <w:t>4</w:t>
      </w:r>
      <w:r w:rsidRPr="00295605">
        <w:rPr>
          <w:b/>
          <w:bCs/>
          <w:color w:val="auto"/>
          <w:sz w:val="18"/>
          <w:szCs w:val="18"/>
        </w:rPr>
        <w:fldChar w:fldCharType="end"/>
      </w:r>
      <w:r w:rsidRPr="00295605">
        <w:rPr>
          <w:b/>
          <w:bCs/>
          <w:color w:val="auto"/>
          <w:sz w:val="18"/>
          <w:szCs w:val="18"/>
          <w:lang w:val="en-IN"/>
        </w:rPr>
        <w:t>Ranking of ligand and poses based on Re-rank score for Peroxisome proliferator-activated receptors (PPARs) delta</w:t>
      </w:r>
    </w:p>
    <w:tbl>
      <w:tblPr>
        <w:tblW w:w="6380" w:type="dxa"/>
        <w:tblInd w:w="3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3"/>
        <w:gridCol w:w="1477"/>
        <w:gridCol w:w="1004"/>
        <w:gridCol w:w="980"/>
        <w:gridCol w:w="1276"/>
      </w:tblGrid>
      <w:tr w:rsidR="00295605" w:rsidRPr="00295605" w14:paraId="1E7B89FA" w14:textId="77777777" w:rsidTr="00D4167D">
        <w:tc>
          <w:tcPr>
            <w:tcW w:w="1643" w:type="dxa"/>
            <w:tcBorders>
              <w:top w:val="single" w:sz="8" w:space="0" w:color="auto"/>
              <w:left w:val="nil"/>
              <w:bottom w:val="single" w:sz="4" w:space="0" w:color="auto"/>
              <w:right w:val="nil"/>
            </w:tcBorders>
          </w:tcPr>
          <w:p w14:paraId="7F08A7E3"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Ligand code</w:t>
            </w:r>
          </w:p>
        </w:tc>
        <w:tc>
          <w:tcPr>
            <w:tcW w:w="1477" w:type="dxa"/>
            <w:tcBorders>
              <w:top w:val="single" w:sz="8" w:space="0" w:color="auto"/>
              <w:left w:val="nil"/>
              <w:bottom w:val="single" w:sz="4" w:space="0" w:color="auto"/>
              <w:right w:val="nil"/>
            </w:tcBorders>
            <w:vAlign w:val="bottom"/>
            <w:hideMark/>
          </w:tcPr>
          <w:p w14:paraId="0A1DBC8F"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Moldock</w:t>
            </w:r>
          </w:p>
        </w:tc>
        <w:tc>
          <w:tcPr>
            <w:tcW w:w="1004" w:type="dxa"/>
            <w:tcBorders>
              <w:top w:val="single" w:sz="8" w:space="0" w:color="auto"/>
              <w:left w:val="nil"/>
              <w:bottom w:val="single" w:sz="4" w:space="0" w:color="auto"/>
              <w:right w:val="nil"/>
            </w:tcBorders>
            <w:vAlign w:val="bottom"/>
            <w:hideMark/>
          </w:tcPr>
          <w:p w14:paraId="31D76EA0"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Re-ran k</w:t>
            </w:r>
          </w:p>
        </w:tc>
        <w:tc>
          <w:tcPr>
            <w:tcW w:w="980" w:type="dxa"/>
            <w:tcBorders>
              <w:top w:val="single" w:sz="8" w:space="0" w:color="auto"/>
              <w:left w:val="nil"/>
              <w:bottom w:val="single" w:sz="4" w:space="0" w:color="auto"/>
              <w:right w:val="nil"/>
            </w:tcBorders>
            <w:vAlign w:val="bottom"/>
            <w:hideMark/>
          </w:tcPr>
          <w:p w14:paraId="30BBBE34"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Docking</w:t>
            </w:r>
          </w:p>
        </w:tc>
        <w:tc>
          <w:tcPr>
            <w:tcW w:w="1276" w:type="dxa"/>
            <w:tcBorders>
              <w:top w:val="single" w:sz="8" w:space="0" w:color="auto"/>
              <w:left w:val="nil"/>
              <w:bottom w:val="single" w:sz="4" w:space="0" w:color="auto"/>
              <w:right w:val="nil"/>
            </w:tcBorders>
          </w:tcPr>
          <w:p w14:paraId="2D7C8EB5" w14:textId="77777777" w:rsidR="00295605" w:rsidRPr="00295605" w:rsidRDefault="00295605" w:rsidP="00295605">
            <w:pPr>
              <w:adjustRightInd w:val="0"/>
              <w:snapToGrid w:val="0"/>
              <w:jc w:val="center"/>
              <w:rPr>
                <w:rFonts w:eastAsia="Times New Roman"/>
                <w:b/>
                <w:bCs/>
                <w:noProof w:val="0"/>
                <w:snapToGrid w:val="0"/>
                <w:lang w:eastAsia="de-DE" w:bidi="en-US"/>
              </w:rPr>
            </w:pPr>
            <w:r w:rsidRPr="00295605">
              <w:rPr>
                <w:rFonts w:eastAsia="Times New Roman"/>
                <w:lang w:eastAsia="en-IN"/>
              </w:rPr>
              <w:t>H Bond</w:t>
            </w:r>
          </w:p>
        </w:tc>
      </w:tr>
      <w:tr w:rsidR="00295605" w:rsidRPr="00295605" w14:paraId="35734282" w14:textId="77777777" w:rsidTr="00D4167D">
        <w:tc>
          <w:tcPr>
            <w:tcW w:w="1643" w:type="dxa"/>
            <w:tcBorders>
              <w:top w:val="single" w:sz="4" w:space="0" w:color="auto"/>
              <w:left w:val="nil"/>
              <w:bottom w:val="nil"/>
              <w:right w:val="nil"/>
            </w:tcBorders>
            <w:vAlign w:val="bottom"/>
          </w:tcPr>
          <w:p w14:paraId="0468F59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366</w:t>
            </w:r>
          </w:p>
        </w:tc>
        <w:tc>
          <w:tcPr>
            <w:tcW w:w="1477" w:type="dxa"/>
            <w:tcBorders>
              <w:top w:val="single" w:sz="4" w:space="0" w:color="auto"/>
              <w:left w:val="nil"/>
              <w:bottom w:val="nil"/>
              <w:right w:val="nil"/>
            </w:tcBorders>
            <w:vAlign w:val="bottom"/>
            <w:hideMark/>
          </w:tcPr>
          <w:p w14:paraId="49A27D6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-147.503</w:t>
            </w:r>
          </w:p>
        </w:tc>
        <w:tc>
          <w:tcPr>
            <w:tcW w:w="1004" w:type="dxa"/>
            <w:tcBorders>
              <w:top w:val="single" w:sz="4" w:space="0" w:color="auto"/>
              <w:left w:val="nil"/>
              <w:bottom w:val="nil"/>
              <w:right w:val="nil"/>
            </w:tcBorders>
            <w:vAlign w:val="bottom"/>
            <w:hideMark/>
          </w:tcPr>
          <w:p w14:paraId="79B24A5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-113.055</w:t>
            </w:r>
          </w:p>
        </w:tc>
        <w:tc>
          <w:tcPr>
            <w:tcW w:w="980" w:type="dxa"/>
            <w:tcBorders>
              <w:top w:val="single" w:sz="4" w:space="0" w:color="auto"/>
              <w:left w:val="nil"/>
              <w:bottom w:val="nil"/>
              <w:right w:val="nil"/>
            </w:tcBorders>
            <w:vAlign w:val="bottom"/>
            <w:hideMark/>
          </w:tcPr>
          <w:p w14:paraId="47DB991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-145.968</w:t>
            </w:r>
          </w:p>
        </w:tc>
        <w:tc>
          <w:tcPr>
            <w:tcW w:w="1276" w:type="dxa"/>
            <w:tcBorders>
              <w:top w:val="single" w:sz="4" w:space="0" w:color="auto"/>
              <w:left w:val="nil"/>
              <w:bottom w:val="nil"/>
              <w:right w:val="nil"/>
            </w:tcBorders>
            <w:vAlign w:val="bottom"/>
          </w:tcPr>
          <w:p w14:paraId="4E8DEAB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00FEFBFD" w14:textId="77777777" w:rsidTr="00D4167D">
        <w:tc>
          <w:tcPr>
            <w:tcW w:w="1643" w:type="dxa"/>
            <w:tcBorders>
              <w:top w:val="nil"/>
              <w:left w:val="nil"/>
              <w:bottom w:val="nil"/>
              <w:right w:val="nil"/>
            </w:tcBorders>
            <w:vAlign w:val="bottom"/>
          </w:tcPr>
          <w:p w14:paraId="21CB33A5"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419</w:t>
            </w:r>
          </w:p>
        </w:tc>
        <w:tc>
          <w:tcPr>
            <w:tcW w:w="1477" w:type="dxa"/>
            <w:tcBorders>
              <w:top w:val="nil"/>
              <w:left w:val="nil"/>
              <w:bottom w:val="nil"/>
              <w:right w:val="nil"/>
            </w:tcBorders>
            <w:vAlign w:val="bottom"/>
            <w:hideMark/>
          </w:tcPr>
          <w:p w14:paraId="0B89002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-127.51</w:t>
            </w:r>
          </w:p>
        </w:tc>
        <w:tc>
          <w:tcPr>
            <w:tcW w:w="1004" w:type="dxa"/>
            <w:tcBorders>
              <w:top w:val="nil"/>
              <w:left w:val="nil"/>
              <w:bottom w:val="nil"/>
              <w:right w:val="nil"/>
            </w:tcBorders>
            <w:vAlign w:val="bottom"/>
            <w:hideMark/>
          </w:tcPr>
          <w:p w14:paraId="21D8CA3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-107.539</w:t>
            </w:r>
          </w:p>
        </w:tc>
        <w:tc>
          <w:tcPr>
            <w:tcW w:w="980" w:type="dxa"/>
            <w:tcBorders>
              <w:top w:val="nil"/>
              <w:left w:val="nil"/>
              <w:bottom w:val="nil"/>
              <w:right w:val="nil"/>
            </w:tcBorders>
            <w:vAlign w:val="bottom"/>
            <w:hideMark/>
          </w:tcPr>
          <w:p w14:paraId="14D364B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-130.411</w:t>
            </w:r>
          </w:p>
        </w:tc>
        <w:tc>
          <w:tcPr>
            <w:tcW w:w="1276" w:type="dxa"/>
            <w:tcBorders>
              <w:top w:val="nil"/>
              <w:left w:val="nil"/>
              <w:bottom w:val="nil"/>
              <w:right w:val="nil"/>
            </w:tcBorders>
            <w:vAlign w:val="bottom"/>
          </w:tcPr>
          <w:p w14:paraId="0CCBC98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-3.10727</w:t>
            </w:r>
          </w:p>
        </w:tc>
      </w:tr>
      <w:tr w:rsidR="00295605" w:rsidRPr="00295605" w14:paraId="37758095" w14:textId="77777777" w:rsidTr="00D4167D">
        <w:tc>
          <w:tcPr>
            <w:tcW w:w="1643" w:type="dxa"/>
            <w:tcBorders>
              <w:top w:val="nil"/>
              <w:left w:val="nil"/>
              <w:bottom w:val="nil"/>
              <w:right w:val="nil"/>
            </w:tcBorders>
            <w:vAlign w:val="bottom"/>
          </w:tcPr>
          <w:p w14:paraId="5115D86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643</w:t>
            </w:r>
          </w:p>
        </w:tc>
        <w:tc>
          <w:tcPr>
            <w:tcW w:w="1477" w:type="dxa"/>
            <w:tcBorders>
              <w:top w:val="nil"/>
              <w:left w:val="nil"/>
              <w:bottom w:val="nil"/>
              <w:right w:val="nil"/>
            </w:tcBorders>
            <w:vAlign w:val="bottom"/>
            <w:hideMark/>
          </w:tcPr>
          <w:p w14:paraId="4E1AAEF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-130.216</w:t>
            </w:r>
          </w:p>
        </w:tc>
        <w:tc>
          <w:tcPr>
            <w:tcW w:w="1004" w:type="dxa"/>
            <w:tcBorders>
              <w:top w:val="nil"/>
              <w:left w:val="nil"/>
              <w:bottom w:val="nil"/>
              <w:right w:val="nil"/>
            </w:tcBorders>
            <w:vAlign w:val="bottom"/>
            <w:hideMark/>
          </w:tcPr>
          <w:p w14:paraId="70B6579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-107.118</w:t>
            </w:r>
          </w:p>
        </w:tc>
        <w:tc>
          <w:tcPr>
            <w:tcW w:w="980" w:type="dxa"/>
            <w:tcBorders>
              <w:top w:val="nil"/>
              <w:left w:val="nil"/>
              <w:bottom w:val="nil"/>
              <w:right w:val="nil"/>
            </w:tcBorders>
            <w:vAlign w:val="bottom"/>
            <w:hideMark/>
          </w:tcPr>
          <w:p w14:paraId="1E4A7E3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-130.75</w:t>
            </w:r>
          </w:p>
        </w:tc>
        <w:tc>
          <w:tcPr>
            <w:tcW w:w="1276" w:type="dxa"/>
            <w:tcBorders>
              <w:top w:val="nil"/>
              <w:left w:val="nil"/>
              <w:bottom w:val="nil"/>
              <w:right w:val="nil"/>
            </w:tcBorders>
            <w:vAlign w:val="bottom"/>
          </w:tcPr>
          <w:p w14:paraId="2AD7E4E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3A0AA4F9" w14:textId="77777777" w:rsidTr="00D4167D">
        <w:tc>
          <w:tcPr>
            <w:tcW w:w="1643" w:type="dxa"/>
            <w:tcBorders>
              <w:top w:val="nil"/>
              <w:left w:val="nil"/>
              <w:bottom w:val="nil"/>
              <w:right w:val="nil"/>
            </w:tcBorders>
            <w:vAlign w:val="bottom"/>
          </w:tcPr>
          <w:p w14:paraId="31D2A7F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441</w:t>
            </w:r>
          </w:p>
        </w:tc>
        <w:tc>
          <w:tcPr>
            <w:tcW w:w="1477" w:type="dxa"/>
            <w:tcBorders>
              <w:top w:val="nil"/>
              <w:left w:val="nil"/>
              <w:bottom w:val="nil"/>
              <w:right w:val="nil"/>
            </w:tcBorders>
            <w:vAlign w:val="bottom"/>
          </w:tcPr>
          <w:p w14:paraId="7982DF1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-136.368</w:t>
            </w:r>
          </w:p>
        </w:tc>
        <w:tc>
          <w:tcPr>
            <w:tcW w:w="1004" w:type="dxa"/>
            <w:tcBorders>
              <w:top w:val="nil"/>
              <w:left w:val="nil"/>
              <w:bottom w:val="nil"/>
              <w:right w:val="nil"/>
            </w:tcBorders>
            <w:vAlign w:val="bottom"/>
          </w:tcPr>
          <w:p w14:paraId="2CB6255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-104.797</w:t>
            </w:r>
          </w:p>
        </w:tc>
        <w:tc>
          <w:tcPr>
            <w:tcW w:w="980" w:type="dxa"/>
            <w:tcBorders>
              <w:top w:val="nil"/>
              <w:left w:val="nil"/>
              <w:bottom w:val="nil"/>
              <w:right w:val="nil"/>
            </w:tcBorders>
            <w:vAlign w:val="bottom"/>
          </w:tcPr>
          <w:p w14:paraId="62C3514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-136.412</w:t>
            </w:r>
          </w:p>
        </w:tc>
        <w:tc>
          <w:tcPr>
            <w:tcW w:w="1276" w:type="dxa"/>
            <w:tcBorders>
              <w:top w:val="nil"/>
              <w:left w:val="nil"/>
              <w:bottom w:val="nil"/>
              <w:right w:val="nil"/>
            </w:tcBorders>
            <w:vAlign w:val="bottom"/>
          </w:tcPr>
          <w:p w14:paraId="7A12B08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-0.28573</w:t>
            </w:r>
          </w:p>
        </w:tc>
      </w:tr>
      <w:tr w:rsidR="00295605" w:rsidRPr="00295605" w14:paraId="4CED9F84" w14:textId="77777777" w:rsidTr="00D4167D">
        <w:tc>
          <w:tcPr>
            <w:tcW w:w="1643" w:type="dxa"/>
            <w:tcBorders>
              <w:top w:val="nil"/>
              <w:left w:val="nil"/>
              <w:bottom w:val="nil"/>
              <w:right w:val="nil"/>
            </w:tcBorders>
            <w:vAlign w:val="bottom"/>
          </w:tcPr>
          <w:p w14:paraId="4567C96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233</w:t>
            </w:r>
          </w:p>
        </w:tc>
        <w:tc>
          <w:tcPr>
            <w:tcW w:w="1477" w:type="dxa"/>
            <w:tcBorders>
              <w:top w:val="nil"/>
              <w:left w:val="nil"/>
              <w:bottom w:val="nil"/>
              <w:right w:val="nil"/>
            </w:tcBorders>
            <w:vAlign w:val="bottom"/>
          </w:tcPr>
          <w:p w14:paraId="39A5A82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-127.989</w:t>
            </w:r>
          </w:p>
        </w:tc>
        <w:tc>
          <w:tcPr>
            <w:tcW w:w="1004" w:type="dxa"/>
            <w:tcBorders>
              <w:top w:val="nil"/>
              <w:left w:val="nil"/>
              <w:bottom w:val="nil"/>
              <w:right w:val="nil"/>
            </w:tcBorders>
            <w:vAlign w:val="bottom"/>
          </w:tcPr>
          <w:p w14:paraId="23304A5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-104.689</w:t>
            </w:r>
          </w:p>
        </w:tc>
        <w:tc>
          <w:tcPr>
            <w:tcW w:w="980" w:type="dxa"/>
            <w:tcBorders>
              <w:top w:val="nil"/>
              <w:left w:val="nil"/>
              <w:bottom w:val="nil"/>
              <w:right w:val="nil"/>
            </w:tcBorders>
            <w:vAlign w:val="bottom"/>
          </w:tcPr>
          <w:p w14:paraId="0EA1B11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-124.732</w:t>
            </w:r>
          </w:p>
        </w:tc>
        <w:tc>
          <w:tcPr>
            <w:tcW w:w="1276" w:type="dxa"/>
            <w:tcBorders>
              <w:top w:val="nil"/>
              <w:left w:val="nil"/>
              <w:bottom w:val="nil"/>
              <w:right w:val="nil"/>
            </w:tcBorders>
            <w:vAlign w:val="bottom"/>
          </w:tcPr>
          <w:p w14:paraId="6C13C15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1870C11B" w14:textId="77777777" w:rsidTr="00D4167D">
        <w:tc>
          <w:tcPr>
            <w:tcW w:w="1643" w:type="dxa"/>
            <w:tcBorders>
              <w:top w:val="nil"/>
              <w:left w:val="nil"/>
              <w:bottom w:val="nil"/>
              <w:right w:val="nil"/>
            </w:tcBorders>
            <w:vAlign w:val="bottom"/>
          </w:tcPr>
          <w:p w14:paraId="530D74A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473</w:t>
            </w:r>
          </w:p>
        </w:tc>
        <w:tc>
          <w:tcPr>
            <w:tcW w:w="1477" w:type="dxa"/>
            <w:tcBorders>
              <w:top w:val="nil"/>
              <w:left w:val="nil"/>
              <w:bottom w:val="nil"/>
              <w:right w:val="nil"/>
            </w:tcBorders>
            <w:vAlign w:val="bottom"/>
          </w:tcPr>
          <w:p w14:paraId="4641F60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-128.176</w:t>
            </w:r>
          </w:p>
        </w:tc>
        <w:tc>
          <w:tcPr>
            <w:tcW w:w="1004" w:type="dxa"/>
            <w:tcBorders>
              <w:top w:val="nil"/>
              <w:left w:val="nil"/>
              <w:bottom w:val="nil"/>
              <w:right w:val="nil"/>
            </w:tcBorders>
            <w:vAlign w:val="bottom"/>
          </w:tcPr>
          <w:p w14:paraId="6B87401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-104.666</w:t>
            </w:r>
          </w:p>
        </w:tc>
        <w:tc>
          <w:tcPr>
            <w:tcW w:w="980" w:type="dxa"/>
            <w:tcBorders>
              <w:top w:val="nil"/>
              <w:left w:val="nil"/>
              <w:bottom w:val="nil"/>
              <w:right w:val="nil"/>
            </w:tcBorders>
            <w:vAlign w:val="bottom"/>
          </w:tcPr>
          <w:p w14:paraId="3EB2368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-128.884</w:t>
            </w:r>
          </w:p>
        </w:tc>
        <w:tc>
          <w:tcPr>
            <w:tcW w:w="1276" w:type="dxa"/>
            <w:tcBorders>
              <w:top w:val="nil"/>
              <w:left w:val="nil"/>
              <w:bottom w:val="nil"/>
              <w:right w:val="nil"/>
            </w:tcBorders>
            <w:vAlign w:val="bottom"/>
          </w:tcPr>
          <w:p w14:paraId="55E39FA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-1.05403</w:t>
            </w:r>
          </w:p>
        </w:tc>
      </w:tr>
      <w:tr w:rsidR="00295605" w:rsidRPr="00295605" w14:paraId="073B1CF5" w14:textId="77777777" w:rsidTr="00D4167D">
        <w:tc>
          <w:tcPr>
            <w:tcW w:w="1643" w:type="dxa"/>
            <w:tcBorders>
              <w:top w:val="nil"/>
              <w:left w:val="nil"/>
              <w:bottom w:val="nil"/>
              <w:right w:val="nil"/>
            </w:tcBorders>
            <w:vAlign w:val="bottom"/>
          </w:tcPr>
          <w:p w14:paraId="38ACF0D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328</w:t>
            </w:r>
          </w:p>
        </w:tc>
        <w:tc>
          <w:tcPr>
            <w:tcW w:w="1477" w:type="dxa"/>
            <w:tcBorders>
              <w:top w:val="nil"/>
              <w:left w:val="nil"/>
              <w:bottom w:val="nil"/>
              <w:right w:val="nil"/>
            </w:tcBorders>
            <w:vAlign w:val="bottom"/>
          </w:tcPr>
          <w:p w14:paraId="5D9F4AC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-126.872</w:t>
            </w:r>
          </w:p>
        </w:tc>
        <w:tc>
          <w:tcPr>
            <w:tcW w:w="1004" w:type="dxa"/>
            <w:tcBorders>
              <w:top w:val="nil"/>
              <w:left w:val="nil"/>
              <w:bottom w:val="nil"/>
              <w:right w:val="nil"/>
            </w:tcBorders>
            <w:vAlign w:val="bottom"/>
          </w:tcPr>
          <w:p w14:paraId="4303BD3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-103.888</w:t>
            </w:r>
          </w:p>
        </w:tc>
        <w:tc>
          <w:tcPr>
            <w:tcW w:w="980" w:type="dxa"/>
            <w:tcBorders>
              <w:top w:val="nil"/>
              <w:left w:val="nil"/>
              <w:bottom w:val="nil"/>
              <w:right w:val="nil"/>
            </w:tcBorders>
            <w:vAlign w:val="bottom"/>
          </w:tcPr>
          <w:p w14:paraId="017F689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-124.382</w:t>
            </w:r>
          </w:p>
        </w:tc>
        <w:tc>
          <w:tcPr>
            <w:tcW w:w="1276" w:type="dxa"/>
            <w:tcBorders>
              <w:top w:val="nil"/>
              <w:left w:val="nil"/>
              <w:bottom w:val="nil"/>
              <w:right w:val="nil"/>
            </w:tcBorders>
            <w:vAlign w:val="bottom"/>
          </w:tcPr>
          <w:p w14:paraId="0FDC086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76EC5B2A" w14:textId="77777777" w:rsidTr="00D4167D">
        <w:tc>
          <w:tcPr>
            <w:tcW w:w="1643" w:type="dxa"/>
            <w:tcBorders>
              <w:top w:val="nil"/>
              <w:left w:val="nil"/>
              <w:bottom w:val="nil"/>
              <w:right w:val="nil"/>
            </w:tcBorders>
            <w:vAlign w:val="bottom"/>
          </w:tcPr>
          <w:p w14:paraId="01D2913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183</w:t>
            </w:r>
          </w:p>
        </w:tc>
        <w:tc>
          <w:tcPr>
            <w:tcW w:w="1477" w:type="dxa"/>
            <w:tcBorders>
              <w:top w:val="nil"/>
              <w:left w:val="nil"/>
              <w:bottom w:val="nil"/>
              <w:right w:val="nil"/>
            </w:tcBorders>
            <w:vAlign w:val="bottom"/>
          </w:tcPr>
          <w:p w14:paraId="0619177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-125.867</w:t>
            </w:r>
          </w:p>
        </w:tc>
        <w:tc>
          <w:tcPr>
            <w:tcW w:w="1004" w:type="dxa"/>
            <w:tcBorders>
              <w:top w:val="nil"/>
              <w:left w:val="nil"/>
              <w:bottom w:val="nil"/>
              <w:right w:val="nil"/>
            </w:tcBorders>
            <w:vAlign w:val="bottom"/>
          </w:tcPr>
          <w:p w14:paraId="0BA6592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-103.311</w:t>
            </w:r>
          </w:p>
        </w:tc>
        <w:tc>
          <w:tcPr>
            <w:tcW w:w="980" w:type="dxa"/>
            <w:tcBorders>
              <w:top w:val="nil"/>
              <w:left w:val="nil"/>
              <w:bottom w:val="nil"/>
              <w:right w:val="nil"/>
            </w:tcBorders>
            <w:vAlign w:val="bottom"/>
          </w:tcPr>
          <w:p w14:paraId="07B744B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-123.336</w:t>
            </w:r>
          </w:p>
        </w:tc>
        <w:tc>
          <w:tcPr>
            <w:tcW w:w="1276" w:type="dxa"/>
            <w:tcBorders>
              <w:top w:val="nil"/>
              <w:left w:val="nil"/>
              <w:bottom w:val="nil"/>
              <w:right w:val="nil"/>
            </w:tcBorders>
            <w:vAlign w:val="bottom"/>
          </w:tcPr>
          <w:p w14:paraId="1CD372E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-1.33129</w:t>
            </w:r>
          </w:p>
        </w:tc>
      </w:tr>
      <w:tr w:rsidR="00295605" w:rsidRPr="00295605" w14:paraId="4F3BF612" w14:textId="77777777" w:rsidTr="00D4167D">
        <w:tc>
          <w:tcPr>
            <w:tcW w:w="1643" w:type="dxa"/>
            <w:tcBorders>
              <w:top w:val="nil"/>
              <w:left w:val="nil"/>
              <w:bottom w:val="nil"/>
              <w:right w:val="nil"/>
            </w:tcBorders>
            <w:vAlign w:val="bottom"/>
          </w:tcPr>
          <w:p w14:paraId="6472639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582</w:t>
            </w:r>
          </w:p>
        </w:tc>
        <w:tc>
          <w:tcPr>
            <w:tcW w:w="1477" w:type="dxa"/>
            <w:tcBorders>
              <w:top w:val="nil"/>
              <w:left w:val="nil"/>
              <w:bottom w:val="nil"/>
              <w:right w:val="nil"/>
            </w:tcBorders>
            <w:vAlign w:val="bottom"/>
          </w:tcPr>
          <w:p w14:paraId="1363E2D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-130.586</w:t>
            </w:r>
          </w:p>
        </w:tc>
        <w:tc>
          <w:tcPr>
            <w:tcW w:w="1004" w:type="dxa"/>
            <w:tcBorders>
              <w:top w:val="nil"/>
              <w:left w:val="nil"/>
              <w:bottom w:val="nil"/>
              <w:right w:val="nil"/>
            </w:tcBorders>
            <w:vAlign w:val="bottom"/>
          </w:tcPr>
          <w:p w14:paraId="7A02080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-102.819</w:t>
            </w:r>
          </w:p>
        </w:tc>
        <w:tc>
          <w:tcPr>
            <w:tcW w:w="980" w:type="dxa"/>
            <w:tcBorders>
              <w:top w:val="nil"/>
              <w:left w:val="nil"/>
              <w:bottom w:val="nil"/>
              <w:right w:val="nil"/>
            </w:tcBorders>
            <w:vAlign w:val="bottom"/>
          </w:tcPr>
          <w:p w14:paraId="3AFBD28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-129</w:t>
            </w:r>
          </w:p>
        </w:tc>
        <w:tc>
          <w:tcPr>
            <w:tcW w:w="1276" w:type="dxa"/>
            <w:tcBorders>
              <w:top w:val="nil"/>
              <w:left w:val="nil"/>
              <w:bottom w:val="nil"/>
              <w:right w:val="nil"/>
            </w:tcBorders>
            <w:vAlign w:val="bottom"/>
          </w:tcPr>
          <w:p w14:paraId="69C8965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78F78F0A" w14:textId="77777777" w:rsidTr="00D4167D">
        <w:tc>
          <w:tcPr>
            <w:tcW w:w="1643" w:type="dxa"/>
            <w:tcBorders>
              <w:top w:val="nil"/>
              <w:left w:val="nil"/>
              <w:bottom w:val="nil"/>
              <w:right w:val="nil"/>
            </w:tcBorders>
            <w:vAlign w:val="bottom"/>
          </w:tcPr>
          <w:p w14:paraId="4A5BFD6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42</w:t>
            </w:r>
          </w:p>
        </w:tc>
        <w:tc>
          <w:tcPr>
            <w:tcW w:w="1477" w:type="dxa"/>
            <w:tcBorders>
              <w:top w:val="nil"/>
              <w:left w:val="nil"/>
              <w:bottom w:val="nil"/>
              <w:right w:val="nil"/>
            </w:tcBorders>
            <w:vAlign w:val="bottom"/>
          </w:tcPr>
          <w:p w14:paraId="46157C1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-125.769</w:t>
            </w:r>
          </w:p>
        </w:tc>
        <w:tc>
          <w:tcPr>
            <w:tcW w:w="1004" w:type="dxa"/>
            <w:tcBorders>
              <w:top w:val="nil"/>
              <w:left w:val="nil"/>
              <w:bottom w:val="nil"/>
              <w:right w:val="nil"/>
            </w:tcBorders>
            <w:vAlign w:val="bottom"/>
          </w:tcPr>
          <w:p w14:paraId="4145404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-102.782</w:t>
            </w:r>
          </w:p>
        </w:tc>
        <w:tc>
          <w:tcPr>
            <w:tcW w:w="980" w:type="dxa"/>
            <w:tcBorders>
              <w:top w:val="nil"/>
              <w:left w:val="nil"/>
              <w:bottom w:val="nil"/>
              <w:right w:val="nil"/>
            </w:tcBorders>
            <w:vAlign w:val="bottom"/>
          </w:tcPr>
          <w:p w14:paraId="18BF2B0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-129.467</w:t>
            </w:r>
          </w:p>
        </w:tc>
        <w:tc>
          <w:tcPr>
            <w:tcW w:w="1276" w:type="dxa"/>
            <w:tcBorders>
              <w:top w:val="nil"/>
              <w:left w:val="nil"/>
              <w:bottom w:val="nil"/>
              <w:right w:val="nil"/>
            </w:tcBorders>
            <w:vAlign w:val="bottom"/>
          </w:tcPr>
          <w:p w14:paraId="78E15E9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-1.57916</w:t>
            </w:r>
          </w:p>
        </w:tc>
      </w:tr>
      <w:tr w:rsidR="00295605" w:rsidRPr="00295605" w14:paraId="1A6BDC54" w14:textId="77777777" w:rsidTr="00D4167D">
        <w:tc>
          <w:tcPr>
            <w:tcW w:w="1643" w:type="dxa"/>
            <w:tcBorders>
              <w:top w:val="nil"/>
              <w:left w:val="nil"/>
              <w:bottom w:val="nil"/>
              <w:right w:val="nil"/>
            </w:tcBorders>
            <w:vAlign w:val="bottom"/>
          </w:tcPr>
          <w:p w14:paraId="4C3762F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ROSUVASTATIN</w:t>
            </w:r>
          </w:p>
        </w:tc>
        <w:tc>
          <w:tcPr>
            <w:tcW w:w="1477" w:type="dxa"/>
            <w:tcBorders>
              <w:top w:val="nil"/>
              <w:left w:val="nil"/>
              <w:bottom w:val="nil"/>
              <w:right w:val="nil"/>
            </w:tcBorders>
            <w:vAlign w:val="bottom"/>
          </w:tcPr>
          <w:p w14:paraId="03DBE8E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-123.458</w:t>
            </w:r>
          </w:p>
        </w:tc>
        <w:tc>
          <w:tcPr>
            <w:tcW w:w="1004" w:type="dxa"/>
            <w:tcBorders>
              <w:top w:val="nil"/>
              <w:left w:val="nil"/>
              <w:bottom w:val="nil"/>
              <w:right w:val="nil"/>
            </w:tcBorders>
            <w:vAlign w:val="bottom"/>
          </w:tcPr>
          <w:p w14:paraId="2682E3F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-91.626</w:t>
            </w:r>
          </w:p>
        </w:tc>
        <w:tc>
          <w:tcPr>
            <w:tcW w:w="980" w:type="dxa"/>
            <w:tcBorders>
              <w:top w:val="nil"/>
              <w:left w:val="nil"/>
              <w:bottom w:val="nil"/>
              <w:right w:val="nil"/>
            </w:tcBorders>
            <w:vAlign w:val="bottom"/>
          </w:tcPr>
          <w:p w14:paraId="066FA8B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-123.412</w:t>
            </w:r>
          </w:p>
        </w:tc>
        <w:tc>
          <w:tcPr>
            <w:tcW w:w="1276" w:type="dxa"/>
            <w:tcBorders>
              <w:top w:val="nil"/>
              <w:left w:val="nil"/>
              <w:bottom w:val="nil"/>
              <w:right w:val="nil"/>
            </w:tcBorders>
            <w:vAlign w:val="bottom"/>
          </w:tcPr>
          <w:p w14:paraId="04A71F6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-7.36093</w:t>
            </w:r>
          </w:p>
        </w:tc>
      </w:tr>
      <w:tr w:rsidR="00295605" w:rsidRPr="00295605" w14:paraId="0659F02E" w14:textId="77777777" w:rsidTr="00D4167D">
        <w:tc>
          <w:tcPr>
            <w:tcW w:w="1643" w:type="dxa"/>
            <w:tcBorders>
              <w:top w:val="nil"/>
              <w:left w:val="nil"/>
              <w:bottom w:val="nil"/>
              <w:right w:val="nil"/>
            </w:tcBorders>
            <w:vAlign w:val="bottom"/>
          </w:tcPr>
          <w:p w14:paraId="36F0414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EZELIMIBE</w:t>
            </w:r>
          </w:p>
        </w:tc>
        <w:tc>
          <w:tcPr>
            <w:tcW w:w="1477" w:type="dxa"/>
            <w:tcBorders>
              <w:top w:val="nil"/>
              <w:left w:val="nil"/>
              <w:bottom w:val="nil"/>
              <w:right w:val="nil"/>
            </w:tcBorders>
            <w:vAlign w:val="bottom"/>
          </w:tcPr>
          <w:p w14:paraId="3A062F6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-131.758</w:t>
            </w:r>
          </w:p>
        </w:tc>
        <w:tc>
          <w:tcPr>
            <w:tcW w:w="1004" w:type="dxa"/>
            <w:tcBorders>
              <w:top w:val="nil"/>
              <w:left w:val="nil"/>
              <w:bottom w:val="nil"/>
              <w:right w:val="nil"/>
            </w:tcBorders>
            <w:vAlign w:val="bottom"/>
          </w:tcPr>
          <w:p w14:paraId="1A55ECC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-92.3829</w:t>
            </w:r>
          </w:p>
        </w:tc>
        <w:tc>
          <w:tcPr>
            <w:tcW w:w="980" w:type="dxa"/>
            <w:tcBorders>
              <w:top w:val="nil"/>
              <w:left w:val="nil"/>
              <w:bottom w:val="nil"/>
              <w:right w:val="nil"/>
            </w:tcBorders>
            <w:vAlign w:val="bottom"/>
          </w:tcPr>
          <w:p w14:paraId="6D6A082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-131.533</w:t>
            </w:r>
          </w:p>
        </w:tc>
        <w:tc>
          <w:tcPr>
            <w:tcW w:w="1276" w:type="dxa"/>
            <w:tcBorders>
              <w:top w:val="nil"/>
              <w:left w:val="nil"/>
              <w:bottom w:val="nil"/>
              <w:right w:val="nil"/>
            </w:tcBorders>
            <w:vAlign w:val="bottom"/>
          </w:tcPr>
          <w:p w14:paraId="17C89DC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-7.73417</w:t>
            </w:r>
          </w:p>
        </w:tc>
      </w:tr>
      <w:tr w:rsidR="00295605" w:rsidRPr="00295605" w14:paraId="3C4AD247" w14:textId="77777777" w:rsidTr="00D4167D">
        <w:tc>
          <w:tcPr>
            <w:tcW w:w="1643" w:type="dxa"/>
            <w:tcBorders>
              <w:top w:val="nil"/>
              <w:left w:val="nil"/>
              <w:bottom w:val="nil"/>
              <w:right w:val="nil"/>
            </w:tcBorders>
            <w:vAlign w:val="bottom"/>
          </w:tcPr>
          <w:p w14:paraId="435FC51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ATORVASTATIN</w:t>
            </w:r>
          </w:p>
        </w:tc>
        <w:tc>
          <w:tcPr>
            <w:tcW w:w="1477" w:type="dxa"/>
            <w:tcBorders>
              <w:top w:val="nil"/>
              <w:left w:val="nil"/>
              <w:bottom w:val="nil"/>
              <w:right w:val="nil"/>
            </w:tcBorders>
            <w:vAlign w:val="bottom"/>
          </w:tcPr>
          <w:p w14:paraId="4C19D06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-164.557</w:t>
            </w:r>
          </w:p>
        </w:tc>
        <w:tc>
          <w:tcPr>
            <w:tcW w:w="1004" w:type="dxa"/>
            <w:tcBorders>
              <w:top w:val="nil"/>
              <w:left w:val="nil"/>
              <w:bottom w:val="nil"/>
              <w:right w:val="nil"/>
            </w:tcBorders>
            <w:vAlign w:val="bottom"/>
          </w:tcPr>
          <w:p w14:paraId="155D350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-122.047</w:t>
            </w:r>
          </w:p>
        </w:tc>
        <w:tc>
          <w:tcPr>
            <w:tcW w:w="980" w:type="dxa"/>
            <w:tcBorders>
              <w:top w:val="nil"/>
              <w:left w:val="nil"/>
              <w:bottom w:val="nil"/>
              <w:right w:val="nil"/>
            </w:tcBorders>
            <w:vAlign w:val="bottom"/>
          </w:tcPr>
          <w:p w14:paraId="33C8CC3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-161.32</w:t>
            </w:r>
          </w:p>
        </w:tc>
        <w:tc>
          <w:tcPr>
            <w:tcW w:w="1276" w:type="dxa"/>
            <w:tcBorders>
              <w:top w:val="nil"/>
              <w:left w:val="nil"/>
              <w:bottom w:val="nil"/>
              <w:right w:val="nil"/>
            </w:tcBorders>
            <w:vAlign w:val="bottom"/>
          </w:tcPr>
          <w:p w14:paraId="394F8FC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-2.33475</w:t>
            </w:r>
          </w:p>
        </w:tc>
      </w:tr>
    </w:tbl>
    <w:p w14:paraId="1D71CE9A" w14:textId="77777777" w:rsidR="00295605" w:rsidRPr="00295605" w:rsidRDefault="00295605" w:rsidP="00295605">
      <w:pPr>
        <w:numPr>
          <w:ilvl w:val="0"/>
          <w:numId w:val="29"/>
        </w:numPr>
        <w:adjustRightInd w:val="0"/>
        <w:snapToGrid w:val="0"/>
        <w:spacing w:after="60" w:line="228" w:lineRule="auto"/>
        <w:ind w:left="0" w:firstLine="0"/>
        <w:jc w:val="left"/>
        <w:outlineLvl w:val="1"/>
        <w:rPr>
          <w:rFonts w:eastAsia="Times New Roman"/>
          <w:i/>
          <w:noProof w:val="0"/>
          <w:snapToGrid w:val="0"/>
          <w:szCs w:val="22"/>
          <w:lang w:eastAsia="de-DE" w:bidi="en-US"/>
        </w:rPr>
      </w:pPr>
    </w:p>
    <w:p w14:paraId="320FB77F" w14:textId="77777777" w:rsidR="00295605" w:rsidRPr="00295605" w:rsidRDefault="00295605" w:rsidP="00295605">
      <w:pPr>
        <w:keepNext/>
        <w:spacing w:after="200" w:line="240" w:lineRule="auto"/>
        <w:jc w:val="right"/>
        <w:rPr>
          <w:b/>
          <w:bCs/>
          <w:color w:val="auto"/>
          <w:sz w:val="18"/>
          <w:szCs w:val="18"/>
          <w:lang w:val="en-IN"/>
        </w:rPr>
      </w:pPr>
      <w:r w:rsidRPr="00295605">
        <w:rPr>
          <w:b/>
          <w:bCs/>
          <w:color w:val="auto"/>
          <w:sz w:val="18"/>
          <w:szCs w:val="18"/>
        </w:rPr>
        <w:t xml:space="preserve">Table </w:t>
      </w:r>
      <w:r w:rsidRPr="00295605">
        <w:rPr>
          <w:b/>
          <w:bCs/>
          <w:color w:val="auto"/>
          <w:sz w:val="18"/>
          <w:szCs w:val="18"/>
        </w:rPr>
        <w:fldChar w:fldCharType="begin"/>
      </w:r>
      <w:r w:rsidRPr="00295605">
        <w:rPr>
          <w:b/>
          <w:bCs/>
          <w:color w:val="auto"/>
          <w:sz w:val="18"/>
          <w:szCs w:val="18"/>
        </w:rPr>
        <w:instrText xml:space="preserve"> SEQ Table \* ARABIC </w:instrText>
      </w:r>
      <w:r w:rsidRPr="00295605">
        <w:rPr>
          <w:b/>
          <w:bCs/>
          <w:color w:val="auto"/>
          <w:sz w:val="18"/>
          <w:szCs w:val="18"/>
        </w:rPr>
        <w:fldChar w:fldCharType="separate"/>
      </w:r>
      <w:r w:rsidRPr="00295605">
        <w:rPr>
          <w:b/>
          <w:bCs/>
          <w:color w:val="auto"/>
          <w:sz w:val="18"/>
          <w:szCs w:val="18"/>
        </w:rPr>
        <w:t>5</w:t>
      </w:r>
      <w:r w:rsidRPr="00295605">
        <w:rPr>
          <w:b/>
          <w:bCs/>
          <w:color w:val="auto"/>
          <w:sz w:val="18"/>
          <w:szCs w:val="18"/>
        </w:rPr>
        <w:fldChar w:fldCharType="end"/>
      </w:r>
      <w:r w:rsidRPr="00295605">
        <w:rPr>
          <w:b/>
          <w:bCs/>
          <w:color w:val="auto"/>
          <w:sz w:val="18"/>
          <w:szCs w:val="18"/>
          <w:lang w:val="en-IN"/>
        </w:rPr>
        <w:t>Ranking of ligand and poses based on Re-rank score for lanosterol 14alpha-demethylase</w:t>
      </w:r>
    </w:p>
    <w:tbl>
      <w:tblPr>
        <w:tblW w:w="6380" w:type="dxa"/>
        <w:tblInd w:w="3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3"/>
        <w:gridCol w:w="1477"/>
        <w:gridCol w:w="1004"/>
        <w:gridCol w:w="980"/>
        <w:gridCol w:w="1276"/>
      </w:tblGrid>
      <w:tr w:rsidR="00295605" w:rsidRPr="00295605" w14:paraId="68925D8B" w14:textId="77777777" w:rsidTr="00D4167D">
        <w:tc>
          <w:tcPr>
            <w:tcW w:w="1643" w:type="dxa"/>
            <w:tcBorders>
              <w:top w:val="single" w:sz="8" w:space="0" w:color="auto"/>
              <w:left w:val="nil"/>
              <w:bottom w:val="single" w:sz="4" w:space="0" w:color="auto"/>
              <w:right w:val="nil"/>
            </w:tcBorders>
          </w:tcPr>
          <w:p w14:paraId="1FFF5CE7"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Ligand code</w:t>
            </w:r>
          </w:p>
        </w:tc>
        <w:tc>
          <w:tcPr>
            <w:tcW w:w="1477" w:type="dxa"/>
            <w:tcBorders>
              <w:top w:val="single" w:sz="8" w:space="0" w:color="auto"/>
              <w:left w:val="nil"/>
              <w:bottom w:val="single" w:sz="4" w:space="0" w:color="auto"/>
              <w:right w:val="nil"/>
            </w:tcBorders>
            <w:vAlign w:val="bottom"/>
            <w:hideMark/>
          </w:tcPr>
          <w:p w14:paraId="229BD4A0"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Moldock</w:t>
            </w:r>
          </w:p>
        </w:tc>
        <w:tc>
          <w:tcPr>
            <w:tcW w:w="1004" w:type="dxa"/>
            <w:tcBorders>
              <w:top w:val="single" w:sz="8" w:space="0" w:color="auto"/>
              <w:left w:val="nil"/>
              <w:bottom w:val="single" w:sz="4" w:space="0" w:color="auto"/>
              <w:right w:val="nil"/>
            </w:tcBorders>
            <w:vAlign w:val="bottom"/>
            <w:hideMark/>
          </w:tcPr>
          <w:p w14:paraId="4F38B546"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Re-ran k</w:t>
            </w:r>
          </w:p>
        </w:tc>
        <w:tc>
          <w:tcPr>
            <w:tcW w:w="980" w:type="dxa"/>
            <w:tcBorders>
              <w:top w:val="single" w:sz="8" w:space="0" w:color="auto"/>
              <w:left w:val="nil"/>
              <w:bottom w:val="single" w:sz="4" w:space="0" w:color="auto"/>
              <w:right w:val="nil"/>
            </w:tcBorders>
            <w:vAlign w:val="bottom"/>
            <w:hideMark/>
          </w:tcPr>
          <w:p w14:paraId="4D8F0C48" w14:textId="77777777" w:rsidR="00295605" w:rsidRPr="00295605" w:rsidRDefault="00295605" w:rsidP="00295605">
            <w:pPr>
              <w:spacing w:line="240" w:lineRule="auto"/>
              <w:jc w:val="center"/>
              <w:rPr>
                <w:rFonts w:eastAsia="Times New Roman"/>
                <w:lang w:eastAsia="en-IN"/>
              </w:rPr>
            </w:pPr>
            <w:r w:rsidRPr="00295605">
              <w:rPr>
                <w:rFonts w:eastAsia="Times New Roman"/>
                <w:lang w:eastAsia="en-IN"/>
              </w:rPr>
              <w:t>Docking</w:t>
            </w:r>
          </w:p>
        </w:tc>
        <w:tc>
          <w:tcPr>
            <w:tcW w:w="1276" w:type="dxa"/>
            <w:tcBorders>
              <w:top w:val="single" w:sz="8" w:space="0" w:color="auto"/>
              <w:left w:val="nil"/>
              <w:bottom w:val="single" w:sz="4" w:space="0" w:color="auto"/>
              <w:right w:val="nil"/>
            </w:tcBorders>
          </w:tcPr>
          <w:p w14:paraId="03D6F56F" w14:textId="77777777" w:rsidR="00295605" w:rsidRPr="00295605" w:rsidRDefault="00295605" w:rsidP="00295605">
            <w:pPr>
              <w:adjustRightInd w:val="0"/>
              <w:snapToGrid w:val="0"/>
              <w:jc w:val="center"/>
              <w:rPr>
                <w:rFonts w:eastAsia="Times New Roman"/>
                <w:b/>
                <w:bCs/>
                <w:noProof w:val="0"/>
                <w:snapToGrid w:val="0"/>
                <w:lang w:eastAsia="de-DE" w:bidi="en-US"/>
              </w:rPr>
            </w:pPr>
            <w:r w:rsidRPr="00295605">
              <w:rPr>
                <w:rFonts w:eastAsia="Times New Roman"/>
                <w:lang w:eastAsia="en-IN"/>
              </w:rPr>
              <w:t>H Bond</w:t>
            </w:r>
          </w:p>
        </w:tc>
      </w:tr>
      <w:tr w:rsidR="00295605" w:rsidRPr="00295605" w14:paraId="0270A02C" w14:textId="77777777" w:rsidTr="00D4167D">
        <w:tc>
          <w:tcPr>
            <w:tcW w:w="1643" w:type="dxa"/>
            <w:tcBorders>
              <w:top w:val="single" w:sz="4" w:space="0" w:color="auto"/>
              <w:left w:val="nil"/>
              <w:bottom w:val="nil"/>
              <w:right w:val="nil"/>
            </w:tcBorders>
            <w:vAlign w:val="bottom"/>
          </w:tcPr>
          <w:p w14:paraId="521B7C8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234</w:t>
            </w:r>
          </w:p>
        </w:tc>
        <w:tc>
          <w:tcPr>
            <w:tcW w:w="1477" w:type="dxa"/>
            <w:tcBorders>
              <w:top w:val="single" w:sz="4" w:space="0" w:color="auto"/>
              <w:left w:val="nil"/>
              <w:bottom w:val="nil"/>
              <w:right w:val="nil"/>
            </w:tcBorders>
            <w:vAlign w:val="bottom"/>
            <w:hideMark/>
          </w:tcPr>
          <w:p w14:paraId="038446F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-125.472</w:t>
            </w:r>
          </w:p>
        </w:tc>
        <w:tc>
          <w:tcPr>
            <w:tcW w:w="1004" w:type="dxa"/>
            <w:tcBorders>
              <w:top w:val="single" w:sz="4" w:space="0" w:color="auto"/>
              <w:left w:val="nil"/>
              <w:bottom w:val="nil"/>
              <w:right w:val="nil"/>
            </w:tcBorders>
            <w:vAlign w:val="bottom"/>
            <w:hideMark/>
          </w:tcPr>
          <w:p w14:paraId="04A447D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-103.515</w:t>
            </w:r>
          </w:p>
        </w:tc>
        <w:tc>
          <w:tcPr>
            <w:tcW w:w="980" w:type="dxa"/>
            <w:tcBorders>
              <w:top w:val="single" w:sz="4" w:space="0" w:color="auto"/>
              <w:left w:val="nil"/>
              <w:bottom w:val="nil"/>
              <w:right w:val="nil"/>
            </w:tcBorders>
            <w:vAlign w:val="bottom"/>
            <w:hideMark/>
          </w:tcPr>
          <w:p w14:paraId="2D655E4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-128.027</w:t>
            </w:r>
          </w:p>
        </w:tc>
        <w:tc>
          <w:tcPr>
            <w:tcW w:w="1276" w:type="dxa"/>
            <w:tcBorders>
              <w:top w:val="single" w:sz="4" w:space="0" w:color="auto"/>
              <w:left w:val="nil"/>
              <w:bottom w:val="nil"/>
              <w:right w:val="nil"/>
            </w:tcBorders>
            <w:vAlign w:val="bottom"/>
          </w:tcPr>
          <w:p w14:paraId="24DE625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-2.51674</w:t>
            </w:r>
          </w:p>
        </w:tc>
      </w:tr>
      <w:tr w:rsidR="00295605" w:rsidRPr="00295605" w14:paraId="69E16DEB" w14:textId="77777777" w:rsidTr="00D4167D">
        <w:tc>
          <w:tcPr>
            <w:tcW w:w="1643" w:type="dxa"/>
            <w:tcBorders>
              <w:top w:val="nil"/>
              <w:left w:val="nil"/>
              <w:bottom w:val="nil"/>
              <w:right w:val="nil"/>
            </w:tcBorders>
            <w:vAlign w:val="bottom"/>
          </w:tcPr>
          <w:p w14:paraId="35BD5A4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369</w:t>
            </w:r>
          </w:p>
        </w:tc>
        <w:tc>
          <w:tcPr>
            <w:tcW w:w="1477" w:type="dxa"/>
            <w:tcBorders>
              <w:top w:val="nil"/>
              <w:left w:val="nil"/>
              <w:bottom w:val="nil"/>
              <w:right w:val="nil"/>
            </w:tcBorders>
            <w:vAlign w:val="bottom"/>
            <w:hideMark/>
          </w:tcPr>
          <w:p w14:paraId="3C3E1D2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-128.249</w:t>
            </w:r>
          </w:p>
        </w:tc>
        <w:tc>
          <w:tcPr>
            <w:tcW w:w="1004" w:type="dxa"/>
            <w:tcBorders>
              <w:top w:val="nil"/>
              <w:left w:val="nil"/>
              <w:bottom w:val="nil"/>
              <w:right w:val="nil"/>
            </w:tcBorders>
            <w:vAlign w:val="bottom"/>
            <w:hideMark/>
          </w:tcPr>
          <w:p w14:paraId="35F1689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-101.004</w:t>
            </w:r>
          </w:p>
        </w:tc>
        <w:tc>
          <w:tcPr>
            <w:tcW w:w="980" w:type="dxa"/>
            <w:tcBorders>
              <w:top w:val="nil"/>
              <w:left w:val="nil"/>
              <w:bottom w:val="nil"/>
              <w:right w:val="nil"/>
            </w:tcBorders>
            <w:vAlign w:val="bottom"/>
            <w:hideMark/>
          </w:tcPr>
          <w:p w14:paraId="09453EC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-123.105</w:t>
            </w:r>
          </w:p>
        </w:tc>
        <w:tc>
          <w:tcPr>
            <w:tcW w:w="1276" w:type="dxa"/>
            <w:tcBorders>
              <w:top w:val="nil"/>
              <w:left w:val="nil"/>
              <w:bottom w:val="nil"/>
              <w:right w:val="nil"/>
            </w:tcBorders>
            <w:vAlign w:val="bottom"/>
          </w:tcPr>
          <w:p w14:paraId="4085D8F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-0.33555</w:t>
            </w:r>
          </w:p>
        </w:tc>
      </w:tr>
      <w:tr w:rsidR="00295605" w:rsidRPr="00295605" w14:paraId="268D012B" w14:textId="77777777" w:rsidTr="00D4167D">
        <w:tc>
          <w:tcPr>
            <w:tcW w:w="1643" w:type="dxa"/>
            <w:tcBorders>
              <w:top w:val="nil"/>
              <w:left w:val="nil"/>
              <w:bottom w:val="nil"/>
              <w:right w:val="nil"/>
            </w:tcBorders>
            <w:vAlign w:val="bottom"/>
          </w:tcPr>
          <w:p w14:paraId="0842C9A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441</w:t>
            </w:r>
          </w:p>
        </w:tc>
        <w:tc>
          <w:tcPr>
            <w:tcW w:w="1477" w:type="dxa"/>
            <w:tcBorders>
              <w:top w:val="nil"/>
              <w:left w:val="nil"/>
              <w:bottom w:val="nil"/>
              <w:right w:val="nil"/>
            </w:tcBorders>
            <w:vAlign w:val="bottom"/>
            <w:hideMark/>
          </w:tcPr>
          <w:p w14:paraId="053FF4F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-126.769</w:t>
            </w:r>
          </w:p>
        </w:tc>
        <w:tc>
          <w:tcPr>
            <w:tcW w:w="1004" w:type="dxa"/>
            <w:tcBorders>
              <w:top w:val="nil"/>
              <w:left w:val="nil"/>
              <w:bottom w:val="nil"/>
              <w:right w:val="nil"/>
            </w:tcBorders>
            <w:vAlign w:val="bottom"/>
            <w:hideMark/>
          </w:tcPr>
          <w:p w14:paraId="01A5C95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-100.393</w:t>
            </w:r>
          </w:p>
        </w:tc>
        <w:tc>
          <w:tcPr>
            <w:tcW w:w="980" w:type="dxa"/>
            <w:tcBorders>
              <w:top w:val="nil"/>
              <w:left w:val="nil"/>
              <w:bottom w:val="nil"/>
              <w:right w:val="nil"/>
            </w:tcBorders>
            <w:vAlign w:val="bottom"/>
            <w:hideMark/>
          </w:tcPr>
          <w:p w14:paraId="502A53D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-125.574</w:t>
            </w:r>
          </w:p>
        </w:tc>
        <w:tc>
          <w:tcPr>
            <w:tcW w:w="1276" w:type="dxa"/>
            <w:tcBorders>
              <w:top w:val="nil"/>
              <w:left w:val="nil"/>
              <w:bottom w:val="nil"/>
              <w:right w:val="nil"/>
            </w:tcBorders>
            <w:vAlign w:val="bottom"/>
          </w:tcPr>
          <w:p w14:paraId="02DE55C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34739653" w14:textId="77777777" w:rsidTr="00D4167D">
        <w:tc>
          <w:tcPr>
            <w:tcW w:w="1643" w:type="dxa"/>
            <w:tcBorders>
              <w:top w:val="nil"/>
              <w:left w:val="nil"/>
              <w:bottom w:val="nil"/>
              <w:right w:val="nil"/>
            </w:tcBorders>
            <w:vAlign w:val="bottom"/>
          </w:tcPr>
          <w:p w14:paraId="0A72949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684</w:t>
            </w:r>
          </w:p>
        </w:tc>
        <w:tc>
          <w:tcPr>
            <w:tcW w:w="1477" w:type="dxa"/>
            <w:tcBorders>
              <w:top w:val="nil"/>
              <w:left w:val="nil"/>
              <w:bottom w:val="nil"/>
              <w:right w:val="nil"/>
            </w:tcBorders>
            <w:vAlign w:val="bottom"/>
          </w:tcPr>
          <w:p w14:paraId="68BBE1D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-117.64</w:t>
            </w:r>
          </w:p>
        </w:tc>
        <w:tc>
          <w:tcPr>
            <w:tcW w:w="1004" w:type="dxa"/>
            <w:tcBorders>
              <w:top w:val="nil"/>
              <w:left w:val="nil"/>
              <w:bottom w:val="nil"/>
              <w:right w:val="nil"/>
            </w:tcBorders>
            <w:vAlign w:val="bottom"/>
          </w:tcPr>
          <w:p w14:paraId="0AD2CAC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-100.282</w:t>
            </w:r>
          </w:p>
        </w:tc>
        <w:tc>
          <w:tcPr>
            <w:tcW w:w="980" w:type="dxa"/>
            <w:tcBorders>
              <w:top w:val="nil"/>
              <w:left w:val="nil"/>
              <w:bottom w:val="nil"/>
              <w:right w:val="nil"/>
            </w:tcBorders>
            <w:vAlign w:val="bottom"/>
          </w:tcPr>
          <w:p w14:paraId="53BAAC9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-119.71</w:t>
            </w:r>
          </w:p>
        </w:tc>
        <w:tc>
          <w:tcPr>
            <w:tcW w:w="1276" w:type="dxa"/>
            <w:tcBorders>
              <w:top w:val="nil"/>
              <w:left w:val="nil"/>
              <w:bottom w:val="nil"/>
              <w:right w:val="nil"/>
            </w:tcBorders>
            <w:vAlign w:val="bottom"/>
          </w:tcPr>
          <w:p w14:paraId="3B7C8E80"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-0.12375</w:t>
            </w:r>
          </w:p>
        </w:tc>
      </w:tr>
      <w:tr w:rsidR="00295605" w:rsidRPr="00295605" w14:paraId="614ADE37" w14:textId="77777777" w:rsidTr="00D4167D">
        <w:tc>
          <w:tcPr>
            <w:tcW w:w="1643" w:type="dxa"/>
            <w:tcBorders>
              <w:top w:val="nil"/>
              <w:left w:val="nil"/>
              <w:bottom w:val="nil"/>
              <w:right w:val="nil"/>
            </w:tcBorders>
            <w:vAlign w:val="bottom"/>
          </w:tcPr>
          <w:p w14:paraId="515AAF1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588</w:t>
            </w:r>
          </w:p>
        </w:tc>
        <w:tc>
          <w:tcPr>
            <w:tcW w:w="1477" w:type="dxa"/>
            <w:tcBorders>
              <w:top w:val="nil"/>
              <w:left w:val="nil"/>
              <w:bottom w:val="nil"/>
              <w:right w:val="nil"/>
            </w:tcBorders>
            <w:vAlign w:val="bottom"/>
          </w:tcPr>
          <w:p w14:paraId="1EFCD7E2"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-118.382</w:t>
            </w:r>
          </w:p>
        </w:tc>
        <w:tc>
          <w:tcPr>
            <w:tcW w:w="1004" w:type="dxa"/>
            <w:tcBorders>
              <w:top w:val="nil"/>
              <w:left w:val="nil"/>
              <w:bottom w:val="nil"/>
              <w:right w:val="nil"/>
            </w:tcBorders>
            <w:vAlign w:val="bottom"/>
          </w:tcPr>
          <w:p w14:paraId="64F2C59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-99.964</w:t>
            </w:r>
          </w:p>
        </w:tc>
        <w:tc>
          <w:tcPr>
            <w:tcW w:w="980" w:type="dxa"/>
            <w:tcBorders>
              <w:top w:val="nil"/>
              <w:left w:val="nil"/>
              <w:bottom w:val="nil"/>
              <w:right w:val="nil"/>
            </w:tcBorders>
            <w:vAlign w:val="bottom"/>
          </w:tcPr>
          <w:p w14:paraId="5093903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-115.651</w:t>
            </w:r>
          </w:p>
        </w:tc>
        <w:tc>
          <w:tcPr>
            <w:tcW w:w="1276" w:type="dxa"/>
            <w:tcBorders>
              <w:top w:val="nil"/>
              <w:left w:val="nil"/>
              <w:bottom w:val="nil"/>
              <w:right w:val="nil"/>
            </w:tcBorders>
            <w:vAlign w:val="bottom"/>
          </w:tcPr>
          <w:p w14:paraId="4811788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w:t>
            </w:r>
          </w:p>
        </w:tc>
      </w:tr>
      <w:tr w:rsidR="00295605" w:rsidRPr="00295605" w14:paraId="25353FCE" w14:textId="77777777" w:rsidTr="00D4167D">
        <w:tc>
          <w:tcPr>
            <w:tcW w:w="1643" w:type="dxa"/>
            <w:tcBorders>
              <w:top w:val="nil"/>
              <w:left w:val="nil"/>
              <w:bottom w:val="nil"/>
              <w:right w:val="nil"/>
            </w:tcBorders>
            <w:vAlign w:val="bottom"/>
          </w:tcPr>
          <w:p w14:paraId="103BBCC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581</w:t>
            </w:r>
          </w:p>
        </w:tc>
        <w:tc>
          <w:tcPr>
            <w:tcW w:w="1477" w:type="dxa"/>
            <w:tcBorders>
              <w:top w:val="nil"/>
              <w:left w:val="nil"/>
              <w:bottom w:val="nil"/>
              <w:right w:val="nil"/>
            </w:tcBorders>
            <w:vAlign w:val="bottom"/>
          </w:tcPr>
          <w:p w14:paraId="5EC5B4C5"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-116.856</w:t>
            </w:r>
          </w:p>
        </w:tc>
        <w:tc>
          <w:tcPr>
            <w:tcW w:w="1004" w:type="dxa"/>
            <w:tcBorders>
              <w:top w:val="nil"/>
              <w:left w:val="nil"/>
              <w:bottom w:val="nil"/>
              <w:right w:val="nil"/>
            </w:tcBorders>
            <w:vAlign w:val="bottom"/>
          </w:tcPr>
          <w:p w14:paraId="61B4D64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-99.7643</w:t>
            </w:r>
          </w:p>
        </w:tc>
        <w:tc>
          <w:tcPr>
            <w:tcW w:w="980" w:type="dxa"/>
            <w:tcBorders>
              <w:top w:val="nil"/>
              <w:left w:val="nil"/>
              <w:bottom w:val="nil"/>
              <w:right w:val="nil"/>
            </w:tcBorders>
            <w:vAlign w:val="bottom"/>
          </w:tcPr>
          <w:p w14:paraId="718D9DD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-116.979</w:t>
            </w:r>
          </w:p>
        </w:tc>
        <w:tc>
          <w:tcPr>
            <w:tcW w:w="1276" w:type="dxa"/>
            <w:tcBorders>
              <w:top w:val="nil"/>
              <w:left w:val="nil"/>
              <w:bottom w:val="nil"/>
              <w:right w:val="nil"/>
            </w:tcBorders>
            <w:vAlign w:val="bottom"/>
          </w:tcPr>
          <w:p w14:paraId="60EDFDF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-1.86483</w:t>
            </w:r>
          </w:p>
        </w:tc>
      </w:tr>
      <w:tr w:rsidR="00295605" w:rsidRPr="00295605" w14:paraId="76DE5A58" w14:textId="77777777" w:rsidTr="00D4167D">
        <w:tc>
          <w:tcPr>
            <w:tcW w:w="1643" w:type="dxa"/>
            <w:tcBorders>
              <w:top w:val="nil"/>
              <w:left w:val="nil"/>
              <w:bottom w:val="nil"/>
              <w:right w:val="nil"/>
            </w:tcBorders>
            <w:vAlign w:val="bottom"/>
          </w:tcPr>
          <w:p w14:paraId="06DD8F7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lastRenderedPageBreak/>
              <w:t>167</w:t>
            </w:r>
          </w:p>
        </w:tc>
        <w:tc>
          <w:tcPr>
            <w:tcW w:w="1477" w:type="dxa"/>
            <w:tcBorders>
              <w:top w:val="nil"/>
              <w:left w:val="nil"/>
              <w:bottom w:val="nil"/>
              <w:right w:val="nil"/>
            </w:tcBorders>
            <w:vAlign w:val="bottom"/>
          </w:tcPr>
          <w:p w14:paraId="7CD5829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-118.175</w:t>
            </w:r>
          </w:p>
        </w:tc>
        <w:tc>
          <w:tcPr>
            <w:tcW w:w="1004" w:type="dxa"/>
            <w:tcBorders>
              <w:top w:val="nil"/>
              <w:left w:val="nil"/>
              <w:bottom w:val="nil"/>
              <w:right w:val="nil"/>
            </w:tcBorders>
            <w:vAlign w:val="bottom"/>
          </w:tcPr>
          <w:p w14:paraId="2600148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-99.6777</w:t>
            </w:r>
          </w:p>
        </w:tc>
        <w:tc>
          <w:tcPr>
            <w:tcW w:w="980" w:type="dxa"/>
            <w:tcBorders>
              <w:top w:val="nil"/>
              <w:left w:val="nil"/>
              <w:bottom w:val="nil"/>
              <w:right w:val="nil"/>
            </w:tcBorders>
            <w:vAlign w:val="bottom"/>
          </w:tcPr>
          <w:p w14:paraId="6C205D1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-120.884</w:t>
            </w:r>
          </w:p>
        </w:tc>
        <w:tc>
          <w:tcPr>
            <w:tcW w:w="1276" w:type="dxa"/>
            <w:tcBorders>
              <w:top w:val="nil"/>
              <w:left w:val="nil"/>
              <w:bottom w:val="nil"/>
              <w:right w:val="nil"/>
            </w:tcBorders>
            <w:vAlign w:val="bottom"/>
          </w:tcPr>
          <w:p w14:paraId="309FA08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-2.5</w:t>
            </w:r>
          </w:p>
        </w:tc>
      </w:tr>
      <w:tr w:rsidR="00295605" w:rsidRPr="00295605" w14:paraId="323DA211" w14:textId="77777777" w:rsidTr="00D4167D">
        <w:tc>
          <w:tcPr>
            <w:tcW w:w="1643" w:type="dxa"/>
            <w:tcBorders>
              <w:top w:val="nil"/>
              <w:left w:val="nil"/>
              <w:bottom w:val="nil"/>
              <w:right w:val="nil"/>
            </w:tcBorders>
            <w:vAlign w:val="bottom"/>
          </w:tcPr>
          <w:p w14:paraId="4B3CD31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380</w:t>
            </w:r>
          </w:p>
        </w:tc>
        <w:tc>
          <w:tcPr>
            <w:tcW w:w="1477" w:type="dxa"/>
            <w:tcBorders>
              <w:top w:val="nil"/>
              <w:left w:val="nil"/>
              <w:bottom w:val="nil"/>
              <w:right w:val="nil"/>
            </w:tcBorders>
            <w:vAlign w:val="bottom"/>
          </w:tcPr>
          <w:p w14:paraId="777BBDC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-128.022</w:t>
            </w:r>
          </w:p>
        </w:tc>
        <w:tc>
          <w:tcPr>
            <w:tcW w:w="1004" w:type="dxa"/>
            <w:tcBorders>
              <w:top w:val="nil"/>
              <w:left w:val="nil"/>
              <w:bottom w:val="nil"/>
              <w:right w:val="nil"/>
            </w:tcBorders>
            <w:vAlign w:val="bottom"/>
          </w:tcPr>
          <w:p w14:paraId="612D392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-99.4894</w:t>
            </w:r>
          </w:p>
        </w:tc>
        <w:tc>
          <w:tcPr>
            <w:tcW w:w="980" w:type="dxa"/>
            <w:tcBorders>
              <w:top w:val="nil"/>
              <w:left w:val="nil"/>
              <w:bottom w:val="nil"/>
              <w:right w:val="nil"/>
            </w:tcBorders>
            <w:vAlign w:val="bottom"/>
          </w:tcPr>
          <w:p w14:paraId="1EF5E1A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-126.264</w:t>
            </w:r>
          </w:p>
        </w:tc>
        <w:tc>
          <w:tcPr>
            <w:tcW w:w="1276" w:type="dxa"/>
            <w:tcBorders>
              <w:top w:val="nil"/>
              <w:left w:val="nil"/>
              <w:bottom w:val="nil"/>
              <w:right w:val="nil"/>
            </w:tcBorders>
            <w:vAlign w:val="bottom"/>
          </w:tcPr>
          <w:p w14:paraId="59DDEF99"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-2.42776</w:t>
            </w:r>
          </w:p>
        </w:tc>
      </w:tr>
      <w:tr w:rsidR="00295605" w:rsidRPr="00295605" w14:paraId="0E03B229" w14:textId="77777777" w:rsidTr="00D4167D">
        <w:tc>
          <w:tcPr>
            <w:tcW w:w="1643" w:type="dxa"/>
            <w:tcBorders>
              <w:top w:val="nil"/>
              <w:left w:val="nil"/>
              <w:bottom w:val="nil"/>
              <w:right w:val="nil"/>
            </w:tcBorders>
            <w:vAlign w:val="bottom"/>
          </w:tcPr>
          <w:p w14:paraId="017F25B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419</w:t>
            </w:r>
          </w:p>
        </w:tc>
        <w:tc>
          <w:tcPr>
            <w:tcW w:w="1477" w:type="dxa"/>
            <w:tcBorders>
              <w:top w:val="nil"/>
              <w:left w:val="nil"/>
              <w:bottom w:val="nil"/>
              <w:right w:val="nil"/>
            </w:tcBorders>
            <w:vAlign w:val="bottom"/>
          </w:tcPr>
          <w:p w14:paraId="05D6B886"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-119.851</w:t>
            </w:r>
          </w:p>
        </w:tc>
        <w:tc>
          <w:tcPr>
            <w:tcW w:w="1004" w:type="dxa"/>
            <w:tcBorders>
              <w:top w:val="nil"/>
              <w:left w:val="nil"/>
              <w:bottom w:val="nil"/>
              <w:right w:val="nil"/>
            </w:tcBorders>
            <w:vAlign w:val="bottom"/>
          </w:tcPr>
          <w:p w14:paraId="19719465"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-99.4083</w:t>
            </w:r>
          </w:p>
        </w:tc>
        <w:tc>
          <w:tcPr>
            <w:tcW w:w="980" w:type="dxa"/>
            <w:tcBorders>
              <w:top w:val="nil"/>
              <w:left w:val="nil"/>
              <w:bottom w:val="nil"/>
              <w:right w:val="nil"/>
            </w:tcBorders>
            <w:vAlign w:val="bottom"/>
          </w:tcPr>
          <w:p w14:paraId="3556B00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-121.561</w:t>
            </w:r>
          </w:p>
        </w:tc>
        <w:tc>
          <w:tcPr>
            <w:tcW w:w="1276" w:type="dxa"/>
            <w:tcBorders>
              <w:top w:val="nil"/>
              <w:left w:val="nil"/>
              <w:bottom w:val="nil"/>
              <w:right w:val="nil"/>
            </w:tcBorders>
            <w:vAlign w:val="bottom"/>
          </w:tcPr>
          <w:p w14:paraId="59AAF19B"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-1.63658</w:t>
            </w:r>
          </w:p>
        </w:tc>
      </w:tr>
      <w:tr w:rsidR="00295605" w:rsidRPr="00295605" w14:paraId="2146C7C3" w14:textId="77777777" w:rsidTr="00D4167D">
        <w:tc>
          <w:tcPr>
            <w:tcW w:w="1643" w:type="dxa"/>
            <w:tcBorders>
              <w:top w:val="nil"/>
              <w:left w:val="nil"/>
              <w:bottom w:val="nil"/>
              <w:right w:val="nil"/>
            </w:tcBorders>
            <w:vAlign w:val="bottom"/>
          </w:tcPr>
          <w:p w14:paraId="3ED6831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445</w:t>
            </w:r>
          </w:p>
        </w:tc>
        <w:tc>
          <w:tcPr>
            <w:tcW w:w="1477" w:type="dxa"/>
            <w:tcBorders>
              <w:top w:val="nil"/>
              <w:left w:val="nil"/>
              <w:bottom w:val="nil"/>
              <w:right w:val="nil"/>
            </w:tcBorders>
            <w:vAlign w:val="bottom"/>
          </w:tcPr>
          <w:p w14:paraId="467106E4"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-120.744</w:t>
            </w:r>
          </w:p>
        </w:tc>
        <w:tc>
          <w:tcPr>
            <w:tcW w:w="1004" w:type="dxa"/>
            <w:tcBorders>
              <w:top w:val="nil"/>
              <w:left w:val="nil"/>
              <w:bottom w:val="nil"/>
              <w:right w:val="nil"/>
            </w:tcBorders>
            <w:vAlign w:val="bottom"/>
          </w:tcPr>
          <w:p w14:paraId="79222F5E"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-99.3561</w:t>
            </w:r>
          </w:p>
        </w:tc>
        <w:tc>
          <w:tcPr>
            <w:tcW w:w="980" w:type="dxa"/>
            <w:tcBorders>
              <w:top w:val="nil"/>
              <w:left w:val="nil"/>
              <w:bottom w:val="nil"/>
              <w:right w:val="nil"/>
            </w:tcBorders>
            <w:vAlign w:val="bottom"/>
          </w:tcPr>
          <w:p w14:paraId="2F80217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-125.193</w:t>
            </w:r>
          </w:p>
        </w:tc>
        <w:tc>
          <w:tcPr>
            <w:tcW w:w="1276" w:type="dxa"/>
            <w:tcBorders>
              <w:top w:val="nil"/>
              <w:left w:val="nil"/>
              <w:bottom w:val="nil"/>
              <w:right w:val="nil"/>
            </w:tcBorders>
            <w:vAlign w:val="bottom"/>
          </w:tcPr>
          <w:p w14:paraId="61916118"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-0.30838</w:t>
            </w:r>
          </w:p>
        </w:tc>
      </w:tr>
      <w:tr w:rsidR="00295605" w:rsidRPr="00295605" w14:paraId="4ED7CF19" w14:textId="77777777" w:rsidTr="00D4167D">
        <w:tc>
          <w:tcPr>
            <w:tcW w:w="1643" w:type="dxa"/>
            <w:tcBorders>
              <w:top w:val="nil"/>
              <w:left w:val="nil"/>
              <w:bottom w:val="nil"/>
              <w:right w:val="nil"/>
            </w:tcBorders>
            <w:vAlign w:val="bottom"/>
          </w:tcPr>
          <w:p w14:paraId="336A48DA" w14:textId="77777777" w:rsidR="00295605" w:rsidRPr="00295605" w:rsidRDefault="00295605" w:rsidP="00295605">
            <w:pPr>
              <w:spacing w:line="240" w:lineRule="auto"/>
              <w:jc w:val="center"/>
              <w:rPr>
                <w:rFonts w:eastAsia="Times New Roman"/>
                <w:sz w:val="22"/>
                <w:szCs w:val="22"/>
                <w:lang w:eastAsia="en-IN"/>
              </w:rPr>
            </w:pPr>
            <w:r w:rsidRPr="00295605">
              <w:rPr>
                <w:rFonts w:eastAsia="Times New Roman"/>
                <w:lang w:eastAsia="en-IN"/>
              </w:rPr>
              <w:t>ROSUVASTATIN</w:t>
            </w:r>
          </w:p>
        </w:tc>
        <w:tc>
          <w:tcPr>
            <w:tcW w:w="1477" w:type="dxa"/>
            <w:tcBorders>
              <w:top w:val="nil"/>
              <w:left w:val="nil"/>
              <w:bottom w:val="nil"/>
              <w:right w:val="nil"/>
            </w:tcBorders>
            <w:vAlign w:val="bottom"/>
          </w:tcPr>
          <w:p w14:paraId="0F7991D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-123.491</w:t>
            </w:r>
          </w:p>
        </w:tc>
        <w:tc>
          <w:tcPr>
            <w:tcW w:w="1004" w:type="dxa"/>
            <w:tcBorders>
              <w:top w:val="nil"/>
              <w:left w:val="nil"/>
              <w:bottom w:val="nil"/>
              <w:right w:val="nil"/>
            </w:tcBorders>
            <w:vAlign w:val="bottom"/>
          </w:tcPr>
          <w:p w14:paraId="45DC92E3"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-76.9423</w:t>
            </w:r>
          </w:p>
        </w:tc>
        <w:tc>
          <w:tcPr>
            <w:tcW w:w="980" w:type="dxa"/>
            <w:tcBorders>
              <w:top w:val="nil"/>
              <w:left w:val="nil"/>
              <w:bottom w:val="nil"/>
              <w:right w:val="nil"/>
            </w:tcBorders>
            <w:vAlign w:val="bottom"/>
          </w:tcPr>
          <w:p w14:paraId="39FBE7A1"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-124.988</w:t>
            </w:r>
          </w:p>
        </w:tc>
        <w:tc>
          <w:tcPr>
            <w:tcW w:w="1276" w:type="dxa"/>
            <w:tcBorders>
              <w:top w:val="nil"/>
              <w:left w:val="nil"/>
              <w:bottom w:val="nil"/>
              <w:right w:val="nil"/>
            </w:tcBorders>
            <w:vAlign w:val="bottom"/>
          </w:tcPr>
          <w:p w14:paraId="0FF1EB2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-6.53476</w:t>
            </w:r>
          </w:p>
        </w:tc>
      </w:tr>
      <w:tr w:rsidR="00295605" w:rsidRPr="00295605" w14:paraId="4B53994C" w14:textId="77777777" w:rsidTr="00D4167D">
        <w:tc>
          <w:tcPr>
            <w:tcW w:w="1643" w:type="dxa"/>
            <w:tcBorders>
              <w:top w:val="nil"/>
              <w:left w:val="nil"/>
              <w:bottom w:val="nil"/>
              <w:right w:val="nil"/>
            </w:tcBorders>
            <w:vAlign w:val="bottom"/>
          </w:tcPr>
          <w:p w14:paraId="4830E34C" w14:textId="77777777" w:rsidR="00295605" w:rsidRPr="00295605" w:rsidRDefault="00295605" w:rsidP="00295605">
            <w:pPr>
              <w:spacing w:line="240" w:lineRule="auto"/>
              <w:jc w:val="center"/>
              <w:rPr>
                <w:rFonts w:eastAsia="Times New Roman"/>
                <w:sz w:val="22"/>
                <w:szCs w:val="22"/>
                <w:lang w:eastAsia="en-IN"/>
              </w:rPr>
            </w:pPr>
            <w:r w:rsidRPr="00295605">
              <w:rPr>
                <w:rFonts w:eastAsia="Times New Roman"/>
                <w:lang w:eastAsia="en-IN"/>
              </w:rPr>
              <w:t>EZELIMIBE</w:t>
            </w:r>
          </w:p>
        </w:tc>
        <w:tc>
          <w:tcPr>
            <w:tcW w:w="1477" w:type="dxa"/>
            <w:tcBorders>
              <w:top w:val="nil"/>
              <w:left w:val="nil"/>
              <w:bottom w:val="nil"/>
              <w:right w:val="nil"/>
            </w:tcBorders>
            <w:vAlign w:val="bottom"/>
          </w:tcPr>
          <w:p w14:paraId="168CC60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-117.424</w:t>
            </w:r>
          </w:p>
        </w:tc>
        <w:tc>
          <w:tcPr>
            <w:tcW w:w="1004" w:type="dxa"/>
            <w:tcBorders>
              <w:top w:val="nil"/>
              <w:left w:val="nil"/>
              <w:bottom w:val="nil"/>
              <w:right w:val="nil"/>
            </w:tcBorders>
            <w:vAlign w:val="bottom"/>
          </w:tcPr>
          <w:p w14:paraId="3196F30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-82.5165</w:t>
            </w:r>
          </w:p>
        </w:tc>
        <w:tc>
          <w:tcPr>
            <w:tcW w:w="980" w:type="dxa"/>
            <w:tcBorders>
              <w:top w:val="nil"/>
              <w:left w:val="nil"/>
              <w:bottom w:val="nil"/>
              <w:right w:val="nil"/>
            </w:tcBorders>
            <w:vAlign w:val="bottom"/>
          </w:tcPr>
          <w:p w14:paraId="06F7567A"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-131.533</w:t>
            </w:r>
          </w:p>
        </w:tc>
        <w:tc>
          <w:tcPr>
            <w:tcW w:w="1276" w:type="dxa"/>
            <w:tcBorders>
              <w:top w:val="nil"/>
              <w:left w:val="nil"/>
              <w:bottom w:val="nil"/>
              <w:right w:val="nil"/>
            </w:tcBorders>
            <w:vAlign w:val="bottom"/>
          </w:tcPr>
          <w:p w14:paraId="59BD397F"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-1.71518</w:t>
            </w:r>
          </w:p>
        </w:tc>
      </w:tr>
      <w:tr w:rsidR="00295605" w:rsidRPr="00295605" w14:paraId="010D2B74" w14:textId="77777777" w:rsidTr="00D4167D">
        <w:tc>
          <w:tcPr>
            <w:tcW w:w="1643" w:type="dxa"/>
            <w:tcBorders>
              <w:top w:val="nil"/>
              <w:left w:val="nil"/>
              <w:bottom w:val="nil"/>
              <w:right w:val="nil"/>
            </w:tcBorders>
            <w:vAlign w:val="bottom"/>
          </w:tcPr>
          <w:p w14:paraId="612CE27B" w14:textId="77777777" w:rsidR="00295605" w:rsidRPr="00295605" w:rsidRDefault="00295605" w:rsidP="00295605">
            <w:pPr>
              <w:spacing w:line="240" w:lineRule="auto"/>
              <w:jc w:val="center"/>
              <w:rPr>
                <w:rFonts w:eastAsia="Times New Roman"/>
                <w:sz w:val="22"/>
                <w:szCs w:val="22"/>
                <w:lang w:eastAsia="en-IN"/>
              </w:rPr>
            </w:pPr>
            <w:r w:rsidRPr="00295605">
              <w:rPr>
                <w:rFonts w:eastAsia="Times New Roman"/>
                <w:lang w:eastAsia="en-IN"/>
              </w:rPr>
              <w:t>ATORVASTATIN</w:t>
            </w:r>
          </w:p>
        </w:tc>
        <w:tc>
          <w:tcPr>
            <w:tcW w:w="1477" w:type="dxa"/>
            <w:tcBorders>
              <w:top w:val="nil"/>
              <w:left w:val="nil"/>
              <w:bottom w:val="nil"/>
              <w:right w:val="nil"/>
            </w:tcBorders>
            <w:vAlign w:val="bottom"/>
          </w:tcPr>
          <w:p w14:paraId="11F97BC7"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-149.563</w:t>
            </w:r>
          </w:p>
        </w:tc>
        <w:tc>
          <w:tcPr>
            <w:tcW w:w="1004" w:type="dxa"/>
            <w:tcBorders>
              <w:top w:val="nil"/>
              <w:left w:val="nil"/>
              <w:bottom w:val="nil"/>
              <w:right w:val="nil"/>
            </w:tcBorders>
            <w:vAlign w:val="bottom"/>
          </w:tcPr>
          <w:p w14:paraId="2B0E34C5"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-94.612</w:t>
            </w:r>
          </w:p>
        </w:tc>
        <w:tc>
          <w:tcPr>
            <w:tcW w:w="980" w:type="dxa"/>
            <w:tcBorders>
              <w:top w:val="nil"/>
              <w:left w:val="nil"/>
              <w:bottom w:val="nil"/>
              <w:right w:val="nil"/>
            </w:tcBorders>
            <w:vAlign w:val="bottom"/>
          </w:tcPr>
          <w:p w14:paraId="5B0B3B3D"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-133.755</w:t>
            </w:r>
          </w:p>
        </w:tc>
        <w:tc>
          <w:tcPr>
            <w:tcW w:w="1276" w:type="dxa"/>
            <w:tcBorders>
              <w:top w:val="nil"/>
              <w:left w:val="nil"/>
              <w:bottom w:val="nil"/>
              <w:right w:val="nil"/>
            </w:tcBorders>
            <w:vAlign w:val="bottom"/>
          </w:tcPr>
          <w:p w14:paraId="58EC6C8C" w14:textId="77777777" w:rsidR="00295605" w:rsidRPr="00295605" w:rsidRDefault="00295605" w:rsidP="00295605">
            <w:pPr>
              <w:spacing w:line="240" w:lineRule="auto"/>
              <w:jc w:val="center"/>
              <w:rPr>
                <w:rFonts w:eastAsia="Times New Roman" w:cs="Calibri"/>
                <w:sz w:val="22"/>
                <w:szCs w:val="22"/>
                <w:lang w:eastAsia="en-IN"/>
              </w:rPr>
            </w:pPr>
            <w:r w:rsidRPr="00295605">
              <w:rPr>
                <w:rFonts w:eastAsia="Times New Roman" w:cs="Calibri"/>
                <w:lang w:eastAsia="en-IN"/>
              </w:rPr>
              <w:t>-3.1509</w:t>
            </w:r>
          </w:p>
        </w:tc>
      </w:tr>
    </w:tbl>
    <w:p w14:paraId="7148A687"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678A23E9" wp14:editId="39909496">
            <wp:extent cx="504825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057400"/>
                    </a:xfrm>
                    <a:prstGeom prst="rect">
                      <a:avLst/>
                    </a:prstGeom>
                    <a:noFill/>
                    <a:ln>
                      <a:noFill/>
                    </a:ln>
                  </pic:spPr>
                </pic:pic>
              </a:graphicData>
            </a:graphic>
          </wp:inline>
        </w:drawing>
      </w:r>
    </w:p>
    <w:p w14:paraId="0B297B63" w14:textId="77777777" w:rsidR="00295605" w:rsidRPr="00295605" w:rsidRDefault="00295605" w:rsidP="00295605">
      <w:pPr>
        <w:spacing w:after="200" w:line="240" w:lineRule="auto"/>
        <w:jc w:val="center"/>
        <w:rPr>
          <w:b/>
          <w:bCs/>
          <w:color w:val="auto"/>
          <w:sz w:val="18"/>
          <w:szCs w:val="18"/>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3</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molecule code 444 docked with 1ezf Visualized throuth MVD and Biovia Visualizer software. A) 3D model. B) 2Dpose model.</w:t>
      </w:r>
    </w:p>
    <w:p w14:paraId="516F4B06"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7AA10A64" wp14:editId="0F189E9C">
            <wp:extent cx="51943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00" cy="1943100"/>
                    </a:xfrm>
                    <a:prstGeom prst="rect">
                      <a:avLst/>
                    </a:prstGeom>
                    <a:noFill/>
                    <a:ln>
                      <a:noFill/>
                    </a:ln>
                  </pic:spPr>
                </pic:pic>
              </a:graphicData>
            </a:graphic>
          </wp:inline>
        </w:drawing>
      </w:r>
    </w:p>
    <w:p w14:paraId="359DF8A7"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4</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standard molecule Atorvastatin docked with 1ezf Visualized throuth MVD and Biovia Visualizer software. A) 3D model. B) 2Dpose model.</w:t>
      </w:r>
    </w:p>
    <w:p w14:paraId="0858DF7C" w14:textId="77777777" w:rsidR="00295605" w:rsidRPr="00295605" w:rsidRDefault="00295605" w:rsidP="00295605">
      <w:pPr>
        <w:spacing w:after="200" w:line="240" w:lineRule="auto"/>
        <w:rPr>
          <w:rFonts w:eastAsia="Times New Roman"/>
          <w:b/>
          <w:bCs/>
          <w:noProof w:val="0"/>
          <w:snapToGrid w:val="0"/>
          <w:color w:val="auto"/>
          <w:sz w:val="18"/>
          <w:szCs w:val="18"/>
          <w:lang w:val="en-IN" w:eastAsia="de-DE" w:bidi="en-US"/>
        </w:rPr>
      </w:pPr>
    </w:p>
    <w:p w14:paraId="54825018"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lastRenderedPageBreak/>
        <w:drawing>
          <wp:inline distT="0" distB="0" distL="0" distR="0" wp14:anchorId="3E8978F3" wp14:editId="3AF1D78C">
            <wp:extent cx="5118100" cy="2114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0" cy="2114550"/>
                    </a:xfrm>
                    <a:prstGeom prst="rect">
                      <a:avLst/>
                    </a:prstGeom>
                    <a:noFill/>
                    <a:ln>
                      <a:noFill/>
                    </a:ln>
                  </pic:spPr>
                </pic:pic>
              </a:graphicData>
            </a:graphic>
          </wp:inline>
        </w:drawing>
      </w:r>
    </w:p>
    <w:p w14:paraId="26477D77"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5</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molecule code 419 docked with 1osh Visualized throuth MVD and Biovia Visualizer software. A) 3D model. B) 2Dpose model.</w:t>
      </w:r>
    </w:p>
    <w:p w14:paraId="1FA5026B" w14:textId="77777777" w:rsidR="00295605" w:rsidRPr="00295605" w:rsidRDefault="00295605" w:rsidP="00295605">
      <w:pPr>
        <w:keepNext/>
        <w:adjustRightInd w:val="0"/>
        <w:snapToGrid w:val="0"/>
        <w:spacing w:before="240" w:after="120" w:line="240" w:lineRule="auto"/>
        <w:jc w:val="right"/>
        <w:rPr>
          <w:rFonts w:eastAsia="Times New Roman"/>
          <w:noProof w:val="0"/>
          <w:snapToGrid w:val="0"/>
          <w:lang w:eastAsia="de-DE" w:bidi="en-US"/>
        </w:rPr>
      </w:pPr>
      <w:r w:rsidRPr="00295605">
        <w:rPr>
          <w:rFonts w:eastAsia="Times New Roman"/>
          <w:b/>
          <w:snapToGrid w:val="0"/>
          <w:lang w:eastAsia="en-US"/>
        </w:rPr>
        <w:drawing>
          <wp:inline distT="0" distB="0" distL="0" distR="0" wp14:anchorId="6AE6E475" wp14:editId="36D74B19">
            <wp:extent cx="5162550" cy="2108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2108200"/>
                    </a:xfrm>
                    <a:prstGeom prst="rect">
                      <a:avLst/>
                    </a:prstGeom>
                    <a:noFill/>
                    <a:ln>
                      <a:noFill/>
                    </a:ln>
                  </pic:spPr>
                </pic:pic>
              </a:graphicData>
            </a:graphic>
          </wp:inline>
        </w:drawing>
      </w:r>
    </w:p>
    <w:p w14:paraId="185A8197"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6</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standard molecule Atorvastatin docked with 1osh Visualized throuth MVD and Biovia Visualizer software. A) 3D model. B) 2Dpose model.</w:t>
      </w:r>
    </w:p>
    <w:p w14:paraId="632A329A"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7C68DBD0" wp14:editId="5DC5C3AE">
            <wp:extent cx="5067300" cy="1841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1841500"/>
                    </a:xfrm>
                    <a:prstGeom prst="rect">
                      <a:avLst/>
                    </a:prstGeom>
                    <a:noFill/>
                    <a:ln>
                      <a:noFill/>
                    </a:ln>
                  </pic:spPr>
                </pic:pic>
              </a:graphicData>
            </a:graphic>
          </wp:inline>
        </w:drawing>
      </w:r>
    </w:p>
    <w:p w14:paraId="64E4395A"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7</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molecule code 380 docked with 2znn Visualized throuth MVD and Biovia Visualizer software. A) 3D model. B) 2Dpose model.</w:t>
      </w:r>
    </w:p>
    <w:p w14:paraId="227911C1" w14:textId="77777777" w:rsidR="00295605" w:rsidRPr="00295605" w:rsidRDefault="00295605" w:rsidP="00295605">
      <w:pPr>
        <w:spacing w:after="200" w:line="240" w:lineRule="auto"/>
        <w:jc w:val="left"/>
        <w:rPr>
          <w:bCs/>
          <w:color w:val="4472C4"/>
          <w:sz w:val="18"/>
          <w:szCs w:val="18"/>
          <w:lang w:val="en-IN"/>
        </w:rPr>
      </w:pPr>
    </w:p>
    <w:p w14:paraId="19AAEDB6"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lastRenderedPageBreak/>
        <w:drawing>
          <wp:inline distT="0" distB="0" distL="0" distR="0" wp14:anchorId="06F0D3A4" wp14:editId="5FF3DD7E">
            <wp:extent cx="5048250" cy="1898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1898650"/>
                    </a:xfrm>
                    <a:prstGeom prst="rect">
                      <a:avLst/>
                    </a:prstGeom>
                    <a:noFill/>
                    <a:ln>
                      <a:noFill/>
                    </a:ln>
                  </pic:spPr>
                </pic:pic>
              </a:graphicData>
            </a:graphic>
          </wp:inline>
        </w:drawing>
      </w:r>
    </w:p>
    <w:p w14:paraId="4D6E155D"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8</w:t>
      </w:r>
      <w:r w:rsidRPr="00295605">
        <w:rPr>
          <w:b/>
          <w:bCs/>
          <w:color w:val="auto"/>
          <w:sz w:val="18"/>
          <w:szCs w:val="18"/>
        </w:rPr>
        <w:fldChar w:fldCharType="end"/>
      </w:r>
      <w:r w:rsidRPr="00295605">
        <w:rPr>
          <w:b/>
          <w:i/>
          <w:color w:val="auto"/>
          <w:sz w:val="18"/>
          <w:lang w:val="en-IN"/>
        </w:rPr>
        <w:t xml:space="preserve"> </w:t>
      </w:r>
      <w:r w:rsidRPr="00295605">
        <w:rPr>
          <w:bCs/>
          <w:color w:val="auto"/>
          <w:sz w:val="18"/>
          <w:szCs w:val="18"/>
          <w:lang w:val="en-IN"/>
        </w:rPr>
        <w:t>Docking image of the standard molecule Atorvastatin docked with 2znn Visualized throuth MVD and Biovia Visualizer software. A) 3D model. B) 2Dpose model.</w:t>
      </w:r>
    </w:p>
    <w:p w14:paraId="13367E1C"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29851D57" wp14:editId="72C36207">
            <wp:extent cx="5143500" cy="2051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051050"/>
                    </a:xfrm>
                    <a:prstGeom prst="rect">
                      <a:avLst/>
                    </a:prstGeom>
                    <a:noFill/>
                    <a:ln>
                      <a:noFill/>
                    </a:ln>
                  </pic:spPr>
                </pic:pic>
              </a:graphicData>
            </a:graphic>
          </wp:inline>
        </w:drawing>
      </w:r>
    </w:p>
    <w:p w14:paraId="2C90AC2C"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9</w:t>
      </w:r>
      <w:r w:rsidRPr="00295605">
        <w:rPr>
          <w:b/>
          <w:bCs/>
          <w:color w:val="auto"/>
          <w:sz w:val="18"/>
          <w:szCs w:val="18"/>
        </w:rPr>
        <w:fldChar w:fldCharType="end"/>
      </w:r>
      <w:r w:rsidRPr="00295605">
        <w:rPr>
          <w:color w:val="auto"/>
          <w:sz w:val="18"/>
          <w:szCs w:val="18"/>
          <w:lang w:val="en-IN"/>
        </w:rPr>
        <w:t xml:space="preserve"> </w:t>
      </w:r>
      <w:r w:rsidRPr="00295605">
        <w:rPr>
          <w:bCs/>
          <w:color w:val="auto"/>
          <w:sz w:val="18"/>
          <w:szCs w:val="18"/>
          <w:lang w:val="en-IN"/>
        </w:rPr>
        <w:t>Docking image of the molecule code 366 docked with 2znq Visualized throuth MVD and Biovia Visualizer software. A) 3D model. B) 2Dpose model.</w:t>
      </w:r>
    </w:p>
    <w:p w14:paraId="4529F012"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4C949510" wp14:editId="7B275DA7">
            <wp:extent cx="5060950" cy="19177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50" cy="1917700"/>
                    </a:xfrm>
                    <a:prstGeom prst="rect">
                      <a:avLst/>
                    </a:prstGeom>
                    <a:noFill/>
                    <a:ln>
                      <a:noFill/>
                    </a:ln>
                  </pic:spPr>
                </pic:pic>
              </a:graphicData>
            </a:graphic>
          </wp:inline>
        </w:drawing>
      </w:r>
    </w:p>
    <w:p w14:paraId="74EBC571"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10</w:t>
      </w:r>
      <w:r w:rsidRPr="00295605">
        <w:rPr>
          <w:b/>
          <w:bCs/>
          <w:color w:val="auto"/>
          <w:sz w:val="18"/>
          <w:szCs w:val="18"/>
        </w:rPr>
        <w:fldChar w:fldCharType="end"/>
      </w:r>
      <w:bookmarkStart w:id="3" w:name="_Toc107155131"/>
      <w:bookmarkStart w:id="4" w:name="_Toc106989555"/>
      <w:bookmarkStart w:id="5" w:name="_Toc106969953"/>
      <w:r w:rsidRPr="00295605">
        <w:rPr>
          <w:b/>
          <w:bCs/>
          <w:color w:val="auto"/>
          <w:sz w:val="18"/>
          <w:szCs w:val="18"/>
        </w:rPr>
        <w:t xml:space="preserve"> </w:t>
      </w:r>
      <w:r w:rsidRPr="00295605">
        <w:rPr>
          <w:color w:val="auto"/>
          <w:sz w:val="18"/>
          <w:szCs w:val="18"/>
          <w:lang w:val="en-IN"/>
        </w:rPr>
        <w:t>Docking image of the standard molecule Atorvastatin docked with 2znq Visualized throuth MVD and Biovia Visualizer software. A) 3D model. B) 2Dpose model.</w:t>
      </w:r>
      <w:bookmarkEnd w:id="3"/>
      <w:bookmarkEnd w:id="4"/>
      <w:bookmarkEnd w:id="5"/>
    </w:p>
    <w:p w14:paraId="14027744"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lastRenderedPageBreak/>
        <w:drawing>
          <wp:inline distT="0" distB="0" distL="0" distR="0" wp14:anchorId="3040BD84" wp14:editId="3EB32F85">
            <wp:extent cx="4870450" cy="1905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0450" cy="1905000"/>
                    </a:xfrm>
                    <a:prstGeom prst="rect">
                      <a:avLst/>
                    </a:prstGeom>
                    <a:noFill/>
                    <a:ln>
                      <a:noFill/>
                    </a:ln>
                  </pic:spPr>
                </pic:pic>
              </a:graphicData>
            </a:graphic>
          </wp:inline>
        </w:drawing>
      </w:r>
    </w:p>
    <w:p w14:paraId="3DA61EE1"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11</w:t>
      </w:r>
      <w:r w:rsidRPr="00295605">
        <w:rPr>
          <w:b/>
          <w:bCs/>
          <w:color w:val="auto"/>
          <w:sz w:val="18"/>
          <w:szCs w:val="18"/>
        </w:rPr>
        <w:fldChar w:fldCharType="end"/>
      </w:r>
      <w:bookmarkStart w:id="6" w:name="_Toc107155132"/>
      <w:bookmarkStart w:id="7" w:name="_Toc106989556"/>
      <w:bookmarkStart w:id="8" w:name="_Toc106969954"/>
      <w:r w:rsidRPr="00295605">
        <w:rPr>
          <w:b/>
          <w:bCs/>
          <w:color w:val="auto"/>
          <w:sz w:val="18"/>
          <w:szCs w:val="18"/>
        </w:rPr>
        <w:t xml:space="preserve"> </w:t>
      </w:r>
      <w:r w:rsidRPr="00295605">
        <w:rPr>
          <w:color w:val="auto"/>
          <w:sz w:val="18"/>
          <w:szCs w:val="18"/>
          <w:lang w:val="en-IN"/>
        </w:rPr>
        <w:t>Docking image of the molecule code 234 docked with 3ld6 Visualized throuth MVD and Biovia Visualizer software. A) 3D model. B) 2Dpose model.</w:t>
      </w:r>
      <w:bookmarkEnd w:id="6"/>
      <w:bookmarkEnd w:id="7"/>
      <w:bookmarkEnd w:id="8"/>
    </w:p>
    <w:p w14:paraId="28FB79E7" w14:textId="77777777" w:rsidR="00295605" w:rsidRPr="00295605" w:rsidRDefault="00295605" w:rsidP="00295605">
      <w:pPr>
        <w:keepNext/>
        <w:adjustRightInd w:val="0"/>
        <w:snapToGrid w:val="0"/>
        <w:spacing w:before="240" w:after="120" w:line="240" w:lineRule="auto"/>
        <w:ind w:left="2608"/>
        <w:jc w:val="left"/>
        <w:rPr>
          <w:rFonts w:eastAsia="Times New Roman"/>
          <w:noProof w:val="0"/>
          <w:snapToGrid w:val="0"/>
          <w:lang w:eastAsia="de-DE" w:bidi="en-US"/>
        </w:rPr>
      </w:pPr>
      <w:r w:rsidRPr="00295605">
        <w:rPr>
          <w:rFonts w:eastAsia="Times New Roman"/>
          <w:b/>
          <w:snapToGrid w:val="0"/>
          <w:lang w:eastAsia="en-US"/>
        </w:rPr>
        <w:drawing>
          <wp:inline distT="0" distB="0" distL="0" distR="0" wp14:anchorId="7B32CE7D" wp14:editId="6728950F">
            <wp:extent cx="501015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1962150"/>
                    </a:xfrm>
                    <a:prstGeom prst="rect">
                      <a:avLst/>
                    </a:prstGeom>
                    <a:noFill/>
                    <a:ln>
                      <a:noFill/>
                    </a:ln>
                  </pic:spPr>
                </pic:pic>
              </a:graphicData>
            </a:graphic>
          </wp:inline>
        </w:drawing>
      </w:r>
    </w:p>
    <w:p w14:paraId="5280566D" w14:textId="77777777" w:rsidR="00295605" w:rsidRPr="00295605" w:rsidRDefault="00295605" w:rsidP="00295605">
      <w:pPr>
        <w:spacing w:after="200" w:line="240" w:lineRule="auto"/>
        <w:jc w:val="center"/>
        <w:rPr>
          <w:bCs/>
          <w:color w:val="auto"/>
          <w:sz w:val="18"/>
          <w:szCs w:val="18"/>
          <w:lang w:val="en-IN"/>
        </w:rPr>
      </w:pPr>
      <w:r w:rsidRPr="00295605">
        <w:rPr>
          <w:b/>
          <w:bCs/>
          <w:color w:val="auto"/>
          <w:sz w:val="18"/>
          <w:szCs w:val="18"/>
        </w:rPr>
        <w:t xml:space="preserve">Figure </w:t>
      </w:r>
      <w:r w:rsidRPr="00295605">
        <w:rPr>
          <w:b/>
          <w:bCs/>
          <w:color w:val="auto"/>
          <w:sz w:val="18"/>
          <w:szCs w:val="18"/>
        </w:rPr>
        <w:fldChar w:fldCharType="begin"/>
      </w:r>
      <w:r w:rsidRPr="00295605">
        <w:rPr>
          <w:b/>
          <w:bCs/>
          <w:color w:val="auto"/>
          <w:sz w:val="18"/>
          <w:szCs w:val="18"/>
        </w:rPr>
        <w:instrText xml:space="preserve"> SEQ Figure \* ARABIC </w:instrText>
      </w:r>
      <w:r w:rsidRPr="00295605">
        <w:rPr>
          <w:b/>
          <w:bCs/>
          <w:color w:val="auto"/>
          <w:sz w:val="18"/>
          <w:szCs w:val="18"/>
        </w:rPr>
        <w:fldChar w:fldCharType="separate"/>
      </w:r>
      <w:r w:rsidRPr="00295605">
        <w:rPr>
          <w:b/>
          <w:bCs/>
          <w:color w:val="auto"/>
          <w:sz w:val="18"/>
          <w:szCs w:val="18"/>
        </w:rPr>
        <w:t>12</w:t>
      </w:r>
      <w:r w:rsidRPr="00295605">
        <w:rPr>
          <w:b/>
          <w:bCs/>
          <w:color w:val="auto"/>
          <w:sz w:val="18"/>
          <w:szCs w:val="18"/>
        </w:rPr>
        <w:fldChar w:fldCharType="end"/>
      </w:r>
      <w:r w:rsidRPr="00295605">
        <w:rPr>
          <w:rFonts w:ascii="Calibri" w:eastAsia="Calibri" w:hAnsi="Calibri" w:cs="Arial"/>
          <w:b/>
          <w:i/>
          <w:color w:val="auto"/>
          <w:sz w:val="24"/>
          <w:szCs w:val="24"/>
          <w:lang w:val="en-IN" w:eastAsia="en-US"/>
        </w:rPr>
        <w:t xml:space="preserve"> </w:t>
      </w:r>
      <w:r w:rsidRPr="00295605">
        <w:rPr>
          <w:bCs/>
          <w:color w:val="auto"/>
          <w:sz w:val="18"/>
          <w:szCs w:val="18"/>
          <w:lang w:val="en-IN"/>
        </w:rPr>
        <w:t>Docking image of the standard molecule Atorvastatin docked with 3ld6  Visualized throuth MVD and Biovia Visualizer software. A) 3D model. B) 2Dpose model.</w:t>
      </w:r>
    </w:p>
    <w:p w14:paraId="208086B1"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eastAsia="de-DE" w:bidi="en-US"/>
        </w:rPr>
      </w:pPr>
      <w:r w:rsidRPr="00295605">
        <w:rPr>
          <w:rFonts w:eastAsia="Times New Roman"/>
          <w:b/>
          <w:noProof w:val="0"/>
          <w:snapToGrid w:val="0"/>
          <w:szCs w:val="22"/>
          <w:lang w:bidi="en-US"/>
        </w:rPr>
        <w:t xml:space="preserve">4. </w:t>
      </w:r>
      <w:r w:rsidRPr="00295605">
        <w:rPr>
          <w:rFonts w:eastAsia="Times New Roman"/>
          <w:b/>
          <w:noProof w:val="0"/>
          <w:snapToGrid w:val="0"/>
          <w:szCs w:val="22"/>
          <w:lang w:eastAsia="de-DE" w:bidi="en-US"/>
        </w:rPr>
        <w:t>Materials and Methods</w:t>
      </w:r>
    </w:p>
    <w:p w14:paraId="7DBBE7C6"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b/>
          <w:noProof w:val="0"/>
          <w:snapToGrid w:val="0"/>
          <w:szCs w:val="22"/>
          <w:lang w:val="en-IN" w:eastAsia="de-DE" w:bidi="en-US"/>
        </w:rPr>
        <w:t>Materials</w:t>
      </w:r>
      <w:proofErr w:type="gramStart"/>
      <w:r w:rsidRPr="00295605">
        <w:rPr>
          <w:rFonts w:eastAsia="Times New Roman"/>
          <w:b/>
          <w:noProof w:val="0"/>
          <w:snapToGrid w:val="0"/>
          <w:szCs w:val="22"/>
          <w:lang w:val="en-IN" w:eastAsia="de-DE" w:bidi="en-US"/>
        </w:rPr>
        <w:t>:-</w:t>
      </w:r>
      <w:proofErr w:type="gramEnd"/>
      <w:r w:rsidRPr="00295605">
        <w:rPr>
          <w:rFonts w:eastAsia="Times New Roman"/>
          <w:b/>
          <w:noProof w:val="0"/>
          <w:snapToGrid w:val="0"/>
          <w:szCs w:val="22"/>
          <w:lang w:val="en-IN" w:eastAsia="de-DE" w:bidi="en-US"/>
        </w:rPr>
        <w:t xml:space="preserve">  </w:t>
      </w:r>
      <w:r w:rsidRPr="00295605">
        <w:rPr>
          <w:rFonts w:eastAsia="Times New Roman"/>
          <w:noProof w:val="0"/>
          <w:snapToGrid w:val="0"/>
          <w:szCs w:val="22"/>
          <w:lang w:val="en-IN" w:eastAsia="de-DE" w:bidi="en-US"/>
        </w:rPr>
        <w:t>The Protein Data Bank database was used to download and verify the pr</w:t>
      </w:r>
      <w:r w:rsidRPr="00295605">
        <w:rPr>
          <w:rFonts w:eastAsia="Times New Roman"/>
          <w:noProof w:val="0"/>
          <w:snapToGrid w:val="0"/>
          <w:szCs w:val="22"/>
          <w:lang w:val="en-IN" w:eastAsia="de-DE" w:bidi="en-US"/>
        </w:rPr>
        <w:t>o</w:t>
      </w:r>
      <w:r w:rsidRPr="00295605">
        <w:rPr>
          <w:rFonts w:eastAsia="Times New Roman"/>
          <w:noProof w:val="0"/>
          <w:snapToGrid w:val="0"/>
          <w:szCs w:val="22"/>
          <w:lang w:val="en-IN" w:eastAsia="de-DE" w:bidi="en-US"/>
        </w:rPr>
        <w:t xml:space="preserve">tein structures of the chosen targets. Using </w:t>
      </w:r>
      <w:proofErr w:type="spellStart"/>
      <w:r w:rsidRPr="00295605">
        <w:rPr>
          <w:rFonts w:eastAsia="Times New Roman"/>
          <w:noProof w:val="0"/>
          <w:snapToGrid w:val="0"/>
          <w:szCs w:val="22"/>
          <w:lang w:val="en-IN" w:eastAsia="de-DE" w:bidi="en-US"/>
        </w:rPr>
        <w:t>Molegro</w:t>
      </w:r>
      <w:proofErr w:type="spellEnd"/>
      <w:r w:rsidRPr="00295605">
        <w:rPr>
          <w:rFonts w:eastAsia="Times New Roman"/>
          <w:noProof w:val="0"/>
          <w:snapToGrid w:val="0"/>
          <w:szCs w:val="22"/>
          <w:lang w:val="en-IN" w:eastAsia="de-DE" w:bidi="en-US"/>
        </w:rPr>
        <w:t xml:space="preserve"> virtual </w:t>
      </w:r>
      <w:proofErr w:type="spellStart"/>
      <w:r w:rsidRPr="00295605">
        <w:rPr>
          <w:rFonts w:eastAsia="Times New Roman"/>
          <w:noProof w:val="0"/>
          <w:snapToGrid w:val="0"/>
          <w:szCs w:val="22"/>
          <w:lang w:val="en-IN" w:eastAsia="de-DE" w:bidi="en-US"/>
        </w:rPr>
        <w:t>docker</w:t>
      </w:r>
      <w:proofErr w:type="spellEnd"/>
      <w:r w:rsidRPr="00295605">
        <w:rPr>
          <w:rFonts w:eastAsia="Times New Roman"/>
          <w:noProof w:val="0"/>
          <w:snapToGrid w:val="0"/>
          <w:szCs w:val="22"/>
          <w:lang w:val="en-IN" w:eastAsia="de-DE" w:bidi="en-US"/>
        </w:rPr>
        <w:t xml:space="preserve"> 6.0, the target was optimized and prepared. </w:t>
      </w:r>
      <w:proofErr w:type="spellStart"/>
      <w:r w:rsidRPr="00295605">
        <w:rPr>
          <w:rFonts w:eastAsia="Times New Roman"/>
          <w:noProof w:val="0"/>
          <w:snapToGrid w:val="0"/>
          <w:szCs w:val="22"/>
          <w:lang w:val="en-IN" w:eastAsia="de-DE" w:bidi="en-US"/>
        </w:rPr>
        <w:t>ChemDraw</w:t>
      </w:r>
      <w:proofErr w:type="spellEnd"/>
      <w:r w:rsidRPr="00295605">
        <w:rPr>
          <w:rFonts w:eastAsia="Times New Roman"/>
          <w:noProof w:val="0"/>
          <w:snapToGrid w:val="0"/>
          <w:szCs w:val="22"/>
          <w:lang w:val="en-IN" w:eastAsia="de-DE" w:bidi="en-US"/>
        </w:rPr>
        <w:t xml:space="preserve"> 8.0 was used to create the two-dimensional (2D) structures of the ligands.</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{"citationItems":[{"id":"ITEM-1","itemData":{"abstract":"The use of modern computer software in teaching chemistry creates the basis for increasing students' interest in chemistry, transferring knowledge and consolidating knowledge. Chemical computer software is a program used to perform calculations of complex chemical equations and operations, the structure of chemicals, their identification and the display of the parameters of various substances","author":[{"dropping-particle":"","family":"Julboev","given":"Tulqin Abduvalievich","non-dropping-particle":"","parse-names":false,"suffix":""},{"dropping-particle":"","family":"Jizzakh State Pedagogical Institute Jizzakh","given":"UZBEKISTAN","non-dropping-particle":"","parse-names":false,"suffix":""},{"dropping-particle":"","family":"Sultonov","given":"Marat Mirzaevich","non-dropping-particle":"","parse-names":false,"suffix":""},{"dropping-particle":"","family":"Jizzakh State Pedagogical Institute Jizzakh","given":"UZBEKISTAN &amp;","non-dropping-particle":"","parse-names":false,"suffix":""},{"dropping-particle":"","family":"Komila Khudoyberdievna Abduvalieva Jizzakh State Pedagogical Institute Jizzakh","given":"UZBEKISTAN","non-dropping-particle":"","parse-names":false,"suffix":""}],"container-title":"European Journal of Research and Reflection in Educational Sciences","id":"ITEM-1","issue":"2056-5852","issued":{"date-parts":[["2021"]]},"page":"23-28","title":"Teaching chemistry computer software to students of chemistry in pedagogical higher education institutions","type":"article-journal","volume":"9"},"uris":["http://www.mendeley.com/documents/?uuid=eeaa024f-1bb6-4756-973d-4990aaad72de"]}],"mendeley":{"formattedCitation":"(19)","plainTextFormattedCitation":"(19)","previouslyFormattedCitation":"(19)"},"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(19)</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The Chem3D Ultra 8.0 software was used to transform two-dimensional (2D) representations into three-dimensional (3D) ones, after which they were energetically reduced using a technique built into the same program and stored as MDL </w:t>
      </w:r>
      <w:proofErr w:type="spellStart"/>
      <w:r w:rsidRPr="00295605">
        <w:rPr>
          <w:rFonts w:eastAsia="Times New Roman"/>
          <w:noProof w:val="0"/>
          <w:snapToGrid w:val="0"/>
          <w:szCs w:val="22"/>
          <w:lang w:val="en-IN" w:eastAsia="de-DE" w:bidi="en-US"/>
        </w:rPr>
        <w:t>moleFile</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mol</w:t>
      </w:r>
      <w:proofErr w:type="spellEnd"/>
      <w:r w:rsidRPr="00295605">
        <w:rPr>
          <w:rFonts w:eastAsia="Times New Roman"/>
          <w:noProof w:val="0"/>
          <w:snapToGrid w:val="0"/>
          <w:szCs w:val="22"/>
          <w:lang w:val="en-IN" w:eastAsia="de-DE" w:bidi="en-US"/>
        </w:rPr>
        <w:t>).</w:t>
      </w:r>
    </w:p>
    <w:p w14:paraId="2CB78EF7"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bCs/>
          <w:noProof w:val="0"/>
          <w:snapToGrid w:val="0"/>
          <w:szCs w:val="22"/>
          <w:lang w:val="en-IN" w:eastAsia="de-DE" w:bidi="en-US"/>
        </w:rPr>
        <w:t>Protein preparation</w:t>
      </w:r>
      <w:proofErr w:type="gramStart"/>
      <w:r w:rsidRPr="00295605">
        <w:rPr>
          <w:rFonts w:eastAsia="Times New Roman"/>
          <w:bCs/>
          <w:noProof w:val="0"/>
          <w:snapToGrid w:val="0"/>
          <w:szCs w:val="22"/>
          <w:lang w:val="en-IN" w:eastAsia="de-DE" w:bidi="en-US"/>
        </w:rPr>
        <w:t>:-</w:t>
      </w:r>
      <w:proofErr w:type="gramEnd"/>
      <w:r w:rsidRPr="00295605">
        <w:rPr>
          <w:rFonts w:eastAsia="Times New Roman"/>
          <w:bCs/>
          <w:noProof w:val="0"/>
          <w:snapToGrid w:val="0"/>
          <w:szCs w:val="22"/>
          <w:lang w:val="en-IN" w:eastAsia="de-DE" w:bidi="en-US"/>
        </w:rPr>
        <w:t xml:space="preserve"> </w:t>
      </w:r>
      <w:r w:rsidRPr="00295605">
        <w:rPr>
          <w:rFonts w:eastAsia="Times New Roman"/>
          <w:noProof w:val="0"/>
          <w:snapToGrid w:val="0"/>
          <w:szCs w:val="22"/>
          <w:lang w:val="en-IN" w:eastAsia="de-DE" w:bidi="en-US"/>
        </w:rPr>
        <w:t>All receptors' protein structures were retrieved from the RCSB Protein Data Bank using the X-ray diffraction technique, and their resolutions are di</w:t>
      </w:r>
      <w:r w:rsidRPr="00295605">
        <w:rPr>
          <w:rFonts w:eastAsia="Times New Roman"/>
          <w:noProof w:val="0"/>
          <w:snapToGrid w:val="0"/>
          <w:szCs w:val="22"/>
          <w:lang w:val="en-IN" w:eastAsia="de-DE" w:bidi="en-US"/>
        </w:rPr>
        <w:t>s</w:t>
      </w:r>
      <w:r w:rsidRPr="00295605">
        <w:rPr>
          <w:rFonts w:eastAsia="Times New Roman"/>
          <w:noProof w:val="0"/>
          <w:snapToGrid w:val="0"/>
          <w:szCs w:val="22"/>
          <w:lang w:val="en-IN" w:eastAsia="de-DE" w:bidi="en-US"/>
        </w:rPr>
        <w:t xml:space="preserve">played in Figure 3. </w:t>
      </w:r>
    </w:p>
    <w:p w14:paraId="18F47346" w14:textId="77777777" w:rsidR="00295605" w:rsidRPr="00295605" w:rsidRDefault="00295605" w:rsidP="00295605">
      <w:pPr>
        <w:adjustRightInd w:val="0"/>
        <w:snapToGrid w:val="0"/>
        <w:spacing w:before="240" w:after="60" w:line="228" w:lineRule="auto"/>
        <w:outlineLvl w:val="0"/>
        <w:rPr>
          <w:rFonts w:eastAsia="Times New Roman"/>
          <w:b/>
          <w:noProof w:val="0"/>
          <w:snapToGrid w:val="0"/>
          <w:szCs w:val="22"/>
          <w:lang w:val="en-IN" w:eastAsia="de-DE" w:bidi="en-US"/>
        </w:rPr>
      </w:pPr>
      <w:r w:rsidRPr="00295605">
        <w:rPr>
          <w:rFonts w:eastAsia="Times New Roman"/>
          <w:b/>
          <w:snapToGrid w:val="0"/>
          <w:szCs w:val="22"/>
          <w:lang w:eastAsia="en-US"/>
        </w:rPr>
        <mc:AlternateContent>
          <mc:Choice Requires="wps">
            <w:drawing>
              <wp:anchor distT="0" distB="0" distL="114300" distR="114300" simplePos="0" relativeHeight="251659264" behindDoc="0" locked="0" layoutInCell="1" allowOverlap="1" wp14:anchorId="1AEB3FD6" wp14:editId="4DFCB0FC">
                <wp:simplePos x="0" y="0"/>
                <wp:positionH relativeFrom="column">
                  <wp:posOffset>1872615</wp:posOffset>
                </wp:positionH>
                <wp:positionV relativeFrom="paragraph">
                  <wp:posOffset>1445895</wp:posOffset>
                </wp:positionV>
                <wp:extent cx="284480" cy="258445"/>
                <wp:effectExtent l="0" t="0" r="20320" b="27305"/>
                <wp:wrapNone/>
                <wp:docPr id="24" name="Text Box 24"/>
                <wp:cNvGraphicFramePr/>
                <a:graphic xmlns:a="http://schemas.openxmlformats.org/drawingml/2006/main">
                  <a:graphicData uri="http://schemas.microsoft.com/office/word/2010/wordprocessingShape">
                    <wps:wsp>
                      <wps:cNvSpPr txBox="1"/>
                      <wps:spPr>
                        <a:xfrm>
                          <a:off x="0" y="0"/>
                          <a:ext cx="284480" cy="258445"/>
                        </a:xfrm>
                        <a:prstGeom prst="rect">
                          <a:avLst/>
                        </a:prstGeom>
                        <a:solidFill>
                          <a:sysClr val="window" lastClr="FFFFFF"/>
                        </a:solidFill>
                        <a:ln w="6350">
                          <a:solidFill>
                            <a:prstClr val="black"/>
                          </a:solidFill>
                        </a:ln>
                        <a:effectLst/>
                      </wps:spPr>
                      <wps:txbx>
                        <w:txbxContent>
                          <w:p w14:paraId="530B9E75" w14:textId="77777777" w:rsidR="00295605" w:rsidRPr="00F85909" w:rsidRDefault="00295605" w:rsidP="0029560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EB3FD6" id="_x0000_t202" coordsize="21600,21600" o:spt="202" path="m,l,21600r21600,l21600,xe">
                <v:stroke joinstyle="miter"/>
                <v:path gradientshapeok="t" o:connecttype="rect"/>
              </v:shapetype>
              <v:shape id="Text Box 24" o:spid="_x0000_s1026" type="#_x0000_t202" style="position:absolute;left:0;text-align:left;margin-left:147.45pt;margin-top:113.85pt;width:22.4pt;height:2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" fillcolor="window" strokeweight=".5pt">
                <v:textbox>
                  <w:txbxContent>
                    <w:p w14:paraId="530B9E75" w14:textId="77777777" w:rsidR="00295605" w:rsidRPr="00F85909" w:rsidRDefault="00295605" w:rsidP="00295605">
                      <w:r>
                        <w:t>A</w:t>
                      </w:r>
                    </w:p>
                  </w:txbxContent>
                </v:textbox>
              </v:shape>
            </w:pict>
          </mc:Fallback>
        </mc:AlternateContent>
      </w:r>
      <w:r w:rsidRPr="00295605">
        <w:rPr>
          <w:rFonts w:eastAsia="Times New Roman"/>
          <w:b/>
          <w:snapToGrid w:val="0"/>
          <w:szCs w:val="22"/>
          <w:lang w:eastAsia="en-US"/>
        </w:rPr>
        <mc:AlternateContent>
          <mc:Choice Requires="wps">
            <w:drawing>
              <wp:anchor distT="0" distB="0" distL="114300" distR="114300" simplePos="0" relativeHeight="251660288" behindDoc="0" locked="0" layoutInCell="1" allowOverlap="1" wp14:anchorId="721E8EE2" wp14:editId="195C5E0E">
                <wp:simplePos x="0" y="0"/>
                <wp:positionH relativeFrom="column">
                  <wp:posOffset>3937000</wp:posOffset>
                </wp:positionH>
                <wp:positionV relativeFrom="paragraph">
                  <wp:posOffset>1445895</wp:posOffset>
                </wp:positionV>
                <wp:extent cx="267335" cy="258445"/>
                <wp:effectExtent l="0" t="0" r="18415" b="27305"/>
                <wp:wrapNone/>
                <wp:docPr id="25" name="Text Box 25"/>
                <wp:cNvGraphicFramePr/>
                <a:graphic xmlns:a="http://schemas.openxmlformats.org/drawingml/2006/main">
                  <a:graphicData uri="http://schemas.microsoft.com/office/word/2010/wordprocessingShape">
                    <wps:wsp>
                      <wps:cNvSpPr txBox="1"/>
                      <wps:spPr>
                        <a:xfrm>
                          <a:off x="0" y="0"/>
                          <a:ext cx="267335" cy="258445"/>
                        </a:xfrm>
                        <a:prstGeom prst="rect">
                          <a:avLst/>
                        </a:prstGeom>
                        <a:solidFill>
                          <a:sysClr val="window" lastClr="FFFFFF"/>
                        </a:solidFill>
                        <a:ln w="6350">
                          <a:solidFill>
                            <a:prstClr val="black"/>
                          </a:solidFill>
                        </a:ln>
                        <a:effectLst/>
                      </wps:spPr>
                      <wps:txbx>
                        <w:txbxContent>
                          <w:p w14:paraId="237FD21B" w14:textId="77777777" w:rsidR="00295605" w:rsidRPr="00F85909" w:rsidRDefault="00295605" w:rsidP="0029560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E8EE2" id="Text Box 25" o:spid="_x0000_s1027" type="#_x0000_t202" style="position:absolute;left:0;text-align:left;margin-left:310pt;margin-top:113.85pt;width:21.05pt;height:2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" fillcolor="window" strokeweight=".5pt">
                <v:textbox>
                  <w:txbxContent>
                    <w:p w14:paraId="237FD21B" w14:textId="77777777" w:rsidR="00295605" w:rsidRPr="00F85909" w:rsidRDefault="00295605" w:rsidP="00295605">
                      <w:r>
                        <w:t>B</w:t>
                      </w:r>
                    </w:p>
                  </w:txbxContent>
                </v:textbox>
              </v:shape>
            </w:pict>
          </mc:Fallback>
        </mc:AlternateContent>
      </w:r>
      <w:r w:rsidRPr="00295605">
        <w:rPr>
          <w:rFonts w:eastAsia="Times New Roman"/>
          <w:b/>
          <w:snapToGrid w:val="0"/>
          <w:szCs w:val="22"/>
          <w:lang w:eastAsia="en-US"/>
        </w:rPr>
        <mc:AlternateContent>
          <mc:Choice Requires="wps">
            <w:drawing>
              <wp:anchor distT="0" distB="0" distL="114300" distR="114300" simplePos="0" relativeHeight="251661312" behindDoc="0" locked="0" layoutInCell="1" allowOverlap="1" wp14:anchorId="0790EC92" wp14:editId="5DD05A54">
                <wp:simplePos x="0" y="0"/>
                <wp:positionH relativeFrom="column">
                  <wp:posOffset>5708015</wp:posOffset>
                </wp:positionH>
                <wp:positionV relativeFrom="paragraph">
                  <wp:posOffset>1445895</wp:posOffset>
                </wp:positionV>
                <wp:extent cx="258445" cy="258445"/>
                <wp:effectExtent l="0" t="0" r="27305" b="27305"/>
                <wp:wrapNone/>
                <wp:docPr id="26" name="Text Box 26"/>
                <wp:cNvGraphicFramePr/>
                <a:graphic xmlns:a="http://schemas.openxmlformats.org/drawingml/2006/main">
                  <a:graphicData uri="http://schemas.microsoft.com/office/word/2010/wordprocessingShape">
                    <wps:wsp>
                      <wps:cNvSpPr txBox="1"/>
                      <wps:spPr>
                        <a:xfrm>
                          <a:off x="0" y="0"/>
                          <a:ext cx="258445" cy="258445"/>
                        </a:xfrm>
                        <a:prstGeom prst="rect">
                          <a:avLst/>
                        </a:prstGeom>
                        <a:solidFill>
                          <a:sysClr val="window" lastClr="FFFFFF"/>
                        </a:solidFill>
                        <a:ln w="6350">
                          <a:solidFill>
                            <a:prstClr val="black"/>
                          </a:solidFill>
                        </a:ln>
                        <a:effectLst/>
                      </wps:spPr>
                      <wps:txbx>
                        <w:txbxContent>
                          <w:p w14:paraId="5A70EA39" w14:textId="77777777" w:rsidR="00295605" w:rsidRPr="00F85909" w:rsidRDefault="00295605" w:rsidP="0029560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0EC92" id="Text Box 26" o:spid="_x0000_s1028" type="#_x0000_t202" style="position:absolute;left:0;text-align:left;margin-left:449.45pt;margin-top:113.85pt;width:20.35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" fillcolor="window" strokeweight=".5pt">
                <v:textbox>
                  <w:txbxContent>
                    <w:p w14:paraId="5A70EA39" w14:textId="77777777" w:rsidR="00295605" w:rsidRPr="00F85909" w:rsidRDefault="00295605" w:rsidP="00295605">
                      <w:r>
                        <w:t>C</w:t>
                      </w:r>
                    </w:p>
                  </w:txbxContent>
                </v:textbox>
              </v:shape>
            </w:pict>
          </mc:Fallback>
        </mc:AlternateContent>
      </w:r>
      <w:r w:rsidRPr="00295605">
        <w:rPr>
          <w:rFonts w:eastAsia="Times New Roman"/>
          <w:b/>
          <w:noProof w:val="0"/>
          <w:snapToGrid w:val="0"/>
          <w:szCs w:val="22"/>
          <w:lang w:val="en-IN" w:eastAsia="de-DE" w:bidi="en-US"/>
        </w:rPr>
        <w:t xml:space="preserve">                        </w:t>
      </w:r>
      <w:r w:rsidRPr="00295605">
        <w:rPr>
          <w:rFonts w:eastAsia="Times New Roman"/>
          <w:b/>
          <w:snapToGrid w:val="0"/>
          <w:szCs w:val="22"/>
          <w:lang w:eastAsia="en-US"/>
        </w:rPr>
        <w:drawing>
          <wp:inline distT="0" distB="0" distL="0" distR="0" wp14:anchorId="1D2638B0" wp14:editId="5E596831">
            <wp:extent cx="1509623" cy="1526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337" t="3685" r="5137" b="6316"/>
                    <a:stretch/>
                  </pic:blipFill>
                  <pic:spPr bwMode="auto">
                    <a:xfrm>
                      <a:off x="0" y="0"/>
                      <a:ext cx="1508961" cy="1526205"/>
                    </a:xfrm>
                    <a:prstGeom prst="rect">
                      <a:avLst/>
                    </a:prstGeom>
                    <a:noFill/>
                    <a:ln>
                      <a:noFill/>
                    </a:ln>
                    <a:extLst>
                      <a:ext uri="{53640926-AAD7-44D8-BBD7-CCE9431645EC}">
                        <a14:shadowObscured xmlns:a14="http://schemas.microsoft.com/office/drawing/2010/main"/>
                      </a:ext>
                    </a:extLst>
                  </pic:spPr>
                </pic:pic>
              </a:graphicData>
            </a:graphic>
          </wp:inline>
        </w:drawing>
      </w:r>
      <w:r w:rsidRPr="00295605">
        <w:rPr>
          <w:rFonts w:eastAsia="Times New Roman"/>
          <w:b/>
          <w:noProof w:val="0"/>
          <w:snapToGrid w:val="0"/>
          <w:szCs w:val="22"/>
          <w:lang w:val="en-IN" w:eastAsia="de-DE" w:bidi="en-US"/>
        </w:rPr>
        <w:t xml:space="preserve">      </w:t>
      </w:r>
      <w:r w:rsidRPr="00295605">
        <w:rPr>
          <w:rFonts w:eastAsia="Times New Roman"/>
          <w:b/>
          <w:snapToGrid w:val="0"/>
          <w:szCs w:val="22"/>
          <w:lang w:eastAsia="en-US"/>
        </w:rPr>
        <w:drawing>
          <wp:inline distT="0" distB="0" distL="0" distR="0" wp14:anchorId="26FEF8BE" wp14:editId="1E995BCE">
            <wp:extent cx="1535502" cy="15268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4372" t="3685" r="7650" b="7894"/>
                    <a:stretch/>
                  </pic:blipFill>
                  <pic:spPr bwMode="auto">
                    <a:xfrm>
                      <a:off x="0" y="0"/>
                      <a:ext cx="1534830" cy="1526206"/>
                    </a:xfrm>
                    <a:prstGeom prst="rect">
                      <a:avLst/>
                    </a:prstGeom>
                    <a:noFill/>
                    <a:ln>
                      <a:noFill/>
                    </a:ln>
                    <a:extLst>
                      <a:ext uri="{53640926-AAD7-44D8-BBD7-CCE9431645EC}">
                        <a14:shadowObscured xmlns:a14="http://schemas.microsoft.com/office/drawing/2010/main"/>
                      </a:ext>
                    </a:extLst>
                  </pic:spPr>
                </pic:pic>
              </a:graphicData>
            </a:graphic>
          </wp:inline>
        </w:drawing>
      </w:r>
      <w:r w:rsidRPr="00295605">
        <w:rPr>
          <w:rFonts w:eastAsia="Times New Roman"/>
          <w:b/>
          <w:noProof w:val="0"/>
          <w:snapToGrid w:val="0"/>
          <w:szCs w:val="22"/>
          <w:lang w:val="en-IN" w:eastAsia="de-DE" w:bidi="en-US"/>
        </w:rPr>
        <w:t xml:space="preserve">      </w:t>
      </w:r>
      <w:r w:rsidRPr="00295605">
        <w:rPr>
          <w:rFonts w:eastAsia="Times New Roman"/>
          <w:b/>
          <w:snapToGrid w:val="0"/>
          <w:szCs w:val="22"/>
          <w:lang w:eastAsia="en-US"/>
        </w:rPr>
        <w:drawing>
          <wp:inline distT="0" distB="0" distL="0" distR="0" wp14:anchorId="7C63ABF3" wp14:editId="16C8795F">
            <wp:extent cx="1440611" cy="151825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315" t="3161" r="4420" b="4125"/>
                    <a:stretch/>
                  </pic:blipFill>
                  <pic:spPr bwMode="auto">
                    <a:xfrm>
                      <a:off x="0" y="0"/>
                      <a:ext cx="1441275" cy="1518950"/>
                    </a:xfrm>
                    <a:prstGeom prst="rect">
                      <a:avLst/>
                    </a:prstGeom>
                    <a:noFill/>
                    <a:ln>
                      <a:noFill/>
                    </a:ln>
                    <a:extLst>
                      <a:ext uri="{53640926-AAD7-44D8-BBD7-CCE9431645EC}">
                        <a14:shadowObscured xmlns:a14="http://schemas.microsoft.com/office/drawing/2010/main"/>
                      </a:ext>
                    </a:extLst>
                  </pic:spPr>
                </pic:pic>
              </a:graphicData>
            </a:graphic>
          </wp:inline>
        </w:drawing>
      </w:r>
    </w:p>
    <w:p w14:paraId="74F6FA3A" w14:textId="77777777" w:rsidR="00295605" w:rsidRPr="00295605" w:rsidRDefault="00295605" w:rsidP="00295605">
      <w:pPr>
        <w:adjustRightInd w:val="0"/>
        <w:snapToGrid w:val="0"/>
        <w:spacing w:before="240" w:after="60" w:line="228" w:lineRule="auto"/>
        <w:outlineLvl w:val="0"/>
        <w:rPr>
          <w:rFonts w:eastAsia="Times New Roman"/>
          <w:b/>
          <w:noProof w:val="0"/>
          <w:snapToGrid w:val="0"/>
          <w:szCs w:val="22"/>
          <w:lang w:val="en-IN" w:eastAsia="de-DE" w:bidi="en-US"/>
        </w:rPr>
      </w:pPr>
      <w:r w:rsidRPr="00295605">
        <w:rPr>
          <w:rFonts w:eastAsia="Times New Roman"/>
          <w:b/>
          <w:snapToGrid w:val="0"/>
          <w:szCs w:val="22"/>
          <w:lang w:eastAsia="en-US"/>
        </w:rPr>
        <w:lastRenderedPageBreak/>
        <mc:AlternateContent>
          <mc:Choice Requires="wps">
            <w:drawing>
              <wp:anchor distT="0" distB="0" distL="114300" distR="114300" simplePos="0" relativeHeight="251662336" behindDoc="0" locked="0" layoutInCell="1" allowOverlap="1" wp14:anchorId="23E5012A" wp14:editId="236A5EF5">
                <wp:simplePos x="0" y="0"/>
                <wp:positionH relativeFrom="column">
                  <wp:posOffset>2409825</wp:posOffset>
                </wp:positionH>
                <wp:positionV relativeFrom="paragraph">
                  <wp:posOffset>1680210</wp:posOffset>
                </wp:positionV>
                <wp:extent cx="301625" cy="258445"/>
                <wp:effectExtent l="0" t="0" r="22225" b="27305"/>
                <wp:wrapNone/>
                <wp:docPr id="27" name="Text Box 27"/>
                <wp:cNvGraphicFramePr/>
                <a:graphic xmlns:a="http://schemas.openxmlformats.org/drawingml/2006/main">
                  <a:graphicData uri="http://schemas.microsoft.com/office/word/2010/wordprocessingShape">
                    <wps:wsp>
                      <wps:cNvSpPr txBox="1"/>
                      <wps:spPr>
                        <a:xfrm>
                          <a:off x="0" y="0"/>
                          <a:ext cx="301625" cy="258445"/>
                        </a:xfrm>
                        <a:prstGeom prst="rect">
                          <a:avLst/>
                        </a:prstGeom>
                        <a:solidFill>
                          <a:sysClr val="window" lastClr="FFFFFF"/>
                        </a:solidFill>
                        <a:ln w="6350">
                          <a:solidFill>
                            <a:prstClr val="black"/>
                          </a:solidFill>
                        </a:ln>
                        <a:effectLst/>
                      </wps:spPr>
                      <wps:txbx>
                        <w:txbxContent>
                          <w:p w14:paraId="13C15F31" w14:textId="77777777" w:rsidR="00295605" w:rsidRPr="00F85909" w:rsidRDefault="00295605" w:rsidP="0029560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012A" id="Text Box 27" o:spid="_x0000_s1029" type="#_x0000_t202" style="position:absolute;left:0;text-align:left;margin-left:189.75pt;margin-top:132.3pt;width:23.75pt;height:20.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PHXQIAAMg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" fillcolor="window" strokeweight=".5pt">
                <v:textbox>
                  <w:txbxContent>
                    <w:p w14:paraId="13C15F31" w14:textId="77777777" w:rsidR="00295605" w:rsidRPr="00F85909" w:rsidRDefault="00295605" w:rsidP="00295605">
                      <w:r>
                        <w:t>D</w:t>
                      </w:r>
                    </w:p>
                  </w:txbxContent>
                </v:textbox>
              </v:shape>
            </w:pict>
          </mc:Fallback>
        </mc:AlternateContent>
      </w:r>
      <w:r w:rsidRPr="00295605">
        <w:rPr>
          <w:rFonts w:eastAsia="Times New Roman"/>
          <w:b/>
          <w:snapToGrid w:val="0"/>
          <w:szCs w:val="22"/>
          <w:lang w:eastAsia="en-US"/>
        </w:rPr>
        <mc:AlternateContent>
          <mc:Choice Requires="wps">
            <w:drawing>
              <wp:anchor distT="0" distB="0" distL="114300" distR="114300" simplePos="0" relativeHeight="251663360" behindDoc="0" locked="0" layoutInCell="1" allowOverlap="1" wp14:anchorId="42C9A768" wp14:editId="4D2828C8">
                <wp:simplePos x="0" y="0"/>
                <wp:positionH relativeFrom="column">
                  <wp:posOffset>4792980</wp:posOffset>
                </wp:positionH>
                <wp:positionV relativeFrom="paragraph">
                  <wp:posOffset>1680210</wp:posOffset>
                </wp:positionV>
                <wp:extent cx="292735" cy="258445"/>
                <wp:effectExtent l="0" t="0" r="12065" b="27305"/>
                <wp:wrapNone/>
                <wp:docPr id="28" name="Text Box 28"/>
                <wp:cNvGraphicFramePr/>
                <a:graphic xmlns:a="http://schemas.openxmlformats.org/drawingml/2006/main">
                  <a:graphicData uri="http://schemas.microsoft.com/office/word/2010/wordprocessingShape">
                    <wps:wsp>
                      <wps:cNvSpPr txBox="1"/>
                      <wps:spPr>
                        <a:xfrm>
                          <a:off x="0" y="0"/>
                          <a:ext cx="292735" cy="258445"/>
                        </a:xfrm>
                        <a:prstGeom prst="rect">
                          <a:avLst/>
                        </a:prstGeom>
                        <a:solidFill>
                          <a:sysClr val="window" lastClr="FFFFFF"/>
                        </a:solidFill>
                        <a:ln w="6350">
                          <a:solidFill>
                            <a:prstClr val="black"/>
                          </a:solidFill>
                        </a:ln>
                        <a:effectLst/>
                      </wps:spPr>
                      <wps:txbx>
                        <w:txbxContent>
                          <w:p w14:paraId="1123550A" w14:textId="77777777" w:rsidR="00295605" w:rsidRPr="00F85909" w:rsidRDefault="00295605" w:rsidP="0029560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9A768" id="Text Box 28" o:spid="_x0000_s1030" type="#_x0000_t202" style="position:absolute;left:0;text-align:left;margin-left:377.4pt;margin-top:132.3pt;width:23.05pt;height:20.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" fillcolor="window" strokeweight=".5pt">
                <v:textbox>
                  <w:txbxContent>
                    <w:p w14:paraId="1123550A" w14:textId="77777777" w:rsidR="00295605" w:rsidRPr="00F85909" w:rsidRDefault="00295605" w:rsidP="00295605">
                      <w:r>
                        <w:t>E</w:t>
                      </w:r>
                    </w:p>
                  </w:txbxContent>
                </v:textbox>
              </v:shape>
            </w:pict>
          </mc:Fallback>
        </mc:AlternateContent>
      </w:r>
      <w:r w:rsidRPr="00295605">
        <w:rPr>
          <w:rFonts w:eastAsia="Times New Roman"/>
          <w:b/>
          <w:noProof w:val="0"/>
          <w:snapToGrid w:val="0"/>
          <w:szCs w:val="22"/>
          <w:lang w:val="en-IN" w:eastAsia="de-DE" w:bidi="en-US"/>
        </w:rPr>
        <w:t xml:space="preserve">                                  </w:t>
      </w:r>
      <w:r w:rsidRPr="00295605">
        <w:rPr>
          <w:rFonts w:eastAsia="Times New Roman"/>
          <w:b/>
          <w:snapToGrid w:val="0"/>
          <w:szCs w:val="22"/>
          <w:lang w:eastAsia="en-US"/>
        </w:rPr>
        <w:drawing>
          <wp:inline distT="0" distB="0" distL="0" distR="0" wp14:anchorId="18B15EFE" wp14:editId="6796040C">
            <wp:extent cx="1699404" cy="1742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4339" t="3125" r="5518" b="6696"/>
                    <a:stretch/>
                  </pic:blipFill>
                  <pic:spPr bwMode="auto">
                    <a:xfrm>
                      <a:off x="0" y="0"/>
                      <a:ext cx="1700510" cy="1743670"/>
                    </a:xfrm>
                    <a:prstGeom prst="rect">
                      <a:avLst/>
                    </a:prstGeom>
                    <a:noFill/>
                    <a:ln>
                      <a:noFill/>
                    </a:ln>
                    <a:extLst>
                      <a:ext uri="{53640926-AAD7-44D8-BBD7-CCE9431645EC}">
                        <a14:shadowObscured xmlns:a14="http://schemas.microsoft.com/office/drawing/2010/main"/>
                      </a:ext>
                    </a:extLst>
                  </pic:spPr>
                </pic:pic>
              </a:graphicData>
            </a:graphic>
          </wp:inline>
        </w:drawing>
      </w:r>
      <w:r w:rsidRPr="00295605">
        <w:rPr>
          <w:rFonts w:eastAsia="Times New Roman"/>
          <w:b/>
          <w:noProof w:val="0"/>
          <w:snapToGrid w:val="0"/>
          <w:szCs w:val="22"/>
          <w:lang w:val="en-IN" w:eastAsia="de-DE" w:bidi="en-US"/>
        </w:rPr>
        <w:t xml:space="preserve">              </w:t>
      </w:r>
      <w:r w:rsidRPr="00295605">
        <w:rPr>
          <w:rFonts w:eastAsia="Times New Roman"/>
          <w:b/>
          <w:snapToGrid w:val="0"/>
          <w:szCs w:val="22"/>
          <w:lang w:eastAsia="en-US"/>
        </w:rPr>
        <w:drawing>
          <wp:inline distT="0" distB="0" distL="0" distR="0" wp14:anchorId="01262F08" wp14:editId="30E7043F">
            <wp:extent cx="1759788" cy="17400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5841" t="3572" r="8000" b="10316"/>
                    <a:stretch/>
                  </pic:blipFill>
                  <pic:spPr bwMode="auto">
                    <a:xfrm>
                      <a:off x="0" y="0"/>
                      <a:ext cx="1782749" cy="1762798"/>
                    </a:xfrm>
                    <a:prstGeom prst="rect">
                      <a:avLst/>
                    </a:prstGeom>
                    <a:noFill/>
                    <a:ln>
                      <a:noFill/>
                    </a:ln>
                    <a:extLst>
                      <a:ext uri="{53640926-AAD7-44D8-BBD7-CCE9431645EC}">
                        <a14:shadowObscured xmlns:a14="http://schemas.microsoft.com/office/drawing/2010/main"/>
                      </a:ext>
                    </a:extLst>
                  </pic:spPr>
                </pic:pic>
              </a:graphicData>
            </a:graphic>
          </wp:inline>
        </w:drawing>
      </w:r>
    </w:p>
    <w:p w14:paraId="41EA6CF2" w14:textId="77777777" w:rsidR="00295605" w:rsidRPr="00295605" w:rsidRDefault="00295605" w:rsidP="00295605">
      <w:pPr>
        <w:adjustRightInd w:val="0"/>
        <w:snapToGrid w:val="0"/>
        <w:spacing w:before="240" w:after="60" w:line="228" w:lineRule="auto"/>
        <w:ind w:left="2608"/>
        <w:jc w:val="left"/>
        <w:outlineLvl w:val="0"/>
        <w:rPr>
          <w:rFonts w:eastAsia="Times New Roman"/>
          <w:b/>
          <w:bCs/>
          <w:noProof w:val="0"/>
          <w:snapToGrid w:val="0"/>
          <w:szCs w:val="22"/>
          <w:lang w:val="en-IN" w:eastAsia="de-DE" w:bidi="en-US"/>
        </w:rPr>
      </w:pPr>
      <w:r w:rsidRPr="00295605">
        <w:rPr>
          <w:rFonts w:eastAsia="Times New Roman"/>
          <w:b/>
          <w:bCs/>
          <w:noProof w:val="0"/>
          <w:snapToGrid w:val="0"/>
          <w:szCs w:val="22"/>
          <w:lang w:val="en-IN" w:eastAsia="de-DE" w:bidi="en-US"/>
        </w:rPr>
        <w:t xml:space="preserve">Figure </w:t>
      </w:r>
      <w:r w:rsidRPr="00295605">
        <w:rPr>
          <w:rFonts w:eastAsia="Times New Roman"/>
          <w:b/>
          <w:bCs/>
          <w:noProof w:val="0"/>
          <w:snapToGrid w:val="0"/>
          <w:szCs w:val="22"/>
          <w:lang w:val="en-IN" w:eastAsia="de-DE" w:bidi="en-US"/>
        </w:rPr>
        <w:fldChar w:fldCharType="begin"/>
      </w:r>
      <w:r w:rsidRPr="00295605">
        <w:rPr>
          <w:rFonts w:eastAsia="Times New Roman"/>
          <w:b/>
          <w:bCs/>
          <w:noProof w:val="0"/>
          <w:snapToGrid w:val="0"/>
          <w:szCs w:val="22"/>
          <w:lang w:val="en-IN" w:eastAsia="de-DE" w:bidi="en-US"/>
        </w:rPr>
        <w:instrText xml:space="preserve"> SEQ Figure \* ARABIC </w:instrText>
      </w:r>
      <w:r w:rsidRPr="00295605">
        <w:rPr>
          <w:rFonts w:eastAsia="Times New Roman"/>
          <w:b/>
          <w:bCs/>
          <w:noProof w:val="0"/>
          <w:snapToGrid w:val="0"/>
          <w:szCs w:val="22"/>
          <w:lang w:val="en-IN" w:eastAsia="de-DE" w:bidi="en-US"/>
        </w:rPr>
        <w:fldChar w:fldCharType="separate"/>
      </w:r>
      <w:r w:rsidRPr="00295605">
        <w:rPr>
          <w:rFonts w:eastAsia="Times New Roman"/>
          <w:b/>
          <w:bCs/>
          <w:snapToGrid w:val="0"/>
          <w:szCs w:val="22"/>
          <w:lang w:val="en-IN" w:eastAsia="de-DE" w:bidi="en-US"/>
        </w:rPr>
        <w:t>13</w:t>
      </w:r>
      <w:r w:rsidRPr="00295605">
        <w:rPr>
          <w:rFonts w:eastAsia="Times New Roman"/>
          <w:b/>
          <w:noProof w:val="0"/>
          <w:snapToGrid w:val="0"/>
          <w:szCs w:val="22"/>
          <w:lang w:eastAsia="de-DE" w:bidi="en-US"/>
        </w:rPr>
        <w:fldChar w:fldCharType="end"/>
      </w:r>
    </w:p>
    <w:p w14:paraId="59624CB7"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t>Cavity identification</w:t>
      </w:r>
      <w:proofErr w:type="gramStart"/>
      <w:r w:rsidRPr="00295605">
        <w:rPr>
          <w:rFonts w:eastAsia="Times New Roman"/>
          <w:noProof w:val="0"/>
          <w:snapToGrid w:val="0"/>
          <w:szCs w:val="22"/>
          <w:lang w:val="en-IN" w:eastAsia="de-DE" w:bidi="en-US"/>
        </w:rPr>
        <w:t>:-</w:t>
      </w:r>
      <w:proofErr w:type="gramEnd"/>
      <w:r w:rsidRPr="00295605">
        <w:rPr>
          <w:rFonts w:eastAsia="Times New Roman"/>
          <w:noProof w:val="0"/>
          <w:snapToGrid w:val="0"/>
          <w:szCs w:val="22"/>
          <w:lang w:val="en-IN" w:eastAsia="de-DE" w:bidi="en-US"/>
        </w:rPr>
        <w:t xml:space="preserve"> The grid-based cavity prediction technique was used to automa</w:t>
      </w:r>
      <w:r w:rsidRPr="00295605">
        <w:rPr>
          <w:rFonts w:eastAsia="Times New Roman"/>
          <w:noProof w:val="0"/>
          <w:snapToGrid w:val="0"/>
          <w:szCs w:val="22"/>
          <w:lang w:val="en-IN" w:eastAsia="de-DE" w:bidi="en-US"/>
        </w:rPr>
        <w:t>t</w:t>
      </w:r>
      <w:r w:rsidRPr="00295605">
        <w:rPr>
          <w:rFonts w:eastAsia="Times New Roman"/>
          <w:noProof w:val="0"/>
          <w:snapToGrid w:val="0"/>
          <w:szCs w:val="22"/>
          <w:lang w:val="en-IN" w:eastAsia="de-DE" w:bidi="en-US"/>
        </w:rPr>
        <w:t>ically identify the cavity with the possible binding site for ligands. The leftovers near the cavity were kept to a minimum. Only the side chains' torsion angles were changed du</w:t>
      </w:r>
      <w:r w:rsidRPr="00295605">
        <w:rPr>
          <w:rFonts w:eastAsia="Times New Roman"/>
          <w:noProof w:val="0"/>
          <w:snapToGrid w:val="0"/>
          <w:szCs w:val="22"/>
          <w:lang w:val="en-IN" w:eastAsia="de-DE" w:bidi="en-US"/>
        </w:rPr>
        <w:t>r</w:t>
      </w:r>
      <w:r w:rsidRPr="00295605">
        <w:rPr>
          <w:rFonts w:eastAsia="Times New Roman"/>
          <w:noProof w:val="0"/>
          <w:snapToGrid w:val="0"/>
          <w:szCs w:val="22"/>
          <w:lang w:val="en-IN" w:eastAsia="de-DE" w:bidi="en-US"/>
        </w:rPr>
        <w:t>ing minimization; all other parameters, such as bond lengths and backbone atom loc</w:t>
      </w:r>
      <w:r w:rsidRPr="00295605">
        <w:rPr>
          <w:rFonts w:eastAsia="Times New Roman"/>
          <w:noProof w:val="0"/>
          <w:snapToGrid w:val="0"/>
          <w:szCs w:val="22"/>
          <w:lang w:val="en-IN" w:eastAsia="de-DE" w:bidi="en-US"/>
        </w:rPr>
        <w:t>a</w:t>
      </w:r>
      <w:r w:rsidRPr="00295605">
        <w:rPr>
          <w:rFonts w:eastAsia="Times New Roman"/>
          <w:noProof w:val="0"/>
          <w:snapToGrid w:val="0"/>
          <w:szCs w:val="22"/>
          <w:lang w:val="en-IN" w:eastAsia="de-DE" w:bidi="en-US"/>
        </w:rPr>
        <w:t>tions, remained unchanged.</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{"citationItems":[{"id":"ITEM-1","itemData":{"DOI":"10.22159/ajpcr.2022.v15i3.43397","ISSN":"2455-3891","abstract":"Objective: Mycobacterium tuberculosis (MTB) is a pathogenic bacterium of the Mycobacteriaceae family that causes TB. EthR is a transcriptional regulator which is involved in the repression of the monooxygenase EthA which is responsible for the formation of the active metabolite of Eth. Inhibitors of the EthR DNA binding protein induce a conformational change in this repressor, thus preventing its binding to DNA operator, consequently resulting in increased transcription of EthA and bioactivation of Eth. Methods: In this study, we used first-line and second-line drugs and their analogues to validate the binding affinity of EthR DNA binding protein of MTB. Molegro Virtual Docker (MVD) is utilized for virtual screening and validation of MolDoc, Rerank, and hydrogen bond parameters of ETH, isoniazid (INH), clofazimine (CLF), and its modified derivatives to the EthR DNA binding protein of MTB. The modified molecules; ETH4, INZ2, CLF3, and CLF4 show more binding affinities than that of native compounds ETH, INH, and CLF to the EthR DNA binding protein of MTB. The top scoring compound was docked by auto dock vina in PyRx to get the best conformer pose for intermolecular interactions. Results: CLF4 had the best lowest MolDock score -176.29kcal/mol and H-bonding energy -6.89kcal/mol in the MVD virtual screening. The best conformer pose generated by PyRx was shown -7.1 binding affinity and ligand generated hydrogen bond interactions with THR130 and LYS68, respectively, which stabilized the ligand in the active site of EthR protein. Conclusion: We concluded that CLF4 has shown better inhibitory efficacy than other compounds towards EthR protein. However, these results need to be further substantiated through in vitro and in vivo experimental studies.","author":[{"dropping-particle":"","family":"Poleboyina","given":"Pavan Kumar","non-dropping-particle":"","parse-names":false,"suffix":""},{"dropping-particle":"","family":"Pawar","given":"Smita C","non-dropping-particle":"","parse-names":false,"suffix":""}],"container-title":"Asian Journal of Pharmaceutical and Clinical Research","id":"ITEM-1","issue":"March","issued":{"date-parts":[["2022"]]},"page":"145-152","title":"Identification of Ethr Inhibitor Targeting Mycobacterium Tuberculosis : an Insight From Molecular Docking Study Insight From Molecular Docking Study","type":"article-journal"},"uris":["http://www.mendeley.com/documents/?uuid=b41eef22-ed3f-4922-93b5-bc60868a873e"]}],"mendeley":{"formattedCitation":"(20)","plainTextFormattedCitation":"(20)","previouslyFormattedCitation":"(20)"},"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(20)</w:t>
      </w:r>
      <w:r w:rsidRPr="00295605">
        <w:rPr>
          <w:rFonts w:eastAsia="Times New Roman"/>
          <w:noProof w:val="0"/>
          <w:snapToGrid w:val="0"/>
          <w:szCs w:val="22"/>
          <w:lang w:eastAsia="de-DE" w:bidi="en-US"/>
        </w:rPr>
        <w:fldChar w:fldCharType="end"/>
      </w:r>
    </w:p>
    <w:p w14:paraId="2B25E94A"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b/>
          <w:noProof w:val="0"/>
          <w:snapToGrid w:val="0"/>
          <w:szCs w:val="22"/>
          <w:lang w:val="en-IN" w:eastAsia="de-DE" w:bidi="en-US"/>
        </w:rPr>
        <w:t>Import Molecules</w:t>
      </w:r>
      <w:proofErr w:type="gramStart"/>
      <w:r w:rsidRPr="00295605">
        <w:rPr>
          <w:rFonts w:eastAsia="Times New Roman"/>
          <w:b/>
          <w:noProof w:val="0"/>
          <w:snapToGrid w:val="0"/>
          <w:szCs w:val="22"/>
          <w:lang w:val="en-IN" w:eastAsia="de-DE" w:bidi="en-US"/>
        </w:rPr>
        <w:t>:-</w:t>
      </w:r>
      <w:proofErr w:type="gramEnd"/>
      <w:r w:rsidRPr="00295605">
        <w:rPr>
          <w:rFonts w:eastAsia="Times New Roman"/>
          <w:noProof w:val="0"/>
          <w:snapToGrid w:val="0"/>
          <w:szCs w:val="22"/>
          <w:lang w:val="en-IN" w:eastAsia="de-DE" w:bidi="en-US"/>
        </w:rPr>
        <w:t xml:space="preserve"> The ligands' 3D structures were loaded into MVD as *.mol files.</w:t>
      </w:r>
    </w:p>
    <w:p w14:paraId="6873896E" w14:textId="77777777" w:rsidR="00295605" w:rsidRPr="00295605" w:rsidRDefault="00295605" w:rsidP="00295605">
      <w:pPr>
        <w:adjustRightInd w:val="0"/>
        <w:snapToGrid w:val="0"/>
        <w:spacing w:before="240" w:after="60" w:line="228" w:lineRule="auto"/>
        <w:ind w:left="2608"/>
        <w:jc w:val="left"/>
        <w:outlineLvl w:val="0"/>
        <w:rPr>
          <w:rFonts w:eastAsia="Times New Roman"/>
          <w:b/>
          <w:bCs/>
          <w:noProof w:val="0"/>
          <w:snapToGrid w:val="0"/>
          <w:szCs w:val="22"/>
          <w:lang w:val="en-IN" w:eastAsia="de-DE" w:bidi="en-US"/>
        </w:rPr>
      </w:pPr>
      <w:r w:rsidRPr="00295605">
        <w:rPr>
          <w:rFonts w:eastAsia="Times New Roman"/>
          <w:b/>
          <w:bCs/>
          <w:noProof w:val="0"/>
          <w:snapToGrid w:val="0"/>
          <w:szCs w:val="22"/>
          <w:lang w:val="en-IN" w:eastAsia="de-DE" w:bidi="en-US"/>
        </w:rPr>
        <w:t xml:space="preserve">Table </w:t>
      </w:r>
      <w:r w:rsidRPr="00295605">
        <w:rPr>
          <w:rFonts w:eastAsia="Times New Roman"/>
          <w:b/>
          <w:bCs/>
          <w:noProof w:val="0"/>
          <w:snapToGrid w:val="0"/>
          <w:szCs w:val="22"/>
          <w:lang w:val="en-IN" w:eastAsia="de-DE" w:bidi="en-US"/>
        </w:rPr>
        <w:fldChar w:fldCharType="begin"/>
      </w:r>
      <w:r w:rsidRPr="00295605">
        <w:rPr>
          <w:rFonts w:eastAsia="Times New Roman"/>
          <w:b/>
          <w:bCs/>
          <w:noProof w:val="0"/>
          <w:snapToGrid w:val="0"/>
          <w:szCs w:val="22"/>
          <w:lang w:val="en-IN" w:eastAsia="de-DE" w:bidi="en-US"/>
        </w:rPr>
        <w:instrText xml:space="preserve"> SEQ Table \* ARABIC </w:instrText>
      </w:r>
      <w:r w:rsidRPr="00295605">
        <w:rPr>
          <w:rFonts w:eastAsia="Times New Roman"/>
          <w:b/>
          <w:bCs/>
          <w:noProof w:val="0"/>
          <w:snapToGrid w:val="0"/>
          <w:szCs w:val="22"/>
          <w:lang w:val="en-IN" w:eastAsia="de-DE" w:bidi="en-US"/>
        </w:rPr>
        <w:fldChar w:fldCharType="separate"/>
      </w:r>
      <w:r w:rsidRPr="00295605">
        <w:rPr>
          <w:rFonts w:eastAsia="Times New Roman"/>
          <w:b/>
          <w:bCs/>
          <w:snapToGrid w:val="0"/>
          <w:szCs w:val="22"/>
          <w:lang w:val="en-IN" w:eastAsia="de-DE" w:bidi="en-US"/>
        </w:rPr>
        <w:t>6</w:t>
      </w:r>
      <w:r w:rsidRPr="00295605">
        <w:rPr>
          <w:rFonts w:eastAsia="Times New Roman"/>
          <w:b/>
          <w:noProof w:val="0"/>
          <w:snapToGrid w:val="0"/>
          <w:szCs w:val="22"/>
          <w:lang w:eastAsia="de-DE" w:bidi="en-US"/>
        </w:rPr>
        <w:fldChar w:fldCharType="end"/>
      </w:r>
      <w:r w:rsidRPr="00295605">
        <w:rPr>
          <w:rFonts w:eastAsia="Times New Roman"/>
          <w:b/>
          <w:bCs/>
          <w:noProof w:val="0"/>
          <w:snapToGrid w:val="0"/>
          <w:szCs w:val="22"/>
          <w:lang w:val="en-IN" w:eastAsia="de-DE" w:bidi="en-US"/>
        </w:rPr>
        <w:t xml:space="preserve"> Details about ligands code with structures</w:t>
      </w:r>
    </w:p>
    <w:tbl>
      <w:tblPr>
        <w:tblW w:w="7913" w:type="dxa"/>
        <w:tblInd w:w="2552"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75"/>
        <w:gridCol w:w="2619"/>
        <w:gridCol w:w="2619"/>
      </w:tblGrid>
      <w:tr w:rsidR="00295605" w:rsidRPr="00295605" w14:paraId="5B09DA0F" w14:textId="77777777" w:rsidTr="00D4167D">
        <w:tc>
          <w:tcPr>
            <w:tcW w:w="7913" w:type="dxa"/>
            <w:gridSpan w:val="3"/>
            <w:tcBorders>
              <w:top w:val="single" w:sz="8" w:space="0" w:color="auto"/>
              <w:left w:val="nil"/>
              <w:bottom w:val="single" w:sz="4" w:space="0" w:color="auto"/>
              <w:right w:val="nil"/>
            </w:tcBorders>
            <w:hideMark/>
          </w:tcPr>
          <w:p w14:paraId="336C4117" w14:textId="77777777" w:rsidR="00295605" w:rsidRPr="00295605" w:rsidRDefault="00295605" w:rsidP="00295605">
            <w:pPr>
              <w:jc w:val="center"/>
              <w:rPr>
                <w:b/>
              </w:rPr>
            </w:pPr>
            <w:r w:rsidRPr="00295605">
              <w:rPr>
                <w:b/>
                <w:lang w:val="en-IN"/>
              </w:rPr>
              <w:t>ligands code with structures</w:t>
            </w:r>
          </w:p>
        </w:tc>
      </w:tr>
      <w:tr w:rsidR="00295605" w:rsidRPr="00295605" w14:paraId="2494DDFC" w14:textId="77777777" w:rsidTr="00D4167D">
        <w:tc>
          <w:tcPr>
            <w:tcW w:w="2675" w:type="dxa"/>
            <w:tcBorders>
              <w:top w:val="nil"/>
              <w:left w:val="nil"/>
              <w:bottom w:val="nil"/>
              <w:right w:val="nil"/>
            </w:tcBorders>
            <w:vAlign w:val="center"/>
          </w:tcPr>
          <w:p w14:paraId="23FF4EF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1485013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4D8C909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r>
      <w:tr w:rsidR="00295605" w:rsidRPr="00295605" w14:paraId="19875ACE" w14:textId="77777777" w:rsidTr="00D4167D">
        <w:tc>
          <w:tcPr>
            <w:tcW w:w="2675" w:type="dxa"/>
            <w:tcBorders>
              <w:top w:val="nil"/>
              <w:left w:val="nil"/>
              <w:bottom w:val="nil"/>
              <w:right w:val="nil"/>
            </w:tcBorders>
            <w:vAlign w:val="center"/>
          </w:tcPr>
          <w:p w14:paraId="7E14C53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444</w:t>
            </w:r>
          </w:p>
          <w:p w14:paraId="7DDDCEE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176" w:dyaOrig="1192" w14:anchorId="299AC386">
                <v:shape id="_x0000_i1026" type="#_x0000_t75" style="width:108.95pt;height:60.3pt" o:ole="">
                  <v:imagedata r:id="rId26" o:title=""/>
                </v:shape>
                <o:OLEObject Type="Embed" ProgID="ACD.ChemSketchCDX" ShapeID="_x0000_i1026" DrawAspect="Content" ObjectID="_1756968190" r:id="rId27"/>
              </w:object>
            </w:r>
          </w:p>
        </w:tc>
        <w:tc>
          <w:tcPr>
            <w:tcW w:w="2619" w:type="dxa"/>
            <w:tcBorders>
              <w:top w:val="nil"/>
              <w:left w:val="nil"/>
              <w:bottom w:val="nil"/>
              <w:right w:val="nil"/>
            </w:tcBorders>
            <w:vAlign w:val="center"/>
          </w:tcPr>
          <w:p w14:paraId="41584A1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586</w:t>
            </w:r>
          </w:p>
          <w:p w14:paraId="732029A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467" w:dyaOrig="1795" w14:anchorId="314BBA78">
                <v:shape id="_x0000_i1027" type="#_x0000_t75" style="width:123.25pt;height:89.5pt" o:ole="">
                  <v:imagedata r:id="rId28" o:title=""/>
                </v:shape>
                <o:OLEObject Type="Embed" ProgID="ACD.ChemSketchCDX" ShapeID="_x0000_i1027" DrawAspect="Content" ObjectID="_1756968191" r:id="rId29"/>
              </w:object>
            </w:r>
          </w:p>
        </w:tc>
        <w:tc>
          <w:tcPr>
            <w:tcW w:w="2619" w:type="dxa"/>
            <w:tcBorders>
              <w:top w:val="nil"/>
              <w:left w:val="nil"/>
              <w:bottom w:val="nil"/>
              <w:right w:val="nil"/>
            </w:tcBorders>
            <w:vAlign w:val="center"/>
          </w:tcPr>
          <w:p w14:paraId="33EAD3D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445</w:t>
            </w:r>
          </w:p>
          <w:p w14:paraId="52CCE55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497" w:dyaOrig="861" w14:anchorId="413D5410">
                <v:shape id="_x0000_i1028" type="#_x0000_t75" style="width:125.2pt;height:42.15pt" o:ole="">
                  <v:imagedata r:id="rId30" o:title=""/>
                </v:shape>
                <o:OLEObject Type="Embed" ProgID="ACD.ChemSketchCDX" ShapeID="_x0000_i1028" DrawAspect="Content" ObjectID="_1756968192" r:id="rId31"/>
              </w:object>
            </w:r>
          </w:p>
        </w:tc>
      </w:tr>
      <w:tr w:rsidR="00295605" w:rsidRPr="00295605" w14:paraId="180BD542" w14:textId="77777777" w:rsidTr="00D4167D">
        <w:tc>
          <w:tcPr>
            <w:tcW w:w="2675" w:type="dxa"/>
            <w:tcBorders>
              <w:top w:val="nil"/>
              <w:left w:val="nil"/>
              <w:bottom w:val="nil"/>
              <w:right w:val="nil"/>
            </w:tcBorders>
            <w:vAlign w:val="center"/>
          </w:tcPr>
          <w:p w14:paraId="78B351A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12502BB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28A9E03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r>
      <w:tr w:rsidR="00295605" w:rsidRPr="00295605" w14:paraId="3B9FB448" w14:textId="77777777" w:rsidTr="00D4167D">
        <w:tc>
          <w:tcPr>
            <w:tcW w:w="2675" w:type="dxa"/>
            <w:tcBorders>
              <w:top w:val="nil"/>
              <w:left w:val="nil"/>
              <w:bottom w:val="nil"/>
              <w:right w:val="nil"/>
            </w:tcBorders>
            <w:vAlign w:val="center"/>
          </w:tcPr>
          <w:p w14:paraId="190103B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56F7786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6ED34F8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r>
      <w:tr w:rsidR="00295605" w:rsidRPr="00295605" w14:paraId="798CF495" w14:textId="77777777" w:rsidTr="00D4167D">
        <w:tc>
          <w:tcPr>
            <w:tcW w:w="2675" w:type="dxa"/>
            <w:tcBorders>
              <w:top w:val="nil"/>
              <w:left w:val="nil"/>
              <w:bottom w:val="nil"/>
              <w:right w:val="nil"/>
            </w:tcBorders>
            <w:vAlign w:val="center"/>
          </w:tcPr>
          <w:p w14:paraId="78D402E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99</w:t>
            </w:r>
          </w:p>
          <w:p w14:paraId="78801C1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416" w:dyaOrig="773" w14:anchorId="68CED06D">
                <v:shape id="_x0000_i1029" type="#_x0000_t75" style="width:121.95pt;height:38.9pt" o:ole="">
                  <v:imagedata r:id="rId32" o:title=""/>
                </v:shape>
                <o:OLEObject Type="Embed" ProgID="ACD.ChemSketchCDX" ShapeID="_x0000_i1029" DrawAspect="Content" ObjectID="_1756968193" r:id="rId33"/>
              </w:object>
            </w:r>
          </w:p>
        </w:tc>
        <w:tc>
          <w:tcPr>
            <w:tcW w:w="2619" w:type="dxa"/>
            <w:tcBorders>
              <w:top w:val="nil"/>
              <w:left w:val="nil"/>
              <w:bottom w:val="nil"/>
              <w:right w:val="nil"/>
            </w:tcBorders>
            <w:vAlign w:val="center"/>
          </w:tcPr>
          <w:p w14:paraId="65C2F6A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244</w:t>
            </w:r>
          </w:p>
          <w:p w14:paraId="037E0D9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260" w:dyaOrig="806" w14:anchorId="611EC940">
                <v:shape id="_x0000_i1030" type="#_x0000_t75" style="width:112.85pt;height:40.2pt" o:ole="">
                  <v:imagedata r:id="rId34" o:title=""/>
                </v:shape>
                <o:OLEObject Type="Embed" ProgID="ACD.ChemSketchCDX" ShapeID="_x0000_i1030" DrawAspect="Content" ObjectID="_1756968194" r:id="rId35"/>
              </w:object>
            </w:r>
          </w:p>
        </w:tc>
        <w:tc>
          <w:tcPr>
            <w:tcW w:w="2619" w:type="dxa"/>
            <w:tcBorders>
              <w:top w:val="nil"/>
              <w:left w:val="nil"/>
              <w:bottom w:val="nil"/>
              <w:right w:val="nil"/>
            </w:tcBorders>
            <w:vAlign w:val="center"/>
          </w:tcPr>
          <w:p w14:paraId="15DCED7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451</w:t>
            </w:r>
          </w:p>
          <w:p w14:paraId="578DE4B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272" w:dyaOrig="1506" w14:anchorId="751B8C6A">
                <v:shape id="_x0000_i1031" type="#_x0000_t75" style="width:113.5pt;height:75.25pt" o:ole="">
                  <v:imagedata r:id="rId36" o:title=""/>
                </v:shape>
                <o:OLEObject Type="Embed" ProgID="ACD.ChemSketchCDX" ShapeID="_x0000_i1031" DrawAspect="Content" ObjectID="_1756968195" r:id="rId37"/>
              </w:object>
            </w:r>
          </w:p>
        </w:tc>
      </w:tr>
      <w:tr w:rsidR="00295605" w:rsidRPr="00295605" w14:paraId="3F52940A" w14:textId="77777777" w:rsidTr="00D4167D">
        <w:tc>
          <w:tcPr>
            <w:tcW w:w="2675" w:type="dxa"/>
            <w:tcBorders>
              <w:top w:val="nil"/>
              <w:left w:val="nil"/>
              <w:bottom w:val="nil"/>
              <w:right w:val="nil"/>
            </w:tcBorders>
            <w:vAlign w:val="center"/>
          </w:tcPr>
          <w:p w14:paraId="2F8FF4B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643</w:t>
            </w:r>
          </w:p>
          <w:p w14:paraId="40ACACD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289" w:dyaOrig="1592" w14:anchorId="3CE6BB7D">
                <v:shape id="_x0000_i1032" type="#_x0000_t75" style="width:114.15pt;height:79.8pt" o:ole="">
                  <v:imagedata r:id="rId38" o:title=""/>
                </v:shape>
                <o:OLEObject Type="Embed" ProgID="ACD.ChemSketchCDX" ShapeID="_x0000_i1032" DrawAspect="Content" ObjectID="_1756968196" r:id="rId39"/>
              </w:object>
            </w:r>
          </w:p>
        </w:tc>
        <w:tc>
          <w:tcPr>
            <w:tcW w:w="2619" w:type="dxa"/>
            <w:tcBorders>
              <w:top w:val="nil"/>
              <w:left w:val="nil"/>
              <w:bottom w:val="nil"/>
              <w:right w:val="nil"/>
            </w:tcBorders>
            <w:vAlign w:val="center"/>
          </w:tcPr>
          <w:p w14:paraId="3B6F4DB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446</w:t>
            </w:r>
          </w:p>
          <w:p w14:paraId="3805DD6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170" w:dyaOrig="844" w14:anchorId="7AB38359">
                <v:shape id="_x0000_i1033" type="#_x0000_t75" style="width:108.95pt;height:42.8pt" o:ole="">
                  <v:imagedata r:id="rId40" o:title=""/>
                </v:shape>
                <o:OLEObject Type="Embed" ProgID="ACD.ChemSketchCDX" ShapeID="_x0000_i1033" DrawAspect="Content" ObjectID="_1756968197" r:id="rId41"/>
              </w:object>
            </w:r>
          </w:p>
        </w:tc>
        <w:tc>
          <w:tcPr>
            <w:tcW w:w="2619" w:type="dxa"/>
            <w:tcBorders>
              <w:top w:val="nil"/>
              <w:left w:val="nil"/>
              <w:bottom w:val="nil"/>
              <w:right w:val="nil"/>
            </w:tcBorders>
            <w:vAlign w:val="center"/>
          </w:tcPr>
          <w:p w14:paraId="540C2D9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418</w:t>
            </w:r>
          </w:p>
          <w:p w14:paraId="723D938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145" w:dyaOrig="1627" w14:anchorId="53C2DE79">
                <v:shape id="_x0000_i1034" type="#_x0000_t75" style="width:107.05pt;height:81.75pt" o:ole="">
                  <v:imagedata r:id="rId42" o:title=""/>
                </v:shape>
                <o:OLEObject Type="Embed" ProgID="ACD.ChemSketchCDX" ShapeID="_x0000_i1034" DrawAspect="Content" ObjectID="_1756968198" r:id="rId43"/>
              </w:object>
            </w:r>
          </w:p>
        </w:tc>
      </w:tr>
      <w:tr w:rsidR="00295605" w:rsidRPr="00295605" w14:paraId="17F634BD" w14:textId="77777777" w:rsidTr="00D4167D">
        <w:tc>
          <w:tcPr>
            <w:tcW w:w="2675" w:type="dxa"/>
            <w:tcBorders>
              <w:top w:val="nil"/>
              <w:left w:val="nil"/>
              <w:bottom w:val="nil"/>
              <w:right w:val="nil"/>
            </w:tcBorders>
            <w:vAlign w:val="center"/>
          </w:tcPr>
          <w:p w14:paraId="5E061B5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674</w:t>
            </w:r>
          </w:p>
          <w:p w14:paraId="2B55004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1560" w:dyaOrig="1617" w14:anchorId="75DDAC95">
                <v:shape id="_x0000_i1035" type="#_x0000_t75" style="width:78.5pt;height:81.1pt" o:ole="">
                  <v:imagedata r:id="rId44" o:title=""/>
                </v:shape>
                <o:OLEObject Type="Embed" ProgID="ACD.ChemSketchCDX" ShapeID="_x0000_i1035" DrawAspect="Content" ObjectID="_1756968199" r:id="rId45"/>
              </w:object>
            </w:r>
          </w:p>
        </w:tc>
        <w:tc>
          <w:tcPr>
            <w:tcW w:w="2619" w:type="dxa"/>
            <w:tcBorders>
              <w:top w:val="nil"/>
              <w:left w:val="nil"/>
              <w:bottom w:val="nil"/>
              <w:right w:val="nil"/>
            </w:tcBorders>
            <w:vAlign w:val="center"/>
          </w:tcPr>
          <w:p w14:paraId="76F770F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419</w:t>
            </w:r>
          </w:p>
          <w:p w14:paraId="0DB4914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object w:dxaOrig="2018" w:dyaOrig="1789" w14:anchorId="5432CE28">
                <v:shape id="_x0000_i1036" type="#_x0000_t75" style="width:101.2pt;height:89.5pt" o:ole="">
                  <v:imagedata r:id="rId46" o:title=""/>
                </v:shape>
                <o:OLEObject Type="Embed" ProgID="ACD.ChemSketchCDX" ShapeID="_x0000_i1036" DrawAspect="Content" ObjectID="_1756968200" r:id="rId47"/>
              </w:object>
            </w:r>
          </w:p>
        </w:tc>
        <w:tc>
          <w:tcPr>
            <w:tcW w:w="2619" w:type="dxa"/>
            <w:tcBorders>
              <w:top w:val="nil"/>
              <w:left w:val="nil"/>
              <w:bottom w:val="nil"/>
              <w:right w:val="nil"/>
            </w:tcBorders>
            <w:vAlign w:val="center"/>
          </w:tcPr>
          <w:p w14:paraId="63367F2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233</w:t>
            </w:r>
          </w:p>
          <w:p w14:paraId="3CB8C8A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cs="Arial"/>
                <w:noProof w:val="0"/>
                <w:snapToGrid w:val="0"/>
                <w:sz w:val="22"/>
                <w:szCs w:val="22"/>
                <w:lang w:val="en-IN" w:eastAsia="en-US"/>
              </w:rPr>
              <w:object w:dxaOrig="2325" w:dyaOrig="1215" w14:anchorId="3C1BC274">
                <v:shape id="_x0000_i1037" type="#_x0000_t75" style="width:116.1pt;height:60.95pt" o:ole="">
                  <v:imagedata r:id="rId48" o:title=""/>
                </v:shape>
                <o:OLEObject Type="Embed" ProgID="ACD.ChemSketchCDX" ShapeID="_x0000_i1037" DrawAspect="Content" ObjectID="_1756968201" r:id="rId49"/>
              </w:object>
            </w:r>
          </w:p>
        </w:tc>
      </w:tr>
      <w:tr w:rsidR="00295605" w:rsidRPr="00295605" w14:paraId="3072AE30" w14:textId="77777777" w:rsidTr="00D4167D">
        <w:tc>
          <w:tcPr>
            <w:tcW w:w="2675" w:type="dxa"/>
            <w:tcBorders>
              <w:top w:val="nil"/>
              <w:left w:val="nil"/>
              <w:bottom w:val="nil"/>
              <w:right w:val="nil"/>
            </w:tcBorders>
            <w:vAlign w:val="center"/>
          </w:tcPr>
          <w:p w14:paraId="5B52057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582</w:t>
            </w:r>
          </w:p>
          <w:p w14:paraId="74A9432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755" w:dyaOrig="2520" w14:anchorId="0FFFA187">
                <v:shape id="_x0000_i1038" type="#_x0000_t75" style="width:88.2pt;height:125.85pt" o:ole="">
                  <v:imagedata r:id="rId50" o:title=""/>
                </v:shape>
                <o:OLEObject Type="Embed" ProgID="ACD.ChemSketchCDX" ShapeID="_x0000_i1038" DrawAspect="Content" ObjectID="_1756968202" r:id="rId51"/>
              </w:object>
            </w:r>
          </w:p>
        </w:tc>
        <w:tc>
          <w:tcPr>
            <w:tcW w:w="2619" w:type="dxa"/>
            <w:tcBorders>
              <w:top w:val="nil"/>
              <w:left w:val="nil"/>
              <w:bottom w:val="nil"/>
              <w:right w:val="nil"/>
            </w:tcBorders>
            <w:vAlign w:val="center"/>
          </w:tcPr>
          <w:p w14:paraId="1C83337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648</w:t>
            </w:r>
          </w:p>
          <w:p w14:paraId="7059807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995" w:dyaOrig="1755" w14:anchorId="5CE47329">
                <v:shape id="_x0000_i1039" type="#_x0000_t75" style="width:100.55pt;height:88.2pt" o:ole="">
                  <v:imagedata r:id="rId52" o:title=""/>
                </v:shape>
                <o:OLEObject Type="Embed" ProgID="ACD.ChemSketchCDX" ShapeID="_x0000_i1039" DrawAspect="Content" ObjectID="_1756968203" r:id="rId53"/>
              </w:object>
            </w:r>
          </w:p>
        </w:tc>
        <w:tc>
          <w:tcPr>
            <w:tcW w:w="2619" w:type="dxa"/>
            <w:tcBorders>
              <w:top w:val="nil"/>
              <w:left w:val="nil"/>
              <w:bottom w:val="nil"/>
              <w:right w:val="nil"/>
            </w:tcBorders>
            <w:vAlign w:val="center"/>
          </w:tcPr>
          <w:p w14:paraId="34A15BB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686</w:t>
            </w:r>
          </w:p>
          <w:p w14:paraId="2D47A43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100" w:dyaOrig="1080" w14:anchorId="4322D1CC">
                <v:shape id="_x0000_i1040" type="#_x0000_t75" style="width:105.1pt;height:53.85pt" o:ole="">
                  <v:imagedata r:id="rId54" o:title=""/>
                </v:shape>
                <o:OLEObject Type="Embed" ProgID="ACD.ChemSketchCDX" ShapeID="_x0000_i1040" DrawAspect="Content" ObjectID="_1756968204" r:id="rId55"/>
              </w:object>
            </w:r>
          </w:p>
        </w:tc>
      </w:tr>
      <w:tr w:rsidR="00295605" w:rsidRPr="00295605" w14:paraId="13331F65" w14:textId="77777777" w:rsidTr="00D4167D">
        <w:tc>
          <w:tcPr>
            <w:tcW w:w="2675" w:type="dxa"/>
            <w:tcBorders>
              <w:top w:val="nil"/>
              <w:left w:val="nil"/>
              <w:bottom w:val="nil"/>
              <w:right w:val="nil"/>
            </w:tcBorders>
            <w:vAlign w:val="center"/>
          </w:tcPr>
          <w:p w14:paraId="3A913EB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366</w:t>
            </w:r>
          </w:p>
          <w:p w14:paraId="712056D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935" w:dyaOrig="1905" w14:anchorId="29D75A26">
                <v:shape id="_x0000_i1041" type="#_x0000_t75" style="width:96.65pt;height:95.35pt" o:ole="">
                  <v:imagedata r:id="rId56" o:title=""/>
                </v:shape>
                <o:OLEObject Type="Embed" ProgID="ACD.ChemSketchCDX" ShapeID="_x0000_i1041" DrawAspect="Content" ObjectID="_1756968205" r:id="rId57"/>
              </w:object>
            </w:r>
          </w:p>
        </w:tc>
        <w:tc>
          <w:tcPr>
            <w:tcW w:w="2619" w:type="dxa"/>
            <w:tcBorders>
              <w:top w:val="nil"/>
              <w:left w:val="nil"/>
              <w:bottom w:val="nil"/>
              <w:right w:val="nil"/>
            </w:tcBorders>
            <w:vAlign w:val="center"/>
          </w:tcPr>
          <w:p w14:paraId="00B1285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472</w:t>
            </w:r>
          </w:p>
          <w:p w14:paraId="2765532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535" w:dyaOrig="990" w14:anchorId="45AA31E1">
                <v:shape id="_x0000_i1042" type="#_x0000_t75" style="width:126.5pt;height:49.95pt" o:ole="">
                  <v:imagedata r:id="rId58" o:title=""/>
                </v:shape>
                <o:OLEObject Type="Embed" ProgID="ACD.ChemSketchCDX" ShapeID="_x0000_i1042" DrawAspect="Content" ObjectID="_1756968206" r:id="rId59"/>
              </w:object>
            </w:r>
          </w:p>
        </w:tc>
        <w:tc>
          <w:tcPr>
            <w:tcW w:w="2619" w:type="dxa"/>
            <w:tcBorders>
              <w:top w:val="nil"/>
              <w:left w:val="nil"/>
              <w:bottom w:val="nil"/>
              <w:right w:val="nil"/>
            </w:tcBorders>
            <w:vAlign w:val="center"/>
          </w:tcPr>
          <w:p w14:paraId="75346FF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487</w:t>
            </w:r>
          </w:p>
          <w:p w14:paraId="77B91A4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115" w:dyaOrig="1155" w14:anchorId="2D4868EB">
                <v:shape id="_x0000_i1043" type="#_x0000_t75" style="width:105.75pt;height:58.4pt" o:ole="">
                  <v:imagedata r:id="rId60" o:title=""/>
                </v:shape>
                <o:OLEObject Type="Embed" ProgID="ACD.ChemSketchCDX" ShapeID="_x0000_i1043" DrawAspect="Content" ObjectID="_1756968207" r:id="rId61"/>
              </w:object>
            </w:r>
          </w:p>
        </w:tc>
      </w:tr>
      <w:tr w:rsidR="00295605" w:rsidRPr="00295605" w14:paraId="1AD9CDE5" w14:textId="77777777" w:rsidTr="00D4167D">
        <w:tc>
          <w:tcPr>
            <w:tcW w:w="2675" w:type="dxa"/>
            <w:tcBorders>
              <w:top w:val="nil"/>
              <w:left w:val="nil"/>
              <w:bottom w:val="nil"/>
              <w:right w:val="nil"/>
            </w:tcBorders>
            <w:vAlign w:val="center"/>
          </w:tcPr>
          <w:p w14:paraId="2B481F5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380</w:t>
            </w:r>
          </w:p>
          <w:p w14:paraId="08E60DB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280" w:dyaOrig="1410" w14:anchorId="4DEDD397">
                <v:shape id="_x0000_i1044" type="#_x0000_t75" style="width:114.15pt;height:70.7pt" o:ole="">
                  <v:imagedata r:id="rId62" o:title=""/>
                </v:shape>
                <o:OLEObject Type="Embed" ProgID="ACD.ChemSketchCDX" ShapeID="_x0000_i1044" DrawAspect="Content" ObjectID="_1756968208" r:id="rId63"/>
              </w:object>
            </w:r>
          </w:p>
        </w:tc>
        <w:tc>
          <w:tcPr>
            <w:tcW w:w="2619" w:type="dxa"/>
            <w:tcBorders>
              <w:top w:val="nil"/>
              <w:left w:val="nil"/>
              <w:bottom w:val="nil"/>
              <w:right w:val="nil"/>
            </w:tcBorders>
            <w:vAlign w:val="center"/>
          </w:tcPr>
          <w:p w14:paraId="7CA7F9A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336</w:t>
            </w:r>
          </w:p>
          <w:p w14:paraId="5322021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920" w:dyaOrig="1095" w14:anchorId="37DB27FD">
                <v:shape id="_x0000_i1045" type="#_x0000_t75" style="width:96pt;height:54.5pt" o:ole="">
                  <v:imagedata r:id="rId64" o:title=""/>
                </v:shape>
                <o:OLEObject Type="Embed" ProgID="ACD.ChemSketchCDX" ShapeID="_x0000_i1045" DrawAspect="Content" ObjectID="_1756968209" r:id="rId65"/>
              </w:object>
            </w:r>
          </w:p>
        </w:tc>
        <w:tc>
          <w:tcPr>
            <w:tcW w:w="2619" w:type="dxa"/>
            <w:tcBorders>
              <w:top w:val="nil"/>
              <w:left w:val="nil"/>
              <w:bottom w:val="nil"/>
              <w:right w:val="nil"/>
            </w:tcBorders>
            <w:vAlign w:val="center"/>
          </w:tcPr>
          <w:p w14:paraId="5AB6243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557</w:t>
            </w:r>
          </w:p>
          <w:p w14:paraId="189803E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740" w:dyaOrig="1980" w14:anchorId="6D99F078">
                <v:shape id="_x0000_i1046" type="#_x0000_t75" style="width:87.55pt;height:99.25pt" o:ole="">
                  <v:imagedata r:id="rId66" o:title=""/>
                </v:shape>
                <o:OLEObject Type="Embed" ProgID="ACD.ChemSketchCDX" ShapeID="_x0000_i1046" DrawAspect="Content" ObjectID="_1756968210" r:id="rId67"/>
              </w:object>
            </w:r>
          </w:p>
        </w:tc>
      </w:tr>
      <w:tr w:rsidR="00295605" w:rsidRPr="00295605" w14:paraId="403D7149" w14:textId="77777777" w:rsidTr="00D4167D">
        <w:tc>
          <w:tcPr>
            <w:tcW w:w="2675" w:type="dxa"/>
            <w:tcBorders>
              <w:top w:val="nil"/>
              <w:left w:val="nil"/>
              <w:bottom w:val="nil"/>
              <w:right w:val="nil"/>
            </w:tcBorders>
            <w:vAlign w:val="center"/>
          </w:tcPr>
          <w:p w14:paraId="30BC870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4B952AA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c>
          <w:tcPr>
            <w:tcW w:w="2619" w:type="dxa"/>
            <w:tcBorders>
              <w:top w:val="nil"/>
              <w:left w:val="nil"/>
              <w:bottom w:val="nil"/>
              <w:right w:val="nil"/>
            </w:tcBorders>
            <w:vAlign w:val="center"/>
          </w:tcPr>
          <w:p w14:paraId="34912B7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p>
        </w:tc>
      </w:tr>
      <w:tr w:rsidR="00295605" w:rsidRPr="00295605" w14:paraId="43D69CBE" w14:textId="77777777" w:rsidTr="00D4167D">
        <w:tc>
          <w:tcPr>
            <w:tcW w:w="2675" w:type="dxa"/>
            <w:tcBorders>
              <w:top w:val="nil"/>
              <w:left w:val="nil"/>
              <w:bottom w:val="nil"/>
              <w:right w:val="nil"/>
            </w:tcBorders>
            <w:vAlign w:val="center"/>
          </w:tcPr>
          <w:p w14:paraId="102FDD6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175</w:t>
            </w:r>
          </w:p>
          <w:p w14:paraId="174E8B9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770" w:dyaOrig="1635" w14:anchorId="45AB2A73">
                <v:shape id="_x0000_i1047" type="#_x0000_t75" style="width:88.85pt;height:81.75pt" o:ole="">
                  <v:imagedata r:id="rId68" o:title=""/>
                </v:shape>
                <o:OLEObject Type="Embed" ProgID="ACD.ChemSketchCDX" ShapeID="_x0000_i1047" DrawAspect="Content" ObjectID="_1756968211" r:id="rId69"/>
              </w:object>
            </w:r>
          </w:p>
        </w:tc>
        <w:tc>
          <w:tcPr>
            <w:tcW w:w="2619" w:type="dxa"/>
            <w:tcBorders>
              <w:top w:val="nil"/>
              <w:left w:val="nil"/>
              <w:bottom w:val="nil"/>
              <w:right w:val="nil"/>
            </w:tcBorders>
            <w:vAlign w:val="center"/>
          </w:tcPr>
          <w:p w14:paraId="3B4F114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441</w:t>
            </w:r>
          </w:p>
          <w:p w14:paraId="6355B0D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370" w:dyaOrig="1380" w14:anchorId="5288452F">
                <v:shape id="_x0000_i1048" type="#_x0000_t75" style="width:118.7pt;height:69.4pt" o:ole="">
                  <v:imagedata r:id="rId70" o:title=""/>
                </v:shape>
                <o:OLEObject Type="Embed" ProgID="ACD.ChemSketchCDX" ShapeID="_x0000_i1048" DrawAspect="Content" ObjectID="_1756968212" r:id="rId71"/>
              </w:object>
            </w:r>
          </w:p>
        </w:tc>
        <w:tc>
          <w:tcPr>
            <w:tcW w:w="2619" w:type="dxa"/>
            <w:tcBorders>
              <w:top w:val="nil"/>
              <w:left w:val="nil"/>
              <w:bottom w:val="nil"/>
              <w:right w:val="nil"/>
            </w:tcBorders>
            <w:vAlign w:val="center"/>
          </w:tcPr>
          <w:p w14:paraId="696D49B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179</w:t>
            </w:r>
          </w:p>
          <w:p w14:paraId="20B1109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545" w:dyaOrig="1230" w14:anchorId="50D2F9E2">
                <v:shape id="_x0000_i1049" type="#_x0000_t75" style="width:77.85pt;height:61.6pt" o:ole="">
                  <v:imagedata r:id="rId72" o:title=""/>
                </v:shape>
                <o:OLEObject Type="Embed" ProgID="ACD.ChemSketchCDX" ShapeID="_x0000_i1049" DrawAspect="Content" ObjectID="_1756968213" r:id="rId73"/>
              </w:object>
            </w:r>
          </w:p>
        </w:tc>
      </w:tr>
      <w:tr w:rsidR="00295605" w:rsidRPr="00295605" w14:paraId="76A0C2AC" w14:textId="77777777" w:rsidTr="00D4167D">
        <w:tc>
          <w:tcPr>
            <w:tcW w:w="2675" w:type="dxa"/>
            <w:tcBorders>
              <w:top w:val="nil"/>
              <w:left w:val="nil"/>
              <w:bottom w:val="nil"/>
              <w:right w:val="nil"/>
            </w:tcBorders>
            <w:vAlign w:val="center"/>
          </w:tcPr>
          <w:p w14:paraId="1B47F2B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559</w:t>
            </w:r>
          </w:p>
          <w:p w14:paraId="32378AE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475" w:dyaOrig="2100" w14:anchorId="48C93CD3">
                <v:shape id="_x0000_i1050" type="#_x0000_t75" style="width:123.9pt;height:105.1pt" o:ole="">
                  <v:imagedata r:id="rId74" o:title=""/>
                </v:shape>
                <o:OLEObject Type="Embed" ProgID="ACD.ChemSketchCDX" ShapeID="_x0000_i1050" DrawAspect="Content" ObjectID="_1756968214" r:id="rId75"/>
              </w:object>
            </w:r>
          </w:p>
        </w:tc>
        <w:tc>
          <w:tcPr>
            <w:tcW w:w="2619" w:type="dxa"/>
            <w:tcBorders>
              <w:top w:val="nil"/>
              <w:left w:val="nil"/>
              <w:bottom w:val="nil"/>
              <w:right w:val="nil"/>
            </w:tcBorders>
            <w:vAlign w:val="center"/>
          </w:tcPr>
          <w:p w14:paraId="17D8CF1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328</w:t>
            </w:r>
          </w:p>
          <w:p w14:paraId="738E1D1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800" w:dyaOrig="1095" w14:anchorId="6B2F4FCE">
                <v:shape id="_x0000_i1051" type="#_x0000_t75" style="width:90.15pt;height:54.5pt" o:ole="">
                  <v:imagedata r:id="rId76" o:title=""/>
                </v:shape>
                <o:OLEObject Type="Embed" ProgID="ACD.ChemSketchCDX" ShapeID="_x0000_i1051" DrawAspect="Content" ObjectID="_1756968215" r:id="rId77"/>
              </w:object>
            </w:r>
          </w:p>
        </w:tc>
        <w:tc>
          <w:tcPr>
            <w:tcW w:w="2619" w:type="dxa"/>
            <w:tcBorders>
              <w:top w:val="nil"/>
              <w:left w:val="nil"/>
              <w:bottom w:val="nil"/>
              <w:right w:val="nil"/>
            </w:tcBorders>
            <w:vAlign w:val="center"/>
          </w:tcPr>
          <w:p w14:paraId="2DFE025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473</w:t>
            </w:r>
          </w:p>
          <w:p w14:paraId="04ACDCD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1755" w:dyaOrig="1785" w14:anchorId="111573EC">
                <v:shape id="_x0000_i1052" type="#_x0000_t75" style="width:88.2pt;height:89.5pt" o:ole="">
                  <v:imagedata r:id="rId78" o:title=""/>
                </v:shape>
                <o:OLEObject Type="Embed" ProgID="ACD.ChemSketchCDX" ShapeID="_x0000_i1052" DrawAspect="Content" ObjectID="_1756968216" r:id="rId79"/>
              </w:object>
            </w:r>
          </w:p>
        </w:tc>
      </w:tr>
      <w:tr w:rsidR="00295605" w:rsidRPr="00295605" w14:paraId="5979A4FD" w14:textId="77777777" w:rsidTr="00D4167D">
        <w:tc>
          <w:tcPr>
            <w:tcW w:w="2675" w:type="dxa"/>
            <w:tcBorders>
              <w:top w:val="nil"/>
              <w:left w:val="nil"/>
              <w:bottom w:val="nil"/>
              <w:right w:val="nil"/>
            </w:tcBorders>
            <w:vAlign w:val="center"/>
          </w:tcPr>
          <w:p w14:paraId="105944E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183</w:t>
            </w:r>
          </w:p>
          <w:p w14:paraId="4BB46A7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580" w:dyaOrig="825" w14:anchorId="7F0CCF5D">
                <v:shape id="_x0000_i1053" type="#_x0000_t75" style="width:128.45pt;height:41.5pt" o:ole="">
                  <v:imagedata r:id="rId80" o:title=""/>
                </v:shape>
                <o:OLEObject Type="Embed" ProgID="ACD.ChemSketchCDX" ShapeID="_x0000_i1053" DrawAspect="Content" ObjectID="_1756968217" r:id="rId81"/>
              </w:object>
            </w:r>
          </w:p>
        </w:tc>
        <w:tc>
          <w:tcPr>
            <w:tcW w:w="2619" w:type="dxa"/>
            <w:tcBorders>
              <w:top w:val="nil"/>
              <w:left w:val="nil"/>
              <w:bottom w:val="nil"/>
              <w:right w:val="nil"/>
            </w:tcBorders>
            <w:vAlign w:val="center"/>
          </w:tcPr>
          <w:p w14:paraId="636450C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42</w:t>
            </w:r>
          </w:p>
          <w:p w14:paraId="1A7CF44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520" w:dyaOrig="1170" w14:anchorId="297C308D">
                <v:shape id="_x0000_i1054" type="#_x0000_t75" style="width:125.85pt;height:59.05pt" o:ole="">
                  <v:imagedata r:id="rId82" o:title=""/>
                </v:shape>
                <o:OLEObject Type="Embed" ProgID="ACD.ChemSketchCDX" ShapeID="_x0000_i1054" DrawAspect="Content" ObjectID="_1756968218" r:id="rId83"/>
              </w:object>
            </w:r>
          </w:p>
        </w:tc>
        <w:tc>
          <w:tcPr>
            <w:tcW w:w="2619" w:type="dxa"/>
            <w:tcBorders>
              <w:top w:val="nil"/>
              <w:left w:val="nil"/>
              <w:bottom w:val="nil"/>
              <w:right w:val="nil"/>
            </w:tcBorders>
            <w:vAlign w:val="center"/>
          </w:tcPr>
          <w:p w14:paraId="46B45B4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234</w:t>
            </w:r>
          </w:p>
          <w:p w14:paraId="101D921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655" w:dyaOrig="765" w14:anchorId="1C5F5E2D">
                <v:shape id="_x0000_i1055" type="#_x0000_t75" style="width:132.95pt;height:38.9pt" o:ole="">
                  <v:imagedata r:id="rId84" o:title=""/>
                </v:shape>
                <o:OLEObject Type="Embed" ProgID="ACD.ChemSketchCDX" ShapeID="_x0000_i1055" DrawAspect="Content" ObjectID="_1756968219" r:id="rId85"/>
              </w:object>
            </w:r>
          </w:p>
        </w:tc>
      </w:tr>
      <w:tr w:rsidR="00295605" w:rsidRPr="00295605" w14:paraId="200E7AA6" w14:textId="77777777" w:rsidTr="00D4167D">
        <w:tc>
          <w:tcPr>
            <w:tcW w:w="2675" w:type="dxa"/>
            <w:tcBorders>
              <w:top w:val="nil"/>
              <w:left w:val="nil"/>
              <w:bottom w:val="nil"/>
              <w:right w:val="nil"/>
            </w:tcBorders>
            <w:vAlign w:val="center"/>
          </w:tcPr>
          <w:p w14:paraId="2ABB5FB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369</w:t>
            </w:r>
          </w:p>
          <w:p w14:paraId="7152E4B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475" w:dyaOrig="1095" w14:anchorId="11ACACBB">
                <v:shape id="_x0000_i1056" type="#_x0000_t75" style="width:123.9pt;height:54.5pt" o:ole="">
                  <v:imagedata r:id="rId86" o:title=""/>
                </v:shape>
                <o:OLEObject Type="Embed" ProgID="ACD.ChemSketchCDX" ShapeID="_x0000_i1056" DrawAspect="Content" ObjectID="_1756968220" r:id="rId87"/>
              </w:object>
            </w:r>
          </w:p>
        </w:tc>
        <w:tc>
          <w:tcPr>
            <w:tcW w:w="2619" w:type="dxa"/>
            <w:tcBorders>
              <w:top w:val="nil"/>
              <w:left w:val="nil"/>
              <w:bottom w:val="nil"/>
              <w:right w:val="nil"/>
            </w:tcBorders>
            <w:vAlign w:val="center"/>
          </w:tcPr>
          <w:p w14:paraId="141D0B0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684</w:t>
            </w:r>
          </w:p>
          <w:p w14:paraId="393D27E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310" w:dyaOrig="1365" w14:anchorId="286B473E">
                <v:shape id="_x0000_i1057" type="#_x0000_t75" style="width:115.45pt;height:68.75pt" o:ole="">
                  <v:imagedata r:id="rId88" o:title=""/>
                </v:shape>
                <o:OLEObject Type="Embed" ProgID="ACD.ChemSketchCDX" ShapeID="_x0000_i1057" DrawAspect="Content" ObjectID="_1756968221" r:id="rId89"/>
              </w:object>
            </w:r>
          </w:p>
        </w:tc>
        <w:tc>
          <w:tcPr>
            <w:tcW w:w="2619" w:type="dxa"/>
            <w:tcBorders>
              <w:top w:val="nil"/>
              <w:left w:val="nil"/>
              <w:bottom w:val="nil"/>
              <w:right w:val="nil"/>
            </w:tcBorders>
            <w:vAlign w:val="center"/>
          </w:tcPr>
          <w:p w14:paraId="7A313F6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588</w:t>
            </w:r>
          </w:p>
          <w:p w14:paraId="4E5B4FB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280" w:dyaOrig="1410" w14:anchorId="3698F00A">
                <v:shape id="_x0000_i1058" type="#_x0000_t75" style="width:114.15pt;height:70.7pt" o:ole="">
                  <v:imagedata r:id="rId90" o:title=""/>
                </v:shape>
                <o:OLEObject Type="Embed" ProgID="ACD.ChemSketchCDX" ShapeID="_x0000_i1058" DrawAspect="Content" ObjectID="_1756968222" r:id="rId91"/>
              </w:object>
            </w:r>
          </w:p>
        </w:tc>
      </w:tr>
      <w:tr w:rsidR="00295605" w:rsidRPr="00295605" w14:paraId="1E94DAB5" w14:textId="77777777" w:rsidTr="00D4167D">
        <w:tc>
          <w:tcPr>
            <w:tcW w:w="2675" w:type="dxa"/>
            <w:tcBorders>
              <w:top w:val="nil"/>
              <w:left w:val="nil"/>
              <w:bottom w:val="nil"/>
              <w:right w:val="nil"/>
            </w:tcBorders>
            <w:vAlign w:val="center"/>
          </w:tcPr>
          <w:p w14:paraId="6683F13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581</w:t>
            </w:r>
          </w:p>
          <w:p w14:paraId="6ECAC78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310" w:dyaOrig="1425" w14:anchorId="243D734C">
                <v:shape id="_x0000_i1059" type="#_x0000_t75" style="width:115.45pt;height:71.35pt" o:ole="">
                  <v:imagedata r:id="rId92" o:title=""/>
                </v:shape>
                <o:OLEObject Type="Embed" ProgID="ACD.ChemSketchCDX" ShapeID="_x0000_i1059" DrawAspect="Content" ObjectID="_1756968223" r:id="rId93"/>
              </w:object>
            </w:r>
          </w:p>
        </w:tc>
        <w:tc>
          <w:tcPr>
            <w:tcW w:w="2619" w:type="dxa"/>
            <w:tcBorders>
              <w:top w:val="nil"/>
              <w:left w:val="nil"/>
              <w:bottom w:val="nil"/>
              <w:right w:val="nil"/>
            </w:tcBorders>
            <w:vAlign w:val="center"/>
          </w:tcPr>
          <w:p w14:paraId="7455E82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167</w:t>
            </w:r>
          </w:p>
          <w:p w14:paraId="1EB8E7A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100" w:dyaOrig="1350" w14:anchorId="647CDEE8">
                <v:shape id="_x0000_i1060" type="#_x0000_t75" style="width:105.1pt;height:68.1pt" o:ole="">
                  <v:imagedata r:id="rId94" o:title=""/>
                </v:shape>
                <o:OLEObject Type="Embed" ProgID="ACD.ChemSketchCDX" ShapeID="_x0000_i1060" DrawAspect="Content" ObjectID="_1756968224" r:id="rId95"/>
              </w:object>
            </w:r>
          </w:p>
        </w:tc>
        <w:tc>
          <w:tcPr>
            <w:tcW w:w="2619" w:type="dxa"/>
            <w:tcBorders>
              <w:top w:val="nil"/>
              <w:left w:val="nil"/>
              <w:bottom w:val="nil"/>
              <w:right w:val="nil"/>
            </w:tcBorders>
            <w:vAlign w:val="center"/>
          </w:tcPr>
          <w:p w14:paraId="369CD64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380</w:t>
            </w:r>
          </w:p>
          <w:p w14:paraId="39D43F8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ascii="Calibri" w:eastAsia="Calibri" w:hAnsi="Calibri"/>
                <w:sz w:val="22"/>
                <w:szCs w:val="22"/>
                <w:lang w:val="en-IN" w:eastAsia="en-US"/>
              </w:rPr>
              <w:object w:dxaOrig="2280" w:dyaOrig="1410" w14:anchorId="2580623E">
                <v:shape id="_x0000_i1061" type="#_x0000_t75" style="width:114.15pt;height:70.7pt" o:ole="">
                  <v:imagedata r:id="rId96" o:title=""/>
                </v:shape>
                <o:OLEObject Type="Embed" ProgID="ACD.ChemSketchCDX" ShapeID="_x0000_i1061" DrawAspect="Content" ObjectID="_1756968225" r:id="rId97"/>
              </w:object>
            </w:r>
          </w:p>
        </w:tc>
      </w:tr>
    </w:tbl>
    <w:p w14:paraId="4F9716FD" w14:textId="77777777" w:rsidR="00295605" w:rsidRPr="00295605" w:rsidRDefault="00295605" w:rsidP="00295605">
      <w:pPr>
        <w:adjustRightInd w:val="0"/>
        <w:snapToGrid w:val="0"/>
        <w:spacing w:before="240" w:after="60" w:line="228" w:lineRule="auto"/>
        <w:jc w:val="left"/>
        <w:outlineLvl w:val="0"/>
        <w:rPr>
          <w:rFonts w:eastAsia="Times New Roman"/>
          <w:b/>
          <w:noProof w:val="0"/>
          <w:snapToGrid w:val="0"/>
          <w:szCs w:val="22"/>
          <w:lang w:val="en-IN" w:eastAsia="de-DE" w:bidi="en-US"/>
        </w:rPr>
      </w:pPr>
    </w:p>
    <w:p w14:paraId="7259BB74" w14:textId="77777777" w:rsidR="00295605" w:rsidRPr="00295605" w:rsidRDefault="00295605" w:rsidP="00295605">
      <w:pPr>
        <w:adjustRightInd w:val="0"/>
        <w:snapToGrid w:val="0"/>
        <w:spacing w:before="240" w:after="60" w:line="228" w:lineRule="auto"/>
        <w:ind w:left="2608"/>
        <w:jc w:val="left"/>
        <w:outlineLvl w:val="0"/>
        <w:rPr>
          <w:rFonts w:eastAsia="Times New Roman"/>
          <w:b/>
          <w:bCs/>
          <w:noProof w:val="0"/>
          <w:snapToGrid w:val="0"/>
          <w:szCs w:val="22"/>
          <w:lang w:val="en-IN" w:eastAsia="de-DE" w:bidi="en-US"/>
        </w:rPr>
      </w:pPr>
      <w:r w:rsidRPr="00295605">
        <w:rPr>
          <w:rFonts w:eastAsia="Times New Roman"/>
          <w:b/>
          <w:bCs/>
          <w:noProof w:val="0"/>
          <w:snapToGrid w:val="0"/>
          <w:szCs w:val="22"/>
          <w:lang w:val="en-IN" w:eastAsia="de-DE" w:bidi="en-US"/>
        </w:rPr>
        <w:t xml:space="preserve">Table </w:t>
      </w:r>
      <w:r w:rsidRPr="00295605">
        <w:rPr>
          <w:rFonts w:eastAsia="Times New Roman"/>
          <w:b/>
          <w:bCs/>
          <w:noProof w:val="0"/>
          <w:snapToGrid w:val="0"/>
          <w:szCs w:val="22"/>
          <w:lang w:val="en-IN" w:eastAsia="de-DE" w:bidi="en-US"/>
        </w:rPr>
        <w:fldChar w:fldCharType="begin"/>
      </w:r>
      <w:r w:rsidRPr="00295605">
        <w:rPr>
          <w:rFonts w:eastAsia="Times New Roman"/>
          <w:b/>
          <w:bCs/>
          <w:noProof w:val="0"/>
          <w:snapToGrid w:val="0"/>
          <w:szCs w:val="22"/>
          <w:lang w:val="en-IN" w:eastAsia="de-DE" w:bidi="en-US"/>
        </w:rPr>
        <w:instrText xml:space="preserve"> SEQ Table \* ARABIC </w:instrText>
      </w:r>
      <w:r w:rsidRPr="00295605">
        <w:rPr>
          <w:rFonts w:eastAsia="Times New Roman"/>
          <w:b/>
          <w:bCs/>
          <w:noProof w:val="0"/>
          <w:snapToGrid w:val="0"/>
          <w:szCs w:val="22"/>
          <w:lang w:val="en-IN" w:eastAsia="de-DE" w:bidi="en-US"/>
        </w:rPr>
        <w:fldChar w:fldCharType="separate"/>
      </w:r>
      <w:r w:rsidRPr="00295605">
        <w:rPr>
          <w:rFonts w:eastAsia="Times New Roman"/>
          <w:b/>
          <w:bCs/>
          <w:snapToGrid w:val="0"/>
          <w:szCs w:val="22"/>
          <w:lang w:val="en-IN" w:eastAsia="de-DE" w:bidi="en-US"/>
        </w:rPr>
        <w:t>7</w:t>
      </w:r>
      <w:r w:rsidRPr="00295605">
        <w:rPr>
          <w:rFonts w:eastAsia="Times New Roman"/>
          <w:b/>
          <w:noProof w:val="0"/>
          <w:snapToGrid w:val="0"/>
          <w:szCs w:val="22"/>
          <w:lang w:eastAsia="de-DE" w:bidi="en-US"/>
        </w:rPr>
        <w:fldChar w:fldCharType="end"/>
      </w:r>
      <w:r w:rsidRPr="00295605">
        <w:rPr>
          <w:rFonts w:eastAsia="Times New Roman"/>
          <w:b/>
          <w:bCs/>
          <w:noProof w:val="0"/>
          <w:snapToGrid w:val="0"/>
          <w:szCs w:val="22"/>
          <w:lang w:val="en-IN" w:eastAsia="de-DE" w:bidi="en-US"/>
        </w:rPr>
        <w:t xml:space="preserve"> Details about ligands code</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78"/>
        <w:gridCol w:w="4160"/>
        <w:gridCol w:w="2619"/>
      </w:tblGrid>
      <w:tr w:rsidR="00295605" w:rsidRPr="00295605" w14:paraId="6058C51B" w14:textId="77777777" w:rsidTr="00D4167D">
        <w:tc>
          <w:tcPr>
            <w:tcW w:w="1078" w:type="dxa"/>
            <w:tcBorders>
              <w:top w:val="single" w:sz="8" w:space="0" w:color="auto"/>
              <w:left w:val="nil"/>
              <w:bottom w:val="single" w:sz="4" w:space="0" w:color="auto"/>
              <w:right w:val="nil"/>
            </w:tcBorders>
            <w:vAlign w:val="center"/>
            <w:hideMark/>
          </w:tcPr>
          <w:p w14:paraId="77793F48" w14:textId="77777777" w:rsidR="00295605" w:rsidRPr="00295605" w:rsidRDefault="00295605" w:rsidP="00295605">
            <w:pPr>
              <w:adjustRightInd w:val="0"/>
              <w:snapToGrid w:val="0"/>
              <w:spacing w:line="240" w:lineRule="auto"/>
              <w:jc w:val="center"/>
              <w:rPr>
                <w:rFonts w:eastAsia="Times New Roman"/>
                <w:b/>
                <w:noProof w:val="0"/>
                <w:snapToGrid w:val="0"/>
                <w:lang w:eastAsia="de-DE" w:bidi="en-US"/>
              </w:rPr>
            </w:pPr>
            <w:r w:rsidRPr="00295605">
              <w:rPr>
                <w:rFonts w:eastAsia="Times New Roman"/>
                <w:b/>
                <w:bCs/>
                <w:noProof w:val="0"/>
                <w:snapToGrid w:val="0"/>
                <w:lang w:val="en-IN" w:eastAsia="de-DE" w:bidi="en-US"/>
              </w:rPr>
              <w:t>S. No.</w:t>
            </w:r>
          </w:p>
        </w:tc>
        <w:tc>
          <w:tcPr>
            <w:tcW w:w="4160" w:type="dxa"/>
            <w:tcBorders>
              <w:top w:val="single" w:sz="8" w:space="0" w:color="auto"/>
              <w:left w:val="nil"/>
              <w:bottom w:val="single" w:sz="4" w:space="0" w:color="auto"/>
              <w:right w:val="nil"/>
            </w:tcBorders>
            <w:vAlign w:val="center"/>
            <w:hideMark/>
          </w:tcPr>
          <w:p w14:paraId="017DADF6" w14:textId="77777777" w:rsidR="00295605" w:rsidRPr="00295605" w:rsidRDefault="00295605" w:rsidP="00295605">
            <w:pPr>
              <w:adjustRightInd w:val="0"/>
              <w:snapToGrid w:val="0"/>
              <w:spacing w:line="240" w:lineRule="auto"/>
              <w:jc w:val="center"/>
              <w:rPr>
                <w:rFonts w:eastAsia="Times New Roman"/>
                <w:b/>
                <w:noProof w:val="0"/>
                <w:snapToGrid w:val="0"/>
                <w:lang w:eastAsia="de-DE" w:bidi="en-US"/>
              </w:rPr>
            </w:pPr>
            <w:r w:rsidRPr="00295605">
              <w:rPr>
                <w:rFonts w:eastAsia="Times New Roman"/>
                <w:b/>
                <w:bCs/>
                <w:noProof w:val="0"/>
                <w:snapToGrid w:val="0"/>
                <w:lang w:val="en-IN" w:eastAsia="de-DE" w:bidi="en-US"/>
              </w:rPr>
              <w:t>Ligand Code</w:t>
            </w:r>
          </w:p>
        </w:tc>
        <w:tc>
          <w:tcPr>
            <w:tcW w:w="2619" w:type="dxa"/>
            <w:tcBorders>
              <w:top w:val="single" w:sz="8" w:space="0" w:color="auto"/>
              <w:left w:val="nil"/>
              <w:bottom w:val="single" w:sz="4" w:space="0" w:color="auto"/>
              <w:right w:val="nil"/>
            </w:tcBorders>
            <w:vAlign w:val="center"/>
            <w:hideMark/>
          </w:tcPr>
          <w:p w14:paraId="4D877322" w14:textId="77777777" w:rsidR="00295605" w:rsidRPr="00295605" w:rsidRDefault="00295605" w:rsidP="00295605">
            <w:pPr>
              <w:adjustRightInd w:val="0"/>
              <w:snapToGrid w:val="0"/>
              <w:spacing w:line="240" w:lineRule="auto"/>
              <w:jc w:val="center"/>
              <w:rPr>
                <w:rFonts w:eastAsia="Times New Roman"/>
                <w:b/>
                <w:noProof w:val="0"/>
                <w:snapToGrid w:val="0"/>
                <w:lang w:eastAsia="de-DE" w:bidi="en-US"/>
              </w:rPr>
            </w:pPr>
            <w:r w:rsidRPr="00295605">
              <w:rPr>
                <w:rFonts w:eastAsia="Times New Roman"/>
                <w:b/>
                <w:bCs/>
                <w:noProof w:val="0"/>
                <w:snapToGrid w:val="0"/>
                <w:lang w:val="en-IN" w:eastAsia="de-DE" w:bidi="en-US"/>
              </w:rPr>
              <w:t>IUPAC Names</w:t>
            </w:r>
          </w:p>
        </w:tc>
      </w:tr>
      <w:tr w:rsidR="00295605" w:rsidRPr="00295605" w14:paraId="6867E965" w14:textId="77777777" w:rsidTr="00D4167D">
        <w:tc>
          <w:tcPr>
            <w:tcW w:w="1078" w:type="dxa"/>
            <w:tcBorders>
              <w:top w:val="nil"/>
              <w:left w:val="nil"/>
              <w:bottom w:val="nil"/>
              <w:right w:val="nil"/>
            </w:tcBorders>
            <w:vAlign w:val="center"/>
            <w:hideMark/>
          </w:tcPr>
          <w:p w14:paraId="488E756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w:t>
            </w:r>
          </w:p>
        </w:tc>
        <w:tc>
          <w:tcPr>
            <w:tcW w:w="4160" w:type="dxa"/>
            <w:tcBorders>
              <w:top w:val="nil"/>
              <w:left w:val="nil"/>
              <w:bottom w:val="nil"/>
              <w:right w:val="nil"/>
            </w:tcBorders>
            <w:vAlign w:val="center"/>
            <w:hideMark/>
          </w:tcPr>
          <w:p w14:paraId="1C39B22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444</w:t>
            </w:r>
          </w:p>
        </w:tc>
        <w:tc>
          <w:tcPr>
            <w:tcW w:w="2619" w:type="dxa"/>
            <w:tcBorders>
              <w:top w:val="nil"/>
              <w:left w:val="nil"/>
              <w:bottom w:val="nil"/>
              <w:right w:val="nil"/>
            </w:tcBorders>
            <w:vAlign w:val="center"/>
            <w:hideMark/>
          </w:tcPr>
          <w:p w14:paraId="6C753B1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bCs/>
                <w:noProof w:val="0"/>
                <w:snapToGrid w:val="0"/>
                <w:lang w:val="en-IN" w:eastAsia="de-DE" w:bidi="en-US"/>
              </w:rPr>
              <w:t>(E)-1-phenyl-3-(1,3-diphenyl-1H-pyrazol-4-yl)prop-2-en-1-one</w:t>
            </w:r>
          </w:p>
        </w:tc>
      </w:tr>
      <w:tr w:rsidR="00295605" w:rsidRPr="00295605" w14:paraId="3484B747" w14:textId="77777777" w:rsidTr="00D4167D">
        <w:tc>
          <w:tcPr>
            <w:tcW w:w="1078" w:type="dxa"/>
            <w:tcBorders>
              <w:top w:val="nil"/>
              <w:left w:val="nil"/>
              <w:bottom w:val="nil"/>
              <w:right w:val="nil"/>
            </w:tcBorders>
            <w:vAlign w:val="center"/>
            <w:hideMark/>
          </w:tcPr>
          <w:p w14:paraId="7571A90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w:t>
            </w:r>
          </w:p>
        </w:tc>
        <w:tc>
          <w:tcPr>
            <w:tcW w:w="4160" w:type="dxa"/>
            <w:tcBorders>
              <w:top w:val="nil"/>
              <w:left w:val="nil"/>
              <w:bottom w:val="nil"/>
              <w:right w:val="nil"/>
            </w:tcBorders>
            <w:vAlign w:val="center"/>
            <w:hideMark/>
          </w:tcPr>
          <w:p w14:paraId="246E232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586</w:t>
            </w:r>
          </w:p>
        </w:tc>
        <w:tc>
          <w:tcPr>
            <w:tcW w:w="2619" w:type="dxa"/>
            <w:tcBorders>
              <w:top w:val="nil"/>
              <w:left w:val="nil"/>
              <w:bottom w:val="nil"/>
              <w:right w:val="nil"/>
            </w:tcBorders>
            <w:vAlign w:val="center"/>
            <w:hideMark/>
          </w:tcPr>
          <w:p w14:paraId="304725D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bCs/>
                <w:noProof w:val="0"/>
                <w:snapToGrid w:val="0"/>
                <w:lang w:val="en-IN" w:eastAsia="de-DE" w:bidi="en-US"/>
              </w:rPr>
              <w:t>(2E)-3-(3,5-bis(benzyloxy)cycl</w:t>
            </w:r>
            <w:r w:rsidRPr="00295605">
              <w:rPr>
                <w:rFonts w:eastAsia="Times New Roman"/>
                <w:bCs/>
                <w:noProof w:val="0"/>
                <w:snapToGrid w:val="0"/>
                <w:lang w:val="en-IN" w:eastAsia="de-DE" w:bidi="en-US"/>
              </w:rPr>
              <w:t>o</w:t>
            </w:r>
            <w:r w:rsidRPr="00295605">
              <w:rPr>
                <w:rFonts w:eastAsia="Times New Roman"/>
                <w:bCs/>
                <w:noProof w:val="0"/>
                <w:snapToGrid w:val="0"/>
                <w:lang w:val="en-IN" w:eastAsia="de-DE" w:bidi="en-US"/>
              </w:rPr>
              <w:t>hexa-2,4-dienyl)-1-phenylprop-2-en-1-one</w:t>
            </w:r>
          </w:p>
        </w:tc>
      </w:tr>
      <w:tr w:rsidR="00295605" w:rsidRPr="00295605" w14:paraId="7C0777AF" w14:textId="77777777" w:rsidTr="00D4167D">
        <w:tc>
          <w:tcPr>
            <w:tcW w:w="1078" w:type="dxa"/>
            <w:tcBorders>
              <w:top w:val="nil"/>
              <w:left w:val="nil"/>
              <w:bottom w:val="nil"/>
              <w:right w:val="nil"/>
            </w:tcBorders>
            <w:vAlign w:val="center"/>
          </w:tcPr>
          <w:p w14:paraId="6277DB6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w:t>
            </w:r>
          </w:p>
        </w:tc>
        <w:tc>
          <w:tcPr>
            <w:tcW w:w="4160" w:type="dxa"/>
            <w:tcBorders>
              <w:top w:val="nil"/>
              <w:left w:val="nil"/>
              <w:bottom w:val="nil"/>
              <w:right w:val="nil"/>
            </w:tcBorders>
            <w:vAlign w:val="center"/>
          </w:tcPr>
          <w:p w14:paraId="2B2922F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445</w:t>
            </w:r>
          </w:p>
        </w:tc>
        <w:tc>
          <w:tcPr>
            <w:tcW w:w="2619" w:type="dxa"/>
            <w:tcBorders>
              <w:top w:val="nil"/>
              <w:left w:val="nil"/>
              <w:bottom w:val="nil"/>
              <w:right w:val="nil"/>
            </w:tcBorders>
            <w:vAlign w:val="center"/>
          </w:tcPr>
          <w:p w14:paraId="642F0CB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(E)-3-(1-(4-methoxyphenyl)-5-methyl-1H-pyrazol-4-yl)-1-phenylprop-2-en-1-one</w:t>
            </w:r>
          </w:p>
        </w:tc>
      </w:tr>
      <w:tr w:rsidR="00295605" w:rsidRPr="00295605" w14:paraId="4AE68A93" w14:textId="77777777" w:rsidTr="00D4167D">
        <w:tc>
          <w:tcPr>
            <w:tcW w:w="1078" w:type="dxa"/>
            <w:tcBorders>
              <w:top w:val="nil"/>
              <w:left w:val="nil"/>
              <w:bottom w:val="nil"/>
              <w:right w:val="nil"/>
            </w:tcBorders>
            <w:vAlign w:val="center"/>
          </w:tcPr>
          <w:p w14:paraId="45875F0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w:t>
            </w:r>
          </w:p>
        </w:tc>
        <w:tc>
          <w:tcPr>
            <w:tcW w:w="4160" w:type="dxa"/>
            <w:tcBorders>
              <w:top w:val="nil"/>
              <w:left w:val="nil"/>
              <w:bottom w:val="nil"/>
              <w:right w:val="nil"/>
            </w:tcBorders>
            <w:vAlign w:val="center"/>
          </w:tcPr>
          <w:p w14:paraId="75562D8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99</w:t>
            </w:r>
          </w:p>
        </w:tc>
        <w:tc>
          <w:tcPr>
            <w:tcW w:w="2619" w:type="dxa"/>
            <w:tcBorders>
              <w:top w:val="nil"/>
              <w:left w:val="nil"/>
              <w:bottom w:val="nil"/>
              <w:right w:val="nil"/>
            </w:tcBorders>
            <w:vAlign w:val="center"/>
          </w:tcPr>
          <w:p w14:paraId="061E13B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(2E)-3-(5-(4-bromophenyl)-4,5-dihydrofuran-2-yl)-1-phenylprop-2-en-1-one</w:t>
            </w:r>
          </w:p>
        </w:tc>
      </w:tr>
      <w:tr w:rsidR="00295605" w:rsidRPr="00295605" w14:paraId="10E90730" w14:textId="77777777" w:rsidTr="00D4167D">
        <w:tc>
          <w:tcPr>
            <w:tcW w:w="1078" w:type="dxa"/>
            <w:tcBorders>
              <w:top w:val="nil"/>
              <w:left w:val="nil"/>
              <w:bottom w:val="nil"/>
              <w:right w:val="nil"/>
            </w:tcBorders>
            <w:vAlign w:val="center"/>
          </w:tcPr>
          <w:p w14:paraId="095F0D5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w:t>
            </w:r>
          </w:p>
        </w:tc>
        <w:tc>
          <w:tcPr>
            <w:tcW w:w="4160" w:type="dxa"/>
            <w:tcBorders>
              <w:top w:val="nil"/>
              <w:left w:val="nil"/>
              <w:bottom w:val="nil"/>
              <w:right w:val="nil"/>
            </w:tcBorders>
            <w:vAlign w:val="center"/>
          </w:tcPr>
          <w:p w14:paraId="1E9041B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244</w:t>
            </w:r>
          </w:p>
        </w:tc>
        <w:tc>
          <w:tcPr>
            <w:tcW w:w="2619" w:type="dxa"/>
            <w:tcBorders>
              <w:top w:val="nil"/>
              <w:left w:val="nil"/>
              <w:bottom w:val="nil"/>
              <w:right w:val="nil"/>
            </w:tcBorders>
            <w:vAlign w:val="center"/>
          </w:tcPr>
          <w:p w14:paraId="1F36B5C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(E)-3-(3-(1,1,2,2-tetrafluoroethoxy)phenyl)-1-phenylprop-2-en-1-one</w:t>
            </w:r>
          </w:p>
        </w:tc>
      </w:tr>
      <w:tr w:rsidR="00295605" w:rsidRPr="00295605" w14:paraId="12FFC41D" w14:textId="77777777" w:rsidTr="00D4167D">
        <w:tc>
          <w:tcPr>
            <w:tcW w:w="1078" w:type="dxa"/>
            <w:tcBorders>
              <w:top w:val="nil"/>
              <w:left w:val="nil"/>
              <w:bottom w:val="nil"/>
              <w:right w:val="nil"/>
            </w:tcBorders>
            <w:vAlign w:val="center"/>
          </w:tcPr>
          <w:p w14:paraId="56C5792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w:t>
            </w:r>
          </w:p>
        </w:tc>
        <w:tc>
          <w:tcPr>
            <w:tcW w:w="4160" w:type="dxa"/>
            <w:tcBorders>
              <w:top w:val="nil"/>
              <w:left w:val="nil"/>
              <w:bottom w:val="nil"/>
              <w:right w:val="nil"/>
            </w:tcBorders>
            <w:vAlign w:val="center"/>
          </w:tcPr>
          <w:p w14:paraId="70C4C5C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451</w:t>
            </w:r>
          </w:p>
        </w:tc>
        <w:tc>
          <w:tcPr>
            <w:tcW w:w="2619" w:type="dxa"/>
            <w:tcBorders>
              <w:top w:val="nil"/>
              <w:left w:val="nil"/>
              <w:bottom w:val="nil"/>
              <w:right w:val="nil"/>
            </w:tcBorders>
            <w:vAlign w:val="center"/>
          </w:tcPr>
          <w:p w14:paraId="47E40E2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2,5-dioxocyclopent-3-enyl 4-((E)-3-oxo-3-phenylprop-1-enyl)benzoate</w:t>
            </w:r>
          </w:p>
        </w:tc>
      </w:tr>
      <w:tr w:rsidR="00295605" w:rsidRPr="00295605" w14:paraId="65368716" w14:textId="77777777" w:rsidTr="00D4167D">
        <w:tc>
          <w:tcPr>
            <w:tcW w:w="1078" w:type="dxa"/>
            <w:tcBorders>
              <w:top w:val="nil"/>
              <w:left w:val="nil"/>
              <w:bottom w:val="nil"/>
              <w:right w:val="nil"/>
            </w:tcBorders>
            <w:vAlign w:val="center"/>
          </w:tcPr>
          <w:p w14:paraId="79134D1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7</w:t>
            </w:r>
          </w:p>
        </w:tc>
        <w:tc>
          <w:tcPr>
            <w:tcW w:w="4160" w:type="dxa"/>
            <w:tcBorders>
              <w:top w:val="nil"/>
              <w:left w:val="nil"/>
              <w:bottom w:val="nil"/>
              <w:right w:val="nil"/>
            </w:tcBorders>
            <w:vAlign w:val="center"/>
          </w:tcPr>
          <w:p w14:paraId="74828E2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643</w:t>
            </w:r>
          </w:p>
        </w:tc>
        <w:tc>
          <w:tcPr>
            <w:tcW w:w="2619" w:type="dxa"/>
            <w:tcBorders>
              <w:top w:val="nil"/>
              <w:left w:val="nil"/>
              <w:bottom w:val="nil"/>
              <w:right w:val="nil"/>
            </w:tcBorders>
            <w:vAlign w:val="center"/>
          </w:tcPr>
          <w:p w14:paraId="4F93692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(2E)-3-(5-(4-tert-butylphenoxy)cyclohexa-2,4-dienyl)-1-phenylprop-2-en-1-one</w:t>
            </w:r>
          </w:p>
        </w:tc>
      </w:tr>
      <w:tr w:rsidR="00295605" w:rsidRPr="00295605" w14:paraId="54868A57" w14:textId="77777777" w:rsidTr="00D4167D">
        <w:tc>
          <w:tcPr>
            <w:tcW w:w="1078" w:type="dxa"/>
            <w:tcBorders>
              <w:top w:val="nil"/>
              <w:left w:val="nil"/>
              <w:bottom w:val="nil"/>
              <w:right w:val="nil"/>
            </w:tcBorders>
            <w:vAlign w:val="center"/>
          </w:tcPr>
          <w:p w14:paraId="77E9497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8</w:t>
            </w:r>
          </w:p>
        </w:tc>
        <w:tc>
          <w:tcPr>
            <w:tcW w:w="4160" w:type="dxa"/>
            <w:tcBorders>
              <w:top w:val="nil"/>
              <w:left w:val="nil"/>
              <w:bottom w:val="nil"/>
              <w:right w:val="nil"/>
            </w:tcBorders>
            <w:vAlign w:val="center"/>
          </w:tcPr>
          <w:p w14:paraId="4BB4E28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446</w:t>
            </w:r>
          </w:p>
        </w:tc>
        <w:tc>
          <w:tcPr>
            <w:tcW w:w="2619" w:type="dxa"/>
            <w:tcBorders>
              <w:top w:val="nil"/>
              <w:left w:val="nil"/>
              <w:bottom w:val="nil"/>
              <w:right w:val="nil"/>
            </w:tcBorders>
            <w:vAlign w:val="center"/>
          </w:tcPr>
          <w:p w14:paraId="75623B3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(E)-3-(5-methyl-1-phenyl-1H-pyrazol-4-yl)-1-phenylprop-2-en-1-one</w:t>
            </w:r>
          </w:p>
        </w:tc>
      </w:tr>
      <w:tr w:rsidR="00295605" w:rsidRPr="00295605" w14:paraId="73C708F7" w14:textId="77777777" w:rsidTr="00D4167D">
        <w:tc>
          <w:tcPr>
            <w:tcW w:w="1078" w:type="dxa"/>
            <w:tcBorders>
              <w:top w:val="nil"/>
              <w:left w:val="nil"/>
              <w:bottom w:val="nil"/>
              <w:right w:val="nil"/>
            </w:tcBorders>
            <w:vAlign w:val="center"/>
          </w:tcPr>
          <w:p w14:paraId="4876120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9</w:t>
            </w:r>
          </w:p>
        </w:tc>
        <w:tc>
          <w:tcPr>
            <w:tcW w:w="4160" w:type="dxa"/>
            <w:tcBorders>
              <w:top w:val="nil"/>
              <w:left w:val="nil"/>
              <w:bottom w:val="nil"/>
              <w:right w:val="nil"/>
            </w:tcBorders>
            <w:vAlign w:val="center"/>
          </w:tcPr>
          <w:p w14:paraId="749EA25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418</w:t>
            </w:r>
          </w:p>
        </w:tc>
        <w:tc>
          <w:tcPr>
            <w:tcW w:w="2619" w:type="dxa"/>
            <w:tcBorders>
              <w:top w:val="nil"/>
              <w:left w:val="nil"/>
              <w:bottom w:val="nil"/>
              <w:right w:val="nil"/>
            </w:tcBorders>
            <w:vAlign w:val="center"/>
          </w:tcPr>
          <w:p w14:paraId="04C77B0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 (2E)-3-(2,5-dihydro-5-(4-nitrophenyl)furan-2-yl)-1-phenylprop-2-en-1-one</w:t>
            </w:r>
          </w:p>
        </w:tc>
      </w:tr>
      <w:tr w:rsidR="00295605" w:rsidRPr="00295605" w14:paraId="7B372034" w14:textId="77777777" w:rsidTr="00D4167D">
        <w:tc>
          <w:tcPr>
            <w:tcW w:w="1078" w:type="dxa"/>
            <w:tcBorders>
              <w:top w:val="nil"/>
              <w:left w:val="nil"/>
              <w:bottom w:val="nil"/>
              <w:right w:val="nil"/>
            </w:tcBorders>
            <w:vAlign w:val="center"/>
          </w:tcPr>
          <w:p w14:paraId="35AFD4A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10</w:t>
            </w:r>
          </w:p>
        </w:tc>
        <w:tc>
          <w:tcPr>
            <w:tcW w:w="4160" w:type="dxa"/>
            <w:tcBorders>
              <w:top w:val="nil"/>
              <w:left w:val="nil"/>
              <w:bottom w:val="nil"/>
              <w:right w:val="nil"/>
            </w:tcBorders>
            <w:vAlign w:val="center"/>
          </w:tcPr>
          <w:p w14:paraId="357D09B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674</w:t>
            </w:r>
          </w:p>
        </w:tc>
        <w:tc>
          <w:tcPr>
            <w:tcW w:w="2619" w:type="dxa"/>
            <w:tcBorders>
              <w:top w:val="nil"/>
              <w:left w:val="nil"/>
              <w:bottom w:val="nil"/>
              <w:right w:val="nil"/>
            </w:tcBorders>
            <w:vAlign w:val="center"/>
          </w:tcPr>
          <w:p w14:paraId="18EA9A8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(2E)-1-phenyl-3-(5-p-tolylcyclohexa-2,4-dienyl)prop-2-en-1</w:t>
            </w:r>
            <w:r w:rsidRPr="00295605">
              <w:lastRenderedPageBreak/>
              <w:t>-one</w:t>
            </w:r>
          </w:p>
        </w:tc>
      </w:tr>
      <w:tr w:rsidR="00295605" w:rsidRPr="00295605" w14:paraId="19A235EE" w14:textId="77777777" w:rsidTr="00D4167D">
        <w:tc>
          <w:tcPr>
            <w:tcW w:w="1078" w:type="dxa"/>
            <w:tcBorders>
              <w:top w:val="nil"/>
              <w:left w:val="nil"/>
              <w:bottom w:val="nil"/>
              <w:right w:val="nil"/>
            </w:tcBorders>
            <w:vAlign w:val="center"/>
          </w:tcPr>
          <w:p w14:paraId="0CDB721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11</w:t>
            </w:r>
          </w:p>
        </w:tc>
        <w:tc>
          <w:tcPr>
            <w:tcW w:w="4160" w:type="dxa"/>
            <w:tcBorders>
              <w:top w:val="nil"/>
              <w:left w:val="nil"/>
              <w:bottom w:val="nil"/>
              <w:right w:val="nil"/>
            </w:tcBorders>
            <w:vAlign w:val="center"/>
          </w:tcPr>
          <w:p w14:paraId="59B39D5D"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419</w:t>
            </w:r>
          </w:p>
        </w:tc>
        <w:tc>
          <w:tcPr>
            <w:tcW w:w="2619" w:type="dxa"/>
            <w:tcBorders>
              <w:top w:val="nil"/>
              <w:left w:val="nil"/>
              <w:bottom w:val="nil"/>
              <w:right w:val="nil"/>
            </w:tcBorders>
            <w:vAlign w:val="center"/>
          </w:tcPr>
          <w:p w14:paraId="5AA8D28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(E)-3-(4-(4-nitrophenoxy)phenyl)-1-phenylprop-2-en-1-one</w:t>
            </w:r>
          </w:p>
        </w:tc>
      </w:tr>
      <w:tr w:rsidR="00295605" w:rsidRPr="00295605" w14:paraId="46B11018" w14:textId="77777777" w:rsidTr="00D4167D">
        <w:tc>
          <w:tcPr>
            <w:tcW w:w="1078" w:type="dxa"/>
            <w:tcBorders>
              <w:top w:val="nil"/>
              <w:left w:val="nil"/>
              <w:bottom w:val="nil"/>
              <w:right w:val="nil"/>
            </w:tcBorders>
            <w:vAlign w:val="center"/>
          </w:tcPr>
          <w:p w14:paraId="7EFBA29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12</w:t>
            </w:r>
          </w:p>
        </w:tc>
        <w:tc>
          <w:tcPr>
            <w:tcW w:w="4160" w:type="dxa"/>
            <w:tcBorders>
              <w:top w:val="nil"/>
              <w:left w:val="nil"/>
              <w:bottom w:val="nil"/>
              <w:right w:val="nil"/>
            </w:tcBorders>
            <w:vAlign w:val="center"/>
          </w:tcPr>
          <w:p w14:paraId="169A088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233</w:t>
            </w:r>
          </w:p>
        </w:tc>
        <w:tc>
          <w:tcPr>
            <w:tcW w:w="2619" w:type="dxa"/>
            <w:tcBorders>
              <w:top w:val="nil"/>
              <w:left w:val="nil"/>
              <w:bottom w:val="nil"/>
              <w:right w:val="nil"/>
            </w:tcBorders>
            <w:vAlign w:val="center"/>
          </w:tcPr>
          <w:p w14:paraId="2E45CC0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(E)-3-(5-(3-(trifluoromethyl)phenyl)furan-2-yl)-1-phenylprop-2-en-1-one</w:t>
            </w:r>
          </w:p>
        </w:tc>
      </w:tr>
      <w:tr w:rsidR="00295605" w:rsidRPr="00295605" w14:paraId="7906A33B" w14:textId="77777777" w:rsidTr="00D4167D">
        <w:tc>
          <w:tcPr>
            <w:tcW w:w="1078" w:type="dxa"/>
            <w:tcBorders>
              <w:top w:val="nil"/>
              <w:left w:val="nil"/>
              <w:bottom w:val="nil"/>
              <w:right w:val="nil"/>
            </w:tcBorders>
            <w:vAlign w:val="center"/>
          </w:tcPr>
          <w:p w14:paraId="11C3439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13</w:t>
            </w:r>
          </w:p>
        </w:tc>
        <w:tc>
          <w:tcPr>
            <w:tcW w:w="4160" w:type="dxa"/>
            <w:tcBorders>
              <w:top w:val="nil"/>
              <w:left w:val="nil"/>
              <w:bottom w:val="nil"/>
              <w:right w:val="nil"/>
            </w:tcBorders>
            <w:vAlign w:val="center"/>
          </w:tcPr>
          <w:p w14:paraId="0B0577D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582</w:t>
            </w:r>
          </w:p>
        </w:tc>
        <w:tc>
          <w:tcPr>
            <w:tcW w:w="2619" w:type="dxa"/>
            <w:tcBorders>
              <w:top w:val="nil"/>
              <w:left w:val="nil"/>
              <w:bottom w:val="nil"/>
              <w:right w:val="nil"/>
            </w:tcBorders>
            <w:vAlign w:val="center"/>
          </w:tcPr>
          <w:p w14:paraId="6BD22C9E" w14:textId="77777777" w:rsidR="00295605" w:rsidRPr="00295605" w:rsidRDefault="00295605" w:rsidP="00295605">
            <w:pPr>
              <w:adjustRightInd w:val="0"/>
              <w:snapToGrid w:val="0"/>
              <w:spacing w:line="240" w:lineRule="auto"/>
              <w:rPr>
                <w:rFonts w:eastAsia="Times New Roman"/>
                <w:noProof w:val="0"/>
                <w:snapToGrid w:val="0"/>
                <w:lang w:eastAsia="de-DE" w:bidi="en-US"/>
              </w:rPr>
            </w:pPr>
            <w:r w:rsidRPr="00295605">
              <w:t>(E)-3-(3,4-bis(benzyloxy)phenyl)-1-phenylprop-2-en-1-one</w:t>
            </w:r>
          </w:p>
        </w:tc>
      </w:tr>
      <w:tr w:rsidR="00295605" w:rsidRPr="00295605" w14:paraId="4EB9435B" w14:textId="77777777" w:rsidTr="00D4167D">
        <w:tc>
          <w:tcPr>
            <w:tcW w:w="1078" w:type="dxa"/>
            <w:tcBorders>
              <w:top w:val="nil"/>
              <w:left w:val="nil"/>
              <w:bottom w:val="nil"/>
              <w:right w:val="nil"/>
            </w:tcBorders>
            <w:vAlign w:val="center"/>
          </w:tcPr>
          <w:p w14:paraId="0EB0F5C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14</w:t>
            </w:r>
          </w:p>
        </w:tc>
        <w:tc>
          <w:tcPr>
            <w:tcW w:w="4160" w:type="dxa"/>
            <w:tcBorders>
              <w:top w:val="nil"/>
              <w:left w:val="nil"/>
              <w:bottom w:val="nil"/>
              <w:right w:val="nil"/>
            </w:tcBorders>
            <w:vAlign w:val="center"/>
          </w:tcPr>
          <w:p w14:paraId="35D0FFE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648</w:t>
            </w:r>
          </w:p>
        </w:tc>
        <w:tc>
          <w:tcPr>
            <w:tcW w:w="2619" w:type="dxa"/>
            <w:tcBorders>
              <w:top w:val="nil"/>
              <w:left w:val="nil"/>
              <w:bottom w:val="nil"/>
              <w:right w:val="nil"/>
            </w:tcBorders>
            <w:vAlign w:val="center"/>
          </w:tcPr>
          <w:p w14:paraId="2DF5EE0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(E)-4-((4-(3-oxo-3-phenylprop-1-en-1-yl)cyclohexa-1,5-dien-1-yl)oxy)benzaldehyde</w:t>
            </w:r>
          </w:p>
        </w:tc>
      </w:tr>
      <w:tr w:rsidR="00295605" w:rsidRPr="00295605" w14:paraId="413B2B9C" w14:textId="77777777" w:rsidTr="00D4167D">
        <w:tc>
          <w:tcPr>
            <w:tcW w:w="1078" w:type="dxa"/>
            <w:tcBorders>
              <w:top w:val="nil"/>
              <w:left w:val="nil"/>
              <w:bottom w:val="nil"/>
              <w:right w:val="nil"/>
            </w:tcBorders>
            <w:vAlign w:val="center"/>
          </w:tcPr>
          <w:p w14:paraId="3459D87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15</w:t>
            </w:r>
          </w:p>
        </w:tc>
        <w:tc>
          <w:tcPr>
            <w:tcW w:w="4160" w:type="dxa"/>
            <w:tcBorders>
              <w:top w:val="nil"/>
              <w:left w:val="nil"/>
              <w:bottom w:val="nil"/>
              <w:right w:val="nil"/>
            </w:tcBorders>
            <w:vAlign w:val="center"/>
          </w:tcPr>
          <w:p w14:paraId="75D2485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686</w:t>
            </w:r>
          </w:p>
        </w:tc>
        <w:tc>
          <w:tcPr>
            <w:tcW w:w="2619" w:type="dxa"/>
            <w:tcBorders>
              <w:top w:val="nil"/>
              <w:left w:val="nil"/>
              <w:bottom w:val="nil"/>
              <w:right w:val="nil"/>
            </w:tcBorders>
            <w:vAlign w:val="center"/>
          </w:tcPr>
          <w:p w14:paraId="1F2DF5C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(2E)-1-phenyl-3-(4-phenylcyclohexa-2,4-dienyl)prop-2-en-1-one</w:t>
            </w:r>
          </w:p>
        </w:tc>
      </w:tr>
      <w:tr w:rsidR="00295605" w:rsidRPr="00295605" w14:paraId="16B06C53" w14:textId="77777777" w:rsidTr="00D4167D">
        <w:tc>
          <w:tcPr>
            <w:tcW w:w="1078" w:type="dxa"/>
            <w:tcBorders>
              <w:top w:val="nil"/>
              <w:left w:val="nil"/>
              <w:bottom w:val="nil"/>
              <w:right w:val="nil"/>
            </w:tcBorders>
            <w:vAlign w:val="center"/>
          </w:tcPr>
          <w:p w14:paraId="1604E8B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16</w:t>
            </w:r>
          </w:p>
        </w:tc>
        <w:tc>
          <w:tcPr>
            <w:tcW w:w="4160" w:type="dxa"/>
            <w:tcBorders>
              <w:top w:val="nil"/>
              <w:left w:val="nil"/>
              <w:bottom w:val="nil"/>
              <w:right w:val="nil"/>
            </w:tcBorders>
            <w:vAlign w:val="center"/>
          </w:tcPr>
          <w:p w14:paraId="5560CE0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366</w:t>
            </w:r>
          </w:p>
        </w:tc>
        <w:tc>
          <w:tcPr>
            <w:tcW w:w="2619" w:type="dxa"/>
            <w:tcBorders>
              <w:top w:val="nil"/>
              <w:left w:val="nil"/>
              <w:bottom w:val="nil"/>
              <w:right w:val="nil"/>
            </w:tcBorders>
            <w:vAlign w:val="center"/>
          </w:tcPr>
          <w:p w14:paraId="7DCC038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cs="Calibri"/>
                <w:lang w:eastAsia="en-IN"/>
              </w:rPr>
              <w:t>(E)-4-(4-(3-oxo-3-phenylprop-1-en-1-yl)phenoxy)benzonitrile</w:t>
            </w:r>
          </w:p>
        </w:tc>
      </w:tr>
      <w:tr w:rsidR="00295605" w:rsidRPr="00295605" w14:paraId="6CAFE1BE" w14:textId="77777777" w:rsidTr="00D4167D">
        <w:tc>
          <w:tcPr>
            <w:tcW w:w="1078" w:type="dxa"/>
            <w:tcBorders>
              <w:top w:val="nil"/>
              <w:left w:val="nil"/>
              <w:bottom w:val="nil"/>
              <w:right w:val="nil"/>
            </w:tcBorders>
            <w:vAlign w:val="center"/>
          </w:tcPr>
          <w:p w14:paraId="09385FA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17</w:t>
            </w:r>
          </w:p>
        </w:tc>
        <w:tc>
          <w:tcPr>
            <w:tcW w:w="4160" w:type="dxa"/>
            <w:tcBorders>
              <w:top w:val="nil"/>
              <w:left w:val="nil"/>
              <w:bottom w:val="nil"/>
              <w:right w:val="nil"/>
            </w:tcBorders>
            <w:vAlign w:val="center"/>
          </w:tcPr>
          <w:p w14:paraId="52B9752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472</w:t>
            </w:r>
          </w:p>
        </w:tc>
        <w:tc>
          <w:tcPr>
            <w:tcW w:w="2619" w:type="dxa"/>
            <w:tcBorders>
              <w:top w:val="nil"/>
              <w:left w:val="nil"/>
              <w:bottom w:val="nil"/>
              <w:right w:val="nil"/>
            </w:tcBorders>
            <w:vAlign w:val="center"/>
          </w:tcPr>
          <w:p w14:paraId="2FD07F4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4-(6-((E)-3-oxo-3-phenylprop-1-enyl)pyridin-2-yl)benzonitrile</w:t>
            </w:r>
          </w:p>
        </w:tc>
      </w:tr>
      <w:tr w:rsidR="00295605" w:rsidRPr="00295605" w14:paraId="08D91E82" w14:textId="77777777" w:rsidTr="00D4167D">
        <w:tc>
          <w:tcPr>
            <w:tcW w:w="1078" w:type="dxa"/>
            <w:tcBorders>
              <w:top w:val="nil"/>
              <w:left w:val="nil"/>
              <w:bottom w:val="nil"/>
              <w:right w:val="nil"/>
            </w:tcBorders>
            <w:vAlign w:val="center"/>
          </w:tcPr>
          <w:p w14:paraId="3274282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18</w:t>
            </w:r>
          </w:p>
        </w:tc>
        <w:tc>
          <w:tcPr>
            <w:tcW w:w="4160" w:type="dxa"/>
            <w:tcBorders>
              <w:top w:val="nil"/>
              <w:left w:val="nil"/>
              <w:bottom w:val="nil"/>
              <w:right w:val="nil"/>
            </w:tcBorders>
            <w:vAlign w:val="center"/>
          </w:tcPr>
          <w:p w14:paraId="2D34B92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487</w:t>
            </w:r>
          </w:p>
        </w:tc>
        <w:tc>
          <w:tcPr>
            <w:tcW w:w="2619" w:type="dxa"/>
            <w:tcBorders>
              <w:top w:val="nil"/>
              <w:left w:val="nil"/>
              <w:bottom w:val="nil"/>
              <w:right w:val="nil"/>
            </w:tcBorders>
            <w:vAlign w:val="center"/>
          </w:tcPr>
          <w:p w14:paraId="5AAF0ED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(E)-1-phenyl-3-(4-(pyridin-3-yl)phenyl)prop-2-en-1-one</w:t>
            </w:r>
          </w:p>
        </w:tc>
      </w:tr>
      <w:tr w:rsidR="00295605" w:rsidRPr="00295605" w14:paraId="1CC648C7" w14:textId="77777777" w:rsidTr="00D4167D">
        <w:tc>
          <w:tcPr>
            <w:tcW w:w="1078" w:type="dxa"/>
            <w:tcBorders>
              <w:top w:val="nil"/>
              <w:left w:val="nil"/>
              <w:bottom w:val="nil"/>
              <w:right w:val="nil"/>
            </w:tcBorders>
            <w:vAlign w:val="center"/>
          </w:tcPr>
          <w:p w14:paraId="0C7410E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19</w:t>
            </w:r>
          </w:p>
        </w:tc>
        <w:tc>
          <w:tcPr>
            <w:tcW w:w="4160" w:type="dxa"/>
            <w:tcBorders>
              <w:top w:val="nil"/>
              <w:left w:val="nil"/>
              <w:bottom w:val="nil"/>
              <w:right w:val="nil"/>
            </w:tcBorders>
            <w:vAlign w:val="center"/>
          </w:tcPr>
          <w:p w14:paraId="5BB875A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380</w:t>
            </w:r>
          </w:p>
        </w:tc>
        <w:tc>
          <w:tcPr>
            <w:tcW w:w="2619" w:type="dxa"/>
            <w:tcBorders>
              <w:top w:val="nil"/>
              <w:left w:val="nil"/>
              <w:bottom w:val="nil"/>
              <w:right w:val="nil"/>
            </w:tcBorders>
            <w:vAlign w:val="center"/>
          </w:tcPr>
          <w:p w14:paraId="4E8699C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(E)-3-(4-(diphenylamino)phenyl)-1-phenylprop-2-en-1-one</w:t>
            </w:r>
          </w:p>
        </w:tc>
      </w:tr>
      <w:tr w:rsidR="00295605" w:rsidRPr="00295605" w14:paraId="6BBCD909" w14:textId="77777777" w:rsidTr="00D4167D">
        <w:tc>
          <w:tcPr>
            <w:tcW w:w="1078" w:type="dxa"/>
            <w:tcBorders>
              <w:top w:val="nil"/>
              <w:left w:val="nil"/>
              <w:bottom w:val="nil"/>
              <w:right w:val="nil"/>
            </w:tcBorders>
            <w:vAlign w:val="center"/>
          </w:tcPr>
          <w:p w14:paraId="7DE2B9D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20</w:t>
            </w:r>
          </w:p>
        </w:tc>
        <w:tc>
          <w:tcPr>
            <w:tcW w:w="4160" w:type="dxa"/>
            <w:tcBorders>
              <w:top w:val="nil"/>
              <w:left w:val="nil"/>
              <w:bottom w:val="nil"/>
              <w:right w:val="nil"/>
            </w:tcBorders>
            <w:vAlign w:val="center"/>
          </w:tcPr>
          <w:p w14:paraId="7DFFFB6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336</w:t>
            </w:r>
          </w:p>
        </w:tc>
        <w:tc>
          <w:tcPr>
            <w:tcW w:w="2619" w:type="dxa"/>
            <w:tcBorders>
              <w:top w:val="nil"/>
              <w:left w:val="nil"/>
              <w:bottom w:val="nil"/>
              <w:right w:val="nil"/>
            </w:tcBorders>
            <w:vAlign w:val="center"/>
          </w:tcPr>
          <w:p w14:paraId="605D060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(E)-3-(4-hydroxy-3-iodo-5-methoxyphenyl)-1-phenylprop-2-en-1-one</w:t>
            </w:r>
          </w:p>
        </w:tc>
      </w:tr>
      <w:tr w:rsidR="00295605" w:rsidRPr="00295605" w14:paraId="7117E864" w14:textId="77777777" w:rsidTr="00D4167D">
        <w:tc>
          <w:tcPr>
            <w:tcW w:w="1078" w:type="dxa"/>
            <w:tcBorders>
              <w:top w:val="nil"/>
              <w:left w:val="nil"/>
              <w:bottom w:val="nil"/>
              <w:right w:val="nil"/>
            </w:tcBorders>
            <w:vAlign w:val="center"/>
          </w:tcPr>
          <w:p w14:paraId="46DF2BB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21</w:t>
            </w:r>
          </w:p>
        </w:tc>
        <w:tc>
          <w:tcPr>
            <w:tcW w:w="4160" w:type="dxa"/>
            <w:tcBorders>
              <w:top w:val="nil"/>
              <w:left w:val="nil"/>
              <w:bottom w:val="nil"/>
              <w:right w:val="nil"/>
            </w:tcBorders>
            <w:vAlign w:val="center"/>
          </w:tcPr>
          <w:p w14:paraId="7A9C4E8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557</w:t>
            </w:r>
          </w:p>
        </w:tc>
        <w:tc>
          <w:tcPr>
            <w:tcW w:w="2619" w:type="dxa"/>
            <w:tcBorders>
              <w:top w:val="nil"/>
              <w:left w:val="nil"/>
              <w:bottom w:val="nil"/>
              <w:right w:val="nil"/>
            </w:tcBorders>
            <w:vAlign w:val="center"/>
          </w:tcPr>
          <w:p w14:paraId="597ED0A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t>3-(3,9-dimethyldecyloxy)-6-methoxy-4-((E)-3-oxo-3-phenylprop-1-enyl)cyclohexa-2,4-dienecarbaldehyde</w:t>
            </w:r>
          </w:p>
        </w:tc>
      </w:tr>
      <w:tr w:rsidR="00295605" w:rsidRPr="00295605" w14:paraId="2DCA5902" w14:textId="77777777" w:rsidTr="00D4167D">
        <w:tc>
          <w:tcPr>
            <w:tcW w:w="1078" w:type="dxa"/>
            <w:tcBorders>
              <w:top w:val="nil"/>
              <w:left w:val="nil"/>
              <w:bottom w:val="nil"/>
              <w:right w:val="nil"/>
            </w:tcBorders>
            <w:vAlign w:val="center"/>
          </w:tcPr>
          <w:p w14:paraId="3D3B2DF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22</w:t>
            </w:r>
          </w:p>
        </w:tc>
        <w:tc>
          <w:tcPr>
            <w:tcW w:w="4160" w:type="dxa"/>
            <w:tcBorders>
              <w:top w:val="nil"/>
              <w:left w:val="nil"/>
              <w:bottom w:val="nil"/>
              <w:right w:val="nil"/>
            </w:tcBorders>
            <w:vAlign w:val="center"/>
          </w:tcPr>
          <w:p w14:paraId="225FAE2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175</w:t>
            </w:r>
          </w:p>
        </w:tc>
        <w:tc>
          <w:tcPr>
            <w:tcW w:w="2619" w:type="dxa"/>
            <w:tcBorders>
              <w:top w:val="nil"/>
              <w:left w:val="nil"/>
              <w:bottom w:val="nil"/>
              <w:right w:val="nil"/>
            </w:tcBorders>
            <w:vAlign w:val="center"/>
          </w:tcPr>
          <w:p w14:paraId="4BA9024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(E)-3-(1-(4-chlorobenzyl)-1H-i</w:t>
            </w:r>
            <w:r w:rsidRPr="00295605">
              <w:rPr>
                <w:rFonts w:eastAsia="Times New Roman"/>
                <w:noProof w:val="0"/>
                <w:snapToGrid w:val="0"/>
                <w:lang w:val="en-IN" w:eastAsia="de-DE" w:bidi="en-US"/>
              </w:rPr>
              <w:t>n</w:t>
            </w:r>
            <w:r w:rsidRPr="00295605">
              <w:rPr>
                <w:rFonts w:eastAsia="Times New Roman"/>
                <w:noProof w:val="0"/>
                <w:snapToGrid w:val="0"/>
                <w:lang w:val="en-IN" w:eastAsia="de-DE" w:bidi="en-US"/>
              </w:rPr>
              <w:t>dol-3-yl)-1-phenylprop-2-en-1-one</w:t>
            </w:r>
          </w:p>
        </w:tc>
      </w:tr>
      <w:tr w:rsidR="00295605" w:rsidRPr="00295605" w14:paraId="6AADF304" w14:textId="77777777" w:rsidTr="00D4167D">
        <w:tc>
          <w:tcPr>
            <w:tcW w:w="1078" w:type="dxa"/>
            <w:tcBorders>
              <w:top w:val="nil"/>
              <w:left w:val="nil"/>
              <w:bottom w:val="nil"/>
              <w:right w:val="nil"/>
            </w:tcBorders>
            <w:vAlign w:val="center"/>
          </w:tcPr>
          <w:p w14:paraId="46C5601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23</w:t>
            </w:r>
          </w:p>
        </w:tc>
        <w:tc>
          <w:tcPr>
            <w:tcW w:w="4160" w:type="dxa"/>
            <w:tcBorders>
              <w:top w:val="nil"/>
              <w:left w:val="nil"/>
              <w:bottom w:val="nil"/>
              <w:right w:val="nil"/>
            </w:tcBorders>
            <w:vAlign w:val="center"/>
          </w:tcPr>
          <w:p w14:paraId="1D034AD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441</w:t>
            </w:r>
          </w:p>
        </w:tc>
        <w:tc>
          <w:tcPr>
            <w:tcW w:w="2619" w:type="dxa"/>
            <w:tcBorders>
              <w:top w:val="nil"/>
              <w:left w:val="nil"/>
              <w:bottom w:val="nil"/>
              <w:right w:val="nil"/>
            </w:tcBorders>
            <w:vAlign w:val="center"/>
          </w:tcPr>
          <w:p w14:paraId="2259D0D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(2E)-3-(4-(4bH-carbazol-9(8aH)-yl)phenyl)-1-phenylprop-2-en-1-one</w:t>
            </w:r>
          </w:p>
        </w:tc>
      </w:tr>
      <w:tr w:rsidR="00295605" w:rsidRPr="00295605" w14:paraId="7F4C28AB" w14:textId="77777777" w:rsidTr="00D4167D">
        <w:tc>
          <w:tcPr>
            <w:tcW w:w="1078" w:type="dxa"/>
            <w:tcBorders>
              <w:top w:val="nil"/>
              <w:left w:val="nil"/>
              <w:bottom w:val="nil"/>
              <w:right w:val="nil"/>
            </w:tcBorders>
            <w:vAlign w:val="center"/>
          </w:tcPr>
          <w:p w14:paraId="2E50C6A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24</w:t>
            </w:r>
          </w:p>
        </w:tc>
        <w:tc>
          <w:tcPr>
            <w:tcW w:w="4160" w:type="dxa"/>
            <w:tcBorders>
              <w:top w:val="nil"/>
              <w:left w:val="nil"/>
              <w:bottom w:val="nil"/>
              <w:right w:val="nil"/>
            </w:tcBorders>
            <w:vAlign w:val="center"/>
          </w:tcPr>
          <w:p w14:paraId="6BE1EB9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179</w:t>
            </w:r>
          </w:p>
        </w:tc>
        <w:tc>
          <w:tcPr>
            <w:tcW w:w="2619" w:type="dxa"/>
            <w:tcBorders>
              <w:top w:val="nil"/>
              <w:left w:val="nil"/>
              <w:bottom w:val="nil"/>
              <w:right w:val="nil"/>
            </w:tcBorders>
            <w:vAlign w:val="center"/>
          </w:tcPr>
          <w:p w14:paraId="551770B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(2E)-3-(3-(4-chlorophenyl)-4,5-dihydro-5-methylisoxazol-4-yl)-1-phenylprop-2-en-1-one</w:t>
            </w:r>
          </w:p>
        </w:tc>
      </w:tr>
      <w:tr w:rsidR="00295605" w:rsidRPr="00295605" w14:paraId="03759165" w14:textId="77777777" w:rsidTr="00D4167D">
        <w:tc>
          <w:tcPr>
            <w:tcW w:w="1078" w:type="dxa"/>
            <w:tcBorders>
              <w:top w:val="nil"/>
              <w:left w:val="nil"/>
              <w:bottom w:val="nil"/>
              <w:right w:val="nil"/>
            </w:tcBorders>
            <w:vAlign w:val="center"/>
          </w:tcPr>
          <w:p w14:paraId="27C1228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25</w:t>
            </w:r>
          </w:p>
        </w:tc>
        <w:tc>
          <w:tcPr>
            <w:tcW w:w="4160" w:type="dxa"/>
            <w:tcBorders>
              <w:top w:val="nil"/>
              <w:left w:val="nil"/>
              <w:bottom w:val="nil"/>
              <w:right w:val="nil"/>
            </w:tcBorders>
            <w:vAlign w:val="center"/>
          </w:tcPr>
          <w:p w14:paraId="375773E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559</w:t>
            </w:r>
          </w:p>
        </w:tc>
        <w:tc>
          <w:tcPr>
            <w:tcW w:w="2619" w:type="dxa"/>
            <w:tcBorders>
              <w:top w:val="nil"/>
              <w:left w:val="nil"/>
              <w:bottom w:val="nil"/>
              <w:right w:val="nil"/>
            </w:tcBorders>
            <w:vAlign w:val="center"/>
          </w:tcPr>
          <w:p w14:paraId="3107633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3,6-dinonyl-4-((E)-3-oxo-3-phenylprop-1-enyl)cyclohexa-2,4-dienecarbaldehyde</w:t>
            </w:r>
          </w:p>
        </w:tc>
      </w:tr>
      <w:tr w:rsidR="00295605" w:rsidRPr="00295605" w14:paraId="0F2C9673" w14:textId="77777777" w:rsidTr="00D4167D">
        <w:tc>
          <w:tcPr>
            <w:tcW w:w="1078" w:type="dxa"/>
            <w:tcBorders>
              <w:top w:val="nil"/>
              <w:left w:val="nil"/>
              <w:bottom w:val="nil"/>
              <w:right w:val="nil"/>
            </w:tcBorders>
            <w:vAlign w:val="center"/>
          </w:tcPr>
          <w:p w14:paraId="5057787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26</w:t>
            </w:r>
          </w:p>
        </w:tc>
        <w:tc>
          <w:tcPr>
            <w:tcW w:w="4160" w:type="dxa"/>
            <w:tcBorders>
              <w:top w:val="nil"/>
              <w:left w:val="nil"/>
              <w:bottom w:val="nil"/>
              <w:right w:val="nil"/>
            </w:tcBorders>
            <w:vAlign w:val="center"/>
          </w:tcPr>
          <w:p w14:paraId="46B4CCC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328</w:t>
            </w:r>
          </w:p>
        </w:tc>
        <w:tc>
          <w:tcPr>
            <w:tcW w:w="2619" w:type="dxa"/>
            <w:tcBorders>
              <w:top w:val="nil"/>
              <w:left w:val="nil"/>
              <w:bottom w:val="nil"/>
              <w:right w:val="nil"/>
            </w:tcBorders>
            <w:vAlign w:val="center"/>
          </w:tcPr>
          <w:p w14:paraId="2121224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(E)-3-(1-fluoronaphthalen-4-yl)-1-phenylprop-2-en-1-one</w:t>
            </w:r>
          </w:p>
        </w:tc>
      </w:tr>
      <w:tr w:rsidR="00295605" w:rsidRPr="00295605" w14:paraId="7D569CED" w14:textId="77777777" w:rsidTr="00D4167D">
        <w:tc>
          <w:tcPr>
            <w:tcW w:w="1078" w:type="dxa"/>
            <w:tcBorders>
              <w:top w:val="nil"/>
              <w:left w:val="nil"/>
              <w:bottom w:val="nil"/>
              <w:right w:val="nil"/>
            </w:tcBorders>
            <w:vAlign w:val="center"/>
          </w:tcPr>
          <w:p w14:paraId="3C94640A"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27</w:t>
            </w:r>
          </w:p>
        </w:tc>
        <w:tc>
          <w:tcPr>
            <w:tcW w:w="4160" w:type="dxa"/>
            <w:tcBorders>
              <w:top w:val="nil"/>
              <w:left w:val="nil"/>
              <w:bottom w:val="nil"/>
              <w:right w:val="nil"/>
            </w:tcBorders>
            <w:vAlign w:val="center"/>
          </w:tcPr>
          <w:p w14:paraId="23CE983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473</w:t>
            </w:r>
          </w:p>
        </w:tc>
        <w:tc>
          <w:tcPr>
            <w:tcW w:w="2619" w:type="dxa"/>
            <w:tcBorders>
              <w:top w:val="nil"/>
              <w:left w:val="nil"/>
              <w:bottom w:val="nil"/>
              <w:right w:val="nil"/>
            </w:tcBorders>
            <w:vAlign w:val="center"/>
          </w:tcPr>
          <w:p w14:paraId="47B1715B"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(E)-3-(6-(4-(1-methoxyvinyl)phenyl)pyridin-2-yl)-1-phenylprop-2-en-1-one</w:t>
            </w:r>
          </w:p>
        </w:tc>
      </w:tr>
      <w:tr w:rsidR="00295605" w:rsidRPr="00295605" w14:paraId="18CEFD25" w14:textId="77777777" w:rsidTr="00D4167D">
        <w:tc>
          <w:tcPr>
            <w:tcW w:w="1078" w:type="dxa"/>
            <w:tcBorders>
              <w:top w:val="nil"/>
              <w:left w:val="nil"/>
              <w:bottom w:val="nil"/>
              <w:right w:val="nil"/>
            </w:tcBorders>
            <w:vAlign w:val="center"/>
          </w:tcPr>
          <w:p w14:paraId="7ECF2D6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lastRenderedPageBreak/>
              <w:t>28</w:t>
            </w:r>
          </w:p>
        </w:tc>
        <w:tc>
          <w:tcPr>
            <w:tcW w:w="4160" w:type="dxa"/>
            <w:tcBorders>
              <w:top w:val="nil"/>
              <w:left w:val="nil"/>
              <w:bottom w:val="nil"/>
              <w:right w:val="nil"/>
            </w:tcBorders>
            <w:vAlign w:val="center"/>
          </w:tcPr>
          <w:p w14:paraId="6D0CB0B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183</w:t>
            </w:r>
          </w:p>
        </w:tc>
        <w:tc>
          <w:tcPr>
            <w:tcW w:w="2619" w:type="dxa"/>
            <w:tcBorders>
              <w:top w:val="nil"/>
              <w:left w:val="nil"/>
              <w:bottom w:val="nil"/>
              <w:right w:val="nil"/>
            </w:tcBorders>
            <w:vAlign w:val="center"/>
          </w:tcPr>
          <w:p w14:paraId="1AE330A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(E)-3-(3-(4-chlorophenoxy)phenyl)-1-phenylprop-2-en-1-one</w:t>
            </w:r>
          </w:p>
        </w:tc>
      </w:tr>
      <w:tr w:rsidR="00295605" w:rsidRPr="00295605" w14:paraId="0BFAA900" w14:textId="77777777" w:rsidTr="00D4167D">
        <w:tc>
          <w:tcPr>
            <w:tcW w:w="1078" w:type="dxa"/>
            <w:tcBorders>
              <w:top w:val="nil"/>
              <w:left w:val="nil"/>
              <w:bottom w:val="nil"/>
              <w:right w:val="nil"/>
            </w:tcBorders>
            <w:vAlign w:val="center"/>
          </w:tcPr>
          <w:p w14:paraId="57D232E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29</w:t>
            </w:r>
          </w:p>
        </w:tc>
        <w:tc>
          <w:tcPr>
            <w:tcW w:w="4160" w:type="dxa"/>
            <w:tcBorders>
              <w:top w:val="nil"/>
              <w:left w:val="nil"/>
              <w:bottom w:val="nil"/>
              <w:right w:val="nil"/>
            </w:tcBorders>
            <w:vAlign w:val="center"/>
          </w:tcPr>
          <w:p w14:paraId="35F8C10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42</w:t>
            </w:r>
          </w:p>
        </w:tc>
        <w:tc>
          <w:tcPr>
            <w:tcW w:w="2619" w:type="dxa"/>
            <w:tcBorders>
              <w:top w:val="nil"/>
              <w:left w:val="nil"/>
              <w:bottom w:val="nil"/>
              <w:right w:val="nil"/>
            </w:tcBorders>
            <w:vAlign w:val="center"/>
          </w:tcPr>
          <w:p w14:paraId="2312315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2-(2,3-dihydro-5-((E)-3-oxo-3-ph</w:t>
            </w:r>
            <w:r w:rsidRPr="00295605">
              <w:rPr>
                <w:rFonts w:eastAsia="Times New Roman"/>
                <w:noProof w:val="0"/>
                <w:snapToGrid w:val="0"/>
                <w:lang w:val="en-IN" w:eastAsia="de-DE" w:bidi="en-US"/>
              </w:rPr>
              <w:t>e</w:t>
            </w:r>
            <w:r w:rsidRPr="00295605">
              <w:rPr>
                <w:rFonts w:eastAsia="Times New Roman"/>
                <w:noProof w:val="0"/>
                <w:snapToGrid w:val="0"/>
                <w:lang w:val="en-IN" w:eastAsia="de-DE" w:bidi="en-US"/>
              </w:rPr>
              <w:t>nylprop-1-enyl)furan-2-yl)-6-m</w:t>
            </w:r>
            <w:r w:rsidRPr="00295605">
              <w:rPr>
                <w:rFonts w:eastAsia="Times New Roman"/>
                <w:noProof w:val="0"/>
                <w:snapToGrid w:val="0"/>
                <w:lang w:val="en-IN" w:eastAsia="de-DE" w:bidi="en-US"/>
              </w:rPr>
              <w:t>e</w:t>
            </w:r>
            <w:r w:rsidRPr="00295605">
              <w:rPr>
                <w:rFonts w:eastAsia="Times New Roman"/>
                <w:noProof w:val="0"/>
                <w:snapToGrid w:val="0"/>
                <w:lang w:val="en-IN" w:eastAsia="de-DE" w:bidi="en-US"/>
              </w:rPr>
              <w:t>thyl-1,3,6,2-dioxazaborocane-4,8-dione</w:t>
            </w:r>
          </w:p>
        </w:tc>
      </w:tr>
      <w:tr w:rsidR="00295605" w:rsidRPr="00295605" w14:paraId="1AFF4462" w14:textId="77777777" w:rsidTr="00D4167D">
        <w:tc>
          <w:tcPr>
            <w:tcW w:w="1078" w:type="dxa"/>
            <w:tcBorders>
              <w:top w:val="nil"/>
              <w:left w:val="nil"/>
              <w:bottom w:val="nil"/>
              <w:right w:val="nil"/>
            </w:tcBorders>
            <w:vAlign w:val="center"/>
          </w:tcPr>
          <w:p w14:paraId="2A321DC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30</w:t>
            </w:r>
          </w:p>
        </w:tc>
        <w:tc>
          <w:tcPr>
            <w:tcW w:w="4160" w:type="dxa"/>
            <w:tcBorders>
              <w:top w:val="nil"/>
              <w:left w:val="nil"/>
              <w:bottom w:val="nil"/>
              <w:right w:val="nil"/>
            </w:tcBorders>
            <w:vAlign w:val="center"/>
          </w:tcPr>
          <w:p w14:paraId="5FADE8C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234</w:t>
            </w:r>
          </w:p>
        </w:tc>
        <w:tc>
          <w:tcPr>
            <w:tcW w:w="2619" w:type="dxa"/>
            <w:tcBorders>
              <w:top w:val="nil"/>
              <w:left w:val="nil"/>
              <w:bottom w:val="nil"/>
              <w:right w:val="nil"/>
            </w:tcBorders>
            <w:vAlign w:val="center"/>
          </w:tcPr>
          <w:p w14:paraId="2DC934E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(E)-3-(3-(3-(trifluoromethyl)phe</w:t>
            </w:r>
            <w:r w:rsidRPr="00295605">
              <w:rPr>
                <w:rFonts w:eastAsia="Times New Roman"/>
                <w:noProof w:val="0"/>
                <w:snapToGrid w:val="0"/>
                <w:lang w:val="en-IN" w:eastAsia="de-DE" w:bidi="en-US"/>
              </w:rPr>
              <w:t>n</w:t>
            </w:r>
            <w:r w:rsidRPr="00295605">
              <w:rPr>
                <w:rFonts w:eastAsia="Times New Roman"/>
                <w:noProof w:val="0"/>
                <w:snapToGrid w:val="0"/>
                <w:lang w:val="en-IN" w:eastAsia="de-DE" w:bidi="en-US"/>
              </w:rPr>
              <w:t>oxy)phenyl)-1-phenylprop-2-en-1-one</w:t>
            </w:r>
          </w:p>
        </w:tc>
      </w:tr>
      <w:tr w:rsidR="00295605" w:rsidRPr="00295605" w14:paraId="5DF2CAF4" w14:textId="77777777" w:rsidTr="00D4167D">
        <w:tc>
          <w:tcPr>
            <w:tcW w:w="1078" w:type="dxa"/>
            <w:tcBorders>
              <w:top w:val="nil"/>
              <w:left w:val="nil"/>
              <w:bottom w:val="nil"/>
              <w:right w:val="nil"/>
            </w:tcBorders>
            <w:vAlign w:val="center"/>
          </w:tcPr>
          <w:p w14:paraId="4DEF1B7F"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31</w:t>
            </w:r>
          </w:p>
        </w:tc>
        <w:tc>
          <w:tcPr>
            <w:tcW w:w="4160" w:type="dxa"/>
            <w:tcBorders>
              <w:top w:val="nil"/>
              <w:left w:val="nil"/>
              <w:bottom w:val="nil"/>
              <w:right w:val="nil"/>
            </w:tcBorders>
            <w:vAlign w:val="center"/>
          </w:tcPr>
          <w:p w14:paraId="68FEC44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369</w:t>
            </w:r>
          </w:p>
        </w:tc>
        <w:tc>
          <w:tcPr>
            <w:tcW w:w="2619" w:type="dxa"/>
            <w:tcBorders>
              <w:top w:val="nil"/>
              <w:left w:val="nil"/>
              <w:bottom w:val="nil"/>
              <w:right w:val="nil"/>
            </w:tcBorders>
            <w:vAlign w:val="center"/>
          </w:tcPr>
          <w:p w14:paraId="10BDD72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(E)-3-(4-(</w:t>
            </w:r>
            <w:proofErr w:type="spellStart"/>
            <w:r w:rsidRPr="00295605">
              <w:rPr>
                <w:rFonts w:eastAsia="Times New Roman"/>
                <w:noProof w:val="0"/>
                <w:snapToGrid w:val="0"/>
                <w:lang w:val="en-IN" w:eastAsia="de-DE" w:bidi="en-US"/>
              </w:rPr>
              <w:t>dibutylamino</w:t>
            </w:r>
            <w:proofErr w:type="spellEnd"/>
            <w:r w:rsidRPr="00295605">
              <w:rPr>
                <w:rFonts w:eastAsia="Times New Roman"/>
                <w:noProof w:val="0"/>
                <w:snapToGrid w:val="0"/>
                <w:lang w:val="en-IN" w:eastAsia="de-DE" w:bidi="en-US"/>
              </w:rPr>
              <w:t>)phenyl)-1-phenylprop-2-en-1-one</w:t>
            </w:r>
          </w:p>
        </w:tc>
      </w:tr>
      <w:tr w:rsidR="00295605" w:rsidRPr="00295605" w14:paraId="11491883" w14:textId="77777777" w:rsidTr="00D4167D">
        <w:tc>
          <w:tcPr>
            <w:tcW w:w="1078" w:type="dxa"/>
            <w:tcBorders>
              <w:top w:val="nil"/>
              <w:left w:val="nil"/>
              <w:bottom w:val="nil"/>
              <w:right w:val="nil"/>
            </w:tcBorders>
            <w:vAlign w:val="center"/>
          </w:tcPr>
          <w:p w14:paraId="4660D4CC"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32</w:t>
            </w:r>
          </w:p>
        </w:tc>
        <w:tc>
          <w:tcPr>
            <w:tcW w:w="4160" w:type="dxa"/>
            <w:tcBorders>
              <w:top w:val="nil"/>
              <w:left w:val="nil"/>
              <w:bottom w:val="nil"/>
              <w:right w:val="nil"/>
            </w:tcBorders>
            <w:vAlign w:val="center"/>
          </w:tcPr>
          <w:p w14:paraId="0BD06E01"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684</w:t>
            </w:r>
          </w:p>
        </w:tc>
        <w:tc>
          <w:tcPr>
            <w:tcW w:w="2619" w:type="dxa"/>
            <w:tcBorders>
              <w:top w:val="nil"/>
              <w:left w:val="nil"/>
              <w:bottom w:val="nil"/>
              <w:right w:val="nil"/>
            </w:tcBorders>
            <w:vAlign w:val="center"/>
          </w:tcPr>
          <w:p w14:paraId="5618D25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(2E)-1-phenyl-3-(4-styrylcyclohexa-2,4-dienyl)prop-2-en-1-one</w:t>
            </w:r>
          </w:p>
        </w:tc>
      </w:tr>
      <w:tr w:rsidR="00295605" w:rsidRPr="00295605" w14:paraId="7B46E2F5" w14:textId="77777777" w:rsidTr="00D4167D">
        <w:tc>
          <w:tcPr>
            <w:tcW w:w="1078" w:type="dxa"/>
            <w:tcBorders>
              <w:top w:val="nil"/>
              <w:left w:val="nil"/>
              <w:bottom w:val="nil"/>
              <w:right w:val="nil"/>
            </w:tcBorders>
            <w:vAlign w:val="center"/>
          </w:tcPr>
          <w:p w14:paraId="3C3E1E13"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33</w:t>
            </w:r>
          </w:p>
        </w:tc>
        <w:tc>
          <w:tcPr>
            <w:tcW w:w="4160" w:type="dxa"/>
            <w:tcBorders>
              <w:top w:val="nil"/>
              <w:left w:val="nil"/>
              <w:bottom w:val="nil"/>
              <w:right w:val="nil"/>
            </w:tcBorders>
            <w:vAlign w:val="center"/>
          </w:tcPr>
          <w:p w14:paraId="3614997E"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588</w:t>
            </w:r>
          </w:p>
        </w:tc>
        <w:tc>
          <w:tcPr>
            <w:tcW w:w="2619" w:type="dxa"/>
            <w:tcBorders>
              <w:top w:val="nil"/>
              <w:left w:val="nil"/>
              <w:bottom w:val="nil"/>
              <w:right w:val="nil"/>
            </w:tcBorders>
            <w:vAlign w:val="center"/>
          </w:tcPr>
          <w:p w14:paraId="4F51416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(E)-3-(4-(benzyloxy)phenyl)-1-phenylprop-2-en-1-one</w:t>
            </w:r>
          </w:p>
        </w:tc>
      </w:tr>
      <w:tr w:rsidR="00295605" w:rsidRPr="00295605" w14:paraId="1E02A821" w14:textId="77777777" w:rsidTr="00D4167D">
        <w:tc>
          <w:tcPr>
            <w:tcW w:w="1078" w:type="dxa"/>
            <w:tcBorders>
              <w:top w:val="nil"/>
              <w:left w:val="nil"/>
              <w:bottom w:val="nil"/>
              <w:right w:val="nil"/>
            </w:tcBorders>
            <w:vAlign w:val="center"/>
          </w:tcPr>
          <w:p w14:paraId="697DC956"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34</w:t>
            </w:r>
          </w:p>
        </w:tc>
        <w:tc>
          <w:tcPr>
            <w:tcW w:w="4160" w:type="dxa"/>
            <w:tcBorders>
              <w:top w:val="nil"/>
              <w:left w:val="nil"/>
              <w:bottom w:val="nil"/>
              <w:right w:val="nil"/>
            </w:tcBorders>
            <w:vAlign w:val="center"/>
          </w:tcPr>
          <w:p w14:paraId="19A1DDA8"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581</w:t>
            </w:r>
          </w:p>
        </w:tc>
        <w:tc>
          <w:tcPr>
            <w:tcW w:w="2619" w:type="dxa"/>
            <w:tcBorders>
              <w:top w:val="nil"/>
              <w:left w:val="nil"/>
              <w:bottom w:val="nil"/>
              <w:right w:val="nil"/>
            </w:tcBorders>
            <w:vAlign w:val="center"/>
          </w:tcPr>
          <w:p w14:paraId="71C141B5"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(E)-3-(4-(benzyloxy)-3-methox</w:t>
            </w:r>
            <w:r w:rsidRPr="00295605">
              <w:rPr>
                <w:rFonts w:eastAsia="Times New Roman"/>
                <w:noProof w:val="0"/>
                <w:snapToGrid w:val="0"/>
                <w:lang w:val="en-IN" w:eastAsia="de-DE" w:bidi="en-US"/>
              </w:rPr>
              <w:t>y</w:t>
            </w:r>
            <w:r w:rsidRPr="00295605">
              <w:rPr>
                <w:rFonts w:eastAsia="Times New Roman"/>
                <w:noProof w:val="0"/>
                <w:snapToGrid w:val="0"/>
                <w:lang w:val="en-IN" w:eastAsia="de-DE" w:bidi="en-US"/>
              </w:rPr>
              <w:t>ph</w:t>
            </w:r>
            <w:r w:rsidRPr="00295605">
              <w:rPr>
                <w:rFonts w:eastAsia="Times New Roman"/>
                <w:noProof w:val="0"/>
                <w:snapToGrid w:val="0"/>
                <w:lang w:val="en-IN" w:eastAsia="de-DE" w:bidi="en-US"/>
              </w:rPr>
              <w:t>e</w:t>
            </w:r>
            <w:r w:rsidRPr="00295605">
              <w:rPr>
                <w:rFonts w:eastAsia="Times New Roman"/>
                <w:noProof w:val="0"/>
                <w:snapToGrid w:val="0"/>
                <w:lang w:val="en-IN" w:eastAsia="de-DE" w:bidi="en-US"/>
              </w:rPr>
              <w:t>nyl)-1-phenylprop-2-en-1-one</w:t>
            </w:r>
          </w:p>
        </w:tc>
      </w:tr>
      <w:tr w:rsidR="00295605" w:rsidRPr="00295605" w14:paraId="1C59956B" w14:textId="77777777" w:rsidTr="00D4167D">
        <w:tc>
          <w:tcPr>
            <w:tcW w:w="1078" w:type="dxa"/>
            <w:tcBorders>
              <w:top w:val="nil"/>
              <w:left w:val="nil"/>
              <w:bottom w:val="nil"/>
              <w:right w:val="nil"/>
            </w:tcBorders>
            <w:vAlign w:val="center"/>
          </w:tcPr>
          <w:p w14:paraId="66F8B8B4"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35</w:t>
            </w:r>
          </w:p>
        </w:tc>
        <w:tc>
          <w:tcPr>
            <w:tcW w:w="4160" w:type="dxa"/>
            <w:tcBorders>
              <w:top w:val="nil"/>
              <w:left w:val="nil"/>
              <w:bottom w:val="nil"/>
              <w:right w:val="nil"/>
            </w:tcBorders>
            <w:vAlign w:val="center"/>
          </w:tcPr>
          <w:p w14:paraId="6ED2AC80"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167</w:t>
            </w:r>
          </w:p>
        </w:tc>
        <w:tc>
          <w:tcPr>
            <w:tcW w:w="2619" w:type="dxa"/>
            <w:tcBorders>
              <w:top w:val="nil"/>
              <w:left w:val="nil"/>
              <w:bottom w:val="nil"/>
              <w:right w:val="nil"/>
            </w:tcBorders>
            <w:vAlign w:val="center"/>
          </w:tcPr>
          <w:p w14:paraId="2330A5E9"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val="en-IN" w:eastAsia="de-DE" w:bidi="en-US"/>
              </w:rPr>
              <w:t>(2E)-3-(5-(4-chloro-2-nitrophenyl)-4,5-dihydrofuran-2-yl)-1-phenylprop-2-en-1-one</w:t>
            </w:r>
          </w:p>
        </w:tc>
      </w:tr>
      <w:tr w:rsidR="00295605" w:rsidRPr="00295605" w14:paraId="562E4B00" w14:textId="77777777" w:rsidTr="00D4167D">
        <w:tc>
          <w:tcPr>
            <w:tcW w:w="1078" w:type="dxa"/>
            <w:tcBorders>
              <w:top w:val="nil"/>
              <w:left w:val="nil"/>
              <w:bottom w:val="single" w:sz="8" w:space="0" w:color="auto"/>
              <w:right w:val="nil"/>
            </w:tcBorders>
            <w:vAlign w:val="center"/>
          </w:tcPr>
          <w:p w14:paraId="33C5DF12"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36</w:t>
            </w:r>
          </w:p>
        </w:tc>
        <w:tc>
          <w:tcPr>
            <w:tcW w:w="4160" w:type="dxa"/>
            <w:tcBorders>
              <w:top w:val="nil"/>
              <w:left w:val="nil"/>
              <w:bottom w:val="single" w:sz="8" w:space="0" w:color="auto"/>
              <w:right w:val="nil"/>
            </w:tcBorders>
            <w:vAlign w:val="center"/>
          </w:tcPr>
          <w:p w14:paraId="490B8E07" w14:textId="77777777" w:rsidR="00295605" w:rsidRPr="00295605" w:rsidRDefault="00295605" w:rsidP="00295605">
            <w:pPr>
              <w:adjustRightInd w:val="0"/>
              <w:snapToGrid w:val="0"/>
              <w:spacing w:line="240" w:lineRule="auto"/>
              <w:jc w:val="center"/>
              <w:rPr>
                <w:rFonts w:eastAsia="Times New Roman"/>
                <w:noProof w:val="0"/>
                <w:snapToGrid w:val="0"/>
                <w:lang w:eastAsia="de-DE" w:bidi="en-US"/>
              </w:rPr>
            </w:pPr>
            <w:r w:rsidRPr="00295605">
              <w:rPr>
                <w:rFonts w:eastAsia="Times New Roman"/>
                <w:noProof w:val="0"/>
                <w:snapToGrid w:val="0"/>
                <w:lang w:eastAsia="de-DE" w:bidi="en-US"/>
              </w:rPr>
              <w:t>380</w:t>
            </w:r>
          </w:p>
        </w:tc>
        <w:tc>
          <w:tcPr>
            <w:tcW w:w="2619" w:type="dxa"/>
            <w:tcBorders>
              <w:top w:val="nil"/>
              <w:left w:val="nil"/>
              <w:bottom w:val="single" w:sz="8" w:space="0" w:color="auto"/>
              <w:right w:val="nil"/>
            </w:tcBorders>
            <w:vAlign w:val="center"/>
          </w:tcPr>
          <w:p w14:paraId="5B54903D" w14:textId="77777777" w:rsidR="00295605" w:rsidRPr="00295605" w:rsidRDefault="00295605" w:rsidP="00295605">
            <w:pPr>
              <w:adjustRightInd w:val="0"/>
              <w:snapToGrid w:val="0"/>
              <w:spacing w:line="240" w:lineRule="auto"/>
              <w:jc w:val="center"/>
              <w:rPr>
                <w:rFonts w:eastAsia="Times New Roman"/>
                <w:noProof w:val="0"/>
                <w:snapToGrid w:val="0"/>
                <w:lang w:val="en-IN" w:eastAsia="de-DE" w:bidi="en-US"/>
              </w:rPr>
            </w:pPr>
            <w:r w:rsidRPr="00295605">
              <w:rPr>
                <w:rFonts w:eastAsia="Times New Roman"/>
                <w:noProof w:val="0"/>
                <w:snapToGrid w:val="0"/>
                <w:lang w:val="en-IN" w:eastAsia="de-DE" w:bidi="en-US"/>
              </w:rPr>
              <w:t>(E)-3-(4-(</w:t>
            </w:r>
            <w:proofErr w:type="spellStart"/>
            <w:r w:rsidRPr="00295605">
              <w:rPr>
                <w:rFonts w:eastAsia="Times New Roman"/>
                <w:noProof w:val="0"/>
                <w:snapToGrid w:val="0"/>
                <w:lang w:val="en-IN" w:eastAsia="de-DE" w:bidi="en-US"/>
              </w:rPr>
              <w:t>diphenylamino</w:t>
            </w:r>
            <w:proofErr w:type="spellEnd"/>
            <w:r w:rsidRPr="00295605">
              <w:rPr>
                <w:rFonts w:eastAsia="Times New Roman"/>
                <w:noProof w:val="0"/>
                <w:snapToGrid w:val="0"/>
                <w:lang w:val="en-IN" w:eastAsia="de-DE" w:bidi="en-US"/>
              </w:rPr>
              <w:t>)phenyl)-1-phenylprop-2-en-1-one</w:t>
            </w:r>
          </w:p>
        </w:tc>
      </w:tr>
    </w:tbl>
    <w:p w14:paraId="49002CD8" w14:textId="77777777" w:rsidR="00295605" w:rsidRPr="00295605" w:rsidRDefault="00295605" w:rsidP="00295605">
      <w:pPr>
        <w:adjustRightInd w:val="0"/>
        <w:snapToGrid w:val="0"/>
        <w:spacing w:before="240" w:after="60" w:line="228" w:lineRule="auto"/>
        <w:jc w:val="left"/>
        <w:outlineLvl w:val="0"/>
        <w:rPr>
          <w:rFonts w:eastAsia="Times New Roman"/>
          <w:b/>
          <w:noProof w:val="0"/>
          <w:snapToGrid w:val="0"/>
          <w:szCs w:val="22"/>
          <w:lang w:val="en-IN" w:eastAsia="de-DE" w:bidi="en-US"/>
        </w:rPr>
      </w:pPr>
    </w:p>
    <w:p w14:paraId="26C53F40"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val="en-IN" w:eastAsia="de-DE" w:bidi="en-US"/>
        </w:rPr>
      </w:pPr>
      <w:r w:rsidRPr="00295605">
        <w:rPr>
          <w:rFonts w:eastAsia="Times New Roman"/>
          <w:b/>
          <w:bCs/>
          <w:noProof w:val="0"/>
          <w:snapToGrid w:val="0"/>
          <w:szCs w:val="22"/>
          <w:lang w:val="en-IN" w:eastAsia="de-DE" w:bidi="en-US"/>
        </w:rPr>
        <w:t>Docking</w:t>
      </w:r>
      <w:proofErr w:type="gramStart"/>
      <w:r w:rsidRPr="00295605">
        <w:rPr>
          <w:rFonts w:eastAsia="Times New Roman"/>
          <w:b/>
          <w:bCs/>
          <w:noProof w:val="0"/>
          <w:snapToGrid w:val="0"/>
          <w:szCs w:val="22"/>
          <w:lang w:val="en-IN" w:eastAsia="de-DE" w:bidi="en-US"/>
        </w:rPr>
        <w:t>:-</w:t>
      </w:r>
      <w:proofErr w:type="gramEnd"/>
      <w:r w:rsidRPr="00295605">
        <w:rPr>
          <w:rFonts w:eastAsia="Times New Roman"/>
          <w:b/>
          <w:bCs/>
          <w:noProof w:val="0"/>
          <w:snapToGrid w:val="0"/>
          <w:szCs w:val="22"/>
          <w:lang w:val="en-IN" w:eastAsia="de-DE" w:bidi="en-US"/>
        </w:rPr>
        <w:t xml:space="preserve"> </w:t>
      </w:r>
      <w:r w:rsidRPr="00295605">
        <w:rPr>
          <w:rFonts w:eastAsia="Times New Roman"/>
          <w:noProof w:val="0"/>
          <w:snapToGrid w:val="0"/>
          <w:szCs w:val="22"/>
          <w:lang w:val="en-IN" w:eastAsia="de-DE" w:bidi="en-US"/>
        </w:rPr>
        <w:t>The backbone remained stiff throughout the docking simulation, but the side chains of amino acids near the discovered cavity were given the freedom to modify their torsional angles. The ligands were docked with the softening potentials during the si</w:t>
      </w:r>
      <w:r w:rsidRPr="00295605">
        <w:rPr>
          <w:rFonts w:eastAsia="Times New Roman"/>
          <w:noProof w:val="0"/>
          <w:snapToGrid w:val="0"/>
          <w:szCs w:val="22"/>
          <w:lang w:val="en-IN" w:eastAsia="de-DE" w:bidi="en-US"/>
        </w:rPr>
        <w:t>m</w:t>
      </w:r>
      <w:r w:rsidRPr="00295605">
        <w:rPr>
          <w:rFonts w:eastAsia="Times New Roman"/>
          <w:noProof w:val="0"/>
          <w:snapToGrid w:val="0"/>
          <w:szCs w:val="22"/>
          <w:lang w:val="en-IN" w:eastAsia="de-DE" w:bidi="en-US"/>
        </w:rPr>
        <w:t>ulation's docking process. The receptor was held stiff in this state, which is its default conformation. The side chains selected for reduction were then minimized with respect to the discovered posture after each ligand was docked. The ligand was reduced in e</w:t>
      </w:r>
      <w:r w:rsidRPr="00295605">
        <w:rPr>
          <w:rFonts w:eastAsia="Times New Roman"/>
          <w:noProof w:val="0"/>
          <w:snapToGrid w:val="0"/>
          <w:szCs w:val="22"/>
          <w:lang w:val="en-IN" w:eastAsia="de-DE" w:bidi="en-US"/>
        </w:rPr>
        <w:t>n</w:t>
      </w:r>
      <w:r w:rsidRPr="00295605">
        <w:rPr>
          <w:rFonts w:eastAsia="Times New Roman"/>
          <w:noProof w:val="0"/>
          <w:snapToGrid w:val="0"/>
          <w:szCs w:val="22"/>
          <w:lang w:val="en-IN" w:eastAsia="de-DE" w:bidi="en-US"/>
        </w:rPr>
        <w:t>ergy when the side chains were repositioned. The conventional non-softened potentials were used to rearrange the side chains and minimize the ligand. As there can be a co</w:t>
      </w:r>
      <w:r w:rsidRPr="00295605">
        <w:rPr>
          <w:rFonts w:eastAsia="Times New Roman"/>
          <w:noProof w:val="0"/>
          <w:snapToGrid w:val="0"/>
          <w:szCs w:val="22"/>
          <w:lang w:val="en-IN" w:eastAsia="de-DE" w:bidi="en-US"/>
        </w:rPr>
        <w:t>n</w:t>
      </w:r>
      <w:r w:rsidRPr="00295605">
        <w:rPr>
          <w:rFonts w:eastAsia="Times New Roman"/>
          <w:noProof w:val="0"/>
          <w:snapToGrid w:val="0"/>
          <w:szCs w:val="22"/>
          <w:lang w:val="en-IN" w:eastAsia="de-DE" w:bidi="en-US"/>
        </w:rPr>
        <w:t>siderable reduction in the complexity of the docking search if fewer flexible torsions are set during the docking run, all flexible torsions in the ligand were made stiff during docking.</w:t>
      </w:r>
    </w:p>
    <w:p w14:paraId="7818397D"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val="en-IN" w:eastAsia="de-DE" w:bidi="en-US"/>
        </w:rPr>
      </w:pPr>
      <w:r w:rsidRPr="00295605">
        <w:rPr>
          <w:rFonts w:eastAsia="Times New Roman"/>
          <w:b/>
          <w:noProof w:val="0"/>
          <w:snapToGrid w:val="0"/>
          <w:szCs w:val="22"/>
          <w:lang w:val="en-IN" w:eastAsia="de-DE" w:bidi="en-US"/>
        </w:rPr>
        <w:t>A scoring function's parameters are:</w:t>
      </w:r>
    </w:p>
    <w:p w14:paraId="546255F0"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b/>
          <w:noProof w:val="0"/>
          <w:snapToGrid w:val="0"/>
          <w:szCs w:val="22"/>
          <w:lang w:val="en-IN" w:eastAsia="de-DE" w:bidi="en-US"/>
        </w:rPr>
        <w:t xml:space="preserve">Mol Dock Score:  </w:t>
      </w:r>
      <w:r w:rsidRPr="00295605">
        <w:rPr>
          <w:rFonts w:eastAsia="Times New Roman"/>
          <w:noProof w:val="0"/>
          <w:snapToGrid w:val="0"/>
          <w:szCs w:val="22"/>
          <w:lang w:val="en-IN" w:eastAsia="de-DE" w:bidi="en-US"/>
        </w:rPr>
        <w:t xml:space="preserve">The PLP (piecewise linear potential) scoring functions are the source of the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scoring function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Score) that is employed by </w:t>
      </w:r>
      <w:proofErr w:type="spellStart"/>
      <w:r w:rsidRPr="00295605">
        <w:rPr>
          <w:rFonts w:eastAsia="Times New Roman"/>
          <w:noProof w:val="0"/>
          <w:snapToGrid w:val="0"/>
          <w:szCs w:val="22"/>
          <w:lang w:val="en-IN" w:eastAsia="de-DE" w:bidi="en-US"/>
        </w:rPr>
        <w:t>Molegro</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Vertual</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Docker</w:t>
      </w:r>
      <w:proofErr w:type="spellEnd"/>
      <w:r w:rsidRPr="00295605">
        <w:rPr>
          <w:rFonts w:eastAsia="Times New Roman"/>
          <w:noProof w:val="0"/>
          <w:snapToGrid w:val="0"/>
          <w:szCs w:val="22"/>
          <w:lang w:val="en-IN" w:eastAsia="de-DE" w:bidi="en-US"/>
        </w:rPr>
        <w:t xml:space="preserve">. With a new hydrogen bonding term and new charge schemes, the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scoring function enhances these scoring functions even further. The PLP (piecewise linear potential) scoring functions are the source of the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scoring function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w:t>
      </w:r>
      <w:r w:rsidRPr="00295605">
        <w:rPr>
          <w:rFonts w:eastAsia="Times New Roman"/>
          <w:noProof w:val="0"/>
          <w:snapToGrid w:val="0"/>
          <w:szCs w:val="22"/>
          <w:lang w:val="en-IN" w:eastAsia="de-DE" w:bidi="en-US"/>
        </w:rPr>
        <w:lastRenderedPageBreak/>
        <w:t xml:space="preserve">Score) that is employed by MVD. With a new hydrogen bonding term and new charge schemes, the </w:t>
      </w:r>
      <w:proofErr w:type="spellStart"/>
      <w:r w:rsidRPr="00295605">
        <w:rPr>
          <w:rFonts w:eastAsia="Times New Roman"/>
          <w:noProof w:val="0"/>
          <w:snapToGrid w:val="0"/>
          <w:szCs w:val="22"/>
          <w:lang w:val="en-IN" w:eastAsia="de-DE" w:bidi="en-US"/>
        </w:rPr>
        <w:t>MolDock</w:t>
      </w:r>
      <w:proofErr w:type="spellEnd"/>
      <w:r w:rsidRPr="00295605">
        <w:rPr>
          <w:rFonts w:eastAsia="Times New Roman"/>
          <w:noProof w:val="0"/>
          <w:snapToGrid w:val="0"/>
          <w:szCs w:val="22"/>
          <w:lang w:val="en-IN" w:eastAsia="de-DE" w:bidi="en-US"/>
        </w:rPr>
        <w:t xml:space="preserve"> scoring function enhances these scoring functions even </w:t>
      </w:r>
      <w:proofErr w:type="spellStart"/>
      <w:r w:rsidRPr="00295605">
        <w:rPr>
          <w:rFonts w:eastAsia="Times New Roman"/>
          <w:noProof w:val="0"/>
          <w:snapToGrid w:val="0"/>
          <w:szCs w:val="22"/>
          <w:lang w:val="en-IN" w:eastAsia="de-DE" w:bidi="en-US"/>
        </w:rPr>
        <w:t>fu</w:t>
      </w:r>
      <w:r w:rsidRPr="00295605">
        <w:rPr>
          <w:rFonts w:eastAsia="Times New Roman"/>
          <w:noProof w:val="0"/>
          <w:snapToGrid w:val="0"/>
          <w:szCs w:val="22"/>
          <w:lang w:val="en-IN" w:eastAsia="de-DE" w:bidi="en-US"/>
        </w:rPr>
        <w:t>r</w:t>
      </w:r>
      <w:r w:rsidRPr="00295605">
        <w:rPr>
          <w:rFonts w:eastAsia="Times New Roman"/>
          <w:noProof w:val="0"/>
          <w:snapToGrid w:val="0"/>
          <w:szCs w:val="22"/>
          <w:lang w:val="en-IN" w:eastAsia="de-DE" w:bidi="en-US"/>
        </w:rPr>
        <w:t>ther.The</w:t>
      </w:r>
      <w:proofErr w:type="spellEnd"/>
      <w:r w:rsidRPr="00295605">
        <w:rPr>
          <w:rFonts w:eastAsia="Times New Roman"/>
          <w:noProof w:val="0"/>
          <w:snapToGrid w:val="0"/>
          <w:szCs w:val="22"/>
          <w:lang w:val="en-IN" w:eastAsia="de-DE" w:bidi="en-US"/>
        </w:rPr>
        <w:t xml:space="preserve"> docking scoring function, </w:t>
      </w:r>
      <w:proofErr w:type="spellStart"/>
      <w:r w:rsidRPr="00295605">
        <w:rPr>
          <w:rFonts w:eastAsia="Times New Roman"/>
          <w:noProof w:val="0"/>
          <w:snapToGrid w:val="0"/>
          <w:szCs w:val="22"/>
          <w:lang w:val="en-IN" w:eastAsia="de-DE" w:bidi="en-US"/>
        </w:rPr>
        <w:t>Escore</w:t>
      </w:r>
      <w:proofErr w:type="spellEnd"/>
      <w:r w:rsidRPr="00295605">
        <w:rPr>
          <w:rFonts w:eastAsia="Times New Roman"/>
          <w:noProof w:val="0"/>
          <w:snapToGrid w:val="0"/>
          <w:szCs w:val="22"/>
          <w:lang w:val="en-IN" w:eastAsia="de-DE" w:bidi="en-US"/>
        </w:rPr>
        <w:t xml:space="preserve">, is defined by the following energy terms: </w:t>
      </w:r>
      <w:proofErr w:type="spellStart"/>
      <w:r w:rsidRPr="00295605">
        <w:rPr>
          <w:rFonts w:eastAsia="Times New Roman"/>
          <w:noProof w:val="0"/>
          <w:snapToGrid w:val="0"/>
          <w:szCs w:val="22"/>
          <w:lang w:val="en-IN" w:eastAsia="de-DE" w:bidi="en-US"/>
        </w:rPr>
        <w:t>Escore</w:t>
      </w:r>
      <w:proofErr w:type="spellEnd"/>
      <w:r w:rsidRPr="00295605">
        <w:rPr>
          <w:rFonts w:eastAsia="Times New Roman"/>
          <w:noProof w:val="0"/>
          <w:snapToGrid w:val="0"/>
          <w:szCs w:val="22"/>
          <w:lang w:val="en-IN" w:eastAsia="de-DE" w:bidi="en-US"/>
        </w:rPr>
        <w:t xml:space="preserve"> = </w:t>
      </w:r>
      <w:proofErr w:type="spellStart"/>
      <w:r w:rsidRPr="00295605">
        <w:rPr>
          <w:rFonts w:eastAsia="Times New Roman"/>
          <w:noProof w:val="0"/>
          <w:snapToGrid w:val="0"/>
          <w:szCs w:val="22"/>
          <w:lang w:val="en-IN" w:eastAsia="de-DE" w:bidi="en-US"/>
        </w:rPr>
        <w:t>Einter</w:t>
      </w:r>
      <w:proofErr w:type="spellEnd"/>
      <w:r w:rsidRPr="00295605">
        <w:rPr>
          <w:rFonts w:eastAsia="Times New Roman"/>
          <w:noProof w:val="0"/>
          <w:snapToGrid w:val="0"/>
          <w:szCs w:val="22"/>
          <w:lang w:val="en-IN" w:eastAsia="de-DE" w:bidi="en-US"/>
        </w:rPr>
        <w:t xml:space="preserve"> + </w:t>
      </w:r>
      <w:proofErr w:type="spellStart"/>
      <w:r w:rsidRPr="00295605">
        <w:rPr>
          <w:rFonts w:eastAsia="Times New Roman"/>
          <w:noProof w:val="0"/>
          <w:snapToGrid w:val="0"/>
          <w:szCs w:val="22"/>
          <w:lang w:val="en-IN" w:eastAsia="de-DE" w:bidi="en-US"/>
        </w:rPr>
        <w:t>Eintra</w:t>
      </w:r>
      <w:proofErr w:type="spellEnd"/>
      <w:r w:rsidRPr="00295605">
        <w:rPr>
          <w:rFonts w:eastAsia="Times New Roman"/>
          <w:noProof w:val="0"/>
          <w:snapToGrid w:val="0"/>
          <w:szCs w:val="22"/>
          <w:lang w:val="en-IN" w:eastAsia="de-DE" w:bidi="en-US"/>
        </w:rPr>
        <w:t xml:space="preserve"> </w:t>
      </w:r>
    </w:p>
    <w:p w14:paraId="5B87B6D2"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t xml:space="preserve">Where </w:t>
      </w:r>
      <w:proofErr w:type="spellStart"/>
      <w:r w:rsidRPr="00295605">
        <w:rPr>
          <w:rFonts w:eastAsia="Times New Roman"/>
          <w:noProof w:val="0"/>
          <w:snapToGrid w:val="0"/>
          <w:szCs w:val="22"/>
          <w:lang w:val="en-IN" w:eastAsia="de-DE" w:bidi="en-US"/>
        </w:rPr>
        <w:t>Einter</w:t>
      </w:r>
      <w:proofErr w:type="spellEnd"/>
      <w:r w:rsidRPr="00295605">
        <w:rPr>
          <w:rFonts w:eastAsia="Times New Roman"/>
          <w:noProof w:val="0"/>
          <w:snapToGrid w:val="0"/>
          <w:szCs w:val="22"/>
          <w:lang w:val="en-IN" w:eastAsia="de-DE" w:bidi="en-US"/>
        </w:rPr>
        <w:t xml:space="preserve"> is the ligand-protein interaction energy, </w:t>
      </w:r>
      <w:proofErr w:type="spellStart"/>
      <w:r w:rsidRPr="00295605">
        <w:rPr>
          <w:rFonts w:eastAsia="Times New Roman"/>
          <w:noProof w:val="0"/>
          <w:snapToGrid w:val="0"/>
          <w:szCs w:val="22"/>
          <w:lang w:val="en-IN" w:eastAsia="de-DE" w:bidi="en-US"/>
        </w:rPr>
        <w:t>Eintra</w:t>
      </w:r>
      <w:proofErr w:type="spellEnd"/>
      <w:r w:rsidRPr="00295605">
        <w:rPr>
          <w:rFonts w:eastAsia="Times New Roman"/>
          <w:noProof w:val="0"/>
          <w:snapToGrid w:val="0"/>
          <w:szCs w:val="22"/>
          <w:lang w:val="en-IN" w:eastAsia="de-DE" w:bidi="en-US"/>
        </w:rPr>
        <w:t xml:space="preserve"> is the internal energy of the ligand </w:t>
      </w:r>
    </w:p>
    <w:p w14:paraId="007D7FF1" w14:textId="77777777" w:rsidR="00295605" w:rsidRPr="00295605" w:rsidRDefault="00295605" w:rsidP="00295605">
      <w:pPr>
        <w:adjustRightInd w:val="0"/>
        <w:snapToGrid w:val="0"/>
        <w:spacing w:before="240" w:after="60" w:line="228" w:lineRule="auto"/>
        <w:ind w:left="2608"/>
        <w:jc w:val="left"/>
        <w:outlineLvl w:val="0"/>
        <w:rPr>
          <w:rFonts w:eastAsia="Times New Roman"/>
          <w:noProof w:val="0"/>
          <w:snapToGrid w:val="0"/>
          <w:szCs w:val="22"/>
          <w:lang w:val="en-IN" w:eastAsia="de-DE" w:bidi="en-US"/>
        </w:rPr>
      </w:pPr>
      <w:r w:rsidRPr="00295605">
        <w:rPr>
          <w:rFonts w:eastAsia="Times New Roman"/>
          <w:b/>
          <w:noProof w:val="0"/>
          <w:snapToGrid w:val="0"/>
          <w:szCs w:val="22"/>
          <w:lang w:val="en-IN" w:eastAsia="de-DE" w:bidi="en-US"/>
        </w:rPr>
        <w:t xml:space="preserve">Re-rank score: </w:t>
      </w:r>
      <w:r w:rsidRPr="00295605">
        <w:rPr>
          <w:rFonts w:eastAsia="Times New Roman"/>
          <w:noProof w:val="0"/>
          <w:snapToGrid w:val="0"/>
          <w:szCs w:val="22"/>
          <w:lang w:val="en-IN" w:eastAsia="de-DE" w:bidi="en-US"/>
        </w:rPr>
        <w:t>The scoring function used for the re-ranking simulation was comput</w:t>
      </w:r>
      <w:r w:rsidRPr="00295605">
        <w:rPr>
          <w:rFonts w:eastAsia="Times New Roman"/>
          <w:noProof w:val="0"/>
          <w:snapToGrid w:val="0"/>
          <w:szCs w:val="22"/>
          <w:lang w:val="en-IN" w:eastAsia="de-DE" w:bidi="en-US"/>
        </w:rPr>
        <w:t>a</w:t>
      </w:r>
      <w:r w:rsidRPr="00295605">
        <w:rPr>
          <w:rFonts w:eastAsia="Times New Roman"/>
          <w:noProof w:val="0"/>
          <w:snapToGrid w:val="0"/>
          <w:szCs w:val="22"/>
          <w:lang w:val="en-IN" w:eastAsia="de-DE" w:bidi="en-US"/>
        </w:rPr>
        <w:t>tionally more expensive than the scoring system for the docking simulation, but it is typically more effective at selecting the optimal posture from among numerous poses coming from the same ligand.</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{"citationItems":[{"id":"ITEM-1","itemData":{"DOI":"10.1016/j.bpc.2018.01.004","ISSN":"18734200","PMID":"29407904","abstract":"Cyclin-dependent kinase (CDK) is an interesting biological macromolecule due to its role in cell cycle progression, transcription control, and neuronal development, to mention the most studied biological activities. Furthermore, the availability of hundreds of structural studies focused on the intermolecular interactions of CDK with competitive inhibitors makes possible to develop computational models to predict binding affinity, where the atomic coordinates of binary complexes involving CDK and ligands can be used to train a machine learning model. The present work is focused on the development of new machine learning models to predict binding affinity for CDK. The CDK-targeted machine learning models were compared with classical scoring functions such as MolDock, AutoDock 4, and Vina Scores. The overall performance of our CDK-targeted scoring function was higher than the previously mentioned scoring functions, which opens the possibility of increasing the reliability of virtual screening studies focused on CDK.","author":[{"dropping-particle":"","family":"Levin","given":"Nayara Maria Bernhardt","non-dropping-particle":"","parse-names":false,"suffix":""},{"dropping-particle":"","family":"Pintro","given":"Val Oliveira","non-dropping-particle":"","parse-names":false,"suffix":""},{"dropping-particle":"","family":"Bitencourt-Ferreira","given":"Gabriela","non-dropping-particle":"","parse-names":false,"suffix":""},{"dropping-particle":"","family":"Mattos","given":"Bruna Boldrini","non-dropping-particle":"de","parse-names":false,"suffix":""},{"dropping-particle":"","family":"Castro Silvério","given":"Ariadne","non-dropping-particle":"de","parse-names":false,"suffix":""},{"dropping-particle":"","family":"Azevedo","given":"Walter Filgueira","non-dropping-particle":"de","parse-names":false,"suffix":""}],"container-title":"Biophysical Chemistry","id":"ITEM-1","issue":"April","issued":{"date-parts":[["2018"]]},"page":"1-8","title":"Development of CDK-targeted scoring functions for prediction of binding affinity","type":"article-journal","volume":"235"},"uris":["http://www.mendeley.com/documents/?uuid=af41176b-f695-492d-913a-7e445193becf"]}],"mendeley":{"formattedCitation":"(21)","plainTextFormattedCitation":"(21)","previouslyFormattedCitation":"(21)"},"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(21)</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Although the re-rank score in MVD offers an estimate of the interaction's intensity, it is not calibrated in chemical units and does not account for complicated contributions (like entropy).</w:t>
      </w:r>
      <w:r w:rsidRPr="00295605">
        <w:rPr>
          <w:rFonts w:eastAsia="Times New Roman"/>
          <w:noProof w:val="0"/>
          <w:snapToGrid w:val="0"/>
          <w:szCs w:val="22"/>
          <w:lang w:val="en-IN" w:eastAsia="de-DE" w:bidi="en-US"/>
        </w:rPr>
        <w:fldChar w:fldCharType="begin" w:fldLock="1"/>
      </w:r>
      <w:r w:rsidRPr="00295605">
        <w:rPr>
          <w:rFonts w:eastAsia="Times New Roman"/>
          <w:noProof w:val="0"/>
          <w:snapToGrid w:val="0"/>
          <w:szCs w:val="22"/>
          <w:lang w:val="en-IN" w:eastAsia="de-DE" w:bidi="en-US"/>
        </w:rPr>
        <w:instrText>ADDIN CSL_CITATION {"citationItems":[{"id":"ITEM-1","itemData":{"DOI":"10.30493/DLS.2020.225404","abstract":"The novel coronavirus (SARS-CoV-2) has without a doubt escalated to become a global crisis. Taking into consideration our limited knowledge regarding the virus, all the efforts to provide better understanding or explore the solutions are highly welcomed. In this article, 88 conventional drugs, 16 vitamins, and 63 natural (plant) compounds were chosen to perform a binding simulation with the reported COVID-19 main protease (M pro) in search for probable inhibitors. Based on docking results, various vitamins (B9, A, K, and E vitamins) exhibited a significantly strong interaction with the studied receptor which might refer to the importance of these supplements in daily diets. Additionally, the strong ligand-protein interactions of some conventional drugs such as Pleconaril, Adefovir dipivoxil, and Stavudine in addition to plant-based compounds such as Curcumin (Curcuma longa), Anolignan A (Anogeissus acuminata), and Phyllamyricin B (Phyllanthus myrtifolius) render these compounds promising and recommended for further studies.","author":[{"dropping-particle":"","family":"Alabboud","given":"Michael","non-dropping-particle":"","parse-names":false,"suffix":""},{"dropping-particle":"","family":"Javadmanesh","given":"Ali","non-dropping-particle":"","parse-names":false,"suffix":""}],"container-title":"DYSONA - Life Science","id":"ITEM-1","issue":"2","issued":{"date-parts":[["2020"]]},"page":"44-63","title":"In silico study of various antiviral drugs, vitamins, and natural substances as potential binding compounds with SARS-CoV-2 main protease","type":"article-journal","volume":"1"},"uris":["http://www.mendeley.com/documents/?uuid=9327ba3d-382f-46a8-8d0c-894f9fef368a"]}],"mendeley":{"formattedCitation":"(22)","plainTextFormattedCitation":"(22)","previouslyFormattedCitation":"(22)"},"properties":{"noteIndex":0},"schema":"https://github.com/citation-style-language/schema/raw/master/csl-citation.json"}</w:instrText>
      </w:r>
      <w:r w:rsidRPr="00295605">
        <w:rPr>
          <w:rFonts w:eastAsia="Times New Roman"/>
          <w:noProof w:val="0"/>
          <w:snapToGrid w:val="0"/>
          <w:szCs w:val="22"/>
          <w:lang w:val="en-IN" w:eastAsia="de-DE" w:bidi="en-US"/>
        </w:rPr>
        <w:fldChar w:fldCharType="separate"/>
      </w:r>
      <w:r w:rsidRPr="00295605">
        <w:rPr>
          <w:rFonts w:eastAsia="Times New Roman"/>
          <w:snapToGrid w:val="0"/>
          <w:szCs w:val="22"/>
          <w:lang w:val="en-IN" w:eastAsia="de-DE" w:bidi="en-US"/>
        </w:rPr>
        <w:t>(22)</w:t>
      </w:r>
      <w:r w:rsidRPr="00295605">
        <w:rPr>
          <w:rFonts w:eastAsia="Times New Roman"/>
          <w:noProof w:val="0"/>
          <w:snapToGrid w:val="0"/>
          <w:szCs w:val="22"/>
          <w:lang w:eastAsia="de-DE" w:bidi="en-US"/>
        </w:rPr>
        <w:fldChar w:fldCharType="end"/>
      </w:r>
      <w:r w:rsidRPr="00295605">
        <w:rPr>
          <w:rFonts w:eastAsia="Times New Roman"/>
          <w:noProof w:val="0"/>
          <w:snapToGrid w:val="0"/>
          <w:szCs w:val="22"/>
          <w:lang w:val="en-IN" w:eastAsia="de-DE" w:bidi="en-US"/>
        </w:rPr>
        <w:t xml:space="preserve"> The re-rank score may be effective in rating various poses of the same ligand, but it may not be as effective in ranking various poses of different ligands.</w:t>
      </w:r>
    </w:p>
    <w:p w14:paraId="69A1F85F" w14:textId="77777777" w:rsidR="00295605" w:rsidRPr="00295605" w:rsidRDefault="00295605" w:rsidP="00295605">
      <w:pPr>
        <w:adjustRightInd w:val="0"/>
        <w:snapToGrid w:val="0"/>
        <w:spacing w:before="240" w:after="60" w:line="228" w:lineRule="auto"/>
        <w:ind w:left="2608"/>
        <w:jc w:val="left"/>
        <w:outlineLvl w:val="0"/>
        <w:rPr>
          <w:rFonts w:eastAsia="Times New Roman"/>
          <w:b/>
          <w:noProof w:val="0"/>
          <w:snapToGrid w:val="0"/>
          <w:szCs w:val="22"/>
          <w:lang w:eastAsia="de-DE" w:bidi="en-US"/>
        </w:rPr>
      </w:pPr>
      <w:r w:rsidRPr="00295605">
        <w:rPr>
          <w:rFonts w:eastAsia="Times New Roman"/>
          <w:b/>
          <w:noProof w:val="0"/>
          <w:snapToGrid w:val="0"/>
          <w:szCs w:val="22"/>
          <w:lang w:eastAsia="de-DE" w:bidi="en-US"/>
        </w:rPr>
        <w:t>5. Conclusions</w:t>
      </w:r>
    </w:p>
    <w:p w14:paraId="05C23AB8" w14:textId="77777777" w:rsidR="00295605" w:rsidRPr="00295605" w:rsidRDefault="00295605" w:rsidP="00295605">
      <w:pPr>
        <w:adjustRightInd w:val="0"/>
        <w:snapToGrid w:val="0"/>
        <w:spacing w:line="228" w:lineRule="auto"/>
        <w:ind w:left="2608" w:firstLine="425"/>
        <w:rPr>
          <w:rFonts w:eastAsia="Times New Roman"/>
          <w:noProof w:val="0"/>
          <w:snapToGrid w:val="0"/>
          <w:szCs w:val="22"/>
          <w:lang w:val="en-IN" w:eastAsia="de-DE" w:bidi="en-US"/>
        </w:rPr>
      </w:pPr>
      <w:r w:rsidRPr="00295605">
        <w:rPr>
          <w:rFonts w:eastAsia="Times New Roman"/>
          <w:noProof w:val="0"/>
          <w:snapToGrid w:val="0"/>
          <w:szCs w:val="22"/>
          <w:lang w:val="en-IN" w:eastAsia="de-DE" w:bidi="en-US"/>
        </w:rPr>
        <w:t xml:space="preserve">The structurally based drug design process involves the binding interaction of the ligand-protein. The 650 ligands of chalcone derivatives successfully demonstrated high binding affinity of MVD software towards the protein, </w:t>
      </w:r>
      <w:proofErr w:type="spellStart"/>
      <w:r w:rsidRPr="00295605">
        <w:rPr>
          <w:rFonts w:eastAsia="Times New Roman"/>
          <w:noProof w:val="0"/>
          <w:snapToGrid w:val="0"/>
          <w:szCs w:val="22"/>
          <w:lang w:val="en-IN" w:eastAsia="de-DE" w:bidi="en-US"/>
        </w:rPr>
        <w:t>Squalene</w:t>
      </w:r>
      <w:proofErr w:type="spellEnd"/>
      <w:r w:rsidRPr="00295605">
        <w:rPr>
          <w:rFonts w:eastAsia="Times New Roman"/>
          <w:noProof w:val="0"/>
          <w:snapToGrid w:val="0"/>
          <w:szCs w:val="22"/>
          <w:lang w:val="en-IN" w:eastAsia="de-DE" w:bidi="en-US"/>
        </w:rPr>
        <w:t xml:space="preserve"> synthase </w:t>
      </w:r>
      <w:proofErr w:type="spellStart"/>
      <w:r w:rsidRPr="00295605">
        <w:rPr>
          <w:rFonts w:eastAsia="Times New Roman"/>
          <w:noProof w:val="0"/>
          <w:snapToGrid w:val="0"/>
          <w:szCs w:val="22"/>
          <w:lang w:val="en-IN" w:eastAsia="de-DE" w:bidi="en-US"/>
        </w:rPr>
        <w:t>catalyzes</w:t>
      </w:r>
      <w:proofErr w:type="spellEnd"/>
      <w:r w:rsidRPr="00295605">
        <w:rPr>
          <w:rFonts w:eastAsia="Times New Roman"/>
          <w:noProof w:val="0"/>
          <w:snapToGrid w:val="0"/>
          <w:szCs w:val="22"/>
          <w:lang w:val="en-IN" w:eastAsia="de-DE" w:bidi="en-US"/>
        </w:rPr>
        <w:t xml:space="preserve">, </w:t>
      </w:r>
      <w:proofErr w:type="spellStart"/>
      <w:r w:rsidRPr="00295605">
        <w:rPr>
          <w:rFonts w:eastAsia="Times New Roman"/>
          <w:noProof w:val="0"/>
          <w:snapToGrid w:val="0"/>
          <w:szCs w:val="22"/>
          <w:lang w:val="en-IN" w:eastAsia="de-DE" w:bidi="en-US"/>
        </w:rPr>
        <w:t>fa</w:t>
      </w:r>
      <w:r w:rsidRPr="00295605">
        <w:rPr>
          <w:rFonts w:eastAsia="Times New Roman"/>
          <w:noProof w:val="0"/>
          <w:snapToGrid w:val="0"/>
          <w:szCs w:val="22"/>
          <w:lang w:val="en-IN" w:eastAsia="de-DE" w:bidi="en-US"/>
        </w:rPr>
        <w:t>r</w:t>
      </w:r>
      <w:r w:rsidRPr="00295605">
        <w:rPr>
          <w:rFonts w:eastAsia="Times New Roman"/>
          <w:noProof w:val="0"/>
          <w:snapToGrid w:val="0"/>
          <w:szCs w:val="22"/>
          <w:lang w:val="en-IN" w:eastAsia="de-DE" w:bidi="en-US"/>
        </w:rPr>
        <w:t>nesoid</w:t>
      </w:r>
      <w:proofErr w:type="spellEnd"/>
      <w:r w:rsidRPr="00295605">
        <w:rPr>
          <w:rFonts w:eastAsia="Times New Roman"/>
          <w:noProof w:val="0"/>
          <w:snapToGrid w:val="0"/>
          <w:szCs w:val="22"/>
          <w:lang w:val="en-IN" w:eastAsia="de-DE" w:bidi="en-US"/>
        </w:rPr>
        <w:t xml:space="preserve"> X receptor, peroxisome proliferator-activated receptors (PPARs) alpha, perox</w:t>
      </w:r>
      <w:r w:rsidRPr="00295605">
        <w:rPr>
          <w:rFonts w:eastAsia="Times New Roman"/>
          <w:noProof w:val="0"/>
          <w:snapToGrid w:val="0"/>
          <w:szCs w:val="22"/>
          <w:lang w:val="en-IN" w:eastAsia="de-DE" w:bidi="en-US"/>
        </w:rPr>
        <w:t>i</w:t>
      </w:r>
      <w:r w:rsidRPr="00295605">
        <w:rPr>
          <w:rFonts w:eastAsia="Times New Roman"/>
          <w:noProof w:val="0"/>
          <w:snapToGrid w:val="0"/>
          <w:szCs w:val="22"/>
          <w:lang w:val="en-IN" w:eastAsia="de-DE" w:bidi="en-US"/>
        </w:rPr>
        <w:t>some proliferator-activated receptors (PPARs) delta, and lanosterol 14alpha-demethylase. These ligands exhibited strong affinities for the target: 444, 419, 380, 366, and 234. According to computational docking studies, the drug chalcone deri</w:t>
      </w:r>
      <w:r w:rsidRPr="00295605">
        <w:rPr>
          <w:rFonts w:eastAsia="Times New Roman"/>
          <w:noProof w:val="0"/>
          <w:snapToGrid w:val="0"/>
          <w:szCs w:val="22"/>
          <w:lang w:val="en-IN" w:eastAsia="de-DE" w:bidi="en-US"/>
        </w:rPr>
        <w:t>v</w:t>
      </w:r>
      <w:r w:rsidRPr="00295605">
        <w:rPr>
          <w:rFonts w:eastAsia="Times New Roman"/>
          <w:noProof w:val="0"/>
          <w:snapToGrid w:val="0"/>
          <w:szCs w:val="22"/>
          <w:lang w:val="en-IN" w:eastAsia="de-DE" w:bidi="en-US"/>
        </w:rPr>
        <w:t>atives displayed the highest binding affinity to the protein. The affinity for protein binding is displayed in tables 2, 3, 4, and 6. The substituted chalcone derivatives in the current study's docking investigations demonstrated strong binding affinities with the protein molecules, and the best substituted chalcone derivatives could be produced. In future we can design and synthesis some new and less toxic molecules using this docking results.</w:t>
      </w:r>
    </w:p>
    <w:p w14:paraId="07535A7F" w14:textId="77777777" w:rsidR="00295605" w:rsidRPr="00295605" w:rsidRDefault="00295605" w:rsidP="00295605">
      <w:pPr>
        <w:adjustRightInd w:val="0"/>
        <w:snapToGrid w:val="0"/>
        <w:spacing w:line="228" w:lineRule="auto"/>
        <w:ind w:left="2608" w:firstLine="425"/>
        <w:rPr>
          <w:rFonts w:eastAsia="Times New Roman"/>
          <w:noProof w:val="0"/>
          <w:snapToGrid w:val="0"/>
          <w:szCs w:val="22"/>
          <w:lang w:eastAsia="de-DE" w:bidi="en-US"/>
        </w:rPr>
      </w:pPr>
    </w:p>
    <w:p w14:paraId="0E2DB7E1" w14:textId="5AADB3BC" w:rsidR="00295605" w:rsidRPr="00D159D3" w:rsidRDefault="00295605" w:rsidP="00D159D3">
      <w:pPr>
        <w:adjustRightInd w:val="0"/>
        <w:snapToGrid w:val="0"/>
        <w:spacing w:before="240" w:after="60" w:line="228" w:lineRule="auto"/>
        <w:jc w:val="left"/>
        <w:outlineLvl w:val="0"/>
        <w:rPr>
          <w:rFonts w:eastAsia="Times New Roman"/>
          <w:b/>
          <w:noProof w:val="0"/>
          <w:snapToGrid w:val="0"/>
          <w:szCs w:val="22"/>
          <w:lang w:eastAsia="de-DE" w:bidi="en-US"/>
        </w:rPr>
      </w:pPr>
      <w:r w:rsidRPr="00295605">
        <w:rPr>
          <w:rFonts w:eastAsia="Times New Roman"/>
          <w:b/>
          <w:noProof w:val="0"/>
          <w:snapToGrid w:val="0"/>
          <w:szCs w:val="22"/>
          <w:lang w:eastAsia="de-DE" w:bidi="en-US"/>
        </w:rPr>
        <w:t>References</w:t>
      </w:r>
    </w:p>
    <w:p w14:paraId="0AF3F547"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fldChar w:fldCharType="begin" w:fldLock="1"/>
      </w:r>
      <w:r w:rsidRPr="00295605">
        <w:instrText xml:space="preserve">ADDIN Mendeley Bibliography CSL_BIBLIOGRAPHY </w:instrText>
      </w:r>
      <w:r w:rsidRPr="00295605">
        <w:fldChar w:fldCharType="separate"/>
      </w:r>
      <w:r w:rsidRPr="00295605">
        <w:rPr>
          <w:sz w:val="18"/>
          <w:szCs w:val="24"/>
        </w:rPr>
        <w:t xml:space="preserve">1. </w:t>
      </w:r>
      <w:r w:rsidRPr="00295605">
        <w:rPr>
          <w:sz w:val="18"/>
          <w:szCs w:val="24"/>
        </w:rPr>
        <w:tab/>
        <w:t xml:space="preserve">Aqeel MT, Ur-Rahman N, Khan AU, Ashraf Z, Latif M, Rafique H, et al. Antihyperlipidemic studies of newly synthesized phenolic derivatives: In silico and in vivo approaches. Drug Des Devel Ther. 2018;12:2443–53. </w:t>
      </w:r>
    </w:p>
    <w:p w14:paraId="4C1563A8"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2. </w:t>
      </w:r>
      <w:r w:rsidRPr="00295605">
        <w:rPr>
          <w:sz w:val="18"/>
          <w:szCs w:val="24"/>
        </w:rPr>
        <w:tab/>
        <w:t xml:space="preserve">S. LS, Raghu C, Arjun HA, Anantharaman P. In vitro and in silico inhibition properties of fucoidan against α-amylase and α-D-glucosidase with relevance to type 2 diabetes mellitus. Carbohydr Polym. 2019;209(1. Aqeel MT, Ur-Rahman N, Khan AU, Ashraf Z, Latif M, Rafique H, et al. Antihyperlipidemic studies of newly synthesized phenolic derivatives: In silico and in vivo approaches. Drug Des Devel Ther. 2018;12:2443–53. 2. Meng X-Y, Zhang H-X, Mezei M, Cui M. M):350–5. </w:t>
      </w:r>
    </w:p>
    <w:p w14:paraId="6B9D0D14"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3. </w:t>
      </w:r>
      <w:r w:rsidRPr="00295605">
        <w:rPr>
          <w:sz w:val="18"/>
          <w:szCs w:val="24"/>
        </w:rPr>
        <w:tab/>
        <w:t xml:space="preserve">Shrivastava SK, Batham A, Sinha SK, Parida TK, Garabadu D, Choubey PK. Design, synthesis and evaluation of novel thiazolidinedione derivatives as anti-hyperglycemic and anti-hyperlipidemic agents. Med Chem Res. 2016;25(1. Aqeel MT, Ur-Rahman N, Khan AU, Ashraf Z, Latif M, Rafique H, et al. Antihyperlipidemic studies of newly synthesized phenolic derivatives: In silico and in vivo approaches. Drug Des Devel Ther. 2018;12:2443–53. 2. Meng X-Y, Zhang H-X, Mezei M, Cui M. M):2258–66. </w:t>
      </w:r>
    </w:p>
    <w:p w14:paraId="030BAB6F"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4. </w:t>
      </w:r>
      <w:r w:rsidRPr="00295605">
        <w:rPr>
          <w:sz w:val="18"/>
          <w:szCs w:val="24"/>
        </w:rPr>
        <w:tab/>
        <w:t xml:space="preserve">Othman R, Kiat TS, Khalid N, Yusof R, Newhouse EI, Newhouse JS, et al. Docking of noncompetitive inhibitors into dengue virus type 2 protease: Understanding the interactions with allosteric binding sites. J Chem Inf Model. 2008;48(1. Aqeel MT, Ur-Rahman N, Khan AU, Ashraf Z, Latif M, Rafique H, et al. Antihyperlipidemic studies of newly synthesized phenolic derivatives: In silico and in vivo approaches. Drug Des Devel Ther. 2018;12:2443–53. 2. Meng X-Y, Zhang H-X, Mezei M, Cui M. M):1582–91. </w:t>
      </w:r>
    </w:p>
    <w:p w14:paraId="71BC7BD7"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lastRenderedPageBreak/>
        <w:t xml:space="preserve">5. </w:t>
      </w:r>
      <w:r w:rsidRPr="00295605">
        <w:rPr>
          <w:sz w:val="18"/>
          <w:szCs w:val="24"/>
        </w:rPr>
        <w:tab/>
        <w:t xml:space="preserve">Woods AD. Cholesterol levels. Nursing (Lond). 2010;40(8):31. </w:t>
      </w:r>
    </w:p>
    <w:p w14:paraId="66E7E1FD"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6. </w:t>
      </w:r>
      <w:r w:rsidRPr="00295605">
        <w:rPr>
          <w:sz w:val="18"/>
          <w:szCs w:val="24"/>
        </w:rPr>
        <w:tab/>
        <w:t xml:space="preserve">Torres PHM, Sodero ACR, Jofily P, Silva-Jr FP. Key topics in molecular docking for drug design. Int J Mol Sci. 2019;20(18):1–29. </w:t>
      </w:r>
    </w:p>
    <w:p w14:paraId="68D593A1"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7. </w:t>
      </w:r>
      <w:r w:rsidRPr="00295605">
        <w:rPr>
          <w:sz w:val="18"/>
          <w:szCs w:val="24"/>
        </w:rPr>
        <w:tab/>
        <w:t xml:space="preserve">Ramdhani D, Mustarichie R. Antihyperlipidemic Docking Study of Monascin and Ankaflavin Compounds From Monascus Purpureus With Some Targets Related With Hyperlipidemia. World J Pharm Res. 2021;10(2):28–35. </w:t>
      </w:r>
    </w:p>
    <w:p w14:paraId="648D76D4"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8. </w:t>
      </w:r>
      <w:r w:rsidRPr="00295605">
        <w:rPr>
          <w:sz w:val="18"/>
          <w:szCs w:val="24"/>
        </w:rPr>
        <w:tab/>
        <w:t xml:space="preserve">Khedkar VM, Arya N, Coutinho EC, Shishoo CJ, Jain KS. Docking study of novel antihyperlipidemic thieno[2,3-d]pyrimidine; LM-1554, with some molecular targets related to hyperlipidemia - an investigation into its mechanism of action. Springerplus. 2014;3(1):1–31. </w:t>
      </w:r>
    </w:p>
    <w:p w14:paraId="2214A013"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9. </w:t>
      </w:r>
      <w:r w:rsidRPr="00295605">
        <w:rPr>
          <w:sz w:val="18"/>
          <w:szCs w:val="24"/>
        </w:rPr>
        <w:tab/>
        <w:t xml:space="preserve">Shukla P, Srivastava SP, Srivastava R, Rawat AK, Srivastava AK, Pratap R. Synthesis and antidyslipidemic activity of chalcone fibrates. Bioorganic Med Chem Lett. 2011;21(11):3475–8. </w:t>
      </w:r>
    </w:p>
    <w:p w14:paraId="0C4DB273"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10. </w:t>
      </w:r>
      <w:r w:rsidRPr="00295605">
        <w:rPr>
          <w:sz w:val="18"/>
          <w:szCs w:val="24"/>
        </w:rPr>
        <w:tab/>
        <w:t xml:space="preserve">Kar Mahapatra D, Asati V, Bharti SK. An updated patent review of therapeutic applications of chalcone derivatives (2014-present). Vol. 29, Expert Opinion on Therapeutic Patents. Taylor &amp; Francis; 2019. 385–406 p. </w:t>
      </w:r>
    </w:p>
    <w:p w14:paraId="1BC3AC70"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11. </w:t>
      </w:r>
      <w:r w:rsidRPr="00295605">
        <w:rPr>
          <w:sz w:val="18"/>
          <w:szCs w:val="24"/>
        </w:rPr>
        <w:tab/>
        <w:t xml:space="preserve">Ouyang Y, Li J, Chen X, Fu X, Sun S, Wu Q. Chalcone derivatives: Role in anticancer therapy. Biomolecules. 2021;11(6):1–36. </w:t>
      </w:r>
    </w:p>
    <w:p w14:paraId="3CBB032E"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12. </w:t>
      </w:r>
      <w:r w:rsidRPr="00295605">
        <w:rPr>
          <w:sz w:val="18"/>
          <w:szCs w:val="24"/>
        </w:rPr>
        <w:tab/>
        <w:t xml:space="preserve">Rammohan A, Reddy JS, Sravya G, Rao CN, Zyryanov G V. Chalcone synthesis, properties and medicinal applications: a review. Vol. 18, Environmental Chemistry Letters. 2020. 433–458 p. </w:t>
      </w:r>
    </w:p>
    <w:p w14:paraId="6D75C1EB"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13. </w:t>
      </w:r>
      <w:r w:rsidRPr="00295605">
        <w:rPr>
          <w:sz w:val="18"/>
          <w:szCs w:val="24"/>
        </w:rPr>
        <w:tab/>
        <w:t xml:space="preserve">Zhuang C, Zhang W, Sheng C, Zhang W, Xing C, Miao Z. Chalcone: A Privileged Structure in Medicinal Chemistry. Chem Rev. 2017;117(12):7762–810. </w:t>
      </w:r>
    </w:p>
    <w:p w14:paraId="599D35C7"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14. </w:t>
      </w:r>
      <w:r w:rsidRPr="00295605">
        <w:rPr>
          <w:sz w:val="18"/>
          <w:szCs w:val="24"/>
        </w:rPr>
        <w:tab/>
        <w:t xml:space="preserve">Hassan RM, Aboutabl ME, Bozzi M, El-Behairy MF, El Kerdawy AM, Sampaolese B, et al. Discovery of 4-benzyloxy and 4-(2-phenylethoxy) chalcone fibrate hybrids as novel PPARα agonists with anti-hyperlipidemic and antioxidant activities: Design, synthesis and in vitro/in vivo biological evaluation. Bioorg Chem. 2021;115(October):2021–3. </w:t>
      </w:r>
    </w:p>
    <w:p w14:paraId="7F24F239"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15. </w:t>
      </w:r>
      <w:r w:rsidRPr="00295605">
        <w:rPr>
          <w:sz w:val="18"/>
          <w:szCs w:val="24"/>
        </w:rPr>
        <w:tab/>
        <w:t xml:space="preserve">Kusumaningrum S, Budianto E, Kosela S, Sumaryono W, Juniarti F. The molecular docking of 1,4-naphthoquinone derivatives as inhibitors of Polo-like kinase 1 using Molegro Virtual Docker. J Appl Pharm Sci. 2014;4(11):47–53. </w:t>
      </w:r>
    </w:p>
    <w:p w14:paraId="476D7A3B"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16. </w:t>
      </w:r>
      <w:r w:rsidRPr="00295605">
        <w:rPr>
          <w:sz w:val="18"/>
          <w:szCs w:val="24"/>
        </w:rPr>
        <w:tab/>
        <w:t xml:space="preserve">Bitencourt-Ferreira G, de Azevedo WF. Molegro virtual docker for docking. Methods Mol Biol. 2019;2053:149–67. </w:t>
      </w:r>
    </w:p>
    <w:p w14:paraId="4DF6F749"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17. </w:t>
      </w:r>
      <w:r w:rsidRPr="00295605">
        <w:rPr>
          <w:sz w:val="18"/>
          <w:szCs w:val="24"/>
        </w:rPr>
        <w:tab/>
        <w:t xml:space="preserve">Binzet G. Eur opean J ournal of Chem istry. Eur J Chem. 2018;4(9):360–8. </w:t>
      </w:r>
    </w:p>
    <w:p w14:paraId="16797ACC"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18. </w:t>
      </w:r>
      <w:r w:rsidRPr="00295605">
        <w:rPr>
          <w:sz w:val="18"/>
          <w:szCs w:val="24"/>
        </w:rPr>
        <w:tab/>
        <w:t xml:space="preserve">Manavi MA. In silico Study to Identification of Potential SARS-CoV-2 Main Protease Inhibitors: Virtual Drug Screening and Molecular Docking with AutoDock Vina and Molegro Virtual Docker. J Cell Mol Res. 2022;13(2):108–12. </w:t>
      </w:r>
    </w:p>
    <w:p w14:paraId="4D689E54"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19. </w:t>
      </w:r>
      <w:r w:rsidRPr="00295605">
        <w:rPr>
          <w:sz w:val="18"/>
          <w:szCs w:val="24"/>
        </w:rPr>
        <w:tab/>
        <w:t xml:space="preserve">Julboev TA, Jizzakh State Pedagogical Institute Jizzakh U, Sultonov MM, Jizzakh State Pedagogical Institute Jizzakh U&amp;, Komila Khudoyberdievna Abduvalieva Jizzakh State Pedagogical Institute Jizzakh U. Teaching chemistry computer software to students of chemistry in pedagogical higher education institutions. Eur J Res Reflect Educ Sci. 2021;9(2056–5852):23–8. </w:t>
      </w:r>
    </w:p>
    <w:p w14:paraId="418EDB86"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20. </w:t>
      </w:r>
      <w:r w:rsidRPr="00295605">
        <w:rPr>
          <w:sz w:val="18"/>
          <w:szCs w:val="24"/>
        </w:rPr>
        <w:tab/>
        <w:t>Poleboyina PK, Pawar SC. Identification of Ethr Inhibitor Targeting Mycobacterium Tuberculosis</w:t>
      </w:r>
      <w:r w:rsidRPr="00295605">
        <w:rPr>
          <w:rFonts w:ascii="Times New Roman" w:hAnsi="Times New Roman"/>
          <w:sz w:val="18"/>
          <w:szCs w:val="24"/>
        </w:rPr>
        <w:t> </w:t>
      </w:r>
      <w:r w:rsidRPr="00295605">
        <w:rPr>
          <w:sz w:val="18"/>
          <w:szCs w:val="24"/>
        </w:rPr>
        <w:t xml:space="preserve">: an Insight From Molecular Docking Study Insight From Molecular Docking Study. Asian J Pharm Clin Res. 2022;(March):145–52. </w:t>
      </w:r>
    </w:p>
    <w:p w14:paraId="208889CF" w14:textId="77777777" w:rsidR="00295605" w:rsidRPr="00295605" w:rsidRDefault="00295605" w:rsidP="00295605">
      <w:pPr>
        <w:widowControl w:val="0"/>
        <w:autoSpaceDE w:val="0"/>
        <w:autoSpaceDN w:val="0"/>
        <w:adjustRightInd w:val="0"/>
        <w:spacing w:line="228" w:lineRule="auto"/>
        <w:ind w:left="425" w:hanging="425"/>
        <w:rPr>
          <w:sz w:val="18"/>
          <w:szCs w:val="24"/>
        </w:rPr>
      </w:pPr>
      <w:r w:rsidRPr="00295605">
        <w:rPr>
          <w:sz w:val="18"/>
          <w:szCs w:val="24"/>
        </w:rPr>
        <w:t xml:space="preserve">21. </w:t>
      </w:r>
      <w:r w:rsidRPr="00295605">
        <w:rPr>
          <w:sz w:val="18"/>
          <w:szCs w:val="24"/>
        </w:rPr>
        <w:tab/>
        <w:t xml:space="preserve">Levin NMB, Pintro VO, Bitencourt-Ferreira G, de Mattos BB, de Castro Silvério A, de Azevedo WF. Development of CDK-targeted scoring functions for prediction of binding affinity. Biophys Chem. 2018;235(April):1–8. </w:t>
      </w:r>
    </w:p>
    <w:p w14:paraId="311B93C8" w14:textId="77777777" w:rsidR="00295605" w:rsidRPr="00295605" w:rsidRDefault="00295605" w:rsidP="00295605">
      <w:pPr>
        <w:widowControl w:val="0"/>
        <w:autoSpaceDE w:val="0"/>
        <w:autoSpaceDN w:val="0"/>
        <w:adjustRightInd w:val="0"/>
        <w:spacing w:line="228" w:lineRule="auto"/>
        <w:ind w:left="425" w:hanging="425"/>
        <w:rPr>
          <w:sz w:val="18"/>
        </w:rPr>
      </w:pPr>
      <w:r w:rsidRPr="00295605">
        <w:rPr>
          <w:sz w:val="18"/>
          <w:szCs w:val="24"/>
        </w:rPr>
        <w:t xml:space="preserve">22. </w:t>
      </w:r>
      <w:r w:rsidRPr="00295605">
        <w:rPr>
          <w:sz w:val="18"/>
          <w:szCs w:val="24"/>
        </w:rPr>
        <w:tab/>
        <w:t xml:space="preserve">Alabboud M, Javadmanesh A. In silico study of various antiviral drugs, vitamins, and natural substances as potential binding compounds with SARS-CoV-2 main protease. DYSONA - Life Sci. 2020;1(2):44–63. </w:t>
      </w:r>
    </w:p>
    <w:p w14:paraId="0A01215F" w14:textId="77777777" w:rsidR="00D64004" w:rsidRPr="006704D7" w:rsidRDefault="00295605" w:rsidP="00295605">
      <w:pPr>
        <w:pStyle w:val="MDPI17abstract"/>
      </w:pPr>
      <w:r w:rsidRPr="00295605">
        <w:rPr>
          <w:rFonts w:eastAsia="SimSun"/>
          <w:noProof/>
          <w:sz w:val="20"/>
          <w:szCs w:val="20"/>
          <w:lang w:eastAsia="zh-CN" w:bidi="ar-SA"/>
        </w:rPr>
        <w:fldChar w:fldCharType="end"/>
      </w:r>
      <w:bookmarkEnd w:id="0"/>
    </w:p>
    <w:sectPr w:rsidR="00D64004" w:rsidRPr="006704D7" w:rsidSect="008E758C">
      <w:headerReference w:type="even" r:id="rId98"/>
      <w:headerReference w:type="default" r:id="rId99"/>
      <w:footerReference w:type="even" r:id="rId100"/>
      <w:footerReference w:type="default" r:id="rId101"/>
      <w:headerReference w:type="first" r:id="rId102"/>
      <w:footerReference w:type="first" r:id="rId10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48ECA" w14:textId="77777777" w:rsidR="00964A32" w:rsidRDefault="00964A32">
      <w:pPr>
        <w:spacing w:line="240" w:lineRule="auto"/>
      </w:pPr>
      <w:r>
        <w:separator/>
      </w:r>
    </w:p>
  </w:endnote>
  <w:endnote w:type="continuationSeparator" w:id="0">
    <w:p w14:paraId="3CE929BD" w14:textId="77777777" w:rsidR="00964A32" w:rsidRDefault="00964A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A3065" w14:textId="77777777" w:rsidR="00D159D3" w:rsidRDefault="00D159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CCCAE" w14:textId="77777777" w:rsidR="00500525" w:rsidRPr="00A03B96" w:rsidRDefault="00500525" w:rsidP="00500525">
    <w:pPr>
      <w:pStyle w:val="Foote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8C2E" w14:textId="77777777" w:rsidR="00257DAE" w:rsidRDefault="00257DAE" w:rsidP="00AD29CB">
    <w:pPr>
      <w:pBdr>
        <w:top w:val="single" w:sz="4" w:space="0" w:color="000000"/>
      </w:pBdr>
      <w:tabs>
        <w:tab w:val="right" w:pos="8844"/>
      </w:tabs>
      <w:adjustRightInd w:val="0"/>
      <w:snapToGrid w:val="0"/>
      <w:spacing w:before="480" w:line="100" w:lineRule="exact"/>
      <w:jc w:val="left"/>
      <w:rPr>
        <w:i/>
        <w:sz w:val="16"/>
        <w:szCs w:val="16"/>
      </w:rPr>
    </w:pPr>
  </w:p>
  <w:p w14:paraId="1F5C9AED" w14:textId="19AEFC34" w:rsidR="00500525" w:rsidRPr="00372FCD" w:rsidRDefault="00500525" w:rsidP="00E3438C">
    <w:pPr>
      <w:tabs>
        <w:tab w:val="right" w:pos="10466"/>
      </w:tabs>
      <w:adjustRightInd w:val="0"/>
      <w:snapToGrid w:val="0"/>
      <w:spacing w:line="240" w:lineRule="auto"/>
      <w:rPr>
        <w:sz w:val="16"/>
        <w:szCs w:val="16"/>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A6477" w14:textId="77777777" w:rsidR="00964A32" w:rsidRDefault="00964A32">
      <w:pPr>
        <w:spacing w:line="240" w:lineRule="auto"/>
      </w:pPr>
      <w:r>
        <w:separator/>
      </w:r>
    </w:p>
  </w:footnote>
  <w:footnote w:type="continuationSeparator" w:id="0">
    <w:p w14:paraId="6BF2CBD6" w14:textId="77777777" w:rsidR="00964A32" w:rsidRDefault="00964A3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3D6AB" w14:textId="77777777" w:rsidR="00500525" w:rsidRDefault="00500525" w:rsidP="00500525">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3BDE7" w14:textId="77777777" w:rsidR="00500525" w:rsidRPr="006559E0" w:rsidRDefault="00500525" w:rsidP="00AD29C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257DAE" w:rsidRPr="00E3438C" w14:paraId="59F1A133" w14:textId="77777777" w:rsidTr="008827C2">
      <w:trPr>
        <w:trHeight w:val="686"/>
      </w:trPr>
      <w:tc>
        <w:tcPr>
          <w:tcW w:w="3679" w:type="dxa"/>
          <w:shd w:val="clear" w:color="auto" w:fill="auto"/>
          <w:vAlign w:val="center"/>
        </w:tcPr>
        <w:p w14:paraId="628BC214" w14:textId="4DBB8B9B" w:rsidR="00257DAE" w:rsidRPr="002E656C" w:rsidRDefault="00257DAE" w:rsidP="00E3438C">
          <w:pPr>
            <w:pStyle w:val="Header"/>
            <w:pBdr>
              <w:bottom w:val="none" w:sz="0" w:space="0" w:color="auto"/>
            </w:pBdr>
            <w:jc w:val="left"/>
            <w:rPr>
              <w:rFonts w:eastAsia="DengXian"/>
              <w:b/>
              <w:bCs/>
            </w:rPr>
          </w:pPr>
        </w:p>
      </w:tc>
      <w:tc>
        <w:tcPr>
          <w:tcW w:w="4535" w:type="dxa"/>
          <w:shd w:val="clear" w:color="auto" w:fill="auto"/>
          <w:vAlign w:val="center"/>
        </w:tcPr>
        <w:p w14:paraId="26A17499" w14:textId="77777777" w:rsidR="00257DAE" w:rsidRPr="002E656C" w:rsidRDefault="00257DAE" w:rsidP="00E3438C">
          <w:pPr>
            <w:pStyle w:val="Header"/>
            <w:pBdr>
              <w:bottom w:val="none" w:sz="0" w:space="0" w:color="auto"/>
            </w:pBdr>
            <w:rPr>
              <w:rFonts w:eastAsia="DengXian"/>
              <w:b/>
              <w:bCs/>
            </w:rPr>
          </w:pPr>
        </w:p>
      </w:tc>
      <w:tc>
        <w:tcPr>
          <w:tcW w:w="2273" w:type="dxa"/>
          <w:shd w:val="clear" w:color="auto" w:fill="auto"/>
          <w:vAlign w:val="center"/>
        </w:tcPr>
        <w:p w14:paraId="1B02EAAD" w14:textId="22A916A0" w:rsidR="00257DAE" w:rsidRPr="002E656C" w:rsidRDefault="00257DAE" w:rsidP="008827C2">
          <w:pPr>
            <w:pStyle w:val="Header"/>
            <w:pBdr>
              <w:bottom w:val="none" w:sz="0" w:space="0" w:color="auto"/>
            </w:pBdr>
            <w:jc w:val="right"/>
            <w:rPr>
              <w:rFonts w:eastAsia="DengXian"/>
              <w:b/>
              <w:bCs/>
            </w:rPr>
          </w:pPr>
        </w:p>
      </w:tc>
    </w:tr>
  </w:tbl>
  <w:p w14:paraId="25C1FDC4" w14:textId="77777777" w:rsidR="00500525" w:rsidRPr="00257DAE" w:rsidRDefault="00500525" w:rsidP="00AD29C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468F5"/>
    <w:multiLevelType w:val="hybridMultilevel"/>
    <w:tmpl w:val="44E8E700"/>
    <w:lvl w:ilvl="0" w:tplc="41F6E58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nsid w:val="23A66122"/>
    <w:multiLevelType w:val="hybridMultilevel"/>
    <w:tmpl w:val="FD986F3E"/>
    <w:lvl w:ilvl="0" w:tplc="FDA65CD0">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nsid w:val="522172AF"/>
    <w:multiLevelType w:val="hybridMultilevel"/>
    <w:tmpl w:val="17BCEA46"/>
    <w:lvl w:ilvl="0" w:tplc="AB2649D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nsid w:val="55112A55"/>
    <w:multiLevelType w:val="hybridMultilevel"/>
    <w:tmpl w:val="FAFC42EA"/>
    <w:lvl w:ilvl="0" w:tplc="464677F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CE430A"/>
    <w:multiLevelType w:val="hybridMultilevel"/>
    <w:tmpl w:val="BB9CD518"/>
    <w:lvl w:ilvl="0" w:tplc="6C5225F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nsid w:val="6B777DBA"/>
    <w:multiLevelType w:val="hybridMultilevel"/>
    <w:tmpl w:val="687AA282"/>
    <w:lvl w:ilvl="0" w:tplc="19EE473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3">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A56D2C"/>
    <w:multiLevelType w:val="hybridMultilevel"/>
    <w:tmpl w:val="E94EFD00"/>
    <w:lvl w:ilvl="0" w:tplc="2D7E948A">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1"/>
  </w:num>
  <w:num w:numId="8">
    <w:abstractNumId w:val="9"/>
  </w:num>
  <w:num w:numId="9">
    <w:abstractNumId w:val="1"/>
  </w:num>
  <w:num w:numId="10">
    <w:abstractNumId w:val="9"/>
  </w:num>
  <w:num w:numId="11">
    <w:abstractNumId w:val="1"/>
  </w:num>
  <w:num w:numId="12">
    <w:abstractNumId w:val="13"/>
  </w:num>
  <w:num w:numId="13">
    <w:abstractNumId w:val="9"/>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num>
  <w:num w:numId="20">
    <w:abstractNumId w:val="0"/>
  </w:num>
  <w:num w:numId="21">
    <w:abstractNumId w:val="9"/>
  </w:num>
  <w:num w:numId="22">
    <w:abstractNumId w:val="1"/>
  </w:num>
  <w:num w:numId="23">
    <w:abstractNumId w:val="0"/>
  </w:num>
  <w:num w:numId="24">
    <w:abstractNumId w:val="14"/>
  </w:num>
  <w:num w:numId="25">
    <w:abstractNumId w:val="11"/>
  </w:num>
  <w:num w:numId="26">
    <w:abstractNumId w:val="10"/>
  </w:num>
  <w:num w:numId="27">
    <w:abstractNumId w:val="2"/>
  </w:num>
  <w:num w:numId="28">
    <w:abstractNumId w:val="1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05"/>
    <w:rsid w:val="00001E05"/>
    <w:rsid w:val="00015C73"/>
    <w:rsid w:val="00022E2A"/>
    <w:rsid w:val="0003476E"/>
    <w:rsid w:val="00047B54"/>
    <w:rsid w:val="000617FA"/>
    <w:rsid w:val="00067900"/>
    <w:rsid w:val="000741C5"/>
    <w:rsid w:val="0008406F"/>
    <w:rsid w:val="00090077"/>
    <w:rsid w:val="00095B02"/>
    <w:rsid w:val="000C3067"/>
    <w:rsid w:val="000D6C7F"/>
    <w:rsid w:val="00111E67"/>
    <w:rsid w:val="00115796"/>
    <w:rsid w:val="00116DE6"/>
    <w:rsid w:val="001479E9"/>
    <w:rsid w:val="001512B6"/>
    <w:rsid w:val="00166DF0"/>
    <w:rsid w:val="001673D8"/>
    <w:rsid w:val="001D6BAF"/>
    <w:rsid w:val="001E2AEB"/>
    <w:rsid w:val="001F62D6"/>
    <w:rsid w:val="0022259E"/>
    <w:rsid w:val="00246543"/>
    <w:rsid w:val="00251088"/>
    <w:rsid w:val="00257DAE"/>
    <w:rsid w:val="00266A00"/>
    <w:rsid w:val="00295605"/>
    <w:rsid w:val="002B0454"/>
    <w:rsid w:val="002B1340"/>
    <w:rsid w:val="002B2041"/>
    <w:rsid w:val="002C1F1B"/>
    <w:rsid w:val="002E656C"/>
    <w:rsid w:val="002F2BF3"/>
    <w:rsid w:val="00301952"/>
    <w:rsid w:val="00310B41"/>
    <w:rsid w:val="00326141"/>
    <w:rsid w:val="00351BFC"/>
    <w:rsid w:val="00373EDB"/>
    <w:rsid w:val="0038554F"/>
    <w:rsid w:val="00391CA1"/>
    <w:rsid w:val="003B54CB"/>
    <w:rsid w:val="003C1B29"/>
    <w:rsid w:val="003C38D0"/>
    <w:rsid w:val="003C7E5C"/>
    <w:rsid w:val="003D0C15"/>
    <w:rsid w:val="003F1316"/>
    <w:rsid w:val="00401D30"/>
    <w:rsid w:val="00415171"/>
    <w:rsid w:val="00416ABD"/>
    <w:rsid w:val="00421508"/>
    <w:rsid w:val="00434F37"/>
    <w:rsid w:val="00450DEE"/>
    <w:rsid w:val="00467243"/>
    <w:rsid w:val="00496A2D"/>
    <w:rsid w:val="004B4AE9"/>
    <w:rsid w:val="004B740B"/>
    <w:rsid w:val="004C2E42"/>
    <w:rsid w:val="004E2731"/>
    <w:rsid w:val="004F2F11"/>
    <w:rsid w:val="004F34FA"/>
    <w:rsid w:val="00500525"/>
    <w:rsid w:val="0050360A"/>
    <w:rsid w:val="00506063"/>
    <w:rsid w:val="0052431A"/>
    <w:rsid w:val="005318F4"/>
    <w:rsid w:val="00533599"/>
    <w:rsid w:val="00543B26"/>
    <w:rsid w:val="0055794F"/>
    <w:rsid w:val="00577C58"/>
    <w:rsid w:val="005A19D1"/>
    <w:rsid w:val="005C79B6"/>
    <w:rsid w:val="005C7C8D"/>
    <w:rsid w:val="005D057F"/>
    <w:rsid w:val="005E664D"/>
    <w:rsid w:val="00603A35"/>
    <w:rsid w:val="0062413E"/>
    <w:rsid w:val="00625388"/>
    <w:rsid w:val="00631C7E"/>
    <w:rsid w:val="0063235A"/>
    <w:rsid w:val="006554EA"/>
    <w:rsid w:val="006635D9"/>
    <w:rsid w:val="00666C7C"/>
    <w:rsid w:val="006704D7"/>
    <w:rsid w:val="00670F13"/>
    <w:rsid w:val="00673EC5"/>
    <w:rsid w:val="00681650"/>
    <w:rsid w:val="00686098"/>
    <w:rsid w:val="00692393"/>
    <w:rsid w:val="006B0E60"/>
    <w:rsid w:val="006B6741"/>
    <w:rsid w:val="006E7987"/>
    <w:rsid w:val="007204FD"/>
    <w:rsid w:val="00727838"/>
    <w:rsid w:val="00734488"/>
    <w:rsid w:val="00763C7D"/>
    <w:rsid w:val="00794F16"/>
    <w:rsid w:val="007A2BD3"/>
    <w:rsid w:val="007B0D40"/>
    <w:rsid w:val="007E61F7"/>
    <w:rsid w:val="008138A4"/>
    <w:rsid w:val="00844F57"/>
    <w:rsid w:val="0086361B"/>
    <w:rsid w:val="008827C2"/>
    <w:rsid w:val="0089208A"/>
    <w:rsid w:val="008B61A0"/>
    <w:rsid w:val="008C09C4"/>
    <w:rsid w:val="008E3039"/>
    <w:rsid w:val="008E628F"/>
    <w:rsid w:val="008E758C"/>
    <w:rsid w:val="008F4092"/>
    <w:rsid w:val="008F5424"/>
    <w:rsid w:val="008F626D"/>
    <w:rsid w:val="009143A1"/>
    <w:rsid w:val="00914F99"/>
    <w:rsid w:val="00923F49"/>
    <w:rsid w:val="00932755"/>
    <w:rsid w:val="00936C0D"/>
    <w:rsid w:val="00942942"/>
    <w:rsid w:val="00946557"/>
    <w:rsid w:val="00946E08"/>
    <w:rsid w:val="00953500"/>
    <w:rsid w:val="00954D19"/>
    <w:rsid w:val="00955A2B"/>
    <w:rsid w:val="00964A32"/>
    <w:rsid w:val="00967BF2"/>
    <w:rsid w:val="00996D28"/>
    <w:rsid w:val="009B7C4F"/>
    <w:rsid w:val="009C540D"/>
    <w:rsid w:val="009F3678"/>
    <w:rsid w:val="009F5A34"/>
    <w:rsid w:val="009F70E6"/>
    <w:rsid w:val="00A00B5A"/>
    <w:rsid w:val="00A25FA8"/>
    <w:rsid w:val="00A4229B"/>
    <w:rsid w:val="00AA4A30"/>
    <w:rsid w:val="00AB2818"/>
    <w:rsid w:val="00AB66A3"/>
    <w:rsid w:val="00AD29CB"/>
    <w:rsid w:val="00AD6108"/>
    <w:rsid w:val="00B0684A"/>
    <w:rsid w:val="00B13D24"/>
    <w:rsid w:val="00B16E98"/>
    <w:rsid w:val="00B218B8"/>
    <w:rsid w:val="00B435C9"/>
    <w:rsid w:val="00B44DE2"/>
    <w:rsid w:val="00B61513"/>
    <w:rsid w:val="00B61DD3"/>
    <w:rsid w:val="00B667E0"/>
    <w:rsid w:val="00B828C6"/>
    <w:rsid w:val="00B922C4"/>
    <w:rsid w:val="00BA36AD"/>
    <w:rsid w:val="00BA6D28"/>
    <w:rsid w:val="00BF6A83"/>
    <w:rsid w:val="00C23E71"/>
    <w:rsid w:val="00C259A0"/>
    <w:rsid w:val="00C27669"/>
    <w:rsid w:val="00C43AB8"/>
    <w:rsid w:val="00C462B8"/>
    <w:rsid w:val="00C66CBC"/>
    <w:rsid w:val="00C73D7F"/>
    <w:rsid w:val="00C87C58"/>
    <w:rsid w:val="00CD1626"/>
    <w:rsid w:val="00CD184F"/>
    <w:rsid w:val="00CF6652"/>
    <w:rsid w:val="00D038C3"/>
    <w:rsid w:val="00D06743"/>
    <w:rsid w:val="00D159D3"/>
    <w:rsid w:val="00D260F5"/>
    <w:rsid w:val="00D43DFF"/>
    <w:rsid w:val="00D64004"/>
    <w:rsid w:val="00D74456"/>
    <w:rsid w:val="00D85447"/>
    <w:rsid w:val="00D97E8E"/>
    <w:rsid w:val="00DA74BB"/>
    <w:rsid w:val="00DE5055"/>
    <w:rsid w:val="00E11F13"/>
    <w:rsid w:val="00E13BF6"/>
    <w:rsid w:val="00E27EC3"/>
    <w:rsid w:val="00E3438C"/>
    <w:rsid w:val="00E43419"/>
    <w:rsid w:val="00E61820"/>
    <w:rsid w:val="00E646E9"/>
    <w:rsid w:val="00E678A1"/>
    <w:rsid w:val="00E76297"/>
    <w:rsid w:val="00E808DC"/>
    <w:rsid w:val="00E86645"/>
    <w:rsid w:val="00EA6206"/>
    <w:rsid w:val="00EB254F"/>
    <w:rsid w:val="00ED5832"/>
    <w:rsid w:val="00EF23F6"/>
    <w:rsid w:val="00EF3858"/>
    <w:rsid w:val="00F12444"/>
    <w:rsid w:val="00F25D92"/>
    <w:rsid w:val="00F47D54"/>
    <w:rsid w:val="00F56DD3"/>
    <w:rsid w:val="00F60AC8"/>
    <w:rsid w:val="00F77FD3"/>
    <w:rsid w:val="00F908DC"/>
    <w:rsid w:val="00FA5919"/>
    <w:rsid w:val="00FB3694"/>
    <w:rsid w:val="00FB4CE4"/>
    <w:rsid w:val="00FD4E9C"/>
    <w:rsid w:val="00FE161B"/>
    <w:rsid w:val="00FE431E"/>
    <w:rsid w:val="00FE74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F7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004"/>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640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640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640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6400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640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640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640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640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33599"/>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64004"/>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640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64004"/>
    <w:rPr>
      <w:rFonts w:ascii="Palatino Linotype" w:hAnsi="Palatino Linotype"/>
      <w:noProof/>
      <w:color w:val="000000"/>
      <w:szCs w:val="18"/>
    </w:rPr>
  </w:style>
  <w:style w:type="paragraph" w:styleId="Header">
    <w:name w:val="header"/>
    <w:basedOn w:val="Normal"/>
    <w:link w:val="HeaderChar"/>
    <w:uiPriority w:val="99"/>
    <w:rsid w:val="00D640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64004"/>
    <w:rPr>
      <w:rFonts w:ascii="Palatino Linotype" w:hAnsi="Palatino Linotype"/>
      <w:noProof/>
      <w:color w:val="000000"/>
      <w:szCs w:val="18"/>
    </w:rPr>
  </w:style>
  <w:style w:type="paragraph" w:customStyle="1" w:styleId="MDPIheaderjournallogo">
    <w:name w:val="MDPI_header_journal_logo"/>
    <w:qFormat/>
    <w:rsid w:val="00D640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64004"/>
    <w:pPr>
      <w:ind w:firstLine="0"/>
    </w:pPr>
  </w:style>
  <w:style w:type="paragraph" w:customStyle="1" w:styleId="MDPI31text">
    <w:name w:val="MDPI_3.1_text"/>
    <w:qFormat/>
    <w:rsid w:val="00B16E9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640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D640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640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640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27C2"/>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27C2"/>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640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640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640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C79B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640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640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640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D640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640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D640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640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640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13BF6"/>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64004"/>
    <w:rPr>
      <w:rFonts w:cs="Tahoma"/>
      <w:szCs w:val="18"/>
    </w:rPr>
  </w:style>
  <w:style w:type="character" w:customStyle="1" w:styleId="BalloonTextChar">
    <w:name w:val="Balloon Text Char"/>
    <w:link w:val="BalloonText"/>
    <w:uiPriority w:val="99"/>
    <w:rsid w:val="00D64004"/>
    <w:rPr>
      <w:rFonts w:ascii="Palatino Linotype" w:hAnsi="Palatino Linotype" w:cs="Tahoma"/>
      <w:noProof/>
      <w:color w:val="000000"/>
      <w:szCs w:val="18"/>
    </w:rPr>
  </w:style>
  <w:style w:type="character" w:styleId="LineNumber">
    <w:name w:val="line number"/>
    <w:uiPriority w:val="99"/>
    <w:rsid w:val="008E758C"/>
    <w:rPr>
      <w:rFonts w:ascii="Palatino Linotype" w:hAnsi="Palatino Linotype"/>
      <w:sz w:val="16"/>
    </w:rPr>
  </w:style>
  <w:style w:type="table" w:customStyle="1" w:styleId="MDPI41threelinetable">
    <w:name w:val="MDPI_4.1_three_line_table"/>
    <w:basedOn w:val="TableNormal"/>
    <w:uiPriority w:val="99"/>
    <w:rsid w:val="00D64004"/>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64004"/>
    <w:rPr>
      <w:color w:val="0000FF"/>
      <w:u w:val="single"/>
    </w:rPr>
  </w:style>
  <w:style w:type="character" w:customStyle="1" w:styleId="UnresolvedMention1">
    <w:name w:val="Unresolved Mention1"/>
    <w:uiPriority w:val="99"/>
    <w:semiHidden/>
    <w:unhideWhenUsed/>
    <w:rsid w:val="00F25D92"/>
    <w:rPr>
      <w:color w:val="605E5C"/>
      <w:shd w:val="clear" w:color="auto" w:fill="E1DFDD"/>
    </w:rPr>
  </w:style>
  <w:style w:type="table" w:customStyle="1" w:styleId="PlainTable41">
    <w:name w:val="Plain Table 41"/>
    <w:basedOn w:val="TableNormal"/>
    <w:uiPriority w:val="44"/>
    <w:rsid w:val="00EF23F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D640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640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64004"/>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96D2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640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640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640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61513"/>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640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640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640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64004"/>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640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640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6400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64004"/>
    <w:rPr>
      <w:rFonts w:ascii="Palatino Linotype" w:hAnsi="Palatino Linotype"/>
      <w:color w:val="000000"/>
      <w:lang w:val="en-CA" w:eastAsia="en-US"/>
    </w:rPr>
    <w:tblPr>
      <w:tblInd w:w="0" w:type="dxa"/>
      <w:tblCellMar>
        <w:top w:w="0" w:type="dxa"/>
        <w:left w:w="0" w:type="dxa"/>
        <w:bottom w:w="0" w:type="dxa"/>
        <w:right w:w="0" w:type="dxa"/>
      </w:tblCellMar>
    </w:tblPr>
  </w:style>
  <w:style w:type="paragraph" w:customStyle="1" w:styleId="MDPItext">
    <w:name w:val="MDPI_text"/>
    <w:qFormat/>
    <w:rsid w:val="00D640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640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64004"/>
  </w:style>
  <w:style w:type="paragraph" w:styleId="Bibliography">
    <w:name w:val="Bibliography"/>
    <w:basedOn w:val="Normal"/>
    <w:next w:val="Normal"/>
    <w:uiPriority w:val="37"/>
    <w:semiHidden/>
    <w:unhideWhenUsed/>
    <w:rsid w:val="00D64004"/>
  </w:style>
  <w:style w:type="paragraph" w:styleId="BodyText">
    <w:name w:val="Body Text"/>
    <w:link w:val="BodyTextChar"/>
    <w:rsid w:val="00D6400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64004"/>
    <w:rPr>
      <w:rFonts w:ascii="Palatino Linotype" w:hAnsi="Palatino Linotype"/>
      <w:color w:val="000000"/>
      <w:sz w:val="24"/>
      <w:lang w:eastAsia="de-DE"/>
    </w:rPr>
  </w:style>
  <w:style w:type="character" w:styleId="CommentReference">
    <w:name w:val="annotation reference"/>
    <w:rsid w:val="00D64004"/>
    <w:rPr>
      <w:sz w:val="21"/>
      <w:szCs w:val="21"/>
    </w:rPr>
  </w:style>
  <w:style w:type="paragraph" w:styleId="CommentText">
    <w:name w:val="annotation text"/>
    <w:basedOn w:val="Normal"/>
    <w:link w:val="CommentTextChar"/>
    <w:rsid w:val="00D64004"/>
  </w:style>
  <w:style w:type="character" w:customStyle="1" w:styleId="CommentTextChar">
    <w:name w:val="Comment Text Char"/>
    <w:link w:val="CommentText"/>
    <w:rsid w:val="00D64004"/>
    <w:rPr>
      <w:rFonts w:ascii="Palatino Linotype" w:hAnsi="Palatino Linotype"/>
      <w:noProof/>
      <w:color w:val="000000"/>
    </w:rPr>
  </w:style>
  <w:style w:type="paragraph" w:styleId="CommentSubject">
    <w:name w:val="annotation subject"/>
    <w:basedOn w:val="CommentText"/>
    <w:next w:val="CommentText"/>
    <w:link w:val="CommentSubjectChar"/>
    <w:rsid w:val="00D64004"/>
    <w:rPr>
      <w:b/>
      <w:bCs/>
    </w:rPr>
  </w:style>
  <w:style w:type="character" w:customStyle="1" w:styleId="CommentSubjectChar">
    <w:name w:val="Comment Subject Char"/>
    <w:link w:val="CommentSubject"/>
    <w:rsid w:val="00D64004"/>
    <w:rPr>
      <w:rFonts w:ascii="Palatino Linotype" w:hAnsi="Palatino Linotype"/>
      <w:b/>
      <w:bCs/>
      <w:noProof/>
      <w:color w:val="000000"/>
    </w:rPr>
  </w:style>
  <w:style w:type="character" w:styleId="EndnoteReference">
    <w:name w:val="endnote reference"/>
    <w:rsid w:val="00D64004"/>
    <w:rPr>
      <w:vertAlign w:val="superscript"/>
    </w:rPr>
  </w:style>
  <w:style w:type="paragraph" w:styleId="EndnoteText">
    <w:name w:val="endnote text"/>
    <w:basedOn w:val="Normal"/>
    <w:link w:val="EndnoteTextChar"/>
    <w:semiHidden/>
    <w:unhideWhenUsed/>
    <w:rsid w:val="00D64004"/>
    <w:pPr>
      <w:spacing w:line="240" w:lineRule="auto"/>
    </w:pPr>
  </w:style>
  <w:style w:type="character" w:customStyle="1" w:styleId="EndnoteTextChar">
    <w:name w:val="Endnote Text Char"/>
    <w:link w:val="EndnoteText"/>
    <w:semiHidden/>
    <w:rsid w:val="00D64004"/>
    <w:rPr>
      <w:rFonts w:ascii="Palatino Linotype" w:hAnsi="Palatino Linotype"/>
      <w:noProof/>
      <w:color w:val="000000"/>
    </w:rPr>
  </w:style>
  <w:style w:type="character" w:styleId="FollowedHyperlink">
    <w:name w:val="FollowedHyperlink"/>
    <w:rsid w:val="00D64004"/>
    <w:rPr>
      <w:color w:val="954F72"/>
      <w:u w:val="single"/>
    </w:rPr>
  </w:style>
  <w:style w:type="paragraph" w:styleId="FootnoteText">
    <w:name w:val="footnote text"/>
    <w:basedOn w:val="Normal"/>
    <w:link w:val="FootnoteTextChar"/>
    <w:uiPriority w:val="99"/>
    <w:unhideWhenUsed/>
    <w:rsid w:val="00D64004"/>
    <w:pPr>
      <w:spacing w:line="240" w:lineRule="auto"/>
    </w:pPr>
  </w:style>
  <w:style w:type="character" w:customStyle="1" w:styleId="FootnoteTextChar">
    <w:name w:val="Footnote Text Char"/>
    <w:link w:val="FootnoteText"/>
    <w:uiPriority w:val="99"/>
    <w:rsid w:val="00D64004"/>
    <w:rPr>
      <w:rFonts w:ascii="Palatino Linotype" w:hAnsi="Palatino Linotype"/>
      <w:noProof/>
      <w:color w:val="000000"/>
    </w:rPr>
  </w:style>
  <w:style w:type="paragraph" w:styleId="NormalWeb">
    <w:name w:val="Normal (Web)"/>
    <w:basedOn w:val="Normal"/>
    <w:uiPriority w:val="99"/>
    <w:rsid w:val="00D64004"/>
    <w:rPr>
      <w:szCs w:val="24"/>
    </w:rPr>
  </w:style>
  <w:style w:type="paragraph" w:customStyle="1" w:styleId="MsoFootnoteText0">
    <w:name w:val="MsoFootnoteText"/>
    <w:basedOn w:val="NormalWeb"/>
    <w:qFormat/>
    <w:rsid w:val="00D64004"/>
    <w:rPr>
      <w:rFonts w:ascii="Times New Roman" w:hAnsi="Times New Roman"/>
    </w:rPr>
  </w:style>
  <w:style w:type="character" w:styleId="PageNumber">
    <w:name w:val="page number"/>
    <w:rsid w:val="00D64004"/>
  </w:style>
  <w:style w:type="character" w:styleId="PlaceholderText">
    <w:name w:val="Placeholder Text"/>
    <w:uiPriority w:val="99"/>
    <w:semiHidden/>
    <w:rsid w:val="00D64004"/>
    <w:rPr>
      <w:color w:val="808080"/>
    </w:rPr>
  </w:style>
  <w:style w:type="paragraph" w:customStyle="1" w:styleId="MDPI71FootNotes">
    <w:name w:val="MDPI_7.1_FootNotes"/>
    <w:qFormat/>
    <w:rsid w:val="00D74456"/>
    <w:pPr>
      <w:numPr>
        <w:numId w:val="24"/>
      </w:numPr>
      <w:adjustRightInd w:val="0"/>
      <w:snapToGrid w:val="0"/>
      <w:spacing w:line="228" w:lineRule="auto"/>
    </w:pPr>
    <w:rPr>
      <w:rFonts w:ascii="Palatino Linotype" w:eastAsiaTheme="minorEastAsia" w:hAnsi="Palatino Linotype"/>
      <w:noProof/>
      <w:color w:val="000000"/>
      <w:sz w:val="18"/>
    </w:rPr>
  </w:style>
  <w:style w:type="table" w:customStyle="1" w:styleId="Calendar1">
    <w:name w:val="Calendar 1"/>
    <w:basedOn w:val="TableNormal"/>
    <w:uiPriority w:val="99"/>
    <w:qFormat/>
    <w:rsid w:val="00295605"/>
    <w:rPr>
      <w:rFonts w:eastAsia="DengXian" w:cs="Arial"/>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295605"/>
    <w:pPr>
      <w:tabs>
        <w:tab w:val="decimal" w:pos="360"/>
      </w:tabs>
      <w:spacing w:after="200" w:line="276" w:lineRule="auto"/>
      <w:jc w:val="left"/>
    </w:pPr>
    <w:rPr>
      <w:rFonts w:ascii="Calibri" w:eastAsia="Calibri" w:hAnsi="Calibri" w:cs="Arial"/>
      <w:noProof w:val="0"/>
      <w:color w:val="auto"/>
      <w:sz w:val="22"/>
      <w:szCs w:val="22"/>
      <w:lang w:eastAsia="ja-JP"/>
    </w:rPr>
  </w:style>
  <w:style w:type="character" w:customStyle="1" w:styleId="SubtleEmphasis1">
    <w:name w:val="Subtle Emphasis1"/>
    <w:basedOn w:val="DefaultParagraphFont"/>
    <w:uiPriority w:val="19"/>
    <w:qFormat/>
    <w:rsid w:val="00295605"/>
    <w:rPr>
      <w:i/>
      <w:iCs/>
      <w:color w:val="000000"/>
      <w14:textFill>
        <w14:solidFill>
          <w14:srgbClr w14:val="000000">
            <w14:lumMod w14:val="50000"/>
            <w14:lumOff w14:val="50000"/>
          </w14:srgbClr>
        </w14:solidFill>
      </w14:textFill>
    </w:rPr>
  </w:style>
  <w:style w:type="table" w:customStyle="1" w:styleId="MediumShading2-Accent51">
    <w:name w:val="Medium Shading 2 - Accent 51"/>
    <w:basedOn w:val="TableNormal"/>
    <w:next w:val="MediumShading2-Accent5"/>
    <w:uiPriority w:val="64"/>
    <w:rsid w:val="00295605"/>
    <w:rPr>
      <w:rFonts w:eastAsia="DengXian"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295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DengXian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aption1">
    <w:name w:val="Caption1"/>
    <w:basedOn w:val="Normal"/>
    <w:next w:val="Normal"/>
    <w:uiPriority w:val="35"/>
    <w:unhideWhenUsed/>
    <w:qFormat/>
    <w:rsid w:val="00295605"/>
    <w:pPr>
      <w:spacing w:after="200" w:line="240" w:lineRule="auto"/>
    </w:pPr>
    <w:rPr>
      <w:b/>
      <w:bCs/>
      <w:color w:val="4472C4"/>
      <w:sz w:val="18"/>
      <w:szCs w:val="18"/>
    </w:rPr>
  </w:style>
  <w:style w:type="character" w:styleId="SubtleEmphasis">
    <w:name w:val="Subtle Emphasis"/>
    <w:basedOn w:val="DefaultParagraphFont"/>
    <w:uiPriority w:val="19"/>
    <w:qFormat/>
    <w:rsid w:val="00295605"/>
    <w:rPr>
      <w:i/>
      <w:iCs/>
      <w:color w:val="808080" w:themeColor="text1" w:themeTint="7F"/>
    </w:rPr>
  </w:style>
  <w:style w:type="table" w:styleId="MediumShading2-Accent5">
    <w:name w:val="Medium Shading 2 Accent 5"/>
    <w:basedOn w:val="TableNormal"/>
    <w:uiPriority w:val="64"/>
    <w:rsid w:val="00295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9560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004"/>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640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640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640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6400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640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640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640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640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33599"/>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64004"/>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640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64004"/>
    <w:rPr>
      <w:rFonts w:ascii="Palatino Linotype" w:hAnsi="Palatino Linotype"/>
      <w:noProof/>
      <w:color w:val="000000"/>
      <w:szCs w:val="18"/>
    </w:rPr>
  </w:style>
  <w:style w:type="paragraph" w:styleId="Header">
    <w:name w:val="header"/>
    <w:basedOn w:val="Normal"/>
    <w:link w:val="HeaderChar"/>
    <w:uiPriority w:val="99"/>
    <w:rsid w:val="00D640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64004"/>
    <w:rPr>
      <w:rFonts w:ascii="Palatino Linotype" w:hAnsi="Palatino Linotype"/>
      <w:noProof/>
      <w:color w:val="000000"/>
      <w:szCs w:val="18"/>
    </w:rPr>
  </w:style>
  <w:style w:type="paragraph" w:customStyle="1" w:styleId="MDPIheaderjournallogo">
    <w:name w:val="MDPI_header_journal_logo"/>
    <w:qFormat/>
    <w:rsid w:val="00D640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64004"/>
    <w:pPr>
      <w:ind w:firstLine="0"/>
    </w:pPr>
  </w:style>
  <w:style w:type="paragraph" w:customStyle="1" w:styleId="MDPI31text">
    <w:name w:val="MDPI_3.1_text"/>
    <w:qFormat/>
    <w:rsid w:val="00B16E9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640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D640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640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640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27C2"/>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27C2"/>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640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640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640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C79B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640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640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640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D640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640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D640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640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640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13BF6"/>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64004"/>
    <w:rPr>
      <w:rFonts w:cs="Tahoma"/>
      <w:szCs w:val="18"/>
    </w:rPr>
  </w:style>
  <w:style w:type="character" w:customStyle="1" w:styleId="BalloonTextChar">
    <w:name w:val="Balloon Text Char"/>
    <w:link w:val="BalloonText"/>
    <w:uiPriority w:val="99"/>
    <w:rsid w:val="00D64004"/>
    <w:rPr>
      <w:rFonts w:ascii="Palatino Linotype" w:hAnsi="Palatino Linotype" w:cs="Tahoma"/>
      <w:noProof/>
      <w:color w:val="000000"/>
      <w:szCs w:val="18"/>
    </w:rPr>
  </w:style>
  <w:style w:type="character" w:styleId="LineNumber">
    <w:name w:val="line number"/>
    <w:uiPriority w:val="99"/>
    <w:rsid w:val="008E758C"/>
    <w:rPr>
      <w:rFonts w:ascii="Palatino Linotype" w:hAnsi="Palatino Linotype"/>
      <w:sz w:val="16"/>
    </w:rPr>
  </w:style>
  <w:style w:type="table" w:customStyle="1" w:styleId="MDPI41threelinetable">
    <w:name w:val="MDPI_4.1_three_line_table"/>
    <w:basedOn w:val="TableNormal"/>
    <w:uiPriority w:val="99"/>
    <w:rsid w:val="00D64004"/>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64004"/>
    <w:rPr>
      <w:color w:val="0000FF"/>
      <w:u w:val="single"/>
    </w:rPr>
  </w:style>
  <w:style w:type="character" w:customStyle="1" w:styleId="UnresolvedMention1">
    <w:name w:val="Unresolved Mention1"/>
    <w:uiPriority w:val="99"/>
    <w:semiHidden/>
    <w:unhideWhenUsed/>
    <w:rsid w:val="00F25D92"/>
    <w:rPr>
      <w:color w:val="605E5C"/>
      <w:shd w:val="clear" w:color="auto" w:fill="E1DFDD"/>
    </w:rPr>
  </w:style>
  <w:style w:type="table" w:customStyle="1" w:styleId="PlainTable41">
    <w:name w:val="Plain Table 41"/>
    <w:basedOn w:val="TableNormal"/>
    <w:uiPriority w:val="44"/>
    <w:rsid w:val="00EF23F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D640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640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64004"/>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96D2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640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640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640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61513"/>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640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640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640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64004"/>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640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640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6400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64004"/>
    <w:rPr>
      <w:rFonts w:ascii="Palatino Linotype" w:hAnsi="Palatino Linotype"/>
      <w:color w:val="000000"/>
      <w:lang w:val="en-CA" w:eastAsia="en-US"/>
    </w:rPr>
    <w:tblPr>
      <w:tblInd w:w="0" w:type="dxa"/>
      <w:tblCellMar>
        <w:top w:w="0" w:type="dxa"/>
        <w:left w:w="0" w:type="dxa"/>
        <w:bottom w:w="0" w:type="dxa"/>
        <w:right w:w="0" w:type="dxa"/>
      </w:tblCellMar>
    </w:tblPr>
  </w:style>
  <w:style w:type="paragraph" w:customStyle="1" w:styleId="MDPItext">
    <w:name w:val="MDPI_text"/>
    <w:qFormat/>
    <w:rsid w:val="00D640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640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64004"/>
  </w:style>
  <w:style w:type="paragraph" w:styleId="Bibliography">
    <w:name w:val="Bibliography"/>
    <w:basedOn w:val="Normal"/>
    <w:next w:val="Normal"/>
    <w:uiPriority w:val="37"/>
    <w:semiHidden/>
    <w:unhideWhenUsed/>
    <w:rsid w:val="00D64004"/>
  </w:style>
  <w:style w:type="paragraph" w:styleId="BodyText">
    <w:name w:val="Body Text"/>
    <w:link w:val="BodyTextChar"/>
    <w:rsid w:val="00D6400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64004"/>
    <w:rPr>
      <w:rFonts w:ascii="Palatino Linotype" w:hAnsi="Palatino Linotype"/>
      <w:color w:val="000000"/>
      <w:sz w:val="24"/>
      <w:lang w:eastAsia="de-DE"/>
    </w:rPr>
  </w:style>
  <w:style w:type="character" w:styleId="CommentReference">
    <w:name w:val="annotation reference"/>
    <w:rsid w:val="00D64004"/>
    <w:rPr>
      <w:sz w:val="21"/>
      <w:szCs w:val="21"/>
    </w:rPr>
  </w:style>
  <w:style w:type="paragraph" w:styleId="CommentText">
    <w:name w:val="annotation text"/>
    <w:basedOn w:val="Normal"/>
    <w:link w:val="CommentTextChar"/>
    <w:rsid w:val="00D64004"/>
  </w:style>
  <w:style w:type="character" w:customStyle="1" w:styleId="CommentTextChar">
    <w:name w:val="Comment Text Char"/>
    <w:link w:val="CommentText"/>
    <w:rsid w:val="00D64004"/>
    <w:rPr>
      <w:rFonts w:ascii="Palatino Linotype" w:hAnsi="Palatino Linotype"/>
      <w:noProof/>
      <w:color w:val="000000"/>
    </w:rPr>
  </w:style>
  <w:style w:type="paragraph" w:styleId="CommentSubject">
    <w:name w:val="annotation subject"/>
    <w:basedOn w:val="CommentText"/>
    <w:next w:val="CommentText"/>
    <w:link w:val="CommentSubjectChar"/>
    <w:rsid w:val="00D64004"/>
    <w:rPr>
      <w:b/>
      <w:bCs/>
    </w:rPr>
  </w:style>
  <w:style w:type="character" w:customStyle="1" w:styleId="CommentSubjectChar">
    <w:name w:val="Comment Subject Char"/>
    <w:link w:val="CommentSubject"/>
    <w:rsid w:val="00D64004"/>
    <w:rPr>
      <w:rFonts w:ascii="Palatino Linotype" w:hAnsi="Palatino Linotype"/>
      <w:b/>
      <w:bCs/>
      <w:noProof/>
      <w:color w:val="000000"/>
    </w:rPr>
  </w:style>
  <w:style w:type="character" w:styleId="EndnoteReference">
    <w:name w:val="endnote reference"/>
    <w:rsid w:val="00D64004"/>
    <w:rPr>
      <w:vertAlign w:val="superscript"/>
    </w:rPr>
  </w:style>
  <w:style w:type="paragraph" w:styleId="EndnoteText">
    <w:name w:val="endnote text"/>
    <w:basedOn w:val="Normal"/>
    <w:link w:val="EndnoteTextChar"/>
    <w:semiHidden/>
    <w:unhideWhenUsed/>
    <w:rsid w:val="00D64004"/>
    <w:pPr>
      <w:spacing w:line="240" w:lineRule="auto"/>
    </w:pPr>
  </w:style>
  <w:style w:type="character" w:customStyle="1" w:styleId="EndnoteTextChar">
    <w:name w:val="Endnote Text Char"/>
    <w:link w:val="EndnoteText"/>
    <w:semiHidden/>
    <w:rsid w:val="00D64004"/>
    <w:rPr>
      <w:rFonts w:ascii="Palatino Linotype" w:hAnsi="Palatino Linotype"/>
      <w:noProof/>
      <w:color w:val="000000"/>
    </w:rPr>
  </w:style>
  <w:style w:type="character" w:styleId="FollowedHyperlink">
    <w:name w:val="FollowedHyperlink"/>
    <w:rsid w:val="00D64004"/>
    <w:rPr>
      <w:color w:val="954F72"/>
      <w:u w:val="single"/>
    </w:rPr>
  </w:style>
  <w:style w:type="paragraph" w:styleId="FootnoteText">
    <w:name w:val="footnote text"/>
    <w:basedOn w:val="Normal"/>
    <w:link w:val="FootnoteTextChar"/>
    <w:uiPriority w:val="99"/>
    <w:unhideWhenUsed/>
    <w:rsid w:val="00D64004"/>
    <w:pPr>
      <w:spacing w:line="240" w:lineRule="auto"/>
    </w:pPr>
  </w:style>
  <w:style w:type="character" w:customStyle="1" w:styleId="FootnoteTextChar">
    <w:name w:val="Footnote Text Char"/>
    <w:link w:val="FootnoteText"/>
    <w:uiPriority w:val="99"/>
    <w:rsid w:val="00D64004"/>
    <w:rPr>
      <w:rFonts w:ascii="Palatino Linotype" w:hAnsi="Palatino Linotype"/>
      <w:noProof/>
      <w:color w:val="000000"/>
    </w:rPr>
  </w:style>
  <w:style w:type="paragraph" w:styleId="NormalWeb">
    <w:name w:val="Normal (Web)"/>
    <w:basedOn w:val="Normal"/>
    <w:uiPriority w:val="99"/>
    <w:rsid w:val="00D64004"/>
    <w:rPr>
      <w:szCs w:val="24"/>
    </w:rPr>
  </w:style>
  <w:style w:type="paragraph" w:customStyle="1" w:styleId="MsoFootnoteText0">
    <w:name w:val="MsoFootnoteText"/>
    <w:basedOn w:val="NormalWeb"/>
    <w:qFormat/>
    <w:rsid w:val="00D64004"/>
    <w:rPr>
      <w:rFonts w:ascii="Times New Roman" w:hAnsi="Times New Roman"/>
    </w:rPr>
  </w:style>
  <w:style w:type="character" w:styleId="PageNumber">
    <w:name w:val="page number"/>
    <w:rsid w:val="00D64004"/>
  </w:style>
  <w:style w:type="character" w:styleId="PlaceholderText">
    <w:name w:val="Placeholder Text"/>
    <w:uiPriority w:val="99"/>
    <w:semiHidden/>
    <w:rsid w:val="00D64004"/>
    <w:rPr>
      <w:color w:val="808080"/>
    </w:rPr>
  </w:style>
  <w:style w:type="paragraph" w:customStyle="1" w:styleId="MDPI71FootNotes">
    <w:name w:val="MDPI_7.1_FootNotes"/>
    <w:qFormat/>
    <w:rsid w:val="00D74456"/>
    <w:pPr>
      <w:numPr>
        <w:numId w:val="24"/>
      </w:numPr>
      <w:adjustRightInd w:val="0"/>
      <w:snapToGrid w:val="0"/>
      <w:spacing w:line="228" w:lineRule="auto"/>
    </w:pPr>
    <w:rPr>
      <w:rFonts w:ascii="Palatino Linotype" w:eastAsiaTheme="minorEastAsia" w:hAnsi="Palatino Linotype"/>
      <w:noProof/>
      <w:color w:val="000000"/>
      <w:sz w:val="18"/>
    </w:rPr>
  </w:style>
  <w:style w:type="table" w:customStyle="1" w:styleId="Calendar1">
    <w:name w:val="Calendar 1"/>
    <w:basedOn w:val="TableNormal"/>
    <w:uiPriority w:val="99"/>
    <w:qFormat/>
    <w:rsid w:val="00295605"/>
    <w:rPr>
      <w:rFonts w:eastAsia="DengXian" w:cs="Arial"/>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295605"/>
    <w:pPr>
      <w:tabs>
        <w:tab w:val="decimal" w:pos="360"/>
      </w:tabs>
      <w:spacing w:after="200" w:line="276" w:lineRule="auto"/>
      <w:jc w:val="left"/>
    </w:pPr>
    <w:rPr>
      <w:rFonts w:ascii="Calibri" w:eastAsia="Calibri" w:hAnsi="Calibri" w:cs="Arial"/>
      <w:noProof w:val="0"/>
      <w:color w:val="auto"/>
      <w:sz w:val="22"/>
      <w:szCs w:val="22"/>
      <w:lang w:eastAsia="ja-JP"/>
    </w:rPr>
  </w:style>
  <w:style w:type="character" w:customStyle="1" w:styleId="SubtleEmphasis1">
    <w:name w:val="Subtle Emphasis1"/>
    <w:basedOn w:val="DefaultParagraphFont"/>
    <w:uiPriority w:val="19"/>
    <w:qFormat/>
    <w:rsid w:val="00295605"/>
    <w:rPr>
      <w:i/>
      <w:iCs/>
      <w:color w:val="000000"/>
      <w14:textFill>
        <w14:solidFill>
          <w14:srgbClr w14:val="000000">
            <w14:lumMod w14:val="50000"/>
            <w14:lumOff w14:val="50000"/>
          </w14:srgbClr>
        </w14:solidFill>
      </w14:textFill>
    </w:rPr>
  </w:style>
  <w:style w:type="table" w:customStyle="1" w:styleId="MediumShading2-Accent51">
    <w:name w:val="Medium Shading 2 - Accent 51"/>
    <w:basedOn w:val="TableNormal"/>
    <w:next w:val="MediumShading2-Accent5"/>
    <w:uiPriority w:val="64"/>
    <w:rsid w:val="00295605"/>
    <w:rPr>
      <w:rFonts w:eastAsia="DengXian"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295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DengXian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aption1">
    <w:name w:val="Caption1"/>
    <w:basedOn w:val="Normal"/>
    <w:next w:val="Normal"/>
    <w:uiPriority w:val="35"/>
    <w:unhideWhenUsed/>
    <w:qFormat/>
    <w:rsid w:val="00295605"/>
    <w:pPr>
      <w:spacing w:after="200" w:line="240" w:lineRule="auto"/>
    </w:pPr>
    <w:rPr>
      <w:b/>
      <w:bCs/>
      <w:color w:val="4472C4"/>
      <w:sz w:val="18"/>
      <w:szCs w:val="18"/>
    </w:rPr>
  </w:style>
  <w:style w:type="character" w:styleId="SubtleEmphasis">
    <w:name w:val="Subtle Emphasis"/>
    <w:basedOn w:val="DefaultParagraphFont"/>
    <w:uiPriority w:val="19"/>
    <w:qFormat/>
    <w:rsid w:val="00295605"/>
    <w:rPr>
      <w:i/>
      <w:iCs/>
      <w:color w:val="808080" w:themeColor="text1" w:themeTint="7F"/>
    </w:rPr>
  </w:style>
  <w:style w:type="table" w:styleId="MediumShading2-Accent5">
    <w:name w:val="Medium Shading 2 Accent 5"/>
    <w:basedOn w:val="TableNormal"/>
    <w:uiPriority w:val="64"/>
    <w:rsid w:val="00295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9560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3780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26.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9.emf"/><Relationship Id="rId84" Type="http://schemas.openxmlformats.org/officeDocument/2006/relationships/image" Target="media/image47.emf"/><Relationship Id="rId89" Type="http://schemas.openxmlformats.org/officeDocument/2006/relationships/oleObject" Target="embeddings/oleObject33.bin"/><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oleObject" Target="embeddings/oleObject28.bin"/><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50.emf"/><Relationship Id="rId95" Type="http://schemas.openxmlformats.org/officeDocument/2006/relationships/oleObject" Target="embeddings/oleObject36.bin"/><Relationship Id="rId22" Type="http://schemas.openxmlformats.org/officeDocument/2006/relationships/image" Target="media/image14.pn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oleObject" Target="embeddings/oleObject23.bin"/><Relationship Id="rId80" Type="http://schemas.openxmlformats.org/officeDocument/2006/relationships/image" Target="media/image45.emf"/><Relationship Id="rId85" Type="http://schemas.openxmlformats.org/officeDocument/2006/relationships/oleObject" Target="embeddings/oleObject31.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5.bin"/><Relationship Id="rId38" Type="http://schemas.openxmlformats.org/officeDocument/2006/relationships/image" Target="media/image24.emf"/><Relationship Id="rId59" Type="http://schemas.openxmlformats.org/officeDocument/2006/relationships/oleObject" Target="embeddings/oleObject18.bin"/><Relationship Id="rId103"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oleObject" Target="embeddings/oleObject9.bin"/><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9.emf"/><Relationship Id="rId91" Type="http://schemas.openxmlformats.org/officeDocument/2006/relationships/oleObject" Target="embeddings/oleObject34.bin"/><Relationship Id="rId96" Type="http://schemas.openxmlformats.org/officeDocument/2006/relationships/image" Target="media/image53.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3.e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44.emf"/><Relationship Id="rId81" Type="http://schemas.openxmlformats.org/officeDocument/2006/relationships/oleObject" Target="embeddings/oleObject29.bin"/><Relationship Id="rId86" Type="http://schemas.openxmlformats.org/officeDocument/2006/relationships/image" Target="media/image48.emf"/><Relationship Id="rId94" Type="http://schemas.openxmlformats.org/officeDocument/2006/relationships/image" Target="media/image52.e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8.bin"/><Relationship Id="rId34" Type="http://schemas.openxmlformats.org/officeDocument/2006/relationships/image" Target="media/image22.emf"/><Relationship Id="rId50" Type="http://schemas.openxmlformats.org/officeDocument/2006/relationships/image" Target="media/image30.emf"/><Relationship Id="rId55" Type="http://schemas.openxmlformats.org/officeDocument/2006/relationships/oleObject" Target="embeddings/oleObject16.bin"/><Relationship Id="rId76" Type="http://schemas.openxmlformats.org/officeDocument/2006/relationships/image" Target="media/image43.emf"/><Relationship Id="rId97" Type="http://schemas.openxmlformats.org/officeDocument/2006/relationships/oleObject" Target="embeddings/oleObject37.bin"/><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1.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16.png"/><Relationship Id="rId40" Type="http://schemas.openxmlformats.org/officeDocument/2006/relationships/image" Target="media/image25.emf"/><Relationship Id="rId45" Type="http://schemas.openxmlformats.org/officeDocument/2006/relationships/oleObject" Target="embeddings/oleObject11.bin"/><Relationship Id="rId66" Type="http://schemas.openxmlformats.org/officeDocument/2006/relationships/image" Target="media/image38.emf"/><Relationship Id="rId87" Type="http://schemas.openxmlformats.org/officeDocument/2006/relationships/oleObject" Target="embeddings/oleObject32.bin"/><Relationship Id="rId61" Type="http://schemas.openxmlformats.org/officeDocument/2006/relationships/oleObject" Target="embeddings/oleObject19.bin"/><Relationship Id="rId82" Type="http://schemas.openxmlformats.org/officeDocument/2006/relationships/image" Target="media/image46.e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emf"/><Relationship Id="rId35" Type="http://schemas.openxmlformats.org/officeDocument/2006/relationships/oleObject" Target="embeddings/oleObject6.bin"/><Relationship Id="rId56" Type="http://schemas.openxmlformats.org/officeDocument/2006/relationships/image" Target="media/image33.emf"/><Relationship Id="rId77" Type="http://schemas.openxmlformats.org/officeDocument/2006/relationships/oleObject" Target="embeddings/oleObject27.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image" Target="media/image41.emf"/><Relationship Id="rId93" Type="http://schemas.openxmlformats.org/officeDocument/2006/relationships/oleObject" Target="embeddings/oleObject35.bin"/><Relationship Id="rId98"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28.emf"/><Relationship Id="rId6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pharmaceutical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pharmaceuticals-template (1)</Template>
  <TotalTime>39</TotalTime>
  <Pages>15</Pages>
  <Words>11393</Words>
  <Characters>64944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Lenovo</dc:creator>
  <cp:lastModifiedBy>phar</cp:lastModifiedBy>
  <cp:revision>6</cp:revision>
  <dcterms:created xsi:type="dcterms:W3CDTF">2023-06-04T05:38:00Z</dcterms:created>
  <dcterms:modified xsi:type="dcterms:W3CDTF">2023-09-23T04:26:00Z</dcterms:modified>
</cp:coreProperties>
</file>