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emf" ContentType="image/x-emf"/>
  <Default Extension="jpeg" ContentType="image/jpeg"/>
  <Override PartName="/word/diagrams/colors1.xml" ContentType="application/vnd.openxmlformats-officedocument.drawingml.diagramColor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433" w:rsidRPr="00EC00E6" w:rsidRDefault="00825433" w:rsidP="004F5F62">
      <w:pPr>
        <w:pStyle w:val="BodyText"/>
        <w:jc w:val="center"/>
        <w:rPr>
          <w:b/>
        </w:rPr>
      </w:pPr>
      <w:r w:rsidRPr="00EC00E6">
        <w:rPr>
          <w:b/>
        </w:rPr>
        <w:t>Mu</w:t>
      </w:r>
      <w:r w:rsidR="004F5F62">
        <w:rPr>
          <w:b/>
        </w:rPr>
        <w:t>lti-faceting Cyclodextrin Matrix</w:t>
      </w:r>
      <w:r w:rsidRPr="00EC00E6">
        <w:rPr>
          <w:b/>
        </w:rPr>
        <w:t xml:space="preserve">: </w:t>
      </w:r>
      <w:r w:rsidR="004F5F62">
        <w:rPr>
          <w:b/>
        </w:rPr>
        <w:t>P</w:t>
      </w:r>
      <w:r w:rsidR="00D654FA">
        <w:rPr>
          <w:b/>
        </w:rPr>
        <w:t>hysicochem</w:t>
      </w:r>
      <w:r w:rsidR="004F5F62">
        <w:rPr>
          <w:b/>
        </w:rPr>
        <w:t>ical and theoretical /</w:t>
      </w:r>
      <w:r w:rsidR="007B0B6C">
        <w:rPr>
          <w:b/>
        </w:rPr>
        <w:t>C</w:t>
      </w:r>
      <w:r w:rsidR="00D654FA">
        <w:rPr>
          <w:b/>
        </w:rPr>
        <w:t xml:space="preserve">heminformatics </w:t>
      </w:r>
      <w:r w:rsidR="004F5F62">
        <w:rPr>
          <w:b/>
        </w:rPr>
        <w:t xml:space="preserve">         Portfolio</w:t>
      </w:r>
    </w:p>
    <w:p w:rsidR="00EA4475" w:rsidRDefault="00EA4475" w:rsidP="004F5F62">
      <w:pPr>
        <w:jc w:val="center"/>
      </w:pPr>
    </w:p>
    <w:p w:rsidR="00FC1350" w:rsidRPr="00FC1350" w:rsidRDefault="008723C5">
      <w:pPr>
        <w:rPr>
          <w:b/>
        </w:rPr>
      </w:pPr>
      <w:r>
        <w:t xml:space="preserve">    </w:t>
      </w:r>
      <w:r w:rsidR="00F407C3">
        <w:t xml:space="preserve">     </w:t>
      </w:r>
      <w:r w:rsidR="004F5F62">
        <w:t xml:space="preserve">                            </w:t>
      </w:r>
      <w:r w:rsidR="00987F32">
        <w:t xml:space="preserve">                           </w:t>
      </w:r>
      <w:r w:rsidR="004F5F62">
        <w:t xml:space="preserve">    </w:t>
      </w:r>
      <w:r>
        <w:t xml:space="preserve"> </w:t>
      </w:r>
      <w:r w:rsidRPr="00FC1350">
        <w:rPr>
          <w:b/>
        </w:rPr>
        <w:t>Prachi P. Khobragade</w:t>
      </w:r>
      <w:r w:rsidR="00FC1350" w:rsidRPr="00FC1350">
        <w:rPr>
          <w:b/>
          <w:vertAlign w:val="superscript"/>
        </w:rPr>
        <w:t>*</w:t>
      </w:r>
      <w:r w:rsidR="004F5F62">
        <w:rPr>
          <w:b/>
        </w:rPr>
        <w:t xml:space="preserve"> </w:t>
      </w:r>
    </w:p>
    <w:p w:rsidR="00825433" w:rsidRPr="00FC1350" w:rsidRDefault="00FC1350">
      <w:pPr>
        <w:rPr>
          <w:b/>
        </w:rPr>
      </w:pPr>
      <w:r>
        <w:t xml:space="preserve">                </w:t>
      </w:r>
      <w:r w:rsidR="00F407C3">
        <w:t xml:space="preserve">    </w:t>
      </w:r>
      <w:r>
        <w:t xml:space="preserve"> </w:t>
      </w:r>
      <w:r w:rsidRPr="00FC1350">
        <w:rPr>
          <w:b/>
        </w:rPr>
        <w:t>Department of Chemistry, R.T.M. Nagpur University, Nagpur, 440010</w:t>
      </w:r>
      <w:r w:rsidR="008723C5" w:rsidRPr="00FC1350">
        <w:rPr>
          <w:b/>
        </w:rPr>
        <w:t xml:space="preserve"> </w:t>
      </w:r>
    </w:p>
    <w:p w:rsidR="00FC1350" w:rsidRPr="00FC1350" w:rsidRDefault="00FC1350">
      <w:pPr>
        <w:rPr>
          <w:b/>
        </w:rPr>
      </w:pPr>
      <w:r>
        <w:t xml:space="preserve">                                                </w:t>
      </w:r>
      <w:r w:rsidRPr="00FC1350">
        <w:rPr>
          <w:b/>
        </w:rPr>
        <w:t>Email: khobragadeprachi3@gmail.com</w:t>
      </w:r>
    </w:p>
    <w:p w:rsidR="00825433" w:rsidRDefault="00FC1350">
      <w:r>
        <w:t xml:space="preserve">                                </w:t>
      </w:r>
    </w:p>
    <w:p w:rsidR="00825433" w:rsidRPr="00077BD1" w:rsidRDefault="00825433">
      <w:pPr>
        <w:rPr>
          <w:sz w:val="24"/>
        </w:rPr>
      </w:pPr>
    </w:p>
    <w:p w:rsidR="00825433" w:rsidRPr="00825433" w:rsidRDefault="00825433">
      <w:pPr>
        <w:rPr>
          <w:b/>
          <w:sz w:val="28"/>
        </w:rPr>
      </w:pPr>
      <w:r w:rsidRPr="00825433">
        <w:rPr>
          <w:b/>
          <w:sz w:val="28"/>
        </w:rPr>
        <w:t>Abstract:</w:t>
      </w:r>
    </w:p>
    <w:p w:rsidR="00825433" w:rsidRPr="00077BD1" w:rsidRDefault="00825433" w:rsidP="009F0FA2">
      <w:pPr>
        <w:pStyle w:val="BodyText"/>
        <w:spacing w:line="285" w:lineRule="auto"/>
        <w:ind w:left="1078" w:right="1291"/>
        <w:jc w:val="both"/>
        <w:rPr>
          <w:b/>
          <w:sz w:val="24"/>
          <w:szCs w:val="16"/>
          <w:vertAlign w:val="superscript"/>
        </w:rPr>
      </w:pPr>
      <w:r w:rsidRPr="00077BD1">
        <w:rPr>
          <w:sz w:val="24"/>
          <w:szCs w:val="16"/>
          <w:vertAlign w:val="superscript"/>
        </w:rPr>
        <w:t>Cyclodextrin (CDs) has gained prevalence as functional solubilizing excipients with an</w:t>
      </w:r>
      <w:r w:rsidRPr="00077BD1">
        <w:rPr>
          <w:spacing w:val="1"/>
          <w:sz w:val="24"/>
          <w:szCs w:val="16"/>
          <w:vertAlign w:val="superscript"/>
        </w:rPr>
        <w:t xml:space="preserve"> </w:t>
      </w:r>
      <w:r w:rsidRPr="00077BD1">
        <w:rPr>
          <w:sz w:val="24"/>
          <w:szCs w:val="16"/>
          <w:vertAlign w:val="superscript"/>
        </w:rPr>
        <w:t>perpetually</w:t>
      </w:r>
      <w:r w:rsidRPr="00077BD1">
        <w:rPr>
          <w:spacing w:val="1"/>
          <w:sz w:val="24"/>
          <w:szCs w:val="16"/>
          <w:vertAlign w:val="superscript"/>
        </w:rPr>
        <w:t xml:space="preserve"> </w:t>
      </w:r>
      <w:r w:rsidRPr="00077BD1">
        <w:rPr>
          <w:sz w:val="24"/>
          <w:szCs w:val="16"/>
          <w:vertAlign w:val="superscript"/>
        </w:rPr>
        <w:t>increasing</w:t>
      </w:r>
      <w:r w:rsidRPr="00077BD1">
        <w:rPr>
          <w:spacing w:val="1"/>
          <w:sz w:val="24"/>
          <w:szCs w:val="16"/>
          <w:vertAlign w:val="superscript"/>
        </w:rPr>
        <w:t xml:space="preserve"> </w:t>
      </w:r>
      <w:r w:rsidRPr="00077BD1">
        <w:rPr>
          <w:sz w:val="24"/>
          <w:szCs w:val="16"/>
          <w:vertAlign w:val="superscript"/>
        </w:rPr>
        <w:t>list</w:t>
      </w:r>
      <w:r w:rsidRPr="00077BD1">
        <w:rPr>
          <w:spacing w:val="3"/>
          <w:sz w:val="24"/>
          <w:szCs w:val="16"/>
          <w:vertAlign w:val="superscript"/>
        </w:rPr>
        <w:t xml:space="preserve"> </w:t>
      </w:r>
      <w:r w:rsidRPr="00077BD1">
        <w:rPr>
          <w:sz w:val="24"/>
          <w:szCs w:val="16"/>
          <w:vertAlign w:val="superscript"/>
        </w:rPr>
        <w:t>of</w:t>
      </w:r>
      <w:r w:rsidRPr="00077BD1">
        <w:rPr>
          <w:spacing w:val="4"/>
          <w:sz w:val="24"/>
          <w:szCs w:val="16"/>
          <w:vertAlign w:val="superscript"/>
        </w:rPr>
        <w:t xml:space="preserve"> </w:t>
      </w:r>
      <w:r w:rsidRPr="00077BD1">
        <w:rPr>
          <w:sz w:val="24"/>
          <w:szCs w:val="16"/>
          <w:vertAlign w:val="superscript"/>
        </w:rPr>
        <w:t>advantageous</w:t>
      </w:r>
      <w:r w:rsidRPr="00077BD1">
        <w:rPr>
          <w:spacing w:val="2"/>
          <w:sz w:val="24"/>
          <w:szCs w:val="16"/>
          <w:vertAlign w:val="superscript"/>
        </w:rPr>
        <w:t xml:space="preserve"> </w:t>
      </w:r>
      <w:r w:rsidRPr="00077BD1">
        <w:rPr>
          <w:sz w:val="24"/>
          <w:szCs w:val="16"/>
          <w:vertAlign w:val="superscript"/>
        </w:rPr>
        <w:t>properties</w:t>
      </w:r>
      <w:r w:rsidRPr="00077BD1">
        <w:rPr>
          <w:spacing w:val="4"/>
          <w:sz w:val="24"/>
          <w:szCs w:val="16"/>
          <w:vertAlign w:val="superscript"/>
        </w:rPr>
        <w:t xml:space="preserve"> </w:t>
      </w:r>
      <w:r w:rsidRPr="00077BD1">
        <w:rPr>
          <w:sz w:val="24"/>
          <w:szCs w:val="16"/>
          <w:vertAlign w:val="superscript"/>
        </w:rPr>
        <w:t>and</w:t>
      </w:r>
      <w:r w:rsidRPr="00077BD1">
        <w:rPr>
          <w:spacing w:val="1"/>
          <w:sz w:val="24"/>
          <w:szCs w:val="16"/>
          <w:vertAlign w:val="superscript"/>
        </w:rPr>
        <w:t xml:space="preserve"> </w:t>
      </w:r>
      <w:r w:rsidRPr="00077BD1">
        <w:rPr>
          <w:sz w:val="24"/>
          <w:szCs w:val="16"/>
          <w:vertAlign w:val="superscript"/>
        </w:rPr>
        <w:t>functionalities.</w:t>
      </w:r>
      <w:r w:rsidRPr="00077BD1">
        <w:rPr>
          <w:spacing w:val="1"/>
          <w:sz w:val="24"/>
          <w:szCs w:val="16"/>
          <w:vertAlign w:val="superscript"/>
        </w:rPr>
        <w:t xml:space="preserve"> </w:t>
      </w:r>
      <w:r w:rsidRPr="00077BD1">
        <w:rPr>
          <w:sz w:val="24"/>
          <w:szCs w:val="16"/>
          <w:vertAlign w:val="superscript"/>
        </w:rPr>
        <w:t>This</w:t>
      </w:r>
      <w:r w:rsidRPr="00077BD1">
        <w:rPr>
          <w:spacing w:val="3"/>
          <w:sz w:val="24"/>
          <w:szCs w:val="16"/>
          <w:vertAlign w:val="superscript"/>
        </w:rPr>
        <w:t xml:space="preserve"> </w:t>
      </w:r>
      <w:r w:rsidRPr="00077BD1">
        <w:rPr>
          <w:sz w:val="24"/>
          <w:szCs w:val="16"/>
          <w:vertAlign w:val="superscript"/>
        </w:rPr>
        <w:t>is</w:t>
      </w:r>
      <w:r w:rsidRPr="00077BD1">
        <w:rPr>
          <w:spacing w:val="2"/>
          <w:sz w:val="24"/>
          <w:szCs w:val="16"/>
          <w:vertAlign w:val="superscript"/>
        </w:rPr>
        <w:t xml:space="preserve"> </w:t>
      </w:r>
      <w:r w:rsidRPr="00077BD1">
        <w:rPr>
          <w:sz w:val="24"/>
          <w:szCs w:val="16"/>
          <w:vertAlign w:val="superscript"/>
        </w:rPr>
        <w:t>an</w:t>
      </w:r>
      <w:r w:rsidRPr="00077BD1">
        <w:rPr>
          <w:spacing w:val="2"/>
          <w:sz w:val="24"/>
          <w:szCs w:val="16"/>
          <w:vertAlign w:val="superscript"/>
        </w:rPr>
        <w:t xml:space="preserve"> </w:t>
      </w:r>
      <w:r w:rsidRPr="00077BD1">
        <w:rPr>
          <w:sz w:val="24"/>
          <w:szCs w:val="16"/>
          <w:vertAlign w:val="superscript"/>
        </w:rPr>
        <w:t>insight</w:t>
      </w:r>
      <w:r w:rsidRPr="00077BD1">
        <w:rPr>
          <w:spacing w:val="-55"/>
          <w:sz w:val="24"/>
          <w:szCs w:val="16"/>
          <w:vertAlign w:val="superscript"/>
        </w:rPr>
        <w:t xml:space="preserve"> </w:t>
      </w:r>
      <w:r w:rsidRPr="00077BD1">
        <w:rPr>
          <w:sz w:val="24"/>
          <w:szCs w:val="16"/>
          <w:vertAlign w:val="superscript"/>
        </w:rPr>
        <w:t>aiming to evaluate the properties of CDs and their vast functionalities in science and</w:t>
      </w:r>
      <w:r w:rsidRPr="00077BD1">
        <w:rPr>
          <w:spacing w:val="1"/>
          <w:sz w:val="24"/>
          <w:szCs w:val="16"/>
          <w:vertAlign w:val="superscript"/>
        </w:rPr>
        <w:t xml:space="preserve"> </w:t>
      </w:r>
      <w:r w:rsidR="001B222B" w:rsidRPr="00077BD1">
        <w:rPr>
          <w:w w:val="105"/>
          <w:sz w:val="24"/>
          <w:szCs w:val="16"/>
          <w:vertAlign w:val="superscript"/>
        </w:rPr>
        <w:t>technology.</w:t>
      </w:r>
      <w:r w:rsidR="001B222B" w:rsidRPr="00077BD1">
        <w:rPr>
          <w:sz w:val="24"/>
          <w:szCs w:val="16"/>
          <w:vertAlign w:val="superscript"/>
        </w:rPr>
        <w:t xml:space="preserve"> The</w:t>
      </w:r>
      <w:r w:rsidRPr="00077BD1">
        <w:rPr>
          <w:sz w:val="24"/>
          <w:szCs w:val="16"/>
          <w:vertAlign w:val="superscript"/>
        </w:rPr>
        <w:t xml:space="preserve"> purpose of the article is to scrutinize the nature of chemical aspects of CDs, the way in</w:t>
      </w:r>
      <w:r w:rsidRPr="00077BD1">
        <w:rPr>
          <w:spacing w:val="1"/>
          <w:sz w:val="24"/>
          <w:szCs w:val="16"/>
          <w:vertAlign w:val="superscript"/>
        </w:rPr>
        <w:t xml:space="preserve"> </w:t>
      </w:r>
      <w:r w:rsidRPr="00077BD1">
        <w:rPr>
          <w:sz w:val="24"/>
          <w:szCs w:val="16"/>
          <w:vertAlign w:val="superscript"/>
        </w:rPr>
        <w:t>which</w:t>
      </w:r>
      <w:r w:rsidRPr="00077BD1">
        <w:rPr>
          <w:spacing w:val="15"/>
          <w:sz w:val="24"/>
          <w:szCs w:val="16"/>
          <w:vertAlign w:val="superscript"/>
        </w:rPr>
        <w:t xml:space="preserve"> </w:t>
      </w:r>
      <w:r w:rsidRPr="00077BD1">
        <w:rPr>
          <w:sz w:val="24"/>
          <w:szCs w:val="16"/>
          <w:vertAlign w:val="superscript"/>
        </w:rPr>
        <w:t>they</w:t>
      </w:r>
      <w:r w:rsidRPr="00077BD1">
        <w:rPr>
          <w:spacing w:val="15"/>
          <w:sz w:val="24"/>
          <w:szCs w:val="16"/>
          <w:vertAlign w:val="superscript"/>
        </w:rPr>
        <w:t xml:space="preserve"> </w:t>
      </w:r>
      <w:r w:rsidRPr="00077BD1">
        <w:rPr>
          <w:sz w:val="24"/>
          <w:szCs w:val="16"/>
          <w:vertAlign w:val="superscript"/>
        </w:rPr>
        <w:t>were</w:t>
      </w:r>
      <w:r w:rsidRPr="00077BD1">
        <w:rPr>
          <w:spacing w:val="15"/>
          <w:sz w:val="24"/>
          <w:szCs w:val="16"/>
          <w:vertAlign w:val="superscript"/>
        </w:rPr>
        <w:t xml:space="preserve"> </w:t>
      </w:r>
      <w:r w:rsidRPr="00077BD1">
        <w:rPr>
          <w:sz w:val="24"/>
          <w:szCs w:val="16"/>
          <w:vertAlign w:val="superscript"/>
        </w:rPr>
        <w:t>petitioned</w:t>
      </w:r>
      <w:r w:rsidRPr="00077BD1">
        <w:rPr>
          <w:spacing w:val="14"/>
          <w:sz w:val="24"/>
          <w:szCs w:val="16"/>
          <w:vertAlign w:val="superscript"/>
        </w:rPr>
        <w:t xml:space="preserve"> </w:t>
      </w:r>
      <w:r w:rsidRPr="00077BD1">
        <w:rPr>
          <w:sz w:val="24"/>
          <w:szCs w:val="16"/>
          <w:vertAlign w:val="superscript"/>
        </w:rPr>
        <w:t>in</w:t>
      </w:r>
      <w:r w:rsidRPr="00077BD1">
        <w:rPr>
          <w:spacing w:val="16"/>
          <w:sz w:val="24"/>
          <w:szCs w:val="16"/>
          <w:vertAlign w:val="superscript"/>
        </w:rPr>
        <w:t xml:space="preserve"> </w:t>
      </w:r>
      <w:r w:rsidRPr="00077BD1">
        <w:rPr>
          <w:sz w:val="24"/>
          <w:szCs w:val="16"/>
          <w:vertAlign w:val="superscript"/>
        </w:rPr>
        <w:t>cheminformatics</w:t>
      </w:r>
      <w:r w:rsidRPr="00077BD1">
        <w:rPr>
          <w:spacing w:val="16"/>
          <w:sz w:val="24"/>
          <w:szCs w:val="16"/>
          <w:vertAlign w:val="superscript"/>
        </w:rPr>
        <w:t xml:space="preserve"> </w:t>
      </w:r>
      <w:r w:rsidRPr="00077BD1">
        <w:rPr>
          <w:sz w:val="24"/>
          <w:szCs w:val="16"/>
          <w:vertAlign w:val="superscript"/>
        </w:rPr>
        <w:t>system.</w:t>
      </w:r>
      <w:r w:rsidRPr="00077BD1">
        <w:rPr>
          <w:spacing w:val="15"/>
          <w:sz w:val="24"/>
          <w:szCs w:val="16"/>
          <w:vertAlign w:val="superscript"/>
        </w:rPr>
        <w:t xml:space="preserve"> </w:t>
      </w:r>
      <w:r w:rsidRPr="00077BD1">
        <w:rPr>
          <w:sz w:val="24"/>
          <w:szCs w:val="16"/>
          <w:vertAlign w:val="superscript"/>
        </w:rPr>
        <w:t>In</w:t>
      </w:r>
      <w:r w:rsidRPr="00077BD1">
        <w:rPr>
          <w:spacing w:val="16"/>
          <w:sz w:val="24"/>
          <w:szCs w:val="16"/>
          <w:vertAlign w:val="superscript"/>
        </w:rPr>
        <w:t xml:space="preserve"> </w:t>
      </w:r>
      <w:r w:rsidRPr="00077BD1">
        <w:rPr>
          <w:sz w:val="24"/>
          <w:szCs w:val="16"/>
          <w:vertAlign w:val="superscript"/>
        </w:rPr>
        <w:t>cheminformatics</w:t>
      </w:r>
      <w:r w:rsidRPr="00077BD1">
        <w:rPr>
          <w:spacing w:val="16"/>
          <w:sz w:val="24"/>
          <w:szCs w:val="16"/>
          <w:vertAlign w:val="superscript"/>
        </w:rPr>
        <w:t xml:space="preserve"> </w:t>
      </w:r>
      <w:r w:rsidRPr="00077BD1">
        <w:rPr>
          <w:sz w:val="24"/>
          <w:szCs w:val="16"/>
          <w:vertAlign w:val="superscript"/>
        </w:rPr>
        <w:t>the</w:t>
      </w:r>
      <w:r w:rsidRPr="00077BD1">
        <w:rPr>
          <w:spacing w:val="14"/>
          <w:sz w:val="24"/>
          <w:szCs w:val="16"/>
          <w:vertAlign w:val="superscript"/>
        </w:rPr>
        <w:t xml:space="preserve"> </w:t>
      </w:r>
      <w:r w:rsidRPr="00077BD1">
        <w:rPr>
          <w:sz w:val="24"/>
          <w:szCs w:val="16"/>
          <w:vertAlign w:val="superscript"/>
        </w:rPr>
        <w:t>abstraction</w:t>
      </w:r>
      <w:r w:rsidRPr="00077BD1">
        <w:rPr>
          <w:spacing w:val="1"/>
          <w:sz w:val="24"/>
          <w:szCs w:val="16"/>
          <w:vertAlign w:val="superscript"/>
        </w:rPr>
        <w:t xml:space="preserve"> </w:t>
      </w:r>
      <w:r w:rsidRPr="00077BD1">
        <w:rPr>
          <w:sz w:val="24"/>
          <w:szCs w:val="16"/>
          <w:vertAlign w:val="superscript"/>
        </w:rPr>
        <w:t>is performed to acquire knowledge about compound properties of CDs.</w:t>
      </w:r>
      <w:r w:rsidR="009F0FA2" w:rsidRPr="00077BD1">
        <w:rPr>
          <w:sz w:val="24"/>
          <w:szCs w:val="16"/>
          <w:vertAlign w:val="superscript"/>
        </w:rPr>
        <w:t xml:space="preserve"> The formation of Inclusion complex of beta-CD and </w:t>
      </w:r>
      <w:r w:rsidR="001B222B" w:rsidRPr="00077BD1">
        <w:rPr>
          <w:sz w:val="24"/>
          <w:szCs w:val="16"/>
          <w:vertAlign w:val="superscript"/>
        </w:rPr>
        <w:t>heterocycles</w:t>
      </w:r>
      <w:r w:rsidR="009F0FA2" w:rsidRPr="00077BD1">
        <w:rPr>
          <w:sz w:val="24"/>
          <w:szCs w:val="16"/>
          <w:vertAlign w:val="superscript"/>
        </w:rPr>
        <w:t xml:space="preserve"> can be further studied by phase solubility techniques were the stability constant and free energies of heterocyclic molecule from aqueous solution to the cavity of CDs can be calculated, Thermodynamic study</w:t>
      </w:r>
      <w:r w:rsidR="000F6E8C" w:rsidRPr="00077BD1">
        <w:rPr>
          <w:sz w:val="24"/>
          <w:szCs w:val="16"/>
          <w:vertAlign w:val="superscript"/>
        </w:rPr>
        <w:t>(∆G,∆H,∆S)</w:t>
      </w:r>
      <w:r w:rsidR="009F0FA2" w:rsidRPr="00077BD1">
        <w:rPr>
          <w:sz w:val="24"/>
          <w:szCs w:val="16"/>
          <w:vertAlign w:val="superscript"/>
        </w:rPr>
        <w:t xml:space="preserve"> , QSAR, and computational analysis(Molecular docking).</w:t>
      </w:r>
      <w:r w:rsidR="00AD78E6" w:rsidRPr="00077BD1">
        <w:rPr>
          <w:sz w:val="24"/>
          <w:szCs w:val="16"/>
          <w:vertAlign w:val="superscript"/>
        </w:rPr>
        <w:t xml:space="preserve"> Computational analysis has been widely used for predicting binding constant and studying driving forces.</w:t>
      </w:r>
      <w:r w:rsidR="004006D2" w:rsidRPr="00077BD1">
        <w:rPr>
          <w:sz w:val="24"/>
          <w:szCs w:val="16"/>
          <w:vertAlign w:val="superscript"/>
        </w:rPr>
        <w:t xml:space="preserve"> </w:t>
      </w:r>
      <w:r w:rsidRPr="00077BD1">
        <w:rPr>
          <w:spacing w:val="4"/>
          <w:sz w:val="24"/>
          <w:szCs w:val="16"/>
          <w:vertAlign w:val="superscript"/>
        </w:rPr>
        <w:t xml:space="preserve"> </w:t>
      </w:r>
      <w:r w:rsidRPr="00077BD1">
        <w:rPr>
          <w:sz w:val="24"/>
          <w:szCs w:val="16"/>
          <w:vertAlign w:val="superscript"/>
        </w:rPr>
        <w:t>Cheminformatics</w:t>
      </w:r>
      <w:r w:rsidRPr="00077BD1">
        <w:rPr>
          <w:spacing w:val="7"/>
          <w:sz w:val="24"/>
          <w:szCs w:val="16"/>
          <w:vertAlign w:val="superscript"/>
        </w:rPr>
        <w:t xml:space="preserve"> </w:t>
      </w:r>
      <w:r w:rsidRPr="00077BD1">
        <w:rPr>
          <w:sz w:val="24"/>
          <w:szCs w:val="16"/>
          <w:vertAlign w:val="superscript"/>
        </w:rPr>
        <w:t>techniques</w:t>
      </w:r>
      <w:r w:rsidRPr="00077BD1">
        <w:rPr>
          <w:spacing w:val="6"/>
          <w:sz w:val="24"/>
          <w:szCs w:val="16"/>
          <w:vertAlign w:val="superscript"/>
        </w:rPr>
        <w:t xml:space="preserve"> </w:t>
      </w:r>
      <w:r w:rsidRPr="00077BD1">
        <w:rPr>
          <w:sz w:val="24"/>
          <w:szCs w:val="16"/>
          <w:vertAlign w:val="superscript"/>
        </w:rPr>
        <w:t>were</w:t>
      </w:r>
      <w:r w:rsidRPr="00077BD1">
        <w:rPr>
          <w:spacing w:val="6"/>
          <w:sz w:val="24"/>
          <w:szCs w:val="16"/>
          <w:vertAlign w:val="superscript"/>
        </w:rPr>
        <w:t xml:space="preserve"> </w:t>
      </w:r>
      <w:r w:rsidRPr="00077BD1">
        <w:rPr>
          <w:sz w:val="24"/>
          <w:szCs w:val="16"/>
          <w:vertAlign w:val="superscript"/>
        </w:rPr>
        <w:t>initially</w:t>
      </w:r>
      <w:r w:rsidRPr="00077BD1">
        <w:rPr>
          <w:spacing w:val="4"/>
          <w:sz w:val="24"/>
          <w:szCs w:val="16"/>
          <w:vertAlign w:val="superscript"/>
        </w:rPr>
        <w:t xml:space="preserve"> </w:t>
      </w:r>
      <w:r w:rsidRPr="00077BD1">
        <w:rPr>
          <w:sz w:val="24"/>
          <w:szCs w:val="16"/>
          <w:vertAlign w:val="superscript"/>
        </w:rPr>
        <w:t>developed</w:t>
      </w:r>
      <w:r w:rsidR="009F0FA2" w:rsidRPr="00077BD1">
        <w:rPr>
          <w:sz w:val="24"/>
          <w:szCs w:val="16"/>
          <w:vertAlign w:val="superscript"/>
        </w:rPr>
        <w:t xml:space="preserve"> </w:t>
      </w:r>
      <w:r w:rsidRPr="00077BD1">
        <w:rPr>
          <w:spacing w:val="-56"/>
          <w:sz w:val="24"/>
          <w:szCs w:val="16"/>
          <w:vertAlign w:val="superscript"/>
        </w:rPr>
        <w:t xml:space="preserve"> </w:t>
      </w:r>
      <w:r w:rsidR="009F0FA2" w:rsidRPr="00077BD1">
        <w:rPr>
          <w:spacing w:val="-56"/>
          <w:sz w:val="24"/>
          <w:szCs w:val="16"/>
          <w:vertAlign w:val="superscript"/>
        </w:rPr>
        <w:t xml:space="preserve"> </w:t>
      </w:r>
      <w:r w:rsidRPr="00077BD1">
        <w:rPr>
          <w:sz w:val="24"/>
          <w:szCs w:val="16"/>
          <w:vertAlign w:val="superscript"/>
        </w:rPr>
        <w:t>for the construction</w:t>
      </w:r>
      <w:r w:rsidRPr="00077BD1">
        <w:rPr>
          <w:spacing w:val="1"/>
          <w:sz w:val="24"/>
          <w:szCs w:val="16"/>
          <w:vertAlign w:val="superscript"/>
        </w:rPr>
        <w:t xml:space="preserve"> </w:t>
      </w:r>
      <w:r w:rsidRPr="00077BD1">
        <w:rPr>
          <w:sz w:val="24"/>
          <w:szCs w:val="16"/>
          <w:vertAlign w:val="superscript"/>
        </w:rPr>
        <w:t>&amp;</w:t>
      </w:r>
      <w:r w:rsidRPr="00077BD1">
        <w:rPr>
          <w:spacing w:val="-1"/>
          <w:sz w:val="24"/>
          <w:szCs w:val="16"/>
          <w:vertAlign w:val="superscript"/>
        </w:rPr>
        <w:t xml:space="preserve"> </w:t>
      </w:r>
      <w:r w:rsidRPr="00077BD1">
        <w:rPr>
          <w:sz w:val="24"/>
          <w:szCs w:val="16"/>
          <w:vertAlign w:val="superscript"/>
        </w:rPr>
        <w:t>penetrating</w:t>
      </w:r>
      <w:r w:rsidRPr="00077BD1">
        <w:rPr>
          <w:spacing w:val="-1"/>
          <w:sz w:val="24"/>
          <w:szCs w:val="16"/>
          <w:vertAlign w:val="superscript"/>
        </w:rPr>
        <w:t xml:space="preserve"> </w:t>
      </w:r>
      <w:r w:rsidRPr="00077BD1">
        <w:rPr>
          <w:sz w:val="24"/>
          <w:szCs w:val="16"/>
          <w:vertAlign w:val="superscript"/>
        </w:rPr>
        <w:t>huge achievement</w:t>
      </w:r>
      <w:r w:rsidRPr="00077BD1">
        <w:rPr>
          <w:spacing w:val="1"/>
          <w:sz w:val="24"/>
          <w:szCs w:val="16"/>
          <w:vertAlign w:val="superscript"/>
        </w:rPr>
        <w:t xml:space="preserve"> </w:t>
      </w:r>
      <w:r w:rsidRPr="00077BD1">
        <w:rPr>
          <w:sz w:val="24"/>
          <w:szCs w:val="16"/>
          <w:vertAlign w:val="superscript"/>
        </w:rPr>
        <w:t>of</w:t>
      </w:r>
      <w:r w:rsidRPr="00077BD1">
        <w:rPr>
          <w:spacing w:val="2"/>
          <w:sz w:val="24"/>
          <w:szCs w:val="16"/>
          <w:vertAlign w:val="superscript"/>
        </w:rPr>
        <w:t xml:space="preserve"> </w:t>
      </w:r>
      <w:r w:rsidRPr="00077BD1">
        <w:rPr>
          <w:sz w:val="24"/>
          <w:szCs w:val="16"/>
          <w:vertAlign w:val="superscript"/>
        </w:rPr>
        <w:t>chemical structure but</w:t>
      </w:r>
      <w:r w:rsidRPr="00077BD1">
        <w:rPr>
          <w:spacing w:val="2"/>
          <w:sz w:val="24"/>
          <w:szCs w:val="16"/>
          <w:vertAlign w:val="superscript"/>
        </w:rPr>
        <w:t xml:space="preserve"> </w:t>
      </w:r>
      <w:r w:rsidRPr="00077BD1">
        <w:rPr>
          <w:sz w:val="24"/>
          <w:szCs w:val="16"/>
          <w:vertAlign w:val="superscript"/>
        </w:rPr>
        <w:t>they</w:t>
      </w:r>
      <w:r w:rsidRPr="00077BD1">
        <w:rPr>
          <w:spacing w:val="-1"/>
          <w:sz w:val="24"/>
          <w:szCs w:val="16"/>
          <w:vertAlign w:val="superscript"/>
        </w:rPr>
        <w:t xml:space="preserve"> </w:t>
      </w:r>
      <w:r w:rsidRPr="00077BD1">
        <w:rPr>
          <w:sz w:val="24"/>
          <w:szCs w:val="16"/>
          <w:vertAlign w:val="superscript"/>
        </w:rPr>
        <w:t>were</w:t>
      </w:r>
      <w:r w:rsidRPr="00077BD1">
        <w:rPr>
          <w:spacing w:val="1"/>
          <w:sz w:val="24"/>
          <w:szCs w:val="16"/>
          <w:vertAlign w:val="superscript"/>
        </w:rPr>
        <w:t xml:space="preserve"> </w:t>
      </w:r>
      <w:r w:rsidRPr="00077BD1">
        <w:rPr>
          <w:sz w:val="24"/>
          <w:szCs w:val="16"/>
          <w:vertAlign w:val="superscript"/>
        </w:rPr>
        <w:t>soon</w:t>
      </w:r>
      <w:r w:rsidRPr="00077BD1">
        <w:rPr>
          <w:spacing w:val="1"/>
          <w:sz w:val="24"/>
          <w:szCs w:val="16"/>
          <w:vertAlign w:val="superscript"/>
        </w:rPr>
        <w:t xml:space="preserve"> </w:t>
      </w:r>
      <w:r w:rsidRPr="00077BD1">
        <w:rPr>
          <w:sz w:val="24"/>
          <w:szCs w:val="16"/>
          <w:vertAlign w:val="superscript"/>
        </w:rPr>
        <w:t>applied to</w:t>
      </w:r>
      <w:r w:rsidRPr="00077BD1">
        <w:rPr>
          <w:spacing w:val="1"/>
          <w:sz w:val="24"/>
          <w:szCs w:val="16"/>
          <w:vertAlign w:val="superscript"/>
        </w:rPr>
        <w:t xml:space="preserve"> </w:t>
      </w:r>
      <w:r w:rsidRPr="00077BD1">
        <w:rPr>
          <w:sz w:val="24"/>
          <w:szCs w:val="16"/>
          <w:vertAlign w:val="superscript"/>
        </w:rPr>
        <w:t>complication</w:t>
      </w:r>
      <w:r w:rsidRPr="00077BD1">
        <w:rPr>
          <w:spacing w:val="1"/>
          <w:sz w:val="24"/>
          <w:szCs w:val="16"/>
          <w:vertAlign w:val="superscript"/>
        </w:rPr>
        <w:t xml:space="preserve"> </w:t>
      </w:r>
      <w:r w:rsidRPr="00077BD1">
        <w:rPr>
          <w:sz w:val="24"/>
          <w:szCs w:val="16"/>
          <w:vertAlign w:val="superscript"/>
        </w:rPr>
        <w:t>in</w:t>
      </w:r>
      <w:r w:rsidRPr="00077BD1">
        <w:rPr>
          <w:spacing w:val="1"/>
          <w:sz w:val="24"/>
          <w:szCs w:val="16"/>
          <w:vertAlign w:val="superscript"/>
        </w:rPr>
        <w:t xml:space="preserve"> </w:t>
      </w:r>
      <w:r w:rsidRPr="00077BD1">
        <w:rPr>
          <w:sz w:val="24"/>
          <w:szCs w:val="16"/>
          <w:vertAlign w:val="superscript"/>
        </w:rPr>
        <w:t>drug discovery</w:t>
      </w:r>
      <w:r w:rsidRPr="00077BD1">
        <w:rPr>
          <w:spacing w:val="1"/>
          <w:sz w:val="24"/>
          <w:szCs w:val="16"/>
          <w:vertAlign w:val="superscript"/>
        </w:rPr>
        <w:t xml:space="preserve"> </w:t>
      </w:r>
      <w:r w:rsidRPr="00077BD1">
        <w:rPr>
          <w:sz w:val="24"/>
          <w:szCs w:val="16"/>
          <w:vertAlign w:val="superscript"/>
        </w:rPr>
        <w:t>and are</w:t>
      </w:r>
      <w:r w:rsidRPr="00077BD1">
        <w:rPr>
          <w:spacing w:val="1"/>
          <w:sz w:val="24"/>
          <w:szCs w:val="16"/>
          <w:vertAlign w:val="superscript"/>
        </w:rPr>
        <w:t xml:space="preserve"> </w:t>
      </w:r>
      <w:r w:rsidRPr="00077BD1">
        <w:rPr>
          <w:sz w:val="24"/>
          <w:szCs w:val="16"/>
          <w:vertAlign w:val="superscript"/>
        </w:rPr>
        <w:t>now</w:t>
      </w:r>
      <w:r w:rsidRPr="00077BD1">
        <w:rPr>
          <w:spacing w:val="1"/>
          <w:sz w:val="24"/>
          <w:szCs w:val="16"/>
          <w:vertAlign w:val="superscript"/>
        </w:rPr>
        <w:t xml:space="preserve"> </w:t>
      </w:r>
      <w:r w:rsidRPr="00077BD1">
        <w:rPr>
          <w:sz w:val="24"/>
          <w:szCs w:val="16"/>
          <w:vertAlign w:val="superscript"/>
        </w:rPr>
        <w:t>playing</w:t>
      </w:r>
      <w:r w:rsidRPr="00077BD1">
        <w:rPr>
          <w:spacing w:val="1"/>
          <w:sz w:val="24"/>
          <w:szCs w:val="16"/>
          <w:vertAlign w:val="superscript"/>
        </w:rPr>
        <w:t xml:space="preserve"> </w:t>
      </w:r>
      <w:r w:rsidRPr="00077BD1">
        <w:rPr>
          <w:sz w:val="24"/>
          <w:szCs w:val="16"/>
          <w:vertAlign w:val="superscript"/>
        </w:rPr>
        <w:t>an</w:t>
      </w:r>
      <w:r w:rsidRPr="00077BD1">
        <w:rPr>
          <w:spacing w:val="1"/>
          <w:sz w:val="24"/>
          <w:szCs w:val="16"/>
          <w:vertAlign w:val="superscript"/>
        </w:rPr>
        <w:t xml:space="preserve"> </w:t>
      </w:r>
      <w:r w:rsidRPr="00077BD1">
        <w:rPr>
          <w:sz w:val="24"/>
          <w:szCs w:val="16"/>
          <w:vertAlign w:val="superscript"/>
        </w:rPr>
        <w:t>increasingly</w:t>
      </w:r>
      <w:r w:rsidRPr="00077BD1">
        <w:rPr>
          <w:spacing w:val="1"/>
          <w:sz w:val="24"/>
          <w:szCs w:val="16"/>
          <w:vertAlign w:val="superscript"/>
        </w:rPr>
        <w:t xml:space="preserve"> </w:t>
      </w:r>
      <w:r w:rsidRPr="00077BD1">
        <w:rPr>
          <w:w w:val="105"/>
          <w:sz w:val="24"/>
          <w:szCs w:val="16"/>
          <w:vertAlign w:val="superscript"/>
        </w:rPr>
        <w:t>important</w:t>
      </w:r>
      <w:r w:rsidRPr="00077BD1">
        <w:rPr>
          <w:spacing w:val="-9"/>
          <w:w w:val="105"/>
          <w:sz w:val="24"/>
          <w:szCs w:val="16"/>
          <w:vertAlign w:val="superscript"/>
        </w:rPr>
        <w:t xml:space="preserve"> </w:t>
      </w:r>
      <w:r w:rsidRPr="00077BD1">
        <w:rPr>
          <w:w w:val="105"/>
          <w:sz w:val="24"/>
          <w:szCs w:val="16"/>
          <w:vertAlign w:val="superscript"/>
        </w:rPr>
        <w:t>role</w:t>
      </w:r>
      <w:r w:rsidRPr="00077BD1">
        <w:rPr>
          <w:spacing w:val="-9"/>
          <w:w w:val="105"/>
          <w:sz w:val="24"/>
          <w:szCs w:val="16"/>
          <w:vertAlign w:val="superscript"/>
        </w:rPr>
        <w:t xml:space="preserve"> </w:t>
      </w:r>
      <w:r w:rsidRPr="00077BD1">
        <w:rPr>
          <w:w w:val="105"/>
          <w:sz w:val="24"/>
          <w:szCs w:val="16"/>
          <w:vertAlign w:val="superscript"/>
        </w:rPr>
        <w:t>in</w:t>
      </w:r>
      <w:r w:rsidRPr="00077BD1">
        <w:rPr>
          <w:spacing w:val="-9"/>
          <w:w w:val="105"/>
          <w:sz w:val="24"/>
          <w:szCs w:val="16"/>
          <w:vertAlign w:val="superscript"/>
        </w:rPr>
        <w:t xml:space="preserve"> </w:t>
      </w:r>
      <w:r w:rsidRPr="00077BD1">
        <w:rPr>
          <w:w w:val="105"/>
          <w:sz w:val="24"/>
          <w:szCs w:val="16"/>
          <w:vertAlign w:val="superscript"/>
        </w:rPr>
        <w:t>many</w:t>
      </w:r>
      <w:r w:rsidRPr="00077BD1">
        <w:rPr>
          <w:spacing w:val="-10"/>
          <w:w w:val="105"/>
          <w:sz w:val="24"/>
          <w:szCs w:val="16"/>
          <w:vertAlign w:val="superscript"/>
        </w:rPr>
        <w:t xml:space="preserve"> </w:t>
      </w:r>
      <w:r w:rsidRPr="00077BD1">
        <w:rPr>
          <w:w w:val="105"/>
          <w:sz w:val="24"/>
          <w:szCs w:val="16"/>
          <w:vertAlign w:val="superscript"/>
        </w:rPr>
        <w:t>additional</w:t>
      </w:r>
      <w:r w:rsidRPr="00077BD1">
        <w:rPr>
          <w:spacing w:val="-9"/>
          <w:w w:val="105"/>
          <w:sz w:val="24"/>
          <w:szCs w:val="16"/>
          <w:vertAlign w:val="superscript"/>
        </w:rPr>
        <w:t xml:space="preserve"> </w:t>
      </w:r>
      <w:r w:rsidRPr="00077BD1">
        <w:rPr>
          <w:w w:val="105"/>
          <w:sz w:val="24"/>
          <w:szCs w:val="16"/>
          <w:vertAlign w:val="superscript"/>
        </w:rPr>
        <w:t>zone</w:t>
      </w:r>
      <w:r w:rsidRPr="00077BD1">
        <w:rPr>
          <w:spacing w:val="-9"/>
          <w:w w:val="105"/>
          <w:sz w:val="24"/>
          <w:szCs w:val="16"/>
          <w:vertAlign w:val="superscript"/>
        </w:rPr>
        <w:t xml:space="preserve"> </w:t>
      </w:r>
      <w:r w:rsidRPr="00077BD1">
        <w:rPr>
          <w:w w:val="105"/>
          <w:sz w:val="24"/>
          <w:szCs w:val="16"/>
          <w:vertAlign w:val="superscript"/>
        </w:rPr>
        <w:t>of</w:t>
      </w:r>
      <w:r w:rsidRPr="00077BD1">
        <w:rPr>
          <w:spacing w:val="-8"/>
          <w:w w:val="105"/>
          <w:sz w:val="24"/>
          <w:szCs w:val="16"/>
          <w:vertAlign w:val="superscript"/>
        </w:rPr>
        <w:t xml:space="preserve"> </w:t>
      </w:r>
      <w:r w:rsidRPr="00077BD1">
        <w:rPr>
          <w:w w:val="105"/>
          <w:sz w:val="24"/>
          <w:szCs w:val="16"/>
          <w:vertAlign w:val="superscript"/>
        </w:rPr>
        <w:t>chemistry.</w:t>
      </w:r>
      <w:r w:rsidR="009117D6" w:rsidRPr="00077BD1">
        <w:rPr>
          <w:w w:val="105"/>
          <w:sz w:val="24"/>
          <w:szCs w:val="16"/>
          <w:vertAlign w:val="superscript"/>
        </w:rPr>
        <w:t xml:space="preserve"> This article is the short </w:t>
      </w:r>
      <w:r w:rsidR="00FA1A4A" w:rsidRPr="00077BD1">
        <w:rPr>
          <w:w w:val="105"/>
          <w:sz w:val="24"/>
          <w:szCs w:val="16"/>
          <w:vertAlign w:val="superscript"/>
        </w:rPr>
        <w:t>review, includes the applications of Inclusion complex of Cyclodextrin-Heterocycles and their combinatorial chemistry.</w:t>
      </w:r>
      <w:r w:rsidR="005B3F11" w:rsidRPr="00077BD1">
        <w:rPr>
          <w:rFonts w:ascii="Georgia" w:hAnsi="Georgia"/>
          <w:color w:val="2E2E2E"/>
          <w:sz w:val="24"/>
          <w:szCs w:val="16"/>
          <w:vertAlign w:val="superscript"/>
        </w:rPr>
        <w:t xml:space="preserve"> </w:t>
      </w:r>
    </w:p>
    <w:p w:rsidR="00FA1A4A" w:rsidRPr="00077BD1" w:rsidRDefault="00FA1A4A">
      <w:pPr>
        <w:rPr>
          <w:b/>
        </w:rPr>
      </w:pPr>
    </w:p>
    <w:p w:rsidR="00825433" w:rsidRDefault="00FA1A4A">
      <w:pPr>
        <w:rPr>
          <w:b/>
        </w:rPr>
      </w:pPr>
      <w:r>
        <w:rPr>
          <w:b/>
        </w:rPr>
        <w:t>Graphical abstract:</w:t>
      </w:r>
    </w:p>
    <w:p w:rsidR="00FA1A4A" w:rsidRDefault="00FA1A4A">
      <w:pPr>
        <w:rPr>
          <w:b/>
        </w:rPr>
      </w:pPr>
    </w:p>
    <w:p w:rsidR="00F876D4" w:rsidRDefault="00F876D4">
      <w:pPr>
        <w:rPr>
          <w:b/>
        </w:rPr>
      </w:pPr>
      <w:r w:rsidRPr="00F876D4">
        <w:rPr>
          <w:b/>
          <w:noProof/>
        </w:rPr>
        <w:lastRenderedPageBreak/>
        <w:drawing>
          <wp:inline distT="0" distB="0" distL="0" distR="0">
            <wp:extent cx="5732145" cy="2712358"/>
            <wp:effectExtent l="1905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586951" cy="5482747"/>
                      <a:chOff x="286602" y="209105"/>
                      <a:chExt cx="11586951" cy="5482747"/>
                    </a:xfrm>
                  </a:grpSpPr>
                  <a:sp>
                    <a:nvSpPr>
                      <a:cNvPr id="14" name="TextBox 13"/>
                      <a:cNvSpPr txBox="1"/>
                    </a:nvSpPr>
                    <a:spPr>
                      <a:xfrm>
                        <a:off x="448622" y="4167638"/>
                        <a:ext cx="18420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rgbClr val="FF0000"/>
                              </a:solidFill>
                              <a:effectLst>
                                <a:outerShdw blurRad="50800" dist="38100" dir="10800000" algn="r" rotWithShape="0">
                                  <a:prstClr val="black">
                                    <a:alpha val="40000"/>
                                  </a:prstClr>
                                </a:outerShdw>
                              </a:effectLst>
                            </a:rPr>
                            <a:t>Beta-Cyclodextrin</a:t>
                          </a:r>
                          <a:endParaRPr lang="en-US" dirty="0">
                            <a:solidFill>
                              <a:srgbClr val="FF0000"/>
                            </a:solidFill>
                            <a:effectLst>
                              <a:outerShdw blurRad="50800" dist="38100" dir="10800000" algn="r" rotWithShape="0">
                                <a:prstClr val="black">
                                  <a:alpha val="40000"/>
                                </a:prstClr>
                              </a:outerShdw>
                            </a:effectLst>
                          </a:endParaRPr>
                        </a:p>
                      </a:txBody>
                      <a:useSpRect/>
                    </a:txSp>
                  </a:sp>
                  <a:pic>
                    <a:nvPicPr>
                      <a:cNvPr id="1028" name="Picture 4"/>
                      <a:cNvPicPr>
                        <a:picLocks noChangeAspect="1" noChangeArrowheads="1"/>
                      </a:cNvPicPr>
                    </a:nvPicPr>
                    <a:blipFill>
                      <a:blip r:embed="rId8"/>
                      <a:srcRect/>
                      <a:stretch>
                        <a:fillRect/>
                      </a:stretch>
                    </a:blipFill>
                    <a:spPr bwMode="auto">
                      <a:xfrm rot="16200000">
                        <a:off x="7779230" y="1665024"/>
                        <a:ext cx="3002506" cy="2538485"/>
                      </a:xfrm>
                      <a:prstGeom prst="rect">
                        <a:avLst/>
                      </a:prstGeom>
                      <a:noFill/>
                      <a:ln w="9525">
                        <a:noFill/>
                        <a:miter lim="800000"/>
                        <a:headEnd/>
                        <a:tailEnd/>
                      </a:ln>
                      <a:effectLst/>
                    </a:spPr>
                  </a:pic>
                  <a:pic>
                    <a:nvPicPr>
                      <a:cNvPr id="1029" name="Picture 5"/>
                      <a:cNvPicPr>
                        <a:picLocks noChangeAspect="1" noChangeArrowheads="1"/>
                      </a:cNvPicPr>
                    </a:nvPicPr>
                    <a:blipFill>
                      <a:blip r:embed="rId9"/>
                      <a:srcRect/>
                      <a:stretch>
                        <a:fillRect/>
                      </a:stretch>
                    </a:blipFill>
                    <a:spPr bwMode="auto">
                      <a:xfrm rot="16200000">
                        <a:off x="10297" y="1803322"/>
                        <a:ext cx="2689752" cy="2137142"/>
                      </a:xfrm>
                      <a:prstGeom prst="rect">
                        <a:avLst/>
                      </a:prstGeom>
                      <a:noFill/>
                      <a:ln w="9525">
                        <a:noFill/>
                        <a:miter lim="800000"/>
                        <a:headEnd/>
                        <a:tailEnd/>
                      </a:ln>
                      <a:effectLst/>
                    </a:spPr>
                  </a:pic>
                  <a:pic>
                    <a:nvPicPr>
                      <a:cNvPr id="0" name="Object 2"/>
                      <a:cNvPicPr>
                        <a:picLocks noChangeAspect="1" noChangeArrowheads="1"/>
                      </a:cNvPicPr>
                    </a:nvPicPr>
                    <a:blipFill>
                      <a:blip r:embed="rId10"/>
                      <a:srcRect/>
                      <a:stretch>
                        <a:fillRect/>
                      </a:stretch>
                    </a:blipFill>
                    <a:spPr bwMode="auto">
                      <a:xfrm>
                        <a:off x="2768600" y="1606550"/>
                        <a:ext cx="2508250" cy="2286000"/>
                      </a:xfrm>
                      <a:prstGeom prst="rect">
                        <a:avLst/>
                      </a:prstGeom>
                      <a:noFill/>
                      <a:ln w="9525">
                        <a:miter lim="800000"/>
                        <a:headEnd/>
                        <a:tailEnd/>
                      </a:ln>
                      <a:effectLst/>
                    </a:spPr>
                  </a:pic>
                  <a:sp>
                    <a:nvSpPr>
                      <a:cNvPr id="12" name="Curved Down Arrow 11"/>
                      <a:cNvSpPr/>
                    </a:nvSpPr>
                    <a:spPr>
                      <a:xfrm flipH="1">
                        <a:off x="1556624" y="1023386"/>
                        <a:ext cx="2024743" cy="849086"/>
                      </a:xfrm>
                      <a:prstGeom prst="curved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TextBox 14"/>
                      <a:cNvSpPr txBox="1"/>
                    </a:nvSpPr>
                    <a:spPr>
                      <a:xfrm>
                        <a:off x="3155168" y="4185379"/>
                        <a:ext cx="161012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rgbClr val="FF0000"/>
                              </a:solidFill>
                              <a:effectLst>
                                <a:outerShdw blurRad="50800" dist="38100" dir="16200000" rotWithShape="0">
                                  <a:prstClr val="black">
                                    <a:alpha val="40000"/>
                                  </a:prstClr>
                                </a:outerShdw>
                              </a:effectLst>
                            </a:rPr>
                            <a:t>N-methyl isatin</a:t>
                          </a:r>
                          <a:endParaRPr lang="en-US" dirty="0">
                            <a:solidFill>
                              <a:srgbClr val="FF0000"/>
                            </a:solidFill>
                            <a:effectLst>
                              <a:outerShdw blurRad="50800" dist="38100" dir="16200000" rotWithShape="0">
                                <a:prstClr val="black">
                                  <a:alpha val="40000"/>
                                </a:prstClr>
                              </a:outerShdw>
                            </a:effectLst>
                          </a:endParaRPr>
                        </a:p>
                      </a:txBody>
                      <a:useSpRect/>
                    </a:txSp>
                  </a:sp>
                  <a:sp>
                    <a:nvSpPr>
                      <a:cNvPr id="17" name="TextBox 16"/>
                      <a:cNvSpPr txBox="1"/>
                    </a:nvSpPr>
                    <a:spPr>
                      <a:xfrm>
                        <a:off x="7995833" y="4415052"/>
                        <a:ext cx="1916935"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rgbClr val="FF0000"/>
                              </a:solidFill>
                              <a:effectLst>
                                <a:outerShdw blurRad="63500" sx="102000" sy="102000" algn="ctr" rotWithShape="0">
                                  <a:prstClr val="black">
                                    <a:alpha val="40000"/>
                                  </a:prstClr>
                                </a:outerShdw>
                              </a:effectLst>
                            </a:rPr>
                            <a:t>Inclusion complex </a:t>
                          </a:r>
                          <a:endParaRPr lang="en-US" dirty="0">
                            <a:solidFill>
                              <a:srgbClr val="FF0000"/>
                            </a:solidFill>
                            <a:effectLst>
                              <a:outerShdw blurRad="63500" sx="102000" sy="102000" algn="ctr" rotWithShape="0">
                                <a:prstClr val="black">
                                  <a:alpha val="40000"/>
                                </a:prstClr>
                              </a:outerShdw>
                            </a:effectLst>
                          </a:endParaRPr>
                        </a:p>
                      </a:txBody>
                      <a:useSpRect/>
                    </a:txSp>
                  </a:sp>
                  <a:pic>
                    <a:nvPicPr>
                      <a:cNvPr id="10" name="Picture 14" descr="Textile industry gives thumbs up to budget 2020-21"/>
                      <a:cNvPicPr>
                        <a:picLocks noChangeAspect="1" noChangeArrowheads="1"/>
                      </a:cNvPicPr>
                    </a:nvPicPr>
                    <a:blipFill>
                      <a:blip r:embed="rId11" cstate="print"/>
                      <a:srcRect/>
                      <a:stretch>
                        <a:fillRect/>
                      </a:stretch>
                    </a:blipFill>
                    <a:spPr bwMode="auto">
                      <a:xfrm>
                        <a:off x="6594623" y="1364774"/>
                        <a:ext cx="1443908" cy="126924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11" name="Picture 22" descr="globalEDGE Blog: The Pharmaceutical Industry &gt;&gt; globalEDGE: Your source for  Global Business Knowledge"/>
                      <a:cNvPicPr>
                        <a:picLocks noChangeAspect="1" noChangeArrowheads="1"/>
                      </a:cNvPicPr>
                    </a:nvPicPr>
                    <a:blipFill>
                      <a:blip r:embed="rId12" cstate="print"/>
                      <a:srcRect/>
                      <a:stretch>
                        <a:fillRect/>
                      </a:stretch>
                    </a:blipFill>
                    <a:spPr bwMode="auto">
                      <a:xfrm>
                        <a:off x="7820166" y="209105"/>
                        <a:ext cx="1301443" cy="12785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1039" name="Picture 15" descr="Colors Dyes for Lipstick and Cosmetics, Type Of Packaging: Bottle"/>
                      <a:cNvPicPr>
                        <a:picLocks noChangeAspect="1" noChangeArrowheads="1"/>
                      </a:cNvPicPr>
                    </a:nvPicPr>
                    <a:blipFill>
                      <a:blip r:embed="rId13" cstate="print"/>
                      <a:srcRect/>
                      <a:stretch>
                        <a:fillRect/>
                      </a:stretch>
                    </a:blipFill>
                    <a:spPr bwMode="auto">
                      <a:xfrm>
                        <a:off x="9376012" y="272954"/>
                        <a:ext cx="1364776" cy="124194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1041" name="Picture 17" descr="Introduction to the World of Food Tech - Shoolini University"/>
                      <a:cNvPicPr>
                        <a:picLocks noChangeAspect="1" noChangeArrowheads="1"/>
                      </a:cNvPicPr>
                    </a:nvPicPr>
                    <a:blipFill>
                      <a:blip r:embed="rId14" cstate="print"/>
                      <a:srcRect/>
                      <a:stretch>
                        <a:fillRect/>
                      </a:stretch>
                    </a:blipFill>
                    <a:spPr bwMode="auto">
                      <a:xfrm>
                        <a:off x="10645253" y="1269241"/>
                        <a:ext cx="1228300" cy="133748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1043" name="Picture 19" descr="How the small Indian farmer can turn the wheels of sustainable agriculture"/>
                      <a:cNvPicPr>
                        <a:picLocks noChangeAspect="1" noChangeArrowheads="1"/>
                      </a:cNvPicPr>
                    </a:nvPicPr>
                    <a:blipFill>
                      <a:blip r:embed="rId15"/>
                      <a:srcRect/>
                      <a:stretch>
                        <a:fillRect/>
                      </a:stretch>
                    </a:blipFill>
                    <a:spPr bwMode="auto">
                      <a:xfrm>
                        <a:off x="10590662" y="2866029"/>
                        <a:ext cx="1269243" cy="139207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sp>
                    <a:nvSpPr>
                      <a:cNvPr id="20" name="Curved Up Arrow 19"/>
                      <a:cNvSpPr/>
                    </a:nvSpPr>
                    <a:spPr>
                      <a:xfrm>
                        <a:off x="5036024" y="3794077"/>
                        <a:ext cx="3193576" cy="846161"/>
                      </a:xfrm>
                      <a:prstGeom prst="curvedUp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TextBox 20"/>
                      <a:cNvSpPr txBox="1"/>
                    </a:nvSpPr>
                    <a:spPr>
                      <a:xfrm>
                        <a:off x="5991367" y="4244454"/>
                        <a:ext cx="136422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rgbClr val="FF0000"/>
                              </a:solidFill>
                            </a:rPr>
                            <a:t>Applications</a:t>
                          </a:r>
                          <a:endParaRPr lang="en-US" b="1" dirty="0">
                            <a:solidFill>
                              <a:srgbClr val="FF0000"/>
                            </a:solidFill>
                          </a:endParaRPr>
                        </a:p>
                      </a:txBody>
                      <a:useSpRect/>
                    </a:txSp>
                  </a:sp>
                  <a:sp>
                    <a:nvSpPr>
                      <a:cNvPr id="19" name="TextBox 18"/>
                      <a:cNvSpPr txBox="1"/>
                    </a:nvSpPr>
                    <a:spPr>
                      <a:xfrm>
                        <a:off x="4203511" y="5158854"/>
                        <a:ext cx="823207" cy="519351"/>
                      </a:xfrm>
                      <a:prstGeom prst="ellipse">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dirty="0" smtClean="0"/>
                            <a:t>FTIR</a:t>
                          </a:r>
                          <a:endParaRPr lang="en-US" dirty="0"/>
                        </a:p>
                      </a:txBody>
                      <a:useSpRect/>
                    </a:txSp>
                    <a:style>
                      <a:lnRef idx="1">
                        <a:schemeClr val="accent5"/>
                      </a:lnRef>
                      <a:fillRef idx="3">
                        <a:schemeClr val="accent5"/>
                      </a:fillRef>
                      <a:effectRef idx="2">
                        <a:schemeClr val="accent5"/>
                      </a:effectRef>
                      <a:fontRef idx="minor">
                        <a:schemeClr val="lt1"/>
                      </a:fontRef>
                    </a:style>
                  </a:sp>
                  <a:sp>
                    <a:nvSpPr>
                      <a:cNvPr id="22" name="TextBox 21"/>
                      <a:cNvSpPr txBox="1"/>
                    </a:nvSpPr>
                    <a:spPr>
                      <a:xfrm>
                        <a:off x="5104263" y="5158854"/>
                        <a:ext cx="800305" cy="519351"/>
                      </a:xfrm>
                      <a:prstGeom prst="ellipse">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dirty="0" smtClean="0"/>
                            <a:t>TGA</a:t>
                          </a:r>
                          <a:endParaRPr lang="en-US" dirty="0"/>
                        </a:p>
                      </a:txBody>
                      <a:useSpRect/>
                    </a:txSp>
                    <a:style>
                      <a:lnRef idx="1">
                        <a:schemeClr val="accent6"/>
                      </a:lnRef>
                      <a:fillRef idx="3">
                        <a:schemeClr val="accent6"/>
                      </a:fillRef>
                      <a:effectRef idx="2">
                        <a:schemeClr val="accent6"/>
                      </a:effectRef>
                      <a:fontRef idx="minor">
                        <a:schemeClr val="lt1"/>
                      </a:fontRef>
                    </a:style>
                  </a:sp>
                  <a:sp>
                    <a:nvSpPr>
                      <a:cNvPr id="23" name="TextBox 22"/>
                      <a:cNvSpPr txBox="1"/>
                    </a:nvSpPr>
                    <a:spPr>
                      <a:xfrm>
                        <a:off x="6032311" y="5145206"/>
                        <a:ext cx="805174" cy="519351"/>
                      </a:xfrm>
                      <a:prstGeom prst="ellipse">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dirty="0" smtClean="0"/>
                            <a:t>XRD</a:t>
                          </a:r>
                          <a:endParaRPr lang="en-US" dirty="0"/>
                        </a:p>
                      </a:txBody>
                      <a:useSpRect/>
                    </a:txSp>
                    <a:style>
                      <a:lnRef idx="3">
                        <a:schemeClr val="lt1"/>
                      </a:lnRef>
                      <a:fillRef idx="1">
                        <a:schemeClr val="accent2"/>
                      </a:fillRef>
                      <a:effectRef idx="1">
                        <a:schemeClr val="accent2"/>
                      </a:effectRef>
                      <a:fontRef idx="minor">
                        <a:schemeClr val="lt1"/>
                      </a:fontRef>
                    </a:style>
                  </a:sp>
                  <a:sp>
                    <a:nvSpPr>
                      <a:cNvPr id="24" name="TextBox 23"/>
                      <a:cNvSpPr txBox="1"/>
                    </a:nvSpPr>
                    <a:spPr>
                      <a:xfrm>
                        <a:off x="6933062" y="5172501"/>
                        <a:ext cx="782633" cy="519351"/>
                      </a:xfrm>
                      <a:prstGeom prst="ellipse">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dirty="0" smtClean="0"/>
                            <a:t>DSC</a:t>
                          </a:r>
                          <a:endParaRPr lang="en-US" dirty="0"/>
                        </a:p>
                      </a:txBody>
                      <a:useSpRect/>
                    </a:txSp>
                    <a:style>
                      <a:lnRef idx="3">
                        <a:schemeClr val="lt1"/>
                      </a:lnRef>
                      <a:fillRef idx="1">
                        <a:schemeClr val="accent4"/>
                      </a:fillRef>
                      <a:effectRef idx="1">
                        <a:schemeClr val="accent4"/>
                      </a:effectRef>
                      <a:fontRef idx="minor">
                        <a:schemeClr val="lt1"/>
                      </a:fontRef>
                    </a:style>
                  </a:sp>
                  <a:sp>
                    <a:nvSpPr>
                      <a:cNvPr id="25" name="TextBox 24"/>
                      <a:cNvSpPr txBox="1"/>
                    </a:nvSpPr>
                    <a:spPr>
                      <a:xfrm>
                        <a:off x="7792870" y="5158854"/>
                        <a:ext cx="1323833" cy="519351"/>
                      </a:xfrm>
                      <a:prstGeom prst="ellipse">
                        <a:avLst/>
                      </a:prstGeom>
                    </a:spPr>
                    <a:txSp>
                      <a:txBody>
                        <a:bodyPr wrap="squar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dirty="0" smtClean="0"/>
                            <a:t>Docking</a:t>
                          </a:r>
                          <a:endParaRPr lang="en-US" dirty="0"/>
                        </a:p>
                      </a:txBody>
                      <a:useSpRect/>
                    </a:txSp>
                    <a:style>
                      <a:lnRef idx="3">
                        <a:schemeClr val="lt1"/>
                      </a:lnRef>
                      <a:fillRef idx="1">
                        <a:schemeClr val="accent5"/>
                      </a:fillRef>
                      <a:effectRef idx="1">
                        <a:schemeClr val="accent5"/>
                      </a:effectRef>
                      <a:fontRef idx="minor">
                        <a:schemeClr val="lt1"/>
                      </a:fontRef>
                    </a:style>
                  </a:sp>
                  <a:sp>
                    <a:nvSpPr>
                      <a:cNvPr id="27" name="TextBox 26"/>
                      <a:cNvSpPr txBox="1"/>
                    </a:nvSpPr>
                    <a:spPr>
                      <a:xfrm>
                        <a:off x="5786651" y="4722126"/>
                        <a:ext cx="174426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rgbClr val="FF0000"/>
                              </a:solidFill>
                            </a:rPr>
                            <a:t>Characterization</a:t>
                          </a:r>
                          <a:endParaRPr lang="en-US" b="1" dirty="0">
                            <a:solidFill>
                              <a:srgbClr val="FF0000"/>
                            </a:solidFill>
                          </a:endParaRPr>
                        </a:p>
                      </a:txBody>
                      <a:useSpRect/>
                    </a:txSp>
                  </a:sp>
                </lc:lockedCanvas>
              </a:graphicData>
            </a:graphic>
          </wp:inline>
        </w:drawing>
      </w:r>
    </w:p>
    <w:p w:rsidR="00F876D4" w:rsidRDefault="00F876D4">
      <w:pPr>
        <w:rPr>
          <w:b/>
        </w:rPr>
      </w:pPr>
    </w:p>
    <w:p w:rsidR="00825433" w:rsidRPr="00077BD1" w:rsidRDefault="00825433" w:rsidP="00FA1A4A">
      <w:pPr>
        <w:pStyle w:val="BodyText"/>
        <w:spacing w:before="80" w:line="276" w:lineRule="auto"/>
        <w:ind w:right="1446"/>
        <w:jc w:val="both"/>
        <w:rPr>
          <w:sz w:val="20"/>
        </w:rPr>
      </w:pPr>
      <w:r>
        <w:rPr>
          <w:b/>
        </w:rPr>
        <w:t xml:space="preserve">Keywords:   </w:t>
      </w:r>
      <w:r w:rsidRPr="00077BD1">
        <w:rPr>
          <w:sz w:val="20"/>
        </w:rPr>
        <w:t>Cyclodextrin, Bioavailability, Inclusion complex, Host-guest interaction, API,</w:t>
      </w:r>
      <w:r w:rsidR="00D654FA" w:rsidRPr="00077BD1">
        <w:rPr>
          <w:sz w:val="20"/>
        </w:rPr>
        <w:t xml:space="preserve"> </w:t>
      </w:r>
      <w:r w:rsidRPr="00077BD1">
        <w:rPr>
          <w:sz w:val="20"/>
        </w:rPr>
        <w:t>Molecular docki</w:t>
      </w:r>
      <w:r w:rsidR="00D654FA" w:rsidRPr="00077BD1">
        <w:rPr>
          <w:sz w:val="20"/>
        </w:rPr>
        <w:t>ng, In-silico Drug design, QSAR</w:t>
      </w:r>
      <w:r w:rsidR="00E77702" w:rsidRPr="00077BD1">
        <w:rPr>
          <w:sz w:val="20"/>
        </w:rPr>
        <w:t>, Cheminformatics</w:t>
      </w:r>
    </w:p>
    <w:p w:rsidR="00825433" w:rsidRPr="00077BD1" w:rsidRDefault="00825433" w:rsidP="00825433">
      <w:pPr>
        <w:pStyle w:val="BodyText"/>
        <w:rPr>
          <w:sz w:val="18"/>
        </w:rPr>
      </w:pPr>
    </w:p>
    <w:p w:rsidR="00825433" w:rsidRPr="00077BD1" w:rsidRDefault="00825433">
      <w:pPr>
        <w:rPr>
          <w:b/>
          <w:sz w:val="20"/>
        </w:rPr>
      </w:pPr>
    </w:p>
    <w:p w:rsidR="00825433" w:rsidRPr="00D46008" w:rsidRDefault="00825433">
      <w:pPr>
        <w:rPr>
          <w:b/>
          <w:sz w:val="24"/>
          <w:u w:val="dotted"/>
        </w:rPr>
      </w:pPr>
      <w:r w:rsidRPr="00D46008">
        <w:rPr>
          <w:b/>
          <w:sz w:val="24"/>
        </w:rPr>
        <w:t xml:space="preserve">                                                                          </w:t>
      </w:r>
      <w:r w:rsidRPr="00D46008">
        <w:rPr>
          <w:b/>
          <w:sz w:val="24"/>
          <w:u w:val="dotted"/>
        </w:rPr>
        <w:t>INTRODUCTION</w:t>
      </w:r>
    </w:p>
    <w:p w:rsidR="00D46008" w:rsidRPr="00077BD1" w:rsidRDefault="00D46008" w:rsidP="00D46008">
      <w:pPr>
        <w:pStyle w:val="BodyText"/>
        <w:jc w:val="both"/>
        <w:rPr>
          <w:sz w:val="20"/>
        </w:rPr>
      </w:pPr>
      <w:r w:rsidRPr="00077BD1">
        <w:rPr>
          <w:sz w:val="20"/>
        </w:rPr>
        <w:t>History of Cyclodextrin In 1891 a French scientist, A. Villiers, isolated bacterial digest from starch and this substance was found to be dextrin &amp; Vill</w:t>
      </w:r>
      <w:r w:rsidR="00D00BAA" w:rsidRPr="00077BD1">
        <w:rPr>
          <w:sz w:val="20"/>
        </w:rPr>
        <w:t>iers named it as “cellulosine”</w:t>
      </w:r>
      <w:r w:rsidR="006D2BD7" w:rsidRPr="00077BD1">
        <w:rPr>
          <w:sz w:val="20"/>
          <w:vertAlign w:val="superscript"/>
        </w:rPr>
        <w:t>1</w:t>
      </w:r>
      <w:r w:rsidR="00D00BAA" w:rsidRPr="00077BD1">
        <w:rPr>
          <w:sz w:val="20"/>
          <w:vertAlign w:val="superscript"/>
        </w:rPr>
        <w:t xml:space="preserve"> </w:t>
      </w:r>
      <w:r w:rsidRPr="00077BD1">
        <w:rPr>
          <w:sz w:val="20"/>
          <w:vertAlign w:val="superscript"/>
        </w:rPr>
        <w:t xml:space="preserve"> .</w:t>
      </w:r>
      <w:r w:rsidRPr="00077BD1">
        <w:rPr>
          <w:sz w:val="20"/>
        </w:rPr>
        <w:t xml:space="preserve"> Afterward an Austrian microbiologis</w:t>
      </w:r>
      <w:r w:rsidR="00C92DFB" w:rsidRPr="00077BD1">
        <w:rPr>
          <w:sz w:val="20"/>
        </w:rPr>
        <w:t>t, Franz Schardinger, reported two</w:t>
      </w:r>
      <w:r w:rsidRPr="00077BD1">
        <w:rPr>
          <w:sz w:val="20"/>
        </w:rPr>
        <w:t xml:space="preserve"> crystalline compounds α &amp; β dextrin which was been isolated from a bacterial digests of </w:t>
      </w:r>
    </w:p>
    <w:p w:rsidR="00D46008" w:rsidRDefault="00D46008" w:rsidP="00D46008">
      <w:pPr>
        <w:pStyle w:val="BodyText"/>
        <w:jc w:val="both"/>
        <w:rPr>
          <w:noProof/>
        </w:rPr>
      </w:pPr>
    </w:p>
    <w:p w:rsidR="00D46008" w:rsidRDefault="00D46008" w:rsidP="00D46008">
      <w:pPr>
        <w:pStyle w:val="BodyText"/>
        <w:jc w:val="both"/>
        <w:rPr>
          <w:noProof/>
        </w:rPr>
      </w:pPr>
    </w:p>
    <w:p w:rsidR="00D46008" w:rsidRDefault="00C90F2B">
      <w:pPr>
        <w:rPr>
          <w:b/>
          <w:u w:val="dotted"/>
        </w:rPr>
      </w:pPr>
      <w:r w:rsidRPr="00BD2AF3">
        <w:rPr>
          <w:b/>
          <w:i/>
          <w:u w:val="dotted"/>
        </w:rPr>
        <w:t xml:space="preserve">                              </w:t>
      </w:r>
      <w:r w:rsidRPr="00BD2AF3">
        <w:rPr>
          <w:b/>
          <w:u w:val="dotted"/>
        </w:rPr>
        <w:t xml:space="preserve">      </w:t>
      </w:r>
      <w:r>
        <w:rPr>
          <w:b/>
          <w:u w:val="dotted"/>
        </w:rPr>
        <w:t xml:space="preserve">             </w:t>
      </w:r>
      <w:r w:rsidR="00D46008">
        <w:rPr>
          <w:b/>
          <w:u w:val="dotted"/>
        </w:rPr>
        <w:t xml:space="preserve">   </w:t>
      </w:r>
      <w:r w:rsidR="00D46008" w:rsidRPr="00D46008">
        <w:rPr>
          <w:b/>
          <w:noProof/>
          <w:u w:val="dotted"/>
        </w:rPr>
        <w:drawing>
          <wp:inline distT="0" distB="0" distL="0" distR="0">
            <wp:extent cx="2711850" cy="2218414"/>
            <wp:effectExtent l="19050" t="0" r="0" b="0"/>
            <wp:docPr id="2" name="Picture 11" descr="C:\Users\HP\Desktop\Untitle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Untitled-2.tif"/>
                    <pic:cNvPicPr>
                      <a:picLocks noChangeAspect="1" noChangeArrowheads="1"/>
                    </pic:cNvPicPr>
                  </pic:nvPicPr>
                  <pic:blipFill>
                    <a:blip r:embed="rId16" cstate="print"/>
                    <a:srcRect/>
                    <a:stretch>
                      <a:fillRect/>
                    </a:stretch>
                  </pic:blipFill>
                  <pic:spPr bwMode="auto">
                    <a:xfrm>
                      <a:off x="0" y="0"/>
                      <a:ext cx="2717673" cy="2223178"/>
                    </a:xfrm>
                    <a:prstGeom prst="rect">
                      <a:avLst/>
                    </a:prstGeom>
                    <a:noFill/>
                    <a:ln w="9525">
                      <a:noFill/>
                      <a:miter lim="800000"/>
                      <a:headEnd/>
                      <a:tailEnd/>
                    </a:ln>
                  </pic:spPr>
                </pic:pic>
              </a:graphicData>
            </a:graphic>
          </wp:inline>
        </w:drawing>
      </w:r>
    </w:p>
    <w:p w:rsidR="00D46008" w:rsidRDefault="00095A5E">
      <w:pPr>
        <w:rPr>
          <w:b/>
          <w:u w:val="dotted"/>
        </w:rPr>
      </w:pPr>
      <w:r>
        <w:rPr>
          <w:b/>
          <w:u w:val="dotted"/>
        </w:rPr>
        <w:t xml:space="preserve">                                                     Figure</w:t>
      </w:r>
      <w:r w:rsidR="00C92DFB">
        <w:rPr>
          <w:b/>
          <w:u w:val="dotted"/>
        </w:rPr>
        <w:t xml:space="preserve"> 1 </w:t>
      </w:r>
      <w:r>
        <w:rPr>
          <w:b/>
          <w:u w:val="dotted"/>
        </w:rPr>
        <w:t>: 3D structure of Cyclodextrin</w:t>
      </w:r>
    </w:p>
    <w:p w:rsidR="00D46008" w:rsidRPr="00077BD1" w:rsidRDefault="00D46008">
      <w:pPr>
        <w:rPr>
          <w:b/>
          <w:sz w:val="24"/>
          <w:u w:val="dotted"/>
        </w:rPr>
      </w:pPr>
    </w:p>
    <w:p w:rsidR="00260EF5" w:rsidRPr="00077BD1" w:rsidRDefault="00C90F2B" w:rsidP="00BA7065">
      <w:pPr>
        <w:pStyle w:val="BodyText"/>
        <w:spacing w:before="79" w:line="285" w:lineRule="auto"/>
        <w:ind w:right="1291"/>
        <w:jc w:val="both"/>
        <w:rPr>
          <w:rFonts w:ascii="Georgia" w:hAnsi="Georgia"/>
          <w:color w:val="2E2E2E"/>
          <w:sz w:val="18"/>
          <w:szCs w:val="17"/>
        </w:rPr>
      </w:pPr>
      <w:r w:rsidRPr="00077BD1">
        <w:rPr>
          <w:sz w:val="20"/>
        </w:rPr>
        <w:t>Potato</w:t>
      </w:r>
      <w:r w:rsidR="00D46008" w:rsidRPr="00077BD1">
        <w:rPr>
          <w:sz w:val="20"/>
        </w:rPr>
        <w:t xml:space="preserve"> starch. Schrodinger identified β-dextrin as “Villiers” “cellulosine”. These compounds are commonly called Cyclodextrin (α &amp; β-</w:t>
      </w:r>
      <w:r w:rsidR="0084520C" w:rsidRPr="00077BD1">
        <w:rPr>
          <w:sz w:val="20"/>
        </w:rPr>
        <w:t xml:space="preserve"> Cyclodextrin types) </w:t>
      </w:r>
      <w:r w:rsidR="0084520C" w:rsidRPr="00077BD1">
        <w:rPr>
          <w:sz w:val="20"/>
          <w:vertAlign w:val="superscript"/>
        </w:rPr>
        <w:t>2</w:t>
      </w:r>
      <w:r w:rsidR="00303D44" w:rsidRPr="00077BD1">
        <w:rPr>
          <w:sz w:val="20"/>
        </w:rPr>
        <w:t xml:space="preserve">. </w:t>
      </w:r>
      <w:r w:rsidR="00074D64" w:rsidRPr="00077BD1">
        <w:rPr>
          <w:sz w:val="20"/>
        </w:rPr>
        <w:t>Figure</w:t>
      </w:r>
      <w:r w:rsidR="00C92DFB" w:rsidRPr="00077BD1">
        <w:rPr>
          <w:sz w:val="20"/>
        </w:rPr>
        <w:t>1</w:t>
      </w:r>
      <w:r w:rsidR="00074D64" w:rsidRPr="00077BD1">
        <w:rPr>
          <w:sz w:val="20"/>
        </w:rPr>
        <w:t>:</w:t>
      </w:r>
      <w:r w:rsidR="00D46008" w:rsidRPr="00077BD1">
        <w:rPr>
          <w:sz w:val="20"/>
        </w:rPr>
        <w:t xml:space="preserve"> (Beta-Cyclodextrin com</w:t>
      </w:r>
      <w:r w:rsidR="00095A5E" w:rsidRPr="00077BD1">
        <w:rPr>
          <w:sz w:val="20"/>
        </w:rPr>
        <w:t>plex) β-CD.</w:t>
      </w:r>
      <w:r w:rsidR="00D46008" w:rsidRPr="00077BD1">
        <w:rPr>
          <w:sz w:val="20"/>
        </w:rPr>
        <w:t xml:space="preserve"> In medicinal chemistry and allied systems these </w:t>
      </w:r>
      <w:r w:rsidR="00D46008" w:rsidRPr="004F5F62">
        <w:rPr>
          <w:sz w:val="20"/>
        </w:rPr>
        <w:lastRenderedPageBreak/>
        <w:t>CDs are acknowledged as useful pharmaceutical excipients</w:t>
      </w:r>
      <w:r w:rsidR="00277205" w:rsidRPr="004F5F62">
        <w:rPr>
          <w:sz w:val="20"/>
        </w:rPr>
        <w:t xml:space="preserve"> </w:t>
      </w:r>
      <w:r w:rsidR="00D46008" w:rsidRPr="004F5F62">
        <w:rPr>
          <w:sz w:val="20"/>
        </w:rPr>
        <w:t>and due to their comprehensive studies, intensive basic research &amp; industrial production, they can be used extensively in pharmaceutical/biome</w:t>
      </w:r>
      <w:r w:rsidR="0084520C" w:rsidRPr="004F5F62">
        <w:rPr>
          <w:sz w:val="20"/>
        </w:rPr>
        <w:t>dical industries</w:t>
      </w:r>
      <w:r w:rsidR="00277205" w:rsidRPr="004F5F62">
        <w:rPr>
          <w:sz w:val="20"/>
        </w:rPr>
        <w:t xml:space="preserve">. </w:t>
      </w:r>
      <w:r w:rsidR="00D46008" w:rsidRPr="004F5F62">
        <w:rPr>
          <w:sz w:val="20"/>
        </w:rPr>
        <w:t>Their molecular structures impart them with a unique property like lipophilc outward lipophilc &amp; central cavity</w:t>
      </w:r>
      <w:r w:rsidR="0084520C" w:rsidRPr="004F5F62">
        <w:rPr>
          <w:sz w:val="20"/>
          <w:vertAlign w:val="superscript"/>
        </w:rPr>
        <w:t>3,4,5</w:t>
      </w:r>
      <w:r w:rsidR="00D46008" w:rsidRPr="004F5F62">
        <w:rPr>
          <w:sz w:val="20"/>
        </w:rPr>
        <w:t>. This enables CDs to form non-covalent Inclusion complexes by entra</w:t>
      </w:r>
      <w:r w:rsidR="0084520C" w:rsidRPr="004F5F62">
        <w:rPr>
          <w:sz w:val="20"/>
        </w:rPr>
        <w:t xml:space="preserve">pping drug into their </w:t>
      </w:r>
      <w:r w:rsidR="003C011A" w:rsidRPr="004F5F62">
        <w:rPr>
          <w:sz w:val="20"/>
        </w:rPr>
        <w:t xml:space="preserve">cavities. </w:t>
      </w:r>
      <w:r w:rsidR="00D46008" w:rsidRPr="004F5F62">
        <w:rPr>
          <w:sz w:val="20"/>
        </w:rPr>
        <w:t>They dramatically alter the physicochemical &amp; biological pr</w:t>
      </w:r>
      <w:r w:rsidR="0084520C" w:rsidRPr="004F5F62">
        <w:rPr>
          <w:sz w:val="20"/>
        </w:rPr>
        <w:t xml:space="preserve">operties of parent drug &amp;/ CD) </w:t>
      </w:r>
      <w:r w:rsidR="0084520C" w:rsidRPr="004F5F62">
        <w:rPr>
          <w:sz w:val="20"/>
          <w:vertAlign w:val="superscript"/>
        </w:rPr>
        <w:t>5,6</w:t>
      </w:r>
      <w:r w:rsidR="00D46008" w:rsidRPr="004F5F62">
        <w:rPr>
          <w:sz w:val="20"/>
        </w:rPr>
        <w:t>. CDs gets shielded when administered through various routes e.g. dilution, protein binding, competitive displacement etc. Formation of Inclusion complex of drug with innocuous agent is a promising approach used to ameliorate the d</w:t>
      </w:r>
      <w:r w:rsidR="004E4603" w:rsidRPr="004F5F62">
        <w:rPr>
          <w:sz w:val="20"/>
        </w:rPr>
        <w:t>issolution properties of drug</w:t>
      </w:r>
      <w:r w:rsidR="003C011A" w:rsidRPr="004F5F62">
        <w:rPr>
          <w:sz w:val="20"/>
        </w:rPr>
        <w:t>,</w:t>
      </w:r>
      <w:r w:rsidR="003C011A" w:rsidRPr="004F5F62">
        <w:rPr>
          <w:sz w:val="20"/>
          <w:vertAlign w:val="superscript"/>
        </w:rPr>
        <w:t xml:space="preserve"> 12,13,14</w:t>
      </w:r>
      <w:r w:rsidR="004E4603" w:rsidRPr="004F5F62">
        <w:rPr>
          <w:sz w:val="20"/>
        </w:rPr>
        <w:t>.</w:t>
      </w:r>
      <w:r w:rsidR="00BA7065" w:rsidRPr="004F5F62">
        <w:rPr>
          <w:sz w:val="20"/>
        </w:rPr>
        <w:t xml:space="preserve"> </w:t>
      </w:r>
      <w:r w:rsidR="00D46008" w:rsidRPr="004F5F62">
        <w:rPr>
          <w:sz w:val="20"/>
        </w:rPr>
        <w:t>Cyclodextrin a kind of pharmaceutical a</w:t>
      </w:r>
      <w:r w:rsidR="00377358" w:rsidRPr="004F5F62">
        <w:rPr>
          <w:sz w:val="20"/>
        </w:rPr>
        <w:t>daptor for solubilizing countless</w:t>
      </w:r>
      <w:r w:rsidR="00D46008" w:rsidRPr="004F5F62">
        <w:rPr>
          <w:sz w:val="20"/>
        </w:rPr>
        <w:t xml:space="preserve"> inadequately</w:t>
      </w:r>
      <w:r w:rsidR="00D46008" w:rsidRPr="004F5F62">
        <w:rPr>
          <w:spacing w:val="1"/>
          <w:sz w:val="20"/>
        </w:rPr>
        <w:t xml:space="preserve"> </w:t>
      </w:r>
      <w:r w:rsidR="00D46008" w:rsidRPr="004F5F62">
        <w:rPr>
          <w:sz w:val="20"/>
        </w:rPr>
        <w:t xml:space="preserve">soluble species including drugs through the CDs complexes. CDs </w:t>
      </w:r>
      <w:r w:rsidR="00377358" w:rsidRPr="004F5F62">
        <w:rPr>
          <w:sz w:val="20"/>
        </w:rPr>
        <w:t xml:space="preserve">being </w:t>
      </w:r>
      <w:r w:rsidR="00D46008" w:rsidRPr="004F5F62">
        <w:rPr>
          <w:sz w:val="20"/>
        </w:rPr>
        <w:t>family of</w:t>
      </w:r>
      <w:r w:rsidR="00D46008" w:rsidRPr="004F5F62">
        <w:rPr>
          <w:spacing w:val="1"/>
          <w:sz w:val="20"/>
        </w:rPr>
        <w:t xml:space="preserve"> </w:t>
      </w:r>
      <w:r w:rsidR="00901850" w:rsidRPr="004F5F62">
        <w:rPr>
          <w:sz w:val="20"/>
        </w:rPr>
        <w:t>oligosaccharides</w:t>
      </w:r>
      <w:r w:rsidR="00377358" w:rsidRPr="004F5F62">
        <w:rPr>
          <w:sz w:val="20"/>
        </w:rPr>
        <w:t xml:space="preserve"> constitute</w:t>
      </w:r>
      <w:r w:rsidR="00D46008" w:rsidRPr="004F5F62">
        <w:rPr>
          <w:sz w:val="20"/>
        </w:rPr>
        <w:t xml:space="preserve"> one of the most widely used molecular hosts in</w:t>
      </w:r>
      <w:r w:rsidR="00D46008" w:rsidRPr="004F5F62">
        <w:rPr>
          <w:spacing w:val="1"/>
          <w:sz w:val="20"/>
        </w:rPr>
        <w:t xml:space="preserve"> </w:t>
      </w:r>
      <w:r w:rsidR="00FC4BA4" w:rsidRPr="004F5F62">
        <w:rPr>
          <w:sz w:val="20"/>
        </w:rPr>
        <w:t xml:space="preserve">supramolecular </w:t>
      </w:r>
      <w:r w:rsidR="00D46008" w:rsidRPr="004F5F62">
        <w:rPr>
          <w:sz w:val="20"/>
        </w:rPr>
        <w:t>chemistry. Encapsulation</w:t>
      </w:r>
      <w:r w:rsidR="00D46008" w:rsidRPr="004F5F62">
        <w:rPr>
          <w:spacing w:val="2"/>
          <w:sz w:val="20"/>
        </w:rPr>
        <w:t xml:space="preserve"> </w:t>
      </w:r>
      <w:r w:rsidR="00D46008" w:rsidRPr="004F5F62">
        <w:rPr>
          <w:sz w:val="20"/>
        </w:rPr>
        <w:t>in</w:t>
      </w:r>
      <w:r w:rsidR="00D46008" w:rsidRPr="004F5F62">
        <w:rPr>
          <w:spacing w:val="2"/>
          <w:sz w:val="20"/>
        </w:rPr>
        <w:t xml:space="preserve"> </w:t>
      </w:r>
      <w:r w:rsidR="00D46008" w:rsidRPr="004F5F62">
        <w:rPr>
          <w:sz w:val="20"/>
        </w:rPr>
        <w:t>the lipophilc</w:t>
      </w:r>
      <w:r w:rsidR="00D46008" w:rsidRPr="004F5F62">
        <w:rPr>
          <w:spacing w:val="2"/>
          <w:sz w:val="20"/>
        </w:rPr>
        <w:t xml:space="preserve"> </w:t>
      </w:r>
      <w:r w:rsidR="00377358" w:rsidRPr="004F5F62">
        <w:rPr>
          <w:spacing w:val="2"/>
          <w:sz w:val="20"/>
        </w:rPr>
        <w:t xml:space="preserve">(hydrophobic) </w:t>
      </w:r>
      <w:r w:rsidR="00D46008" w:rsidRPr="004F5F62">
        <w:rPr>
          <w:sz w:val="20"/>
        </w:rPr>
        <w:t>cavity</w:t>
      </w:r>
      <w:r w:rsidR="00D46008" w:rsidRPr="004F5F62">
        <w:rPr>
          <w:spacing w:val="1"/>
          <w:sz w:val="20"/>
        </w:rPr>
        <w:t xml:space="preserve"> </w:t>
      </w:r>
      <w:r w:rsidR="00D46008" w:rsidRPr="004F5F62">
        <w:rPr>
          <w:sz w:val="20"/>
        </w:rPr>
        <w:t>of</w:t>
      </w:r>
      <w:r w:rsidR="00D46008" w:rsidRPr="004F5F62">
        <w:rPr>
          <w:spacing w:val="3"/>
          <w:sz w:val="20"/>
        </w:rPr>
        <w:t xml:space="preserve"> </w:t>
      </w:r>
      <w:r w:rsidR="00D46008" w:rsidRPr="004F5F62">
        <w:rPr>
          <w:sz w:val="20"/>
        </w:rPr>
        <w:t>CDs</w:t>
      </w:r>
      <w:r w:rsidR="00D46008" w:rsidRPr="004F5F62">
        <w:rPr>
          <w:spacing w:val="1"/>
          <w:sz w:val="20"/>
        </w:rPr>
        <w:t xml:space="preserve"> </w:t>
      </w:r>
      <w:r w:rsidR="00D46008" w:rsidRPr="004F5F62">
        <w:rPr>
          <w:sz w:val="20"/>
        </w:rPr>
        <w:t>firmly</w:t>
      </w:r>
      <w:r w:rsidR="00D46008" w:rsidRPr="004F5F62">
        <w:rPr>
          <w:spacing w:val="2"/>
          <w:sz w:val="20"/>
        </w:rPr>
        <w:t xml:space="preserve"> </w:t>
      </w:r>
      <w:r w:rsidR="00D46008" w:rsidRPr="004F5F62">
        <w:rPr>
          <w:sz w:val="20"/>
        </w:rPr>
        <w:t>affects</w:t>
      </w:r>
      <w:r w:rsidR="00D46008" w:rsidRPr="004F5F62">
        <w:rPr>
          <w:spacing w:val="3"/>
          <w:sz w:val="20"/>
        </w:rPr>
        <w:t xml:space="preserve"> </w:t>
      </w:r>
      <w:r w:rsidR="00D46008" w:rsidRPr="004F5F62">
        <w:rPr>
          <w:sz w:val="20"/>
        </w:rPr>
        <w:t>the</w:t>
      </w:r>
      <w:r w:rsidR="00D46008" w:rsidRPr="004F5F62">
        <w:rPr>
          <w:spacing w:val="1"/>
          <w:sz w:val="20"/>
        </w:rPr>
        <w:t xml:space="preserve"> </w:t>
      </w:r>
      <w:r w:rsidR="00D46008" w:rsidRPr="004F5F62">
        <w:rPr>
          <w:sz w:val="20"/>
        </w:rPr>
        <w:t>physicochemical</w:t>
      </w:r>
      <w:r w:rsidR="00D46008" w:rsidRPr="004F5F62">
        <w:rPr>
          <w:spacing w:val="7"/>
          <w:sz w:val="20"/>
        </w:rPr>
        <w:t xml:space="preserve"> </w:t>
      </w:r>
      <w:r w:rsidR="00D46008" w:rsidRPr="004F5F62">
        <w:rPr>
          <w:sz w:val="20"/>
        </w:rPr>
        <w:t>characteristics</w:t>
      </w:r>
      <w:r w:rsidR="00D46008" w:rsidRPr="004F5F62">
        <w:rPr>
          <w:spacing w:val="6"/>
          <w:sz w:val="20"/>
        </w:rPr>
        <w:t xml:space="preserve"> </w:t>
      </w:r>
      <w:r w:rsidR="00D46008" w:rsidRPr="004F5F62">
        <w:rPr>
          <w:sz w:val="20"/>
        </w:rPr>
        <w:t>of</w:t>
      </w:r>
      <w:r w:rsidR="00D46008" w:rsidRPr="004F5F62">
        <w:rPr>
          <w:spacing w:val="9"/>
          <w:sz w:val="20"/>
        </w:rPr>
        <w:t xml:space="preserve"> </w:t>
      </w:r>
      <w:r w:rsidR="00D46008" w:rsidRPr="004F5F62">
        <w:rPr>
          <w:sz w:val="20"/>
        </w:rPr>
        <w:t>the</w:t>
      </w:r>
      <w:r w:rsidR="00D46008" w:rsidRPr="004F5F62">
        <w:rPr>
          <w:spacing w:val="7"/>
          <w:sz w:val="20"/>
        </w:rPr>
        <w:t xml:space="preserve"> </w:t>
      </w:r>
      <w:r w:rsidR="00D46008" w:rsidRPr="004F5F62">
        <w:rPr>
          <w:sz w:val="20"/>
        </w:rPr>
        <w:t>guest</w:t>
      </w:r>
      <w:r w:rsidR="00D46008" w:rsidRPr="004F5F62">
        <w:rPr>
          <w:spacing w:val="8"/>
          <w:sz w:val="20"/>
        </w:rPr>
        <w:t xml:space="preserve"> </w:t>
      </w:r>
      <w:r w:rsidR="00D46008" w:rsidRPr="004F5F62">
        <w:rPr>
          <w:sz w:val="20"/>
        </w:rPr>
        <w:t>upon</w:t>
      </w:r>
      <w:r w:rsidR="00D46008" w:rsidRPr="004F5F62">
        <w:rPr>
          <w:spacing w:val="7"/>
          <w:sz w:val="20"/>
        </w:rPr>
        <w:t xml:space="preserve"> </w:t>
      </w:r>
      <w:r w:rsidR="00D46008" w:rsidRPr="004F5F62">
        <w:rPr>
          <w:sz w:val="20"/>
        </w:rPr>
        <w:t>the</w:t>
      </w:r>
      <w:r w:rsidR="00D46008" w:rsidRPr="004F5F62">
        <w:rPr>
          <w:spacing w:val="7"/>
          <w:sz w:val="20"/>
        </w:rPr>
        <w:t xml:space="preserve"> </w:t>
      </w:r>
      <w:r w:rsidR="00D46008" w:rsidRPr="004F5F62">
        <w:rPr>
          <w:sz w:val="20"/>
        </w:rPr>
        <w:t>formation</w:t>
      </w:r>
      <w:r w:rsidR="00D46008" w:rsidRPr="004F5F62">
        <w:rPr>
          <w:spacing w:val="7"/>
          <w:sz w:val="20"/>
        </w:rPr>
        <w:t xml:space="preserve"> </w:t>
      </w:r>
      <w:r w:rsidR="00D46008" w:rsidRPr="004F5F62">
        <w:rPr>
          <w:sz w:val="20"/>
        </w:rPr>
        <w:t>of</w:t>
      </w:r>
      <w:r w:rsidR="00377358" w:rsidRPr="004F5F62">
        <w:rPr>
          <w:sz w:val="20"/>
        </w:rPr>
        <w:t xml:space="preserve"> (IC)</w:t>
      </w:r>
      <w:r w:rsidR="00D46008" w:rsidRPr="004F5F62">
        <w:rPr>
          <w:spacing w:val="8"/>
          <w:sz w:val="20"/>
        </w:rPr>
        <w:t xml:space="preserve"> </w:t>
      </w:r>
      <w:r w:rsidR="00D46008" w:rsidRPr="004F5F62">
        <w:rPr>
          <w:sz w:val="20"/>
        </w:rPr>
        <w:t>Inclusion</w:t>
      </w:r>
      <w:r w:rsidR="00D46008" w:rsidRPr="004F5F62">
        <w:rPr>
          <w:spacing w:val="7"/>
          <w:sz w:val="20"/>
        </w:rPr>
        <w:t xml:space="preserve"> </w:t>
      </w:r>
      <w:r w:rsidR="00D46008" w:rsidRPr="004F5F62">
        <w:rPr>
          <w:sz w:val="20"/>
        </w:rPr>
        <w:t>complexes</w:t>
      </w:r>
      <w:r w:rsidR="00D46008" w:rsidRPr="004F5F62">
        <w:rPr>
          <w:spacing w:val="8"/>
          <w:sz w:val="20"/>
        </w:rPr>
        <w:t xml:space="preserve"> </w:t>
      </w:r>
      <w:r w:rsidR="00D46008" w:rsidRPr="004F5F62">
        <w:rPr>
          <w:sz w:val="20"/>
          <w:vertAlign w:val="superscript"/>
        </w:rPr>
        <w:t>4</w:t>
      </w:r>
      <w:r w:rsidR="00D46008" w:rsidRPr="004F5F62">
        <w:rPr>
          <w:sz w:val="20"/>
        </w:rPr>
        <w:t>.</w:t>
      </w:r>
      <w:r w:rsidR="00D46008" w:rsidRPr="004F5F62">
        <w:rPr>
          <w:spacing w:val="1"/>
          <w:sz w:val="20"/>
        </w:rPr>
        <w:t xml:space="preserve"> </w:t>
      </w:r>
      <w:r w:rsidR="00D46008" w:rsidRPr="004F5F62">
        <w:rPr>
          <w:sz w:val="20"/>
        </w:rPr>
        <w:t>Extensively used natural CDs exists as α, β and Ꝩ consisting of 6, 7, 8 glucopyranose units</w:t>
      </w:r>
      <w:r w:rsidR="00D46008" w:rsidRPr="004F5F62">
        <w:rPr>
          <w:spacing w:val="-56"/>
          <w:sz w:val="20"/>
        </w:rPr>
        <w:t xml:space="preserve"> </w:t>
      </w:r>
      <w:r w:rsidR="00D46008" w:rsidRPr="004F5F62">
        <w:rPr>
          <w:sz w:val="20"/>
        </w:rPr>
        <w:t>in their skeleton mentioned in the figure</w:t>
      </w:r>
      <w:r w:rsidR="00901850" w:rsidRPr="004F5F62">
        <w:rPr>
          <w:sz w:val="24"/>
        </w:rPr>
        <w:t>.</w:t>
      </w:r>
      <w:r w:rsidR="00260EF5" w:rsidRPr="00077BD1">
        <w:rPr>
          <w:sz w:val="24"/>
        </w:rPr>
        <w:t xml:space="preserve"> </w:t>
      </w:r>
      <w:r w:rsidR="00847A16" w:rsidRPr="00077BD1">
        <w:rPr>
          <w:rFonts w:ascii="Georgia" w:hAnsi="Georgia"/>
          <w:color w:val="2E2E2E"/>
          <w:sz w:val="18"/>
          <w:szCs w:val="17"/>
        </w:rPr>
        <w:t>Throughout the course of complexation procedure</w:t>
      </w:r>
      <w:r w:rsidR="00260EF5" w:rsidRPr="00077BD1">
        <w:rPr>
          <w:rFonts w:ascii="Georgia" w:hAnsi="Georgia"/>
          <w:color w:val="2E2E2E"/>
          <w:sz w:val="18"/>
          <w:szCs w:val="17"/>
        </w:rPr>
        <w:t>, no covalent bond is formed or broken, which strains the physical rather than that the c</w:t>
      </w:r>
      <w:r w:rsidR="00847A16" w:rsidRPr="00077BD1">
        <w:rPr>
          <w:rFonts w:ascii="Georgia" w:hAnsi="Georgia"/>
          <w:color w:val="2E2E2E"/>
          <w:sz w:val="18"/>
          <w:szCs w:val="17"/>
        </w:rPr>
        <w:t xml:space="preserve">hemical character of </w:t>
      </w:r>
      <w:r w:rsidR="00074D64" w:rsidRPr="00077BD1">
        <w:rPr>
          <w:rFonts w:ascii="Georgia" w:hAnsi="Georgia"/>
          <w:color w:val="2E2E2E"/>
          <w:sz w:val="18"/>
          <w:szCs w:val="17"/>
        </w:rPr>
        <w:t xml:space="preserve">process. </w:t>
      </w:r>
      <w:r w:rsidR="00260EF5" w:rsidRPr="00077BD1">
        <w:rPr>
          <w:rFonts w:ascii="Georgia" w:hAnsi="Georgia"/>
          <w:color w:val="2E2E2E"/>
          <w:sz w:val="18"/>
          <w:szCs w:val="17"/>
        </w:rPr>
        <w:t xml:space="preserve">The </w:t>
      </w:r>
      <w:r w:rsidR="00847A16" w:rsidRPr="00077BD1">
        <w:rPr>
          <w:rFonts w:ascii="Georgia" w:hAnsi="Georgia"/>
          <w:color w:val="2E2E2E"/>
          <w:sz w:val="18"/>
          <w:szCs w:val="17"/>
        </w:rPr>
        <w:t>Inclusion complexes ameliorate</w:t>
      </w:r>
      <w:r w:rsidR="00260EF5" w:rsidRPr="00077BD1">
        <w:rPr>
          <w:rFonts w:ascii="Georgia" w:hAnsi="Georgia"/>
          <w:color w:val="2E2E2E"/>
          <w:sz w:val="18"/>
          <w:szCs w:val="17"/>
        </w:rPr>
        <w:t xml:space="preserve"> the characteristics </w:t>
      </w:r>
      <w:r w:rsidR="00847A16" w:rsidRPr="00077BD1">
        <w:rPr>
          <w:rFonts w:ascii="Georgia" w:hAnsi="Georgia"/>
          <w:color w:val="2E2E2E"/>
          <w:sz w:val="18"/>
          <w:szCs w:val="17"/>
        </w:rPr>
        <w:t xml:space="preserve">of the drug molecule like </w:t>
      </w:r>
      <w:r w:rsidR="00260EF5" w:rsidRPr="00077BD1">
        <w:rPr>
          <w:rFonts w:ascii="Georgia" w:hAnsi="Georgia"/>
          <w:color w:val="2E2E2E"/>
          <w:sz w:val="18"/>
          <w:szCs w:val="17"/>
        </w:rPr>
        <w:t>solubility, the reduc</w:t>
      </w:r>
      <w:r w:rsidR="00847A16" w:rsidRPr="00077BD1">
        <w:rPr>
          <w:rFonts w:ascii="Georgia" w:hAnsi="Georgia"/>
          <w:color w:val="2E2E2E"/>
          <w:sz w:val="18"/>
          <w:szCs w:val="17"/>
        </w:rPr>
        <w:t>ing</w:t>
      </w:r>
      <w:r w:rsidR="00260EF5" w:rsidRPr="00077BD1">
        <w:rPr>
          <w:rFonts w:ascii="Georgia" w:hAnsi="Georgia"/>
          <w:color w:val="2E2E2E"/>
          <w:sz w:val="18"/>
          <w:szCs w:val="17"/>
        </w:rPr>
        <w:t xml:space="preserve"> of side effects, </w:t>
      </w:r>
      <w:r w:rsidR="00277205" w:rsidRPr="00077BD1">
        <w:rPr>
          <w:rFonts w:ascii="Georgia" w:hAnsi="Georgia"/>
          <w:color w:val="2E2E2E"/>
          <w:sz w:val="18"/>
          <w:szCs w:val="17"/>
        </w:rPr>
        <w:t>Chemical</w:t>
      </w:r>
      <w:r w:rsidR="00260EF5" w:rsidRPr="00077BD1">
        <w:rPr>
          <w:rFonts w:ascii="Georgia" w:hAnsi="Georgia"/>
          <w:color w:val="2E2E2E"/>
          <w:sz w:val="18"/>
          <w:szCs w:val="17"/>
        </w:rPr>
        <w:t xml:space="preserve"> stabili</w:t>
      </w:r>
      <w:r w:rsidR="00847A16" w:rsidRPr="00077BD1">
        <w:rPr>
          <w:rFonts w:ascii="Georgia" w:hAnsi="Georgia"/>
          <w:color w:val="2E2E2E"/>
          <w:sz w:val="18"/>
          <w:szCs w:val="17"/>
        </w:rPr>
        <w:t>ty and bioavailability</w:t>
      </w:r>
      <w:r w:rsidR="00F407C3" w:rsidRPr="00077BD1">
        <w:rPr>
          <w:rFonts w:ascii="Georgia" w:hAnsi="Georgia"/>
          <w:color w:val="2E2E2E"/>
          <w:sz w:val="18"/>
          <w:szCs w:val="17"/>
        </w:rPr>
        <w:t>,</w:t>
      </w:r>
      <w:r w:rsidR="00F407C3" w:rsidRPr="00077BD1">
        <w:rPr>
          <w:rFonts w:ascii="Georgia" w:hAnsi="Georgia"/>
          <w:color w:val="2E2E2E"/>
          <w:sz w:val="18"/>
          <w:szCs w:val="17"/>
          <w:vertAlign w:val="superscript"/>
        </w:rPr>
        <w:t xml:space="preserve"> 6,8, 9</w:t>
      </w:r>
      <w:r w:rsidR="00847A16" w:rsidRPr="00077BD1">
        <w:rPr>
          <w:rFonts w:ascii="Georgia" w:hAnsi="Georgia"/>
          <w:color w:val="2E2E2E"/>
          <w:sz w:val="18"/>
          <w:szCs w:val="17"/>
        </w:rPr>
        <w:t>. The propulsion</w:t>
      </w:r>
      <w:r w:rsidR="00260EF5" w:rsidRPr="00077BD1">
        <w:rPr>
          <w:rFonts w:ascii="Georgia" w:hAnsi="Georgia"/>
          <w:color w:val="2E2E2E"/>
          <w:sz w:val="18"/>
          <w:szCs w:val="17"/>
        </w:rPr>
        <w:t xml:space="preserve"> for drug-CD complex formation are hydrogen bonds, van der</w:t>
      </w:r>
      <w:r w:rsidR="007B0B6C" w:rsidRPr="00077BD1">
        <w:rPr>
          <w:rFonts w:ascii="Georgia" w:hAnsi="Georgia"/>
          <w:color w:val="2E2E2E"/>
          <w:sz w:val="18"/>
          <w:szCs w:val="17"/>
        </w:rPr>
        <w:t xml:space="preserve"> </w:t>
      </w:r>
      <w:r w:rsidR="00260EF5" w:rsidRPr="00077BD1">
        <w:rPr>
          <w:rFonts w:ascii="Georgia" w:hAnsi="Georgia"/>
          <w:color w:val="2E2E2E"/>
          <w:sz w:val="18"/>
          <w:szCs w:val="17"/>
        </w:rPr>
        <w:t xml:space="preserve"> Waals forces, hydrophobic interactions between the host and guest molecules and entropy released by uncomplexed water m</w:t>
      </w:r>
      <w:r w:rsidR="00BA7065" w:rsidRPr="00077BD1">
        <w:rPr>
          <w:rFonts w:ascii="Georgia" w:hAnsi="Georgia"/>
          <w:color w:val="2E2E2E"/>
          <w:sz w:val="18"/>
          <w:szCs w:val="17"/>
        </w:rPr>
        <w:t>olecules from the CD cavity</w:t>
      </w:r>
      <w:r w:rsidR="00260EF5" w:rsidRPr="00077BD1">
        <w:rPr>
          <w:rFonts w:ascii="Georgia" w:hAnsi="Georgia"/>
          <w:color w:val="2E2E2E"/>
          <w:sz w:val="18"/>
          <w:szCs w:val="17"/>
        </w:rPr>
        <w:t>.</w:t>
      </w:r>
      <w:r w:rsidR="00BA7065" w:rsidRPr="00077BD1">
        <w:rPr>
          <w:rFonts w:ascii="Georgia" w:hAnsi="Georgia"/>
          <w:color w:val="2E2E2E"/>
          <w:sz w:val="18"/>
          <w:szCs w:val="17"/>
        </w:rPr>
        <w:t xml:space="preserve"> </w:t>
      </w:r>
      <w:r w:rsidR="00847A16" w:rsidRPr="00077BD1">
        <w:rPr>
          <w:rFonts w:ascii="Georgia" w:hAnsi="Georgia"/>
          <w:color w:val="2E2E2E"/>
          <w:sz w:val="18"/>
          <w:szCs w:val="17"/>
        </w:rPr>
        <w:t>During the last</w:t>
      </w:r>
      <w:r w:rsidR="00260EF5" w:rsidRPr="00077BD1">
        <w:rPr>
          <w:rFonts w:ascii="Georgia" w:hAnsi="Georgia"/>
          <w:color w:val="2E2E2E"/>
          <w:sz w:val="18"/>
          <w:szCs w:val="17"/>
        </w:rPr>
        <w:t xml:space="preserve"> </w:t>
      </w:r>
      <w:r w:rsidR="00847A16" w:rsidRPr="00077BD1">
        <w:rPr>
          <w:rFonts w:ascii="Georgia" w:hAnsi="Georgia"/>
          <w:color w:val="2E2E2E"/>
          <w:sz w:val="18"/>
          <w:szCs w:val="17"/>
        </w:rPr>
        <w:t>few years, computational practice</w:t>
      </w:r>
      <w:r w:rsidR="00260EF5" w:rsidRPr="00077BD1">
        <w:rPr>
          <w:rFonts w:ascii="Georgia" w:hAnsi="Georgia"/>
          <w:color w:val="2E2E2E"/>
          <w:sz w:val="18"/>
          <w:szCs w:val="17"/>
        </w:rPr>
        <w:t xml:space="preserve"> in combination w</w:t>
      </w:r>
      <w:r w:rsidR="00847A16" w:rsidRPr="00077BD1">
        <w:rPr>
          <w:rFonts w:ascii="Georgia" w:hAnsi="Georgia"/>
          <w:color w:val="2E2E2E"/>
          <w:sz w:val="18"/>
          <w:szCs w:val="17"/>
        </w:rPr>
        <w:t>ith experimental techniques has been mostly focused</w:t>
      </w:r>
      <w:r w:rsidR="00260EF5" w:rsidRPr="00077BD1">
        <w:rPr>
          <w:rFonts w:ascii="Georgia" w:hAnsi="Georgia"/>
          <w:color w:val="2E2E2E"/>
          <w:sz w:val="18"/>
          <w:szCs w:val="17"/>
        </w:rPr>
        <w:t xml:space="preserve"> on the conformational study of inclusion complex of natural </w:t>
      </w:r>
      <w:r w:rsidR="00BC5BEE" w:rsidRPr="00077BD1">
        <w:rPr>
          <w:rFonts w:ascii="Georgia" w:hAnsi="Georgia"/>
          <w:color w:val="2E2E2E"/>
          <w:sz w:val="18"/>
          <w:szCs w:val="17"/>
        </w:rPr>
        <w:t>CDs (</w:t>
      </w:r>
      <w:r w:rsidR="00847A16" w:rsidRPr="00077BD1">
        <w:rPr>
          <w:rFonts w:ascii="Georgia" w:hAnsi="Georgia"/>
          <w:color w:val="2E2E2E"/>
          <w:sz w:val="18"/>
          <w:szCs w:val="17"/>
        </w:rPr>
        <w:t>CD-IC)</w:t>
      </w:r>
      <w:r w:rsidR="00260EF5" w:rsidRPr="00077BD1">
        <w:rPr>
          <w:rFonts w:ascii="Georgia" w:hAnsi="Georgia"/>
          <w:color w:val="2E2E2E"/>
          <w:sz w:val="18"/>
          <w:szCs w:val="17"/>
        </w:rPr>
        <w:t xml:space="preserve"> or their derivatives. There are </w:t>
      </w:r>
      <w:r w:rsidR="00847A16" w:rsidRPr="00077BD1">
        <w:rPr>
          <w:rFonts w:ascii="Georgia" w:hAnsi="Georgia"/>
          <w:color w:val="2E2E2E"/>
          <w:sz w:val="18"/>
          <w:szCs w:val="17"/>
        </w:rPr>
        <w:t>several computational techniques that are</w:t>
      </w:r>
      <w:r w:rsidR="00260EF5" w:rsidRPr="00077BD1">
        <w:rPr>
          <w:rFonts w:ascii="Georgia" w:hAnsi="Georgia"/>
          <w:color w:val="2E2E2E"/>
          <w:sz w:val="18"/>
          <w:szCs w:val="17"/>
        </w:rPr>
        <w:t xml:space="preserve"> used in molecular modeling studies</w:t>
      </w:r>
      <w:r w:rsidR="00847A16" w:rsidRPr="00077BD1">
        <w:rPr>
          <w:rFonts w:ascii="Georgia" w:hAnsi="Georgia"/>
          <w:color w:val="2E2E2E"/>
          <w:sz w:val="18"/>
          <w:szCs w:val="17"/>
        </w:rPr>
        <w:t>(MM)</w:t>
      </w:r>
      <w:r w:rsidR="0084520C" w:rsidRPr="00077BD1">
        <w:rPr>
          <w:rFonts w:ascii="Georgia" w:hAnsi="Georgia"/>
          <w:color w:val="2E2E2E"/>
          <w:sz w:val="18"/>
          <w:szCs w:val="17"/>
          <w:vertAlign w:val="superscript"/>
        </w:rPr>
        <w:t>69</w:t>
      </w:r>
      <w:r w:rsidR="00BA7065" w:rsidRPr="00077BD1">
        <w:rPr>
          <w:rFonts w:ascii="Georgia" w:hAnsi="Georgia"/>
          <w:color w:val="2E2E2E"/>
          <w:sz w:val="18"/>
          <w:szCs w:val="17"/>
        </w:rPr>
        <w:t>,</w:t>
      </w:r>
      <w:r w:rsidR="00847A16" w:rsidRPr="00077BD1">
        <w:rPr>
          <w:rFonts w:ascii="Georgia" w:hAnsi="Georgia"/>
          <w:color w:val="2E2E2E"/>
          <w:sz w:val="18"/>
          <w:szCs w:val="17"/>
        </w:rPr>
        <w:t xml:space="preserve"> for the complexes of Cyclodextrin</w:t>
      </w:r>
      <w:r w:rsidR="00260EF5" w:rsidRPr="00077BD1">
        <w:rPr>
          <w:rFonts w:ascii="Georgia" w:hAnsi="Georgia"/>
          <w:color w:val="2E2E2E"/>
          <w:sz w:val="18"/>
          <w:szCs w:val="17"/>
        </w:rPr>
        <w:t xml:space="preserve"> or their derivatives with gue</w:t>
      </w:r>
      <w:r w:rsidR="00847A16" w:rsidRPr="00077BD1">
        <w:rPr>
          <w:rFonts w:ascii="Georgia" w:hAnsi="Georgia"/>
          <w:color w:val="2E2E2E"/>
          <w:sz w:val="18"/>
          <w:szCs w:val="17"/>
        </w:rPr>
        <w:t>st molecules (host–guest chemistry</w:t>
      </w:r>
      <w:r w:rsidR="00260EF5" w:rsidRPr="00077BD1">
        <w:rPr>
          <w:rFonts w:ascii="Georgia" w:hAnsi="Georgia"/>
          <w:color w:val="2E2E2E"/>
          <w:sz w:val="18"/>
          <w:szCs w:val="17"/>
        </w:rPr>
        <w:t xml:space="preserve">) </w:t>
      </w:r>
      <w:r w:rsidR="00CB555F" w:rsidRPr="00077BD1">
        <w:rPr>
          <w:rFonts w:ascii="Georgia" w:hAnsi="Georgia"/>
          <w:color w:val="2E2E2E"/>
          <w:sz w:val="18"/>
          <w:szCs w:val="17"/>
        </w:rPr>
        <w:t>such as</w:t>
      </w:r>
      <w:r w:rsidR="00260EF5" w:rsidRPr="00077BD1">
        <w:rPr>
          <w:rFonts w:ascii="Georgia" w:hAnsi="Georgia"/>
          <w:color w:val="2E2E2E"/>
          <w:sz w:val="18"/>
          <w:szCs w:val="17"/>
        </w:rPr>
        <w:t>, molecular dynamics (MD)</w:t>
      </w:r>
      <w:r w:rsidR="0084520C" w:rsidRPr="00077BD1">
        <w:rPr>
          <w:rFonts w:ascii="Georgia" w:hAnsi="Georgia"/>
          <w:color w:val="2E2E2E"/>
          <w:sz w:val="18"/>
          <w:szCs w:val="17"/>
          <w:vertAlign w:val="superscript"/>
        </w:rPr>
        <w:t>13</w:t>
      </w:r>
      <w:r w:rsidR="00260EF5" w:rsidRPr="00077BD1">
        <w:rPr>
          <w:rFonts w:ascii="Georgia" w:hAnsi="Georgia"/>
          <w:color w:val="2E2E2E"/>
          <w:sz w:val="18"/>
          <w:szCs w:val="17"/>
        </w:rPr>
        <w:t>, semi-empiric</w:t>
      </w:r>
      <w:r w:rsidR="00CB555F" w:rsidRPr="00077BD1">
        <w:rPr>
          <w:rFonts w:ascii="Georgia" w:hAnsi="Georgia"/>
          <w:color w:val="2E2E2E"/>
          <w:sz w:val="18"/>
          <w:szCs w:val="17"/>
        </w:rPr>
        <w:t xml:space="preserve">al method, hybrid </w:t>
      </w:r>
      <w:r w:rsidR="00260EF5" w:rsidRPr="00077BD1">
        <w:rPr>
          <w:rFonts w:ascii="Georgia" w:hAnsi="Georgia"/>
          <w:color w:val="2E2E2E"/>
          <w:sz w:val="18"/>
          <w:szCs w:val="17"/>
        </w:rPr>
        <w:t xml:space="preserve"> Own N-layer Integra</w:t>
      </w:r>
      <w:r w:rsidR="00CB555F" w:rsidRPr="00077BD1">
        <w:rPr>
          <w:rFonts w:ascii="Georgia" w:hAnsi="Georgia"/>
          <w:color w:val="2E2E2E"/>
          <w:sz w:val="18"/>
          <w:szCs w:val="17"/>
        </w:rPr>
        <w:t xml:space="preserve">ted Orbital Molecular mechanics, Hartree Fock </w:t>
      </w:r>
      <w:r w:rsidR="00260EF5" w:rsidRPr="00077BD1">
        <w:rPr>
          <w:rFonts w:ascii="Georgia" w:hAnsi="Georgia"/>
          <w:color w:val="2E2E2E"/>
          <w:sz w:val="18"/>
          <w:szCs w:val="17"/>
        </w:rPr>
        <w:t xml:space="preserve"> and dens</w:t>
      </w:r>
      <w:r w:rsidR="00CB555F" w:rsidRPr="00077BD1">
        <w:rPr>
          <w:rFonts w:ascii="Georgia" w:hAnsi="Georgia"/>
          <w:color w:val="2E2E2E"/>
          <w:sz w:val="18"/>
          <w:szCs w:val="17"/>
        </w:rPr>
        <w:t>ity functional theory</w:t>
      </w:r>
      <w:r w:rsidR="00212B47">
        <w:rPr>
          <w:rFonts w:ascii="Georgia" w:hAnsi="Georgia"/>
          <w:color w:val="2E2E2E"/>
          <w:sz w:val="18"/>
          <w:szCs w:val="17"/>
          <w:vertAlign w:val="superscript"/>
        </w:rPr>
        <w:t>74</w:t>
      </w:r>
      <w:r w:rsidR="00CB555F" w:rsidRPr="00077BD1">
        <w:rPr>
          <w:rFonts w:ascii="Georgia" w:hAnsi="Georgia"/>
          <w:color w:val="2E2E2E"/>
          <w:sz w:val="18"/>
          <w:szCs w:val="17"/>
        </w:rPr>
        <w:t xml:space="preserve"> . </w:t>
      </w:r>
    </w:p>
    <w:p w:rsidR="00F876D4" w:rsidRPr="00077BD1" w:rsidRDefault="00CB555F" w:rsidP="00F876D4">
      <w:pPr>
        <w:pStyle w:val="BodyText"/>
        <w:spacing w:before="101" w:line="285" w:lineRule="auto"/>
        <w:ind w:right="1372"/>
        <w:jc w:val="both"/>
        <w:rPr>
          <w:sz w:val="20"/>
        </w:rPr>
      </w:pPr>
      <w:r w:rsidRPr="00077BD1">
        <w:rPr>
          <w:sz w:val="20"/>
        </w:rPr>
        <w:t xml:space="preserve">As </w:t>
      </w:r>
      <w:r w:rsidR="00277205" w:rsidRPr="00077BD1">
        <w:rPr>
          <w:sz w:val="20"/>
        </w:rPr>
        <w:t>Cyclodextrin</w:t>
      </w:r>
      <w:r w:rsidR="00F876D4" w:rsidRPr="00077BD1">
        <w:rPr>
          <w:sz w:val="20"/>
        </w:rPr>
        <w:t xml:space="preserve"> comprise organic molecules in their</w:t>
      </w:r>
      <w:r w:rsidR="00F876D4" w:rsidRPr="00077BD1">
        <w:rPr>
          <w:spacing w:val="1"/>
          <w:sz w:val="20"/>
        </w:rPr>
        <w:t xml:space="preserve"> </w:t>
      </w:r>
      <w:r w:rsidR="00C60056" w:rsidRPr="00077BD1">
        <w:rPr>
          <w:sz w:val="20"/>
        </w:rPr>
        <w:t>hydrophobic</w:t>
      </w:r>
      <w:r w:rsidR="00BC5BEE" w:rsidRPr="00077BD1">
        <w:rPr>
          <w:sz w:val="20"/>
        </w:rPr>
        <w:t xml:space="preserve"> </w:t>
      </w:r>
      <w:r w:rsidR="00B80D9F" w:rsidRPr="00077BD1">
        <w:rPr>
          <w:sz w:val="20"/>
          <w:vertAlign w:val="superscript"/>
        </w:rPr>
        <w:t>5,6,7</w:t>
      </w:r>
      <w:r w:rsidR="00C60056" w:rsidRPr="00077BD1">
        <w:rPr>
          <w:sz w:val="20"/>
        </w:rPr>
        <w:t xml:space="preserve"> (</w:t>
      </w:r>
      <w:r w:rsidR="007B0B6C" w:rsidRPr="00077BD1">
        <w:rPr>
          <w:sz w:val="20"/>
        </w:rPr>
        <w:t>lipophilc</w:t>
      </w:r>
      <w:r w:rsidRPr="00077BD1">
        <w:rPr>
          <w:sz w:val="20"/>
        </w:rPr>
        <w:t>) cavities &amp; boost</w:t>
      </w:r>
      <w:r w:rsidR="00F876D4" w:rsidRPr="00077BD1">
        <w:rPr>
          <w:sz w:val="20"/>
        </w:rPr>
        <w:t xml:space="preserve"> the solubility and stability of guest molecules in solvent</w:t>
      </w:r>
      <w:r w:rsidR="00F876D4" w:rsidRPr="00077BD1">
        <w:rPr>
          <w:spacing w:val="1"/>
          <w:sz w:val="20"/>
        </w:rPr>
        <w:t xml:space="preserve"> </w:t>
      </w:r>
      <w:r w:rsidR="00F876D4" w:rsidRPr="00077BD1">
        <w:rPr>
          <w:sz w:val="20"/>
        </w:rPr>
        <w:t>system like water, these mo</w:t>
      </w:r>
      <w:r w:rsidRPr="00077BD1">
        <w:rPr>
          <w:sz w:val="20"/>
        </w:rPr>
        <w:t>lecules are utilized in a great many</w:t>
      </w:r>
      <w:r w:rsidR="00F876D4" w:rsidRPr="00077BD1">
        <w:rPr>
          <w:sz w:val="20"/>
        </w:rPr>
        <w:t xml:space="preserve"> chemical fields, including</w:t>
      </w:r>
      <w:r w:rsidR="00F876D4" w:rsidRPr="00077BD1">
        <w:rPr>
          <w:spacing w:val="1"/>
          <w:sz w:val="20"/>
        </w:rPr>
        <w:t xml:space="preserve"> </w:t>
      </w:r>
      <w:r w:rsidR="00F876D4" w:rsidRPr="00077BD1">
        <w:rPr>
          <w:sz w:val="20"/>
        </w:rPr>
        <w:t>analytical,</w:t>
      </w:r>
      <w:r w:rsidR="00F876D4" w:rsidRPr="00077BD1">
        <w:rPr>
          <w:spacing w:val="-3"/>
          <w:sz w:val="20"/>
        </w:rPr>
        <w:t xml:space="preserve"> </w:t>
      </w:r>
      <w:r w:rsidR="00F876D4" w:rsidRPr="00077BD1">
        <w:rPr>
          <w:sz w:val="20"/>
        </w:rPr>
        <w:t>organic</w:t>
      </w:r>
      <w:r w:rsidR="00F876D4" w:rsidRPr="00077BD1">
        <w:rPr>
          <w:spacing w:val="-4"/>
          <w:sz w:val="20"/>
        </w:rPr>
        <w:t xml:space="preserve"> </w:t>
      </w:r>
      <w:r w:rsidR="00F876D4" w:rsidRPr="00077BD1">
        <w:rPr>
          <w:sz w:val="20"/>
        </w:rPr>
        <w:t>chemistry</w:t>
      </w:r>
      <w:r w:rsidR="00F876D4" w:rsidRPr="00077BD1">
        <w:rPr>
          <w:spacing w:val="-5"/>
          <w:sz w:val="20"/>
        </w:rPr>
        <w:t xml:space="preserve"> </w:t>
      </w:r>
      <w:r w:rsidR="00F876D4" w:rsidRPr="00077BD1">
        <w:rPr>
          <w:sz w:val="20"/>
        </w:rPr>
        <w:t>&amp;</w:t>
      </w:r>
      <w:r w:rsidR="00F876D4" w:rsidRPr="00077BD1">
        <w:rPr>
          <w:spacing w:val="-4"/>
          <w:sz w:val="20"/>
        </w:rPr>
        <w:t xml:space="preserve"> </w:t>
      </w:r>
      <w:r w:rsidR="00F876D4" w:rsidRPr="00077BD1">
        <w:rPr>
          <w:sz w:val="20"/>
        </w:rPr>
        <w:t>bio</w:t>
      </w:r>
      <w:r w:rsidRPr="00077BD1">
        <w:rPr>
          <w:sz w:val="20"/>
        </w:rPr>
        <w:t>-</w:t>
      </w:r>
      <w:r w:rsidR="00444D10" w:rsidRPr="00077BD1">
        <w:rPr>
          <w:sz w:val="20"/>
        </w:rPr>
        <w:t>chemistry</w:t>
      </w:r>
      <w:r w:rsidR="00444D10" w:rsidRPr="00077BD1">
        <w:rPr>
          <w:spacing w:val="-4"/>
          <w:sz w:val="20"/>
        </w:rPr>
        <w:t xml:space="preserve"> </w:t>
      </w:r>
      <w:r w:rsidR="00444D10" w:rsidRPr="00077BD1">
        <w:rPr>
          <w:spacing w:val="-3"/>
          <w:sz w:val="20"/>
        </w:rPr>
        <w:t>etc</w:t>
      </w:r>
      <w:r w:rsidR="00F876D4" w:rsidRPr="00077BD1">
        <w:rPr>
          <w:sz w:val="20"/>
        </w:rPr>
        <w:t>.</w:t>
      </w:r>
    </w:p>
    <w:p w:rsidR="00F876D4" w:rsidRPr="00077BD1" w:rsidRDefault="00CB555F" w:rsidP="00901850">
      <w:pPr>
        <w:pStyle w:val="BodyText"/>
        <w:spacing w:before="79" w:line="285" w:lineRule="auto"/>
        <w:ind w:right="1291"/>
        <w:jc w:val="both"/>
        <w:rPr>
          <w:w w:val="105"/>
          <w:sz w:val="20"/>
          <w:vertAlign w:val="superscript"/>
        </w:rPr>
      </w:pPr>
      <w:r w:rsidRPr="00077BD1">
        <w:rPr>
          <w:sz w:val="20"/>
        </w:rPr>
        <w:t>The characteristic</w:t>
      </w:r>
      <w:r w:rsidR="00F876D4" w:rsidRPr="00077BD1">
        <w:rPr>
          <w:sz w:val="20"/>
        </w:rPr>
        <w:t xml:space="preserve"> cone-like conformation of sugar ring, expressing a </w:t>
      </w:r>
      <w:r w:rsidR="00444D10" w:rsidRPr="00077BD1">
        <w:rPr>
          <w:sz w:val="20"/>
        </w:rPr>
        <w:t>lipophilc (</w:t>
      </w:r>
      <w:r w:rsidRPr="00077BD1">
        <w:rPr>
          <w:sz w:val="20"/>
        </w:rPr>
        <w:t>hydrophobic)</w:t>
      </w:r>
      <w:r w:rsidR="00F876D4" w:rsidRPr="00077BD1">
        <w:rPr>
          <w:sz w:val="20"/>
        </w:rPr>
        <w:t xml:space="preserve"> cavity &amp; </w:t>
      </w:r>
      <w:r w:rsidR="00444D10" w:rsidRPr="00077BD1">
        <w:rPr>
          <w:sz w:val="20"/>
        </w:rPr>
        <w:t>hydrophilic (</w:t>
      </w:r>
      <w:r w:rsidRPr="00077BD1">
        <w:rPr>
          <w:sz w:val="20"/>
        </w:rPr>
        <w:t>lipophobic) outer</w:t>
      </w:r>
      <w:r w:rsidR="00F876D4" w:rsidRPr="00077BD1">
        <w:rPr>
          <w:sz w:val="20"/>
        </w:rPr>
        <w:t xml:space="preserve"> surface allows </w:t>
      </w:r>
      <w:r w:rsidRPr="00077BD1">
        <w:rPr>
          <w:sz w:val="20"/>
        </w:rPr>
        <w:t>Cyclodextrin</w:t>
      </w:r>
      <w:r w:rsidR="00F876D4" w:rsidRPr="00077BD1">
        <w:rPr>
          <w:sz w:val="20"/>
        </w:rPr>
        <w:t xml:space="preserve"> matrix to spontaneous complex even poorly soluble compounds</w:t>
      </w:r>
      <w:r w:rsidR="00F876D4" w:rsidRPr="00077BD1">
        <w:rPr>
          <w:spacing w:val="1"/>
          <w:sz w:val="20"/>
        </w:rPr>
        <w:t xml:space="preserve"> </w:t>
      </w:r>
      <w:r w:rsidR="00F876D4" w:rsidRPr="00077BD1">
        <w:rPr>
          <w:sz w:val="20"/>
        </w:rPr>
        <w:t>in an aqueous environment</w:t>
      </w:r>
      <w:r w:rsidR="00991D6A" w:rsidRPr="00077BD1">
        <w:rPr>
          <w:sz w:val="20"/>
        </w:rPr>
        <w:t xml:space="preserve">. Although, the natural Cyclodextrin </w:t>
      </w:r>
      <w:r w:rsidR="00F876D4" w:rsidRPr="00077BD1">
        <w:rPr>
          <w:sz w:val="20"/>
        </w:rPr>
        <w:t>and their allied complexes are</w:t>
      </w:r>
      <w:r w:rsidR="00F876D4" w:rsidRPr="00077BD1">
        <w:rPr>
          <w:spacing w:val="1"/>
          <w:sz w:val="20"/>
        </w:rPr>
        <w:t xml:space="preserve"> </w:t>
      </w:r>
      <w:r w:rsidR="00F876D4" w:rsidRPr="00077BD1">
        <w:rPr>
          <w:sz w:val="20"/>
        </w:rPr>
        <w:t>lipophobic, yet their aq</w:t>
      </w:r>
      <w:r w:rsidR="00C60056" w:rsidRPr="00077BD1">
        <w:rPr>
          <w:sz w:val="20"/>
        </w:rPr>
        <w:t>ueous solubility is limited that is mainly</w:t>
      </w:r>
      <w:r w:rsidR="00F876D4" w:rsidRPr="00077BD1">
        <w:rPr>
          <w:sz w:val="20"/>
        </w:rPr>
        <w:t xml:space="preserve"> in β- CD </w:t>
      </w:r>
      <w:r w:rsidR="00444D10" w:rsidRPr="00077BD1">
        <w:rPr>
          <w:sz w:val="20"/>
        </w:rPr>
        <w:t>system</w:t>
      </w:r>
      <w:r w:rsidR="00B80D9F" w:rsidRPr="00077BD1">
        <w:rPr>
          <w:sz w:val="20"/>
        </w:rPr>
        <w:t>,</w:t>
      </w:r>
      <w:r w:rsidR="00B80D9F" w:rsidRPr="00077BD1">
        <w:rPr>
          <w:sz w:val="20"/>
          <w:vertAlign w:val="superscript"/>
        </w:rPr>
        <w:t>8</w:t>
      </w:r>
      <w:r w:rsidR="00444D10" w:rsidRPr="00077BD1">
        <w:rPr>
          <w:sz w:val="20"/>
        </w:rPr>
        <w:t xml:space="preserve">. </w:t>
      </w:r>
      <w:r w:rsidR="00F876D4" w:rsidRPr="00077BD1">
        <w:rPr>
          <w:sz w:val="20"/>
        </w:rPr>
        <w:t>This is</w:t>
      </w:r>
      <w:r w:rsidR="00F876D4" w:rsidRPr="00077BD1">
        <w:rPr>
          <w:spacing w:val="1"/>
          <w:sz w:val="20"/>
        </w:rPr>
        <w:t xml:space="preserve"> </w:t>
      </w:r>
      <w:r w:rsidR="00F876D4" w:rsidRPr="00077BD1">
        <w:rPr>
          <w:sz w:val="20"/>
        </w:rPr>
        <w:t>because</w:t>
      </w:r>
      <w:r w:rsidR="00F876D4" w:rsidRPr="00077BD1">
        <w:rPr>
          <w:spacing w:val="-3"/>
          <w:sz w:val="20"/>
        </w:rPr>
        <w:t xml:space="preserve"> </w:t>
      </w:r>
      <w:r w:rsidR="00C60056" w:rsidRPr="00077BD1">
        <w:rPr>
          <w:sz w:val="20"/>
        </w:rPr>
        <w:t xml:space="preserve">Cyclodextrin </w:t>
      </w:r>
      <w:r w:rsidR="00C60056" w:rsidRPr="00077BD1">
        <w:rPr>
          <w:spacing w:val="-2"/>
          <w:sz w:val="20"/>
        </w:rPr>
        <w:t>molecules</w:t>
      </w:r>
      <w:r w:rsidR="00F876D4" w:rsidRPr="00077BD1">
        <w:rPr>
          <w:spacing w:val="-2"/>
          <w:sz w:val="20"/>
        </w:rPr>
        <w:t xml:space="preserve"> </w:t>
      </w:r>
      <w:r w:rsidR="00F876D4" w:rsidRPr="00077BD1">
        <w:rPr>
          <w:sz w:val="20"/>
        </w:rPr>
        <w:t>bind</w:t>
      </w:r>
      <w:r w:rsidR="00F876D4" w:rsidRPr="00077BD1">
        <w:rPr>
          <w:spacing w:val="-4"/>
          <w:sz w:val="20"/>
        </w:rPr>
        <w:t xml:space="preserve"> </w:t>
      </w:r>
      <w:r w:rsidR="00F876D4" w:rsidRPr="00077BD1">
        <w:rPr>
          <w:sz w:val="20"/>
        </w:rPr>
        <w:t>relatively</w:t>
      </w:r>
      <w:r w:rsidR="00F876D4" w:rsidRPr="00077BD1">
        <w:rPr>
          <w:spacing w:val="-3"/>
          <w:sz w:val="20"/>
        </w:rPr>
        <w:t xml:space="preserve"> </w:t>
      </w:r>
      <w:r w:rsidR="00F876D4" w:rsidRPr="00077BD1">
        <w:rPr>
          <w:sz w:val="20"/>
        </w:rPr>
        <w:t>strongly</w:t>
      </w:r>
      <w:r w:rsidR="00F876D4" w:rsidRPr="00077BD1">
        <w:rPr>
          <w:spacing w:val="-4"/>
          <w:sz w:val="20"/>
        </w:rPr>
        <w:t xml:space="preserve"> </w:t>
      </w:r>
      <w:r w:rsidR="00F876D4" w:rsidRPr="00077BD1">
        <w:rPr>
          <w:sz w:val="20"/>
        </w:rPr>
        <w:t>in</w:t>
      </w:r>
      <w:r w:rsidR="00F876D4" w:rsidRPr="00077BD1">
        <w:rPr>
          <w:spacing w:val="-3"/>
          <w:sz w:val="20"/>
        </w:rPr>
        <w:t xml:space="preserve"> </w:t>
      </w:r>
      <w:r w:rsidR="00F876D4" w:rsidRPr="00077BD1">
        <w:rPr>
          <w:sz w:val="20"/>
        </w:rPr>
        <w:t>their</w:t>
      </w:r>
      <w:r w:rsidR="00F876D4" w:rsidRPr="00077BD1">
        <w:rPr>
          <w:spacing w:val="-3"/>
          <w:sz w:val="20"/>
        </w:rPr>
        <w:t xml:space="preserve"> </w:t>
      </w:r>
      <w:r w:rsidR="00F876D4" w:rsidRPr="00077BD1">
        <w:rPr>
          <w:sz w:val="20"/>
        </w:rPr>
        <w:t>crystal</w:t>
      </w:r>
      <w:r w:rsidR="00F876D4" w:rsidRPr="00077BD1">
        <w:rPr>
          <w:spacing w:val="-3"/>
          <w:sz w:val="20"/>
        </w:rPr>
        <w:t xml:space="preserve"> </w:t>
      </w:r>
      <w:r w:rsidR="00F876D4" w:rsidRPr="00077BD1">
        <w:rPr>
          <w:sz w:val="20"/>
        </w:rPr>
        <w:t>structure.</w:t>
      </w:r>
      <w:r w:rsidR="00F876D4" w:rsidRPr="00077BD1">
        <w:rPr>
          <w:spacing w:val="-3"/>
          <w:sz w:val="20"/>
        </w:rPr>
        <w:t xml:space="preserve"> </w:t>
      </w:r>
      <w:r w:rsidR="00F876D4" w:rsidRPr="00077BD1">
        <w:rPr>
          <w:sz w:val="20"/>
        </w:rPr>
        <w:t>Num</w:t>
      </w:r>
      <w:r w:rsidR="00C60056" w:rsidRPr="00077BD1">
        <w:rPr>
          <w:sz w:val="20"/>
        </w:rPr>
        <w:t>erous</w:t>
      </w:r>
      <w:r w:rsidR="00F876D4" w:rsidRPr="00077BD1">
        <w:rPr>
          <w:sz w:val="20"/>
        </w:rPr>
        <w:t xml:space="preserve"> </w:t>
      </w:r>
      <w:r w:rsidR="00F876D4" w:rsidRPr="00077BD1">
        <w:rPr>
          <w:noProof/>
          <w:sz w:val="20"/>
        </w:rPr>
        <w:drawing>
          <wp:anchor distT="0" distB="0" distL="0" distR="0" simplePos="0" relativeHeight="251680768" behindDoc="0" locked="0" layoutInCell="1" allowOverlap="1">
            <wp:simplePos x="0" y="0"/>
            <wp:positionH relativeFrom="page">
              <wp:posOffset>2875611</wp:posOffset>
            </wp:positionH>
            <wp:positionV relativeFrom="page">
              <wp:posOffset>10311770</wp:posOffset>
            </wp:positionV>
            <wp:extent cx="1904999" cy="304800"/>
            <wp:effectExtent l="0" t="0" r="0" b="0"/>
            <wp:wrapNone/>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7" cstate="print"/>
                    <a:stretch>
                      <a:fillRect/>
                    </a:stretch>
                  </pic:blipFill>
                  <pic:spPr>
                    <a:xfrm>
                      <a:off x="0" y="0"/>
                      <a:ext cx="1904999" cy="304800"/>
                    </a:xfrm>
                    <a:prstGeom prst="rect">
                      <a:avLst/>
                    </a:prstGeom>
                  </pic:spPr>
                </pic:pic>
              </a:graphicData>
            </a:graphic>
          </wp:anchor>
        </w:drawing>
      </w:r>
      <w:r w:rsidR="00F876D4" w:rsidRPr="00077BD1">
        <w:rPr>
          <w:sz w:val="20"/>
        </w:rPr>
        <w:t>techniques</w:t>
      </w:r>
      <w:r w:rsidR="00F876D4" w:rsidRPr="00077BD1">
        <w:rPr>
          <w:spacing w:val="6"/>
          <w:sz w:val="20"/>
        </w:rPr>
        <w:t xml:space="preserve"> </w:t>
      </w:r>
      <w:r w:rsidR="00F876D4" w:rsidRPr="00077BD1">
        <w:rPr>
          <w:sz w:val="20"/>
        </w:rPr>
        <w:t>of</w:t>
      </w:r>
      <w:r w:rsidR="00F876D4" w:rsidRPr="00077BD1">
        <w:rPr>
          <w:spacing w:val="6"/>
          <w:sz w:val="20"/>
        </w:rPr>
        <w:t xml:space="preserve"> </w:t>
      </w:r>
      <w:r w:rsidR="00F876D4" w:rsidRPr="00077BD1">
        <w:rPr>
          <w:sz w:val="20"/>
        </w:rPr>
        <w:t>manifold</w:t>
      </w:r>
      <w:r w:rsidR="00F876D4" w:rsidRPr="00077BD1">
        <w:rPr>
          <w:spacing w:val="3"/>
          <w:sz w:val="20"/>
        </w:rPr>
        <w:t xml:space="preserve"> </w:t>
      </w:r>
      <w:r w:rsidR="00F876D4" w:rsidRPr="00077BD1">
        <w:rPr>
          <w:sz w:val="20"/>
        </w:rPr>
        <w:t>nature</w:t>
      </w:r>
      <w:r w:rsidR="00F876D4" w:rsidRPr="00077BD1">
        <w:rPr>
          <w:spacing w:val="5"/>
          <w:sz w:val="20"/>
        </w:rPr>
        <w:t xml:space="preserve"> </w:t>
      </w:r>
      <w:r w:rsidR="00F876D4" w:rsidRPr="00077BD1">
        <w:rPr>
          <w:sz w:val="20"/>
        </w:rPr>
        <w:t>are</w:t>
      </w:r>
      <w:r w:rsidR="00F876D4" w:rsidRPr="00077BD1">
        <w:rPr>
          <w:spacing w:val="5"/>
          <w:sz w:val="20"/>
        </w:rPr>
        <w:t xml:space="preserve"> </w:t>
      </w:r>
      <w:r w:rsidR="00F876D4" w:rsidRPr="00077BD1">
        <w:rPr>
          <w:sz w:val="20"/>
        </w:rPr>
        <w:t>being</w:t>
      </w:r>
      <w:r w:rsidR="00F876D4" w:rsidRPr="00077BD1">
        <w:rPr>
          <w:spacing w:val="5"/>
          <w:sz w:val="20"/>
        </w:rPr>
        <w:t xml:space="preserve"> </w:t>
      </w:r>
      <w:r w:rsidR="00F876D4" w:rsidRPr="00077BD1">
        <w:rPr>
          <w:sz w:val="20"/>
        </w:rPr>
        <w:t>presently</w:t>
      </w:r>
      <w:r w:rsidR="00F876D4" w:rsidRPr="00077BD1">
        <w:rPr>
          <w:spacing w:val="4"/>
          <w:sz w:val="20"/>
        </w:rPr>
        <w:t xml:space="preserve"> </w:t>
      </w:r>
      <w:r w:rsidR="00F876D4" w:rsidRPr="00077BD1">
        <w:rPr>
          <w:sz w:val="20"/>
        </w:rPr>
        <w:t>utilized</w:t>
      </w:r>
      <w:r w:rsidR="00F876D4" w:rsidRPr="00077BD1">
        <w:rPr>
          <w:spacing w:val="3"/>
          <w:sz w:val="20"/>
        </w:rPr>
        <w:t xml:space="preserve"> </w:t>
      </w:r>
      <w:r w:rsidR="00F876D4" w:rsidRPr="00077BD1">
        <w:rPr>
          <w:sz w:val="20"/>
        </w:rPr>
        <w:t>for</w:t>
      </w:r>
      <w:r w:rsidR="00F876D4" w:rsidRPr="00077BD1">
        <w:rPr>
          <w:spacing w:val="5"/>
          <w:sz w:val="20"/>
        </w:rPr>
        <w:t xml:space="preserve"> </w:t>
      </w:r>
      <w:r w:rsidR="00F876D4" w:rsidRPr="00077BD1">
        <w:rPr>
          <w:sz w:val="20"/>
        </w:rPr>
        <w:t>intensifying</w:t>
      </w:r>
      <w:r w:rsidR="00F876D4" w:rsidRPr="00077BD1">
        <w:rPr>
          <w:spacing w:val="5"/>
          <w:sz w:val="20"/>
        </w:rPr>
        <w:t xml:space="preserve"> </w:t>
      </w:r>
      <w:r w:rsidR="00F876D4" w:rsidRPr="00077BD1">
        <w:rPr>
          <w:sz w:val="20"/>
        </w:rPr>
        <w:t>the</w:t>
      </w:r>
      <w:r w:rsidR="00F876D4" w:rsidRPr="00077BD1">
        <w:rPr>
          <w:spacing w:val="5"/>
          <w:sz w:val="20"/>
        </w:rPr>
        <w:t xml:space="preserve"> </w:t>
      </w:r>
      <w:r w:rsidR="00F876D4" w:rsidRPr="00077BD1">
        <w:rPr>
          <w:sz w:val="20"/>
        </w:rPr>
        <w:t>solubility</w:t>
      </w:r>
      <w:r w:rsidR="00F876D4" w:rsidRPr="00077BD1">
        <w:rPr>
          <w:spacing w:val="4"/>
          <w:sz w:val="20"/>
        </w:rPr>
        <w:t xml:space="preserve"> </w:t>
      </w:r>
      <w:r w:rsidR="00F876D4" w:rsidRPr="00077BD1">
        <w:rPr>
          <w:sz w:val="20"/>
        </w:rPr>
        <w:t>of</w:t>
      </w:r>
      <w:r w:rsidR="00EB72AC" w:rsidRPr="00077BD1">
        <w:rPr>
          <w:sz w:val="20"/>
        </w:rPr>
        <w:t xml:space="preserve"> </w:t>
      </w:r>
      <w:r w:rsidR="00F876D4" w:rsidRPr="00077BD1">
        <w:rPr>
          <w:spacing w:val="-56"/>
          <w:sz w:val="20"/>
        </w:rPr>
        <w:t xml:space="preserve"> </w:t>
      </w:r>
      <w:r w:rsidR="00F876D4" w:rsidRPr="00077BD1">
        <w:rPr>
          <w:w w:val="105"/>
          <w:sz w:val="20"/>
        </w:rPr>
        <w:t>drugs</w:t>
      </w:r>
      <w:r w:rsidR="00B80D9F" w:rsidRPr="00077BD1">
        <w:rPr>
          <w:w w:val="105"/>
          <w:sz w:val="20"/>
        </w:rPr>
        <w:t>,</w:t>
      </w:r>
      <w:r w:rsidR="00B80D9F" w:rsidRPr="00077BD1">
        <w:rPr>
          <w:w w:val="105"/>
          <w:sz w:val="20"/>
          <w:vertAlign w:val="superscript"/>
        </w:rPr>
        <w:t>9</w:t>
      </w:r>
      <w:r w:rsidR="00EB72AC" w:rsidRPr="00077BD1">
        <w:rPr>
          <w:w w:val="105"/>
          <w:sz w:val="20"/>
        </w:rPr>
        <w:t>.</w:t>
      </w:r>
      <w:r w:rsidR="00F876D4" w:rsidRPr="00077BD1">
        <w:rPr>
          <w:spacing w:val="-8"/>
          <w:w w:val="105"/>
          <w:sz w:val="20"/>
        </w:rPr>
        <w:t xml:space="preserve"> </w:t>
      </w:r>
    </w:p>
    <w:p w:rsidR="0009184F" w:rsidRPr="00212B47" w:rsidRDefault="00F876D4" w:rsidP="00212B47">
      <w:pPr>
        <w:pStyle w:val="BodyText"/>
        <w:spacing w:before="79" w:line="285" w:lineRule="auto"/>
        <w:ind w:right="1291"/>
        <w:jc w:val="both"/>
        <w:rPr>
          <w:w w:val="105"/>
          <w:sz w:val="20"/>
          <w:vertAlign w:val="superscript"/>
        </w:rPr>
      </w:pPr>
      <w:r w:rsidRPr="00077BD1">
        <w:rPr>
          <w:sz w:val="20"/>
        </w:rPr>
        <w:t>Complexation</w:t>
      </w:r>
      <w:r w:rsidRPr="00077BD1">
        <w:rPr>
          <w:spacing w:val="1"/>
          <w:sz w:val="20"/>
        </w:rPr>
        <w:t xml:space="preserve"> </w:t>
      </w:r>
      <w:r w:rsidRPr="00077BD1">
        <w:rPr>
          <w:sz w:val="20"/>
        </w:rPr>
        <w:t>is</w:t>
      </w:r>
      <w:r w:rsidRPr="00077BD1">
        <w:rPr>
          <w:spacing w:val="2"/>
          <w:sz w:val="20"/>
        </w:rPr>
        <w:t xml:space="preserve"> </w:t>
      </w:r>
      <w:r w:rsidRPr="00077BD1">
        <w:rPr>
          <w:sz w:val="20"/>
        </w:rPr>
        <w:t>one of</w:t>
      </w:r>
      <w:r w:rsidRPr="00077BD1">
        <w:rPr>
          <w:spacing w:val="3"/>
          <w:sz w:val="20"/>
        </w:rPr>
        <w:t xml:space="preserve"> </w:t>
      </w:r>
      <w:r w:rsidRPr="00077BD1">
        <w:rPr>
          <w:sz w:val="20"/>
        </w:rPr>
        <w:t>the</w:t>
      </w:r>
      <w:r w:rsidRPr="00077BD1">
        <w:rPr>
          <w:spacing w:val="1"/>
          <w:sz w:val="20"/>
        </w:rPr>
        <w:t xml:space="preserve"> </w:t>
      </w:r>
      <w:r w:rsidRPr="00077BD1">
        <w:rPr>
          <w:sz w:val="20"/>
        </w:rPr>
        <w:t>several</w:t>
      </w:r>
      <w:r w:rsidRPr="00077BD1">
        <w:rPr>
          <w:spacing w:val="2"/>
          <w:sz w:val="20"/>
        </w:rPr>
        <w:t xml:space="preserve"> </w:t>
      </w:r>
      <w:r w:rsidRPr="00077BD1">
        <w:rPr>
          <w:sz w:val="20"/>
        </w:rPr>
        <w:t>ways</w:t>
      </w:r>
      <w:r w:rsidRPr="00077BD1">
        <w:rPr>
          <w:spacing w:val="1"/>
          <w:sz w:val="20"/>
        </w:rPr>
        <w:t xml:space="preserve"> </w:t>
      </w:r>
      <w:r w:rsidRPr="00077BD1">
        <w:rPr>
          <w:sz w:val="20"/>
        </w:rPr>
        <w:t>to</w:t>
      </w:r>
      <w:r w:rsidRPr="00077BD1">
        <w:rPr>
          <w:spacing w:val="2"/>
          <w:sz w:val="20"/>
        </w:rPr>
        <w:t xml:space="preserve"> </w:t>
      </w:r>
      <w:r w:rsidRPr="00077BD1">
        <w:rPr>
          <w:sz w:val="20"/>
        </w:rPr>
        <w:t>sympathetically strengthen</w:t>
      </w:r>
      <w:r w:rsidRPr="00077BD1">
        <w:rPr>
          <w:spacing w:val="1"/>
          <w:sz w:val="20"/>
        </w:rPr>
        <w:t xml:space="preserve"> </w:t>
      </w:r>
      <w:r w:rsidRPr="00077BD1">
        <w:rPr>
          <w:sz w:val="20"/>
        </w:rPr>
        <w:t>the</w:t>
      </w:r>
      <w:r w:rsidRPr="00077BD1">
        <w:rPr>
          <w:spacing w:val="1"/>
          <w:sz w:val="20"/>
        </w:rPr>
        <w:t xml:space="preserve"> </w:t>
      </w:r>
      <w:r w:rsidRPr="00077BD1">
        <w:rPr>
          <w:sz w:val="20"/>
        </w:rPr>
        <w:t>physicochemical</w:t>
      </w:r>
      <w:r w:rsidR="00FF23BF">
        <w:rPr>
          <w:sz w:val="20"/>
        </w:rPr>
        <w:t xml:space="preserve"> </w:t>
      </w:r>
      <w:r w:rsidRPr="00077BD1">
        <w:rPr>
          <w:spacing w:val="-56"/>
          <w:sz w:val="20"/>
        </w:rPr>
        <w:t xml:space="preserve">       </w:t>
      </w:r>
      <w:r w:rsidR="00FF23BF">
        <w:rPr>
          <w:spacing w:val="-56"/>
          <w:sz w:val="20"/>
        </w:rPr>
        <w:t xml:space="preserve">           </w:t>
      </w:r>
      <w:r w:rsidRPr="00077BD1">
        <w:rPr>
          <w:sz w:val="20"/>
        </w:rPr>
        <w:t>properties</w:t>
      </w:r>
      <w:r w:rsidRPr="00077BD1">
        <w:rPr>
          <w:spacing w:val="4"/>
          <w:sz w:val="20"/>
        </w:rPr>
        <w:t xml:space="preserve"> </w:t>
      </w:r>
      <w:r w:rsidRPr="00077BD1">
        <w:rPr>
          <w:sz w:val="20"/>
        </w:rPr>
        <w:t>of</w:t>
      </w:r>
      <w:r w:rsidRPr="00077BD1">
        <w:rPr>
          <w:spacing w:val="4"/>
          <w:sz w:val="20"/>
        </w:rPr>
        <w:t xml:space="preserve"> </w:t>
      </w:r>
      <w:r w:rsidRPr="00077BD1">
        <w:rPr>
          <w:sz w:val="20"/>
        </w:rPr>
        <w:t>pharmaceutical</w:t>
      </w:r>
      <w:r w:rsidRPr="00077BD1">
        <w:rPr>
          <w:spacing w:val="3"/>
          <w:sz w:val="20"/>
        </w:rPr>
        <w:t xml:space="preserve"> </w:t>
      </w:r>
      <w:r w:rsidRPr="00077BD1">
        <w:rPr>
          <w:sz w:val="20"/>
        </w:rPr>
        <w:t>compound</w:t>
      </w:r>
      <w:r w:rsidRPr="00077BD1">
        <w:rPr>
          <w:spacing w:val="3"/>
          <w:sz w:val="20"/>
        </w:rPr>
        <w:t xml:space="preserve">. </w:t>
      </w:r>
      <w:r w:rsidRPr="00077BD1">
        <w:rPr>
          <w:sz w:val="20"/>
        </w:rPr>
        <w:t>It</w:t>
      </w:r>
      <w:r w:rsidRPr="00077BD1">
        <w:rPr>
          <w:spacing w:val="4"/>
          <w:sz w:val="20"/>
        </w:rPr>
        <w:t xml:space="preserve"> </w:t>
      </w:r>
      <w:r w:rsidRPr="00077BD1">
        <w:rPr>
          <w:sz w:val="20"/>
        </w:rPr>
        <w:t>is</w:t>
      </w:r>
      <w:r w:rsidRPr="00077BD1">
        <w:rPr>
          <w:spacing w:val="3"/>
          <w:sz w:val="20"/>
        </w:rPr>
        <w:t xml:space="preserve"> </w:t>
      </w:r>
      <w:r w:rsidRPr="00077BD1">
        <w:rPr>
          <w:sz w:val="20"/>
        </w:rPr>
        <w:t>based</w:t>
      </w:r>
      <w:r w:rsidRPr="00077BD1">
        <w:rPr>
          <w:spacing w:val="2"/>
          <w:sz w:val="20"/>
        </w:rPr>
        <w:t xml:space="preserve"> </w:t>
      </w:r>
      <w:r w:rsidRPr="00077BD1">
        <w:rPr>
          <w:sz w:val="20"/>
        </w:rPr>
        <w:t>on</w:t>
      </w:r>
      <w:r w:rsidRPr="00077BD1">
        <w:rPr>
          <w:spacing w:val="3"/>
          <w:sz w:val="20"/>
        </w:rPr>
        <w:t xml:space="preserve"> </w:t>
      </w:r>
      <w:r w:rsidRPr="00077BD1">
        <w:rPr>
          <w:sz w:val="20"/>
        </w:rPr>
        <w:t>the</w:t>
      </w:r>
      <w:r w:rsidRPr="00077BD1">
        <w:rPr>
          <w:spacing w:val="3"/>
          <w:sz w:val="20"/>
        </w:rPr>
        <w:t xml:space="preserve"> </w:t>
      </w:r>
      <w:r w:rsidRPr="00077BD1">
        <w:rPr>
          <w:sz w:val="20"/>
        </w:rPr>
        <w:t>potentiality</w:t>
      </w:r>
      <w:r w:rsidRPr="00077BD1">
        <w:rPr>
          <w:spacing w:val="3"/>
          <w:sz w:val="20"/>
        </w:rPr>
        <w:t xml:space="preserve"> </w:t>
      </w:r>
      <w:r w:rsidRPr="00077BD1">
        <w:rPr>
          <w:sz w:val="20"/>
        </w:rPr>
        <w:t>of</w:t>
      </w:r>
      <w:r w:rsidRPr="00077BD1">
        <w:rPr>
          <w:spacing w:val="4"/>
          <w:sz w:val="20"/>
        </w:rPr>
        <w:t xml:space="preserve"> </w:t>
      </w:r>
      <w:r w:rsidRPr="00077BD1">
        <w:rPr>
          <w:sz w:val="20"/>
        </w:rPr>
        <w:t>many</w:t>
      </w:r>
      <w:r w:rsidRPr="00077BD1">
        <w:rPr>
          <w:spacing w:val="3"/>
          <w:sz w:val="20"/>
        </w:rPr>
        <w:t xml:space="preserve"> </w:t>
      </w:r>
      <w:r w:rsidRPr="00077BD1">
        <w:rPr>
          <w:sz w:val="20"/>
        </w:rPr>
        <w:t>well</w:t>
      </w:r>
      <w:r w:rsidRPr="00077BD1">
        <w:rPr>
          <w:spacing w:val="1"/>
          <w:sz w:val="20"/>
        </w:rPr>
        <w:t xml:space="preserve"> </w:t>
      </w:r>
      <w:r w:rsidRPr="00077BD1">
        <w:rPr>
          <w:sz w:val="20"/>
        </w:rPr>
        <w:t>known</w:t>
      </w:r>
      <w:r w:rsidRPr="00077BD1">
        <w:rPr>
          <w:spacing w:val="1"/>
          <w:sz w:val="20"/>
        </w:rPr>
        <w:t xml:space="preserve"> </w:t>
      </w:r>
      <w:r w:rsidRPr="00077BD1">
        <w:rPr>
          <w:sz w:val="20"/>
        </w:rPr>
        <w:t>drugs</w:t>
      </w:r>
      <w:r w:rsidRPr="00077BD1">
        <w:rPr>
          <w:spacing w:val="2"/>
          <w:sz w:val="20"/>
        </w:rPr>
        <w:t xml:space="preserve"> </w:t>
      </w:r>
      <w:r w:rsidRPr="00077BD1">
        <w:rPr>
          <w:sz w:val="20"/>
        </w:rPr>
        <w:t>to</w:t>
      </w:r>
      <w:r w:rsidRPr="00077BD1">
        <w:rPr>
          <w:spacing w:val="1"/>
          <w:sz w:val="20"/>
        </w:rPr>
        <w:t xml:space="preserve"> </w:t>
      </w:r>
      <w:r w:rsidRPr="00077BD1">
        <w:rPr>
          <w:sz w:val="20"/>
        </w:rPr>
        <w:t>interact</w:t>
      </w:r>
      <w:r w:rsidRPr="00077BD1">
        <w:rPr>
          <w:spacing w:val="3"/>
          <w:sz w:val="20"/>
        </w:rPr>
        <w:t xml:space="preserve"> </w:t>
      </w:r>
      <w:r w:rsidRPr="00077BD1">
        <w:rPr>
          <w:sz w:val="20"/>
        </w:rPr>
        <w:t>&amp;</w:t>
      </w:r>
      <w:r w:rsidRPr="00077BD1">
        <w:rPr>
          <w:spacing w:val="1"/>
          <w:sz w:val="20"/>
        </w:rPr>
        <w:t xml:space="preserve"> </w:t>
      </w:r>
      <w:r w:rsidRPr="00077BD1">
        <w:rPr>
          <w:sz w:val="20"/>
        </w:rPr>
        <w:t>form</w:t>
      </w:r>
      <w:r w:rsidRPr="00077BD1">
        <w:rPr>
          <w:spacing w:val="3"/>
          <w:sz w:val="20"/>
        </w:rPr>
        <w:t xml:space="preserve"> </w:t>
      </w:r>
      <w:r w:rsidRPr="00077BD1">
        <w:rPr>
          <w:sz w:val="20"/>
        </w:rPr>
        <w:t>new</w:t>
      </w:r>
      <w:r w:rsidRPr="00077BD1">
        <w:rPr>
          <w:spacing w:val="1"/>
          <w:sz w:val="20"/>
        </w:rPr>
        <w:t xml:space="preserve"> </w:t>
      </w:r>
      <w:r w:rsidRPr="00077BD1">
        <w:rPr>
          <w:sz w:val="20"/>
        </w:rPr>
        <w:t>complex</w:t>
      </w:r>
      <w:r w:rsidRPr="00077BD1">
        <w:rPr>
          <w:spacing w:val="3"/>
          <w:sz w:val="20"/>
        </w:rPr>
        <w:t xml:space="preserve"> </w:t>
      </w:r>
      <w:r w:rsidRPr="00077BD1">
        <w:rPr>
          <w:sz w:val="20"/>
        </w:rPr>
        <w:t>drugs,</w:t>
      </w:r>
      <w:r w:rsidRPr="00077BD1">
        <w:rPr>
          <w:spacing w:val="3"/>
          <w:sz w:val="20"/>
        </w:rPr>
        <w:t xml:space="preserve"> </w:t>
      </w:r>
      <w:r w:rsidRPr="00077BD1">
        <w:rPr>
          <w:sz w:val="20"/>
        </w:rPr>
        <w:t>with</w:t>
      </w:r>
      <w:r w:rsidRPr="00077BD1">
        <w:rPr>
          <w:spacing w:val="1"/>
          <w:sz w:val="20"/>
        </w:rPr>
        <w:t xml:space="preserve"> </w:t>
      </w:r>
      <w:r w:rsidRPr="00077BD1">
        <w:rPr>
          <w:sz w:val="20"/>
        </w:rPr>
        <w:t>altered</w:t>
      </w:r>
      <w:r w:rsidRPr="00077BD1">
        <w:rPr>
          <w:spacing w:val="1"/>
          <w:sz w:val="20"/>
        </w:rPr>
        <w:t xml:space="preserve"> </w:t>
      </w:r>
      <w:r w:rsidRPr="00077BD1">
        <w:rPr>
          <w:sz w:val="20"/>
        </w:rPr>
        <w:t>properties</w:t>
      </w:r>
      <w:r w:rsidRPr="00077BD1">
        <w:rPr>
          <w:spacing w:val="2"/>
          <w:sz w:val="20"/>
        </w:rPr>
        <w:t xml:space="preserve"> </w:t>
      </w:r>
      <w:r w:rsidRPr="00077BD1">
        <w:rPr>
          <w:sz w:val="20"/>
        </w:rPr>
        <w:t>in</w:t>
      </w:r>
      <w:r w:rsidRPr="00077BD1">
        <w:rPr>
          <w:spacing w:val="1"/>
          <w:sz w:val="20"/>
        </w:rPr>
        <w:t xml:space="preserve"> </w:t>
      </w:r>
      <w:r w:rsidRPr="00077BD1">
        <w:rPr>
          <w:sz w:val="20"/>
        </w:rPr>
        <w:t>comparison</w:t>
      </w:r>
      <w:r w:rsidRPr="00077BD1">
        <w:rPr>
          <w:spacing w:val="1"/>
          <w:sz w:val="20"/>
        </w:rPr>
        <w:t xml:space="preserve"> </w:t>
      </w:r>
      <w:r w:rsidRPr="00077BD1">
        <w:rPr>
          <w:sz w:val="20"/>
        </w:rPr>
        <w:t>with drug alone. Complexation is the thermodynamic interaction between different</w:t>
      </w:r>
      <w:r w:rsidRPr="00077BD1">
        <w:rPr>
          <w:spacing w:val="1"/>
          <w:sz w:val="20"/>
        </w:rPr>
        <w:t xml:space="preserve"> </w:t>
      </w:r>
      <w:r w:rsidRPr="00077BD1">
        <w:rPr>
          <w:sz w:val="20"/>
        </w:rPr>
        <w:t>constituents of CDs the active drug parts</w:t>
      </w:r>
      <w:r w:rsidR="0084520C" w:rsidRPr="00077BD1">
        <w:rPr>
          <w:sz w:val="20"/>
        </w:rPr>
        <w:t>,</w:t>
      </w:r>
      <w:r w:rsidR="0084520C" w:rsidRPr="00077BD1">
        <w:rPr>
          <w:sz w:val="20"/>
          <w:vertAlign w:val="superscript"/>
        </w:rPr>
        <w:t>10</w:t>
      </w:r>
      <w:r w:rsidRPr="00077BD1">
        <w:rPr>
          <w:sz w:val="20"/>
        </w:rPr>
        <w:t>. The net energetic driving force must be vital</w:t>
      </w:r>
      <w:r w:rsidRPr="00077BD1">
        <w:rPr>
          <w:spacing w:val="1"/>
          <w:sz w:val="20"/>
        </w:rPr>
        <w:t xml:space="preserve"> </w:t>
      </w:r>
      <w:r w:rsidRPr="00077BD1">
        <w:rPr>
          <w:sz w:val="20"/>
        </w:rPr>
        <w:t xml:space="preserve">for such complexation, which drags the active drugs into CDs </w:t>
      </w:r>
      <w:r w:rsidR="00C60056" w:rsidRPr="00077BD1">
        <w:rPr>
          <w:sz w:val="20"/>
        </w:rPr>
        <w:t xml:space="preserve">skeleton. </w:t>
      </w:r>
      <w:r w:rsidRPr="00077BD1">
        <w:rPr>
          <w:sz w:val="20"/>
        </w:rPr>
        <w:t>Even though the</w:t>
      </w:r>
      <w:r w:rsidRPr="00077BD1">
        <w:rPr>
          <w:spacing w:val="1"/>
          <w:sz w:val="20"/>
        </w:rPr>
        <w:t xml:space="preserve"> </w:t>
      </w:r>
      <w:r w:rsidRPr="00077BD1">
        <w:rPr>
          <w:sz w:val="20"/>
        </w:rPr>
        <w:t>chemical structure of CDs may appear rather simple, the complete characterization &amp;</w:t>
      </w:r>
      <w:r w:rsidRPr="00077BD1">
        <w:rPr>
          <w:spacing w:val="1"/>
          <w:sz w:val="20"/>
        </w:rPr>
        <w:t xml:space="preserve"> </w:t>
      </w:r>
      <w:r w:rsidRPr="00077BD1">
        <w:rPr>
          <w:sz w:val="20"/>
        </w:rPr>
        <w:t>understanding of CDs the chemical properties was a research enterprise, which required</w:t>
      </w:r>
      <w:r w:rsidRPr="00077BD1">
        <w:rPr>
          <w:spacing w:val="1"/>
          <w:sz w:val="20"/>
        </w:rPr>
        <w:t xml:space="preserve"> </w:t>
      </w:r>
      <w:r w:rsidRPr="00077BD1">
        <w:rPr>
          <w:w w:val="105"/>
          <w:sz w:val="20"/>
        </w:rPr>
        <w:t>more</w:t>
      </w:r>
      <w:r w:rsidRPr="00077BD1">
        <w:rPr>
          <w:spacing w:val="-10"/>
          <w:w w:val="105"/>
          <w:sz w:val="20"/>
        </w:rPr>
        <w:t xml:space="preserve"> </w:t>
      </w:r>
      <w:r w:rsidRPr="00077BD1">
        <w:rPr>
          <w:w w:val="105"/>
          <w:sz w:val="20"/>
        </w:rPr>
        <w:t>than</w:t>
      </w:r>
      <w:r w:rsidRPr="00077BD1">
        <w:rPr>
          <w:spacing w:val="-9"/>
          <w:w w:val="105"/>
          <w:sz w:val="20"/>
        </w:rPr>
        <w:t xml:space="preserve"> </w:t>
      </w:r>
      <w:r w:rsidRPr="00077BD1">
        <w:rPr>
          <w:w w:val="105"/>
          <w:sz w:val="20"/>
        </w:rPr>
        <w:t>half</w:t>
      </w:r>
      <w:r w:rsidRPr="00077BD1">
        <w:rPr>
          <w:spacing w:val="-7"/>
          <w:w w:val="105"/>
          <w:sz w:val="20"/>
        </w:rPr>
        <w:t xml:space="preserve"> </w:t>
      </w:r>
      <w:r w:rsidRPr="00077BD1">
        <w:rPr>
          <w:w w:val="105"/>
          <w:sz w:val="20"/>
        </w:rPr>
        <w:t>a</w:t>
      </w:r>
      <w:r w:rsidRPr="00077BD1">
        <w:rPr>
          <w:spacing w:val="-10"/>
          <w:w w:val="105"/>
          <w:sz w:val="20"/>
        </w:rPr>
        <w:t xml:space="preserve"> </w:t>
      </w:r>
      <w:r w:rsidRPr="00077BD1">
        <w:rPr>
          <w:w w:val="105"/>
          <w:sz w:val="20"/>
        </w:rPr>
        <w:t>century</w:t>
      </w:r>
      <w:r w:rsidRPr="00077BD1">
        <w:rPr>
          <w:spacing w:val="-8"/>
          <w:w w:val="105"/>
          <w:sz w:val="20"/>
        </w:rPr>
        <w:t xml:space="preserve"> </w:t>
      </w:r>
      <w:r w:rsidRPr="00077BD1">
        <w:rPr>
          <w:w w:val="105"/>
          <w:sz w:val="20"/>
        </w:rPr>
        <w:t>to</w:t>
      </w:r>
      <w:r w:rsidRPr="00077BD1">
        <w:rPr>
          <w:spacing w:val="-8"/>
          <w:w w:val="105"/>
          <w:sz w:val="20"/>
        </w:rPr>
        <w:t xml:space="preserve"> </w:t>
      </w:r>
      <w:r w:rsidRPr="00077BD1">
        <w:rPr>
          <w:w w:val="105"/>
          <w:sz w:val="20"/>
        </w:rPr>
        <w:t>be</w:t>
      </w:r>
      <w:r w:rsidRPr="00077BD1">
        <w:rPr>
          <w:spacing w:val="-9"/>
          <w:w w:val="105"/>
          <w:sz w:val="20"/>
        </w:rPr>
        <w:t xml:space="preserve"> </w:t>
      </w:r>
      <w:r w:rsidRPr="00077BD1">
        <w:rPr>
          <w:w w:val="105"/>
          <w:sz w:val="20"/>
        </w:rPr>
        <w:t>completed</w:t>
      </w:r>
      <w:r w:rsidR="00982602" w:rsidRPr="00077BD1">
        <w:rPr>
          <w:w w:val="105"/>
          <w:sz w:val="20"/>
        </w:rPr>
        <w:t>. Figure 2 given below includes Cyclodextrin structures with their NMR spectra.</w:t>
      </w:r>
    </w:p>
    <w:tbl>
      <w:tblPr>
        <w:tblStyle w:val="MediumGrid2-Accent3"/>
        <w:tblW w:w="0" w:type="auto"/>
        <w:tblLook w:val="04A0"/>
      </w:tblPr>
      <w:tblGrid>
        <w:gridCol w:w="3447"/>
        <w:gridCol w:w="5796"/>
      </w:tblGrid>
      <w:tr w:rsidR="0009184F" w:rsidTr="00643EE8">
        <w:trPr>
          <w:cnfStyle w:val="100000000000"/>
        </w:trPr>
        <w:tc>
          <w:tcPr>
            <w:cnfStyle w:val="001000000100"/>
            <w:tcW w:w="4788" w:type="dxa"/>
          </w:tcPr>
          <w:p w:rsidR="0009184F" w:rsidRDefault="00643EE8">
            <w:pPr>
              <w:rPr>
                <w:rFonts w:ascii="Microsoft Sans Serif" w:eastAsia="Microsoft Sans Serif" w:hAnsi="Microsoft Sans Serif" w:cs="Microsoft Sans Serif"/>
              </w:rPr>
            </w:pPr>
            <w:r w:rsidRPr="00643EE8">
              <w:rPr>
                <w:rFonts w:ascii="Microsoft Sans Serif" w:eastAsia="Microsoft Sans Serif" w:hAnsi="Microsoft Sans Serif" w:cs="Microsoft Sans Serif"/>
                <w:noProof/>
              </w:rPr>
              <w:lastRenderedPageBreak/>
              <w:drawing>
                <wp:inline distT="0" distB="0" distL="0" distR="0">
                  <wp:extent cx="1658203" cy="1460311"/>
                  <wp:effectExtent l="0" t="0" r="0" b="0"/>
                  <wp:docPr id="23"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90713" cy="1857375"/>
                            <a:chOff x="7537450" y="1174750"/>
                            <a:chExt cx="1890713" cy="1857375"/>
                          </a:xfrm>
                        </a:grpSpPr>
                        <a:pic>
                          <a:nvPicPr>
                            <a:cNvPr id="0" name="Object 2"/>
                            <a:cNvPicPr>
                              <a:picLocks noChangeAspect="1" noChangeArrowheads="1"/>
                            </a:cNvPicPr>
                          </a:nvPicPr>
                          <a:blipFill>
                            <a:blip r:embed="rId18"/>
                            <a:srcRect/>
                            <a:stretch>
                              <a:fillRect/>
                            </a:stretch>
                          </a:blipFill>
                          <a:spPr bwMode="auto">
                            <a:xfrm>
                              <a:off x="7537450" y="1174750"/>
                              <a:ext cx="1890713" cy="1857375"/>
                            </a:xfrm>
                            <a:prstGeom prst="rect">
                              <a:avLst/>
                            </a:prstGeom>
                            <a:noFill/>
                            <a:ln w="9525">
                              <a:noFill/>
                              <a:miter lim="800000"/>
                              <a:headEnd/>
                              <a:tailEnd/>
                            </a:ln>
                            <a:effectLst/>
                          </a:spPr>
                        </a:pic>
                        <a:sp>
                          <a:nvSpPr>
                            <a:cNvPr id="5" name="TextBox 4"/>
                            <a:cNvSpPr txBox="1"/>
                          </a:nvSpPr>
                          <a:spPr>
                            <a:xfrm>
                              <a:off x="8147716" y="1883391"/>
                              <a:ext cx="109182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α</a:t>
                                </a:r>
                                <a:r>
                                  <a:rPr lang="en-US" dirty="0" smtClean="0"/>
                                  <a:t>-CD</a:t>
                                </a:r>
                                <a:endParaRPr lang="en-US" dirty="0"/>
                              </a:p>
                            </a:txBody>
                            <a:useSpRect/>
                          </a:txSp>
                        </a:sp>
                      </lc:lockedCanvas>
                    </a:graphicData>
                  </a:graphic>
                </wp:inline>
              </w:drawing>
            </w:r>
          </w:p>
        </w:tc>
        <w:tc>
          <w:tcPr>
            <w:tcW w:w="4788" w:type="dxa"/>
          </w:tcPr>
          <w:p w:rsidR="0009184F" w:rsidRDefault="00D654FA">
            <w:pPr>
              <w:cnfStyle w:val="100000000000"/>
              <w:rPr>
                <w:rFonts w:ascii="Microsoft Sans Serif" w:eastAsia="Microsoft Sans Serif" w:hAnsi="Microsoft Sans Serif" w:cs="Microsoft Sans Serif"/>
              </w:rPr>
            </w:pPr>
            <w:r w:rsidRPr="003F3E41">
              <w:rPr>
                <w:rFonts w:asciiTheme="minorHAnsi" w:eastAsiaTheme="minorHAnsi" w:hAnsiTheme="minorHAnsi" w:cstheme="minorBidi"/>
                <w:b w:val="0"/>
                <w:bCs w:val="0"/>
                <w:color w:val="auto"/>
              </w:rPr>
              <w:object w:dxaOrig="5834" w:dyaOrig="31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25pt;height:113.35pt" o:ole="">
                  <v:imagedata r:id="rId19" o:title=""/>
                </v:shape>
                <o:OLEObject Type="Embed" ProgID="ChemDraw.Document.6.0" ShapeID="_x0000_i1025" DrawAspect="Content" ObjectID="_1752067156" r:id="rId20"/>
              </w:object>
            </w:r>
          </w:p>
        </w:tc>
      </w:tr>
      <w:tr w:rsidR="0009184F" w:rsidTr="00D654FA">
        <w:trPr>
          <w:cnfStyle w:val="000000100000"/>
          <w:trHeight w:val="3004"/>
        </w:trPr>
        <w:tc>
          <w:tcPr>
            <w:cnfStyle w:val="001000000000"/>
            <w:tcW w:w="4788" w:type="dxa"/>
          </w:tcPr>
          <w:p w:rsidR="0009184F" w:rsidRDefault="00643EE8">
            <w:pPr>
              <w:rPr>
                <w:rFonts w:ascii="Microsoft Sans Serif" w:eastAsia="Microsoft Sans Serif" w:hAnsi="Microsoft Sans Serif" w:cs="Microsoft Sans Serif"/>
              </w:rPr>
            </w:pPr>
            <w:r w:rsidRPr="00643EE8">
              <w:rPr>
                <w:rFonts w:ascii="Microsoft Sans Serif" w:eastAsia="Microsoft Sans Serif" w:hAnsi="Microsoft Sans Serif" w:cs="Microsoft Sans Serif"/>
                <w:noProof/>
              </w:rPr>
              <w:drawing>
                <wp:inline distT="0" distB="0" distL="0" distR="0">
                  <wp:extent cx="1784350" cy="1765300"/>
                  <wp:effectExtent l="0" t="0" r="6350" b="0"/>
                  <wp:docPr id="24"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784350" cy="1765300"/>
                            <a:chOff x="3565525" y="1671638"/>
                            <a:chExt cx="1784350" cy="1765300"/>
                          </a:xfrm>
                        </a:grpSpPr>
                        <a:pic>
                          <a:nvPicPr>
                            <a:cNvPr id="0" name="Object 2"/>
                            <a:cNvPicPr>
                              <a:picLocks noChangeAspect="1" noChangeArrowheads="1"/>
                            </a:cNvPicPr>
                          </a:nvPicPr>
                          <a:blipFill>
                            <a:blip r:embed="rId21"/>
                            <a:srcRect/>
                            <a:stretch>
                              <a:fillRect/>
                            </a:stretch>
                          </a:blipFill>
                          <a:spPr bwMode="auto">
                            <a:xfrm>
                              <a:off x="3565525" y="1671638"/>
                              <a:ext cx="1784350" cy="1765300"/>
                            </a:xfrm>
                            <a:prstGeom prst="rect">
                              <a:avLst/>
                            </a:prstGeom>
                            <a:noFill/>
                            <a:ln w="9525">
                              <a:noFill/>
                              <a:miter lim="800000"/>
                              <a:headEnd/>
                              <a:tailEnd/>
                            </a:ln>
                            <a:effectLst/>
                          </a:spPr>
                        </a:pic>
                        <a:sp>
                          <a:nvSpPr>
                            <a:cNvPr id="8" name="TextBox 7"/>
                            <a:cNvSpPr txBox="1"/>
                          </a:nvSpPr>
                          <a:spPr>
                            <a:xfrm>
                              <a:off x="4203511" y="2429302"/>
                              <a:ext cx="644728"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β</a:t>
                                </a:r>
                                <a:r>
                                  <a:rPr lang="en-US" dirty="0" smtClean="0"/>
                                  <a:t>-CD</a:t>
                                </a:r>
                                <a:endParaRPr lang="en-US" dirty="0"/>
                              </a:p>
                            </a:txBody>
                            <a:useSpRect/>
                          </a:txSp>
                        </a:sp>
                      </lc:lockedCanvas>
                    </a:graphicData>
                  </a:graphic>
                </wp:inline>
              </w:drawing>
            </w:r>
          </w:p>
        </w:tc>
        <w:tc>
          <w:tcPr>
            <w:tcW w:w="4788" w:type="dxa"/>
          </w:tcPr>
          <w:p w:rsidR="0009184F" w:rsidRDefault="00D654FA">
            <w:pPr>
              <w:cnfStyle w:val="000000100000"/>
              <w:rPr>
                <w:rFonts w:ascii="Microsoft Sans Serif" w:eastAsia="Microsoft Sans Serif" w:hAnsi="Microsoft Sans Serif" w:cs="Microsoft Sans Serif"/>
              </w:rPr>
            </w:pPr>
            <w:r w:rsidRPr="003F3E41">
              <w:rPr>
                <w:rFonts w:asciiTheme="minorHAnsi" w:eastAsiaTheme="minorHAnsi" w:hAnsiTheme="minorHAnsi" w:cstheme="minorBidi"/>
                <w:color w:val="auto"/>
              </w:rPr>
              <w:object w:dxaOrig="7092" w:dyaOrig="3461">
                <v:shape id="_x0000_i1026" type="#_x0000_t75" style="width:270.25pt;height:135.4pt" o:ole="">
                  <v:imagedata r:id="rId22" o:title=""/>
                </v:shape>
                <o:OLEObject Type="Embed" ProgID="ChemDraw.Document.6.0" ShapeID="_x0000_i1026" DrawAspect="Content" ObjectID="_1752067157" r:id="rId23"/>
              </w:object>
            </w:r>
          </w:p>
        </w:tc>
      </w:tr>
      <w:tr w:rsidR="0009184F" w:rsidTr="00643EE8">
        <w:tc>
          <w:tcPr>
            <w:cnfStyle w:val="001000000000"/>
            <w:tcW w:w="4788" w:type="dxa"/>
          </w:tcPr>
          <w:p w:rsidR="0009184F" w:rsidRDefault="00643EE8">
            <w:pPr>
              <w:rPr>
                <w:rFonts w:ascii="Microsoft Sans Serif" w:eastAsia="Microsoft Sans Serif" w:hAnsi="Microsoft Sans Serif" w:cs="Microsoft Sans Serif"/>
              </w:rPr>
            </w:pPr>
            <w:r w:rsidRPr="00643EE8">
              <w:rPr>
                <w:rFonts w:ascii="Microsoft Sans Serif" w:eastAsia="Microsoft Sans Serif" w:hAnsi="Microsoft Sans Serif" w:cs="Microsoft Sans Serif"/>
                <w:noProof/>
              </w:rPr>
              <w:drawing>
                <wp:inline distT="0" distB="0" distL="0" distR="0">
                  <wp:extent cx="1719263" cy="1654175"/>
                  <wp:effectExtent l="19050" t="0" r="0" b="0"/>
                  <wp:docPr id="25"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719263" cy="1654175"/>
                            <a:chOff x="5781675" y="3597275"/>
                            <a:chExt cx="1719263" cy="1654175"/>
                          </a:xfrm>
                        </a:grpSpPr>
                        <a:pic>
                          <a:nvPicPr>
                            <a:cNvPr id="0" name="Object 2"/>
                            <a:cNvPicPr>
                              <a:picLocks noChangeAspect="1" noChangeArrowheads="1"/>
                            </a:cNvPicPr>
                          </a:nvPicPr>
                          <a:blipFill>
                            <a:blip r:embed="rId24"/>
                            <a:srcRect/>
                            <a:stretch>
                              <a:fillRect/>
                            </a:stretch>
                          </a:blipFill>
                          <a:spPr bwMode="auto">
                            <a:xfrm>
                              <a:off x="5781675" y="3597275"/>
                              <a:ext cx="1719263" cy="1654175"/>
                            </a:xfrm>
                            <a:prstGeom prst="rect">
                              <a:avLst/>
                            </a:prstGeom>
                            <a:noFill/>
                            <a:ln w="9525">
                              <a:noFill/>
                              <a:miter lim="800000"/>
                              <a:headEnd/>
                              <a:tailEnd/>
                            </a:ln>
                            <a:effectLst/>
                          </a:spPr>
                        </a:pic>
                        <a:sp>
                          <a:nvSpPr>
                            <a:cNvPr id="10" name="TextBox 9"/>
                            <a:cNvSpPr txBox="1"/>
                          </a:nvSpPr>
                          <a:spPr>
                            <a:xfrm>
                              <a:off x="6332562" y="4230806"/>
                              <a:ext cx="62549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Ꝩ-CD</a:t>
                                </a:r>
                                <a:endParaRPr lang="en-US" dirty="0"/>
                              </a:p>
                            </a:txBody>
                            <a:useSpRect/>
                          </a:txSp>
                        </a:sp>
                      </lc:lockedCanvas>
                    </a:graphicData>
                  </a:graphic>
                </wp:inline>
              </w:drawing>
            </w:r>
          </w:p>
        </w:tc>
        <w:tc>
          <w:tcPr>
            <w:tcW w:w="4788" w:type="dxa"/>
          </w:tcPr>
          <w:p w:rsidR="0009184F" w:rsidRDefault="00D654FA">
            <w:pPr>
              <w:cnfStyle w:val="000000000000"/>
              <w:rPr>
                <w:rFonts w:ascii="Microsoft Sans Serif" w:eastAsia="Microsoft Sans Serif" w:hAnsi="Microsoft Sans Serif" w:cs="Microsoft Sans Serif"/>
              </w:rPr>
            </w:pPr>
            <w:r w:rsidRPr="003F3E41">
              <w:rPr>
                <w:rFonts w:asciiTheme="minorHAnsi" w:eastAsiaTheme="minorHAnsi" w:hAnsiTheme="minorHAnsi" w:cstheme="minorBidi"/>
                <w:color w:val="auto"/>
              </w:rPr>
              <w:object w:dxaOrig="6706" w:dyaOrig="3017">
                <v:shape id="_x0000_i1027" type="#_x0000_t75" style="width:278.85pt;height:125.2pt" o:ole="">
                  <v:imagedata r:id="rId25" o:title=""/>
                </v:shape>
                <o:OLEObject Type="Embed" ProgID="ChemDraw.Document.6.0" ShapeID="_x0000_i1027" DrawAspect="Content" ObjectID="_1752067158" r:id="rId26"/>
              </w:object>
            </w:r>
          </w:p>
        </w:tc>
      </w:tr>
    </w:tbl>
    <w:p w:rsidR="00D46008" w:rsidRDefault="00D46008" w:rsidP="00FC4BA4">
      <w:pPr>
        <w:pStyle w:val="BodyText"/>
        <w:spacing w:before="79" w:line="285" w:lineRule="auto"/>
        <w:ind w:left="1078" w:right="1291"/>
        <w:jc w:val="both"/>
        <w:rPr>
          <w:sz w:val="18"/>
        </w:rPr>
      </w:pPr>
    </w:p>
    <w:p w:rsidR="00F876D4" w:rsidRPr="00C60056" w:rsidRDefault="00C60056" w:rsidP="00FC4BA4">
      <w:pPr>
        <w:pStyle w:val="BodyText"/>
        <w:spacing w:before="79" w:line="285" w:lineRule="auto"/>
        <w:ind w:left="1078" w:right="1291"/>
        <w:jc w:val="both"/>
        <w:rPr>
          <w:sz w:val="18"/>
        </w:rPr>
      </w:pPr>
      <w:r w:rsidRPr="00C60056">
        <w:rPr>
          <w:b/>
          <w:sz w:val="18"/>
        </w:rPr>
        <w:t>Figure</w:t>
      </w:r>
      <w:r w:rsidR="00982602">
        <w:rPr>
          <w:b/>
          <w:sz w:val="18"/>
        </w:rPr>
        <w:t xml:space="preserve"> 2</w:t>
      </w:r>
      <w:r w:rsidRPr="00C60056">
        <w:rPr>
          <w:b/>
          <w:sz w:val="18"/>
        </w:rPr>
        <w:t xml:space="preserve">: </w:t>
      </w:r>
      <w:r>
        <w:rPr>
          <w:sz w:val="18"/>
        </w:rPr>
        <w:t xml:space="preserve">α,β and Ꝩ Cyclodextrin NMR spectra </w:t>
      </w: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Default="00F876D4" w:rsidP="00FC4BA4">
      <w:pPr>
        <w:pStyle w:val="BodyText"/>
        <w:spacing w:before="79" w:line="285" w:lineRule="auto"/>
        <w:ind w:left="1078" w:right="1291"/>
        <w:jc w:val="both"/>
        <w:rPr>
          <w:sz w:val="18"/>
        </w:rPr>
      </w:pPr>
    </w:p>
    <w:p w:rsidR="00F876D4" w:rsidRPr="00FC4BA4" w:rsidRDefault="00F876D4" w:rsidP="00FC4BA4">
      <w:pPr>
        <w:pStyle w:val="BodyText"/>
        <w:spacing w:before="79" w:line="285" w:lineRule="auto"/>
        <w:ind w:left="1078" w:right="1291"/>
        <w:jc w:val="both"/>
        <w:rPr>
          <w:sz w:val="18"/>
        </w:rPr>
      </w:pPr>
    </w:p>
    <w:tbl>
      <w:tblPr>
        <w:tblStyle w:val="TableGrid"/>
        <w:tblW w:w="9527" w:type="dxa"/>
        <w:tblLook w:val="04A0"/>
      </w:tblPr>
      <w:tblGrid>
        <w:gridCol w:w="2800"/>
        <w:gridCol w:w="1337"/>
        <w:gridCol w:w="1270"/>
        <w:gridCol w:w="1351"/>
        <w:gridCol w:w="1344"/>
        <w:gridCol w:w="1425"/>
      </w:tblGrid>
      <w:tr w:rsidR="00F30950" w:rsidTr="00F876D4">
        <w:trPr>
          <w:trHeight w:val="890"/>
        </w:trPr>
        <w:tc>
          <w:tcPr>
            <w:tcW w:w="2800" w:type="dxa"/>
          </w:tcPr>
          <w:p w:rsidR="009265D3" w:rsidRDefault="00894560" w:rsidP="009265D3">
            <w:pPr>
              <w:pStyle w:val="TableParagraph"/>
              <w:spacing w:before="1" w:line="285" w:lineRule="auto"/>
              <w:ind w:right="124"/>
            </w:pPr>
            <w:r w:rsidRPr="00894560">
              <w:rPr>
                <w:sz w:val="20"/>
              </w:rPr>
              <w:t>Structure</w:t>
            </w:r>
            <w:r>
              <w:rPr>
                <w:sz w:val="20"/>
              </w:rPr>
              <w:t xml:space="preserve"> of α,β,Ꝩ Cyclodextrin</w:t>
            </w:r>
          </w:p>
        </w:tc>
        <w:tc>
          <w:tcPr>
            <w:tcW w:w="1337" w:type="dxa"/>
          </w:tcPr>
          <w:p w:rsidR="009265D3" w:rsidRDefault="00894560" w:rsidP="009265D3">
            <w:pPr>
              <w:pStyle w:val="TableParagraph"/>
              <w:spacing w:before="1" w:line="285" w:lineRule="auto"/>
              <w:ind w:right="124"/>
            </w:pPr>
            <w:r w:rsidRPr="00894560">
              <w:rPr>
                <w:sz w:val="20"/>
              </w:rPr>
              <w:t>Cavity diameter (Å)(µm)</w:t>
            </w:r>
          </w:p>
        </w:tc>
        <w:tc>
          <w:tcPr>
            <w:tcW w:w="1270" w:type="dxa"/>
          </w:tcPr>
          <w:p w:rsidR="009265D3" w:rsidRDefault="00894560" w:rsidP="009265D3">
            <w:pPr>
              <w:pStyle w:val="TableParagraph"/>
              <w:spacing w:before="1" w:line="285" w:lineRule="auto"/>
              <w:ind w:right="124"/>
            </w:pPr>
            <w:r w:rsidRPr="00894560">
              <w:rPr>
                <w:sz w:val="20"/>
              </w:rPr>
              <w:t>Cavity</w:t>
            </w:r>
            <w:r w:rsidRPr="00894560">
              <w:rPr>
                <w:spacing w:val="1"/>
                <w:sz w:val="20"/>
              </w:rPr>
              <w:t xml:space="preserve"> </w:t>
            </w:r>
            <w:r w:rsidRPr="00894560">
              <w:rPr>
                <w:sz w:val="20"/>
              </w:rPr>
              <w:t>volume</w:t>
            </w:r>
            <w:r w:rsidRPr="00894560">
              <w:rPr>
                <w:spacing w:val="-56"/>
                <w:sz w:val="20"/>
              </w:rPr>
              <w:t xml:space="preserve"> </w:t>
            </w:r>
            <w:r w:rsidRPr="00894560">
              <w:rPr>
                <w:sz w:val="20"/>
              </w:rPr>
              <w:t>(Å</w:t>
            </w:r>
            <w:r w:rsidRPr="00894560">
              <w:rPr>
                <w:sz w:val="20"/>
                <w:vertAlign w:val="superscript"/>
              </w:rPr>
              <w:t>3</w:t>
            </w:r>
            <w:r w:rsidRPr="00894560">
              <w:rPr>
                <w:sz w:val="20"/>
              </w:rPr>
              <w:t>)</w:t>
            </w:r>
          </w:p>
        </w:tc>
        <w:tc>
          <w:tcPr>
            <w:tcW w:w="1351" w:type="dxa"/>
          </w:tcPr>
          <w:p w:rsidR="009265D3" w:rsidRDefault="00894560" w:rsidP="009265D3">
            <w:pPr>
              <w:pStyle w:val="TableParagraph"/>
              <w:spacing w:before="1" w:line="285" w:lineRule="auto"/>
              <w:ind w:right="124"/>
            </w:pPr>
            <w:r w:rsidRPr="00894560">
              <w:rPr>
                <w:sz w:val="20"/>
              </w:rPr>
              <w:t>Water</w:t>
            </w:r>
            <w:r w:rsidRPr="00894560">
              <w:rPr>
                <w:spacing w:val="1"/>
                <w:sz w:val="20"/>
              </w:rPr>
              <w:t xml:space="preserve"> </w:t>
            </w:r>
            <w:r w:rsidRPr="00894560">
              <w:rPr>
                <w:sz w:val="20"/>
              </w:rPr>
              <w:t>molecule</w:t>
            </w:r>
            <w:r w:rsidRPr="00894560">
              <w:rPr>
                <w:spacing w:val="-56"/>
                <w:sz w:val="20"/>
              </w:rPr>
              <w:t xml:space="preserve"> </w:t>
            </w:r>
            <w:r w:rsidRPr="00894560">
              <w:rPr>
                <w:sz w:val="20"/>
              </w:rPr>
              <w:t>in</w:t>
            </w:r>
            <w:r w:rsidRPr="00894560">
              <w:rPr>
                <w:spacing w:val="4"/>
                <w:sz w:val="20"/>
              </w:rPr>
              <w:t xml:space="preserve"> </w:t>
            </w:r>
            <w:r w:rsidRPr="00894560">
              <w:rPr>
                <w:sz w:val="20"/>
              </w:rPr>
              <w:t>cavity</w:t>
            </w:r>
            <w:r w:rsidRPr="00894560">
              <w:rPr>
                <w:spacing w:val="1"/>
                <w:sz w:val="20"/>
              </w:rPr>
              <w:t xml:space="preserve"> </w:t>
            </w:r>
            <w:r w:rsidRPr="00894560">
              <w:rPr>
                <w:sz w:val="20"/>
              </w:rPr>
              <w:t>(n</w:t>
            </w:r>
            <w:r w:rsidRPr="00894560">
              <w:rPr>
                <w:sz w:val="20"/>
                <w:vertAlign w:val="superscript"/>
              </w:rPr>
              <w:t>r</w:t>
            </w:r>
            <w:r w:rsidRPr="00894560">
              <w:rPr>
                <w:sz w:val="20"/>
              </w:rPr>
              <w:t>)</w:t>
            </w:r>
          </w:p>
        </w:tc>
        <w:tc>
          <w:tcPr>
            <w:tcW w:w="1344" w:type="dxa"/>
          </w:tcPr>
          <w:p w:rsidR="009265D3" w:rsidRDefault="00894560" w:rsidP="009265D3">
            <w:pPr>
              <w:pStyle w:val="TableParagraph"/>
              <w:spacing w:before="1" w:line="285" w:lineRule="auto"/>
              <w:ind w:right="124"/>
            </w:pPr>
            <w:r w:rsidRPr="00894560">
              <w:rPr>
                <w:sz w:val="20"/>
              </w:rPr>
              <w:t>Aqueous</w:t>
            </w:r>
            <w:r w:rsidRPr="00894560">
              <w:rPr>
                <w:spacing w:val="-57"/>
                <w:sz w:val="20"/>
              </w:rPr>
              <w:t xml:space="preserve"> </w:t>
            </w:r>
            <w:r w:rsidRPr="00894560">
              <w:rPr>
                <w:sz w:val="20"/>
              </w:rPr>
              <w:t>solubility</w:t>
            </w:r>
            <w:r w:rsidRPr="00894560">
              <w:rPr>
                <w:spacing w:val="-57"/>
                <w:sz w:val="20"/>
              </w:rPr>
              <w:t xml:space="preserve"> </w:t>
            </w:r>
            <w:r w:rsidRPr="00894560">
              <w:rPr>
                <w:w w:val="105"/>
                <w:sz w:val="20"/>
              </w:rPr>
              <w:t>(M)</w:t>
            </w:r>
          </w:p>
        </w:tc>
        <w:tc>
          <w:tcPr>
            <w:tcW w:w="1425" w:type="dxa"/>
          </w:tcPr>
          <w:p w:rsidR="009265D3" w:rsidRDefault="00894560" w:rsidP="009265D3">
            <w:pPr>
              <w:pStyle w:val="TableParagraph"/>
              <w:spacing w:before="1" w:line="285" w:lineRule="auto"/>
              <w:ind w:right="124"/>
            </w:pPr>
            <w:r w:rsidRPr="00894560">
              <w:rPr>
                <w:sz w:val="20"/>
              </w:rPr>
              <w:t>Gibbs free</w:t>
            </w:r>
            <w:r w:rsidRPr="00894560">
              <w:rPr>
                <w:spacing w:val="1"/>
                <w:sz w:val="20"/>
              </w:rPr>
              <w:t xml:space="preserve"> </w:t>
            </w:r>
            <w:r w:rsidRPr="00894560">
              <w:rPr>
                <w:w w:val="105"/>
                <w:sz w:val="20"/>
              </w:rPr>
              <w:t>energy of</w:t>
            </w:r>
            <w:r w:rsidRPr="00894560">
              <w:rPr>
                <w:spacing w:val="1"/>
                <w:w w:val="105"/>
                <w:sz w:val="20"/>
              </w:rPr>
              <w:t xml:space="preserve"> </w:t>
            </w:r>
            <w:r w:rsidRPr="00894560">
              <w:rPr>
                <w:sz w:val="20"/>
              </w:rPr>
              <w:t>dissolution</w:t>
            </w:r>
            <w:r w:rsidRPr="00894560">
              <w:rPr>
                <w:spacing w:val="-56"/>
                <w:sz w:val="20"/>
              </w:rPr>
              <w:t xml:space="preserve"> </w:t>
            </w:r>
            <w:r w:rsidRPr="00894560">
              <w:rPr>
                <w:w w:val="105"/>
                <w:sz w:val="20"/>
              </w:rPr>
              <w:t>KJ/mol</w:t>
            </w:r>
          </w:p>
        </w:tc>
      </w:tr>
      <w:tr w:rsidR="004F0BB9" w:rsidTr="00F876D4">
        <w:trPr>
          <w:trHeight w:val="323"/>
        </w:trPr>
        <w:tc>
          <w:tcPr>
            <w:tcW w:w="2800" w:type="dxa"/>
          </w:tcPr>
          <w:p w:rsidR="004F0BB9" w:rsidRDefault="004F0BB9" w:rsidP="009265D3">
            <w:pPr>
              <w:pStyle w:val="TableParagraph"/>
              <w:spacing w:before="1" w:line="285" w:lineRule="auto"/>
              <w:ind w:right="124"/>
            </w:pPr>
            <w:r w:rsidRPr="00894560">
              <w:rPr>
                <w:noProof/>
              </w:rPr>
              <w:drawing>
                <wp:inline distT="0" distB="0" distL="0" distR="0">
                  <wp:extent cx="1536795" cy="1310185"/>
                  <wp:effectExtent l="19050" t="0" r="6255" b="0"/>
                  <wp:docPr id="4" name="Picture 11" descr="C:\Users\HP\Desktop\alph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alpha.tif"/>
                          <pic:cNvPicPr>
                            <a:picLocks noChangeAspect="1" noChangeArrowheads="1"/>
                          </pic:cNvPicPr>
                        </pic:nvPicPr>
                        <pic:blipFill>
                          <a:blip r:embed="rId27" cstate="print"/>
                          <a:srcRect/>
                          <a:stretch>
                            <a:fillRect/>
                          </a:stretch>
                        </pic:blipFill>
                        <pic:spPr bwMode="auto">
                          <a:xfrm>
                            <a:off x="0" y="0"/>
                            <a:ext cx="1543927" cy="1316265"/>
                          </a:xfrm>
                          <a:prstGeom prst="rect">
                            <a:avLst/>
                          </a:prstGeom>
                          <a:noFill/>
                          <a:ln w="9525">
                            <a:noFill/>
                            <a:miter lim="800000"/>
                            <a:headEnd/>
                            <a:tailEnd/>
                          </a:ln>
                        </pic:spPr>
                      </pic:pic>
                    </a:graphicData>
                  </a:graphic>
                </wp:inline>
              </w:drawing>
            </w:r>
          </w:p>
        </w:tc>
        <w:tc>
          <w:tcPr>
            <w:tcW w:w="1337" w:type="dxa"/>
          </w:tcPr>
          <w:p w:rsidR="004F0BB9" w:rsidRDefault="004F0BB9" w:rsidP="002504A6">
            <w:pPr>
              <w:pStyle w:val="TableParagraph"/>
              <w:tabs>
                <w:tab w:val="left" w:pos="382"/>
              </w:tabs>
              <w:spacing w:before="1"/>
              <w:ind w:left="107"/>
            </w:pPr>
            <w:r>
              <w:rPr>
                <w:w w:val="99"/>
              </w:rPr>
              <w:t>͌</w:t>
            </w:r>
            <w:r>
              <w:tab/>
            </w:r>
          </w:p>
          <w:p w:rsidR="004F0BB9" w:rsidRDefault="004F0BB9" w:rsidP="002504A6">
            <w:pPr>
              <w:pStyle w:val="TableParagraph"/>
              <w:tabs>
                <w:tab w:val="left" w:pos="382"/>
              </w:tabs>
              <w:spacing w:before="1"/>
              <w:ind w:left="107"/>
            </w:pPr>
          </w:p>
          <w:p w:rsidR="004F0BB9" w:rsidRDefault="004F0BB9" w:rsidP="004F0BB9">
            <w:pPr>
              <w:pStyle w:val="TableParagraph"/>
              <w:tabs>
                <w:tab w:val="left" w:pos="382"/>
              </w:tabs>
              <w:spacing w:before="1"/>
            </w:pPr>
          </w:p>
          <w:p w:rsidR="004F0BB9" w:rsidRDefault="004F0BB9" w:rsidP="004F0BB9">
            <w:pPr>
              <w:pStyle w:val="TableParagraph"/>
              <w:tabs>
                <w:tab w:val="left" w:pos="382"/>
              </w:tabs>
              <w:spacing w:before="1"/>
            </w:pPr>
          </w:p>
          <w:p w:rsidR="004F0BB9" w:rsidRDefault="004F0BB9" w:rsidP="002504A6">
            <w:pPr>
              <w:pStyle w:val="TableParagraph"/>
              <w:tabs>
                <w:tab w:val="left" w:pos="382"/>
              </w:tabs>
              <w:spacing w:before="1"/>
              <w:ind w:left="107"/>
            </w:pPr>
            <w:r>
              <w:rPr>
                <w:spacing w:val="-1"/>
              </w:rPr>
              <w:t xml:space="preserve">    5</w:t>
            </w:r>
            <w:r>
              <w:rPr>
                <w:spacing w:val="-1"/>
                <w:w w:val="94"/>
              </w:rPr>
              <w:t>.</w:t>
            </w:r>
            <w:r>
              <w:t>2</w:t>
            </w:r>
          </w:p>
        </w:tc>
        <w:tc>
          <w:tcPr>
            <w:tcW w:w="1270" w:type="dxa"/>
          </w:tcPr>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100</w:t>
            </w:r>
          </w:p>
        </w:tc>
        <w:tc>
          <w:tcPr>
            <w:tcW w:w="1351" w:type="dxa"/>
          </w:tcPr>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2.5</w:t>
            </w:r>
          </w:p>
        </w:tc>
        <w:tc>
          <w:tcPr>
            <w:tcW w:w="1344" w:type="dxa"/>
          </w:tcPr>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0.12</w:t>
            </w:r>
          </w:p>
        </w:tc>
        <w:tc>
          <w:tcPr>
            <w:tcW w:w="1425" w:type="dxa"/>
          </w:tcPr>
          <w:p w:rsidR="004F0BB9" w:rsidRDefault="004F0BB9" w:rsidP="002504A6">
            <w:pPr>
              <w:pStyle w:val="TableParagraph"/>
              <w:spacing w:before="1"/>
              <w:ind w:left="106"/>
            </w:pPr>
          </w:p>
          <w:p w:rsidR="004F0BB9" w:rsidRDefault="004F0BB9" w:rsidP="002504A6">
            <w:pPr>
              <w:pStyle w:val="TableParagraph"/>
              <w:spacing w:before="1"/>
              <w:ind w:left="106"/>
            </w:pPr>
          </w:p>
          <w:p w:rsidR="004F0BB9" w:rsidRDefault="004F0BB9" w:rsidP="002504A6">
            <w:pPr>
              <w:pStyle w:val="TableParagraph"/>
              <w:spacing w:before="1"/>
              <w:ind w:left="106"/>
            </w:pPr>
          </w:p>
          <w:p w:rsidR="004F0BB9" w:rsidRDefault="004F0BB9" w:rsidP="002504A6">
            <w:pPr>
              <w:pStyle w:val="TableParagraph"/>
              <w:spacing w:before="1"/>
              <w:ind w:left="106"/>
            </w:pPr>
          </w:p>
          <w:p w:rsidR="004F0BB9" w:rsidRDefault="004F0BB9" w:rsidP="004F0BB9">
            <w:pPr>
              <w:pStyle w:val="TableParagraph"/>
              <w:spacing w:before="1"/>
            </w:pPr>
            <w:r>
              <w:t xml:space="preserve">      15</w:t>
            </w:r>
          </w:p>
        </w:tc>
      </w:tr>
      <w:tr w:rsidR="004F0BB9" w:rsidTr="00F876D4">
        <w:trPr>
          <w:trHeight w:val="348"/>
        </w:trPr>
        <w:tc>
          <w:tcPr>
            <w:tcW w:w="2800" w:type="dxa"/>
          </w:tcPr>
          <w:p w:rsidR="004F0BB9" w:rsidRDefault="004F0BB9" w:rsidP="009265D3">
            <w:pPr>
              <w:pStyle w:val="TableParagraph"/>
              <w:spacing w:before="1" w:line="285" w:lineRule="auto"/>
              <w:ind w:right="124"/>
            </w:pPr>
            <w:r w:rsidRPr="00F30950">
              <w:rPr>
                <w:noProof/>
              </w:rPr>
              <w:drawing>
                <wp:inline distT="0" distB="0" distL="0" distR="0">
                  <wp:extent cx="1537904" cy="1314838"/>
                  <wp:effectExtent l="19050" t="0" r="5146" b="0"/>
                  <wp:docPr id="9" name="Picture 12" descr="C:\Users\HP\Downloads\MolView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MolView (model).png"/>
                          <pic:cNvPicPr>
                            <a:picLocks noChangeAspect="1" noChangeArrowheads="1"/>
                          </pic:cNvPicPr>
                        </pic:nvPicPr>
                        <pic:blipFill>
                          <a:blip r:embed="rId28" cstate="print"/>
                          <a:srcRect/>
                          <a:stretch>
                            <a:fillRect/>
                          </a:stretch>
                        </pic:blipFill>
                        <pic:spPr bwMode="auto">
                          <a:xfrm>
                            <a:off x="0" y="0"/>
                            <a:ext cx="1542085" cy="1318413"/>
                          </a:xfrm>
                          <a:prstGeom prst="rect">
                            <a:avLst/>
                          </a:prstGeom>
                          <a:noFill/>
                          <a:ln w="9525">
                            <a:noFill/>
                            <a:miter lim="800000"/>
                            <a:headEnd/>
                            <a:tailEnd/>
                          </a:ln>
                        </pic:spPr>
                      </pic:pic>
                    </a:graphicData>
                  </a:graphic>
                </wp:inline>
              </w:drawing>
            </w:r>
          </w:p>
        </w:tc>
        <w:tc>
          <w:tcPr>
            <w:tcW w:w="1337" w:type="dxa"/>
          </w:tcPr>
          <w:p w:rsidR="004F0BB9" w:rsidRDefault="004F0BB9" w:rsidP="002504A6">
            <w:pPr>
              <w:pStyle w:val="TableParagraph"/>
              <w:tabs>
                <w:tab w:val="left" w:pos="382"/>
              </w:tabs>
              <w:spacing w:before="1"/>
            </w:pPr>
            <w:r>
              <w:tab/>
            </w:r>
          </w:p>
          <w:p w:rsidR="004F0BB9" w:rsidRDefault="004F0BB9" w:rsidP="002504A6">
            <w:pPr>
              <w:pStyle w:val="TableParagraph"/>
              <w:tabs>
                <w:tab w:val="left" w:pos="382"/>
              </w:tabs>
              <w:spacing w:before="1"/>
            </w:pPr>
          </w:p>
          <w:p w:rsidR="004F0BB9" w:rsidRDefault="004F0BB9" w:rsidP="002504A6">
            <w:pPr>
              <w:pStyle w:val="TableParagraph"/>
              <w:tabs>
                <w:tab w:val="left" w:pos="382"/>
              </w:tabs>
              <w:spacing w:before="1"/>
            </w:pPr>
          </w:p>
          <w:p w:rsidR="004F0BB9" w:rsidRDefault="004F0BB9" w:rsidP="002504A6">
            <w:pPr>
              <w:pStyle w:val="TableParagraph"/>
              <w:tabs>
                <w:tab w:val="left" w:pos="382"/>
              </w:tabs>
              <w:spacing w:before="1"/>
            </w:pPr>
          </w:p>
          <w:p w:rsidR="004F0BB9" w:rsidRDefault="004F0BB9" w:rsidP="002504A6">
            <w:pPr>
              <w:pStyle w:val="TableParagraph"/>
              <w:tabs>
                <w:tab w:val="left" w:pos="382"/>
              </w:tabs>
              <w:spacing w:before="1"/>
            </w:pPr>
            <w:r>
              <w:t xml:space="preserve">      </w:t>
            </w:r>
            <w:r>
              <w:rPr>
                <w:spacing w:val="-1"/>
              </w:rPr>
              <w:t>6</w:t>
            </w:r>
            <w:r>
              <w:rPr>
                <w:spacing w:val="-1"/>
                <w:w w:val="94"/>
              </w:rPr>
              <w:t>.</w:t>
            </w:r>
            <w:r>
              <w:t>6</w:t>
            </w:r>
          </w:p>
        </w:tc>
        <w:tc>
          <w:tcPr>
            <w:tcW w:w="1270" w:type="dxa"/>
          </w:tcPr>
          <w:p w:rsidR="004F0BB9" w:rsidRDefault="004F0BB9" w:rsidP="002504A6">
            <w:pPr>
              <w:pStyle w:val="TableParagraph"/>
              <w:spacing w:before="1"/>
              <w:ind w:left="107"/>
            </w:pPr>
            <w:r>
              <w:t xml:space="preserve">  </w:t>
            </w: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160</w:t>
            </w:r>
          </w:p>
        </w:tc>
        <w:tc>
          <w:tcPr>
            <w:tcW w:w="1351" w:type="dxa"/>
          </w:tcPr>
          <w:p w:rsidR="004F0BB9" w:rsidRDefault="004F0BB9" w:rsidP="002504A6">
            <w:pPr>
              <w:pStyle w:val="TableParagraph"/>
              <w:spacing w:before="1"/>
              <w:ind w:left="107"/>
            </w:pPr>
            <w:r>
              <w:t xml:space="preserve">     </w:t>
            </w: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5.0</w:t>
            </w:r>
          </w:p>
        </w:tc>
        <w:tc>
          <w:tcPr>
            <w:tcW w:w="1344" w:type="dxa"/>
          </w:tcPr>
          <w:p w:rsidR="004F0BB9" w:rsidRDefault="004F0BB9" w:rsidP="002504A6">
            <w:pPr>
              <w:pStyle w:val="TableParagraph"/>
              <w:spacing w:before="1"/>
              <w:ind w:left="107"/>
            </w:pPr>
            <w:r>
              <w:t xml:space="preserve"> </w:t>
            </w: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2504A6">
            <w:pPr>
              <w:pStyle w:val="TableParagraph"/>
              <w:spacing w:before="1"/>
              <w:ind w:left="107"/>
            </w:pPr>
          </w:p>
          <w:p w:rsidR="004F0BB9" w:rsidRDefault="004F0BB9" w:rsidP="004F0BB9">
            <w:pPr>
              <w:pStyle w:val="TableParagraph"/>
              <w:spacing w:before="1"/>
            </w:pPr>
            <w:r>
              <w:t xml:space="preserve">     0.016</w:t>
            </w:r>
          </w:p>
        </w:tc>
        <w:tc>
          <w:tcPr>
            <w:tcW w:w="1425" w:type="dxa"/>
          </w:tcPr>
          <w:p w:rsidR="004F0BB9" w:rsidRDefault="004F0BB9" w:rsidP="002504A6">
            <w:pPr>
              <w:pStyle w:val="TableParagraph"/>
              <w:spacing w:before="1"/>
              <w:ind w:left="106"/>
            </w:pPr>
            <w:r>
              <w:t xml:space="preserve">       </w:t>
            </w:r>
          </w:p>
          <w:p w:rsidR="004F0BB9" w:rsidRDefault="004F0BB9" w:rsidP="002504A6">
            <w:pPr>
              <w:pStyle w:val="TableParagraph"/>
              <w:spacing w:before="1"/>
              <w:ind w:left="106"/>
            </w:pPr>
          </w:p>
          <w:p w:rsidR="004F0BB9" w:rsidRDefault="004F0BB9" w:rsidP="002504A6">
            <w:pPr>
              <w:pStyle w:val="TableParagraph"/>
              <w:spacing w:before="1"/>
              <w:ind w:left="106"/>
            </w:pPr>
          </w:p>
          <w:p w:rsidR="004F0BB9" w:rsidRDefault="004F0BB9" w:rsidP="002504A6">
            <w:pPr>
              <w:pStyle w:val="TableParagraph"/>
              <w:spacing w:before="1"/>
              <w:ind w:left="106"/>
            </w:pPr>
          </w:p>
          <w:p w:rsidR="004F0BB9" w:rsidRDefault="004F0BB9" w:rsidP="004F0BB9">
            <w:pPr>
              <w:pStyle w:val="TableParagraph"/>
              <w:spacing w:before="1"/>
            </w:pPr>
            <w:r>
              <w:t xml:space="preserve">       20</w:t>
            </w:r>
          </w:p>
        </w:tc>
      </w:tr>
      <w:tr w:rsidR="004F0BB9" w:rsidRPr="00FC4BA4" w:rsidTr="00F876D4">
        <w:trPr>
          <w:trHeight w:val="348"/>
        </w:trPr>
        <w:tc>
          <w:tcPr>
            <w:tcW w:w="2800" w:type="dxa"/>
          </w:tcPr>
          <w:p w:rsidR="004F0BB9" w:rsidRPr="00FC4BA4" w:rsidRDefault="004F0BB9" w:rsidP="009265D3">
            <w:pPr>
              <w:pStyle w:val="TableParagraph"/>
              <w:spacing w:before="1" w:line="285" w:lineRule="auto"/>
              <w:ind w:right="124"/>
              <w:rPr>
                <w:sz w:val="24"/>
              </w:rPr>
            </w:pPr>
            <w:r w:rsidRPr="00FC4BA4">
              <w:rPr>
                <w:noProof/>
                <w:sz w:val="24"/>
              </w:rPr>
              <w:drawing>
                <wp:inline distT="0" distB="0" distL="0" distR="0">
                  <wp:extent cx="1495539" cy="1351128"/>
                  <wp:effectExtent l="19050" t="0" r="9411" b="0"/>
                  <wp:docPr id="11" name="Picture 13" descr="C:\Users\HP\Downloads\Gamma cyclodextrin (mod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Gamma cyclodextrin (model) (1).png"/>
                          <pic:cNvPicPr>
                            <a:picLocks noChangeAspect="1" noChangeArrowheads="1"/>
                          </pic:cNvPicPr>
                        </pic:nvPicPr>
                        <pic:blipFill>
                          <a:blip r:embed="rId29" cstate="print"/>
                          <a:srcRect/>
                          <a:stretch>
                            <a:fillRect/>
                          </a:stretch>
                        </pic:blipFill>
                        <pic:spPr bwMode="auto">
                          <a:xfrm>
                            <a:off x="0" y="0"/>
                            <a:ext cx="1502326" cy="1357259"/>
                          </a:xfrm>
                          <a:prstGeom prst="rect">
                            <a:avLst/>
                          </a:prstGeom>
                          <a:noFill/>
                          <a:ln w="9525">
                            <a:noFill/>
                            <a:miter lim="800000"/>
                            <a:headEnd/>
                            <a:tailEnd/>
                          </a:ln>
                        </pic:spPr>
                      </pic:pic>
                    </a:graphicData>
                  </a:graphic>
                </wp:inline>
              </w:drawing>
            </w:r>
          </w:p>
        </w:tc>
        <w:tc>
          <w:tcPr>
            <w:tcW w:w="1337" w:type="dxa"/>
          </w:tcPr>
          <w:p w:rsidR="004F0BB9" w:rsidRPr="00FC4BA4" w:rsidRDefault="004F0BB9" w:rsidP="002504A6">
            <w:pPr>
              <w:pStyle w:val="TableParagraph"/>
              <w:tabs>
                <w:tab w:val="left" w:pos="382"/>
              </w:tabs>
              <w:spacing w:before="1"/>
              <w:ind w:left="107"/>
              <w:rPr>
                <w:sz w:val="24"/>
              </w:rPr>
            </w:pPr>
            <w:r w:rsidRPr="00FC4BA4">
              <w:rPr>
                <w:w w:val="99"/>
                <w:sz w:val="24"/>
              </w:rPr>
              <w:t>͌</w:t>
            </w:r>
            <w:r w:rsidRPr="00FC4BA4">
              <w:rPr>
                <w:sz w:val="24"/>
              </w:rPr>
              <w:tab/>
            </w:r>
          </w:p>
          <w:p w:rsidR="004F0BB9" w:rsidRPr="00FC4BA4" w:rsidRDefault="004F0BB9" w:rsidP="002504A6">
            <w:pPr>
              <w:pStyle w:val="TableParagraph"/>
              <w:tabs>
                <w:tab w:val="left" w:pos="382"/>
              </w:tabs>
              <w:spacing w:before="1"/>
              <w:ind w:left="107"/>
              <w:rPr>
                <w:sz w:val="24"/>
              </w:rPr>
            </w:pPr>
          </w:p>
          <w:p w:rsidR="004F0BB9" w:rsidRPr="00FC4BA4" w:rsidRDefault="004F0BB9" w:rsidP="002504A6">
            <w:pPr>
              <w:pStyle w:val="TableParagraph"/>
              <w:tabs>
                <w:tab w:val="left" w:pos="382"/>
              </w:tabs>
              <w:spacing w:before="1"/>
              <w:ind w:left="107"/>
              <w:rPr>
                <w:sz w:val="24"/>
              </w:rPr>
            </w:pPr>
          </w:p>
          <w:p w:rsidR="004F0BB9" w:rsidRPr="00FC4BA4" w:rsidRDefault="004F0BB9" w:rsidP="004F0BB9">
            <w:pPr>
              <w:pStyle w:val="TableParagraph"/>
              <w:tabs>
                <w:tab w:val="left" w:pos="382"/>
              </w:tabs>
              <w:spacing w:before="1"/>
              <w:rPr>
                <w:sz w:val="24"/>
              </w:rPr>
            </w:pPr>
          </w:p>
          <w:p w:rsidR="004F0BB9" w:rsidRPr="00FC4BA4" w:rsidRDefault="004F0BB9" w:rsidP="002504A6">
            <w:pPr>
              <w:pStyle w:val="TableParagraph"/>
              <w:tabs>
                <w:tab w:val="left" w:pos="382"/>
              </w:tabs>
              <w:spacing w:before="1"/>
              <w:rPr>
                <w:sz w:val="24"/>
              </w:rPr>
            </w:pPr>
            <w:r w:rsidRPr="00FC4BA4">
              <w:rPr>
                <w:sz w:val="24"/>
              </w:rPr>
              <w:t xml:space="preserve">      </w:t>
            </w:r>
            <w:r w:rsidRPr="00FC4BA4">
              <w:rPr>
                <w:spacing w:val="-1"/>
                <w:sz w:val="24"/>
              </w:rPr>
              <w:t>8</w:t>
            </w:r>
            <w:r w:rsidRPr="00FC4BA4">
              <w:rPr>
                <w:spacing w:val="-1"/>
                <w:w w:val="94"/>
                <w:sz w:val="24"/>
              </w:rPr>
              <w:t>.</w:t>
            </w:r>
            <w:r w:rsidRPr="00FC4BA4">
              <w:rPr>
                <w:sz w:val="24"/>
              </w:rPr>
              <w:t>4</w:t>
            </w:r>
          </w:p>
        </w:tc>
        <w:tc>
          <w:tcPr>
            <w:tcW w:w="1270" w:type="dxa"/>
          </w:tcPr>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4F0BB9">
            <w:pPr>
              <w:pStyle w:val="TableParagraph"/>
              <w:spacing w:before="1"/>
              <w:rPr>
                <w:sz w:val="24"/>
              </w:rPr>
            </w:pPr>
            <w:r w:rsidRPr="00FC4BA4">
              <w:rPr>
                <w:sz w:val="24"/>
              </w:rPr>
              <w:t xml:space="preserve">      250</w:t>
            </w:r>
          </w:p>
        </w:tc>
        <w:tc>
          <w:tcPr>
            <w:tcW w:w="1351" w:type="dxa"/>
          </w:tcPr>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4F0BB9">
            <w:pPr>
              <w:pStyle w:val="TableParagraph"/>
              <w:spacing w:before="1"/>
              <w:rPr>
                <w:sz w:val="24"/>
              </w:rPr>
            </w:pPr>
            <w:r w:rsidRPr="00FC4BA4">
              <w:rPr>
                <w:sz w:val="24"/>
              </w:rPr>
              <w:t xml:space="preserve">       8.5</w:t>
            </w:r>
          </w:p>
        </w:tc>
        <w:tc>
          <w:tcPr>
            <w:tcW w:w="1344" w:type="dxa"/>
          </w:tcPr>
          <w:p w:rsidR="004F0BB9" w:rsidRPr="00FC4BA4" w:rsidRDefault="004F0BB9" w:rsidP="002504A6">
            <w:pPr>
              <w:pStyle w:val="TableParagraph"/>
              <w:spacing w:before="1"/>
              <w:ind w:left="107"/>
              <w:rPr>
                <w:sz w:val="24"/>
              </w:rPr>
            </w:pPr>
            <w:r w:rsidRPr="00FC4BA4">
              <w:rPr>
                <w:sz w:val="24"/>
              </w:rPr>
              <w:t xml:space="preserve"> </w:t>
            </w: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2504A6">
            <w:pPr>
              <w:pStyle w:val="TableParagraph"/>
              <w:spacing w:before="1"/>
              <w:ind w:left="107"/>
              <w:rPr>
                <w:sz w:val="24"/>
              </w:rPr>
            </w:pPr>
          </w:p>
          <w:p w:rsidR="004F0BB9" w:rsidRPr="00FC4BA4" w:rsidRDefault="004F0BB9" w:rsidP="004F0BB9">
            <w:pPr>
              <w:pStyle w:val="TableParagraph"/>
              <w:spacing w:before="1"/>
              <w:rPr>
                <w:sz w:val="24"/>
              </w:rPr>
            </w:pPr>
            <w:r w:rsidRPr="00FC4BA4">
              <w:rPr>
                <w:sz w:val="24"/>
              </w:rPr>
              <w:t xml:space="preserve">      0.17</w:t>
            </w:r>
          </w:p>
        </w:tc>
        <w:tc>
          <w:tcPr>
            <w:tcW w:w="1425" w:type="dxa"/>
          </w:tcPr>
          <w:p w:rsidR="004F0BB9" w:rsidRPr="00FC4BA4" w:rsidRDefault="004F0BB9" w:rsidP="002504A6">
            <w:pPr>
              <w:pStyle w:val="TableParagraph"/>
              <w:spacing w:before="1"/>
              <w:ind w:left="106"/>
              <w:rPr>
                <w:sz w:val="24"/>
              </w:rPr>
            </w:pPr>
          </w:p>
          <w:p w:rsidR="004F0BB9" w:rsidRPr="00FC4BA4" w:rsidRDefault="004F0BB9" w:rsidP="002504A6">
            <w:pPr>
              <w:pStyle w:val="TableParagraph"/>
              <w:spacing w:before="1"/>
              <w:ind w:left="106"/>
              <w:rPr>
                <w:sz w:val="24"/>
              </w:rPr>
            </w:pPr>
          </w:p>
          <w:p w:rsidR="004F0BB9" w:rsidRPr="00FC4BA4" w:rsidRDefault="004F0BB9" w:rsidP="002504A6">
            <w:pPr>
              <w:pStyle w:val="TableParagraph"/>
              <w:spacing w:before="1"/>
              <w:ind w:left="106"/>
              <w:rPr>
                <w:sz w:val="24"/>
              </w:rPr>
            </w:pPr>
          </w:p>
          <w:p w:rsidR="004F0BB9" w:rsidRPr="00FC4BA4" w:rsidRDefault="004F0BB9" w:rsidP="002504A6">
            <w:pPr>
              <w:pStyle w:val="TableParagraph"/>
              <w:spacing w:before="1"/>
              <w:ind w:left="106"/>
              <w:rPr>
                <w:sz w:val="24"/>
              </w:rPr>
            </w:pPr>
          </w:p>
          <w:p w:rsidR="004F0BB9" w:rsidRPr="00FC4BA4" w:rsidRDefault="004F0BB9" w:rsidP="004F0BB9">
            <w:pPr>
              <w:pStyle w:val="TableParagraph"/>
              <w:spacing w:before="1"/>
              <w:rPr>
                <w:sz w:val="24"/>
              </w:rPr>
            </w:pPr>
            <w:r w:rsidRPr="00FC4BA4">
              <w:rPr>
                <w:sz w:val="24"/>
              </w:rPr>
              <w:t xml:space="preserve">       14</w:t>
            </w:r>
          </w:p>
        </w:tc>
      </w:tr>
    </w:tbl>
    <w:p w:rsidR="00F876D4" w:rsidRDefault="00407ACC" w:rsidP="00D46008">
      <w:pPr>
        <w:pStyle w:val="BodyText"/>
        <w:spacing w:before="79" w:line="285" w:lineRule="auto"/>
        <w:ind w:right="1291"/>
        <w:jc w:val="both"/>
        <w:rPr>
          <w:b/>
          <w:w w:val="105"/>
          <w:sz w:val="24"/>
          <w:vertAlign w:val="superscript"/>
        </w:rPr>
      </w:pPr>
      <w:r>
        <w:rPr>
          <w:b/>
          <w:w w:val="105"/>
          <w:sz w:val="24"/>
          <w:vertAlign w:val="superscript"/>
        </w:rPr>
        <w:t xml:space="preserve">                      </w:t>
      </w:r>
    </w:p>
    <w:p w:rsidR="00F876D4" w:rsidRPr="00C60056" w:rsidRDefault="00C60056" w:rsidP="00D46008">
      <w:pPr>
        <w:pStyle w:val="BodyText"/>
        <w:spacing w:before="79" w:line="285" w:lineRule="auto"/>
        <w:ind w:right="1291"/>
        <w:jc w:val="both"/>
        <w:rPr>
          <w:w w:val="105"/>
          <w:sz w:val="24"/>
          <w:vertAlign w:val="superscript"/>
        </w:rPr>
      </w:pPr>
      <w:r>
        <w:rPr>
          <w:b/>
          <w:w w:val="105"/>
          <w:sz w:val="24"/>
          <w:vertAlign w:val="superscript"/>
        </w:rPr>
        <w:t>Table</w:t>
      </w:r>
      <w:r w:rsidR="00982602">
        <w:rPr>
          <w:b/>
          <w:w w:val="105"/>
          <w:sz w:val="24"/>
          <w:vertAlign w:val="superscript"/>
        </w:rPr>
        <w:t xml:space="preserve"> 1</w:t>
      </w:r>
      <w:r>
        <w:rPr>
          <w:b/>
          <w:w w:val="105"/>
          <w:sz w:val="24"/>
          <w:vertAlign w:val="superscript"/>
        </w:rPr>
        <w:t>:</w:t>
      </w:r>
      <w:r>
        <w:rPr>
          <w:w w:val="105"/>
          <w:sz w:val="24"/>
          <w:vertAlign w:val="superscript"/>
        </w:rPr>
        <w:t xml:space="preserve"> α,β</w:t>
      </w:r>
      <w:r w:rsidR="00303D44">
        <w:rPr>
          <w:w w:val="105"/>
          <w:sz w:val="24"/>
          <w:vertAlign w:val="superscript"/>
        </w:rPr>
        <w:t xml:space="preserve"> </w:t>
      </w:r>
      <w:r>
        <w:rPr>
          <w:w w:val="105"/>
          <w:sz w:val="24"/>
          <w:vertAlign w:val="superscript"/>
        </w:rPr>
        <w:t xml:space="preserve"> and Ꝩ-Cyclodextrin characteristics</w:t>
      </w:r>
    </w:p>
    <w:p w:rsidR="00F876D4" w:rsidRDefault="00F876D4" w:rsidP="00D46008">
      <w:pPr>
        <w:pStyle w:val="BodyText"/>
        <w:spacing w:before="79" w:line="285" w:lineRule="auto"/>
        <w:ind w:right="1291"/>
        <w:jc w:val="both"/>
        <w:rPr>
          <w:b/>
          <w:w w:val="105"/>
          <w:sz w:val="24"/>
          <w:vertAlign w:val="superscript"/>
        </w:rPr>
      </w:pPr>
    </w:p>
    <w:p w:rsidR="00F876D4" w:rsidRDefault="00F876D4" w:rsidP="00D46008">
      <w:pPr>
        <w:pStyle w:val="BodyText"/>
        <w:spacing w:before="79" w:line="285" w:lineRule="auto"/>
        <w:ind w:right="1291"/>
        <w:jc w:val="both"/>
        <w:rPr>
          <w:b/>
          <w:w w:val="105"/>
          <w:sz w:val="24"/>
          <w:vertAlign w:val="superscript"/>
        </w:rPr>
      </w:pPr>
    </w:p>
    <w:p w:rsidR="00F876D4" w:rsidRDefault="00F876D4" w:rsidP="00D46008">
      <w:pPr>
        <w:pStyle w:val="BodyText"/>
        <w:spacing w:before="79" w:line="285" w:lineRule="auto"/>
        <w:ind w:right="1291"/>
        <w:jc w:val="both"/>
        <w:rPr>
          <w:b/>
          <w:w w:val="105"/>
          <w:sz w:val="24"/>
          <w:vertAlign w:val="superscript"/>
        </w:rPr>
      </w:pPr>
      <w:r>
        <w:rPr>
          <w:b/>
          <w:w w:val="105"/>
          <w:sz w:val="24"/>
          <w:vertAlign w:val="superscript"/>
        </w:rPr>
        <w:t xml:space="preserve">                   </w:t>
      </w:r>
      <w:r w:rsidR="00407ACC">
        <w:rPr>
          <w:b/>
          <w:w w:val="105"/>
          <w:sz w:val="24"/>
          <w:vertAlign w:val="superscript"/>
        </w:rPr>
        <w:t xml:space="preserve"> </w:t>
      </w:r>
    </w:p>
    <w:p w:rsidR="00825632" w:rsidRPr="00BD2AF3" w:rsidRDefault="00A44B1E" w:rsidP="00D46008">
      <w:pPr>
        <w:pStyle w:val="BodyText"/>
        <w:spacing w:before="79" w:line="285" w:lineRule="auto"/>
        <w:ind w:right="1291"/>
        <w:jc w:val="both"/>
        <w:rPr>
          <w:b/>
          <w:w w:val="105"/>
          <w:sz w:val="32"/>
          <w:vertAlign w:val="superscript"/>
        </w:rPr>
      </w:pPr>
      <w:r>
        <w:rPr>
          <w:b/>
          <w:w w:val="105"/>
          <w:sz w:val="24"/>
          <w:vertAlign w:val="superscript"/>
        </w:rPr>
        <w:t xml:space="preserve">                   </w:t>
      </w:r>
      <w:r w:rsidR="00FC4BA4">
        <w:rPr>
          <w:b/>
          <w:w w:val="105"/>
          <w:sz w:val="24"/>
          <w:vertAlign w:val="superscript"/>
        </w:rPr>
        <w:t xml:space="preserve"> </w:t>
      </w:r>
      <w:r w:rsidR="00FC4BA4" w:rsidRPr="00BD2AF3">
        <w:rPr>
          <w:b/>
          <w:w w:val="105"/>
          <w:sz w:val="32"/>
          <w:vertAlign w:val="superscript"/>
        </w:rPr>
        <w:t>Inclusion complex formation: Host guest chemistry</w:t>
      </w:r>
    </w:p>
    <w:p w:rsidR="00825632" w:rsidRPr="00FC4BA4" w:rsidRDefault="00825632" w:rsidP="00D46008">
      <w:pPr>
        <w:pStyle w:val="BodyText"/>
        <w:spacing w:before="79" w:line="285" w:lineRule="auto"/>
        <w:ind w:right="1291"/>
        <w:jc w:val="both"/>
        <w:rPr>
          <w:w w:val="105"/>
          <w:sz w:val="28"/>
          <w:vertAlign w:val="superscript"/>
        </w:rPr>
      </w:pPr>
    </w:p>
    <w:p w:rsidR="00FC4BA4" w:rsidRPr="00077BD1" w:rsidRDefault="00FC4BA4" w:rsidP="00FC4BA4">
      <w:pPr>
        <w:pStyle w:val="BodyText"/>
        <w:spacing w:before="198" w:line="285" w:lineRule="auto"/>
        <w:ind w:left="1078" w:right="1327"/>
        <w:jc w:val="both"/>
        <w:rPr>
          <w:sz w:val="20"/>
        </w:rPr>
      </w:pPr>
      <w:r w:rsidRPr="00077BD1">
        <w:rPr>
          <w:sz w:val="20"/>
        </w:rPr>
        <w:t>Foremost</w:t>
      </w:r>
      <w:r w:rsidRPr="00077BD1">
        <w:rPr>
          <w:spacing w:val="4"/>
          <w:sz w:val="20"/>
        </w:rPr>
        <w:t xml:space="preserve"> </w:t>
      </w:r>
      <w:r w:rsidRPr="00077BD1">
        <w:rPr>
          <w:sz w:val="20"/>
        </w:rPr>
        <w:t>property</w:t>
      </w:r>
      <w:r w:rsidRPr="00077BD1">
        <w:rPr>
          <w:spacing w:val="4"/>
          <w:sz w:val="20"/>
        </w:rPr>
        <w:t xml:space="preserve"> </w:t>
      </w:r>
      <w:r w:rsidRPr="00077BD1">
        <w:rPr>
          <w:sz w:val="20"/>
        </w:rPr>
        <w:t>of</w:t>
      </w:r>
      <w:r w:rsidRPr="00077BD1">
        <w:rPr>
          <w:spacing w:val="5"/>
          <w:sz w:val="20"/>
        </w:rPr>
        <w:t xml:space="preserve"> </w:t>
      </w:r>
      <w:r w:rsidRPr="00077BD1">
        <w:rPr>
          <w:sz w:val="20"/>
        </w:rPr>
        <w:t>Inclusion</w:t>
      </w:r>
      <w:r w:rsidRPr="00077BD1">
        <w:rPr>
          <w:spacing w:val="4"/>
          <w:sz w:val="20"/>
        </w:rPr>
        <w:t xml:space="preserve"> </w:t>
      </w:r>
      <w:r w:rsidRPr="00077BD1">
        <w:rPr>
          <w:sz w:val="20"/>
        </w:rPr>
        <w:t>compounds:</w:t>
      </w:r>
      <w:r w:rsidRPr="00077BD1">
        <w:rPr>
          <w:spacing w:val="4"/>
          <w:sz w:val="20"/>
        </w:rPr>
        <w:t xml:space="preserve"> </w:t>
      </w:r>
      <w:r w:rsidRPr="00077BD1">
        <w:rPr>
          <w:sz w:val="20"/>
        </w:rPr>
        <w:t>host</w:t>
      </w:r>
      <w:r w:rsidRPr="00077BD1">
        <w:rPr>
          <w:spacing w:val="4"/>
          <w:sz w:val="20"/>
        </w:rPr>
        <w:t xml:space="preserve"> </w:t>
      </w:r>
      <w:r w:rsidRPr="00077BD1">
        <w:rPr>
          <w:sz w:val="20"/>
        </w:rPr>
        <w:t>components</w:t>
      </w:r>
      <w:r w:rsidRPr="00077BD1">
        <w:rPr>
          <w:spacing w:val="5"/>
          <w:sz w:val="20"/>
        </w:rPr>
        <w:t xml:space="preserve"> </w:t>
      </w:r>
      <w:r w:rsidRPr="00077BD1">
        <w:rPr>
          <w:sz w:val="20"/>
        </w:rPr>
        <w:t>can</w:t>
      </w:r>
      <w:r w:rsidRPr="00077BD1">
        <w:rPr>
          <w:spacing w:val="3"/>
          <w:sz w:val="20"/>
        </w:rPr>
        <w:t xml:space="preserve"> </w:t>
      </w:r>
      <w:r w:rsidRPr="00077BD1">
        <w:rPr>
          <w:sz w:val="20"/>
        </w:rPr>
        <w:t>admit</w:t>
      </w:r>
      <w:r w:rsidRPr="00077BD1">
        <w:rPr>
          <w:spacing w:val="5"/>
          <w:sz w:val="20"/>
        </w:rPr>
        <w:t xml:space="preserve"> </w:t>
      </w:r>
      <w:r w:rsidRPr="00077BD1">
        <w:rPr>
          <w:sz w:val="20"/>
        </w:rPr>
        <w:t>"guest"</w:t>
      </w:r>
      <w:r w:rsidRPr="00077BD1">
        <w:rPr>
          <w:spacing w:val="5"/>
          <w:sz w:val="20"/>
        </w:rPr>
        <w:t xml:space="preserve"> </w:t>
      </w:r>
      <w:r w:rsidRPr="00077BD1">
        <w:rPr>
          <w:sz w:val="20"/>
        </w:rPr>
        <w:t>species/</w:t>
      </w:r>
      <w:r w:rsidRPr="00077BD1">
        <w:rPr>
          <w:spacing w:val="1"/>
          <w:sz w:val="20"/>
        </w:rPr>
        <w:t xml:space="preserve"> </w:t>
      </w:r>
      <w:r w:rsidRPr="00077BD1">
        <w:rPr>
          <w:sz w:val="20"/>
        </w:rPr>
        <w:t>components</w:t>
      </w:r>
      <w:r w:rsidRPr="00077BD1">
        <w:rPr>
          <w:spacing w:val="3"/>
          <w:sz w:val="20"/>
        </w:rPr>
        <w:t xml:space="preserve"> </w:t>
      </w:r>
      <w:r w:rsidRPr="00077BD1">
        <w:rPr>
          <w:sz w:val="20"/>
        </w:rPr>
        <w:t>into</w:t>
      </w:r>
      <w:r w:rsidRPr="00077BD1">
        <w:rPr>
          <w:spacing w:val="3"/>
          <w:sz w:val="20"/>
        </w:rPr>
        <w:t xml:space="preserve"> </w:t>
      </w:r>
      <w:r w:rsidRPr="00077BD1">
        <w:rPr>
          <w:sz w:val="20"/>
        </w:rPr>
        <w:t>its</w:t>
      </w:r>
      <w:r w:rsidRPr="00077BD1">
        <w:rPr>
          <w:spacing w:val="2"/>
          <w:sz w:val="20"/>
        </w:rPr>
        <w:t xml:space="preserve"> </w:t>
      </w:r>
      <w:r w:rsidRPr="00077BD1">
        <w:rPr>
          <w:sz w:val="20"/>
        </w:rPr>
        <w:t>cavity</w:t>
      </w:r>
      <w:r w:rsidRPr="00077BD1">
        <w:rPr>
          <w:spacing w:val="1"/>
          <w:sz w:val="20"/>
        </w:rPr>
        <w:t xml:space="preserve"> </w:t>
      </w:r>
      <w:r w:rsidRPr="00077BD1">
        <w:rPr>
          <w:sz w:val="20"/>
        </w:rPr>
        <w:t>without</w:t>
      </w:r>
      <w:r w:rsidRPr="00077BD1">
        <w:rPr>
          <w:spacing w:val="2"/>
          <w:sz w:val="20"/>
        </w:rPr>
        <w:t xml:space="preserve"> </w:t>
      </w:r>
      <w:r w:rsidRPr="00077BD1">
        <w:rPr>
          <w:sz w:val="20"/>
        </w:rPr>
        <w:t>forming</w:t>
      </w:r>
      <w:r w:rsidRPr="00077BD1">
        <w:rPr>
          <w:spacing w:val="1"/>
          <w:sz w:val="20"/>
        </w:rPr>
        <w:t xml:space="preserve"> </w:t>
      </w:r>
      <w:r w:rsidRPr="00077BD1">
        <w:rPr>
          <w:sz w:val="20"/>
        </w:rPr>
        <w:t>any</w:t>
      </w:r>
      <w:r w:rsidRPr="00077BD1">
        <w:rPr>
          <w:spacing w:val="2"/>
          <w:sz w:val="20"/>
        </w:rPr>
        <w:t xml:space="preserve"> </w:t>
      </w:r>
      <w:r w:rsidRPr="00077BD1">
        <w:rPr>
          <w:sz w:val="20"/>
        </w:rPr>
        <w:t>covalent</w:t>
      </w:r>
      <w:r w:rsidRPr="00077BD1">
        <w:rPr>
          <w:spacing w:val="3"/>
          <w:sz w:val="20"/>
        </w:rPr>
        <w:t xml:space="preserve"> </w:t>
      </w:r>
      <w:r w:rsidRPr="00077BD1">
        <w:rPr>
          <w:sz w:val="20"/>
        </w:rPr>
        <w:t>bond</w:t>
      </w:r>
      <w:r w:rsidRPr="00077BD1">
        <w:rPr>
          <w:spacing w:val="1"/>
          <w:sz w:val="20"/>
        </w:rPr>
        <w:t xml:space="preserve"> </w:t>
      </w:r>
      <w:r w:rsidRPr="00077BD1">
        <w:rPr>
          <w:sz w:val="20"/>
        </w:rPr>
        <w:t>i.e</w:t>
      </w:r>
      <w:r w:rsidRPr="00077BD1">
        <w:rPr>
          <w:spacing w:val="2"/>
          <w:sz w:val="20"/>
        </w:rPr>
        <w:t xml:space="preserve"> </w:t>
      </w:r>
      <w:r w:rsidRPr="00077BD1">
        <w:rPr>
          <w:sz w:val="20"/>
        </w:rPr>
        <w:t>by</w:t>
      </w:r>
      <w:r w:rsidRPr="00077BD1">
        <w:rPr>
          <w:spacing w:val="2"/>
          <w:sz w:val="20"/>
        </w:rPr>
        <w:t xml:space="preserve"> </w:t>
      </w:r>
      <w:r w:rsidRPr="00077BD1">
        <w:rPr>
          <w:sz w:val="20"/>
        </w:rPr>
        <w:t>means</w:t>
      </w:r>
      <w:r w:rsidRPr="00077BD1">
        <w:rPr>
          <w:spacing w:val="2"/>
          <w:sz w:val="20"/>
        </w:rPr>
        <w:t xml:space="preserve"> </w:t>
      </w:r>
      <w:r w:rsidRPr="00077BD1">
        <w:rPr>
          <w:sz w:val="20"/>
        </w:rPr>
        <w:t>of</w:t>
      </w:r>
      <w:r w:rsidRPr="00077BD1">
        <w:rPr>
          <w:spacing w:val="4"/>
          <w:sz w:val="20"/>
        </w:rPr>
        <w:t xml:space="preserve"> </w:t>
      </w:r>
      <w:r w:rsidRPr="00077BD1">
        <w:rPr>
          <w:sz w:val="20"/>
        </w:rPr>
        <w:t>non-covalent</w:t>
      </w:r>
      <w:r w:rsidRPr="00077BD1">
        <w:rPr>
          <w:spacing w:val="1"/>
          <w:sz w:val="20"/>
        </w:rPr>
        <w:t xml:space="preserve"> </w:t>
      </w:r>
      <w:r w:rsidRPr="00077BD1">
        <w:rPr>
          <w:sz w:val="20"/>
        </w:rPr>
        <w:t xml:space="preserve">bonding like Van deer </w:t>
      </w:r>
      <w:r w:rsidR="00DD1274" w:rsidRPr="00077BD1">
        <w:rPr>
          <w:sz w:val="20"/>
        </w:rPr>
        <w:t>Waal</w:t>
      </w:r>
      <w:r w:rsidRPr="00077BD1">
        <w:rPr>
          <w:sz w:val="20"/>
        </w:rPr>
        <w:t>, H-bonding etc. Most remarkable property of CDs is their ability</w:t>
      </w:r>
      <w:r w:rsidRPr="00077BD1">
        <w:rPr>
          <w:spacing w:val="1"/>
          <w:sz w:val="20"/>
        </w:rPr>
        <w:t xml:space="preserve"> </w:t>
      </w:r>
      <w:r w:rsidRPr="00077BD1">
        <w:rPr>
          <w:sz w:val="20"/>
        </w:rPr>
        <w:t>to</w:t>
      </w:r>
      <w:r w:rsidRPr="00077BD1">
        <w:rPr>
          <w:spacing w:val="5"/>
          <w:sz w:val="20"/>
        </w:rPr>
        <w:t xml:space="preserve"> </w:t>
      </w:r>
      <w:r w:rsidRPr="00077BD1">
        <w:rPr>
          <w:sz w:val="20"/>
        </w:rPr>
        <w:t>form</w:t>
      </w:r>
      <w:r w:rsidRPr="00077BD1">
        <w:rPr>
          <w:spacing w:val="5"/>
          <w:sz w:val="20"/>
        </w:rPr>
        <w:t xml:space="preserve"> </w:t>
      </w:r>
      <w:r w:rsidRPr="00077BD1">
        <w:rPr>
          <w:sz w:val="20"/>
        </w:rPr>
        <w:t>inclusion</w:t>
      </w:r>
      <w:r w:rsidRPr="00077BD1">
        <w:rPr>
          <w:spacing w:val="3"/>
          <w:sz w:val="20"/>
        </w:rPr>
        <w:t xml:space="preserve"> </w:t>
      </w:r>
      <w:r w:rsidRPr="00077BD1">
        <w:rPr>
          <w:sz w:val="20"/>
        </w:rPr>
        <w:t>compounds</w:t>
      </w:r>
      <w:r w:rsidRPr="00077BD1">
        <w:rPr>
          <w:spacing w:val="5"/>
          <w:sz w:val="20"/>
        </w:rPr>
        <w:t xml:space="preserve"> </w:t>
      </w:r>
      <w:r w:rsidRPr="00077BD1">
        <w:rPr>
          <w:sz w:val="20"/>
        </w:rPr>
        <w:t>with</w:t>
      </w:r>
      <w:r w:rsidRPr="00077BD1">
        <w:rPr>
          <w:spacing w:val="4"/>
          <w:sz w:val="20"/>
        </w:rPr>
        <w:t xml:space="preserve"> </w:t>
      </w:r>
      <w:r w:rsidRPr="00077BD1">
        <w:rPr>
          <w:sz w:val="20"/>
        </w:rPr>
        <w:t>heterogeneity</w:t>
      </w:r>
      <w:r w:rsidRPr="00077BD1">
        <w:rPr>
          <w:spacing w:val="3"/>
          <w:sz w:val="20"/>
        </w:rPr>
        <w:t xml:space="preserve"> </w:t>
      </w:r>
      <w:r w:rsidRPr="00077BD1">
        <w:rPr>
          <w:sz w:val="20"/>
        </w:rPr>
        <w:t>of</w:t>
      </w:r>
      <w:r w:rsidRPr="00077BD1">
        <w:rPr>
          <w:spacing w:val="5"/>
          <w:sz w:val="20"/>
        </w:rPr>
        <w:t xml:space="preserve"> </w:t>
      </w:r>
      <w:r w:rsidRPr="00077BD1">
        <w:rPr>
          <w:sz w:val="20"/>
        </w:rPr>
        <w:t>molecules</w:t>
      </w:r>
      <w:r w:rsidRPr="00077BD1">
        <w:rPr>
          <w:spacing w:val="4"/>
          <w:sz w:val="20"/>
        </w:rPr>
        <w:t xml:space="preserve"> </w:t>
      </w:r>
      <w:r w:rsidRPr="00077BD1">
        <w:rPr>
          <w:sz w:val="20"/>
        </w:rPr>
        <w:t>which</w:t>
      </w:r>
      <w:r w:rsidRPr="00077BD1">
        <w:rPr>
          <w:spacing w:val="4"/>
          <w:sz w:val="20"/>
        </w:rPr>
        <w:t xml:space="preserve"> </w:t>
      </w:r>
      <w:r w:rsidRPr="00077BD1">
        <w:rPr>
          <w:sz w:val="20"/>
        </w:rPr>
        <w:t>apparently</w:t>
      </w:r>
      <w:r w:rsidRPr="00077BD1">
        <w:rPr>
          <w:spacing w:val="4"/>
          <w:sz w:val="20"/>
        </w:rPr>
        <w:t xml:space="preserve"> </w:t>
      </w:r>
      <w:r w:rsidRPr="00077BD1">
        <w:rPr>
          <w:sz w:val="20"/>
        </w:rPr>
        <w:t>only</w:t>
      </w:r>
      <w:r w:rsidRPr="00077BD1">
        <w:rPr>
          <w:spacing w:val="3"/>
          <w:sz w:val="20"/>
        </w:rPr>
        <w:t xml:space="preserve"> </w:t>
      </w:r>
      <w:r w:rsidRPr="00077BD1">
        <w:rPr>
          <w:sz w:val="20"/>
        </w:rPr>
        <w:t>have</w:t>
      </w:r>
      <w:r w:rsidRPr="00077BD1">
        <w:rPr>
          <w:spacing w:val="2"/>
          <w:sz w:val="20"/>
        </w:rPr>
        <w:t xml:space="preserve"> </w:t>
      </w:r>
      <w:r w:rsidRPr="00077BD1">
        <w:rPr>
          <w:sz w:val="20"/>
        </w:rPr>
        <w:t>to</w:t>
      </w:r>
      <w:r w:rsidRPr="00077BD1">
        <w:rPr>
          <w:spacing w:val="-55"/>
          <w:sz w:val="20"/>
        </w:rPr>
        <w:t xml:space="preserve"> </w:t>
      </w:r>
      <w:r w:rsidRPr="00077BD1">
        <w:rPr>
          <w:sz w:val="20"/>
        </w:rPr>
        <w:t>reassure</w:t>
      </w:r>
      <w:r w:rsidRPr="00077BD1">
        <w:rPr>
          <w:spacing w:val="-3"/>
          <w:sz w:val="20"/>
        </w:rPr>
        <w:t xml:space="preserve"> </w:t>
      </w:r>
      <w:r w:rsidRPr="00077BD1">
        <w:rPr>
          <w:sz w:val="20"/>
        </w:rPr>
        <w:t>a</w:t>
      </w:r>
      <w:r w:rsidRPr="00077BD1">
        <w:rPr>
          <w:spacing w:val="-3"/>
          <w:sz w:val="20"/>
        </w:rPr>
        <w:t xml:space="preserve"> </w:t>
      </w:r>
      <w:r w:rsidRPr="00077BD1">
        <w:rPr>
          <w:sz w:val="20"/>
        </w:rPr>
        <w:t>condition</w:t>
      </w:r>
      <w:r w:rsidRPr="00077BD1">
        <w:rPr>
          <w:spacing w:val="-3"/>
          <w:sz w:val="20"/>
        </w:rPr>
        <w:t xml:space="preserve"> </w:t>
      </w:r>
      <w:r w:rsidRPr="00077BD1">
        <w:rPr>
          <w:sz w:val="20"/>
        </w:rPr>
        <w:t>that</w:t>
      </w:r>
      <w:r w:rsidRPr="00077BD1">
        <w:rPr>
          <w:spacing w:val="-2"/>
          <w:sz w:val="20"/>
        </w:rPr>
        <w:t xml:space="preserve"> </w:t>
      </w:r>
      <w:r w:rsidRPr="00077BD1">
        <w:rPr>
          <w:sz w:val="20"/>
        </w:rPr>
        <w:t>they</w:t>
      </w:r>
      <w:r w:rsidRPr="00077BD1">
        <w:rPr>
          <w:spacing w:val="-2"/>
          <w:sz w:val="20"/>
        </w:rPr>
        <w:t xml:space="preserve"> </w:t>
      </w:r>
      <w:r w:rsidRPr="00077BD1">
        <w:rPr>
          <w:sz w:val="20"/>
        </w:rPr>
        <w:t>must</w:t>
      </w:r>
      <w:r w:rsidRPr="00077BD1">
        <w:rPr>
          <w:spacing w:val="-3"/>
          <w:sz w:val="20"/>
        </w:rPr>
        <w:t xml:space="preserve"> </w:t>
      </w:r>
      <w:r w:rsidRPr="00077BD1">
        <w:rPr>
          <w:sz w:val="20"/>
        </w:rPr>
        <w:t>fit</w:t>
      </w:r>
      <w:r w:rsidRPr="00077BD1">
        <w:rPr>
          <w:spacing w:val="-1"/>
          <w:sz w:val="20"/>
        </w:rPr>
        <w:t xml:space="preserve"> </w:t>
      </w:r>
      <w:r w:rsidRPr="00077BD1">
        <w:rPr>
          <w:sz w:val="20"/>
        </w:rPr>
        <w:t>utterly</w:t>
      </w:r>
      <w:r w:rsidRPr="00077BD1">
        <w:rPr>
          <w:spacing w:val="-2"/>
          <w:sz w:val="20"/>
        </w:rPr>
        <w:t xml:space="preserve"> </w:t>
      </w:r>
      <w:r w:rsidRPr="00077BD1">
        <w:rPr>
          <w:w w:val="120"/>
          <w:sz w:val="20"/>
        </w:rPr>
        <w:t>/</w:t>
      </w:r>
      <w:r w:rsidRPr="00077BD1">
        <w:rPr>
          <w:spacing w:val="-16"/>
          <w:w w:val="120"/>
          <w:sz w:val="20"/>
        </w:rPr>
        <w:t xml:space="preserve"> </w:t>
      </w:r>
      <w:r w:rsidRPr="00077BD1">
        <w:rPr>
          <w:sz w:val="20"/>
        </w:rPr>
        <w:t>partially</w:t>
      </w:r>
      <w:r w:rsidRPr="00077BD1">
        <w:rPr>
          <w:spacing w:val="-2"/>
          <w:sz w:val="20"/>
        </w:rPr>
        <w:t xml:space="preserve"> </w:t>
      </w:r>
      <w:r w:rsidRPr="00077BD1">
        <w:rPr>
          <w:sz w:val="20"/>
        </w:rPr>
        <w:t>into</w:t>
      </w:r>
      <w:r w:rsidRPr="00077BD1">
        <w:rPr>
          <w:spacing w:val="-1"/>
          <w:sz w:val="20"/>
        </w:rPr>
        <w:t xml:space="preserve"> </w:t>
      </w:r>
      <w:r w:rsidRPr="00077BD1">
        <w:rPr>
          <w:sz w:val="20"/>
        </w:rPr>
        <w:t>CDs</w:t>
      </w:r>
      <w:r w:rsidRPr="00077BD1">
        <w:rPr>
          <w:spacing w:val="-3"/>
          <w:sz w:val="20"/>
        </w:rPr>
        <w:t xml:space="preserve"> </w:t>
      </w:r>
      <w:r w:rsidRPr="00077BD1">
        <w:rPr>
          <w:sz w:val="20"/>
        </w:rPr>
        <w:t>cavity</w:t>
      </w:r>
      <w:r w:rsidR="00982602" w:rsidRPr="00077BD1">
        <w:rPr>
          <w:sz w:val="20"/>
          <w:vertAlign w:val="superscript"/>
        </w:rPr>
        <w:t>18,19</w:t>
      </w:r>
      <w:r w:rsidRPr="00077BD1">
        <w:rPr>
          <w:sz w:val="20"/>
        </w:rPr>
        <w:t>.</w:t>
      </w:r>
    </w:p>
    <w:p w:rsidR="00FC4BA4" w:rsidRPr="00FF23BF" w:rsidRDefault="00FC4BA4" w:rsidP="00FC4BA4">
      <w:pPr>
        <w:pStyle w:val="BodyText"/>
        <w:spacing w:before="202" w:line="285" w:lineRule="auto"/>
        <w:ind w:left="1078" w:right="1291"/>
        <w:jc w:val="both"/>
        <w:rPr>
          <w:sz w:val="20"/>
        </w:rPr>
      </w:pPr>
      <w:r w:rsidRPr="00077BD1">
        <w:rPr>
          <w:sz w:val="20"/>
        </w:rPr>
        <w:t>CDs had a central non- polar hole and hydroxyl groups placed on the facet, Inclusion of</w:t>
      </w:r>
      <w:r w:rsidRPr="00077BD1">
        <w:rPr>
          <w:spacing w:val="1"/>
          <w:sz w:val="20"/>
        </w:rPr>
        <w:t xml:space="preserve"> </w:t>
      </w:r>
      <w:r w:rsidRPr="00077BD1">
        <w:rPr>
          <w:sz w:val="20"/>
        </w:rPr>
        <w:t>hydrophobic interconnection between guests molecules &amp; walls of CDs cavity</w:t>
      </w:r>
      <w:r w:rsidR="00A44B1E" w:rsidRPr="00077BD1">
        <w:rPr>
          <w:sz w:val="20"/>
        </w:rPr>
        <w:t>,</w:t>
      </w:r>
      <w:r w:rsidR="00A44B1E" w:rsidRPr="00077BD1">
        <w:rPr>
          <w:sz w:val="20"/>
          <w:vertAlign w:val="superscript"/>
        </w:rPr>
        <w:t xml:space="preserve"> 15,20</w:t>
      </w:r>
      <w:r w:rsidRPr="00077BD1">
        <w:rPr>
          <w:sz w:val="20"/>
        </w:rPr>
        <w:t>. Even so,</w:t>
      </w:r>
      <w:r w:rsidRPr="00077BD1">
        <w:rPr>
          <w:spacing w:val="1"/>
          <w:sz w:val="20"/>
        </w:rPr>
        <w:t xml:space="preserve"> </w:t>
      </w:r>
      <w:r w:rsidRPr="00077BD1">
        <w:rPr>
          <w:sz w:val="20"/>
        </w:rPr>
        <w:t>other</w:t>
      </w:r>
      <w:r w:rsidRPr="00077BD1">
        <w:rPr>
          <w:spacing w:val="-7"/>
          <w:sz w:val="20"/>
        </w:rPr>
        <w:t xml:space="preserve"> </w:t>
      </w:r>
      <w:r w:rsidRPr="00077BD1">
        <w:rPr>
          <w:sz w:val="20"/>
        </w:rPr>
        <w:t>forces,</w:t>
      </w:r>
      <w:r w:rsidRPr="00077BD1">
        <w:rPr>
          <w:spacing w:val="-5"/>
          <w:sz w:val="20"/>
        </w:rPr>
        <w:t xml:space="preserve"> </w:t>
      </w:r>
      <w:r w:rsidRPr="00077BD1">
        <w:rPr>
          <w:sz w:val="20"/>
        </w:rPr>
        <w:t>like</w:t>
      </w:r>
      <w:r w:rsidRPr="00077BD1">
        <w:rPr>
          <w:spacing w:val="-7"/>
          <w:sz w:val="20"/>
        </w:rPr>
        <w:t xml:space="preserve"> </w:t>
      </w:r>
      <w:r w:rsidRPr="00077BD1">
        <w:rPr>
          <w:sz w:val="20"/>
        </w:rPr>
        <w:t>van</w:t>
      </w:r>
      <w:r w:rsidRPr="00077BD1">
        <w:rPr>
          <w:spacing w:val="-6"/>
          <w:sz w:val="20"/>
        </w:rPr>
        <w:t xml:space="preserve"> </w:t>
      </w:r>
      <w:r w:rsidRPr="00077BD1">
        <w:rPr>
          <w:sz w:val="20"/>
        </w:rPr>
        <w:t>deer</w:t>
      </w:r>
      <w:r w:rsidRPr="00077BD1">
        <w:rPr>
          <w:spacing w:val="-6"/>
          <w:sz w:val="20"/>
        </w:rPr>
        <w:t xml:space="preserve"> </w:t>
      </w:r>
      <w:r w:rsidR="00DD1274" w:rsidRPr="00077BD1">
        <w:rPr>
          <w:sz w:val="20"/>
        </w:rPr>
        <w:t>Waals</w:t>
      </w:r>
      <w:r w:rsidRPr="00077BD1">
        <w:rPr>
          <w:spacing w:val="-7"/>
          <w:sz w:val="20"/>
        </w:rPr>
        <w:t xml:space="preserve"> </w:t>
      </w:r>
      <w:r w:rsidRPr="00077BD1">
        <w:rPr>
          <w:sz w:val="20"/>
        </w:rPr>
        <w:t>and</w:t>
      </w:r>
      <w:r w:rsidRPr="00077BD1">
        <w:rPr>
          <w:spacing w:val="-7"/>
          <w:sz w:val="20"/>
        </w:rPr>
        <w:t xml:space="preserve"> </w:t>
      </w:r>
      <w:r w:rsidRPr="00077BD1">
        <w:rPr>
          <w:sz w:val="20"/>
        </w:rPr>
        <w:t>dipole-dipole</w:t>
      </w:r>
      <w:r w:rsidRPr="00077BD1">
        <w:rPr>
          <w:spacing w:val="-6"/>
          <w:sz w:val="20"/>
        </w:rPr>
        <w:t xml:space="preserve"> </w:t>
      </w:r>
      <w:r w:rsidRPr="00077BD1">
        <w:rPr>
          <w:sz w:val="20"/>
        </w:rPr>
        <w:t>interaction,</w:t>
      </w:r>
      <w:r w:rsidRPr="00077BD1">
        <w:rPr>
          <w:spacing w:val="-6"/>
          <w:sz w:val="20"/>
        </w:rPr>
        <w:t xml:space="preserve"> </w:t>
      </w:r>
      <w:r w:rsidRPr="00077BD1">
        <w:rPr>
          <w:sz w:val="20"/>
        </w:rPr>
        <w:t>may</w:t>
      </w:r>
      <w:r w:rsidRPr="00077BD1">
        <w:rPr>
          <w:spacing w:val="-6"/>
          <w:sz w:val="20"/>
        </w:rPr>
        <w:t xml:space="preserve"> </w:t>
      </w:r>
      <w:r w:rsidRPr="00077BD1">
        <w:rPr>
          <w:sz w:val="20"/>
        </w:rPr>
        <w:t>be</w:t>
      </w:r>
      <w:r w:rsidRPr="00077BD1">
        <w:rPr>
          <w:spacing w:val="-7"/>
          <w:sz w:val="20"/>
        </w:rPr>
        <w:t xml:space="preserve"> </w:t>
      </w:r>
      <w:r w:rsidRPr="00077BD1">
        <w:rPr>
          <w:sz w:val="20"/>
        </w:rPr>
        <w:t>involved</w:t>
      </w:r>
      <w:r w:rsidRPr="00077BD1">
        <w:rPr>
          <w:spacing w:val="-8"/>
          <w:sz w:val="20"/>
        </w:rPr>
        <w:t xml:space="preserve"> </w:t>
      </w:r>
      <w:r w:rsidRPr="00077BD1">
        <w:rPr>
          <w:sz w:val="20"/>
        </w:rPr>
        <w:t>in</w:t>
      </w:r>
      <w:r w:rsidRPr="00077BD1">
        <w:rPr>
          <w:spacing w:val="-6"/>
          <w:sz w:val="20"/>
        </w:rPr>
        <w:t xml:space="preserve"> </w:t>
      </w:r>
      <w:r w:rsidRPr="00077BD1">
        <w:rPr>
          <w:sz w:val="20"/>
        </w:rPr>
        <w:t>the</w:t>
      </w:r>
      <w:r w:rsidRPr="00077BD1">
        <w:rPr>
          <w:spacing w:val="-7"/>
          <w:sz w:val="20"/>
        </w:rPr>
        <w:t xml:space="preserve"> </w:t>
      </w:r>
      <w:r w:rsidR="00DD1274" w:rsidRPr="00077BD1">
        <w:rPr>
          <w:sz w:val="20"/>
        </w:rPr>
        <w:t>binding</w:t>
      </w:r>
      <w:r w:rsidR="00DD1274">
        <w:rPr>
          <w:sz w:val="20"/>
        </w:rPr>
        <w:t xml:space="preserve"> </w:t>
      </w:r>
      <w:r w:rsidR="00DD1274" w:rsidRPr="00077BD1">
        <w:rPr>
          <w:spacing w:val="-56"/>
          <w:sz w:val="20"/>
        </w:rPr>
        <w:t>of</w:t>
      </w:r>
      <w:r w:rsidRPr="00077BD1">
        <w:rPr>
          <w:spacing w:val="2"/>
          <w:sz w:val="20"/>
        </w:rPr>
        <w:t xml:space="preserve"> </w:t>
      </w:r>
      <w:r w:rsidRPr="00077BD1">
        <w:rPr>
          <w:sz w:val="20"/>
        </w:rPr>
        <w:t>the guests</w:t>
      </w:r>
      <w:r w:rsidRPr="00077BD1">
        <w:rPr>
          <w:spacing w:val="2"/>
          <w:sz w:val="20"/>
        </w:rPr>
        <w:t xml:space="preserve"> </w:t>
      </w:r>
      <w:r w:rsidRPr="00077BD1">
        <w:rPr>
          <w:sz w:val="20"/>
          <w:vertAlign w:val="superscript"/>
        </w:rPr>
        <w:t>3</w:t>
      </w:r>
      <w:r w:rsidR="00A44B1E" w:rsidRPr="00077BD1">
        <w:rPr>
          <w:sz w:val="20"/>
          <w:vertAlign w:val="superscript"/>
        </w:rPr>
        <w:t>, 4,5,10</w:t>
      </w:r>
      <w:r w:rsidRPr="00077BD1">
        <w:rPr>
          <w:sz w:val="20"/>
        </w:rPr>
        <w:t xml:space="preserve">. </w:t>
      </w:r>
      <w:r w:rsidRPr="00FF23BF">
        <w:rPr>
          <w:sz w:val="20"/>
        </w:rPr>
        <w:lastRenderedPageBreak/>
        <w:t>Inclusion</w:t>
      </w:r>
      <w:r w:rsidRPr="00FF23BF">
        <w:rPr>
          <w:spacing w:val="2"/>
          <w:sz w:val="20"/>
        </w:rPr>
        <w:t xml:space="preserve"> </w:t>
      </w:r>
      <w:r w:rsidRPr="00FF23BF">
        <w:rPr>
          <w:sz w:val="20"/>
        </w:rPr>
        <w:t>complex</w:t>
      </w:r>
      <w:r w:rsidRPr="00FF23BF">
        <w:rPr>
          <w:spacing w:val="2"/>
          <w:sz w:val="20"/>
        </w:rPr>
        <w:t xml:space="preserve"> </w:t>
      </w:r>
      <w:r w:rsidRPr="00FF23BF">
        <w:rPr>
          <w:sz w:val="20"/>
        </w:rPr>
        <w:t>formation</w:t>
      </w:r>
      <w:r w:rsidRPr="00FF23BF">
        <w:rPr>
          <w:spacing w:val="1"/>
          <w:sz w:val="20"/>
        </w:rPr>
        <w:t xml:space="preserve"> </w:t>
      </w:r>
      <w:r w:rsidRPr="00FF23BF">
        <w:rPr>
          <w:sz w:val="20"/>
        </w:rPr>
        <w:t>can</w:t>
      </w:r>
      <w:r w:rsidRPr="00FF23BF">
        <w:rPr>
          <w:spacing w:val="2"/>
          <w:sz w:val="20"/>
        </w:rPr>
        <w:t xml:space="preserve"> </w:t>
      </w:r>
      <w:r w:rsidRPr="00FF23BF">
        <w:rPr>
          <w:sz w:val="20"/>
        </w:rPr>
        <w:t>be</w:t>
      </w:r>
      <w:r w:rsidRPr="00FF23BF">
        <w:rPr>
          <w:spacing w:val="1"/>
          <w:sz w:val="20"/>
        </w:rPr>
        <w:t xml:space="preserve"> </w:t>
      </w:r>
      <w:r w:rsidRPr="00FF23BF">
        <w:rPr>
          <w:sz w:val="20"/>
        </w:rPr>
        <w:t>confirmed by</w:t>
      </w:r>
      <w:r w:rsidRPr="00FF23BF">
        <w:rPr>
          <w:spacing w:val="1"/>
          <w:sz w:val="20"/>
        </w:rPr>
        <w:t xml:space="preserve"> </w:t>
      </w:r>
      <w:r w:rsidRPr="00FF23BF">
        <w:rPr>
          <w:sz w:val="20"/>
        </w:rPr>
        <w:t>studying interaction</w:t>
      </w:r>
      <w:r w:rsidRPr="00FF23BF">
        <w:rPr>
          <w:spacing w:val="1"/>
          <w:sz w:val="20"/>
        </w:rPr>
        <w:t xml:space="preserve"> </w:t>
      </w:r>
      <w:r w:rsidRPr="00FF23BF">
        <w:rPr>
          <w:sz w:val="20"/>
        </w:rPr>
        <w:t xml:space="preserve">between a </w:t>
      </w:r>
      <w:r w:rsidR="004006D2" w:rsidRPr="00FF23BF">
        <w:rPr>
          <w:sz w:val="20"/>
        </w:rPr>
        <w:t>guest’s</w:t>
      </w:r>
      <w:r w:rsidRPr="00FF23BF">
        <w:rPr>
          <w:sz w:val="20"/>
        </w:rPr>
        <w:t xml:space="preserve"> molecules &amp; CDs using various techniques. There is no breakage or</w:t>
      </w:r>
      <w:r w:rsidRPr="00FF23BF">
        <w:rPr>
          <w:spacing w:val="1"/>
          <w:sz w:val="20"/>
        </w:rPr>
        <w:t xml:space="preserve"> </w:t>
      </w:r>
      <w:r w:rsidRPr="00FF23BF">
        <w:rPr>
          <w:sz w:val="20"/>
        </w:rPr>
        <w:t>formation</w:t>
      </w:r>
      <w:r w:rsidRPr="00FF23BF">
        <w:rPr>
          <w:spacing w:val="5"/>
          <w:sz w:val="20"/>
        </w:rPr>
        <w:t xml:space="preserve"> </w:t>
      </w:r>
      <w:r w:rsidRPr="00FF23BF">
        <w:rPr>
          <w:sz w:val="20"/>
        </w:rPr>
        <w:t>of</w:t>
      </w:r>
      <w:r w:rsidRPr="00FF23BF">
        <w:rPr>
          <w:spacing w:val="8"/>
          <w:sz w:val="20"/>
        </w:rPr>
        <w:t xml:space="preserve"> </w:t>
      </w:r>
      <w:r w:rsidRPr="00FF23BF">
        <w:rPr>
          <w:sz w:val="20"/>
        </w:rPr>
        <w:t>covalent</w:t>
      </w:r>
      <w:r w:rsidRPr="00FF23BF">
        <w:rPr>
          <w:spacing w:val="6"/>
          <w:sz w:val="20"/>
        </w:rPr>
        <w:t xml:space="preserve"> </w:t>
      </w:r>
      <w:r w:rsidRPr="00FF23BF">
        <w:rPr>
          <w:sz w:val="20"/>
        </w:rPr>
        <w:t>bond</w:t>
      </w:r>
      <w:r w:rsidRPr="00FF23BF">
        <w:rPr>
          <w:spacing w:val="4"/>
          <w:sz w:val="20"/>
        </w:rPr>
        <w:t xml:space="preserve"> </w:t>
      </w:r>
      <w:r w:rsidRPr="00FF23BF">
        <w:rPr>
          <w:sz w:val="20"/>
        </w:rPr>
        <w:t>involved</w:t>
      </w:r>
      <w:r w:rsidRPr="00FF23BF">
        <w:rPr>
          <w:spacing w:val="5"/>
          <w:sz w:val="20"/>
        </w:rPr>
        <w:t xml:space="preserve"> </w:t>
      </w:r>
      <w:r w:rsidRPr="00FF23BF">
        <w:rPr>
          <w:sz w:val="20"/>
        </w:rPr>
        <w:t>in</w:t>
      </w:r>
      <w:r w:rsidRPr="00FF23BF">
        <w:rPr>
          <w:spacing w:val="6"/>
          <w:sz w:val="20"/>
        </w:rPr>
        <w:t xml:space="preserve"> </w:t>
      </w:r>
      <w:r w:rsidRPr="00FF23BF">
        <w:rPr>
          <w:sz w:val="20"/>
        </w:rPr>
        <w:t>the</w:t>
      </w:r>
      <w:r w:rsidRPr="00FF23BF">
        <w:rPr>
          <w:spacing w:val="6"/>
          <w:sz w:val="20"/>
        </w:rPr>
        <w:t xml:space="preserve"> </w:t>
      </w:r>
      <w:r w:rsidRPr="00FF23BF">
        <w:rPr>
          <w:sz w:val="20"/>
        </w:rPr>
        <w:t>formation</w:t>
      </w:r>
      <w:r w:rsidRPr="00FF23BF">
        <w:rPr>
          <w:spacing w:val="6"/>
          <w:sz w:val="20"/>
        </w:rPr>
        <w:t xml:space="preserve"> </w:t>
      </w:r>
      <w:r w:rsidRPr="00FF23BF">
        <w:rPr>
          <w:sz w:val="20"/>
        </w:rPr>
        <w:t>of</w:t>
      </w:r>
      <w:r w:rsidRPr="00FF23BF">
        <w:rPr>
          <w:spacing w:val="7"/>
          <w:sz w:val="20"/>
        </w:rPr>
        <w:t xml:space="preserve"> </w:t>
      </w:r>
      <w:r w:rsidRPr="00FF23BF">
        <w:rPr>
          <w:sz w:val="20"/>
        </w:rPr>
        <w:t>inclusion</w:t>
      </w:r>
      <w:r w:rsidRPr="00FF23BF">
        <w:rPr>
          <w:spacing w:val="6"/>
          <w:sz w:val="20"/>
        </w:rPr>
        <w:t xml:space="preserve"> </w:t>
      </w:r>
      <w:r w:rsidRPr="00FF23BF">
        <w:rPr>
          <w:sz w:val="20"/>
        </w:rPr>
        <w:t>complexation</w:t>
      </w:r>
      <w:r w:rsidRPr="00FF23BF">
        <w:rPr>
          <w:spacing w:val="6"/>
          <w:sz w:val="20"/>
        </w:rPr>
        <w:t xml:space="preserve"> </w:t>
      </w:r>
      <w:r w:rsidRPr="00FF23BF">
        <w:rPr>
          <w:sz w:val="20"/>
          <w:vertAlign w:val="superscript"/>
        </w:rPr>
        <w:t>21</w:t>
      </w:r>
      <w:r w:rsidRPr="00FF23BF">
        <w:rPr>
          <w:sz w:val="20"/>
        </w:rPr>
        <w:t>.</w:t>
      </w:r>
      <w:r w:rsidRPr="00FF23BF">
        <w:rPr>
          <w:spacing w:val="5"/>
          <w:sz w:val="20"/>
        </w:rPr>
        <w:t xml:space="preserve"> </w:t>
      </w:r>
      <w:r w:rsidRPr="00FF23BF">
        <w:rPr>
          <w:sz w:val="20"/>
        </w:rPr>
        <w:t>Selectivity</w:t>
      </w:r>
      <w:r w:rsidRPr="00FF23BF">
        <w:rPr>
          <w:spacing w:val="-56"/>
          <w:sz w:val="20"/>
        </w:rPr>
        <w:t xml:space="preserve"> </w:t>
      </w:r>
      <w:r w:rsidRPr="00FF23BF">
        <w:rPr>
          <w:sz w:val="20"/>
        </w:rPr>
        <w:t>of</w:t>
      </w:r>
      <w:r w:rsidRPr="00FF23BF">
        <w:rPr>
          <w:spacing w:val="5"/>
          <w:sz w:val="20"/>
        </w:rPr>
        <w:t xml:space="preserve"> </w:t>
      </w:r>
      <w:r w:rsidRPr="00FF23BF">
        <w:rPr>
          <w:sz w:val="20"/>
        </w:rPr>
        <w:t>host-guest</w:t>
      </w:r>
      <w:r w:rsidRPr="00FF23BF">
        <w:rPr>
          <w:spacing w:val="4"/>
          <w:sz w:val="20"/>
        </w:rPr>
        <w:t xml:space="preserve"> </w:t>
      </w:r>
      <w:r w:rsidRPr="00FF23BF">
        <w:rPr>
          <w:sz w:val="20"/>
        </w:rPr>
        <w:t>recognition</w:t>
      </w:r>
      <w:r w:rsidRPr="00FF23BF">
        <w:rPr>
          <w:spacing w:val="5"/>
          <w:sz w:val="20"/>
        </w:rPr>
        <w:t xml:space="preserve"> </w:t>
      </w:r>
      <w:r w:rsidRPr="00FF23BF">
        <w:rPr>
          <w:sz w:val="20"/>
        </w:rPr>
        <w:t>arises</w:t>
      </w:r>
      <w:r w:rsidRPr="00FF23BF">
        <w:rPr>
          <w:spacing w:val="4"/>
          <w:sz w:val="20"/>
        </w:rPr>
        <w:t xml:space="preserve"> </w:t>
      </w:r>
      <w:r w:rsidRPr="00FF23BF">
        <w:rPr>
          <w:sz w:val="20"/>
        </w:rPr>
        <w:t>from</w:t>
      </w:r>
      <w:r w:rsidRPr="00FF23BF">
        <w:rPr>
          <w:spacing w:val="6"/>
          <w:sz w:val="20"/>
        </w:rPr>
        <w:t xml:space="preserve"> </w:t>
      </w:r>
      <w:r w:rsidRPr="00FF23BF">
        <w:rPr>
          <w:sz w:val="20"/>
        </w:rPr>
        <w:t>size/shape</w:t>
      </w:r>
      <w:r w:rsidRPr="00FF23BF">
        <w:rPr>
          <w:spacing w:val="4"/>
          <w:sz w:val="20"/>
        </w:rPr>
        <w:t xml:space="preserve"> </w:t>
      </w:r>
      <w:r w:rsidRPr="00FF23BF">
        <w:rPr>
          <w:sz w:val="20"/>
        </w:rPr>
        <w:t>matching</w:t>
      </w:r>
      <w:r w:rsidRPr="00FF23BF">
        <w:rPr>
          <w:spacing w:val="4"/>
          <w:sz w:val="20"/>
        </w:rPr>
        <w:t xml:space="preserve"> </w:t>
      </w:r>
      <w:r w:rsidRPr="00FF23BF">
        <w:rPr>
          <w:sz w:val="20"/>
        </w:rPr>
        <w:t>mechanism</w:t>
      </w:r>
      <w:r w:rsidRPr="00FF23BF">
        <w:rPr>
          <w:spacing w:val="4"/>
          <w:sz w:val="20"/>
        </w:rPr>
        <w:t xml:space="preserve"> </w:t>
      </w:r>
      <w:r w:rsidRPr="00FF23BF">
        <w:rPr>
          <w:sz w:val="20"/>
        </w:rPr>
        <w:t>requires</w:t>
      </w:r>
      <w:r w:rsidRPr="00FF23BF">
        <w:rPr>
          <w:spacing w:val="6"/>
          <w:sz w:val="20"/>
        </w:rPr>
        <w:t xml:space="preserve"> </w:t>
      </w:r>
      <w:r w:rsidRPr="00FF23BF">
        <w:rPr>
          <w:sz w:val="20"/>
        </w:rPr>
        <w:t>the</w:t>
      </w:r>
      <w:r w:rsidRPr="00FF23BF">
        <w:rPr>
          <w:spacing w:val="4"/>
          <w:sz w:val="20"/>
        </w:rPr>
        <w:t xml:space="preserve"> </w:t>
      </w:r>
      <w:r w:rsidRPr="00FF23BF">
        <w:rPr>
          <w:sz w:val="20"/>
        </w:rPr>
        <w:t>guest</w:t>
      </w:r>
      <w:r w:rsidRPr="00FF23BF">
        <w:rPr>
          <w:spacing w:val="1"/>
          <w:sz w:val="20"/>
        </w:rPr>
        <w:t xml:space="preserve"> </w:t>
      </w:r>
      <w:r w:rsidRPr="00FF23BF">
        <w:rPr>
          <w:sz w:val="20"/>
        </w:rPr>
        <w:t>molecule to be trapped entirely / partially into a -po</w:t>
      </w:r>
      <w:r w:rsidR="00982602" w:rsidRPr="00FF23BF">
        <w:rPr>
          <w:sz w:val="20"/>
        </w:rPr>
        <w:t>lar CDs cavity/voids. Figure 3</w:t>
      </w:r>
      <w:r w:rsidRPr="00FF23BF">
        <w:rPr>
          <w:sz w:val="20"/>
        </w:rPr>
        <w:t xml:space="preserve"> shows the</w:t>
      </w:r>
      <w:r w:rsidRPr="00FF23BF">
        <w:rPr>
          <w:spacing w:val="-56"/>
          <w:sz w:val="20"/>
        </w:rPr>
        <w:t xml:space="preserve"> </w:t>
      </w:r>
      <w:r w:rsidRPr="00FF23BF">
        <w:rPr>
          <w:sz w:val="20"/>
        </w:rPr>
        <w:t>inclusion</w:t>
      </w:r>
      <w:r w:rsidRPr="00FF23BF">
        <w:rPr>
          <w:spacing w:val="-2"/>
          <w:sz w:val="20"/>
        </w:rPr>
        <w:t xml:space="preserve"> </w:t>
      </w:r>
      <w:r w:rsidRPr="00FF23BF">
        <w:rPr>
          <w:sz w:val="20"/>
        </w:rPr>
        <w:t>complexation</w:t>
      </w:r>
      <w:r w:rsidRPr="00FF23BF">
        <w:rPr>
          <w:spacing w:val="-1"/>
          <w:sz w:val="20"/>
        </w:rPr>
        <w:t xml:space="preserve"> </w:t>
      </w:r>
      <w:r w:rsidRPr="00FF23BF">
        <w:rPr>
          <w:sz w:val="20"/>
        </w:rPr>
        <w:t>of host and</w:t>
      </w:r>
      <w:r w:rsidRPr="00FF23BF">
        <w:rPr>
          <w:spacing w:val="-2"/>
          <w:sz w:val="20"/>
        </w:rPr>
        <w:t xml:space="preserve"> </w:t>
      </w:r>
      <w:r w:rsidRPr="00FF23BF">
        <w:rPr>
          <w:sz w:val="20"/>
        </w:rPr>
        <w:t>guest</w:t>
      </w:r>
      <w:r w:rsidRPr="00FF23BF">
        <w:rPr>
          <w:spacing w:val="-1"/>
          <w:sz w:val="20"/>
        </w:rPr>
        <w:t xml:space="preserve"> </w:t>
      </w:r>
      <w:r w:rsidRPr="00FF23BF">
        <w:rPr>
          <w:sz w:val="20"/>
        </w:rPr>
        <w:t>molecule</w:t>
      </w:r>
      <w:r w:rsidRPr="00FF23BF">
        <w:rPr>
          <w:spacing w:val="-1"/>
          <w:sz w:val="20"/>
        </w:rPr>
        <w:t xml:space="preserve"> </w:t>
      </w:r>
      <w:r w:rsidRPr="00FF23BF">
        <w:rPr>
          <w:sz w:val="20"/>
        </w:rPr>
        <w:t>in</w:t>
      </w:r>
      <w:r w:rsidRPr="00FF23BF">
        <w:rPr>
          <w:spacing w:val="-1"/>
          <w:sz w:val="20"/>
        </w:rPr>
        <w:t xml:space="preserve"> </w:t>
      </w:r>
      <w:r w:rsidRPr="00FF23BF">
        <w:rPr>
          <w:sz w:val="20"/>
        </w:rPr>
        <w:t>CDs</w:t>
      </w:r>
      <w:r w:rsidRPr="00FF23BF">
        <w:rPr>
          <w:spacing w:val="-1"/>
          <w:sz w:val="20"/>
        </w:rPr>
        <w:t xml:space="preserve"> </w:t>
      </w:r>
      <w:r w:rsidRPr="00FF23BF">
        <w:rPr>
          <w:sz w:val="20"/>
        </w:rPr>
        <w:t>networking</w:t>
      </w:r>
      <w:r w:rsidRPr="00FF23BF">
        <w:rPr>
          <w:spacing w:val="-3"/>
          <w:sz w:val="20"/>
        </w:rPr>
        <w:t xml:space="preserve"> </w:t>
      </w:r>
      <w:r w:rsidRPr="00FF23BF">
        <w:rPr>
          <w:sz w:val="20"/>
        </w:rPr>
        <w:t>framework.</w:t>
      </w:r>
    </w:p>
    <w:p w:rsidR="002E6E3E" w:rsidRDefault="002E6E3E" w:rsidP="002E6E3E">
      <w:pPr>
        <w:pStyle w:val="BodyText"/>
        <w:spacing w:before="202" w:line="285" w:lineRule="auto"/>
        <w:ind w:right="1291"/>
        <w:jc w:val="both"/>
        <w:rPr>
          <w:sz w:val="18"/>
        </w:rPr>
      </w:pPr>
    </w:p>
    <w:p w:rsidR="002E6E3E" w:rsidRDefault="002E6E3E" w:rsidP="002E6E3E">
      <w:pPr>
        <w:pStyle w:val="BodyText"/>
        <w:spacing w:before="202" w:line="285" w:lineRule="auto"/>
        <w:ind w:right="1291"/>
        <w:jc w:val="both"/>
        <w:rPr>
          <w:sz w:val="18"/>
        </w:rPr>
      </w:pPr>
    </w:p>
    <w:p w:rsidR="002E6E3E" w:rsidRDefault="00E12D2D">
      <w:pPr>
        <w:rPr>
          <w:b/>
          <w:noProof/>
          <w:sz w:val="18"/>
          <w:u w:val="dotted"/>
        </w:rPr>
      </w:pPr>
      <w:r w:rsidRPr="00E12D2D">
        <w:rPr>
          <w:rFonts w:ascii="Microsoft Sans Serif" w:eastAsia="Microsoft Sans Serif" w:hAnsi="Microsoft Sans Serif" w:cs="Microsoft Sans Serif"/>
          <w:noProof/>
          <w:sz w:val="18"/>
        </w:rPr>
        <w:drawing>
          <wp:inline distT="0" distB="0" distL="0" distR="0">
            <wp:extent cx="5943600" cy="1667510"/>
            <wp:effectExtent l="0" t="0" r="0" b="0"/>
            <wp:docPr id="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286698" cy="3166477"/>
                      <a:chOff x="259308" y="1296341"/>
                      <a:chExt cx="11286698" cy="3166477"/>
                    </a:xfrm>
                  </a:grpSpPr>
                  <a:pic>
                    <a:nvPicPr>
                      <a:cNvPr id="4" name="Picture 3" descr="C:\Users\HP\Desktop\Untitled-4.tif"/>
                      <a:cNvPicPr/>
                    </a:nvPicPr>
                    <a:blipFill>
                      <a:blip r:embed="rId30"/>
                      <a:srcRect/>
                      <a:stretch>
                        <a:fillRect/>
                      </a:stretch>
                    </a:blipFill>
                    <a:spPr bwMode="auto">
                      <a:xfrm>
                        <a:off x="259308" y="2224584"/>
                        <a:ext cx="2906974" cy="219729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5" name="Picture 4" descr="C:\Users\HP\Desktop\complex.tif"/>
                      <a:cNvPicPr/>
                    </a:nvPicPr>
                    <a:blipFill>
                      <a:blip r:embed="rId31" cstate="print"/>
                      <a:srcRect/>
                      <a:stretch>
                        <a:fillRect/>
                      </a:stretch>
                    </a:blipFill>
                    <a:spPr bwMode="auto">
                      <a:xfrm>
                        <a:off x="8871045" y="2224585"/>
                        <a:ext cx="2674961" cy="223823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spPr>
                  </a:pic>
                  <a:pic>
                    <a:nvPicPr>
                      <a:cNvPr id="18434" name="Picture 2" descr="C:\Users\HP\Desktop\Ram sir.tif"/>
                      <a:cNvPicPr>
                        <a:picLocks noChangeAspect="1" noChangeArrowheads="1"/>
                      </a:cNvPicPr>
                    </a:nvPicPr>
                    <a:blipFill>
                      <a:blip r:embed="rId32"/>
                      <a:srcRect/>
                      <a:stretch>
                        <a:fillRect/>
                      </a:stretch>
                    </a:blipFill>
                    <a:spPr bwMode="auto">
                      <a:xfrm>
                        <a:off x="3776064" y="2279177"/>
                        <a:ext cx="2237377" cy="2142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pPr>
                  </a:pic>
                  <a:sp>
                    <a:nvSpPr>
                      <a:cNvPr id="7" name="Curved Down Arrow 6"/>
                      <a:cNvSpPr/>
                    </a:nvSpPr>
                    <a:spPr>
                      <a:xfrm flipH="1">
                        <a:off x="2225364" y="1296341"/>
                        <a:ext cx="2024743" cy="849086"/>
                      </a:xfrm>
                      <a:prstGeom prst="curvedDown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 name="Straight Arrow Connector 8"/>
                      <a:cNvCxnSpPr/>
                    </a:nvCxnSpPr>
                    <a:spPr>
                      <a:xfrm>
                        <a:off x="6455391" y="3370997"/>
                        <a:ext cx="2060812" cy="27296"/>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6509982" y="2852382"/>
                        <a:ext cx="194803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accent2">
                                  <a:lumMod val="75000"/>
                                </a:schemeClr>
                              </a:solidFill>
                            </a:rPr>
                            <a:t>Inclusion complex </a:t>
                          </a:r>
                          <a:endParaRPr lang="en-US" b="1" dirty="0">
                            <a:solidFill>
                              <a:schemeClr val="accent2">
                                <a:lumMod val="75000"/>
                              </a:schemeClr>
                            </a:solidFill>
                          </a:endParaRPr>
                        </a:p>
                      </a:txBody>
                      <a:useSpRect/>
                    </a:txSp>
                  </a:sp>
                </lc:lockedCanvas>
              </a:graphicData>
            </a:graphic>
          </wp:inline>
        </w:drawing>
      </w:r>
      <w:r w:rsidR="002E6E3E">
        <w:rPr>
          <w:b/>
          <w:sz w:val="18"/>
          <w:u w:val="dotted"/>
        </w:rPr>
        <w:t xml:space="preserve"> </w:t>
      </w:r>
      <w:r w:rsidR="002E6E3E">
        <w:rPr>
          <w:b/>
          <w:noProof/>
          <w:sz w:val="18"/>
          <w:u w:val="dotted"/>
        </w:rPr>
        <w:t xml:space="preserve">   </w:t>
      </w:r>
    </w:p>
    <w:p w:rsidR="002E6E3E" w:rsidRPr="00EB7E3F" w:rsidRDefault="00EB7E3F">
      <w:pPr>
        <w:rPr>
          <w:noProof/>
          <w:sz w:val="18"/>
          <w:u w:val="dotted"/>
        </w:rPr>
      </w:pPr>
      <w:r>
        <w:rPr>
          <w:b/>
          <w:noProof/>
          <w:sz w:val="18"/>
          <w:u w:val="dotted"/>
        </w:rPr>
        <w:t xml:space="preserve">       Figure</w:t>
      </w:r>
      <w:r w:rsidR="00982602">
        <w:rPr>
          <w:b/>
          <w:noProof/>
          <w:sz w:val="18"/>
          <w:u w:val="dotted"/>
        </w:rPr>
        <w:t xml:space="preserve"> 3</w:t>
      </w:r>
      <w:r>
        <w:rPr>
          <w:b/>
          <w:noProof/>
          <w:sz w:val="18"/>
          <w:u w:val="dotted"/>
        </w:rPr>
        <w:t xml:space="preserve">: </w:t>
      </w:r>
      <w:r>
        <w:rPr>
          <w:noProof/>
          <w:sz w:val="18"/>
          <w:u w:val="dotted"/>
        </w:rPr>
        <w:t>B</w:t>
      </w:r>
      <w:r w:rsidR="00D220D3">
        <w:rPr>
          <w:noProof/>
          <w:sz w:val="18"/>
          <w:u w:val="dotted"/>
        </w:rPr>
        <w:t>e</w:t>
      </w:r>
      <w:r>
        <w:rPr>
          <w:noProof/>
          <w:sz w:val="18"/>
          <w:u w:val="dotted"/>
        </w:rPr>
        <w:t>ta-Cyclodextrin with N-methylitribulin  and  Inclusion complex</w:t>
      </w:r>
    </w:p>
    <w:p w:rsidR="00D46008" w:rsidRDefault="00F876D4">
      <w:pPr>
        <w:rPr>
          <w:b/>
          <w:noProof/>
          <w:sz w:val="18"/>
          <w:u w:val="dotted"/>
        </w:rPr>
      </w:pPr>
      <w:r>
        <w:rPr>
          <w:b/>
          <w:noProof/>
          <w:sz w:val="18"/>
          <w:u w:val="dotted"/>
        </w:rPr>
        <w:t xml:space="preserve">           </w:t>
      </w:r>
      <w:r w:rsidR="002E6E3E">
        <w:rPr>
          <w:b/>
          <w:noProof/>
          <w:sz w:val="18"/>
          <w:u w:val="dotted"/>
        </w:rPr>
        <w:t xml:space="preserve">                                                              </w:t>
      </w:r>
    </w:p>
    <w:p w:rsidR="00A71430" w:rsidRPr="00F876D4" w:rsidRDefault="00A71430" w:rsidP="00A71430">
      <w:pPr>
        <w:pStyle w:val="BodyText"/>
        <w:tabs>
          <w:tab w:val="left" w:pos="1944"/>
        </w:tabs>
        <w:spacing w:before="245" w:line="285" w:lineRule="auto"/>
        <w:ind w:right="1347"/>
        <w:jc w:val="both"/>
        <w:rPr>
          <w:b/>
        </w:rPr>
      </w:pPr>
      <w:r w:rsidRPr="005837C6">
        <w:rPr>
          <w:b/>
        </w:rPr>
        <w:t xml:space="preserve">       </w:t>
      </w:r>
      <w:r w:rsidR="00F876D4">
        <w:rPr>
          <w:sz w:val="20"/>
        </w:rPr>
        <w:t xml:space="preserve">        </w:t>
      </w:r>
      <w:r w:rsidR="00E12D2D">
        <w:rPr>
          <w:sz w:val="20"/>
        </w:rPr>
        <w:t xml:space="preserve">       </w:t>
      </w:r>
      <w:r w:rsidRPr="00BD2AF3">
        <w:rPr>
          <w:sz w:val="20"/>
        </w:rPr>
        <w:t>The</w:t>
      </w:r>
      <w:r w:rsidRPr="00BD2AF3">
        <w:rPr>
          <w:spacing w:val="2"/>
          <w:sz w:val="20"/>
        </w:rPr>
        <w:t xml:space="preserve"> </w:t>
      </w:r>
      <w:r w:rsidRPr="00BD2AF3">
        <w:rPr>
          <w:sz w:val="20"/>
        </w:rPr>
        <w:t>internal</w:t>
      </w:r>
      <w:r w:rsidRPr="00BD2AF3">
        <w:rPr>
          <w:spacing w:val="4"/>
          <w:sz w:val="20"/>
        </w:rPr>
        <w:t xml:space="preserve"> </w:t>
      </w:r>
      <w:r w:rsidRPr="00BD2AF3">
        <w:rPr>
          <w:sz w:val="20"/>
        </w:rPr>
        <w:t>cavity</w:t>
      </w:r>
      <w:r w:rsidRPr="00BD2AF3">
        <w:rPr>
          <w:spacing w:val="1"/>
          <w:sz w:val="20"/>
        </w:rPr>
        <w:t xml:space="preserve"> </w:t>
      </w:r>
      <w:r w:rsidRPr="00BD2AF3">
        <w:rPr>
          <w:sz w:val="20"/>
        </w:rPr>
        <w:t>being</w:t>
      </w:r>
      <w:r w:rsidRPr="00BD2AF3">
        <w:rPr>
          <w:sz w:val="20"/>
        </w:rPr>
        <w:tab/>
        <w:t>lipophilc in nature</w:t>
      </w:r>
      <w:r w:rsidRPr="00BD2AF3">
        <w:rPr>
          <w:spacing w:val="-1"/>
          <w:sz w:val="20"/>
        </w:rPr>
        <w:t xml:space="preserve"> </w:t>
      </w:r>
      <w:r w:rsidRPr="00BD2AF3">
        <w:rPr>
          <w:sz w:val="20"/>
        </w:rPr>
        <w:t>being</w:t>
      </w:r>
      <w:r w:rsidRPr="00BD2AF3">
        <w:rPr>
          <w:spacing w:val="-1"/>
          <w:sz w:val="20"/>
        </w:rPr>
        <w:t xml:space="preserve"> </w:t>
      </w:r>
      <w:r w:rsidRPr="00BD2AF3">
        <w:rPr>
          <w:sz w:val="20"/>
        </w:rPr>
        <w:t>hallmark</w:t>
      </w:r>
      <w:r w:rsidRPr="00BD2AF3">
        <w:rPr>
          <w:spacing w:val="2"/>
          <w:sz w:val="20"/>
        </w:rPr>
        <w:t xml:space="preserve"> </w:t>
      </w:r>
      <w:r w:rsidRPr="00BD2AF3">
        <w:rPr>
          <w:sz w:val="20"/>
        </w:rPr>
        <w:t>of</w:t>
      </w:r>
      <w:r w:rsidRPr="00BD2AF3">
        <w:rPr>
          <w:spacing w:val="1"/>
          <w:sz w:val="20"/>
        </w:rPr>
        <w:t xml:space="preserve"> </w:t>
      </w:r>
      <w:r w:rsidRPr="00BD2AF3">
        <w:rPr>
          <w:sz w:val="20"/>
        </w:rPr>
        <w:t>Cyclodextrin in</w:t>
      </w:r>
      <w:r w:rsidRPr="00BD2AF3">
        <w:rPr>
          <w:spacing w:val="1"/>
          <w:sz w:val="20"/>
        </w:rPr>
        <w:t xml:space="preserve"> </w:t>
      </w:r>
      <w:r w:rsidRPr="00BD2AF3">
        <w:rPr>
          <w:sz w:val="20"/>
        </w:rPr>
        <w:t>order to</w:t>
      </w:r>
      <w:r w:rsidRPr="00BD2AF3">
        <w:rPr>
          <w:spacing w:val="1"/>
          <w:sz w:val="20"/>
        </w:rPr>
        <w:t xml:space="preserve"> </w:t>
      </w:r>
      <w:r w:rsidRPr="00BD2AF3">
        <w:rPr>
          <w:sz w:val="20"/>
        </w:rPr>
        <w:t>providing the ability</w:t>
      </w:r>
      <w:r w:rsidRPr="00BD2AF3">
        <w:rPr>
          <w:spacing w:val="-1"/>
          <w:sz w:val="20"/>
        </w:rPr>
        <w:t xml:space="preserve"> </w:t>
      </w:r>
      <w:r w:rsidRPr="00BD2AF3">
        <w:rPr>
          <w:sz w:val="20"/>
        </w:rPr>
        <w:t>of</w:t>
      </w:r>
      <w:r w:rsidRPr="00BD2AF3">
        <w:rPr>
          <w:spacing w:val="1"/>
          <w:sz w:val="20"/>
        </w:rPr>
        <w:t xml:space="preserve"> </w:t>
      </w:r>
      <w:r w:rsidRPr="00BD2AF3">
        <w:rPr>
          <w:sz w:val="20"/>
        </w:rPr>
        <w:t xml:space="preserve">forming complexes to encompass variety of guest molecules </w:t>
      </w:r>
      <w:r w:rsidRPr="00BD2AF3">
        <w:rPr>
          <w:sz w:val="20"/>
          <w:vertAlign w:val="superscript"/>
        </w:rPr>
        <w:t>20</w:t>
      </w:r>
      <w:r w:rsidR="00982602">
        <w:rPr>
          <w:sz w:val="20"/>
          <w:vertAlign w:val="superscript"/>
        </w:rPr>
        <w:t>,</w:t>
      </w:r>
      <w:r w:rsidRPr="00BD2AF3">
        <w:rPr>
          <w:sz w:val="20"/>
          <w:vertAlign w:val="superscript"/>
        </w:rPr>
        <w:t>22</w:t>
      </w:r>
      <w:r w:rsidRPr="00BD2AF3">
        <w:rPr>
          <w:sz w:val="20"/>
        </w:rPr>
        <w:t>. CDs inclusion is a</w:t>
      </w:r>
      <w:r w:rsidRPr="00BD2AF3">
        <w:rPr>
          <w:spacing w:val="1"/>
          <w:sz w:val="20"/>
        </w:rPr>
        <w:t xml:space="preserve"> </w:t>
      </w:r>
      <w:r w:rsidRPr="00BD2AF3">
        <w:rPr>
          <w:sz w:val="20"/>
        </w:rPr>
        <w:t>stoichiometric molecular</w:t>
      </w:r>
      <w:r w:rsidRPr="00BD2AF3">
        <w:rPr>
          <w:spacing w:val="2"/>
          <w:sz w:val="20"/>
        </w:rPr>
        <w:t xml:space="preserve"> </w:t>
      </w:r>
      <w:r w:rsidRPr="00BD2AF3">
        <w:rPr>
          <w:sz w:val="20"/>
        </w:rPr>
        <w:t>phenomenon</w:t>
      </w:r>
      <w:r w:rsidRPr="00BD2AF3">
        <w:rPr>
          <w:spacing w:val="2"/>
          <w:sz w:val="20"/>
        </w:rPr>
        <w:t xml:space="preserve"> </w:t>
      </w:r>
      <w:r w:rsidRPr="00BD2AF3">
        <w:rPr>
          <w:sz w:val="20"/>
        </w:rPr>
        <w:t>in</w:t>
      </w:r>
      <w:r w:rsidRPr="00BD2AF3">
        <w:rPr>
          <w:spacing w:val="1"/>
          <w:sz w:val="20"/>
        </w:rPr>
        <w:t xml:space="preserve"> </w:t>
      </w:r>
      <w:r w:rsidRPr="00BD2AF3">
        <w:rPr>
          <w:sz w:val="20"/>
        </w:rPr>
        <w:t>which</w:t>
      </w:r>
      <w:r w:rsidRPr="00BD2AF3">
        <w:rPr>
          <w:spacing w:val="2"/>
          <w:sz w:val="20"/>
        </w:rPr>
        <w:t xml:space="preserve"> </w:t>
      </w:r>
      <w:r w:rsidRPr="00BD2AF3">
        <w:rPr>
          <w:sz w:val="20"/>
        </w:rPr>
        <w:t>usually</w:t>
      </w:r>
      <w:r w:rsidRPr="00BD2AF3">
        <w:rPr>
          <w:spacing w:val="2"/>
          <w:sz w:val="20"/>
        </w:rPr>
        <w:t xml:space="preserve"> </w:t>
      </w:r>
      <w:r w:rsidRPr="00BD2AF3">
        <w:rPr>
          <w:sz w:val="20"/>
        </w:rPr>
        <w:t>only a</w:t>
      </w:r>
      <w:r w:rsidRPr="00BD2AF3">
        <w:rPr>
          <w:spacing w:val="1"/>
          <w:sz w:val="20"/>
        </w:rPr>
        <w:t xml:space="preserve"> </w:t>
      </w:r>
      <w:r w:rsidRPr="00BD2AF3">
        <w:rPr>
          <w:sz w:val="20"/>
        </w:rPr>
        <w:t>molecule interacts</w:t>
      </w:r>
      <w:r w:rsidRPr="00BD2AF3">
        <w:rPr>
          <w:spacing w:val="2"/>
          <w:sz w:val="20"/>
        </w:rPr>
        <w:t xml:space="preserve"> </w:t>
      </w:r>
      <w:r w:rsidRPr="00BD2AF3">
        <w:rPr>
          <w:sz w:val="20"/>
        </w:rPr>
        <w:t>with</w:t>
      </w:r>
      <w:r w:rsidRPr="00BD2AF3">
        <w:rPr>
          <w:spacing w:val="2"/>
          <w:sz w:val="20"/>
        </w:rPr>
        <w:t xml:space="preserve"> </w:t>
      </w:r>
      <w:r w:rsidRPr="00BD2AF3">
        <w:rPr>
          <w:sz w:val="20"/>
        </w:rPr>
        <w:t>the</w:t>
      </w:r>
      <w:r w:rsidRPr="00BD2AF3">
        <w:rPr>
          <w:spacing w:val="1"/>
          <w:sz w:val="20"/>
        </w:rPr>
        <w:t xml:space="preserve"> </w:t>
      </w:r>
      <w:r w:rsidRPr="00BD2AF3">
        <w:rPr>
          <w:sz w:val="20"/>
        </w:rPr>
        <w:t>cavity</w:t>
      </w:r>
      <w:r w:rsidRPr="00BD2AF3">
        <w:rPr>
          <w:spacing w:val="-6"/>
          <w:sz w:val="20"/>
        </w:rPr>
        <w:t xml:space="preserve"> </w:t>
      </w:r>
      <w:r w:rsidRPr="00BD2AF3">
        <w:rPr>
          <w:sz w:val="20"/>
        </w:rPr>
        <w:t>of</w:t>
      </w:r>
      <w:r w:rsidRPr="00BD2AF3">
        <w:rPr>
          <w:spacing w:val="-3"/>
          <w:sz w:val="20"/>
        </w:rPr>
        <w:t xml:space="preserve"> </w:t>
      </w:r>
      <w:r w:rsidRPr="00BD2AF3">
        <w:rPr>
          <w:sz w:val="20"/>
        </w:rPr>
        <w:t>CDs</w:t>
      </w:r>
      <w:r w:rsidRPr="00BD2AF3">
        <w:rPr>
          <w:spacing w:val="-4"/>
          <w:sz w:val="20"/>
        </w:rPr>
        <w:t xml:space="preserve"> </w:t>
      </w:r>
      <w:r w:rsidRPr="00BD2AF3">
        <w:rPr>
          <w:sz w:val="20"/>
        </w:rPr>
        <w:t>molecule</w:t>
      </w:r>
      <w:r w:rsidRPr="00BD2AF3">
        <w:rPr>
          <w:spacing w:val="-5"/>
          <w:sz w:val="20"/>
        </w:rPr>
        <w:t xml:space="preserve"> </w:t>
      </w:r>
      <w:r w:rsidRPr="00BD2AF3">
        <w:rPr>
          <w:sz w:val="20"/>
        </w:rPr>
        <w:t>to</w:t>
      </w:r>
      <w:r w:rsidRPr="00BD2AF3">
        <w:rPr>
          <w:spacing w:val="-3"/>
          <w:sz w:val="20"/>
        </w:rPr>
        <w:t xml:space="preserve"> </w:t>
      </w:r>
      <w:r w:rsidRPr="00BD2AF3">
        <w:rPr>
          <w:sz w:val="20"/>
        </w:rPr>
        <w:t>become</w:t>
      </w:r>
      <w:r w:rsidRPr="00BD2AF3">
        <w:rPr>
          <w:spacing w:val="-5"/>
          <w:sz w:val="20"/>
        </w:rPr>
        <w:t xml:space="preserve"> </w:t>
      </w:r>
      <w:r w:rsidRPr="00BD2AF3">
        <w:rPr>
          <w:sz w:val="20"/>
        </w:rPr>
        <w:t>entrapped</w:t>
      </w:r>
      <w:r w:rsidRPr="00BD2AF3">
        <w:rPr>
          <w:spacing w:val="-6"/>
          <w:sz w:val="20"/>
        </w:rPr>
        <w:t xml:space="preserve"> </w:t>
      </w:r>
      <w:r w:rsidRPr="00BD2AF3">
        <w:rPr>
          <w:sz w:val="20"/>
          <w:vertAlign w:val="superscript"/>
        </w:rPr>
        <w:t>4</w:t>
      </w:r>
      <w:r w:rsidR="00982602">
        <w:rPr>
          <w:sz w:val="20"/>
          <w:vertAlign w:val="superscript"/>
        </w:rPr>
        <w:t>, 5,10,23</w:t>
      </w:r>
      <w:r w:rsidRPr="00BD2AF3">
        <w:rPr>
          <w:sz w:val="20"/>
        </w:rPr>
        <w:t>.</w:t>
      </w:r>
      <w:r w:rsidRPr="00BD2AF3">
        <w:rPr>
          <w:spacing w:val="-4"/>
          <w:sz w:val="20"/>
        </w:rPr>
        <w:t xml:space="preserve"> </w:t>
      </w:r>
      <w:r w:rsidRPr="00BD2AF3">
        <w:rPr>
          <w:sz w:val="20"/>
        </w:rPr>
        <w:t>A</w:t>
      </w:r>
      <w:r w:rsidRPr="00BD2AF3">
        <w:rPr>
          <w:spacing w:val="-5"/>
          <w:sz w:val="20"/>
        </w:rPr>
        <w:t xml:space="preserve"> </w:t>
      </w:r>
      <w:r w:rsidRPr="00BD2AF3">
        <w:rPr>
          <w:sz w:val="20"/>
        </w:rPr>
        <w:t>variety</w:t>
      </w:r>
      <w:r w:rsidRPr="00BD2AF3">
        <w:rPr>
          <w:spacing w:val="-5"/>
          <w:sz w:val="20"/>
        </w:rPr>
        <w:t xml:space="preserve"> </w:t>
      </w:r>
      <w:r w:rsidRPr="00BD2AF3">
        <w:rPr>
          <w:sz w:val="20"/>
        </w:rPr>
        <w:t>of</w:t>
      </w:r>
      <w:r w:rsidRPr="00BD2AF3">
        <w:rPr>
          <w:spacing w:val="-4"/>
          <w:sz w:val="20"/>
        </w:rPr>
        <w:t xml:space="preserve"> </w:t>
      </w:r>
      <w:r w:rsidRPr="00BD2AF3">
        <w:rPr>
          <w:sz w:val="20"/>
        </w:rPr>
        <w:t>non-covalent</w:t>
      </w:r>
      <w:r w:rsidRPr="00BD2AF3">
        <w:rPr>
          <w:spacing w:val="-3"/>
          <w:sz w:val="20"/>
        </w:rPr>
        <w:t xml:space="preserve"> </w:t>
      </w:r>
      <w:r w:rsidRPr="00BD2AF3">
        <w:rPr>
          <w:sz w:val="20"/>
        </w:rPr>
        <w:t>forces,</w:t>
      </w:r>
      <w:r w:rsidRPr="00BD2AF3">
        <w:rPr>
          <w:spacing w:val="-3"/>
          <w:sz w:val="20"/>
        </w:rPr>
        <w:t xml:space="preserve"> </w:t>
      </w:r>
      <w:r w:rsidRPr="00BD2AF3">
        <w:rPr>
          <w:sz w:val="20"/>
        </w:rPr>
        <w:t>such</w:t>
      </w:r>
      <w:r w:rsidRPr="00BD2AF3">
        <w:rPr>
          <w:spacing w:val="-5"/>
          <w:sz w:val="20"/>
        </w:rPr>
        <w:t xml:space="preserve"> </w:t>
      </w:r>
      <w:r w:rsidRPr="00BD2AF3">
        <w:rPr>
          <w:sz w:val="20"/>
        </w:rPr>
        <w:t>as</w:t>
      </w:r>
      <w:r w:rsidRPr="00BD2AF3">
        <w:rPr>
          <w:spacing w:val="-4"/>
          <w:sz w:val="20"/>
        </w:rPr>
        <w:t xml:space="preserve"> </w:t>
      </w:r>
      <w:r w:rsidRPr="00BD2AF3">
        <w:rPr>
          <w:sz w:val="20"/>
        </w:rPr>
        <w:t>van</w:t>
      </w:r>
      <w:r w:rsidRPr="00BD2AF3">
        <w:rPr>
          <w:spacing w:val="-55"/>
          <w:sz w:val="20"/>
        </w:rPr>
        <w:t xml:space="preserve"> </w:t>
      </w:r>
      <w:r w:rsidRPr="00BD2AF3">
        <w:rPr>
          <w:sz w:val="20"/>
        </w:rPr>
        <w:t>der Waals</w:t>
      </w:r>
      <w:r w:rsidRPr="00BD2AF3">
        <w:rPr>
          <w:spacing w:val="1"/>
          <w:sz w:val="20"/>
        </w:rPr>
        <w:t xml:space="preserve"> </w:t>
      </w:r>
      <w:r w:rsidRPr="00BD2AF3">
        <w:rPr>
          <w:sz w:val="20"/>
        </w:rPr>
        <w:t>forces,</w:t>
      </w:r>
      <w:r w:rsidRPr="00BD2AF3">
        <w:rPr>
          <w:spacing w:val="3"/>
          <w:sz w:val="20"/>
        </w:rPr>
        <w:t xml:space="preserve"> </w:t>
      </w:r>
      <w:r w:rsidRPr="00BD2AF3">
        <w:rPr>
          <w:sz w:val="20"/>
        </w:rPr>
        <w:t>hydrophobic interactions</w:t>
      </w:r>
      <w:r w:rsidRPr="00BD2AF3">
        <w:rPr>
          <w:spacing w:val="2"/>
          <w:sz w:val="20"/>
        </w:rPr>
        <w:t xml:space="preserve"> </w:t>
      </w:r>
      <w:r w:rsidRPr="00BD2AF3">
        <w:rPr>
          <w:sz w:val="20"/>
        </w:rPr>
        <w:t>&amp;</w:t>
      </w:r>
      <w:r w:rsidRPr="00BD2AF3">
        <w:rPr>
          <w:spacing w:val="1"/>
          <w:sz w:val="20"/>
        </w:rPr>
        <w:t xml:space="preserve"> </w:t>
      </w:r>
      <w:r w:rsidRPr="00BD2AF3">
        <w:rPr>
          <w:sz w:val="20"/>
        </w:rPr>
        <w:t>other forces</w:t>
      </w:r>
      <w:r w:rsidRPr="00BD2AF3">
        <w:rPr>
          <w:spacing w:val="1"/>
          <w:sz w:val="20"/>
        </w:rPr>
        <w:t xml:space="preserve"> </w:t>
      </w:r>
      <w:r w:rsidRPr="00BD2AF3">
        <w:rPr>
          <w:sz w:val="20"/>
        </w:rPr>
        <w:t>are</w:t>
      </w:r>
      <w:r w:rsidRPr="00BD2AF3">
        <w:rPr>
          <w:spacing w:val="1"/>
          <w:sz w:val="20"/>
        </w:rPr>
        <w:t xml:space="preserve"> </w:t>
      </w:r>
      <w:r w:rsidRPr="00BD2AF3">
        <w:rPr>
          <w:sz w:val="20"/>
        </w:rPr>
        <w:t>responsible for</w:t>
      </w:r>
      <w:r w:rsidRPr="00BD2AF3">
        <w:rPr>
          <w:spacing w:val="1"/>
          <w:sz w:val="20"/>
        </w:rPr>
        <w:t xml:space="preserve"> </w:t>
      </w:r>
      <w:r w:rsidRPr="00BD2AF3">
        <w:rPr>
          <w:sz w:val="20"/>
        </w:rPr>
        <w:t>the</w:t>
      </w:r>
      <w:r w:rsidRPr="00BD2AF3">
        <w:rPr>
          <w:spacing w:val="2"/>
          <w:sz w:val="20"/>
        </w:rPr>
        <w:t xml:space="preserve"> </w:t>
      </w:r>
      <w:r w:rsidRPr="00BD2AF3">
        <w:rPr>
          <w:sz w:val="20"/>
        </w:rPr>
        <w:t>formation</w:t>
      </w:r>
      <w:r w:rsidRPr="00BD2AF3">
        <w:rPr>
          <w:spacing w:val="1"/>
          <w:sz w:val="20"/>
        </w:rPr>
        <w:t xml:space="preserve"> </w:t>
      </w:r>
      <w:r w:rsidRPr="00BD2AF3">
        <w:rPr>
          <w:sz w:val="20"/>
        </w:rPr>
        <w:t>of</w:t>
      </w:r>
      <w:r w:rsidRPr="00BD2AF3">
        <w:rPr>
          <w:spacing w:val="1"/>
          <w:sz w:val="20"/>
        </w:rPr>
        <w:t xml:space="preserve"> </w:t>
      </w:r>
      <w:r w:rsidRPr="00BD2AF3">
        <w:rPr>
          <w:sz w:val="20"/>
        </w:rPr>
        <w:t>stable complex.</w:t>
      </w:r>
      <w:r w:rsidRPr="00BD2AF3">
        <w:rPr>
          <w:spacing w:val="-1"/>
          <w:sz w:val="20"/>
        </w:rPr>
        <w:t xml:space="preserve"> </w:t>
      </w:r>
      <w:r w:rsidRPr="00BD2AF3">
        <w:rPr>
          <w:sz w:val="20"/>
        </w:rPr>
        <w:t>It is</w:t>
      </w:r>
      <w:r w:rsidRPr="00BD2AF3">
        <w:rPr>
          <w:spacing w:val="1"/>
          <w:sz w:val="20"/>
        </w:rPr>
        <w:t xml:space="preserve"> </w:t>
      </w:r>
      <w:r w:rsidRPr="00BD2AF3">
        <w:rPr>
          <w:sz w:val="20"/>
        </w:rPr>
        <w:t>regarded as</w:t>
      </w:r>
      <w:r w:rsidRPr="00BD2AF3">
        <w:rPr>
          <w:spacing w:val="1"/>
          <w:sz w:val="20"/>
        </w:rPr>
        <w:t xml:space="preserve"> </w:t>
      </w:r>
      <w:r w:rsidRPr="00BD2AF3">
        <w:rPr>
          <w:sz w:val="20"/>
        </w:rPr>
        <w:t>encapsulation of</w:t>
      </w:r>
      <w:r w:rsidRPr="00BD2AF3">
        <w:rPr>
          <w:spacing w:val="1"/>
          <w:sz w:val="20"/>
        </w:rPr>
        <w:t xml:space="preserve"> </w:t>
      </w:r>
      <w:r w:rsidRPr="00BD2AF3">
        <w:rPr>
          <w:sz w:val="20"/>
        </w:rPr>
        <w:t>drug molecules,</w:t>
      </w:r>
      <w:r w:rsidRPr="00BD2AF3">
        <w:rPr>
          <w:spacing w:val="1"/>
          <w:sz w:val="20"/>
        </w:rPr>
        <w:t xml:space="preserve"> </w:t>
      </w:r>
      <w:r w:rsidRPr="00BD2AF3">
        <w:rPr>
          <w:sz w:val="20"/>
        </w:rPr>
        <w:t>or at least</w:t>
      </w:r>
      <w:r w:rsidRPr="00BD2AF3">
        <w:rPr>
          <w:spacing w:val="2"/>
          <w:sz w:val="20"/>
        </w:rPr>
        <w:t xml:space="preserve"> </w:t>
      </w:r>
      <w:r w:rsidRPr="00BD2AF3">
        <w:rPr>
          <w:sz w:val="20"/>
        </w:rPr>
        <w:t>the</w:t>
      </w:r>
      <w:r w:rsidRPr="00BD2AF3">
        <w:rPr>
          <w:spacing w:val="1"/>
          <w:sz w:val="20"/>
        </w:rPr>
        <w:t xml:space="preserve"> </w:t>
      </w:r>
      <w:r w:rsidRPr="00BD2AF3">
        <w:rPr>
          <w:sz w:val="20"/>
        </w:rPr>
        <w:t xml:space="preserve">unsteady part of the molecule </w:t>
      </w:r>
      <w:r w:rsidRPr="00BD2AF3">
        <w:rPr>
          <w:sz w:val="20"/>
          <w:vertAlign w:val="superscript"/>
        </w:rPr>
        <w:t>16</w:t>
      </w:r>
      <w:r w:rsidRPr="00BD2AF3">
        <w:rPr>
          <w:sz w:val="20"/>
        </w:rPr>
        <w:t>. Encapsulation shield the drug molecule against attack by</w:t>
      </w:r>
      <w:r w:rsidRPr="00BD2AF3">
        <w:rPr>
          <w:spacing w:val="1"/>
          <w:sz w:val="20"/>
        </w:rPr>
        <w:t xml:space="preserve"> </w:t>
      </w:r>
      <w:r w:rsidRPr="00BD2AF3">
        <w:rPr>
          <w:sz w:val="20"/>
        </w:rPr>
        <w:t>numerous reactive molecules &amp; so on reduces the rate of hydrolysis, oxidation, steric</w:t>
      </w:r>
      <w:r w:rsidRPr="00BD2AF3">
        <w:rPr>
          <w:spacing w:val="1"/>
          <w:sz w:val="20"/>
        </w:rPr>
        <w:t xml:space="preserve"> </w:t>
      </w:r>
      <w:r w:rsidRPr="00BD2AF3">
        <w:rPr>
          <w:sz w:val="20"/>
        </w:rPr>
        <w:t xml:space="preserve">rearrangement, racemization &amp; even enzymatic decomposition </w:t>
      </w:r>
      <w:r w:rsidRPr="00BD2AF3">
        <w:rPr>
          <w:sz w:val="20"/>
          <w:vertAlign w:val="superscript"/>
        </w:rPr>
        <w:t>23</w:t>
      </w:r>
      <w:r w:rsidR="006B6222">
        <w:rPr>
          <w:sz w:val="20"/>
        </w:rPr>
        <w:t>. Figure 4</w:t>
      </w:r>
      <w:r w:rsidRPr="00BD2AF3">
        <w:rPr>
          <w:sz w:val="20"/>
        </w:rPr>
        <w:t xml:space="preserve"> explains the</w:t>
      </w:r>
      <w:r w:rsidRPr="00BD2AF3">
        <w:rPr>
          <w:spacing w:val="1"/>
          <w:sz w:val="20"/>
        </w:rPr>
        <w:t xml:space="preserve"> </w:t>
      </w:r>
      <w:r w:rsidR="006B6222">
        <w:rPr>
          <w:sz w:val="20"/>
        </w:rPr>
        <w:t xml:space="preserve">functions of Cyclodextrin </w:t>
      </w:r>
      <w:r w:rsidR="00212B47">
        <w:rPr>
          <w:sz w:val="20"/>
        </w:rPr>
        <w:t xml:space="preserve">and </w:t>
      </w:r>
      <w:r w:rsidR="00212B47" w:rsidRPr="00BD2AF3">
        <w:rPr>
          <w:spacing w:val="-4"/>
          <w:sz w:val="20"/>
        </w:rPr>
        <w:t>complex</w:t>
      </w:r>
      <w:r w:rsidRPr="00BD2AF3">
        <w:rPr>
          <w:spacing w:val="-2"/>
          <w:sz w:val="20"/>
        </w:rPr>
        <w:t xml:space="preserve"> </w:t>
      </w:r>
      <w:r w:rsidRPr="00BD2AF3">
        <w:rPr>
          <w:sz w:val="20"/>
        </w:rPr>
        <w:t>formation</w:t>
      </w:r>
      <w:r w:rsidRPr="00BD2AF3">
        <w:rPr>
          <w:sz w:val="20"/>
          <w:vertAlign w:val="superscript"/>
        </w:rPr>
        <w:t>11</w:t>
      </w:r>
      <w:r w:rsidR="00982602">
        <w:rPr>
          <w:sz w:val="20"/>
          <w:vertAlign w:val="superscript"/>
        </w:rPr>
        <w:t>,12</w:t>
      </w:r>
      <w:r w:rsidRPr="00BD2AF3">
        <w:rPr>
          <w:sz w:val="20"/>
          <w:vertAlign w:val="superscript"/>
        </w:rPr>
        <w:t xml:space="preserve"> </w:t>
      </w:r>
      <w:r w:rsidR="00982602">
        <w:rPr>
          <w:sz w:val="20"/>
          <w:vertAlign w:val="superscript"/>
        </w:rPr>
        <w:t>.</w:t>
      </w:r>
      <w:r w:rsidRPr="00BD2AF3">
        <w:rPr>
          <w:sz w:val="20"/>
          <w:vertAlign w:val="superscript"/>
        </w:rPr>
        <w:t xml:space="preserve">  </w:t>
      </w:r>
    </w:p>
    <w:p w:rsidR="00996766" w:rsidRDefault="00996766" w:rsidP="00A71430">
      <w:pPr>
        <w:pStyle w:val="BodyText"/>
        <w:tabs>
          <w:tab w:val="left" w:pos="1944"/>
        </w:tabs>
        <w:spacing w:before="245" w:line="285" w:lineRule="auto"/>
        <w:ind w:right="1347"/>
        <w:jc w:val="both"/>
        <w:rPr>
          <w:vertAlign w:val="superscript"/>
        </w:rPr>
      </w:pPr>
    </w:p>
    <w:p w:rsidR="00031121" w:rsidRDefault="004A48F1" w:rsidP="00A71430">
      <w:pPr>
        <w:pStyle w:val="BodyText"/>
        <w:tabs>
          <w:tab w:val="left" w:pos="1944"/>
        </w:tabs>
        <w:spacing w:before="245" w:line="285" w:lineRule="auto"/>
        <w:ind w:right="1347"/>
        <w:jc w:val="both"/>
        <w:rPr>
          <w:vertAlign w:val="superscript"/>
        </w:rPr>
      </w:pPr>
      <w:r>
        <w:rPr>
          <w:vertAlign w:val="superscript"/>
        </w:rPr>
        <w:t xml:space="preserve">                            </w:t>
      </w:r>
      <w:r w:rsidR="00E07C0F" w:rsidRPr="00E07C0F">
        <w:rPr>
          <w:noProof/>
          <w:vertAlign w:val="superscript"/>
        </w:rPr>
        <w:drawing>
          <wp:inline distT="0" distB="0" distL="0" distR="0">
            <wp:extent cx="3214048" cy="1794681"/>
            <wp:effectExtent l="0" t="0" r="0" b="0"/>
            <wp:docPr id="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031121" w:rsidRDefault="00031121" w:rsidP="00BD2AF3">
      <w:pPr>
        <w:pStyle w:val="BodyText"/>
        <w:tabs>
          <w:tab w:val="left" w:pos="1944"/>
        </w:tabs>
        <w:spacing w:before="245" w:line="285" w:lineRule="auto"/>
        <w:ind w:left="360" w:right="1347"/>
        <w:jc w:val="both"/>
        <w:rPr>
          <w:vertAlign w:val="superscript"/>
        </w:rPr>
      </w:pPr>
    </w:p>
    <w:p w:rsidR="002174B4" w:rsidRDefault="00996766" w:rsidP="00014907">
      <w:pPr>
        <w:pStyle w:val="BodyText"/>
        <w:tabs>
          <w:tab w:val="left" w:pos="1944"/>
        </w:tabs>
        <w:spacing w:before="245" w:line="285" w:lineRule="auto"/>
        <w:ind w:right="1347"/>
        <w:jc w:val="both"/>
        <w:rPr>
          <w:b/>
          <w:sz w:val="28"/>
          <w:vertAlign w:val="superscript"/>
        </w:rPr>
      </w:pPr>
      <w:r w:rsidRPr="00996766">
        <w:rPr>
          <w:b/>
          <w:sz w:val="28"/>
          <w:vertAlign w:val="superscript"/>
        </w:rPr>
        <w:t xml:space="preserve">       </w:t>
      </w:r>
      <w:r w:rsidR="00EB7E3F">
        <w:rPr>
          <w:b/>
          <w:sz w:val="28"/>
          <w:vertAlign w:val="superscript"/>
        </w:rPr>
        <w:t>Figure</w:t>
      </w:r>
      <w:r w:rsidR="006B6222">
        <w:rPr>
          <w:b/>
          <w:sz w:val="28"/>
          <w:vertAlign w:val="superscript"/>
        </w:rPr>
        <w:t xml:space="preserve"> 4</w:t>
      </w:r>
      <w:r w:rsidR="00EB7E3F">
        <w:rPr>
          <w:b/>
          <w:sz w:val="28"/>
          <w:vertAlign w:val="superscript"/>
        </w:rPr>
        <w:t xml:space="preserve">: </w:t>
      </w:r>
      <w:r w:rsidR="00EB7E3F">
        <w:rPr>
          <w:sz w:val="28"/>
          <w:vertAlign w:val="superscript"/>
        </w:rPr>
        <w:t xml:space="preserve">Functions </w:t>
      </w:r>
      <w:r w:rsidR="00EB7E3F" w:rsidRPr="00EB7E3F">
        <w:rPr>
          <w:sz w:val="28"/>
          <w:vertAlign w:val="superscript"/>
        </w:rPr>
        <w:t>of Cyclodextrin Inclusion complex</w:t>
      </w:r>
      <w:r w:rsidR="006B6222">
        <w:rPr>
          <w:sz w:val="28"/>
          <w:vertAlign w:val="superscript"/>
        </w:rPr>
        <w:t>.</w:t>
      </w:r>
      <w:r w:rsidRPr="00996766">
        <w:rPr>
          <w:b/>
          <w:sz w:val="28"/>
          <w:vertAlign w:val="superscript"/>
        </w:rPr>
        <w:t xml:space="preserve">                 </w:t>
      </w:r>
    </w:p>
    <w:p w:rsidR="00014907" w:rsidRPr="00212B47" w:rsidRDefault="00996766" w:rsidP="00014907">
      <w:pPr>
        <w:pStyle w:val="BodyText"/>
        <w:tabs>
          <w:tab w:val="left" w:pos="1944"/>
        </w:tabs>
        <w:spacing w:before="245" w:line="285" w:lineRule="auto"/>
        <w:ind w:right="1347"/>
        <w:jc w:val="both"/>
        <w:rPr>
          <w:sz w:val="28"/>
          <w:vertAlign w:val="superscript"/>
        </w:rPr>
      </w:pPr>
      <w:r w:rsidRPr="00996766">
        <w:rPr>
          <w:b/>
          <w:sz w:val="28"/>
          <w:vertAlign w:val="superscript"/>
        </w:rPr>
        <w:t xml:space="preserve">        </w:t>
      </w:r>
      <w:r w:rsidRPr="00B579CA">
        <w:rPr>
          <w:b/>
          <w:sz w:val="32"/>
          <w:vertAlign w:val="superscript"/>
        </w:rPr>
        <w:t>Methodology used for Inclusion Complex formatio</w:t>
      </w:r>
      <w:r w:rsidR="00BD2AF3">
        <w:rPr>
          <w:b/>
          <w:sz w:val="32"/>
          <w:vertAlign w:val="superscript"/>
        </w:rPr>
        <w:t>n</w:t>
      </w:r>
    </w:p>
    <w:p w:rsidR="00014907" w:rsidRDefault="0052771B" w:rsidP="009B1DE9">
      <w:pPr>
        <w:spacing w:before="240"/>
        <w:rPr>
          <w:sz w:val="20"/>
        </w:rPr>
      </w:pPr>
      <w:r>
        <w:rPr>
          <w:sz w:val="20"/>
        </w:rPr>
        <w:t xml:space="preserve">                                </w:t>
      </w:r>
    </w:p>
    <w:tbl>
      <w:tblPr>
        <w:tblStyle w:val="LightShading-Accent4"/>
        <w:tblW w:w="0" w:type="auto"/>
        <w:tblLook w:val="04A0"/>
      </w:tblPr>
      <w:tblGrid>
        <w:gridCol w:w="4563"/>
        <w:gridCol w:w="4680"/>
      </w:tblGrid>
      <w:tr w:rsidR="00014907" w:rsidTr="00093B63">
        <w:trPr>
          <w:cnfStyle w:val="100000000000"/>
        </w:trPr>
        <w:tc>
          <w:tcPr>
            <w:cnfStyle w:val="001000000000"/>
            <w:tcW w:w="4788" w:type="dxa"/>
          </w:tcPr>
          <w:p w:rsidR="00014907" w:rsidRPr="00014907" w:rsidRDefault="00014907" w:rsidP="009B1DE9">
            <w:pPr>
              <w:spacing w:before="240"/>
              <w:rPr>
                <w:b w:val="0"/>
                <w:sz w:val="20"/>
              </w:rPr>
            </w:pPr>
            <w:r w:rsidRPr="00014907">
              <w:rPr>
                <w:b w:val="0"/>
                <w:sz w:val="20"/>
              </w:rPr>
              <w:t>Methods</w:t>
            </w:r>
          </w:p>
        </w:tc>
        <w:tc>
          <w:tcPr>
            <w:tcW w:w="4788" w:type="dxa"/>
          </w:tcPr>
          <w:p w:rsidR="00014907" w:rsidRPr="00014907" w:rsidRDefault="00014907" w:rsidP="009B1DE9">
            <w:pPr>
              <w:spacing w:before="240"/>
              <w:cnfStyle w:val="100000000000"/>
              <w:rPr>
                <w:b w:val="0"/>
                <w:sz w:val="20"/>
              </w:rPr>
            </w:pPr>
            <w:r w:rsidRPr="00014907">
              <w:rPr>
                <w:b w:val="0"/>
                <w:sz w:val="20"/>
              </w:rPr>
              <w:t>Instrumentation</w:t>
            </w:r>
          </w:p>
        </w:tc>
      </w:tr>
      <w:tr w:rsidR="00014907" w:rsidTr="00093B63">
        <w:trPr>
          <w:cnfStyle w:val="000000100000"/>
        </w:trPr>
        <w:tc>
          <w:tcPr>
            <w:cnfStyle w:val="001000000000"/>
            <w:tcW w:w="4788" w:type="dxa"/>
          </w:tcPr>
          <w:p w:rsidR="00014907" w:rsidRDefault="00093B63" w:rsidP="00093B63">
            <w:pPr>
              <w:spacing w:before="240"/>
              <w:rPr>
                <w:sz w:val="20"/>
              </w:rPr>
            </w:pPr>
            <w:r>
              <w:rPr>
                <w:sz w:val="20"/>
              </w:rPr>
              <w:t xml:space="preserve">1)Co-precipitation method </w:t>
            </w:r>
          </w:p>
          <w:p w:rsidR="00093B63" w:rsidRDefault="00093B63" w:rsidP="00093B63">
            <w:pPr>
              <w:spacing w:before="240"/>
              <w:rPr>
                <w:sz w:val="20"/>
              </w:rPr>
            </w:pPr>
          </w:p>
          <w:p w:rsidR="00093B63" w:rsidRPr="00093B63" w:rsidRDefault="00093B63" w:rsidP="00093B63">
            <w:pPr>
              <w:spacing w:before="240"/>
              <w:rPr>
                <w:sz w:val="20"/>
              </w:rPr>
            </w:pPr>
          </w:p>
        </w:tc>
        <w:tc>
          <w:tcPr>
            <w:tcW w:w="4788" w:type="dxa"/>
          </w:tcPr>
          <w:p w:rsidR="00014907" w:rsidRDefault="00D529EB" w:rsidP="009B1DE9">
            <w:pPr>
              <w:spacing w:before="240"/>
              <w:cnfStyle w:val="000000100000"/>
              <w:rPr>
                <w:sz w:val="20"/>
              </w:rPr>
            </w:pPr>
            <w:r>
              <w:rPr>
                <w:noProof/>
                <w:sz w:val="20"/>
              </w:rPr>
              <w:pict>
                <v:shape id="_x0000_s1050" type="#_x0000_t75" style="position:absolute;margin-left:17.45pt;margin-top:4.75pt;width:65pt;height:60.15pt;z-index:251675648;mso-position-horizontal-relative:text;mso-position-vertical-relative:text">
                  <v:imagedata r:id="rId37" o:title=""/>
                </v:shape>
                <o:OLEObject Type="Embed" ProgID="ChemDraw.Document.6.0" ShapeID="_x0000_s1050" DrawAspect="Content" ObjectID="_1752067162" r:id="rId38"/>
              </w:pict>
            </w:r>
          </w:p>
        </w:tc>
      </w:tr>
      <w:tr w:rsidR="00014907" w:rsidTr="00093B63">
        <w:tc>
          <w:tcPr>
            <w:cnfStyle w:val="001000000000"/>
            <w:tcW w:w="4788" w:type="dxa"/>
          </w:tcPr>
          <w:p w:rsidR="00014907" w:rsidRDefault="00093B63" w:rsidP="009B1DE9">
            <w:pPr>
              <w:spacing w:before="240"/>
              <w:rPr>
                <w:sz w:val="20"/>
              </w:rPr>
            </w:pPr>
            <w:r>
              <w:rPr>
                <w:sz w:val="20"/>
              </w:rPr>
              <w:t>2)Kneading method</w:t>
            </w:r>
          </w:p>
          <w:p w:rsidR="00093B63" w:rsidRDefault="00093B63" w:rsidP="009B1DE9">
            <w:pPr>
              <w:spacing w:before="240"/>
              <w:rPr>
                <w:sz w:val="20"/>
              </w:rPr>
            </w:pPr>
          </w:p>
          <w:p w:rsidR="00093B63" w:rsidRDefault="00093B63" w:rsidP="009B1DE9">
            <w:pPr>
              <w:spacing w:before="240"/>
              <w:rPr>
                <w:sz w:val="20"/>
              </w:rPr>
            </w:pPr>
          </w:p>
          <w:p w:rsidR="00093B63" w:rsidRDefault="00093B63" w:rsidP="009B1DE9">
            <w:pPr>
              <w:spacing w:before="240"/>
              <w:rPr>
                <w:sz w:val="20"/>
              </w:rPr>
            </w:pPr>
          </w:p>
        </w:tc>
        <w:tc>
          <w:tcPr>
            <w:tcW w:w="4788" w:type="dxa"/>
          </w:tcPr>
          <w:p w:rsidR="00014907" w:rsidRDefault="00093B63" w:rsidP="009B1DE9">
            <w:pPr>
              <w:spacing w:before="240"/>
              <w:cnfStyle w:val="000000000000"/>
              <w:rPr>
                <w:sz w:val="20"/>
              </w:rPr>
            </w:pPr>
            <w:r w:rsidRPr="00093B63">
              <w:rPr>
                <w:noProof/>
                <w:sz w:val="20"/>
              </w:rPr>
              <w:drawing>
                <wp:inline distT="0" distB="0" distL="0" distR="0">
                  <wp:extent cx="1318430" cy="887104"/>
                  <wp:effectExtent l="19050" t="0" r="0" b="0"/>
                  <wp:docPr id="10" name="Picture 2"/>
                  <wp:cNvGraphicFramePr/>
                  <a:graphic xmlns:a="http://schemas.openxmlformats.org/drawingml/2006/main">
                    <a:graphicData uri="http://schemas.openxmlformats.org/drawingml/2006/picture">
                      <pic:pic xmlns:pic="http://schemas.openxmlformats.org/drawingml/2006/picture">
                        <pic:nvPicPr>
                          <pic:cNvPr id="6" name="Object 2"/>
                          <pic:cNvPicPr>
                            <a:picLocks noChangeAspect="1" noChangeArrowheads="1"/>
                          </pic:cNvPicPr>
                        </pic:nvPicPr>
                        <pic:blipFill>
                          <a:blip r:embed="rId39"/>
                          <a:srcRect/>
                          <a:stretch>
                            <a:fillRect/>
                          </a:stretch>
                        </pic:blipFill>
                        <pic:spPr bwMode="auto">
                          <a:xfrm>
                            <a:off x="0" y="0"/>
                            <a:ext cx="1320303" cy="888364"/>
                          </a:xfrm>
                          <a:prstGeom prst="rect">
                            <a:avLst/>
                          </a:prstGeom>
                          <a:noFill/>
                          <a:ln w="9525">
                            <a:miter lim="800000"/>
                            <a:headEnd/>
                            <a:tailEnd/>
                          </a:ln>
                          <a:effectLst/>
                        </pic:spPr>
                      </pic:pic>
                    </a:graphicData>
                  </a:graphic>
                </wp:inline>
              </w:drawing>
            </w:r>
          </w:p>
        </w:tc>
      </w:tr>
      <w:tr w:rsidR="00014907" w:rsidTr="00093B63">
        <w:trPr>
          <w:cnfStyle w:val="000000100000"/>
        </w:trPr>
        <w:tc>
          <w:tcPr>
            <w:cnfStyle w:val="001000000000"/>
            <w:tcW w:w="4788" w:type="dxa"/>
          </w:tcPr>
          <w:p w:rsidR="00014907" w:rsidRDefault="00093B63" w:rsidP="009B1DE9">
            <w:pPr>
              <w:spacing w:before="240"/>
              <w:rPr>
                <w:sz w:val="20"/>
              </w:rPr>
            </w:pPr>
            <w:r>
              <w:rPr>
                <w:sz w:val="20"/>
              </w:rPr>
              <w:t>3) Microwave irradiation</w:t>
            </w:r>
          </w:p>
          <w:p w:rsidR="00DC75F7" w:rsidRDefault="00DC75F7" w:rsidP="009B1DE9">
            <w:pPr>
              <w:spacing w:before="240"/>
              <w:rPr>
                <w:sz w:val="20"/>
              </w:rPr>
            </w:pPr>
          </w:p>
          <w:p w:rsidR="00DC75F7" w:rsidRDefault="00DC75F7" w:rsidP="009B1DE9">
            <w:pPr>
              <w:spacing w:before="240"/>
              <w:rPr>
                <w:sz w:val="20"/>
              </w:rPr>
            </w:pPr>
          </w:p>
          <w:p w:rsidR="00DC75F7" w:rsidRDefault="00DC75F7" w:rsidP="009B1DE9">
            <w:pPr>
              <w:spacing w:before="240"/>
              <w:rPr>
                <w:sz w:val="20"/>
              </w:rPr>
            </w:pPr>
          </w:p>
        </w:tc>
        <w:tc>
          <w:tcPr>
            <w:tcW w:w="4788" w:type="dxa"/>
          </w:tcPr>
          <w:p w:rsidR="00014907" w:rsidRDefault="00DC75F7" w:rsidP="009B1DE9">
            <w:pPr>
              <w:spacing w:before="240"/>
              <w:cnfStyle w:val="000000100000"/>
              <w:rPr>
                <w:sz w:val="20"/>
              </w:rPr>
            </w:pPr>
            <w:r w:rsidRPr="00DC75F7">
              <w:rPr>
                <w:noProof/>
                <w:sz w:val="20"/>
              </w:rPr>
              <w:drawing>
                <wp:inline distT="0" distB="0" distL="0" distR="0">
                  <wp:extent cx="1835624" cy="825690"/>
                  <wp:effectExtent l="19050" t="0" r="0" b="0"/>
                  <wp:docPr id="16" name="Picture 5" descr="Optimization of biodiesel synthesis under simultaneous ultrasound-microwave  irradiation using response surface methodology (RSM)"/>
                  <wp:cNvGraphicFramePr/>
                  <a:graphic xmlns:a="http://schemas.openxmlformats.org/drawingml/2006/main">
                    <a:graphicData uri="http://schemas.openxmlformats.org/drawingml/2006/picture">
                      <pic:pic xmlns:pic="http://schemas.openxmlformats.org/drawingml/2006/picture">
                        <pic:nvPicPr>
                          <pic:cNvPr id="10" name="Picture 9" descr="Optimization of biodiesel synthesis under simultaneous ultrasound-microwave  irradiation using response surface methodology (RSM)"/>
                          <pic:cNvPicPr/>
                        </pic:nvPicPr>
                        <pic:blipFill>
                          <a:blip r:embed="rId40"/>
                          <a:srcRect/>
                          <a:stretch>
                            <a:fillRect/>
                          </a:stretch>
                        </pic:blipFill>
                        <pic:spPr bwMode="auto">
                          <a:xfrm>
                            <a:off x="0" y="0"/>
                            <a:ext cx="1835505" cy="825636"/>
                          </a:xfrm>
                          <a:prstGeom prst="rect">
                            <a:avLst/>
                          </a:prstGeom>
                          <a:noFill/>
                        </pic:spPr>
                      </pic:pic>
                    </a:graphicData>
                  </a:graphic>
                </wp:inline>
              </w:drawing>
            </w:r>
          </w:p>
        </w:tc>
      </w:tr>
      <w:tr w:rsidR="00014907" w:rsidTr="00093B63">
        <w:tc>
          <w:tcPr>
            <w:cnfStyle w:val="001000000000"/>
            <w:tcW w:w="4788" w:type="dxa"/>
          </w:tcPr>
          <w:p w:rsidR="00DC75F7" w:rsidRDefault="00093B63" w:rsidP="009B1DE9">
            <w:pPr>
              <w:spacing w:before="240"/>
              <w:rPr>
                <w:sz w:val="20"/>
              </w:rPr>
            </w:pPr>
            <w:r>
              <w:rPr>
                <w:sz w:val="20"/>
              </w:rPr>
              <w:t xml:space="preserve">4)Sonnication method </w:t>
            </w:r>
          </w:p>
        </w:tc>
        <w:tc>
          <w:tcPr>
            <w:tcW w:w="4788" w:type="dxa"/>
          </w:tcPr>
          <w:p w:rsidR="00014907" w:rsidRDefault="00D529EB" w:rsidP="009B1DE9">
            <w:pPr>
              <w:spacing w:before="240"/>
              <w:cnfStyle w:val="000000000000"/>
              <w:rPr>
                <w:sz w:val="20"/>
              </w:rPr>
            </w:pPr>
            <w:r>
              <w:rPr>
                <w:noProof/>
                <w:sz w:val="20"/>
              </w:rPr>
              <w:pict>
                <v:shape id="_x0000_s1052" type="#_x0000_t75" style="position:absolute;margin-left:45.6pt;margin-top:-2.25pt;width:29.75pt;height:43.55pt;z-index:251676672;mso-position-horizontal-relative:text;mso-position-vertical-relative:text" fillcolor="#5b9bd5">
                  <v:imagedata r:id="rId41" o:title=""/>
                  <v:shadow color="#e7e6e6"/>
                </v:shape>
                <o:OLEObject Type="Embed" ProgID="ChemDraw.Document.6.0" ShapeID="_x0000_s1052" DrawAspect="Content" ObjectID="_1752067163" r:id="rId42"/>
              </w:pict>
            </w:r>
            <w:r w:rsidR="00DC75F7" w:rsidRPr="00DC75F7">
              <w:rPr>
                <w:noProof/>
                <w:sz w:val="20"/>
              </w:rPr>
              <w:drawing>
                <wp:inline distT="0" distB="0" distL="0" distR="0">
                  <wp:extent cx="1454908" cy="1119116"/>
                  <wp:effectExtent l="19050" t="0" r="0" b="0"/>
                  <wp:docPr id="18" name="Picture 6" descr="https://m.media-amazon.com/images/I/51QUmYsYdbL.jpg"/>
                  <wp:cNvGraphicFramePr/>
                  <a:graphic xmlns:a="http://schemas.openxmlformats.org/drawingml/2006/main">
                    <a:graphicData uri="http://schemas.openxmlformats.org/drawingml/2006/picture">
                      <pic:pic xmlns:pic="http://schemas.openxmlformats.org/drawingml/2006/picture">
                        <pic:nvPicPr>
                          <pic:cNvPr id="11" name="Picture 10" descr="https://m.media-amazon.com/images/I/51QUmYsYdbL.jpg"/>
                          <pic:cNvPicPr/>
                        </pic:nvPicPr>
                        <pic:blipFill>
                          <a:blip r:embed="rId43" cstate="print"/>
                          <a:srcRect/>
                          <a:stretch>
                            <a:fillRect/>
                          </a:stretch>
                        </pic:blipFill>
                        <pic:spPr bwMode="auto">
                          <a:xfrm>
                            <a:off x="0" y="0"/>
                            <a:ext cx="1458438" cy="1121832"/>
                          </a:xfrm>
                          <a:prstGeom prst="rect">
                            <a:avLst/>
                          </a:prstGeom>
                          <a:noFill/>
                        </pic:spPr>
                      </pic:pic>
                    </a:graphicData>
                  </a:graphic>
                </wp:inline>
              </w:drawing>
            </w:r>
          </w:p>
        </w:tc>
      </w:tr>
    </w:tbl>
    <w:p w:rsidR="002174B4" w:rsidRDefault="0052771B" w:rsidP="009B1DE9">
      <w:pPr>
        <w:spacing w:before="240"/>
        <w:rPr>
          <w:sz w:val="20"/>
        </w:rPr>
      </w:pPr>
      <w:r>
        <w:rPr>
          <w:sz w:val="20"/>
        </w:rPr>
        <w:t xml:space="preserve">                  </w:t>
      </w:r>
    </w:p>
    <w:p w:rsidR="00056C01" w:rsidRPr="006B6222" w:rsidRDefault="002174B4" w:rsidP="009B1DE9">
      <w:pPr>
        <w:spacing w:before="240"/>
        <w:rPr>
          <w:sz w:val="20"/>
        </w:rPr>
      </w:pPr>
      <w:r>
        <w:rPr>
          <w:sz w:val="20"/>
        </w:rPr>
        <w:t xml:space="preserve">                 </w:t>
      </w:r>
      <w:r w:rsidR="00056C01" w:rsidRPr="0082154F">
        <w:rPr>
          <w:b/>
          <w:sz w:val="24"/>
        </w:rPr>
        <w:t xml:space="preserve">      Tools and Description employed in CD analysis and Description</w:t>
      </w:r>
      <w:r w:rsidR="006B6222">
        <w:rPr>
          <w:b/>
          <w:sz w:val="24"/>
          <w:vertAlign w:val="superscript"/>
        </w:rPr>
        <w:t>6</w:t>
      </w:r>
      <w:r w:rsidR="006B6222">
        <w:rPr>
          <w:b/>
          <w:sz w:val="24"/>
        </w:rPr>
        <w:t>.</w:t>
      </w:r>
    </w:p>
    <w:tbl>
      <w:tblPr>
        <w:tblStyle w:val="TableGrid"/>
        <w:tblW w:w="0" w:type="auto"/>
        <w:tblLook w:val="04A0"/>
      </w:tblPr>
      <w:tblGrid>
        <w:gridCol w:w="1329"/>
        <w:gridCol w:w="1299"/>
        <w:gridCol w:w="1311"/>
        <w:gridCol w:w="1306"/>
        <w:gridCol w:w="1346"/>
        <w:gridCol w:w="1346"/>
        <w:gridCol w:w="1306"/>
      </w:tblGrid>
      <w:tr w:rsidR="00807157" w:rsidTr="00807157">
        <w:tc>
          <w:tcPr>
            <w:tcW w:w="1368" w:type="dxa"/>
          </w:tcPr>
          <w:p w:rsidR="00807157" w:rsidRPr="0082154F" w:rsidRDefault="00807157">
            <w:pPr>
              <w:rPr>
                <w:b/>
                <w:sz w:val="20"/>
              </w:rPr>
            </w:pPr>
            <w:r w:rsidRPr="0082154F">
              <w:rPr>
                <w:b/>
              </w:rPr>
              <w:t xml:space="preserve">Apache </w:t>
            </w:r>
          </w:p>
        </w:tc>
        <w:tc>
          <w:tcPr>
            <w:tcW w:w="1368" w:type="dxa"/>
          </w:tcPr>
          <w:p w:rsidR="00807157" w:rsidRPr="0082154F" w:rsidRDefault="00807157">
            <w:pPr>
              <w:rPr>
                <w:b/>
                <w:sz w:val="20"/>
              </w:rPr>
            </w:pPr>
            <w:r w:rsidRPr="0082154F">
              <w:rPr>
                <w:b/>
                <w:sz w:val="20"/>
              </w:rPr>
              <w:t>My SOL</w:t>
            </w:r>
          </w:p>
        </w:tc>
        <w:tc>
          <w:tcPr>
            <w:tcW w:w="1368" w:type="dxa"/>
          </w:tcPr>
          <w:p w:rsidR="00807157" w:rsidRPr="0082154F" w:rsidRDefault="00807157">
            <w:pPr>
              <w:rPr>
                <w:b/>
                <w:sz w:val="20"/>
              </w:rPr>
            </w:pPr>
            <w:r w:rsidRPr="0082154F">
              <w:rPr>
                <w:b/>
                <w:sz w:val="20"/>
              </w:rPr>
              <w:t>Babel</w:t>
            </w:r>
          </w:p>
        </w:tc>
        <w:tc>
          <w:tcPr>
            <w:tcW w:w="1368" w:type="dxa"/>
          </w:tcPr>
          <w:p w:rsidR="00807157" w:rsidRPr="0082154F" w:rsidRDefault="00807157">
            <w:pPr>
              <w:rPr>
                <w:b/>
                <w:sz w:val="20"/>
              </w:rPr>
            </w:pPr>
            <w:r w:rsidRPr="0082154F">
              <w:rPr>
                <w:b/>
                <w:sz w:val="20"/>
              </w:rPr>
              <w:t>JMol</w:t>
            </w:r>
          </w:p>
        </w:tc>
        <w:tc>
          <w:tcPr>
            <w:tcW w:w="1368" w:type="dxa"/>
          </w:tcPr>
          <w:p w:rsidR="00807157" w:rsidRPr="0082154F" w:rsidRDefault="00807157">
            <w:pPr>
              <w:rPr>
                <w:b/>
                <w:sz w:val="20"/>
              </w:rPr>
            </w:pPr>
            <w:r w:rsidRPr="0082154F">
              <w:rPr>
                <w:b/>
                <w:sz w:val="20"/>
              </w:rPr>
              <w:t>Chemaxon marvin</w:t>
            </w:r>
          </w:p>
        </w:tc>
        <w:tc>
          <w:tcPr>
            <w:tcW w:w="1368" w:type="dxa"/>
          </w:tcPr>
          <w:p w:rsidR="00807157" w:rsidRPr="0082154F" w:rsidRDefault="00807157">
            <w:pPr>
              <w:rPr>
                <w:b/>
                <w:sz w:val="20"/>
              </w:rPr>
            </w:pPr>
            <w:r w:rsidRPr="0082154F">
              <w:rPr>
                <w:b/>
                <w:sz w:val="20"/>
              </w:rPr>
              <w:t>Chemaxon Jchem</w:t>
            </w:r>
          </w:p>
        </w:tc>
        <w:tc>
          <w:tcPr>
            <w:tcW w:w="1368" w:type="dxa"/>
          </w:tcPr>
          <w:p w:rsidR="00807157" w:rsidRPr="0082154F" w:rsidRDefault="00807157">
            <w:pPr>
              <w:rPr>
                <w:b/>
                <w:sz w:val="20"/>
              </w:rPr>
            </w:pPr>
            <w:r w:rsidRPr="0082154F">
              <w:rPr>
                <w:b/>
                <w:sz w:val="20"/>
              </w:rPr>
              <w:t>Auto dock</w:t>
            </w:r>
          </w:p>
        </w:tc>
      </w:tr>
    </w:tbl>
    <w:p w:rsidR="002174B4" w:rsidRDefault="00D529EB" w:rsidP="00F876D4">
      <w:pPr>
        <w:rPr>
          <w:sz w:val="20"/>
        </w:rPr>
      </w:pPr>
      <w:r>
        <w:rPr>
          <w:noProof/>
          <w:sz w:val="20"/>
        </w:rPr>
        <w:pict>
          <v:shapetype id="_x0000_t202" coordsize="21600,21600" o:spt="202" path="m,l,21600r21600,l21600,xe">
            <v:stroke joinstyle="miter"/>
            <v:path gradientshapeok="t" o:connecttype="rect"/>
          </v:shapetype>
          <v:shape id="_x0000_s1044" type="#_x0000_t202" style="position:absolute;margin-left:405.65pt;margin-top:47.5pt;width:68.25pt;height:23.65pt;z-index:251674624;mso-position-horizontal-relative:text;mso-position-vertical-relative:text" fillcolor="white [3201]" strokecolor="#b8d779 [1943]" strokeweight="1pt">
            <v:fill color2="#d0e4a6 [1303]" focusposition="1" focussize="" focus="100%" type="gradient"/>
            <v:shadow on="t" type="perspective" color="#415419 [1607]" opacity=".5" offset="1pt" offset2="-3pt"/>
            <v:textbox style="mso-next-textbox:#_x0000_s1044">
              <w:txbxContent>
                <w:p w:rsidR="00275EA5" w:rsidRPr="0082154F" w:rsidRDefault="00133F61" w:rsidP="00275EA5">
                  <w:pPr>
                    <w:rPr>
                      <w:b/>
                      <w:i/>
                      <w:sz w:val="20"/>
                    </w:rPr>
                  </w:pPr>
                  <w:r>
                    <w:rPr>
                      <w:b/>
                      <w:i/>
                      <w:sz w:val="20"/>
                    </w:rPr>
                    <w:t xml:space="preserve">   </w:t>
                  </w:r>
                  <w:r w:rsidR="0082154F" w:rsidRPr="0082154F">
                    <w:rPr>
                      <w:b/>
                      <w:i/>
                      <w:sz w:val="20"/>
                    </w:rPr>
                    <w:t>Docking</w:t>
                  </w:r>
                </w:p>
              </w:txbxContent>
            </v:textbox>
          </v:shape>
        </w:pict>
      </w:r>
      <w:r>
        <w:rPr>
          <w:noProof/>
          <w:sz w:val="20"/>
        </w:rPr>
        <w:pict>
          <v:shape id="_x0000_s1042" type="#_x0000_t202" style="position:absolute;margin-left:269.2pt;margin-top:123.25pt;width:67.7pt;height:31.7pt;z-index:251672576;mso-position-horizontal-relative:text;mso-position-vertical-relative:text" fillcolor="#e07b7b [1942]" strokecolor="#c32d2e [3206]" strokeweight="1pt">
            <v:fill color2="#c32d2e [3206]" focus="50%" type="gradient"/>
            <v:shadow on="t" type="perspective" color="#601616 [1606]" offset="1pt" offset2="-3pt"/>
            <v:textbox style="mso-next-textbox:#_x0000_s1042">
              <w:txbxContent>
                <w:p w:rsidR="00275EA5" w:rsidRPr="0082154F" w:rsidRDefault="00275EA5" w:rsidP="00275EA5">
                  <w:pPr>
                    <w:rPr>
                      <w:b/>
                      <w:i/>
                      <w:sz w:val="20"/>
                    </w:rPr>
                  </w:pPr>
                  <w:r w:rsidRPr="0082154F">
                    <w:rPr>
                      <w:b/>
                      <w:i/>
                      <w:sz w:val="20"/>
                    </w:rPr>
                    <w:t xml:space="preserve">Structure </w:t>
                  </w:r>
                  <w:r w:rsidRPr="0082154F">
                    <w:rPr>
                      <w:b/>
                      <w:i/>
                      <w:sz w:val="18"/>
                    </w:rPr>
                    <w:t>editing</w:t>
                  </w:r>
                </w:p>
              </w:txbxContent>
            </v:textbox>
          </v:shape>
        </w:pict>
      </w:r>
      <w:r>
        <w:rPr>
          <w:noProof/>
          <w:sz w:val="20"/>
        </w:rPr>
        <w:pict>
          <v:shape id="_x0000_s1041" type="#_x0000_t202" style="position:absolute;margin-left:197.2pt;margin-top:162.95pt;width:67.15pt;height:32.8pt;z-index:251671552;mso-position-horizontal-relative:text;mso-position-vertical-relative:text" fillcolor="white [3201]" strokecolor="#e07b7b [1942]" strokeweight="1pt">
            <v:fill color2="#eaa7a7 [1302]" focusposition="1" focussize="" focus="100%" type="gradient"/>
            <v:shadow on="t" type="perspective" color="#601616 [1606]" opacity=".5" offset="1pt" offset2="-3pt"/>
            <v:textbox style="mso-next-textbox:#_x0000_s1041">
              <w:txbxContent>
                <w:p w:rsidR="00275EA5" w:rsidRPr="0082154F" w:rsidRDefault="00275EA5" w:rsidP="00275EA5">
                  <w:pPr>
                    <w:rPr>
                      <w:b/>
                      <w:i/>
                      <w:sz w:val="20"/>
                    </w:rPr>
                  </w:pPr>
                  <w:r w:rsidRPr="0082154F">
                    <w:rPr>
                      <w:b/>
                      <w:i/>
                      <w:sz w:val="20"/>
                    </w:rPr>
                    <w:t>3D molecule viewer</w:t>
                  </w:r>
                </w:p>
                <w:p w:rsidR="00275EA5" w:rsidRDefault="00275EA5" w:rsidP="00275EA5">
                  <w:r>
                    <w:t xml:space="preserve">viewer </w:t>
                  </w:r>
                </w:p>
              </w:txbxContent>
            </v:textbox>
          </v:shape>
        </w:pict>
      </w:r>
      <w:r>
        <w:rPr>
          <w:noProof/>
          <w:sz w:val="20"/>
        </w:rPr>
        <w:pict>
          <v:shape id="_x0000_s1040" type="#_x0000_t202" style="position:absolute;margin-left:134.9pt;margin-top:123.75pt;width:1in;height:31.2pt;z-index:251670528;mso-position-horizontal-relative:text;mso-position-vertical-relative:text" fillcolor="#e07b7b [1942]" strokecolor="#c32d2e [3206]" strokeweight="1pt">
            <v:fill color2="#c32d2e [3206]" focus="50%" type="gradient"/>
            <v:shadow on="t" type="perspective" color="#601616 [1606]" offset="1pt" offset2="-3pt"/>
            <v:textbox style="mso-next-textbox:#_x0000_s1040">
              <w:txbxContent>
                <w:p w:rsidR="00275EA5" w:rsidRPr="0082154F" w:rsidRDefault="00275EA5" w:rsidP="00275EA5">
                  <w:pPr>
                    <w:rPr>
                      <w:b/>
                      <w:i/>
                      <w:sz w:val="20"/>
                    </w:rPr>
                  </w:pPr>
                  <w:r w:rsidRPr="0082154F">
                    <w:rPr>
                      <w:b/>
                      <w:i/>
                      <w:sz w:val="20"/>
                    </w:rPr>
                    <w:t xml:space="preserve">File format </w:t>
                  </w:r>
                  <w:r w:rsidRPr="0082154F">
                    <w:rPr>
                      <w:b/>
                      <w:i/>
                      <w:sz w:val="18"/>
                    </w:rPr>
                    <w:t>converter</w:t>
                  </w:r>
                </w:p>
              </w:txbxContent>
            </v:textbox>
          </v:shape>
        </w:pict>
      </w:r>
      <w:r>
        <w:rPr>
          <w:noProof/>
          <w:sz w:val="20"/>
        </w:rPr>
        <w:pict>
          <v:shape id="_x0000_s1039" type="#_x0000_t202" style="position:absolute;margin-left:57.15pt;margin-top:98.5pt;width:1in;height:20.95pt;z-index:251669504;mso-position-horizontal-relative:text;mso-position-vertical-relative:text" fillcolor="#7dc2d3 [1940]" strokecolor="#7dc2d3 [1940]" strokeweight="1pt">
            <v:fill color2="#d3eaf0 [660]" angle="-45" focus="-50%" type="gradient"/>
            <v:shadow on="t" type="perspective" color="#1c4853 [1604]" opacity=".5" offset="1pt" offset2="-3pt"/>
            <v:textbox style="mso-next-textbox:#_x0000_s1039">
              <w:txbxContent>
                <w:p w:rsidR="00F22732" w:rsidRPr="0082154F" w:rsidRDefault="00275EA5" w:rsidP="00F22732">
                  <w:pPr>
                    <w:rPr>
                      <w:b/>
                      <w:i/>
                      <w:sz w:val="20"/>
                    </w:rPr>
                  </w:pPr>
                  <w:r w:rsidRPr="0082154F">
                    <w:rPr>
                      <w:b/>
                      <w:i/>
                      <w:sz w:val="20"/>
                    </w:rPr>
                    <w:t>SQL server</w:t>
                  </w:r>
                </w:p>
              </w:txbxContent>
            </v:textbox>
          </v:shape>
        </w:pict>
      </w:r>
      <w:r>
        <w:rPr>
          <w:noProof/>
          <w:sz w:val="20"/>
        </w:rPr>
        <w:pict>
          <v:shape id="_x0000_s1038" type="#_x0000_t202" style="position:absolute;margin-left:-11.3pt;margin-top:47.5pt;width:1in;height:22.55pt;z-index:251668480;mso-position-horizontal-relative:text;mso-position-vertical-relative:text" fillcolor="#b8d779 [1943]" strokecolor="#b8d779 [1943]" strokeweight="1pt">
            <v:fill color2="#e7f1d2 [663]" angle="-45" focus="-50%" type="gradient"/>
            <v:shadow on="t" type="perspective" color="#415419 [1607]" opacity=".5" offset="1pt" offset2="-3pt"/>
            <v:textbox style="mso-next-textbox:#_x0000_s1038">
              <w:txbxContent>
                <w:p w:rsidR="00F22732" w:rsidRPr="0082154F" w:rsidRDefault="00F22732">
                  <w:pPr>
                    <w:rPr>
                      <w:b/>
                      <w:i/>
                      <w:sz w:val="20"/>
                    </w:rPr>
                  </w:pPr>
                  <w:r w:rsidRPr="0082154F">
                    <w:rPr>
                      <w:b/>
                      <w:i/>
                      <w:sz w:val="20"/>
                    </w:rPr>
                    <w:t>HTTP server</w:t>
                  </w:r>
                </w:p>
              </w:txbxContent>
            </v:textbox>
          </v:shape>
        </w:pict>
      </w:r>
      <w:r>
        <w:rPr>
          <w:noProof/>
          <w:sz w:val="20"/>
        </w:rPr>
        <w:pict>
          <v:shape id="_x0000_s1043" type="#_x0000_t202" style="position:absolute;margin-left:348.2pt;margin-top:98.5pt;width:68.75pt;height:30.65pt;z-index:251673600;mso-position-horizontal-relative:text;mso-position-vertical-relative:text" fillcolor="#7dc2d3 [1940]" strokecolor="#7dc2d3 [1940]" strokeweight="1pt">
            <v:fill color2="#d3eaf0 [660]" angle="-45" focus="-50%" type="gradient"/>
            <v:shadow on="t" type="perspective" color="#1c4853 [1604]" opacity=".5" offset="1pt" offset2="-3pt"/>
            <v:textbox style="mso-next-textbox:#_x0000_s1043">
              <w:txbxContent>
                <w:p w:rsidR="00275EA5" w:rsidRPr="0082154F" w:rsidRDefault="00275EA5" w:rsidP="00275EA5">
                  <w:pPr>
                    <w:rPr>
                      <w:b/>
                      <w:i/>
                      <w:sz w:val="16"/>
                    </w:rPr>
                  </w:pPr>
                  <w:r w:rsidRPr="0082154F">
                    <w:rPr>
                      <w:b/>
                      <w:i/>
                      <w:sz w:val="18"/>
                    </w:rPr>
                    <w:t xml:space="preserve">Ligand </w:t>
                  </w:r>
                  <w:r w:rsidRPr="0082154F">
                    <w:rPr>
                      <w:b/>
                      <w:i/>
                      <w:sz w:val="16"/>
                    </w:rPr>
                    <w:t>physicochemical</w:t>
                  </w:r>
                </w:p>
              </w:txbxContent>
            </v:textbox>
          </v:shape>
        </w:pict>
      </w:r>
      <w:r>
        <w:rPr>
          <w:noProof/>
          <w:sz w:val="20"/>
        </w:rPr>
        <w:pict>
          <v:shapetype id="_x0000_t32" coordsize="21600,21600" o:spt="32" o:oned="t" path="m,l21600,21600e" filled="f">
            <v:path arrowok="t" fillok="f" o:connecttype="none"/>
            <o:lock v:ext="edit" shapetype="t"/>
          </v:shapetype>
          <v:shape id="_x0000_s1037" type="#_x0000_t32" style="position:absolute;margin-left:434.7pt;margin-top:.2pt;width:0;height:47.3pt;z-index:251667456;mso-position-horizontal-relative:text;mso-position-vertical-relative:text" o:connectortype="straight">
            <v:stroke endarrow="block"/>
          </v:shape>
        </w:pict>
      </w:r>
      <w:r>
        <w:rPr>
          <w:noProof/>
          <w:sz w:val="20"/>
        </w:rPr>
        <w:pict>
          <v:shape id="_x0000_s1036" type="#_x0000_t32" style="position:absolute;margin-left:367.5pt;margin-top:.2pt;width:0;height:98.3pt;z-index:251666432;mso-position-horizontal-relative:text;mso-position-vertical-relative:text" o:connectortype="straight">
            <v:stroke endarrow="block"/>
          </v:shape>
        </w:pict>
      </w:r>
      <w:r>
        <w:rPr>
          <w:noProof/>
          <w:sz w:val="20"/>
        </w:rPr>
        <w:pict>
          <v:shape id="_x0000_s1035" type="#_x0000_t32" style="position:absolute;margin-left:299.8pt;margin-top:.2pt;width:1.1pt;height:123.05pt;z-index:251665408;mso-position-horizontal-relative:text;mso-position-vertical-relative:text" o:connectortype="straight">
            <v:stroke endarrow="block"/>
          </v:shape>
        </w:pict>
      </w:r>
      <w:r>
        <w:rPr>
          <w:noProof/>
          <w:sz w:val="20"/>
        </w:rPr>
        <w:pict>
          <v:shape id="_x0000_s1034" type="#_x0000_t32" style="position:absolute;margin-left:226.75pt;margin-top:.2pt;width:3.2pt;height:159.05pt;z-index:251664384;mso-position-horizontal-relative:text;mso-position-vertical-relative:text" o:connectortype="straight">
            <v:stroke endarrow="block"/>
          </v:shape>
        </w:pict>
      </w:r>
      <w:r>
        <w:rPr>
          <w:noProof/>
          <w:sz w:val="20"/>
        </w:rPr>
        <w:pict>
          <v:shape id="_x0000_s1033" type="#_x0000_t32" style="position:absolute;margin-left:164.4pt;margin-top:.2pt;width:1.1pt;height:123.05pt;z-index:251663360;mso-position-horizontal-relative:text;mso-position-vertical-relative:text" o:connectortype="straight">
            <v:stroke endarrow="block"/>
          </v:shape>
        </w:pict>
      </w:r>
      <w:r>
        <w:rPr>
          <w:noProof/>
          <w:sz w:val="20"/>
        </w:rPr>
        <w:pict>
          <v:shape id="_x0000_s1032" type="#_x0000_t32" style="position:absolute;margin-left:94.55pt;margin-top:.2pt;width:0;height:98.3pt;z-index:251662336;mso-position-horizontal-relative:text;mso-position-vertical-relative:text" o:connectortype="straight">
            <v:stroke endarrow="block"/>
          </v:shape>
        </w:pict>
      </w:r>
      <w:r>
        <w:rPr>
          <w:noProof/>
          <w:sz w:val="20"/>
        </w:rPr>
        <w:pict>
          <v:shape id="_x0000_s1031" type="#_x0000_t32" style="position:absolute;margin-left:27.95pt;margin-top:.2pt;width:0;height:47.3pt;z-index:251661312;mso-position-horizontal-relative:text;mso-position-vertical-relative:text" o:connectortype="straight">
            <v:stroke endarrow="block"/>
          </v:shape>
        </w:pict>
      </w:r>
      <w:r w:rsidR="002174B4">
        <w:rPr>
          <w:sz w:val="20"/>
        </w:rPr>
        <w:t xml:space="preserve">             </w:t>
      </w:r>
    </w:p>
    <w:p w:rsidR="002174B4" w:rsidRDefault="002174B4" w:rsidP="00F876D4">
      <w:pPr>
        <w:rPr>
          <w:sz w:val="20"/>
        </w:rPr>
      </w:pPr>
    </w:p>
    <w:p w:rsidR="002174B4" w:rsidRDefault="002174B4" w:rsidP="00F876D4">
      <w:pPr>
        <w:rPr>
          <w:sz w:val="20"/>
        </w:rPr>
      </w:pPr>
    </w:p>
    <w:p w:rsidR="002174B4" w:rsidRDefault="002174B4" w:rsidP="00F876D4">
      <w:pPr>
        <w:rPr>
          <w:sz w:val="20"/>
        </w:rPr>
      </w:pPr>
    </w:p>
    <w:p w:rsidR="00EB7E3F" w:rsidRDefault="00EB7E3F" w:rsidP="00F876D4">
      <w:pPr>
        <w:rPr>
          <w:sz w:val="20"/>
        </w:rPr>
      </w:pPr>
    </w:p>
    <w:p w:rsidR="002174B4" w:rsidRPr="00F37F6C" w:rsidRDefault="002174B4" w:rsidP="00F876D4">
      <w:pPr>
        <w:rPr>
          <w:b/>
          <w:sz w:val="24"/>
        </w:rPr>
      </w:pPr>
      <w:r w:rsidRPr="00F37F6C">
        <w:rPr>
          <w:b/>
          <w:sz w:val="24"/>
        </w:rPr>
        <w:t xml:space="preserve">                      </w:t>
      </w:r>
      <w:r w:rsidR="00F37F6C">
        <w:rPr>
          <w:b/>
          <w:sz w:val="24"/>
        </w:rPr>
        <w:t xml:space="preserve">               </w:t>
      </w:r>
      <w:r w:rsidRPr="00F37F6C">
        <w:rPr>
          <w:b/>
          <w:sz w:val="24"/>
        </w:rPr>
        <w:t xml:space="preserve">    </w:t>
      </w:r>
      <w:r w:rsidRPr="00F37F6C">
        <w:rPr>
          <w:b/>
          <w:sz w:val="28"/>
        </w:rPr>
        <w:t xml:space="preserve"> Cyclodextrin in Pharmaceutics</w:t>
      </w:r>
      <w:r w:rsidR="00872763" w:rsidRPr="00F37F6C">
        <w:rPr>
          <w:b/>
          <w:sz w:val="28"/>
        </w:rPr>
        <w:t xml:space="preserve">/Biological aspects </w:t>
      </w:r>
    </w:p>
    <w:p w:rsidR="00872763" w:rsidRPr="00576089" w:rsidRDefault="002174B4" w:rsidP="00872763">
      <w:pPr>
        <w:pStyle w:val="ListParagraph"/>
        <w:numPr>
          <w:ilvl w:val="0"/>
          <w:numId w:val="9"/>
        </w:numPr>
        <w:rPr>
          <w:b/>
        </w:rPr>
      </w:pPr>
      <w:r w:rsidRPr="00576089">
        <w:rPr>
          <w:b/>
          <w:sz w:val="24"/>
        </w:rPr>
        <w:t xml:space="preserve"> </w:t>
      </w:r>
      <w:r w:rsidR="00872763" w:rsidRPr="00576089">
        <w:rPr>
          <w:b/>
          <w:sz w:val="24"/>
        </w:rPr>
        <w:t xml:space="preserve">In Vivo CDs </w:t>
      </w:r>
      <w:r w:rsidR="00901850" w:rsidRPr="00576089">
        <w:rPr>
          <w:b/>
          <w:sz w:val="24"/>
        </w:rPr>
        <w:t>Studies</w:t>
      </w:r>
    </w:p>
    <w:p w:rsidR="00872763" w:rsidRDefault="00872763" w:rsidP="00872763">
      <w:pPr>
        <w:rPr>
          <w:sz w:val="20"/>
        </w:rPr>
      </w:pPr>
    </w:p>
    <w:p w:rsidR="00872763" w:rsidRDefault="00576089" w:rsidP="00872763">
      <w:pPr>
        <w:ind w:left="360"/>
        <w:rPr>
          <w:b/>
          <w:sz w:val="24"/>
        </w:rPr>
      </w:pPr>
      <w:r w:rsidRPr="00576089">
        <w:rPr>
          <w:b/>
        </w:rPr>
        <w:object w:dxaOrig="6540" w:dyaOrig="4994">
          <v:shape id="_x0000_i1028" type="#_x0000_t75" style="width:327.2pt;height:249.85pt" o:ole="">
            <v:imagedata r:id="rId44" o:title=""/>
          </v:shape>
          <o:OLEObject Type="Embed" ProgID="Origin50.Graph" ShapeID="_x0000_i1028" DrawAspect="Content" ObjectID="_1752067159" r:id="rId45"/>
        </w:object>
      </w:r>
    </w:p>
    <w:p w:rsidR="00576089" w:rsidRDefault="00576089" w:rsidP="00576089">
      <w:r>
        <w:t xml:space="preserve"> Quantities of in vivo studies performed with substances in an inclusion complex with Cyclodextrin.</w:t>
      </w:r>
    </w:p>
    <w:p w:rsidR="00A567DB" w:rsidRDefault="006032AB" w:rsidP="00A567DB">
      <w:pPr>
        <w:pStyle w:val="ListParagraph"/>
        <w:numPr>
          <w:ilvl w:val="0"/>
          <w:numId w:val="10"/>
        </w:numPr>
        <w:rPr>
          <w:b/>
        </w:rPr>
      </w:pPr>
      <w:r w:rsidRPr="006032AB">
        <w:rPr>
          <w:b/>
        </w:rPr>
        <w:t>Anti-Inflammatory Activities of Cyclodextrin Inclusion Co</w:t>
      </w:r>
      <w:r w:rsidR="00A567DB">
        <w:rPr>
          <w:b/>
        </w:rPr>
        <w:t>mplex</w:t>
      </w:r>
    </w:p>
    <w:p w:rsidR="00416E8C" w:rsidRDefault="00EB7E3F" w:rsidP="008C20D3">
      <w:pPr>
        <w:jc w:val="both"/>
        <w:rPr>
          <w:sz w:val="20"/>
        </w:rPr>
      </w:pPr>
      <w:r>
        <w:rPr>
          <w:sz w:val="20"/>
        </w:rPr>
        <w:t>There are several diseases</w:t>
      </w:r>
      <w:r w:rsidR="00A567DB">
        <w:rPr>
          <w:sz w:val="20"/>
        </w:rPr>
        <w:t xml:space="preserve"> activate</w:t>
      </w:r>
      <w:r>
        <w:rPr>
          <w:sz w:val="20"/>
        </w:rPr>
        <w:t>s</w:t>
      </w:r>
      <w:r w:rsidR="00A567DB">
        <w:rPr>
          <w:sz w:val="20"/>
        </w:rPr>
        <w:t xml:space="preserve"> inflammatory process, and </w:t>
      </w:r>
      <w:r w:rsidR="00A60155">
        <w:rPr>
          <w:sz w:val="20"/>
        </w:rPr>
        <w:t xml:space="preserve">consequently attentiveness </w:t>
      </w:r>
      <w:r w:rsidR="00A567DB">
        <w:rPr>
          <w:sz w:val="20"/>
        </w:rPr>
        <w:t xml:space="preserve"> in substances with anti-inflammat</w:t>
      </w:r>
      <w:r w:rsidR="00A60155">
        <w:rPr>
          <w:sz w:val="20"/>
        </w:rPr>
        <w:t xml:space="preserve">ory properties, in particular Cyclodextrin-Inclusion complexes </w:t>
      </w:r>
      <w:r w:rsidR="00A567DB">
        <w:rPr>
          <w:sz w:val="20"/>
        </w:rPr>
        <w:t xml:space="preserve"> used innovative biotechnology to increase the bioavailability, solubility and pharmacological effects of drugs. The Cyclodextri</w:t>
      </w:r>
      <w:r w:rsidR="00A60155">
        <w:rPr>
          <w:sz w:val="20"/>
        </w:rPr>
        <w:t>n most often found in studies of Cyclodextrin</w:t>
      </w:r>
      <w:r w:rsidR="00A567DB">
        <w:rPr>
          <w:sz w:val="20"/>
        </w:rPr>
        <w:t>-Inclusion comple</w:t>
      </w:r>
      <w:r w:rsidR="00A60155">
        <w:rPr>
          <w:sz w:val="20"/>
        </w:rPr>
        <w:t xml:space="preserve">x with anti-inflammatory is beta-Cyclodextrin because of its </w:t>
      </w:r>
      <w:r w:rsidR="00AB0CE5">
        <w:rPr>
          <w:sz w:val="20"/>
        </w:rPr>
        <w:t>virtuous</w:t>
      </w:r>
      <w:r w:rsidR="00A567DB">
        <w:rPr>
          <w:sz w:val="20"/>
        </w:rPr>
        <w:t xml:space="preserve"> capacity for complexation with anti-inflammatory drugs, its apprec</w:t>
      </w:r>
      <w:r w:rsidR="00A60155">
        <w:rPr>
          <w:sz w:val="20"/>
        </w:rPr>
        <w:t>iable oral acceptability and affordable</w:t>
      </w:r>
      <w:r w:rsidR="00A567DB">
        <w:rPr>
          <w:sz w:val="20"/>
        </w:rPr>
        <w:t xml:space="preserve"> cost</w:t>
      </w:r>
      <w:r w:rsidR="006B6222">
        <w:rPr>
          <w:sz w:val="20"/>
        </w:rPr>
        <w:t xml:space="preserve"> </w:t>
      </w:r>
      <w:r w:rsidR="006B6222">
        <w:rPr>
          <w:sz w:val="20"/>
          <w:vertAlign w:val="superscript"/>
        </w:rPr>
        <w:t>9,15</w:t>
      </w:r>
      <w:r w:rsidR="00416E8C">
        <w:rPr>
          <w:sz w:val="20"/>
        </w:rPr>
        <w:t>.</w:t>
      </w:r>
    </w:p>
    <w:p w:rsidR="00DE6C11" w:rsidRDefault="00416E8C" w:rsidP="008C20D3">
      <w:pPr>
        <w:jc w:val="both"/>
        <w:rPr>
          <w:sz w:val="20"/>
        </w:rPr>
      </w:pPr>
      <w:r>
        <w:rPr>
          <w:sz w:val="20"/>
        </w:rPr>
        <w:t xml:space="preserve">In an attempt to treat inflammatory disorders, </w:t>
      </w:r>
      <w:r w:rsidR="00AB0CE5">
        <w:rPr>
          <w:sz w:val="20"/>
        </w:rPr>
        <w:t>an anti-inflammatory compound has been used; these drugs are normally</w:t>
      </w:r>
      <w:r>
        <w:rPr>
          <w:sz w:val="20"/>
        </w:rPr>
        <w:t xml:space="preserve"> classified as non-steroidal anti-inflammatory drugs and corticosteroids. Many of these drugs have serious side effects, such as gastrointestinal disturbances and cardiov</w:t>
      </w:r>
      <w:r w:rsidR="00AB0CE5">
        <w:rPr>
          <w:sz w:val="20"/>
        </w:rPr>
        <w:t>ascular risks. Cyclodextrin enhance</w:t>
      </w:r>
      <w:r>
        <w:rPr>
          <w:sz w:val="20"/>
        </w:rPr>
        <w:t xml:space="preserve"> the effect of anti-inflammatory </w:t>
      </w:r>
      <w:r w:rsidR="00DE6C11">
        <w:rPr>
          <w:sz w:val="20"/>
        </w:rPr>
        <w:t>drugs and</w:t>
      </w:r>
      <w:r w:rsidR="00AB0CE5">
        <w:rPr>
          <w:sz w:val="20"/>
        </w:rPr>
        <w:t xml:space="preserve"> refine</w:t>
      </w:r>
      <w:r>
        <w:rPr>
          <w:sz w:val="20"/>
        </w:rPr>
        <w:t xml:space="preserve"> the side effect profile</w:t>
      </w:r>
      <w:r w:rsidR="00B80D9F">
        <w:rPr>
          <w:sz w:val="20"/>
          <w:vertAlign w:val="superscript"/>
        </w:rPr>
        <w:t>9,16,17,18</w:t>
      </w:r>
      <w:r>
        <w:rPr>
          <w:sz w:val="20"/>
        </w:rPr>
        <w:t>.</w:t>
      </w:r>
    </w:p>
    <w:p w:rsidR="00DE6C11" w:rsidRDefault="00DE6C11" w:rsidP="00A567DB">
      <w:pPr>
        <w:rPr>
          <w:sz w:val="20"/>
        </w:rPr>
      </w:pPr>
    </w:p>
    <w:p w:rsidR="00DE6C11" w:rsidRPr="00E902D4" w:rsidRDefault="00DE6C11" w:rsidP="00DE6C11">
      <w:pPr>
        <w:pStyle w:val="ListParagraph"/>
        <w:numPr>
          <w:ilvl w:val="0"/>
          <w:numId w:val="10"/>
        </w:numPr>
        <w:rPr>
          <w:b/>
        </w:rPr>
      </w:pPr>
      <w:r>
        <w:rPr>
          <w:sz w:val="20"/>
        </w:rPr>
        <w:t xml:space="preserve"> </w:t>
      </w:r>
      <w:r w:rsidRPr="00DE6C11">
        <w:rPr>
          <w:b/>
          <w:sz w:val="20"/>
        </w:rPr>
        <w:t>Antinociceptive</w:t>
      </w:r>
      <w:r w:rsidR="00EB7E3F">
        <w:rPr>
          <w:b/>
          <w:sz w:val="20"/>
        </w:rPr>
        <w:t xml:space="preserve"> </w:t>
      </w:r>
      <w:r w:rsidRPr="00DE6C11">
        <w:rPr>
          <w:b/>
          <w:sz w:val="20"/>
        </w:rPr>
        <w:t xml:space="preserve"> Activities of Cyclodextrin Inclusion Complex</w:t>
      </w:r>
      <w:r>
        <w:rPr>
          <w:sz w:val="20"/>
        </w:rPr>
        <w:t xml:space="preserve"> </w:t>
      </w:r>
    </w:p>
    <w:p w:rsidR="00E902D4" w:rsidRDefault="00AB0CE5" w:rsidP="008C20D3">
      <w:pPr>
        <w:jc w:val="both"/>
        <w:rPr>
          <w:sz w:val="20"/>
        </w:rPr>
      </w:pPr>
      <w:r>
        <w:rPr>
          <w:sz w:val="20"/>
        </w:rPr>
        <w:t>Search for product with upgraded</w:t>
      </w:r>
      <w:r w:rsidR="00DE6C11">
        <w:rPr>
          <w:sz w:val="20"/>
        </w:rPr>
        <w:t xml:space="preserve"> </w:t>
      </w:r>
      <w:r w:rsidR="00EB7E3F">
        <w:rPr>
          <w:sz w:val="20"/>
        </w:rPr>
        <w:t>Antinociceptive</w:t>
      </w:r>
      <w:r w:rsidR="00DE6C11">
        <w:rPr>
          <w:sz w:val="20"/>
        </w:rPr>
        <w:t xml:space="preserve"> properties has intensified, with the insertion of active principles into substances such as Cyclodextrin to form Inclusion Complex in order to develop more effective products, with better stability, solubility and bioavailability, and a consequent improvement in their pharmacological activities</w:t>
      </w:r>
      <w:r w:rsidR="006B6222">
        <w:rPr>
          <w:sz w:val="20"/>
        </w:rPr>
        <w:t xml:space="preserve"> </w:t>
      </w:r>
      <w:r w:rsidR="006B6222">
        <w:rPr>
          <w:sz w:val="20"/>
          <w:vertAlign w:val="superscript"/>
        </w:rPr>
        <w:t>7,9,18</w:t>
      </w:r>
      <w:r w:rsidR="00DE6C11">
        <w:rPr>
          <w:sz w:val="20"/>
        </w:rPr>
        <w:t>.</w:t>
      </w:r>
    </w:p>
    <w:p w:rsidR="00E902D4" w:rsidRDefault="00E902D4" w:rsidP="00DE6C11">
      <w:pPr>
        <w:rPr>
          <w:sz w:val="20"/>
        </w:rPr>
      </w:pPr>
    </w:p>
    <w:p w:rsidR="00E902D4" w:rsidRPr="00E902D4" w:rsidRDefault="00E902D4" w:rsidP="00E902D4">
      <w:pPr>
        <w:pStyle w:val="ListParagraph"/>
        <w:numPr>
          <w:ilvl w:val="0"/>
          <w:numId w:val="10"/>
        </w:numPr>
        <w:rPr>
          <w:b/>
        </w:rPr>
      </w:pPr>
      <w:r>
        <w:rPr>
          <w:sz w:val="20"/>
        </w:rPr>
        <w:t xml:space="preserve"> </w:t>
      </w:r>
      <w:r w:rsidRPr="00E902D4">
        <w:rPr>
          <w:b/>
          <w:sz w:val="20"/>
        </w:rPr>
        <w:t>Anticancer Activities of Cyclodextrin Inclusion Complex</w:t>
      </w:r>
    </w:p>
    <w:p w:rsidR="00E902D4" w:rsidRDefault="00AB0CE5" w:rsidP="008C20D3">
      <w:pPr>
        <w:ind w:left="360"/>
        <w:jc w:val="both"/>
      </w:pPr>
      <w:r>
        <w:t>To enhance the</w:t>
      </w:r>
      <w:r w:rsidR="00E902D4">
        <w:t xml:space="preserve"> bioavailability and solubility, </w:t>
      </w:r>
      <w:r w:rsidR="006953B9">
        <w:t>Betulinic acid, a very auspicious</w:t>
      </w:r>
      <w:r w:rsidR="00E902D4">
        <w:t xml:space="preserve"> anti-melanoma agent was complexed with water soluble </w:t>
      </w:r>
      <w:r w:rsidR="006953B9">
        <w:rPr>
          <w:rFonts w:cstheme="minorHAnsi"/>
        </w:rPr>
        <w:t>gamma</w:t>
      </w:r>
      <w:r w:rsidR="006953B9">
        <w:t>-</w:t>
      </w:r>
      <w:r w:rsidR="00E902D4">
        <w:t xml:space="preserve">Cyclodextrin. The physicochemical characterization was done </w:t>
      </w:r>
      <w:r w:rsidR="006953B9">
        <w:t xml:space="preserve">by </w:t>
      </w:r>
      <w:r w:rsidR="00212B47">
        <w:t>differential</w:t>
      </w:r>
      <w:r w:rsidR="006953B9">
        <w:t xml:space="preserve"> scanning calorimeter</w:t>
      </w:r>
      <w:r w:rsidR="00E902D4">
        <w:t xml:space="preserve"> </w:t>
      </w:r>
      <w:r w:rsidR="006953B9">
        <w:t>(</w:t>
      </w:r>
      <w:r w:rsidR="00E902D4">
        <w:t>DSC</w:t>
      </w:r>
      <w:r w:rsidR="006953B9">
        <w:t>)</w:t>
      </w:r>
      <w:r w:rsidR="00CC7BA7">
        <w:t>, X</w:t>
      </w:r>
      <w:r w:rsidR="00E902D4">
        <w:t xml:space="preserve">-ray and </w:t>
      </w:r>
      <w:r w:rsidR="006953B9">
        <w:t>Scanning electron microscope (</w:t>
      </w:r>
      <w:r w:rsidR="00E902D4">
        <w:t>SEM</w:t>
      </w:r>
      <w:r w:rsidR="006953B9">
        <w:t>)</w:t>
      </w:r>
      <w:r w:rsidR="006B6222">
        <w:t xml:space="preserve"> </w:t>
      </w:r>
      <w:r w:rsidR="006B6222">
        <w:rPr>
          <w:vertAlign w:val="superscript"/>
        </w:rPr>
        <w:t>9</w:t>
      </w:r>
      <w:r w:rsidR="006953B9">
        <w:t>. A</w:t>
      </w:r>
      <w:r w:rsidR="00E902D4">
        <w:t>nimal mode</w:t>
      </w:r>
      <w:r w:rsidR="006953B9">
        <w:t>l of murine melanoma in mice has been</w:t>
      </w:r>
      <w:r w:rsidR="00E902D4">
        <w:t xml:space="preserve"> used to test the complex</w:t>
      </w:r>
      <w:r w:rsidR="006953B9">
        <w:t>. The results showed depletion</w:t>
      </w:r>
      <w:r w:rsidR="00E902D4">
        <w:t xml:space="preserve"> in tumor volume and weight, showing that this complexation was </w:t>
      </w:r>
      <w:r w:rsidR="00F47136">
        <w:t xml:space="preserve">beneficial in </w:t>
      </w:r>
      <w:r w:rsidR="00303D44">
        <w:t>ant proliferative</w:t>
      </w:r>
      <w:r w:rsidR="00F47136">
        <w:t xml:space="preserve"> activity and reduction of tumor development in vivo</w:t>
      </w:r>
      <w:r w:rsidR="00AA21D7">
        <w:t>,</w:t>
      </w:r>
      <w:r w:rsidR="00AA21D7">
        <w:rPr>
          <w:vertAlign w:val="superscript"/>
        </w:rPr>
        <w:t xml:space="preserve"> 9,25</w:t>
      </w:r>
      <w:r w:rsidR="00F47136">
        <w:t>.</w:t>
      </w:r>
    </w:p>
    <w:p w:rsidR="00F47136" w:rsidRDefault="00F47136" w:rsidP="00F47136">
      <w:pPr>
        <w:pStyle w:val="ListParagraph"/>
        <w:numPr>
          <w:ilvl w:val="0"/>
          <w:numId w:val="10"/>
        </w:numPr>
        <w:jc w:val="both"/>
        <w:rPr>
          <w:b/>
        </w:rPr>
      </w:pPr>
      <w:r w:rsidRPr="00F47136">
        <w:rPr>
          <w:b/>
        </w:rPr>
        <w:t>Intestinal Absorption of Cyclodextrin Inclusion Complex</w:t>
      </w:r>
    </w:p>
    <w:p w:rsidR="00F47136" w:rsidRPr="00F47136" w:rsidRDefault="006953B9" w:rsidP="00F47136">
      <w:pPr>
        <w:ind w:left="360"/>
        <w:jc w:val="both"/>
      </w:pPr>
      <w:r>
        <w:t>Cyclodextrin complex formation could be the solution of many</w:t>
      </w:r>
      <w:r w:rsidR="00F47136">
        <w:t xml:space="preserve"> active substances presenting low bioavailability. A study evaluated the intestinal permeability of tanshinone IIA, a substance with cardiovascular benefits complexed with HP-</w:t>
      </w:r>
      <w:r w:rsidR="00F47136">
        <w:rPr>
          <w:rFonts w:cstheme="minorHAnsi"/>
        </w:rPr>
        <w:t>β</w:t>
      </w:r>
      <w:r>
        <w:t>-CD. The complexes are acquired</w:t>
      </w:r>
      <w:r w:rsidR="00F47136">
        <w:t xml:space="preserve"> by co</w:t>
      </w:r>
      <w:r>
        <w:t>-evaporation</w:t>
      </w:r>
      <w:r w:rsidR="00F47136">
        <w:t>.</w:t>
      </w:r>
      <w:r>
        <w:t xml:space="preserve"> It was observed that increase in</w:t>
      </w:r>
      <w:r w:rsidR="00F47136">
        <w:t xml:space="preserve"> the dosage of the compl</w:t>
      </w:r>
      <w:r>
        <w:t>ex caused saturation, proposing</w:t>
      </w:r>
      <w:r w:rsidR="00F47136">
        <w:t xml:space="preserve"> that the transport mechanism in vivo is related to pass</w:t>
      </w:r>
      <w:r>
        <w:t>ive transport. Higher</w:t>
      </w:r>
      <w:r w:rsidR="00F47136">
        <w:t xml:space="preserve"> permeability was found for TSIIA in the intestinal membrane with increased oral bioavailability</w:t>
      </w:r>
      <w:r w:rsidR="00AA21D7">
        <w:rPr>
          <w:vertAlign w:val="superscript"/>
        </w:rPr>
        <w:t>23,24,26</w:t>
      </w:r>
      <w:r w:rsidR="00F47136">
        <w:t xml:space="preserve">. </w:t>
      </w:r>
    </w:p>
    <w:p w:rsidR="00AC0197" w:rsidRDefault="00F47136" w:rsidP="008C20D3">
      <w:pPr>
        <w:jc w:val="both"/>
        <w:rPr>
          <w:sz w:val="20"/>
        </w:rPr>
      </w:pPr>
      <w:r>
        <w:rPr>
          <w:sz w:val="20"/>
        </w:rPr>
        <w:t xml:space="preserve">    </w:t>
      </w:r>
    </w:p>
    <w:p w:rsidR="00F47136" w:rsidRDefault="00D84778" w:rsidP="00D84778">
      <w:pPr>
        <w:pStyle w:val="ListParagraph"/>
        <w:numPr>
          <w:ilvl w:val="0"/>
          <w:numId w:val="9"/>
        </w:numPr>
        <w:jc w:val="both"/>
        <w:rPr>
          <w:b/>
        </w:rPr>
      </w:pPr>
      <w:r w:rsidRPr="00D84778">
        <w:rPr>
          <w:b/>
        </w:rPr>
        <w:t>In Vitro CDs Studies</w:t>
      </w:r>
    </w:p>
    <w:p w:rsidR="00D84778" w:rsidRPr="00D84778" w:rsidRDefault="0036389F" w:rsidP="00D84778">
      <w:pPr>
        <w:pStyle w:val="ListParagraph"/>
        <w:ind w:left="540"/>
        <w:jc w:val="both"/>
      </w:pPr>
      <w:r>
        <w:t>The insufficiency</w:t>
      </w:r>
      <w:r w:rsidR="00D84778">
        <w:t xml:space="preserve"> of so</w:t>
      </w:r>
      <w:r>
        <w:t>lubility reduces the pliability</w:t>
      </w:r>
      <w:r w:rsidR="00D84778">
        <w:t xml:space="preserve"> for drug formulation and administration, thus solubility. Non-polar drugs are usually more soluble in in vitro as</w:t>
      </w:r>
      <w:r>
        <w:t>says after complexation with Cyclodextrin</w:t>
      </w:r>
      <w:r w:rsidR="00D84778">
        <w:t xml:space="preserve"> tha</w:t>
      </w:r>
      <w:r>
        <w:t>n non-polar drugs alone, although</w:t>
      </w:r>
      <w:r w:rsidR="00D84778">
        <w:t xml:space="preserve"> some compounds are strongly bound to CDs, limiting their availability in in vitro assays and consequently the biological assays</w:t>
      </w:r>
      <w:r w:rsidR="001C4497">
        <w:rPr>
          <w:vertAlign w:val="superscript"/>
        </w:rPr>
        <w:t>9,10,11</w:t>
      </w:r>
      <w:r w:rsidR="00D84778">
        <w:t>.</w:t>
      </w:r>
    </w:p>
    <w:p w:rsidR="00032E5E" w:rsidRDefault="00672097" w:rsidP="00E902D4">
      <w:pPr>
        <w:rPr>
          <w:sz w:val="20"/>
        </w:rPr>
      </w:pPr>
      <w:r w:rsidRPr="00672097">
        <w:rPr>
          <w:noProof/>
          <w:sz w:val="20"/>
        </w:rPr>
        <w:drawing>
          <wp:inline distT="0" distB="0" distL="0" distR="0">
            <wp:extent cx="1031828" cy="204716"/>
            <wp:effectExtent l="19050" t="0" r="0" b="0"/>
            <wp:docPr id="36"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26252" cy="369332"/>
                      <a:chOff x="2838734" y="1419367"/>
                      <a:chExt cx="1526252" cy="369332"/>
                    </a:xfrm>
                  </a:grpSpPr>
                  <a:sp>
                    <a:nvSpPr>
                      <a:cNvPr id="26" name="TextBox 25"/>
                      <a:cNvSpPr txBox="1"/>
                    </a:nvSpPr>
                    <a:spPr>
                      <a:xfrm>
                        <a:off x="2838734" y="1419367"/>
                        <a:ext cx="1526252" cy="369332"/>
                      </a:xfrm>
                      <a:prstGeom prst="rect">
                        <a:avLst/>
                      </a:prstGeom>
                      <a:solidFill>
                        <a:schemeClr val="tx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bg1"/>
                              </a:solidFill>
                            </a:rPr>
                            <a:t>Antimicrobial </a:t>
                          </a:r>
                          <a:endParaRPr lang="en-US" b="1" dirty="0">
                            <a:solidFill>
                              <a:schemeClr val="bg1"/>
                            </a:solidFill>
                          </a:endParaRPr>
                        </a:p>
                      </a:txBody>
                      <a:useSpRect/>
                    </a:txSp>
                  </a:sp>
                </lc:lockedCanvas>
              </a:graphicData>
            </a:graphic>
          </wp:inline>
        </w:drawing>
      </w:r>
      <w:r w:rsidR="00D529EB">
        <w:rPr>
          <w:noProof/>
          <w:sz w:val="20"/>
        </w:rPr>
        <w:pict>
          <v:shape id="_x0000_s1063" type="#_x0000_t75" style="position:absolute;margin-left:0;margin-top:.25pt;width:327.2pt;height:249.85pt;z-index:251684864;mso-position-horizontal:left;mso-position-horizontal-relative:text;mso-position-vertical-relative:text">
            <v:imagedata r:id="rId46" o:title=""/>
            <w10:wrap type="square" side="right"/>
          </v:shape>
          <o:OLEObject Type="Embed" ProgID="Origin50.Graph" ShapeID="_x0000_s1063" DrawAspect="Content" ObjectID="_1752067164" r:id="rId47"/>
        </w:pict>
      </w:r>
    </w:p>
    <w:p w:rsidR="00032E5E" w:rsidRDefault="00672097" w:rsidP="00E902D4">
      <w:pPr>
        <w:rPr>
          <w:sz w:val="20"/>
        </w:rPr>
      </w:pPr>
      <w:r w:rsidRPr="00672097">
        <w:rPr>
          <w:noProof/>
          <w:sz w:val="20"/>
        </w:rPr>
        <w:drawing>
          <wp:inline distT="0" distB="0" distL="0" distR="0">
            <wp:extent cx="1153236" cy="170597"/>
            <wp:effectExtent l="19050" t="0" r="0" b="0"/>
            <wp:docPr id="37"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260025" cy="369332"/>
                      <a:chOff x="2838734" y="1419367"/>
                      <a:chExt cx="1260025" cy="369332"/>
                    </a:xfrm>
                  </a:grpSpPr>
                  <a:sp>
                    <a:nvSpPr>
                      <a:cNvPr id="26" name="TextBox 25"/>
                      <a:cNvSpPr txBox="1"/>
                    </a:nvSpPr>
                    <a:spPr>
                      <a:xfrm>
                        <a:off x="2838734" y="1419367"/>
                        <a:ext cx="1260025" cy="369332"/>
                      </a:xfrm>
                      <a:prstGeom prst="rect">
                        <a:avLst/>
                      </a:prstGeom>
                      <a:solidFill>
                        <a:schemeClr val="tx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bg1"/>
                              </a:solidFill>
                            </a:rPr>
                            <a:t>Anticancer </a:t>
                          </a:r>
                          <a:endParaRPr lang="en-US" b="1" dirty="0">
                            <a:solidFill>
                              <a:schemeClr val="bg1"/>
                            </a:solidFill>
                          </a:endParaRPr>
                        </a:p>
                      </a:txBody>
                      <a:useSpRect/>
                    </a:txSp>
                  </a:sp>
                </lc:lockedCanvas>
              </a:graphicData>
            </a:graphic>
          </wp:inline>
        </w:drawing>
      </w:r>
    </w:p>
    <w:p w:rsidR="00032E5E" w:rsidRDefault="00672097" w:rsidP="00E902D4">
      <w:pPr>
        <w:rPr>
          <w:sz w:val="20"/>
        </w:rPr>
      </w:pPr>
      <w:r w:rsidRPr="00672097">
        <w:rPr>
          <w:noProof/>
          <w:sz w:val="20"/>
        </w:rPr>
        <w:drawing>
          <wp:inline distT="0" distB="0" distL="0" distR="0">
            <wp:extent cx="1303361" cy="191069"/>
            <wp:effectExtent l="0" t="0" r="0" b="0"/>
            <wp:docPr id="35"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301125" cy="369332"/>
                      <a:chOff x="2838734" y="1419367"/>
                      <a:chExt cx="1301125" cy="369332"/>
                    </a:xfrm>
                  </a:grpSpPr>
                  <a:sp>
                    <a:nvSpPr>
                      <a:cNvPr id="26" name="TextBox 25"/>
                      <a:cNvSpPr txBox="1"/>
                    </a:nvSpPr>
                    <a:spPr>
                      <a:xfrm>
                        <a:off x="2838734" y="1419367"/>
                        <a:ext cx="1301125" cy="369332"/>
                      </a:xfrm>
                      <a:prstGeom prst="rect">
                        <a:avLst/>
                      </a:prstGeom>
                      <a:solidFill>
                        <a:schemeClr val="tx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bg1"/>
                              </a:solidFill>
                            </a:rPr>
                            <a:t>Antioxidant</a:t>
                          </a:r>
                          <a:endParaRPr lang="en-US" b="1" dirty="0">
                            <a:solidFill>
                              <a:schemeClr val="bg1"/>
                            </a:solidFill>
                          </a:endParaRPr>
                        </a:p>
                      </a:txBody>
                      <a:useSpRect/>
                    </a:txSp>
                  </a:sp>
                </lc:lockedCanvas>
              </a:graphicData>
            </a:graphic>
          </wp:inline>
        </w:drawing>
      </w:r>
    </w:p>
    <w:p w:rsidR="00032E5E" w:rsidRDefault="00032E5E" w:rsidP="00E902D4">
      <w:pPr>
        <w:rPr>
          <w:sz w:val="20"/>
        </w:rPr>
      </w:pPr>
      <w:r w:rsidRPr="00032E5E">
        <w:rPr>
          <w:noProof/>
          <w:sz w:val="20"/>
        </w:rPr>
        <w:drawing>
          <wp:inline distT="0" distB="0" distL="0" distR="0">
            <wp:extent cx="1509500" cy="204716"/>
            <wp:effectExtent l="19050" t="0" r="0" b="0"/>
            <wp:docPr id="28"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04432" cy="369332"/>
                      <a:chOff x="5882185" y="3234519"/>
                      <a:chExt cx="1904432" cy="369332"/>
                    </a:xfrm>
                  </a:grpSpPr>
                  <a:sp>
                    <a:nvSpPr>
                      <a:cNvPr id="23" name="TextBox 22"/>
                      <a:cNvSpPr txBox="1"/>
                    </a:nvSpPr>
                    <a:spPr>
                      <a:xfrm>
                        <a:off x="5882185" y="3234519"/>
                        <a:ext cx="1904432" cy="369332"/>
                      </a:xfrm>
                      <a:prstGeom prst="rect">
                        <a:avLst/>
                      </a:prstGeom>
                      <a:solidFill>
                        <a:schemeClr val="tx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bg1"/>
                              </a:solidFill>
                            </a:rPr>
                            <a:t>Anti-inflammatory</a:t>
                          </a:r>
                          <a:endParaRPr lang="en-US" dirty="0">
                            <a:solidFill>
                              <a:schemeClr val="bg1"/>
                            </a:solidFill>
                          </a:endParaRPr>
                        </a:p>
                      </a:txBody>
                      <a:useSpRect/>
                    </a:txSp>
                  </a:sp>
                </lc:lockedCanvas>
              </a:graphicData>
            </a:graphic>
          </wp:inline>
        </w:drawing>
      </w:r>
    </w:p>
    <w:p w:rsidR="00032E5E" w:rsidRDefault="00032E5E" w:rsidP="00E902D4">
      <w:pPr>
        <w:rPr>
          <w:sz w:val="20"/>
        </w:rPr>
      </w:pPr>
      <w:r w:rsidRPr="00032E5E">
        <w:rPr>
          <w:noProof/>
          <w:sz w:val="20"/>
        </w:rPr>
        <w:drawing>
          <wp:inline distT="0" distB="0" distL="0" distR="0">
            <wp:extent cx="1591386" cy="170597"/>
            <wp:effectExtent l="19050" t="0" r="0" b="0"/>
            <wp:docPr id="31"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169248" cy="369332"/>
                      <a:chOff x="6223379" y="4585648"/>
                      <a:chExt cx="2169248" cy="369332"/>
                    </a:xfrm>
                  </a:grpSpPr>
                  <a:sp>
                    <a:nvSpPr>
                      <a:cNvPr id="24" name="TextBox 23"/>
                      <a:cNvSpPr txBox="1"/>
                    </a:nvSpPr>
                    <a:spPr>
                      <a:xfrm>
                        <a:off x="6223379" y="4585648"/>
                        <a:ext cx="2169248" cy="369332"/>
                      </a:xfrm>
                      <a:prstGeom prst="rect">
                        <a:avLst/>
                      </a:prstGeom>
                      <a:solidFill>
                        <a:schemeClr val="tx1"/>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bg1"/>
                              </a:solidFill>
                            </a:rPr>
                            <a:t>Intestinal absorption</a:t>
                          </a:r>
                          <a:endParaRPr lang="en-US" b="1" dirty="0">
                            <a:solidFill>
                              <a:schemeClr val="bg1"/>
                            </a:solidFill>
                          </a:endParaRPr>
                        </a:p>
                      </a:txBody>
                      <a:useSpRect/>
                    </a:txSp>
                  </a:sp>
                </lc:lockedCanvas>
              </a:graphicData>
            </a:graphic>
          </wp:inline>
        </w:drawing>
      </w:r>
    </w:p>
    <w:p w:rsidR="00347FB1" w:rsidRDefault="00EA6BD1" w:rsidP="00E902D4">
      <w:pPr>
        <w:rPr>
          <w:sz w:val="20"/>
        </w:rPr>
      </w:pPr>
      <w:r>
        <w:rPr>
          <w:sz w:val="20"/>
        </w:rPr>
        <w:br w:type="textWrapping" w:clear="all"/>
      </w:r>
    </w:p>
    <w:p w:rsidR="00347FB1" w:rsidRPr="00347FB1" w:rsidRDefault="00347FB1" w:rsidP="00347FB1">
      <w:pPr>
        <w:pStyle w:val="ListParagraph"/>
        <w:numPr>
          <w:ilvl w:val="0"/>
          <w:numId w:val="10"/>
        </w:numPr>
        <w:rPr>
          <w:b/>
          <w:sz w:val="20"/>
        </w:rPr>
      </w:pPr>
      <w:r w:rsidRPr="00347FB1">
        <w:rPr>
          <w:b/>
          <w:sz w:val="20"/>
        </w:rPr>
        <w:lastRenderedPageBreak/>
        <w:t>Antimicrobial Activities of Cyclodextrin Inclusion Complexes</w:t>
      </w:r>
    </w:p>
    <w:p w:rsidR="00347FB1" w:rsidRDefault="00347FB1" w:rsidP="00F37F6C">
      <w:pPr>
        <w:jc w:val="both"/>
      </w:pPr>
      <w:r>
        <w:t xml:space="preserve"> </w:t>
      </w:r>
      <w:r w:rsidR="0036389F">
        <w:t>2-pentanoylfuran complexed with Cyclodextrin</w:t>
      </w:r>
      <w:r w:rsidR="00FB42BB">
        <w:t xml:space="preserve"> and their solubility and antimicrobial activities against </w:t>
      </w:r>
      <w:r w:rsidR="00A75ECC">
        <w:t xml:space="preserve">Staphylococcus, aureus, Bacillus subtilis, Escherichia coli were evaluated. The Cyclodextrin </w:t>
      </w:r>
      <w:r w:rsidR="0036389F">
        <w:t>increase</w:t>
      </w:r>
      <w:r w:rsidR="00A75ECC">
        <w:t xml:space="preserve"> the solub</w:t>
      </w:r>
      <w:r w:rsidR="0036389F">
        <w:t>ility of compounds in an hydrated environment</w:t>
      </w:r>
      <w:r w:rsidR="00A75ECC">
        <w:t xml:space="preserve"> and increased their antimicrobial activity</w:t>
      </w:r>
      <w:r w:rsidR="001C4497">
        <w:rPr>
          <w:vertAlign w:val="superscript"/>
        </w:rPr>
        <w:t>26</w:t>
      </w:r>
      <w:r w:rsidR="00A75ECC">
        <w:t>.</w:t>
      </w:r>
    </w:p>
    <w:p w:rsidR="00A75ECC" w:rsidRDefault="00A75ECC" w:rsidP="00F37F6C">
      <w:pPr>
        <w:jc w:val="both"/>
      </w:pPr>
    </w:p>
    <w:p w:rsidR="00A75ECC" w:rsidRDefault="00A75ECC" w:rsidP="00A75ECC">
      <w:pPr>
        <w:pStyle w:val="ListParagraph"/>
        <w:numPr>
          <w:ilvl w:val="0"/>
          <w:numId w:val="10"/>
        </w:numPr>
        <w:rPr>
          <w:b/>
        </w:rPr>
      </w:pPr>
      <w:r w:rsidRPr="00A75ECC">
        <w:rPr>
          <w:b/>
        </w:rPr>
        <w:t>Anticancer activity of Cyclodextrin Inclusion Complexes</w:t>
      </w:r>
    </w:p>
    <w:p w:rsidR="00A75ECC" w:rsidRDefault="00A75ECC" w:rsidP="00A75ECC">
      <w:pPr>
        <w:pStyle w:val="ListParagraph"/>
        <w:rPr>
          <w:b/>
        </w:rPr>
      </w:pPr>
    </w:p>
    <w:p w:rsidR="00A75ECC" w:rsidRPr="00A75ECC" w:rsidRDefault="00BB1399" w:rsidP="00F37F6C">
      <w:pPr>
        <w:pStyle w:val="ListParagraph"/>
        <w:jc w:val="both"/>
      </w:pPr>
      <w:r>
        <w:t xml:space="preserve">Aphidicolin, a </w:t>
      </w:r>
      <w:r w:rsidR="0036389F">
        <w:t>tetra cyclic diterpene, show</w:t>
      </w:r>
      <w:r>
        <w:t xml:space="preserve"> specific cytotoxic action against neuroblast cells. This diterpene </w:t>
      </w:r>
      <w:r w:rsidR="0036389F">
        <w:t>is important for the evolution</w:t>
      </w:r>
      <w:r>
        <w:t xml:space="preserve"> of new antitumor drugs because treatment failure is most patients with NB is related to primary or acquired resistance to conventional chemotherapeu</w:t>
      </w:r>
      <w:r w:rsidR="0036389F">
        <w:t>tic agents. Cyclodextrin decrease</w:t>
      </w:r>
      <w:r>
        <w:t xml:space="preserve"> the growth of NB cells in vitro</w:t>
      </w:r>
      <w:r w:rsidR="001C4497">
        <w:rPr>
          <w:vertAlign w:val="superscript"/>
        </w:rPr>
        <w:t>9,23,27</w:t>
      </w:r>
      <w:r>
        <w:t>.</w:t>
      </w:r>
    </w:p>
    <w:p w:rsidR="00347FB1" w:rsidRDefault="00347FB1" w:rsidP="00BB1399"/>
    <w:p w:rsidR="00BB1399" w:rsidRDefault="00BB1399" w:rsidP="00BB1399">
      <w:pPr>
        <w:pStyle w:val="ListParagraph"/>
        <w:numPr>
          <w:ilvl w:val="0"/>
          <w:numId w:val="10"/>
        </w:numPr>
        <w:rPr>
          <w:b/>
        </w:rPr>
      </w:pPr>
      <w:r w:rsidRPr="00BB1399">
        <w:rPr>
          <w:b/>
        </w:rPr>
        <w:t xml:space="preserve">Antichagasic Activity of Cyclodextrin Inclusion Complex </w:t>
      </w:r>
    </w:p>
    <w:p w:rsidR="00BB1399" w:rsidRPr="00BB1399" w:rsidRDefault="00BB1399" w:rsidP="00F37F6C">
      <w:pPr>
        <w:ind w:left="360"/>
        <w:jc w:val="both"/>
      </w:pPr>
      <w:r>
        <w:t>Benznid</w:t>
      </w:r>
      <w:r w:rsidR="0036389F">
        <w:t>azole has less solubility and higher</w:t>
      </w:r>
      <w:r w:rsidR="006940E9">
        <w:t xml:space="preserve"> toxicity but a</w:t>
      </w:r>
      <w:r>
        <w:t xml:space="preserve"> very promising drug for the treatment of Chagas disease, and it is essential to find technological solutions for these problems of solubility and toxicity. Therefore Inclus</w:t>
      </w:r>
      <w:r w:rsidR="006940E9">
        <w:t>ion complex were formed</w:t>
      </w:r>
      <w:r w:rsidR="001C4497">
        <w:rPr>
          <w:vertAlign w:val="superscript"/>
        </w:rPr>
        <w:t>9,10</w:t>
      </w:r>
      <w:r>
        <w:t>.</w:t>
      </w:r>
    </w:p>
    <w:p w:rsidR="00C343C0" w:rsidRDefault="00C343C0" w:rsidP="00C343C0"/>
    <w:p w:rsidR="00C343C0" w:rsidRDefault="00F37F6C" w:rsidP="00C343C0">
      <w:pPr>
        <w:pStyle w:val="ListParagraph"/>
        <w:numPr>
          <w:ilvl w:val="0"/>
          <w:numId w:val="10"/>
        </w:numPr>
        <w:rPr>
          <w:b/>
        </w:rPr>
      </w:pPr>
      <w:r w:rsidRPr="00C343C0">
        <w:rPr>
          <w:b/>
        </w:rPr>
        <w:t>Antioxidant Activity of Cyclodextrin Inclusion Complex</w:t>
      </w:r>
      <w:r w:rsidR="00C343C0" w:rsidRPr="00C343C0">
        <w:rPr>
          <w:b/>
        </w:rPr>
        <w:t>es</w:t>
      </w:r>
    </w:p>
    <w:p w:rsidR="00F37F6C" w:rsidRPr="00C343C0" w:rsidRDefault="006940E9" w:rsidP="00C343C0">
      <w:pPr>
        <w:ind w:left="360"/>
        <w:rPr>
          <w:b/>
        </w:rPr>
      </w:pPr>
      <w:r>
        <w:t>Antioxidant has</w:t>
      </w:r>
      <w:r w:rsidR="00F37F6C">
        <w:t xml:space="preserve"> limited applicability due to their instability in light and oxygen, as well as their low solubility in water. Complexat</w:t>
      </w:r>
      <w:r>
        <w:t>ion with CDs can provide higher</w:t>
      </w:r>
      <w:r w:rsidR="00F37F6C">
        <w:t xml:space="preserve"> stability to </w:t>
      </w:r>
      <w:r>
        <w:t>these molecules which have significant</w:t>
      </w:r>
      <w:r w:rsidR="00F37F6C">
        <w:t xml:space="preserve"> therapeutic potential. </w:t>
      </w:r>
    </w:p>
    <w:p w:rsidR="00347FB1" w:rsidRDefault="00347FB1" w:rsidP="00E902D4"/>
    <w:p w:rsidR="00C343C0" w:rsidRDefault="00C343C0" w:rsidP="00E902D4">
      <w:pPr>
        <w:rPr>
          <w:b/>
        </w:rPr>
      </w:pPr>
      <w:r>
        <w:rPr>
          <w:b/>
        </w:rPr>
        <w:t xml:space="preserve">                           </w:t>
      </w:r>
      <w:r w:rsidRPr="00C343C0">
        <w:rPr>
          <w:b/>
        </w:rPr>
        <w:t>Cyclodextrin in Drug Formulations and Drug Delivery Systems</w:t>
      </w:r>
    </w:p>
    <w:p w:rsidR="00C343C0" w:rsidRPr="00C343C0" w:rsidRDefault="00C343C0" w:rsidP="0085520C">
      <w:pPr>
        <w:jc w:val="both"/>
      </w:pPr>
      <w:r>
        <w:t>Comple</w:t>
      </w:r>
      <w:r w:rsidR="006940E9">
        <w:t>xation of guest molecules and Cyclodextrin</w:t>
      </w:r>
      <w:r>
        <w:t xml:space="preserve"> in aqueous s</w:t>
      </w:r>
      <w:r w:rsidR="006940E9">
        <w:t>olution results in a considerable</w:t>
      </w:r>
      <w:r>
        <w:t xml:space="preserve"> rearrangement </w:t>
      </w:r>
      <w:r w:rsidR="00C12DB4">
        <w:t xml:space="preserve">salvation </w:t>
      </w:r>
      <w:r w:rsidR="00DD1274">
        <w:t>of water</w:t>
      </w:r>
      <w:r>
        <w:t xml:space="preserve"> and the removal of the water molecules from the Cyclodextrin cavity and </w:t>
      </w:r>
      <w:r w:rsidR="00A44B1E">
        <w:t>salvation</w:t>
      </w:r>
      <w:r>
        <w:t xml:space="preserve"> water of g</w:t>
      </w:r>
      <w:r w:rsidR="006940E9">
        <w:t>uest molecules, with remarkable</w:t>
      </w:r>
      <w:r>
        <w:t xml:space="preserve"> entropic gain. F</w:t>
      </w:r>
      <w:r w:rsidR="006940E9">
        <w:t>or relatively small hosts, a 1:1</w:t>
      </w:r>
      <w:r>
        <w:t xml:space="preserve"> complex if formed </w:t>
      </w:r>
      <w:r w:rsidR="006940E9">
        <w:t>lipophilc</w:t>
      </w:r>
      <w:r w:rsidR="00B4615B">
        <w:t xml:space="preserve"> molecules</w:t>
      </w:r>
      <w:r w:rsidR="006940E9">
        <w:t xml:space="preserve"> displaying a strong </w:t>
      </w:r>
      <w:r w:rsidR="00A44B1E">
        <w:t>lipophilc</w:t>
      </w:r>
      <w:r w:rsidR="00B4615B">
        <w:t xml:space="preserve"> effect are preferred and the result is a substantial increase in the water solubility of compounds, which constitute the basis for using Cyclodextrin as sol</w:t>
      </w:r>
      <w:r w:rsidR="006940E9">
        <w:t>ubility enhancers for hydrophobic</w:t>
      </w:r>
      <w:r w:rsidR="00B4615B">
        <w:t xml:space="preserve"> drugs. The nanometric dimensions of Cyclodextrin ensure a high dispersion of </w:t>
      </w:r>
      <w:r w:rsidR="00A44B1E">
        <w:t>lipophilc</w:t>
      </w:r>
      <w:r w:rsidR="00B4615B">
        <w:t xml:space="preserve"> drugs in water, preventing their crystallization in aqueous media and enhancing their bioavailability. The encapsulated drug can be released upon contact with the </w:t>
      </w:r>
      <w:r w:rsidR="006940E9">
        <w:t>lipophilc</w:t>
      </w:r>
      <w:r w:rsidR="00B4615B">
        <w:t xml:space="preserve"> </w:t>
      </w:r>
      <w:r w:rsidR="006304D6">
        <w:t>cell membrane, with CD</w:t>
      </w:r>
      <w:r w:rsidR="00B4615B">
        <w:t xml:space="preserve"> acting as a drug nanocarriers and delivery systems</w:t>
      </w:r>
      <w:r w:rsidR="00267011">
        <w:rPr>
          <w:vertAlign w:val="superscript"/>
        </w:rPr>
        <w:t>27,28,29</w:t>
      </w:r>
      <w:r w:rsidR="00B4615B">
        <w:t>.</w:t>
      </w:r>
    </w:p>
    <w:p w:rsidR="00F86A6E" w:rsidRDefault="00F86A6E" w:rsidP="00E902D4">
      <w:r>
        <w:t xml:space="preserve">   </w:t>
      </w:r>
      <w:r w:rsidR="00444D10">
        <w:t xml:space="preserve">                                    </w:t>
      </w:r>
    </w:p>
    <w:p w:rsidR="007E7DB3" w:rsidRDefault="007E7DB3" w:rsidP="00E902D4">
      <w:r>
        <w:rPr>
          <w:b/>
          <w:sz w:val="24"/>
        </w:rPr>
        <w:lastRenderedPageBreak/>
        <w:t xml:space="preserve">                                             Futuristic</w:t>
      </w:r>
      <w:r w:rsidRPr="007E7DB3">
        <w:rPr>
          <w:b/>
          <w:sz w:val="24"/>
        </w:rPr>
        <w:t xml:space="preserve"> prospects of Cyclodextrin</w:t>
      </w:r>
    </w:p>
    <w:p w:rsidR="00444D10" w:rsidRDefault="007E7DB3" w:rsidP="00901850">
      <w:pPr>
        <w:jc w:val="both"/>
      </w:pPr>
      <w:r>
        <w:t xml:space="preserve"> The subsequent of Cyclodextrin in the pharma industry seems to be intense. There are number of traditional as well as non-traditional applications that are on the scope for commercialization. Novel uses of Cyclodextrin are likely to be explored as the properties of Cyclodextrin are expanded and the number of commercialized and Food and Drug Administration-approved form </w:t>
      </w:r>
      <w:r w:rsidR="00901850">
        <w:t xml:space="preserve">increases. </w:t>
      </w:r>
      <w:r>
        <w:t>At present only conventional formulations like tablets, capsules, solutions, ointment and Intravenous solutions have been commercialized using Cyclodextrin</w:t>
      </w:r>
      <w:r w:rsidR="00267011">
        <w:rPr>
          <w:vertAlign w:val="superscript"/>
        </w:rPr>
        <w:t>29,30</w:t>
      </w:r>
      <w:r>
        <w:t xml:space="preserve">. These days, Cyclodextrin are extensively being studied for their application in Novel </w:t>
      </w:r>
      <w:r w:rsidR="00901850">
        <w:t>(DD) drug</w:t>
      </w:r>
      <w:r>
        <w:t xml:space="preserve"> delivery such as Nanoparticles, </w:t>
      </w:r>
      <w:r w:rsidR="00A44B1E">
        <w:t>Liposome’s</w:t>
      </w:r>
      <w:r>
        <w:t xml:space="preserve">, </w:t>
      </w:r>
      <w:r w:rsidR="00901850">
        <w:t>Microspheres</w:t>
      </w:r>
      <w:r>
        <w:t xml:space="preserve"> and</w:t>
      </w:r>
      <w:r w:rsidR="00901850">
        <w:t xml:space="preserve"> targeted drug delivery that</w:t>
      </w:r>
      <w:r>
        <w:t xml:space="preserve"> become commercially available in future</w:t>
      </w:r>
      <w:r w:rsidR="00901850">
        <w:t>. Gene therapy is also taken up</w:t>
      </w:r>
      <w:r>
        <w:t xml:space="preserve"> to generate interest with Cyclodextrin. With the reported difficulties of viral gene delivery, non-viral methods are being further explored. </w:t>
      </w:r>
      <w:r w:rsidR="00901850">
        <w:t>(CD)</w:t>
      </w:r>
      <w:r>
        <w:t>Cyclodextrin co</w:t>
      </w:r>
      <w:r w:rsidR="00901850">
        <w:t>ntaining polycations have distinctive</w:t>
      </w:r>
      <w:r>
        <w:t xml:space="preserve"> properties that could be useful in the non-viral delivery of </w:t>
      </w:r>
      <w:r w:rsidR="00901850">
        <w:t>(NA) nucleic</w:t>
      </w:r>
      <w:r>
        <w:t xml:space="preserve"> aci</w:t>
      </w:r>
      <w:r w:rsidR="00901850">
        <w:t>ds. These materials show potential</w:t>
      </w:r>
      <w:r>
        <w:t xml:space="preserve"> for gene delivery in animals, although their utility in humans remains to be proven</w:t>
      </w:r>
      <w:r w:rsidR="00267011">
        <w:rPr>
          <w:vertAlign w:val="superscript"/>
        </w:rPr>
        <w:t>31</w:t>
      </w:r>
      <w:r w:rsidR="00901850">
        <w:t>.</w:t>
      </w:r>
    </w:p>
    <w:p w:rsidR="00C343C0" w:rsidRDefault="00F86A6E" w:rsidP="00E902D4">
      <w:r>
        <w:t xml:space="preserve">                                              </w:t>
      </w:r>
      <w:r>
        <w:object w:dxaOrig="5782" w:dyaOrig="5542">
          <v:shape id="_x0000_i1029" type="#_x0000_t75" style="width:205.25pt;height:197.2pt" o:ole="">
            <v:imagedata r:id="rId48" o:title=""/>
          </v:shape>
          <o:OLEObject Type="Embed" ProgID="ChemDraw.Document.6.0" ShapeID="_x0000_i1029" DrawAspect="Content" ObjectID="_1752067160" r:id="rId49"/>
        </w:object>
      </w:r>
      <w:r>
        <w:t xml:space="preserve">    </w:t>
      </w:r>
    </w:p>
    <w:p w:rsidR="00C343C0" w:rsidRPr="006304D6" w:rsidRDefault="00F86A6E" w:rsidP="00E902D4">
      <w:pPr>
        <w:rPr>
          <w:b/>
        </w:rPr>
      </w:pPr>
      <w:r w:rsidRPr="006304D6">
        <w:rPr>
          <w:b/>
        </w:rPr>
        <w:t xml:space="preserve">   </w:t>
      </w:r>
      <w:r w:rsidR="006304D6" w:rsidRPr="006304D6">
        <w:rPr>
          <w:b/>
        </w:rPr>
        <w:t>Figure</w:t>
      </w:r>
      <w:r w:rsidR="00267011">
        <w:rPr>
          <w:b/>
        </w:rPr>
        <w:t xml:space="preserve"> 5</w:t>
      </w:r>
      <w:r w:rsidR="006304D6" w:rsidRPr="006304D6">
        <w:rPr>
          <w:b/>
        </w:rPr>
        <w:t>:</w:t>
      </w:r>
      <w:r w:rsidR="006304D6">
        <w:rPr>
          <w:b/>
        </w:rPr>
        <w:t xml:space="preserve"> </w:t>
      </w:r>
      <w:r w:rsidR="006304D6" w:rsidRPr="006304D6">
        <w:rPr>
          <w:rFonts w:cstheme="minorHAnsi"/>
        </w:rPr>
        <w:t>Ꝩ</w:t>
      </w:r>
      <w:r w:rsidR="006304D6" w:rsidRPr="006304D6">
        <w:t>-Cyclodextrin Inclusion complex with heterocyclic molecule</w:t>
      </w:r>
      <w:r w:rsidR="006304D6">
        <w:rPr>
          <w:b/>
        </w:rPr>
        <w:t xml:space="preserve"> </w:t>
      </w:r>
    </w:p>
    <w:p w:rsidR="0085520C" w:rsidRDefault="0085520C" w:rsidP="0085520C">
      <w:pPr>
        <w:jc w:val="both"/>
      </w:pPr>
    </w:p>
    <w:p w:rsidR="0085520C" w:rsidRDefault="0085520C" w:rsidP="0085520C">
      <w:pPr>
        <w:jc w:val="both"/>
      </w:pPr>
    </w:p>
    <w:p w:rsidR="00C343C0" w:rsidRDefault="00F86A6E" w:rsidP="0085520C">
      <w:pPr>
        <w:jc w:val="both"/>
      </w:pPr>
      <w:r>
        <w:t>The range of the host molecules is not limited to solid compounds. Liquid and gaseous compounds can be encapsulated in CDs and delivered in aqueous solution</w:t>
      </w:r>
      <w:r w:rsidR="00A00B05">
        <w:rPr>
          <w:vertAlign w:val="superscript"/>
        </w:rPr>
        <w:t>16,31,32</w:t>
      </w:r>
      <w:r>
        <w:t xml:space="preserve">. CDs can significantly reduce the volatility of low boiling point liquids through host-guest complex formation, and thus can either mask unpleasant odors generated by them </w:t>
      </w:r>
      <w:r w:rsidR="00E07164">
        <w:t xml:space="preserve">or encapsulate and slowly </w:t>
      </w:r>
      <w:r w:rsidR="0085520C">
        <w:t>released</w:t>
      </w:r>
      <w:r w:rsidR="00E07164">
        <w:t xml:space="preserve"> pleasant </w:t>
      </w:r>
      <w:r w:rsidR="0085520C">
        <w:t>odor. Water plays an</w:t>
      </w:r>
      <w:r w:rsidR="00E07164">
        <w:t xml:space="preserve"> important role in the formation and stability of host-guest complexes of </w:t>
      </w:r>
      <w:r w:rsidR="0085520C">
        <w:t>Cyclodextrin</w:t>
      </w:r>
      <w:r w:rsidR="00A00B05">
        <w:rPr>
          <w:vertAlign w:val="superscript"/>
        </w:rPr>
        <w:t>33,34</w:t>
      </w:r>
      <w:r w:rsidR="0085520C">
        <w:t>. The</w:t>
      </w:r>
      <w:r w:rsidR="00E07164">
        <w:t xml:space="preserve"> affinity of host for their guests usually decreases when the water is removed and decomplexation can </w:t>
      </w:r>
      <w:r w:rsidR="0085520C">
        <w:t>occur,</w:t>
      </w:r>
      <w:r w:rsidR="00E07164">
        <w:t xml:space="preserve"> especially for compounds </w:t>
      </w:r>
      <w:r w:rsidR="008D105B">
        <w:t>with low hydrophobicity, resulting in molecular dispersion of host and guest</w:t>
      </w:r>
      <w:r w:rsidR="00A00B05">
        <w:rPr>
          <w:vertAlign w:val="superscript"/>
        </w:rPr>
        <w:t>30,32,35</w:t>
      </w:r>
      <w:r w:rsidR="008D105B">
        <w:t xml:space="preserve">. The phenomenon is reversible and complexes are formed spontaneously </w:t>
      </w:r>
      <w:r w:rsidR="0085520C">
        <w:t xml:space="preserve">when water is added to these dispersions. The very </w:t>
      </w:r>
      <w:r w:rsidR="007F0479">
        <w:t>lipophilc</w:t>
      </w:r>
      <w:r w:rsidR="0085520C">
        <w:t xml:space="preserve"> drugs do not decomplex from their CD host even in dry form and the CD complex</w:t>
      </w:r>
      <w:r w:rsidR="00A00B05">
        <w:rPr>
          <w:vertAlign w:val="superscript"/>
        </w:rPr>
        <w:t>36</w:t>
      </w:r>
      <w:r w:rsidR="0085520C">
        <w:t>.</w:t>
      </w:r>
      <w:r w:rsidR="00E07164">
        <w:t xml:space="preserve">  </w:t>
      </w:r>
    </w:p>
    <w:p w:rsidR="00C343C0" w:rsidRDefault="00C343C0" w:rsidP="00E902D4"/>
    <w:p w:rsidR="00C343C0" w:rsidRDefault="00C343C0" w:rsidP="00E902D4"/>
    <w:p w:rsidR="00C343C0" w:rsidRDefault="00C343C0" w:rsidP="00E902D4"/>
    <w:p w:rsidR="00C343C0" w:rsidRDefault="00C343C0" w:rsidP="00E902D4"/>
    <w:p w:rsidR="00F86A6E" w:rsidRDefault="002F5EAD" w:rsidP="00E902D4">
      <w:pPr>
        <w:rPr>
          <w:b/>
          <w:sz w:val="28"/>
        </w:rPr>
      </w:pPr>
      <w:r w:rsidRPr="00E902D4">
        <w:rPr>
          <w:b/>
          <w:sz w:val="28"/>
        </w:rPr>
        <w:t xml:space="preserve">    </w:t>
      </w:r>
      <w:r w:rsidR="00F37F6C">
        <w:rPr>
          <w:b/>
          <w:sz w:val="28"/>
        </w:rPr>
        <w:t xml:space="preserve">                             </w:t>
      </w:r>
    </w:p>
    <w:p w:rsidR="00081798" w:rsidRPr="00E902D4" w:rsidRDefault="0085520C" w:rsidP="00E902D4">
      <w:pPr>
        <w:rPr>
          <w:b/>
        </w:rPr>
      </w:pPr>
      <w:r>
        <w:rPr>
          <w:b/>
          <w:sz w:val="28"/>
        </w:rPr>
        <w:t xml:space="preserve">                                     </w:t>
      </w:r>
      <w:r w:rsidR="00F37F6C">
        <w:rPr>
          <w:b/>
          <w:sz w:val="28"/>
        </w:rPr>
        <w:t xml:space="preserve"> </w:t>
      </w:r>
      <w:r w:rsidR="002F5EAD" w:rsidRPr="00E902D4">
        <w:rPr>
          <w:b/>
          <w:sz w:val="28"/>
        </w:rPr>
        <w:t xml:space="preserve"> CDs utilities in </w:t>
      </w:r>
      <w:r w:rsidR="00081798" w:rsidRPr="00E902D4">
        <w:rPr>
          <w:b/>
          <w:sz w:val="28"/>
        </w:rPr>
        <w:t>Cheminformatics</w:t>
      </w:r>
    </w:p>
    <w:p w:rsidR="00081798" w:rsidRDefault="00081798" w:rsidP="0082154F">
      <w:pPr>
        <w:spacing w:before="240"/>
        <w:jc w:val="both"/>
        <w:rPr>
          <w:b/>
          <w:sz w:val="20"/>
        </w:rPr>
      </w:pPr>
      <w:r w:rsidRPr="00081798">
        <w:rPr>
          <w:sz w:val="20"/>
        </w:rPr>
        <w:t>The sphere of what now refer to as cheminformatics started some fifty years ago with first strives to explore sub-structural patterns in molecules &amp; tally organic activit</w:t>
      </w:r>
      <w:r w:rsidR="00A00B05">
        <w:rPr>
          <w:sz w:val="20"/>
        </w:rPr>
        <w:t xml:space="preserve">y with structural information </w:t>
      </w:r>
      <w:r w:rsidRPr="00081798">
        <w:rPr>
          <w:sz w:val="20"/>
        </w:rPr>
        <w:t xml:space="preserve"> . Cheminformatics had expanded an intact range of tools &amp; techniques for the discovery of new molecules with significant, commercially valuable, properties. Objective of this review is to inspect nature of chemical concepts &amp; the way in which they are appl</w:t>
      </w:r>
      <w:r w:rsidR="00A00B05">
        <w:rPr>
          <w:sz w:val="20"/>
        </w:rPr>
        <w:t xml:space="preserve">ied in cheminformatics systems </w:t>
      </w:r>
      <w:r w:rsidR="00A00B05">
        <w:rPr>
          <w:sz w:val="20"/>
          <w:vertAlign w:val="superscript"/>
        </w:rPr>
        <w:t>25,30,70</w:t>
      </w:r>
      <w:r w:rsidRPr="00081798">
        <w:rPr>
          <w:sz w:val="20"/>
        </w:rPr>
        <w:t xml:space="preserve"> . An account of concepts in beliefs &amp; in the information science leads to a study of chemical concepts &amp; their interpretation. Attention is focused on the basis of concepts of subject reaction &amp; property on the organizing concepts of chemical structure, structural similarity, periodicity an on more precise concepts including 2D &amp; 3D structural patterns, reaction types </w:t>
      </w:r>
      <w:r w:rsidR="00A00B05">
        <w:rPr>
          <w:sz w:val="20"/>
        </w:rPr>
        <w:t>&amp; property concepts etc  .Figure 6,</w:t>
      </w:r>
      <w:r w:rsidRPr="00081798">
        <w:rPr>
          <w:sz w:val="20"/>
        </w:rPr>
        <w:t>shown below shows the cheminformatics data analysis methods</w:t>
      </w:r>
      <w:r w:rsidR="00A00B05">
        <w:rPr>
          <w:sz w:val="20"/>
          <w:vertAlign w:val="superscript"/>
        </w:rPr>
        <w:t>70</w:t>
      </w:r>
      <w:r>
        <w:rPr>
          <w:b/>
          <w:sz w:val="20"/>
        </w:rPr>
        <w:t>.</w:t>
      </w:r>
    </w:p>
    <w:p w:rsidR="00056C01" w:rsidRDefault="00056C01" w:rsidP="009B1DE9">
      <w:pPr>
        <w:spacing w:before="240"/>
        <w:rPr>
          <w:b/>
          <w:sz w:val="20"/>
        </w:rPr>
      </w:pPr>
    </w:p>
    <w:p w:rsidR="00056C01" w:rsidRDefault="00D82718" w:rsidP="009B1DE9">
      <w:pPr>
        <w:spacing w:before="240"/>
        <w:rPr>
          <w:b/>
          <w:sz w:val="20"/>
        </w:rPr>
      </w:pPr>
      <w:r>
        <w:rPr>
          <w:b/>
          <w:noProof/>
          <w:sz w:val="20"/>
        </w:rPr>
        <w:t xml:space="preserve">                         </w:t>
      </w:r>
      <w:r w:rsidR="00056C01" w:rsidRPr="00056C01">
        <w:rPr>
          <w:b/>
          <w:noProof/>
          <w:sz w:val="20"/>
        </w:rPr>
        <w:drawing>
          <wp:inline distT="0" distB="0" distL="0" distR="0">
            <wp:extent cx="3998794" cy="941695"/>
            <wp:effectExtent l="0" t="0" r="0" b="0"/>
            <wp:docPr id="1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D82718" w:rsidRPr="00A00B05" w:rsidRDefault="00A00B05" w:rsidP="009B1DE9">
      <w:pPr>
        <w:spacing w:before="240"/>
        <w:rPr>
          <w:sz w:val="20"/>
        </w:rPr>
      </w:pPr>
      <w:r>
        <w:rPr>
          <w:b/>
          <w:sz w:val="20"/>
        </w:rPr>
        <w:t xml:space="preserve">Figure 6:  </w:t>
      </w:r>
      <w:r w:rsidRPr="00A00B05">
        <w:rPr>
          <w:sz w:val="20"/>
        </w:rPr>
        <w:t>Cheminformatics data analysis method</w:t>
      </w:r>
    </w:p>
    <w:p w:rsidR="00D82718" w:rsidRDefault="00D82718" w:rsidP="009B1DE9">
      <w:pPr>
        <w:spacing w:before="240"/>
        <w:rPr>
          <w:b/>
          <w:sz w:val="20"/>
        </w:rPr>
      </w:pPr>
    </w:p>
    <w:p w:rsidR="00056C01" w:rsidRDefault="00056C01" w:rsidP="009B1DE9">
      <w:pPr>
        <w:spacing w:before="240"/>
        <w:rPr>
          <w:b/>
          <w:sz w:val="20"/>
        </w:rPr>
      </w:pPr>
    </w:p>
    <w:p w:rsidR="009B1DE9" w:rsidRPr="002F5EAD" w:rsidRDefault="00081798" w:rsidP="0082154F">
      <w:pPr>
        <w:spacing w:before="240"/>
        <w:jc w:val="both"/>
        <w:rPr>
          <w:b/>
          <w:sz w:val="20"/>
        </w:rPr>
      </w:pPr>
      <w:r>
        <w:t xml:space="preserve">Cheminformatics plays a vital role in maintaining and accessing huge amount of chemical data, assemble by chemists using a proper data base, figure 8 shown below shows various field in cheminformatics. The field of chemistry needs emerging techniques for knowledge extrication from data to model complex relationship between structure of chemical compounds &amp; bioactivity. Cheminformatics is a remarkable application of information Application of CDs Chemical Industry Catalytic uses Separation process Agriculture Cosmetics &amp; dyes 12 technology (IT) to help chemists &amp; researchers to investigate problems, organize, </w:t>
      </w:r>
      <w:r w:rsidR="00D27782">
        <w:t>and analyze</w:t>
      </w:r>
      <w:r>
        <w:t xml:space="preserve"> &amp; to understand scientific data in the development of new compound, material and process</w:t>
      </w:r>
      <w:r w:rsidR="00A00B05">
        <w:rPr>
          <w:vertAlign w:val="superscript"/>
        </w:rPr>
        <w:t>36,37,38</w:t>
      </w:r>
      <w:r>
        <w:t>.</w:t>
      </w:r>
    </w:p>
    <w:p w:rsidR="00F37F6C" w:rsidRPr="00F37F6C" w:rsidRDefault="00D82718" w:rsidP="00014907">
      <w:pPr>
        <w:jc w:val="both"/>
        <w:rPr>
          <w:b/>
          <w:sz w:val="24"/>
        </w:rPr>
      </w:pPr>
      <w:r w:rsidRPr="00F37F6C">
        <w:rPr>
          <w:b/>
          <w:sz w:val="24"/>
        </w:rPr>
        <w:t xml:space="preserve">In-sillico Molecular Docking </w:t>
      </w:r>
      <w:r w:rsidR="00014907" w:rsidRPr="00F37F6C">
        <w:rPr>
          <w:b/>
          <w:sz w:val="24"/>
        </w:rPr>
        <w:t>Study:</w:t>
      </w:r>
    </w:p>
    <w:p w:rsidR="00F9760F" w:rsidRPr="00F37F6C" w:rsidRDefault="00083F25" w:rsidP="00014907">
      <w:pPr>
        <w:jc w:val="both"/>
      </w:pPr>
      <w:r>
        <w:rPr>
          <w:b/>
        </w:rPr>
        <w:t xml:space="preserve"> </w:t>
      </w:r>
      <w:r w:rsidR="00D82718" w:rsidRPr="00083F25">
        <w:t>Drug development</w:t>
      </w:r>
      <w:r w:rsidR="00D82718">
        <w:t xml:space="preserve"> requires detailed information about the biological activity of the pharmacological compounds against selected targets. The application of computational method to </w:t>
      </w:r>
      <w:r w:rsidR="00D82718">
        <w:lastRenderedPageBreak/>
        <w:t>study the formation of intermolecular complexes has been the subject of intensive research</w:t>
      </w:r>
      <w:r w:rsidR="00A00B05">
        <w:rPr>
          <w:vertAlign w:val="superscript"/>
        </w:rPr>
        <w:t>70,71</w:t>
      </w:r>
      <w:r w:rsidR="00D82718">
        <w:t>. It is widely accepted that drug activity is obtained through the molecular binding of one molecule i.e., ligand to the pocket of another, usually larger molecule i.e., the receptor. The computational process of searching for a ligand that is able to fit both geometrically and energetically the binds called molecu</w:t>
      </w:r>
      <w:r w:rsidR="00A00B05">
        <w:t xml:space="preserve">lar docking site of a protein </w:t>
      </w:r>
      <w:r w:rsidR="00A00B05">
        <w:rPr>
          <w:vertAlign w:val="superscript"/>
        </w:rPr>
        <w:t>44,70,71</w:t>
      </w:r>
      <w:r w:rsidR="00014907">
        <w:t xml:space="preserve">. </w:t>
      </w:r>
      <w:r w:rsidR="00A00B05">
        <w:t>Figure 7</w:t>
      </w:r>
      <w:r w:rsidR="00D82718">
        <w:t xml:space="preserve"> gives an idea about drug</w:t>
      </w:r>
      <w:r>
        <w:t xml:space="preserve"> discovery </w:t>
      </w:r>
      <w:r w:rsidRPr="00F37F6C">
        <w:t>process.</w:t>
      </w:r>
    </w:p>
    <w:p w:rsidR="0009184F" w:rsidRDefault="0009184F" w:rsidP="00014907">
      <w:pPr>
        <w:jc w:val="both"/>
      </w:pPr>
      <w:r w:rsidRPr="0009184F">
        <w:rPr>
          <w:b/>
          <w:noProof/>
        </w:rPr>
        <w:drawing>
          <wp:inline distT="0" distB="0" distL="0" distR="0">
            <wp:extent cx="3788675" cy="3145809"/>
            <wp:effectExtent l="19050" t="0" r="0" b="0"/>
            <wp:docPr id="19"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98525" cy="6683375"/>
                      <a:chOff x="3291384" y="174625"/>
                      <a:chExt cx="6398525" cy="6683375"/>
                    </a:xfrm>
                  </a:grpSpPr>
                  <a:sp>
                    <a:nvSpPr>
                      <a:cNvPr id="16" name="Rounded Rectangle 15"/>
                      <a:cNvSpPr/>
                    </a:nvSpPr>
                    <a:spPr>
                      <a:xfrm>
                        <a:off x="3302757" y="1419367"/>
                        <a:ext cx="3370997" cy="955343"/>
                      </a:xfrm>
                      <a:prstGeom prst="roundRect">
                        <a:avLst/>
                      </a:prstGeom>
                      <a:solidFill>
                        <a:schemeClr val="accent2">
                          <a:lumMod val="20000"/>
                          <a:lumOff val="8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just"/>
                          <a:r>
                            <a:rPr lang="en-US" b="1" dirty="0" smtClean="0"/>
                            <a:t>        </a:t>
                          </a:r>
                          <a:r>
                            <a:rPr lang="en-US" b="1" dirty="0" smtClean="0">
                              <a:solidFill>
                                <a:schemeClr val="tx1"/>
                              </a:solidFill>
                            </a:rPr>
                            <a:t>Target Identification </a:t>
                          </a:r>
                          <a:endParaRPr lang="en-US"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ounded Rectangle 16"/>
                      <a:cNvSpPr/>
                    </a:nvSpPr>
                    <a:spPr>
                      <a:xfrm>
                        <a:off x="3291384" y="2649940"/>
                        <a:ext cx="3370997" cy="955343"/>
                      </a:xfrm>
                      <a:prstGeom prst="roundRect">
                        <a:avLst/>
                      </a:prstGeom>
                      <a:solidFill>
                        <a:schemeClr val="accent2">
                          <a:lumMod val="40000"/>
                          <a:lumOff val="6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just"/>
                          <a:r>
                            <a:rPr lang="en-US" b="1" dirty="0" smtClean="0">
                              <a:solidFill>
                                <a:schemeClr val="tx1"/>
                              </a:solidFill>
                            </a:rPr>
                            <a:t>             Target validation</a:t>
                          </a:r>
                          <a:endParaRPr 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Rounded Rectangle 17"/>
                      <a:cNvSpPr/>
                    </a:nvSpPr>
                    <a:spPr>
                      <a:xfrm>
                        <a:off x="3332328" y="3891886"/>
                        <a:ext cx="3370997" cy="955343"/>
                      </a:xfrm>
                      <a:prstGeom prst="roundRect">
                        <a:avLst/>
                      </a:prstGeom>
                      <a:solidFill>
                        <a:schemeClr val="accent4">
                          <a:lumMod val="40000"/>
                          <a:lumOff val="6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just"/>
                          <a:r>
                            <a:rPr lang="en-US" b="1" dirty="0" smtClean="0">
                              <a:solidFill>
                                <a:schemeClr val="tx1"/>
                              </a:solidFill>
                            </a:rPr>
                            <a:t>          Lead Identification </a:t>
                          </a:r>
                          <a:endParaRPr 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ounded Rectangle 18"/>
                      <a:cNvSpPr/>
                    </a:nvSpPr>
                    <a:spPr>
                      <a:xfrm>
                        <a:off x="3305032" y="5106537"/>
                        <a:ext cx="3370997" cy="955343"/>
                      </a:xfrm>
                      <a:prstGeom prst="roundRect">
                        <a:avLst/>
                      </a:prstGeom>
                      <a:solidFill>
                        <a:schemeClr val="accent6">
                          <a:lumMod val="60000"/>
                          <a:lumOff val="4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just"/>
                          <a:r>
                            <a:rPr lang="en-US" b="1" dirty="0" smtClean="0">
                              <a:solidFill>
                                <a:schemeClr val="tx1"/>
                              </a:solidFill>
                            </a:rPr>
                            <a:t>          Lead Optimization </a:t>
                          </a:r>
                          <a:endParaRPr 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pic>
                    <a:nvPicPr>
                      <a:cNvPr id="0" name="Object 2"/>
                      <a:cNvPicPr>
                        <a:picLocks noChangeAspect="1" noChangeArrowheads="1"/>
                      </a:cNvPicPr>
                    </a:nvPicPr>
                    <a:blipFill>
                      <a:blip r:embed="rId54"/>
                      <a:srcRect/>
                      <a:stretch>
                        <a:fillRect/>
                      </a:stretch>
                    </a:blipFill>
                    <a:spPr bwMode="auto">
                      <a:xfrm>
                        <a:off x="3821113" y="174625"/>
                        <a:ext cx="2363787" cy="747713"/>
                      </a:xfrm>
                      <a:prstGeom prst="rect">
                        <a:avLst/>
                      </a:prstGeom>
                      <a:noFill/>
                      <a:ln w="9525">
                        <a:noFill/>
                        <a:miter lim="800000"/>
                        <a:headEnd/>
                        <a:tailEnd/>
                      </a:ln>
                      <a:effectLst/>
                    </a:spPr>
                  </a:pic>
                  <a:cxnSp>
                    <a:nvCxnSpPr>
                      <a:cNvPr id="22" name="Straight Arrow Connector 21"/>
                      <a:cNvCxnSpPr/>
                    </a:nvCxnSpPr>
                    <a:spPr>
                      <a:xfrm rot="5400000">
                        <a:off x="4428700" y="1044055"/>
                        <a:ext cx="736982" cy="1364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25" name="Curved Up Arrow 24"/>
                      <a:cNvSpPr/>
                    </a:nvSpPr>
                    <a:spPr>
                      <a:xfrm>
                        <a:off x="5923128" y="6127845"/>
                        <a:ext cx="2770496" cy="730155"/>
                      </a:xfrm>
                      <a:prstGeom prst="curvedUp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TextBox 26"/>
                      <a:cNvSpPr txBox="1"/>
                    </a:nvSpPr>
                    <a:spPr>
                      <a:xfrm>
                        <a:off x="7956644" y="5459104"/>
                        <a:ext cx="1733265"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t>Compound development </a:t>
                          </a:r>
                          <a:endParaRPr lang="en-US" sz="1600" b="1" dirty="0"/>
                        </a:p>
                      </a:txBody>
                      <a:useSpRect/>
                    </a:txSp>
                  </a:sp>
                  <a:pic>
                    <a:nvPicPr>
                      <a:cNvPr id="0" name="Object 3"/>
                      <a:cNvPicPr>
                        <a:picLocks noChangeAspect="1" noChangeArrowheads="1"/>
                      </a:cNvPicPr>
                    </a:nvPicPr>
                    <a:blipFill>
                      <a:blip r:embed="rId55"/>
                      <a:srcRect/>
                      <a:stretch>
                        <a:fillRect/>
                      </a:stretch>
                    </a:blipFill>
                    <a:spPr bwMode="auto">
                      <a:xfrm>
                        <a:off x="8185150" y="4400550"/>
                        <a:ext cx="1035050" cy="1111250"/>
                      </a:xfrm>
                      <a:prstGeom prst="rect">
                        <a:avLst/>
                      </a:prstGeom>
                      <a:noFill/>
                      <a:ln w="9525">
                        <a:noFill/>
                        <a:miter lim="800000"/>
                        <a:headEnd/>
                        <a:tailEnd/>
                      </a:ln>
                      <a:effectLst/>
                    </a:spPr>
                  </a:pic>
                  <a:pic>
                    <a:nvPicPr>
                      <a:cNvPr id="0" name="Object 4"/>
                      <a:cNvPicPr>
                        <a:picLocks noChangeAspect="1" noChangeArrowheads="1"/>
                      </a:cNvPicPr>
                    </a:nvPicPr>
                    <a:blipFill>
                      <a:blip r:embed="rId56"/>
                      <a:srcRect/>
                      <a:stretch>
                        <a:fillRect/>
                      </a:stretch>
                    </a:blipFill>
                    <a:spPr bwMode="auto">
                      <a:xfrm>
                        <a:off x="5664200" y="3363913"/>
                        <a:ext cx="1301750" cy="1655762"/>
                      </a:xfrm>
                      <a:prstGeom prst="rect">
                        <a:avLst/>
                      </a:prstGeom>
                      <a:noFill/>
                      <a:ln w="9525">
                        <a:noFill/>
                        <a:miter lim="800000"/>
                        <a:headEnd/>
                        <a:tailEnd/>
                      </a:ln>
                      <a:effectLst/>
                    </a:spPr>
                  </a:pic>
                </lc:lockedCanvas>
              </a:graphicData>
            </a:graphic>
          </wp:inline>
        </w:drawing>
      </w:r>
      <w:r w:rsidR="00BF1FAB">
        <w:object w:dxaOrig="4167" w:dyaOrig="3370">
          <v:shape id="_x0000_i1030" type="#_x0000_t75" style="width:135.4pt;height:118.75pt" o:ole="">
            <v:imagedata r:id="rId57" o:title=""/>
          </v:shape>
          <o:OLEObject Type="Embed" ProgID="ChemDraw.Document.6.0" ShapeID="_x0000_i1030" DrawAspect="Content" ObjectID="_1752067161" r:id="rId58"/>
        </w:object>
      </w:r>
    </w:p>
    <w:p w:rsidR="00D654FA" w:rsidRPr="00605850" w:rsidRDefault="00605850" w:rsidP="00014907">
      <w:pPr>
        <w:jc w:val="both"/>
        <w:rPr>
          <w:b/>
        </w:rPr>
      </w:pPr>
      <w:r w:rsidRPr="00605850">
        <w:rPr>
          <w:b/>
        </w:rPr>
        <w:t>Figure</w:t>
      </w:r>
      <w:r w:rsidR="00A00B05">
        <w:rPr>
          <w:b/>
        </w:rPr>
        <w:t>7</w:t>
      </w:r>
      <w:r w:rsidRPr="00605850">
        <w:rPr>
          <w:b/>
        </w:rPr>
        <w:t xml:space="preserve">: </w:t>
      </w:r>
      <w:r w:rsidR="00A00B05" w:rsidRPr="00A00B05">
        <w:t>Drug discovery process</w:t>
      </w:r>
    </w:p>
    <w:p w:rsidR="00F37F6C" w:rsidRDefault="00F37F6C" w:rsidP="004006D2">
      <w:pPr>
        <w:pStyle w:val="Heading3"/>
        <w:shd w:val="clear" w:color="auto" w:fill="FFFFFF"/>
        <w:spacing w:before="0" w:beforeAutospacing="0"/>
        <w:rPr>
          <w:rFonts w:ascii="Arial" w:hAnsi="Arial" w:cs="Arial"/>
          <w:color w:val="000000"/>
        </w:rPr>
      </w:pPr>
    </w:p>
    <w:p w:rsidR="00F37F6C" w:rsidRDefault="00F37F6C" w:rsidP="004006D2">
      <w:pPr>
        <w:pStyle w:val="Heading3"/>
        <w:shd w:val="clear" w:color="auto" w:fill="FFFFFF"/>
        <w:spacing w:before="0" w:beforeAutospacing="0"/>
        <w:rPr>
          <w:rFonts w:ascii="Arial" w:hAnsi="Arial" w:cs="Arial"/>
          <w:color w:val="000000"/>
        </w:rPr>
      </w:pPr>
    </w:p>
    <w:p w:rsidR="004006D2" w:rsidRDefault="004006D2" w:rsidP="004006D2">
      <w:pPr>
        <w:pStyle w:val="Heading3"/>
        <w:shd w:val="clear" w:color="auto" w:fill="FFFFFF"/>
        <w:spacing w:before="0" w:beforeAutospacing="0"/>
        <w:rPr>
          <w:rFonts w:ascii="Arial" w:hAnsi="Arial" w:cs="Arial"/>
          <w:color w:val="000000"/>
        </w:rPr>
      </w:pPr>
      <w:r>
        <w:rPr>
          <w:rFonts w:ascii="Arial" w:hAnsi="Arial" w:cs="Arial"/>
          <w:color w:val="000000"/>
        </w:rPr>
        <w:t>Molecular Docking and Simulations</w:t>
      </w:r>
    </w:p>
    <w:p w:rsidR="004006D2" w:rsidRDefault="004006D2" w:rsidP="00F37F6C">
      <w:pPr>
        <w:shd w:val="clear" w:color="auto" w:fill="FFFFFF"/>
        <w:jc w:val="both"/>
        <w:rPr>
          <w:rFonts w:ascii="Arial" w:hAnsi="Arial" w:cs="Arial"/>
          <w:color w:val="000000"/>
          <w:sz w:val="18"/>
          <w:szCs w:val="18"/>
        </w:rPr>
      </w:pPr>
      <w:r>
        <w:rPr>
          <w:rFonts w:ascii="Arial" w:hAnsi="Arial" w:cs="Arial"/>
          <w:color w:val="000000"/>
          <w:sz w:val="18"/>
          <w:szCs w:val="18"/>
        </w:rPr>
        <w:t>In supramolecular chemistry, molecular docking is a computational process of searching for a guest that is able to fit both geometrically and energetically in the cavity of the host moiety</w:t>
      </w:r>
      <w:r w:rsidR="00293B77">
        <w:rPr>
          <w:rFonts w:ascii="Arial" w:hAnsi="Arial" w:cs="Arial"/>
          <w:color w:val="000000"/>
          <w:sz w:val="18"/>
          <w:szCs w:val="18"/>
          <w:vertAlign w:val="superscript"/>
        </w:rPr>
        <w:t>74</w:t>
      </w:r>
      <w:r w:rsidR="0085520C">
        <w:rPr>
          <w:rFonts w:ascii="Arial" w:hAnsi="Arial" w:cs="Arial"/>
          <w:color w:val="000000"/>
          <w:sz w:val="18"/>
          <w:szCs w:val="18"/>
        </w:rPr>
        <w:t>.</w:t>
      </w:r>
      <w:r>
        <w:rPr>
          <w:rFonts w:ascii="Arial" w:hAnsi="Arial" w:cs="Arial"/>
          <w:color w:val="000000"/>
          <w:sz w:val="18"/>
          <w:szCs w:val="18"/>
        </w:rPr>
        <w:t> This is a process by which two molecules fit together in 3D space. The aim of docking is to predict the predominant binding mode for a guest with a host of a known three-dimensional structure. An established docking protocol for host–guest system implemented in MOE was applied. The docking was carried out with the default parameters, that is, with the triangle matcher method and ordered with the London Δ</w:t>
      </w:r>
      <w:r>
        <w:rPr>
          <w:rFonts w:ascii="Arial" w:hAnsi="Arial" w:cs="Arial"/>
          <w:i/>
          <w:iCs/>
          <w:color w:val="000000"/>
          <w:sz w:val="18"/>
          <w:szCs w:val="18"/>
        </w:rPr>
        <w:t>G</w:t>
      </w:r>
      <w:r>
        <w:rPr>
          <w:rFonts w:ascii="Arial" w:hAnsi="Arial" w:cs="Arial"/>
          <w:color w:val="000000"/>
          <w:sz w:val="18"/>
          <w:szCs w:val="18"/>
        </w:rPr>
        <w:t> scoring function. The top five produced poses were ranked as per their docking scores and saved in a separate database file in a .mdb format. The build-in scoring function of MOE, S-score, was used to predict the binding affinity (kcal·mol</w:t>
      </w:r>
      <w:r>
        <w:rPr>
          <w:rFonts w:ascii="Arial" w:hAnsi="Arial" w:cs="Arial"/>
          <w:color w:val="000000"/>
          <w:sz w:val="14"/>
          <w:szCs w:val="14"/>
          <w:vertAlign w:val="superscript"/>
        </w:rPr>
        <w:t>–1</w:t>
      </w:r>
      <w:r>
        <w:rPr>
          <w:rFonts w:ascii="Arial" w:hAnsi="Arial" w:cs="Arial"/>
          <w:color w:val="000000"/>
          <w:sz w:val="18"/>
          <w:szCs w:val="18"/>
        </w:rPr>
        <w:t>) of the optimized structure of the inclusion complex</w:t>
      </w:r>
      <w:r w:rsidR="0076360C">
        <w:rPr>
          <w:rFonts w:ascii="Arial" w:hAnsi="Arial" w:cs="Arial"/>
          <w:color w:val="000000"/>
          <w:sz w:val="18"/>
          <w:szCs w:val="18"/>
          <w:vertAlign w:val="superscript"/>
        </w:rPr>
        <w:t>62,63</w:t>
      </w:r>
      <w:r>
        <w:rPr>
          <w:rFonts w:ascii="Arial" w:hAnsi="Arial" w:cs="Arial"/>
          <w:color w:val="000000"/>
          <w:sz w:val="18"/>
          <w:szCs w:val="18"/>
        </w:rPr>
        <w:t>.</w:t>
      </w:r>
      <w:r w:rsidR="0076360C">
        <w:rPr>
          <w:rFonts w:ascii="Arial" w:hAnsi="Arial" w:cs="Arial"/>
          <w:color w:val="000000"/>
          <w:sz w:val="18"/>
          <w:szCs w:val="18"/>
        </w:rPr>
        <w:t>Figure 8 shown below is the docking study of CD-IC.</w:t>
      </w:r>
    </w:p>
    <w:p w:rsidR="00D654FA" w:rsidRDefault="00EA6BD1" w:rsidP="00014907">
      <w:pPr>
        <w:jc w:val="both"/>
      </w:pPr>
      <w:r>
        <w:lastRenderedPageBreak/>
        <w:t xml:space="preserve">                                               </w:t>
      </w:r>
      <w:r>
        <w:rPr>
          <w:noProof/>
        </w:rPr>
        <w:drawing>
          <wp:inline distT="0" distB="0" distL="0" distR="0">
            <wp:extent cx="2425223" cy="1856096"/>
            <wp:effectExtent l="19050" t="0" r="0" b="0"/>
            <wp:docPr id="3" name="Picture 16" descr="Snapshot from the molecular dynamics simulation of the multicomponent...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pshot from the molecular dynamics simulation of the multicomponent... |  Download Scientific Diagram"/>
                    <pic:cNvPicPr>
                      <a:picLocks noChangeAspect="1" noChangeArrowheads="1"/>
                    </pic:cNvPicPr>
                  </pic:nvPicPr>
                  <pic:blipFill>
                    <a:blip r:embed="rId59"/>
                    <a:srcRect/>
                    <a:stretch>
                      <a:fillRect/>
                    </a:stretch>
                  </pic:blipFill>
                  <pic:spPr bwMode="auto">
                    <a:xfrm>
                      <a:off x="0" y="0"/>
                      <a:ext cx="2426277" cy="1856903"/>
                    </a:xfrm>
                    <a:prstGeom prst="rect">
                      <a:avLst/>
                    </a:prstGeom>
                    <a:noFill/>
                    <a:ln w="9525">
                      <a:noFill/>
                      <a:miter lim="800000"/>
                      <a:headEnd/>
                      <a:tailEnd/>
                    </a:ln>
                  </pic:spPr>
                </pic:pic>
              </a:graphicData>
            </a:graphic>
          </wp:inline>
        </w:drawing>
      </w:r>
    </w:p>
    <w:p w:rsidR="0076360C" w:rsidRPr="0076360C" w:rsidRDefault="0076360C" w:rsidP="00014907">
      <w:pPr>
        <w:jc w:val="both"/>
      </w:pPr>
      <w:r w:rsidRPr="0076360C">
        <w:rPr>
          <w:b/>
        </w:rPr>
        <w:t>Figure 8:</w:t>
      </w:r>
      <w:r>
        <w:rPr>
          <w:b/>
        </w:rPr>
        <w:t xml:space="preserve"> </w:t>
      </w:r>
      <w:r>
        <w:t>Molecular docking study of CD-IC heterocycles</w:t>
      </w:r>
      <w:sdt>
        <w:sdtPr>
          <w:id w:val="1826276344"/>
          <w:citation/>
        </w:sdtPr>
        <w:sdtContent>
          <w:fldSimple w:instr=" CITATION Sna \l 1033 ">
            <w:r>
              <w:rPr>
                <w:noProof/>
              </w:rPr>
              <w:t xml:space="preserve"> (Snapshot from the molecular dynamics simulation of the multicomponent inclusion complex formed between OME ( light gray ) and β CD ( dark gray ) in the presence of ARG ( colored ))</w:t>
            </w:r>
          </w:fldSimple>
        </w:sdtContent>
      </w:sdt>
    </w:p>
    <w:p w:rsidR="0076360C" w:rsidRDefault="0076360C" w:rsidP="00014907">
      <w:pPr>
        <w:jc w:val="both"/>
      </w:pPr>
    </w:p>
    <w:p w:rsidR="00D654FA" w:rsidRDefault="00D654FA" w:rsidP="00014907">
      <w:pPr>
        <w:jc w:val="both"/>
      </w:pPr>
    </w:p>
    <w:p w:rsidR="00EA6BD1" w:rsidRDefault="00EA6BD1" w:rsidP="00014907">
      <w:pPr>
        <w:jc w:val="both"/>
      </w:pPr>
    </w:p>
    <w:p w:rsidR="00EA6BD1" w:rsidRDefault="00EA6BD1" w:rsidP="00014907">
      <w:pPr>
        <w:jc w:val="both"/>
      </w:pPr>
    </w:p>
    <w:p w:rsidR="00EA6BD1" w:rsidRDefault="00EA6BD1" w:rsidP="00014907">
      <w:pPr>
        <w:jc w:val="both"/>
      </w:pPr>
    </w:p>
    <w:p w:rsidR="005B2EE2" w:rsidRDefault="00D529EB" w:rsidP="00014907">
      <w:pPr>
        <w:jc w:val="both"/>
      </w:pPr>
      <w:r>
        <w:rPr>
          <w:noProof/>
        </w:rPr>
        <w:pict>
          <v:shape id="_x0000_s1054" type="#_x0000_t202" style="position:absolute;left:0;text-align:left;margin-left:322.3pt;margin-top:61.95pt;width:115.35pt;height:23.75pt;z-index:-251637760;mso-wrap-distance-left:0;mso-wrap-distance-right:0;mso-position-horizontal-relative:page" fillcolor="black" strokecolor="#f1f1f1" strokeweight="1.0571mm">
            <v:textbox inset="0,0,0,0">
              <w:txbxContent>
                <w:p w:rsidR="005B2EE2" w:rsidRDefault="005B2EE2" w:rsidP="005B2EE2">
                  <w:pPr>
                    <w:pStyle w:val="BodyText"/>
                    <w:spacing w:before="73"/>
                    <w:ind w:left="143"/>
                  </w:pPr>
                  <w:r>
                    <w:t xml:space="preserve">Allied application </w:t>
                  </w:r>
                </w:p>
              </w:txbxContent>
            </v:textbox>
            <w10:wrap type="topAndBottom" anchorx="page"/>
          </v:shape>
        </w:pict>
      </w:r>
      <w:r>
        <w:rPr>
          <w:noProof/>
        </w:rPr>
        <w:pict>
          <v:shape id="_x0000_s1053" type="#_x0000_t202" style="position:absolute;left:0;text-align:left;margin-left:91.6pt;margin-top:61.95pt;width:115.35pt;height:23.75pt;z-index:-251638784;mso-wrap-distance-left:0;mso-wrap-distance-right:0;mso-position-horizontal-relative:page" fillcolor="black" strokecolor="#f1f1f1" strokeweight="1.0571mm">
            <v:textbox inset="0,0,0,0">
              <w:txbxContent>
                <w:p w:rsidR="005B2EE2" w:rsidRDefault="005B2EE2" w:rsidP="005B2EE2">
                  <w:pPr>
                    <w:pStyle w:val="BodyText"/>
                    <w:spacing w:before="73"/>
                    <w:ind w:left="143"/>
                  </w:pPr>
                  <w:r>
                    <w:rPr>
                      <w:color w:val="FFFFFF"/>
                      <w:spacing w:val="-1"/>
                      <w:w w:val="105"/>
                    </w:rPr>
                    <w:t>Types</w:t>
                  </w:r>
                  <w:r>
                    <w:rPr>
                      <w:color w:val="FFFFFF"/>
                      <w:spacing w:val="-14"/>
                      <w:w w:val="105"/>
                    </w:rPr>
                    <w:t xml:space="preserve"> </w:t>
                  </w:r>
                  <w:r>
                    <w:rPr>
                      <w:color w:val="FFFFFF"/>
                      <w:spacing w:val="-1"/>
                      <w:w w:val="105"/>
                    </w:rPr>
                    <w:t>of</w:t>
                  </w:r>
                  <w:r>
                    <w:rPr>
                      <w:color w:val="FFFFFF"/>
                      <w:spacing w:val="-14"/>
                      <w:w w:val="105"/>
                    </w:rPr>
                    <w:t xml:space="preserve"> </w:t>
                  </w:r>
                  <w:r>
                    <w:rPr>
                      <w:color w:val="FFFFFF"/>
                      <w:spacing w:val="-1"/>
                      <w:w w:val="105"/>
                    </w:rPr>
                    <w:t>tools</w:t>
                  </w:r>
                </w:p>
              </w:txbxContent>
            </v:textbox>
            <w10:wrap type="topAndBottom" anchorx="page"/>
          </v:shape>
        </w:pict>
      </w:r>
      <w:r w:rsidR="00D654FA">
        <w:t>Cheminformatics analytical tools. The development of software and tools for computer assisted organic synthesis are under vast development. This has resulted in many tools and representation for chemical structure. Some of the pro</w:t>
      </w:r>
      <w:r w:rsidR="0076360C">
        <w:t>minent tools are listed below</w:t>
      </w:r>
      <w:r w:rsidR="0076360C">
        <w:rPr>
          <w:vertAlign w:val="superscript"/>
        </w:rPr>
        <w:t>65</w:t>
      </w:r>
      <w:r w:rsidR="00D220D3">
        <w:rPr>
          <w:vertAlign w:val="superscript"/>
        </w:rPr>
        <w:t>, 66,67,70,71,72</w:t>
      </w:r>
      <w:r w:rsidR="0076360C">
        <w:t>.</w:t>
      </w:r>
      <w:r w:rsidR="00D654FA">
        <w:t xml:space="preserve">  </w:t>
      </w:r>
      <w:r w:rsidR="005B2EE2">
        <w:t xml:space="preserve">  </w:t>
      </w:r>
    </w:p>
    <w:p w:rsidR="00D654FA" w:rsidRDefault="00D654FA" w:rsidP="00D654FA">
      <w:pPr>
        <w:pStyle w:val="BodyText"/>
        <w:spacing w:before="73"/>
        <w:ind w:left="143"/>
      </w:pPr>
      <w:r>
        <w:rPr>
          <w:color w:val="FFFFFF"/>
          <w:spacing w:val="-1"/>
          <w:w w:val="105"/>
        </w:rPr>
        <w:t>Types</w:t>
      </w:r>
      <w:r>
        <w:rPr>
          <w:color w:val="FFFFFF"/>
          <w:spacing w:val="-14"/>
          <w:w w:val="105"/>
        </w:rPr>
        <w:t xml:space="preserve"> </w:t>
      </w:r>
      <w:r>
        <w:rPr>
          <w:color w:val="FFFFFF"/>
          <w:spacing w:val="-1"/>
          <w:w w:val="105"/>
        </w:rPr>
        <w:t>of</w:t>
      </w:r>
      <w:r>
        <w:rPr>
          <w:color w:val="FFFFFF"/>
          <w:spacing w:val="-14"/>
          <w:w w:val="105"/>
        </w:rPr>
        <w:t xml:space="preserve"> </w:t>
      </w:r>
      <w:r>
        <w:rPr>
          <w:color w:val="FFFFFF"/>
          <w:spacing w:val="-1"/>
          <w:w w:val="105"/>
        </w:rPr>
        <w:t>tools</w:t>
      </w:r>
    </w:p>
    <w:tbl>
      <w:tblPr>
        <w:tblStyle w:val="TableGrid"/>
        <w:tblW w:w="0" w:type="auto"/>
        <w:tblLook w:val="04A0"/>
      </w:tblPr>
      <w:tblGrid>
        <w:gridCol w:w="4621"/>
        <w:gridCol w:w="4622"/>
      </w:tblGrid>
      <w:tr w:rsidR="005B2EE2" w:rsidTr="005B2EE2">
        <w:tc>
          <w:tcPr>
            <w:tcW w:w="4621" w:type="dxa"/>
          </w:tcPr>
          <w:p w:rsidR="005B2EE2" w:rsidRDefault="005B2EE2" w:rsidP="005B2EE2">
            <w:pPr>
              <w:pStyle w:val="ListParagraph"/>
              <w:numPr>
                <w:ilvl w:val="0"/>
                <w:numId w:val="7"/>
              </w:numPr>
              <w:jc w:val="both"/>
            </w:pPr>
            <w:r w:rsidRPr="005B2EE2">
              <w:rPr>
                <w:color w:val="FF0000"/>
              </w:rPr>
              <w:t>ISIS-Draw</w:t>
            </w:r>
          </w:p>
        </w:tc>
        <w:tc>
          <w:tcPr>
            <w:tcW w:w="4622" w:type="dxa"/>
          </w:tcPr>
          <w:p w:rsidR="005B2EE2" w:rsidRDefault="005B2EE2" w:rsidP="00014907">
            <w:pPr>
              <w:jc w:val="both"/>
            </w:pPr>
            <w:r>
              <w:t>Chemical</w:t>
            </w:r>
            <w:r>
              <w:rPr>
                <w:spacing w:val="3"/>
              </w:rPr>
              <w:t xml:space="preserve"> </w:t>
            </w:r>
            <w:r>
              <w:t>structure</w:t>
            </w:r>
            <w:r>
              <w:rPr>
                <w:spacing w:val="3"/>
              </w:rPr>
              <w:t xml:space="preserve"> </w:t>
            </w:r>
            <w:r>
              <w:t>drawing</w:t>
            </w:r>
            <w:r>
              <w:rPr>
                <w:spacing w:val="3"/>
              </w:rPr>
              <w:t xml:space="preserve"> </w:t>
            </w:r>
            <w:r>
              <w:t>program</w:t>
            </w:r>
            <w:r>
              <w:rPr>
                <w:spacing w:val="4"/>
              </w:rPr>
              <w:t xml:space="preserve"> </w:t>
            </w:r>
            <w:r>
              <w:t>for</w:t>
            </w:r>
            <w:r>
              <w:rPr>
                <w:spacing w:val="4"/>
              </w:rPr>
              <w:t xml:space="preserve"> </w:t>
            </w:r>
            <w:r>
              <w:t>windows,</w:t>
            </w:r>
            <w:r>
              <w:rPr>
                <w:spacing w:val="-55"/>
              </w:rPr>
              <w:t xml:space="preserve"> </w:t>
            </w:r>
            <w:r>
              <w:t>published</w:t>
            </w:r>
            <w:r>
              <w:rPr>
                <w:spacing w:val="-4"/>
              </w:rPr>
              <w:t xml:space="preserve"> </w:t>
            </w:r>
            <w:r>
              <w:t>by</w:t>
            </w:r>
            <w:r>
              <w:rPr>
                <w:spacing w:val="-3"/>
              </w:rPr>
              <w:t xml:space="preserve"> </w:t>
            </w:r>
            <w:r>
              <w:t>MDL</w:t>
            </w:r>
            <w:r>
              <w:rPr>
                <w:spacing w:val="-1"/>
              </w:rPr>
              <w:t xml:space="preserve"> </w:t>
            </w:r>
            <w:r>
              <w:t>information</w:t>
            </w:r>
            <w:r>
              <w:rPr>
                <w:spacing w:val="-3"/>
              </w:rPr>
              <w:t xml:space="preserve"> </w:t>
            </w:r>
            <w:r>
              <w:t>system</w:t>
            </w:r>
          </w:p>
        </w:tc>
      </w:tr>
      <w:tr w:rsidR="005B2EE2" w:rsidTr="005B2EE2">
        <w:tc>
          <w:tcPr>
            <w:tcW w:w="4621" w:type="dxa"/>
          </w:tcPr>
          <w:p w:rsidR="005B2EE2" w:rsidRDefault="005B2EE2" w:rsidP="005B2EE2">
            <w:pPr>
              <w:pStyle w:val="ListParagraph"/>
              <w:numPr>
                <w:ilvl w:val="0"/>
                <w:numId w:val="7"/>
              </w:numPr>
              <w:jc w:val="both"/>
            </w:pPr>
            <w:r w:rsidRPr="005B2EE2">
              <w:rPr>
                <w:color w:val="FF0000"/>
                <w:w w:val="95"/>
              </w:rPr>
              <w:t>Chem.</w:t>
            </w:r>
            <w:r w:rsidRPr="005B2EE2">
              <w:rPr>
                <w:color w:val="FF0000"/>
                <w:spacing w:val="9"/>
                <w:w w:val="95"/>
              </w:rPr>
              <w:t xml:space="preserve"> </w:t>
            </w:r>
            <w:r w:rsidRPr="005B2EE2">
              <w:rPr>
                <w:color w:val="FF0000"/>
                <w:w w:val="95"/>
              </w:rPr>
              <w:t>Draw</w:t>
            </w:r>
          </w:p>
        </w:tc>
        <w:tc>
          <w:tcPr>
            <w:tcW w:w="4622" w:type="dxa"/>
          </w:tcPr>
          <w:p w:rsidR="005B2EE2" w:rsidRDefault="005B2EE2" w:rsidP="00014907">
            <w:pPr>
              <w:jc w:val="both"/>
            </w:pPr>
            <w:r>
              <w:t>Molecular</w:t>
            </w:r>
            <w:r>
              <w:rPr>
                <w:spacing w:val="4"/>
              </w:rPr>
              <w:t xml:space="preserve"> </w:t>
            </w:r>
            <w:r>
              <w:t>editor</w:t>
            </w:r>
            <w:r>
              <w:rPr>
                <w:spacing w:val="4"/>
              </w:rPr>
              <w:t xml:space="preserve"> </w:t>
            </w:r>
            <w:r>
              <w:t>developed</w:t>
            </w:r>
            <w:r>
              <w:rPr>
                <w:spacing w:val="5"/>
              </w:rPr>
              <w:t xml:space="preserve"> </w:t>
            </w:r>
            <w:r>
              <w:t>by</w:t>
            </w:r>
            <w:r>
              <w:rPr>
                <w:spacing w:val="3"/>
              </w:rPr>
              <w:t xml:space="preserve"> </w:t>
            </w:r>
            <w:r>
              <w:t>cheminformatics</w:t>
            </w:r>
            <w:r>
              <w:rPr>
                <w:spacing w:val="5"/>
              </w:rPr>
              <w:t xml:space="preserve"> </w:t>
            </w:r>
            <w:r>
              <w:t>company</w:t>
            </w:r>
            <w:r>
              <w:rPr>
                <w:spacing w:val="-56"/>
              </w:rPr>
              <w:t xml:space="preserve"> </w:t>
            </w:r>
            <w:r>
              <w:rPr>
                <w:w w:val="105"/>
              </w:rPr>
              <w:t>Cambridge</w:t>
            </w:r>
            <w:r>
              <w:rPr>
                <w:spacing w:val="-9"/>
                <w:w w:val="105"/>
              </w:rPr>
              <w:t xml:space="preserve"> </w:t>
            </w:r>
            <w:r>
              <w:rPr>
                <w:w w:val="105"/>
              </w:rPr>
              <w:t>Soft</w:t>
            </w:r>
          </w:p>
        </w:tc>
      </w:tr>
      <w:tr w:rsidR="005B2EE2" w:rsidTr="005B2EE2">
        <w:tc>
          <w:tcPr>
            <w:tcW w:w="4621" w:type="dxa"/>
          </w:tcPr>
          <w:p w:rsidR="005B2EE2" w:rsidRDefault="005B2EE2" w:rsidP="005B2EE2">
            <w:pPr>
              <w:pStyle w:val="ListParagraph"/>
              <w:numPr>
                <w:ilvl w:val="0"/>
                <w:numId w:val="7"/>
              </w:numPr>
              <w:jc w:val="both"/>
            </w:pPr>
            <w:r w:rsidRPr="005B2EE2">
              <w:rPr>
                <w:color w:val="FF0000"/>
                <w:spacing w:val="-1"/>
              </w:rPr>
              <w:t>Chem3D</w:t>
            </w:r>
            <w:r w:rsidRPr="005B2EE2">
              <w:rPr>
                <w:color w:val="FF0000"/>
                <w:spacing w:val="-13"/>
              </w:rPr>
              <w:t xml:space="preserve"> </w:t>
            </w:r>
            <w:r w:rsidRPr="005B2EE2">
              <w:rPr>
                <w:color w:val="FF0000"/>
              </w:rPr>
              <w:t>&amp;</w:t>
            </w:r>
            <w:r w:rsidRPr="005B2EE2">
              <w:rPr>
                <w:color w:val="FF0000"/>
                <w:spacing w:val="-14"/>
              </w:rPr>
              <w:t xml:space="preserve"> </w:t>
            </w:r>
            <w:r w:rsidRPr="005B2EE2">
              <w:rPr>
                <w:color w:val="FF0000"/>
              </w:rPr>
              <w:t>Chem.</w:t>
            </w:r>
            <w:r w:rsidRPr="005B2EE2">
              <w:rPr>
                <w:color w:val="FF0000"/>
                <w:spacing w:val="-15"/>
              </w:rPr>
              <w:t xml:space="preserve"> </w:t>
            </w:r>
            <w:r w:rsidRPr="005B2EE2">
              <w:rPr>
                <w:color w:val="FF0000"/>
              </w:rPr>
              <w:t>finder</w:t>
            </w:r>
          </w:p>
        </w:tc>
        <w:tc>
          <w:tcPr>
            <w:tcW w:w="4622" w:type="dxa"/>
          </w:tcPr>
          <w:p w:rsidR="005B2EE2" w:rsidRDefault="005B2EE2" w:rsidP="00014907">
            <w:pPr>
              <w:jc w:val="both"/>
            </w:pPr>
            <w:r>
              <w:t>Part</w:t>
            </w:r>
            <w:r>
              <w:rPr>
                <w:spacing w:val="9"/>
              </w:rPr>
              <w:t xml:space="preserve"> </w:t>
            </w:r>
            <w:r>
              <w:t>of</w:t>
            </w:r>
            <w:r>
              <w:rPr>
                <w:spacing w:val="10"/>
              </w:rPr>
              <w:t xml:space="preserve"> </w:t>
            </w:r>
            <w:r>
              <w:t>chem.</w:t>
            </w:r>
            <w:r>
              <w:rPr>
                <w:spacing w:val="7"/>
              </w:rPr>
              <w:t xml:space="preserve"> </w:t>
            </w:r>
            <w:r>
              <w:t>office</w:t>
            </w:r>
            <w:r>
              <w:rPr>
                <w:spacing w:val="8"/>
              </w:rPr>
              <w:t xml:space="preserve"> </w:t>
            </w:r>
            <w:r>
              <w:t>suits</w:t>
            </w:r>
            <w:r>
              <w:rPr>
                <w:spacing w:val="8"/>
              </w:rPr>
              <w:t xml:space="preserve"> </w:t>
            </w:r>
            <w:r>
              <w:t>program</w:t>
            </w:r>
            <w:r>
              <w:rPr>
                <w:spacing w:val="9"/>
              </w:rPr>
              <w:t xml:space="preserve"> </w:t>
            </w:r>
            <w:r>
              <w:t>available</w:t>
            </w:r>
            <w:r>
              <w:rPr>
                <w:spacing w:val="7"/>
              </w:rPr>
              <w:t xml:space="preserve"> </w:t>
            </w:r>
            <w:r>
              <w:t>for</w:t>
            </w:r>
            <w:r>
              <w:rPr>
                <w:spacing w:val="9"/>
              </w:rPr>
              <w:t xml:space="preserve"> </w:t>
            </w:r>
            <w:r>
              <w:t>Macintosh</w:t>
            </w:r>
            <w:r>
              <w:rPr>
                <w:spacing w:val="-56"/>
              </w:rPr>
              <w:t xml:space="preserve"> </w:t>
            </w:r>
            <w:r>
              <w:rPr>
                <w:w w:val="105"/>
              </w:rPr>
              <w:t>and</w:t>
            </w:r>
            <w:r>
              <w:rPr>
                <w:spacing w:val="-9"/>
                <w:w w:val="105"/>
              </w:rPr>
              <w:t xml:space="preserve"> </w:t>
            </w:r>
            <w:r>
              <w:rPr>
                <w:w w:val="105"/>
              </w:rPr>
              <w:t>Microsoft</w:t>
            </w:r>
            <w:r>
              <w:rPr>
                <w:spacing w:val="-7"/>
                <w:w w:val="105"/>
              </w:rPr>
              <w:t xml:space="preserve"> </w:t>
            </w:r>
            <w:r>
              <w:rPr>
                <w:w w:val="105"/>
              </w:rPr>
              <w:t>Windows</w:t>
            </w:r>
          </w:p>
        </w:tc>
      </w:tr>
      <w:tr w:rsidR="005B2EE2" w:rsidTr="005B2EE2">
        <w:tc>
          <w:tcPr>
            <w:tcW w:w="4621" w:type="dxa"/>
          </w:tcPr>
          <w:p w:rsidR="005B2EE2" w:rsidRDefault="005B2EE2" w:rsidP="005B2EE2">
            <w:pPr>
              <w:pStyle w:val="ListParagraph"/>
              <w:numPr>
                <w:ilvl w:val="0"/>
                <w:numId w:val="7"/>
              </w:numPr>
              <w:jc w:val="both"/>
            </w:pPr>
            <w:r w:rsidRPr="005B2EE2">
              <w:rPr>
                <w:color w:val="FF0000"/>
              </w:rPr>
              <w:t>Chem.</w:t>
            </w:r>
            <w:r w:rsidRPr="005B2EE2">
              <w:rPr>
                <w:color w:val="FF0000"/>
                <w:spacing w:val="-15"/>
              </w:rPr>
              <w:t xml:space="preserve"> </w:t>
            </w:r>
            <w:r w:rsidRPr="005B2EE2">
              <w:rPr>
                <w:color w:val="FF0000"/>
              </w:rPr>
              <w:t>Window</w:t>
            </w:r>
          </w:p>
        </w:tc>
        <w:tc>
          <w:tcPr>
            <w:tcW w:w="4622" w:type="dxa"/>
          </w:tcPr>
          <w:p w:rsidR="005B2EE2" w:rsidRDefault="005B2EE2" w:rsidP="00014907">
            <w:pPr>
              <w:jc w:val="both"/>
            </w:pPr>
            <w:r>
              <w:t>Chemical structure drawing program with several</w:t>
            </w:r>
            <w:r>
              <w:rPr>
                <w:spacing w:val="1"/>
              </w:rPr>
              <w:t xml:space="preserve"> </w:t>
            </w:r>
            <w:r>
              <w:t>templates.</w:t>
            </w:r>
            <w:r>
              <w:rPr>
                <w:spacing w:val="-1"/>
              </w:rPr>
              <w:t xml:space="preserve"> </w:t>
            </w:r>
            <w:r>
              <w:t>The</w:t>
            </w:r>
            <w:r>
              <w:rPr>
                <w:spacing w:val="2"/>
              </w:rPr>
              <w:t xml:space="preserve"> </w:t>
            </w:r>
            <w:r>
              <w:t>template</w:t>
            </w:r>
            <w:r>
              <w:rPr>
                <w:spacing w:val="1"/>
              </w:rPr>
              <w:t xml:space="preserve"> </w:t>
            </w:r>
            <w:r>
              <w:t>is</w:t>
            </w:r>
            <w:r>
              <w:rPr>
                <w:spacing w:val="2"/>
              </w:rPr>
              <w:t xml:space="preserve"> </w:t>
            </w:r>
            <w:r>
              <w:t>created by customer</w:t>
            </w:r>
            <w:r>
              <w:rPr>
                <w:spacing w:val="1"/>
              </w:rPr>
              <w:t xml:space="preserve"> </w:t>
            </w:r>
            <w:r>
              <w:t>saved in</w:t>
            </w:r>
            <w:r>
              <w:rPr>
                <w:spacing w:val="-56"/>
              </w:rPr>
              <w:t xml:space="preserve"> </w:t>
            </w:r>
            <w:r>
              <w:t>template</w:t>
            </w:r>
            <w:r>
              <w:rPr>
                <w:spacing w:val="-7"/>
              </w:rPr>
              <w:t xml:space="preserve"> </w:t>
            </w:r>
            <w:r>
              <w:t>folder</w:t>
            </w:r>
            <w:r>
              <w:rPr>
                <w:spacing w:val="-5"/>
              </w:rPr>
              <w:t xml:space="preserve"> </w:t>
            </w:r>
            <w:r>
              <w:t>&amp;</w:t>
            </w:r>
            <w:r>
              <w:rPr>
                <w:spacing w:val="-5"/>
              </w:rPr>
              <w:t xml:space="preserve"> </w:t>
            </w:r>
            <w:r>
              <w:t>opened</w:t>
            </w:r>
            <w:r>
              <w:rPr>
                <w:spacing w:val="-5"/>
              </w:rPr>
              <w:t xml:space="preserve"> </w:t>
            </w:r>
            <w:r>
              <w:t>in</w:t>
            </w:r>
            <w:r>
              <w:rPr>
                <w:spacing w:val="-5"/>
              </w:rPr>
              <w:t xml:space="preserve"> </w:t>
            </w:r>
            <w:r>
              <w:t>preference</w:t>
            </w:r>
            <w:r>
              <w:rPr>
                <w:spacing w:val="-5"/>
              </w:rPr>
              <w:t xml:space="preserve"> </w:t>
            </w:r>
            <w:r>
              <w:t>Dialogue</w:t>
            </w:r>
            <w:r>
              <w:rPr>
                <w:spacing w:val="-5"/>
              </w:rPr>
              <w:t xml:space="preserve"> </w:t>
            </w:r>
            <w:r>
              <w:t>box.</w:t>
            </w:r>
          </w:p>
        </w:tc>
      </w:tr>
      <w:tr w:rsidR="005B2EE2" w:rsidTr="005B2EE2">
        <w:tc>
          <w:tcPr>
            <w:tcW w:w="4621" w:type="dxa"/>
          </w:tcPr>
          <w:p w:rsidR="005B2EE2" w:rsidRDefault="005B2EE2" w:rsidP="005B2EE2">
            <w:pPr>
              <w:pStyle w:val="ListParagraph"/>
              <w:numPr>
                <w:ilvl w:val="0"/>
                <w:numId w:val="7"/>
              </w:numPr>
              <w:jc w:val="both"/>
            </w:pPr>
            <w:r w:rsidRPr="005B2EE2">
              <w:rPr>
                <w:color w:val="FF0000"/>
                <w:spacing w:val="-1"/>
              </w:rPr>
              <w:t>Chem.</w:t>
            </w:r>
            <w:r w:rsidRPr="005B2EE2">
              <w:rPr>
                <w:color w:val="FF0000"/>
                <w:spacing w:val="-12"/>
              </w:rPr>
              <w:t xml:space="preserve"> </w:t>
            </w:r>
            <w:r w:rsidRPr="005B2EE2">
              <w:rPr>
                <w:color w:val="FF0000"/>
                <w:spacing w:val="-1"/>
              </w:rPr>
              <w:t>Sketch</w:t>
            </w:r>
          </w:p>
        </w:tc>
        <w:tc>
          <w:tcPr>
            <w:tcW w:w="4622" w:type="dxa"/>
          </w:tcPr>
          <w:p w:rsidR="005B2EE2" w:rsidRDefault="005B2EE2" w:rsidP="00014907">
            <w:pPr>
              <w:jc w:val="both"/>
            </w:pPr>
            <w:r>
              <w:t>More</w:t>
            </w:r>
            <w:r>
              <w:rPr>
                <w:spacing w:val="3"/>
              </w:rPr>
              <w:t xml:space="preserve"> </w:t>
            </w:r>
            <w:r>
              <w:t>powerful,</w:t>
            </w:r>
            <w:r>
              <w:rPr>
                <w:spacing w:val="6"/>
              </w:rPr>
              <w:t xml:space="preserve"> </w:t>
            </w:r>
            <w:r>
              <w:t>user</w:t>
            </w:r>
            <w:r>
              <w:rPr>
                <w:spacing w:val="5"/>
              </w:rPr>
              <w:t xml:space="preserve"> </w:t>
            </w:r>
            <w:r>
              <w:t>friendly</w:t>
            </w:r>
            <w:r>
              <w:rPr>
                <w:spacing w:val="4"/>
              </w:rPr>
              <w:t xml:space="preserve"> </w:t>
            </w:r>
            <w:r>
              <w:t>tools</w:t>
            </w:r>
            <w:r>
              <w:rPr>
                <w:spacing w:val="5"/>
              </w:rPr>
              <w:t xml:space="preserve"> </w:t>
            </w:r>
            <w:r>
              <w:t>for</w:t>
            </w:r>
            <w:r>
              <w:rPr>
                <w:spacing w:val="5"/>
              </w:rPr>
              <w:t xml:space="preserve"> </w:t>
            </w:r>
            <w:r>
              <w:t>drawing</w:t>
            </w:r>
            <w:r>
              <w:rPr>
                <w:spacing w:val="3"/>
              </w:rPr>
              <w:t xml:space="preserve"> </w:t>
            </w:r>
            <w:r>
              <w:t>structure</w:t>
            </w:r>
          </w:p>
        </w:tc>
      </w:tr>
      <w:tr w:rsidR="005B2EE2" w:rsidTr="005B2EE2">
        <w:tc>
          <w:tcPr>
            <w:tcW w:w="4621" w:type="dxa"/>
          </w:tcPr>
          <w:p w:rsidR="005B2EE2" w:rsidRDefault="005B2EE2" w:rsidP="005B2EE2">
            <w:pPr>
              <w:pStyle w:val="ListParagraph"/>
              <w:numPr>
                <w:ilvl w:val="0"/>
                <w:numId w:val="7"/>
              </w:numPr>
              <w:jc w:val="both"/>
            </w:pPr>
            <w:r w:rsidRPr="005B2EE2">
              <w:rPr>
                <w:color w:val="FF0000"/>
                <w:w w:val="95"/>
              </w:rPr>
              <w:t>Chem.</w:t>
            </w:r>
            <w:r w:rsidRPr="005B2EE2">
              <w:rPr>
                <w:color w:val="FF0000"/>
                <w:spacing w:val="2"/>
                <w:w w:val="95"/>
              </w:rPr>
              <w:t xml:space="preserve"> </w:t>
            </w:r>
            <w:r w:rsidRPr="005B2EE2">
              <w:rPr>
                <w:color w:val="FF0000"/>
                <w:w w:val="95"/>
              </w:rPr>
              <w:t>Reader</w:t>
            </w:r>
          </w:p>
        </w:tc>
        <w:tc>
          <w:tcPr>
            <w:tcW w:w="4622" w:type="dxa"/>
          </w:tcPr>
          <w:p w:rsidR="005B2EE2" w:rsidRDefault="005B2EE2" w:rsidP="00014907">
            <w:pPr>
              <w:jc w:val="both"/>
            </w:pPr>
            <w:r>
              <w:t>Software</w:t>
            </w:r>
            <w:r>
              <w:rPr>
                <w:spacing w:val="8"/>
              </w:rPr>
              <w:t xml:space="preserve"> </w:t>
            </w:r>
            <w:r>
              <w:t>developer</w:t>
            </w:r>
            <w:r>
              <w:rPr>
                <w:spacing w:val="9"/>
              </w:rPr>
              <w:t xml:space="preserve"> </w:t>
            </w:r>
            <w:r>
              <w:t>toolkit</w:t>
            </w:r>
            <w:r>
              <w:rPr>
                <w:spacing w:val="10"/>
              </w:rPr>
              <w:t xml:space="preserve"> </w:t>
            </w:r>
            <w:r>
              <w:t>for</w:t>
            </w:r>
            <w:r>
              <w:rPr>
                <w:spacing w:val="8"/>
              </w:rPr>
              <w:t xml:space="preserve"> </w:t>
            </w:r>
            <w:r>
              <w:t>translating</w:t>
            </w:r>
            <w:r>
              <w:rPr>
                <w:spacing w:val="9"/>
              </w:rPr>
              <w:t xml:space="preserve"> </w:t>
            </w:r>
            <w:r>
              <w:t>digital</w:t>
            </w:r>
            <w:r>
              <w:rPr>
                <w:spacing w:val="8"/>
              </w:rPr>
              <w:t xml:space="preserve"> </w:t>
            </w:r>
            <w:r>
              <w:t>raster</w:t>
            </w:r>
            <w:r>
              <w:rPr>
                <w:spacing w:val="-55"/>
              </w:rPr>
              <w:t xml:space="preserve"> </w:t>
            </w:r>
            <w:r>
              <w:rPr>
                <w:w w:val="105"/>
              </w:rPr>
              <w:t>images</w:t>
            </w:r>
            <w:r>
              <w:rPr>
                <w:spacing w:val="-12"/>
                <w:w w:val="105"/>
              </w:rPr>
              <w:t xml:space="preserve"> </w:t>
            </w:r>
            <w:r>
              <w:rPr>
                <w:w w:val="105"/>
              </w:rPr>
              <w:t>of</w:t>
            </w:r>
            <w:r>
              <w:rPr>
                <w:spacing w:val="-11"/>
                <w:w w:val="105"/>
              </w:rPr>
              <w:t xml:space="preserve"> </w:t>
            </w:r>
            <w:r>
              <w:rPr>
                <w:w w:val="105"/>
              </w:rPr>
              <w:t>chemical</w:t>
            </w:r>
            <w:r>
              <w:rPr>
                <w:spacing w:val="-11"/>
                <w:w w:val="105"/>
              </w:rPr>
              <w:t xml:space="preserve"> </w:t>
            </w:r>
            <w:r>
              <w:rPr>
                <w:w w:val="105"/>
              </w:rPr>
              <w:t>structure</w:t>
            </w:r>
            <w:r>
              <w:rPr>
                <w:spacing w:val="-12"/>
                <w:w w:val="105"/>
              </w:rPr>
              <w:t xml:space="preserve"> </w:t>
            </w:r>
            <w:r>
              <w:rPr>
                <w:w w:val="105"/>
              </w:rPr>
              <w:t>into</w:t>
            </w:r>
            <w:r>
              <w:rPr>
                <w:spacing w:val="-12"/>
                <w:w w:val="105"/>
              </w:rPr>
              <w:t xml:space="preserve"> </w:t>
            </w:r>
            <w:r>
              <w:rPr>
                <w:w w:val="105"/>
              </w:rPr>
              <w:t>standard</w:t>
            </w:r>
          </w:p>
        </w:tc>
      </w:tr>
      <w:tr w:rsidR="005B2EE2" w:rsidTr="005B2EE2">
        <w:tc>
          <w:tcPr>
            <w:tcW w:w="4621" w:type="dxa"/>
          </w:tcPr>
          <w:p w:rsidR="005B2EE2" w:rsidRPr="005B2EE2" w:rsidRDefault="005B2EE2" w:rsidP="005B2EE2">
            <w:pPr>
              <w:pStyle w:val="ListParagraph"/>
              <w:numPr>
                <w:ilvl w:val="0"/>
                <w:numId w:val="7"/>
              </w:numPr>
              <w:jc w:val="both"/>
              <w:rPr>
                <w:color w:val="FF0000"/>
                <w:w w:val="95"/>
              </w:rPr>
            </w:pPr>
            <w:r w:rsidRPr="005B2EE2">
              <w:rPr>
                <w:color w:val="FF0000"/>
              </w:rPr>
              <w:t>Log</w:t>
            </w:r>
            <w:r w:rsidRPr="005B2EE2">
              <w:rPr>
                <w:color w:val="FF0000"/>
                <w:spacing w:val="-13"/>
              </w:rPr>
              <w:t xml:space="preserve"> </w:t>
            </w:r>
            <w:r w:rsidRPr="005B2EE2">
              <w:rPr>
                <w:color w:val="FF0000"/>
              </w:rPr>
              <w:t>Chem.</w:t>
            </w:r>
          </w:p>
        </w:tc>
        <w:tc>
          <w:tcPr>
            <w:tcW w:w="4622" w:type="dxa"/>
          </w:tcPr>
          <w:p w:rsidR="005B2EE2" w:rsidRDefault="005B2EE2" w:rsidP="00014907">
            <w:pPr>
              <w:jc w:val="both"/>
            </w:pPr>
            <w:r>
              <w:t>Inductive</w:t>
            </w:r>
            <w:r>
              <w:rPr>
                <w:spacing w:val="5"/>
              </w:rPr>
              <w:t xml:space="preserve"> </w:t>
            </w:r>
            <w:r>
              <w:t>Logical</w:t>
            </w:r>
            <w:r>
              <w:rPr>
                <w:spacing w:val="5"/>
              </w:rPr>
              <w:t xml:space="preserve"> </w:t>
            </w:r>
            <w:r>
              <w:t>Program</w:t>
            </w:r>
            <w:r>
              <w:rPr>
                <w:spacing w:val="6"/>
              </w:rPr>
              <w:t xml:space="preserve"> </w:t>
            </w:r>
            <w:r>
              <w:t>based</w:t>
            </w:r>
            <w:r>
              <w:rPr>
                <w:spacing w:val="4"/>
              </w:rPr>
              <w:t xml:space="preserve"> </w:t>
            </w:r>
            <w:r>
              <w:t>tools</w:t>
            </w:r>
            <w:r>
              <w:rPr>
                <w:spacing w:val="7"/>
              </w:rPr>
              <w:t xml:space="preserve"> </w:t>
            </w:r>
            <w:r>
              <w:t>for</w:t>
            </w:r>
            <w:r>
              <w:rPr>
                <w:spacing w:val="5"/>
              </w:rPr>
              <w:t xml:space="preserve"> </w:t>
            </w:r>
            <w:r>
              <w:t>discriminative</w:t>
            </w:r>
            <w:r>
              <w:rPr>
                <w:spacing w:val="-56"/>
              </w:rPr>
              <w:t xml:space="preserve"> </w:t>
            </w:r>
            <w:r>
              <w:rPr>
                <w:w w:val="105"/>
              </w:rPr>
              <w:t>interactive</w:t>
            </w:r>
            <w:r>
              <w:rPr>
                <w:spacing w:val="-11"/>
                <w:w w:val="105"/>
              </w:rPr>
              <w:t xml:space="preserve"> </w:t>
            </w:r>
            <w:r>
              <w:rPr>
                <w:w w:val="105"/>
              </w:rPr>
              <w:t>mining</w:t>
            </w:r>
            <w:r>
              <w:rPr>
                <w:spacing w:val="-11"/>
                <w:w w:val="105"/>
              </w:rPr>
              <w:t xml:space="preserve"> </w:t>
            </w:r>
            <w:r>
              <w:rPr>
                <w:w w:val="105"/>
              </w:rPr>
              <w:t>of</w:t>
            </w:r>
            <w:r>
              <w:rPr>
                <w:spacing w:val="-9"/>
                <w:w w:val="105"/>
              </w:rPr>
              <w:t xml:space="preserve"> </w:t>
            </w:r>
            <w:r>
              <w:rPr>
                <w:w w:val="105"/>
              </w:rPr>
              <w:t>chemical</w:t>
            </w:r>
            <w:r>
              <w:rPr>
                <w:spacing w:val="-11"/>
                <w:w w:val="105"/>
              </w:rPr>
              <w:t xml:space="preserve"> </w:t>
            </w:r>
            <w:r>
              <w:rPr>
                <w:w w:val="105"/>
              </w:rPr>
              <w:t>fragments</w:t>
            </w:r>
          </w:p>
        </w:tc>
      </w:tr>
      <w:tr w:rsidR="005B2EE2" w:rsidTr="005B2EE2">
        <w:tc>
          <w:tcPr>
            <w:tcW w:w="4621" w:type="dxa"/>
          </w:tcPr>
          <w:p w:rsidR="005B2EE2" w:rsidRPr="005B2EE2" w:rsidRDefault="005B2EE2" w:rsidP="005B2EE2">
            <w:pPr>
              <w:pStyle w:val="ListParagraph"/>
              <w:numPr>
                <w:ilvl w:val="0"/>
                <w:numId w:val="7"/>
              </w:numPr>
              <w:jc w:val="both"/>
              <w:rPr>
                <w:color w:val="FF0000"/>
              </w:rPr>
            </w:pPr>
            <w:r w:rsidRPr="005B2EE2">
              <w:rPr>
                <w:color w:val="FF0000"/>
                <w:spacing w:val="-1"/>
              </w:rPr>
              <w:lastRenderedPageBreak/>
              <w:t>Pub</w:t>
            </w:r>
            <w:r w:rsidRPr="005B2EE2">
              <w:rPr>
                <w:color w:val="FF0000"/>
                <w:spacing w:val="-14"/>
              </w:rPr>
              <w:t xml:space="preserve"> </w:t>
            </w:r>
            <w:r w:rsidRPr="005B2EE2">
              <w:rPr>
                <w:color w:val="FF0000"/>
                <w:spacing w:val="-1"/>
              </w:rPr>
              <w:t>Chem.</w:t>
            </w:r>
          </w:p>
        </w:tc>
        <w:tc>
          <w:tcPr>
            <w:tcW w:w="4622" w:type="dxa"/>
          </w:tcPr>
          <w:p w:rsidR="005B2EE2" w:rsidRDefault="005B2EE2" w:rsidP="00014907">
            <w:pPr>
              <w:jc w:val="both"/>
            </w:pPr>
            <w:r>
              <w:t>Open repository for small molecule &amp; their experimental</w:t>
            </w:r>
            <w:r>
              <w:rPr>
                <w:spacing w:val="1"/>
              </w:rPr>
              <w:t xml:space="preserve"> </w:t>
            </w:r>
            <w:r>
              <w:t>biological</w:t>
            </w:r>
            <w:r>
              <w:rPr>
                <w:spacing w:val="-7"/>
              </w:rPr>
              <w:t xml:space="preserve"> </w:t>
            </w:r>
            <w:r>
              <w:t>activity.</w:t>
            </w:r>
            <w:r>
              <w:rPr>
                <w:spacing w:val="-8"/>
              </w:rPr>
              <w:t xml:space="preserve"> </w:t>
            </w:r>
            <w:r>
              <w:t>It</w:t>
            </w:r>
            <w:r>
              <w:rPr>
                <w:spacing w:val="-7"/>
              </w:rPr>
              <w:t xml:space="preserve"> </w:t>
            </w:r>
            <w:r>
              <w:t>integrates,</w:t>
            </w:r>
            <w:r>
              <w:rPr>
                <w:spacing w:val="-5"/>
              </w:rPr>
              <w:t xml:space="preserve"> </w:t>
            </w:r>
            <w:r>
              <w:t>provides</w:t>
            </w:r>
            <w:r>
              <w:rPr>
                <w:spacing w:val="-6"/>
              </w:rPr>
              <w:t xml:space="preserve"> </w:t>
            </w:r>
            <w:r>
              <w:t>search</w:t>
            </w:r>
            <w:r>
              <w:rPr>
                <w:spacing w:val="-7"/>
              </w:rPr>
              <w:t xml:space="preserve"> </w:t>
            </w:r>
            <w:r>
              <w:t>,retrieval,</w:t>
            </w:r>
            <w:r>
              <w:rPr>
                <w:spacing w:val="-55"/>
              </w:rPr>
              <w:t xml:space="preserve"> </w:t>
            </w:r>
            <w:r>
              <w:t>visualization, analysis, programmatic access tools in an</w:t>
            </w:r>
            <w:r>
              <w:rPr>
                <w:spacing w:val="1"/>
              </w:rPr>
              <w:t xml:space="preserve"> </w:t>
            </w:r>
            <w:r>
              <w:rPr>
                <w:w w:val="105"/>
              </w:rPr>
              <w:t>effort</w:t>
            </w:r>
            <w:r>
              <w:rPr>
                <w:spacing w:val="-10"/>
                <w:w w:val="105"/>
              </w:rPr>
              <w:t xml:space="preserve"> </w:t>
            </w:r>
            <w:r>
              <w:rPr>
                <w:w w:val="105"/>
              </w:rPr>
              <w:t>to</w:t>
            </w:r>
            <w:r>
              <w:rPr>
                <w:spacing w:val="-10"/>
                <w:w w:val="105"/>
              </w:rPr>
              <w:t xml:space="preserve"> </w:t>
            </w:r>
            <w:r>
              <w:rPr>
                <w:w w:val="105"/>
              </w:rPr>
              <w:t>maximize</w:t>
            </w:r>
            <w:r>
              <w:rPr>
                <w:spacing w:val="-10"/>
                <w:w w:val="105"/>
              </w:rPr>
              <w:t xml:space="preserve"> </w:t>
            </w:r>
            <w:r>
              <w:rPr>
                <w:w w:val="105"/>
              </w:rPr>
              <w:t>utility</w:t>
            </w:r>
            <w:r>
              <w:rPr>
                <w:spacing w:val="-12"/>
                <w:w w:val="105"/>
              </w:rPr>
              <w:t xml:space="preserve"> </w:t>
            </w:r>
            <w:r>
              <w:rPr>
                <w:w w:val="105"/>
              </w:rPr>
              <w:t>of</w:t>
            </w:r>
            <w:r>
              <w:rPr>
                <w:spacing w:val="-9"/>
                <w:w w:val="105"/>
              </w:rPr>
              <w:t xml:space="preserve"> </w:t>
            </w:r>
            <w:r>
              <w:rPr>
                <w:w w:val="105"/>
              </w:rPr>
              <w:t>contributed</w:t>
            </w:r>
            <w:r>
              <w:rPr>
                <w:spacing w:val="-11"/>
                <w:w w:val="105"/>
              </w:rPr>
              <w:t xml:space="preserve"> </w:t>
            </w:r>
            <w:r>
              <w:rPr>
                <w:w w:val="105"/>
              </w:rPr>
              <w:t>information</w:t>
            </w:r>
          </w:p>
        </w:tc>
      </w:tr>
    </w:tbl>
    <w:p w:rsidR="003E44DF" w:rsidRDefault="00EA6BD1" w:rsidP="00EA6BD1">
      <w:pPr>
        <w:jc w:val="both"/>
      </w:pPr>
      <w:r>
        <w:t xml:space="preserve"> </w:t>
      </w:r>
    </w:p>
    <w:p w:rsidR="002174B4" w:rsidRDefault="002174B4"/>
    <w:p w:rsidR="00605850" w:rsidRDefault="002174B4" w:rsidP="00F37F6C">
      <w:pPr>
        <w:jc w:val="both"/>
      </w:pPr>
      <w:r w:rsidRPr="002174B4">
        <w:rPr>
          <w:b/>
          <w:sz w:val="24"/>
        </w:rPr>
        <w:t>Conclusion</w:t>
      </w:r>
      <w:r>
        <w:t>: CDs had been known worldwide &amp; beneficial additive used in field of pharmaceuticals &amp; other industries</w:t>
      </w:r>
      <w:r w:rsidR="00212B47">
        <w:rPr>
          <w:vertAlign w:val="superscript"/>
        </w:rPr>
        <w:t>75,78,79</w:t>
      </w:r>
      <w:r>
        <w:t>. Numerous uses of CDs had been attributed to its proclivity of complexion with varied drug molecules resulting in the formation of c</w:t>
      </w:r>
      <w:r w:rsidR="0076360C">
        <w:t xml:space="preserve">orresponding inclusion complex </w:t>
      </w:r>
      <w:r w:rsidR="0076360C">
        <w:rPr>
          <w:vertAlign w:val="superscript"/>
        </w:rPr>
        <w:t>1,2,3,10</w:t>
      </w:r>
      <w:r>
        <w:t xml:space="preserve"> . CDs are also known for its profile as molecular chelating agents with great demand in the area of food, pharmaceuticals &amp; chromatographic techniques (entrenched &amp; also known worldw</w:t>
      </w:r>
      <w:r w:rsidR="0076360C">
        <w:t>ide for its toxicity modifier)</w:t>
      </w:r>
      <w:r w:rsidR="0076360C">
        <w:rPr>
          <w:vertAlign w:val="superscript"/>
        </w:rPr>
        <w:t>15,16,17,39,45</w:t>
      </w:r>
      <w:r>
        <w:t xml:space="preserve">. Single interaction between host-guest molecules is sufficient to change the physicochemical &amp; pharmaceutical properties of drug molecule in the CD network in the form of enhanced water stability of drug stabilization of drugs under different environmental circumstances Types </w:t>
      </w:r>
      <w:r w:rsidR="00B80D9F">
        <w:t xml:space="preserve">of tools Allied applications </w:t>
      </w:r>
      <w:r>
        <w:t>like light, heat &amp; oxidizing conditions, i.e. avoids the deterioration of drugs in these sources &amp; also red</w:t>
      </w:r>
      <w:r w:rsidR="00B80D9F">
        <w:t xml:space="preserve">uction in volatility of drugs </w:t>
      </w:r>
      <w:r w:rsidR="00B80D9F">
        <w:rPr>
          <w:vertAlign w:val="superscript"/>
        </w:rPr>
        <w:t>46,47,48,49</w:t>
      </w:r>
      <w:r>
        <w:t xml:space="preserve"> . One of the most important application of CD known from the different experiments carried out in human and animals, enhancing drug delivery of ma</w:t>
      </w:r>
      <w:r w:rsidR="00B80D9F">
        <w:t>jority of the formation</w:t>
      </w:r>
      <w:r w:rsidR="00B80D9F">
        <w:rPr>
          <w:vertAlign w:val="superscript"/>
        </w:rPr>
        <w:t>50,51,52,</w:t>
      </w:r>
      <w:r>
        <w:t xml:space="preserve"> . As compared to drug alone the field of cheminformatics helps to get computational data of the Inclusion complexes and allied use of cheminformatics tools made available by the molecular modeling and cheminformatics cluster with more users</w:t>
      </w:r>
      <w:r w:rsidR="00212B47">
        <w:rPr>
          <w:vertAlign w:val="superscript"/>
        </w:rPr>
        <w:t>74,76</w:t>
      </w:r>
      <w:r>
        <w:t>. Identifying &amp; understanding structural &amp; functional behavior of chemical host species (Cyclo</w:t>
      </w:r>
      <w:r w:rsidR="00B80D9F">
        <w:t>dextrin/ Inclusion complex)</w:t>
      </w:r>
      <w:r w:rsidR="00B80D9F">
        <w:rPr>
          <w:vertAlign w:val="superscript"/>
        </w:rPr>
        <w:t>53,54,63</w:t>
      </w:r>
      <w:r>
        <w:t xml:space="preserve"> are one of the challenging issues for medical researchers. Cheminformatics is an emerging field which is used for bett</w:t>
      </w:r>
      <w:r w:rsidR="00B80D9F">
        <w:t>er understanding of molecules</w:t>
      </w:r>
      <w:r w:rsidR="00B80D9F">
        <w:rPr>
          <w:vertAlign w:val="superscript"/>
        </w:rPr>
        <w:t>70,72</w:t>
      </w:r>
      <w:r w:rsidR="00B80D9F">
        <w:t>.</w:t>
      </w:r>
      <w:r>
        <w:t xml:space="preserve"> </w:t>
      </w:r>
      <w:r w:rsidR="00B80D9F">
        <w:t>G</w:t>
      </w:r>
      <w:r w:rsidR="007F0479">
        <w:t>iven</w:t>
      </w:r>
      <w:r>
        <w:t xml:space="preserve"> review primarily focuses on cheminformatics and application on drug discovery, issues of traditional discovery, which in turn helps chemists &amp; researchers for developing drugs without side effects. It seems essential for explicit inclusion of such concepts within modern information systems, indeed concepts plays significant role in cheminformatics system</w:t>
      </w:r>
      <w:r w:rsidR="00B80D9F">
        <w:rPr>
          <w:vertAlign w:val="superscript"/>
        </w:rPr>
        <w:t>65,66,69</w:t>
      </w:r>
      <w:r>
        <w:t>. Perhaps a combination of the relatively new philosophical interest in concepts in the information sciences and interest of researcher of science in chemical concepts, which finds fruitful utility in the field ch</w:t>
      </w:r>
      <w:r w:rsidR="00B80D9F">
        <w:t>eminformatics in the future</w:t>
      </w:r>
      <w:r w:rsidR="00B80D9F">
        <w:rPr>
          <w:vertAlign w:val="superscript"/>
        </w:rPr>
        <w:t>36,37,39,71</w:t>
      </w:r>
      <w:r w:rsidR="00B80D9F">
        <w:t>.</w:t>
      </w:r>
    </w:p>
    <w:p w:rsidR="00605850" w:rsidRDefault="00605850" w:rsidP="00F37F6C">
      <w:pPr>
        <w:jc w:val="both"/>
      </w:pPr>
    </w:p>
    <w:p w:rsidR="00605850" w:rsidRDefault="00605850" w:rsidP="00F37F6C">
      <w:pPr>
        <w:jc w:val="both"/>
      </w:pPr>
    </w:p>
    <w:p w:rsidR="00D654FA" w:rsidRPr="007F0479" w:rsidRDefault="00D220D3" w:rsidP="00F37F6C">
      <w:pPr>
        <w:jc w:val="both"/>
        <w:rPr>
          <w:b/>
        </w:rPr>
      </w:pPr>
      <w:r w:rsidRPr="007F0479">
        <w:rPr>
          <w:b/>
        </w:rPr>
        <w:t>References</w:t>
      </w:r>
      <w:r w:rsidR="007F0479" w:rsidRPr="007F0479">
        <w:rPr>
          <w:b/>
        </w:rPr>
        <w:t>:</w:t>
      </w:r>
      <w:r w:rsidR="00D654FA" w:rsidRPr="007F0479">
        <w:rPr>
          <w:b/>
        </w:rPr>
        <w:br w:type="page"/>
      </w:r>
    </w:p>
    <w:p w:rsidR="00D654FA" w:rsidRPr="0009184F" w:rsidRDefault="00D654FA" w:rsidP="00014907">
      <w:pPr>
        <w:jc w:val="both"/>
        <w:rPr>
          <w:b/>
        </w:rPr>
      </w:pPr>
    </w:p>
    <w:sectPr w:rsidR="00D654FA" w:rsidRPr="0009184F" w:rsidSect="00303D44">
      <w:headerReference w:type="default" r:id="rId60"/>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098F" w:rsidRDefault="00F6098F" w:rsidP="00825433">
      <w:pPr>
        <w:spacing w:after="0" w:line="240" w:lineRule="auto"/>
      </w:pPr>
      <w:r>
        <w:separator/>
      </w:r>
    </w:p>
  </w:endnote>
  <w:endnote w:type="continuationSeparator" w:id="1">
    <w:p w:rsidR="00F6098F" w:rsidRDefault="00F6098F" w:rsidP="008254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098F" w:rsidRDefault="00F6098F" w:rsidP="00825433">
      <w:pPr>
        <w:spacing w:after="0" w:line="240" w:lineRule="auto"/>
      </w:pPr>
      <w:r>
        <w:separator/>
      </w:r>
    </w:p>
  </w:footnote>
  <w:footnote w:type="continuationSeparator" w:id="1">
    <w:p w:rsidR="00F6098F" w:rsidRDefault="00F6098F" w:rsidP="0082543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5433" w:rsidRDefault="00825433">
    <w:pPr>
      <w:pStyle w:val="Header"/>
    </w:pPr>
  </w:p>
  <w:p w:rsidR="00825433" w:rsidRDefault="0082543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C576CC"/>
    <w:multiLevelType w:val="hybridMultilevel"/>
    <w:tmpl w:val="C19860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CF2676"/>
    <w:multiLevelType w:val="hybridMultilevel"/>
    <w:tmpl w:val="4746AF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A10BFE"/>
    <w:multiLevelType w:val="hybridMultilevel"/>
    <w:tmpl w:val="6C928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9A5514E"/>
    <w:multiLevelType w:val="hybridMultilevel"/>
    <w:tmpl w:val="DD7ED78A"/>
    <w:lvl w:ilvl="0" w:tplc="7696D474">
      <w:start w:val="1"/>
      <w:numFmt w:val="bullet"/>
      <w:lvlText w:val="•"/>
      <w:lvlJc w:val="left"/>
      <w:pPr>
        <w:tabs>
          <w:tab w:val="num" w:pos="720"/>
        </w:tabs>
        <w:ind w:left="720" w:hanging="360"/>
      </w:pPr>
      <w:rPr>
        <w:rFonts w:ascii="Times New Roman" w:hAnsi="Times New Roman" w:hint="default"/>
      </w:rPr>
    </w:lvl>
    <w:lvl w:ilvl="1" w:tplc="E9CE2E62" w:tentative="1">
      <w:start w:val="1"/>
      <w:numFmt w:val="bullet"/>
      <w:lvlText w:val="•"/>
      <w:lvlJc w:val="left"/>
      <w:pPr>
        <w:tabs>
          <w:tab w:val="num" w:pos="1440"/>
        </w:tabs>
        <w:ind w:left="1440" w:hanging="360"/>
      </w:pPr>
      <w:rPr>
        <w:rFonts w:ascii="Times New Roman" w:hAnsi="Times New Roman" w:hint="default"/>
      </w:rPr>
    </w:lvl>
    <w:lvl w:ilvl="2" w:tplc="BD364EE0" w:tentative="1">
      <w:start w:val="1"/>
      <w:numFmt w:val="bullet"/>
      <w:lvlText w:val="•"/>
      <w:lvlJc w:val="left"/>
      <w:pPr>
        <w:tabs>
          <w:tab w:val="num" w:pos="2160"/>
        </w:tabs>
        <w:ind w:left="2160" w:hanging="360"/>
      </w:pPr>
      <w:rPr>
        <w:rFonts w:ascii="Times New Roman" w:hAnsi="Times New Roman" w:hint="default"/>
      </w:rPr>
    </w:lvl>
    <w:lvl w:ilvl="3" w:tplc="4A6A3B7E" w:tentative="1">
      <w:start w:val="1"/>
      <w:numFmt w:val="bullet"/>
      <w:lvlText w:val="•"/>
      <w:lvlJc w:val="left"/>
      <w:pPr>
        <w:tabs>
          <w:tab w:val="num" w:pos="2880"/>
        </w:tabs>
        <w:ind w:left="2880" w:hanging="360"/>
      </w:pPr>
      <w:rPr>
        <w:rFonts w:ascii="Times New Roman" w:hAnsi="Times New Roman" w:hint="default"/>
      </w:rPr>
    </w:lvl>
    <w:lvl w:ilvl="4" w:tplc="BEBCBC06" w:tentative="1">
      <w:start w:val="1"/>
      <w:numFmt w:val="bullet"/>
      <w:lvlText w:val="•"/>
      <w:lvlJc w:val="left"/>
      <w:pPr>
        <w:tabs>
          <w:tab w:val="num" w:pos="3600"/>
        </w:tabs>
        <w:ind w:left="3600" w:hanging="360"/>
      </w:pPr>
      <w:rPr>
        <w:rFonts w:ascii="Times New Roman" w:hAnsi="Times New Roman" w:hint="default"/>
      </w:rPr>
    </w:lvl>
    <w:lvl w:ilvl="5" w:tplc="BDD2CB34" w:tentative="1">
      <w:start w:val="1"/>
      <w:numFmt w:val="bullet"/>
      <w:lvlText w:val="•"/>
      <w:lvlJc w:val="left"/>
      <w:pPr>
        <w:tabs>
          <w:tab w:val="num" w:pos="4320"/>
        </w:tabs>
        <w:ind w:left="4320" w:hanging="360"/>
      </w:pPr>
      <w:rPr>
        <w:rFonts w:ascii="Times New Roman" w:hAnsi="Times New Roman" w:hint="default"/>
      </w:rPr>
    </w:lvl>
    <w:lvl w:ilvl="6" w:tplc="133891A2" w:tentative="1">
      <w:start w:val="1"/>
      <w:numFmt w:val="bullet"/>
      <w:lvlText w:val="•"/>
      <w:lvlJc w:val="left"/>
      <w:pPr>
        <w:tabs>
          <w:tab w:val="num" w:pos="5040"/>
        </w:tabs>
        <w:ind w:left="5040" w:hanging="360"/>
      </w:pPr>
      <w:rPr>
        <w:rFonts w:ascii="Times New Roman" w:hAnsi="Times New Roman" w:hint="default"/>
      </w:rPr>
    </w:lvl>
    <w:lvl w:ilvl="7" w:tplc="7468407C" w:tentative="1">
      <w:start w:val="1"/>
      <w:numFmt w:val="bullet"/>
      <w:lvlText w:val="•"/>
      <w:lvlJc w:val="left"/>
      <w:pPr>
        <w:tabs>
          <w:tab w:val="num" w:pos="5760"/>
        </w:tabs>
        <w:ind w:left="5760" w:hanging="360"/>
      </w:pPr>
      <w:rPr>
        <w:rFonts w:ascii="Times New Roman" w:hAnsi="Times New Roman" w:hint="default"/>
      </w:rPr>
    </w:lvl>
    <w:lvl w:ilvl="8" w:tplc="3670D036" w:tentative="1">
      <w:start w:val="1"/>
      <w:numFmt w:val="bullet"/>
      <w:lvlText w:val="•"/>
      <w:lvlJc w:val="left"/>
      <w:pPr>
        <w:tabs>
          <w:tab w:val="num" w:pos="6480"/>
        </w:tabs>
        <w:ind w:left="6480" w:hanging="360"/>
      </w:pPr>
      <w:rPr>
        <w:rFonts w:ascii="Times New Roman" w:hAnsi="Times New Roman" w:hint="default"/>
      </w:rPr>
    </w:lvl>
  </w:abstractNum>
  <w:abstractNum w:abstractNumId="4">
    <w:nsid w:val="33174018"/>
    <w:multiLevelType w:val="hybridMultilevel"/>
    <w:tmpl w:val="4BC41D4E"/>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C0E12C4"/>
    <w:multiLevelType w:val="hybridMultilevel"/>
    <w:tmpl w:val="F228A4D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5C627256"/>
    <w:multiLevelType w:val="hybridMultilevel"/>
    <w:tmpl w:val="5D3AF0BA"/>
    <w:lvl w:ilvl="0" w:tplc="CF3CBCBC">
      <w:start w:val="1"/>
      <w:numFmt w:val="bullet"/>
      <w:lvlText w:val="•"/>
      <w:lvlJc w:val="left"/>
      <w:pPr>
        <w:tabs>
          <w:tab w:val="num" w:pos="720"/>
        </w:tabs>
        <w:ind w:left="720" w:hanging="360"/>
      </w:pPr>
      <w:rPr>
        <w:rFonts w:ascii="Times New Roman" w:hAnsi="Times New Roman" w:hint="default"/>
      </w:rPr>
    </w:lvl>
    <w:lvl w:ilvl="1" w:tplc="20164BE4" w:tentative="1">
      <w:start w:val="1"/>
      <w:numFmt w:val="bullet"/>
      <w:lvlText w:val="•"/>
      <w:lvlJc w:val="left"/>
      <w:pPr>
        <w:tabs>
          <w:tab w:val="num" w:pos="1440"/>
        </w:tabs>
        <w:ind w:left="1440" w:hanging="360"/>
      </w:pPr>
      <w:rPr>
        <w:rFonts w:ascii="Times New Roman" w:hAnsi="Times New Roman" w:hint="default"/>
      </w:rPr>
    </w:lvl>
    <w:lvl w:ilvl="2" w:tplc="CF021418" w:tentative="1">
      <w:start w:val="1"/>
      <w:numFmt w:val="bullet"/>
      <w:lvlText w:val="•"/>
      <w:lvlJc w:val="left"/>
      <w:pPr>
        <w:tabs>
          <w:tab w:val="num" w:pos="2160"/>
        </w:tabs>
        <w:ind w:left="2160" w:hanging="360"/>
      </w:pPr>
      <w:rPr>
        <w:rFonts w:ascii="Times New Roman" w:hAnsi="Times New Roman" w:hint="default"/>
      </w:rPr>
    </w:lvl>
    <w:lvl w:ilvl="3" w:tplc="6108CBE6" w:tentative="1">
      <w:start w:val="1"/>
      <w:numFmt w:val="bullet"/>
      <w:lvlText w:val="•"/>
      <w:lvlJc w:val="left"/>
      <w:pPr>
        <w:tabs>
          <w:tab w:val="num" w:pos="2880"/>
        </w:tabs>
        <w:ind w:left="2880" w:hanging="360"/>
      </w:pPr>
      <w:rPr>
        <w:rFonts w:ascii="Times New Roman" w:hAnsi="Times New Roman" w:hint="default"/>
      </w:rPr>
    </w:lvl>
    <w:lvl w:ilvl="4" w:tplc="B540E6C2" w:tentative="1">
      <w:start w:val="1"/>
      <w:numFmt w:val="bullet"/>
      <w:lvlText w:val="•"/>
      <w:lvlJc w:val="left"/>
      <w:pPr>
        <w:tabs>
          <w:tab w:val="num" w:pos="3600"/>
        </w:tabs>
        <w:ind w:left="3600" w:hanging="360"/>
      </w:pPr>
      <w:rPr>
        <w:rFonts w:ascii="Times New Roman" w:hAnsi="Times New Roman" w:hint="default"/>
      </w:rPr>
    </w:lvl>
    <w:lvl w:ilvl="5" w:tplc="4D88BC88" w:tentative="1">
      <w:start w:val="1"/>
      <w:numFmt w:val="bullet"/>
      <w:lvlText w:val="•"/>
      <w:lvlJc w:val="left"/>
      <w:pPr>
        <w:tabs>
          <w:tab w:val="num" w:pos="4320"/>
        </w:tabs>
        <w:ind w:left="4320" w:hanging="360"/>
      </w:pPr>
      <w:rPr>
        <w:rFonts w:ascii="Times New Roman" w:hAnsi="Times New Roman" w:hint="default"/>
      </w:rPr>
    </w:lvl>
    <w:lvl w:ilvl="6" w:tplc="42E4A660" w:tentative="1">
      <w:start w:val="1"/>
      <w:numFmt w:val="bullet"/>
      <w:lvlText w:val="•"/>
      <w:lvlJc w:val="left"/>
      <w:pPr>
        <w:tabs>
          <w:tab w:val="num" w:pos="5040"/>
        </w:tabs>
        <w:ind w:left="5040" w:hanging="360"/>
      </w:pPr>
      <w:rPr>
        <w:rFonts w:ascii="Times New Roman" w:hAnsi="Times New Roman" w:hint="default"/>
      </w:rPr>
    </w:lvl>
    <w:lvl w:ilvl="7" w:tplc="4F9A28F6" w:tentative="1">
      <w:start w:val="1"/>
      <w:numFmt w:val="bullet"/>
      <w:lvlText w:val="•"/>
      <w:lvlJc w:val="left"/>
      <w:pPr>
        <w:tabs>
          <w:tab w:val="num" w:pos="5760"/>
        </w:tabs>
        <w:ind w:left="5760" w:hanging="360"/>
      </w:pPr>
      <w:rPr>
        <w:rFonts w:ascii="Times New Roman" w:hAnsi="Times New Roman" w:hint="default"/>
      </w:rPr>
    </w:lvl>
    <w:lvl w:ilvl="8" w:tplc="E5EE6756" w:tentative="1">
      <w:start w:val="1"/>
      <w:numFmt w:val="bullet"/>
      <w:lvlText w:val="•"/>
      <w:lvlJc w:val="left"/>
      <w:pPr>
        <w:tabs>
          <w:tab w:val="num" w:pos="6480"/>
        </w:tabs>
        <w:ind w:left="6480" w:hanging="360"/>
      </w:pPr>
      <w:rPr>
        <w:rFonts w:ascii="Times New Roman" w:hAnsi="Times New Roman" w:hint="default"/>
      </w:rPr>
    </w:lvl>
  </w:abstractNum>
  <w:abstractNum w:abstractNumId="7">
    <w:nsid w:val="600D23E6"/>
    <w:multiLevelType w:val="hybridMultilevel"/>
    <w:tmpl w:val="ECE0FCA8"/>
    <w:lvl w:ilvl="0" w:tplc="0409000F">
      <w:start w:val="1"/>
      <w:numFmt w:val="decimal"/>
      <w:lvlText w:val="%1."/>
      <w:lvlJc w:val="left"/>
      <w:pPr>
        <w:ind w:left="1798" w:hanging="360"/>
      </w:pPr>
    </w:lvl>
    <w:lvl w:ilvl="1" w:tplc="04090019" w:tentative="1">
      <w:start w:val="1"/>
      <w:numFmt w:val="lowerLetter"/>
      <w:lvlText w:val="%2."/>
      <w:lvlJc w:val="left"/>
      <w:pPr>
        <w:ind w:left="2518" w:hanging="360"/>
      </w:pPr>
    </w:lvl>
    <w:lvl w:ilvl="2" w:tplc="0409001B" w:tentative="1">
      <w:start w:val="1"/>
      <w:numFmt w:val="lowerRoman"/>
      <w:lvlText w:val="%3."/>
      <w:lvlJc w:val="right"/>
      <w:pPr>
        <w:ind w:left="3238" w:hanging="180"/>
      </w:pPr>
    </w:lvl>
    <w:lvl w:ilvl="3" w:tplc="0409000F" w:tentative="1">
      <w:start w:val="1"/>
      <w:numFmt w:val="decimal"/>
      <w:lvlText w:val="%4."/>
      <w:lvlJc w:val="left"/>
      <w:pPr>
        <w:ind w:left="3958" w:hanging="360"/>
      </w:pPr>
    </w:lvl>
    <w:lvl w:ilvl="4" w:tplc="04090019" w:tentative="1">
      <w:start w:val="1"/>
      <w:numFmt w:val="lowerLetter"/>
      <w:lvlText w:val="%5."/>
      <w:lvlJc w:val="left"/>
      <w:pPr>
        <w:ind w:left="4678" w:hanging="360"/>
      </w:pPr>
    </w:lvl>
    <w:lvl w:ilvl="5" w:tplc="0409001B" w:tentative="1">
      <w:start w:val="1"/>
      <w:numFmt w:val="lowerRoman"/>
      <w:lvlText w:val="%6."/>
      <w:lvlJc w:val="right"/>
      <w:pPr>
        <w:ind w:left="5398" w:hanging="180"/>
      </w:pPr>
    </w:lvl>
    <w:lvl w:ilvl="6" w:tplc="0409000F" w:tentative="1">
      <w:start w:val="1"/>
      <w:numFmt w:val="decimal"/>
      <w:lvlText w:val="%7."/>
      <w:lvlJc w:val="left"/>
      <w:pPr>
        <w:ind w:left="6118" w:hanging="360"/>
      </w:pPr>
    </w:lvl>
    <w:lvl w:ilvl="7" w:tplc="04090019" w:tentative="1">
      <w:start w:val="1"/>
      <w:numFmt w:val="lowerLetter"/>
      <w:lvlText w:val="%8."/>
      <w:lvlJc w:val="left"/>
      <w:pPr>
        <w:ind w:left="6838" w:hanging="360"/>
      </w:pPr>
    </w:lvl>
    <w:lvl w:ilvl="8" w:tplc="0409001B" w:tentative="1">
      <w:start w:val="1"/>
      <w:numFmt w:val="lowerRoman"/>
      <w:lvlText w:val="%9."/>
      <w:lvlJc w:val="right"/>
      <w:pPr>
        <w:ind w:left="7558" w:hanging="180"/>
      </w:pPr>
    </w:lvl>
  </w:abstractNum>
  <w:abstractNum w:abstractNumId="8">
    <w:nsid w:val="6F51409E"/>
    <w:multiLevelType w:val="hybridMultilevel"/>
    <w:tmpl w:val="446C6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3781E9B"/>
    <w:multiLevelType w:val="hybridMultilevel"/>
    <w:tmpl w:val="3398C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2"/>
  </w:num>
  <w:num w:numId="4">
    <w:abstractNumId w:val="1"/>
  </w:num>
  <w:num w:numId="5">
    <w:abstractNumId w:val="5"/>
  </w:num>
  <w:num w:numId="6">
    <w:abstractNumId w:val="0"/>
  </w:num>
  <w:num w:numId="7">
    <w:abstractNumId w:val="8"/>
  </w:num>
  <w:num w:numId="8">
    <w:abstractNumId w:val="7"/>
  </w:num>
  <w:num w:numId="9">
    <w:abstractNumId w:val="4"/>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825433"/>
    <w:rsid w:val="00014907"/>
    <w:rsid w:val="00023DB0"/>
    <w:rsid w:val="00031121"/>
    <w:rsid w:val="00032E5E"/>
    <w:rsid w:val="000464CB"/>
    <w:rsid w:val="00056C01"/>
    <w:rsid w:val="00056C9C"/>
    <w:rsid w:val="000643D0"/>
    <w:rsid w:val="00066C08"/>
    <w:rsid w:val="00074D64"/>
    <w:rsid w:val="00077BD1"/>
    <w:rsid w:val="00081798"/>
    <w:rsid w:val="00083F25"/>
    <w:rsid w:val="000853EB"/>
    <w:rsid w:val="0009184F"/>
    <w:rsid w:val="00093B63"/>
    <w:rsid w:val="00095A5E"/>
    <w:rsid w:val="000C2F11"/>
    <w:rsid w:val="000D50CD"/>
    <w:rsid w:val="000D5BA4"/>
    <w:rsid w:val="000F6E8C"/>
    <w:rsid w:val="00126DB5"/>
    <w:rsid w:val="00133F61"/>
    <w:rsid w:val="00142DF4"/>
    <w:rsid w:val="00146C08"/>
    <w:rsid w:val="001B222B"/>
    <w:rsid w:val="001C4497"/>
    <w:rsid w:val="00212B47"/>
    <w:rsid w:val="002174B4"/>
    <w:rsid w:val="00223FCD"/>
    <w:rsid w:val="00234441"/>
    <w:rsid w:val="00240EC0"/>
    <w:rsid w:val="00260EF5"/>
    <w:rsid w:val="00267011"/>
    <w:rsid w:val="00275EA5"/>
    <w:rsid w:val="00277205"/>
    <w:rsid w:val="00293B77"/>
    <w:rsid w:val="002E6E3E"/>
    <w:rsid w:val="002F5EAD"/>
    <w:rsid w:val="00303D44"/>
    <w:rsid w:val="00317735"/>
    <w:rsid w:val="00347F2B"/>
    <w:rsid w:val="00347FB1"/>
    <w:rsid w:val="0036389F"/>
    <w:rsid w:val="003662CB"/>
    <w:rsid w:val="00377358"/>
    <w:rsid w:val="003947BB"/>
    <w:rsid w:val="003C011A"/>
    <w:rsid w:val="003E44DF"/>
    <w:rsid w:val="003F3E41"/>
    <w:rsid w:val="003F6902"/>
    <w:rsid w:val="004006D2"/>
    <w:rsid w:val="0040207F"/>
    <w:rsid w:val="00407ACC"/>
    <w:rsid w:val="00416E8C"/>
    <w:rsid w:val="00417402"/>
    <w:rsid w:val="00444D10"/>
    <w:rsid w:val="004A48F1"/>
    <w:rsid w:val="004B4BF2"/>
    <w:rsid w:val="004B5314"/>
    <w:rsid w:val="004E4603"/>
    <w:rsid w:val="004F0BB9"/>
    <w:rsid w:val="004F5F62"/>
    <w:rsid w:val="00521A65"/>
    <w:rsid w:val="0052771B"/>
    <w:rsid w:val="0055043A"/>
    <w:rsid w:val="00557E86"/>
    <w:rsid w:val="00576089"/>
    <w:rsid w:val="005970E6"/>
    <w:rsid w:val="005B2EE2"/>
    <w:rsid w:val="005B3F11"/>
    <w:rsid w:val="006032AB"/>
    <w:rsid w:val="00605850"/>
    <w:rsid w:val="006153B4"/>
    <w:rsid w:val="006304D6"/>
    <w:rsid w:val="00643EE8"/>
    <w:rsid w:val="00662557"/>
    <w:rsid w:val="00672097"/>
    <w:rsid w:val="0067415C"/>
    <w:rsid w:val="00686FC9"/>
    <w:rsid w:val="006940E9"/>
    <w:rsid w:val="006953B9"/>
    <w:rsid w:val="006B6222"/>
    <w:rsid w:val="006D2BD7"/>
    <w:rsid w:val="00743078"/>
    <w:rsid w:val="0076360C"/>
    <w:rsid w:val="007A62ED"/>
    <w:rsid w:val="007B0B6C"/>
    <w:rsid w:val="007B2A3F"/>
    <w:rsid w:val="007E7DB3"/>
    <w:rsid w:val="007F0479"/>
    <w:rsid w:val="00807157"/>
    <w:rsid w:val="00812298"/>
    <w:rsid w:val="00815AB3"/>
    <w:rsid w:val="0082154F"/>
    <w:rsid w:val="00825433"/>
    <w:rsid w:val="00825632"/>
    <w:rsid w:val="0084520C"/>
    <w:rsid w:val="008478BE"/>
    <w:rsid w:val="00847A16"/>
    <w:rsid w:val="0085520C"/>
    <w:rsid w:val="008723C5"/>
    <w:rsid w:val="00872763"/>
    <w:rsid w:val="00894560"/>
    <w:rsid w:val="008C20D3"/>
    <w:rsid w:val="008D105B"/>
    <w:rsid w:val="00901850"/>
    <w:rsid w:val="009117D6"/>
    <w:rsid w:val="009265D3"/>
    <w:rsid w:val="00937623"/>
    <w:rsid w:val="0094787C"/>
    <w:rsid w:val="00957DC1"/>
    <w:rsid w:val="00982602"/>
    <w:rsid w:val="00987F32"/>
    <w:rsid w:val="00990C09"/>
    <w:rsid w:val="00991D6A"/>
    <w:rsid w:val="00996766"/>
    <w:rsid w:val="009B1DE9"/>
    <w:rsid w:val="009E7B28"/>
    <w:rsid w:val="009F0FA2"/>
    <w:rsid w:val="00A00B05"/>
    <w:rsid w:val="00A15A29"/>
    <w:rsid w:val="00A44B1E"/>
    <w:rsid w:val="00A567DB"/>
    <w:rsid w:val="00A60155"/>
    <w:rsid w:val="00A71430"/>
    <w:rsid w:val="00A75ECC"/>
    <w:rsid w:val="00A867D3"/>
    <w:rsid w:val="00AA21D7"/>
    <w:rsid w:val="00AB0CE5"/>
    <w:rsid w:val="00AC0197"/>
    <w:rsid w:val="00AC2492"/>
    <w:rsid w:val="00AD78E6"/>
    <w:rsid w:val="00AE7957"/>
    <w:rsid w:val="00B17BD4"/>
    <w:rsid w:val="00B20A84"/>
    <w:rsid w:val="00B24074"/>
    <w:rsid w:val="00B25EAF"/>
    <w:rsid w:val="00B40B64"/>
    <w:rsid w:val="00B4615B"/>
    <w:rsid w:val="00B579CA"/>
    <w:rsid w:val="00B80D9F"/>
    <w:rsid w:val="00BA7065"/>
    <w:rsid w:val="00BB1399"/>
    <w:rsid w:val="00BC5BEE"/>
    <w:rsid w:val="00BD2AF3"/>
    <w:rsid w:val="00BD568A"/>
    <w:rsid w:val="00BF1547"/>
    <w:rsid w:val="00BF1FAB"/>
    <w:rsid w:val="00BF3AB2"/>
    <w:rsid w:val="00C12DB4"/>
    <w:rsid w:val="00C343C0"/>
    <w:rsid w:val="00C40A00"/>
    <w:rsid w:val="00C535BD"/>
    <w:rsid w:val="00C60056"/>
    <w:rsid w:val="00C60E1B"/>
    <w:rsid w:val="00C834E6"/>
    <w:rsid w:val="00C90F2B"/>
    <w:rsid w:val="00C92DFB"/>
    <w:rsid w:val="00CB555F"/>
    <w:rsid w:val="00CC7BA7"/>
    <w:rsid w:val="00D00BAA"/>
    <w:rsid w:val="00D111A6"/>
    <w:rsid w:val="00D220D3"/>
    <w:rsid w:val="00D27782"/>
    <w:rsid w:val="00D46008"/>
    <w:rsid w:val="00D529EB"/>
    <w:rsid w:val="00D55521"/>
    <w:rsid w:val="00D654FA"/>
    <w:rsid w:val="00D76589"/>
    <w:rsid w:val="00D771AB"/>
    <w:rsid w:val="00D82718"/>
    <w:rsid w:val="00D84778"/>
    <w:rsid w:val="00D8776C"/>
    <w:rsid w:val="00DB7ECF"/>
    <w:rsid w:val="00DC75F7"/>
    <w:rsid w:val="00DD1274"/>
    <w:rsid w:val="00DD78F5"/>
    <w:rsid w:val="00DE6C11"/>
    <w:rsid w:val="00E07164"/>
    <w:rsid w:val="00E07C0F"/>
    <w:rsid w:val="00E12D2D"/>
    <w:rsid w:val="00E22E37"/>
    <w:rsid w:val="00E4342E"/>
    <w:rsid w:val="00E458EA"/>
    <w:rsid w:val="00E77702"/>
    <w:rsid w:val="00E84156"/>
    <w:rsid w:val="00E87F06"/>
    <w:rsid w:val="00E902D4"/>
    <w:rsid w:val="00E9281D"/>
    <w:rsid w:val="00EA3C31"/>
    <w:rsid w:val="00EA4475"/>
    <w:rsid w:val="00EA6BD1"/>
    <w:rsid w:val="00EB5AFC"/>
    <w:rsid w:val="00EB72AC"/>
    <w:rsid w:val="00EB7E3F"/>
    <w:rsid w:val="00F11FC8"/>
    <w:rsid w:val="00F162A9"/>
    <w:rsid w:val="00F22732"/>
    <w:rsid w:val="00F30950"/>
    <w:rsid w:val="00F30A25"/>
    <w:rsid w:val="00F37F6C"/>
    <w:rsid w:val="00F407C3"/>
    <w:rsid w:val="00F45900"/>
    <w:rsid w:val="00F47136"/>
    <w:rsid w:val="00F6098F"/>
    <w:rsid w:val="00F86A6E"/>
    <w:rsid w:val="00F876D4"/>
    <w:rsid w:val="00F9760F"/>
    <w:rsid w:val="00FA1A4A"/>
    <w:rsid w:val="00FA3A45"/>
    <w:rsid w:val="00FA4A6E"/>
    <w:rsid w:val="00FB42BB"/>
    <w:rsid w:val="00FC1350"/>
    <w:rsid w:val="00FC2374"/>
    <w:rsid w:val="00FC4BA4"/>
    <w:rsid w:val="00FE3D5B"/>
    <w:rsid w:val="00FF23B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rules v:ext="edit">
        <o:r id="V:Rule8" type="connector" idref="#_x0000_s1034"/>
        <o:r id="V:Rule9" type="connector" idref="#_x0000_s1037"/>
        <o:r id="V:Rule10" type="connector" idref="#_x0000_s1033"/>
        <o:r id="V:Rule11" type="connector" idref="#_x0000_s1031"/>
        <o:r id="V:Rule12" type="connector" idref="#_x0000_s1032"/>
        <o:r id="V:Rule13" type="connector" idref="#_x0000_s1036"/>
        <o:r id="V:Rule14"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475"/>
  </w:style>
  <w:style w:type="paragraph" w:styleId="Heading1">
    <w:name w:val="heading 1"/>
    <w:basedOn w:val="Normal"/>
    <w:next w:val="Normal"/>
    <w:link w:val="Heading1Char"/>
    <w:uiPriority w:val="9"/>
    <w:qFormat/>
    <w:rsid w:val="007F0479"/>
    <w:pPr>
      <w:keepNext/>
      <w:keepLines/>
      <w:spacing w:before="480" w:after="0"/>
      <w:outlineLvl w:val="0"/>
    </w:pPr>
    <w:rPr>
      <w:rFonts w:asciiTheme="majorHAnsi" w:eastAsiaTheme="majorEastAsia" w:hAnsiTheme="majorHAnsi" w:cstheme="majorBidi"/>
      <w:b/>
      <w:bCs/>
      <w:color w:val="2A6C7D" w:themeColor="accent1" w:themeShade="BF"/>
      <w:sz w:val="28"/>
      <w:szCs w:val="28"/>
      <w:lang w:bidi="en-US"/>
    </w:rPr>
  </w:style>
  <w:style w:type="paragraph" w:styleId="Heading3">
    <w:name w:val="heading 3"/>
    <w:basedOn w:val="Normal"/>
    <w:link w:val="Heading3Char"/>
    <w:uiPriority w:val="9"/>
    <w:qFormat/>
    <w:rsid w:val="003E44D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82543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25433"/>
  </w:style>
  <w:style w:type="paragraph" w:styleId="Footer">
    <w:name w:val="footer"/>
    <w:basedOn w:val="Normal"/>
    <w:link w:val="FooterChar"/>
    <w:uiPriority w:val="99"/>
    <w:semiHidden/>
    <w:unhideWhenUsed/>
    <w:rsid w:val="0082543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25433"/>
  </w:style>
  <w:style w:type="paragraph" w:styleId="BodyText">
    <w:name w:val="Body Text"/>
    <w:basedOn w:val="Normal"/>
    <w:link w:val="BodyTextChar"/>
    <w:uiPriority w:val="1"/>
    <w:qFormat/>
    <w:rsid w:val="00825433"/>
    <w:pPr>
      <w:widowControl w:val="0"/>
      <w:autoSpaceDE w:val="0"/>
      <w:autoSpaceDN w:val="0"/>
      <w:spacing w:after="0" w:line="240" w:lineRule="auto"/>
    </w:pPr>
    <w:rPr>
      <w:rFonts w:ascii="Microsoft Sans Serif" w:eastAsia="Microsoft Sans Serif" w:hAnsi="Microsoft Sans Serif" w:cs="Microsoft Sans Serif"/>
    </w:rPr>
  </w:style>
  <w:style w:type="character" w:customStyle="1" w:styleId="BodyTextChar">
    <w:name w:val="Body Text Char"/>
    <w:basedOn w:val="DefaultParagraphFont"/>
    <w:link w:val="BodyText"/>
    <w:uiPriority w:val="1"/>
    <w:rsid w:val="00825433"/>
    <w:rPr>
      <w:rFonts w:ascii="Microsoft Sans Serif" w:eastAsia="Microsoft Sans Serif" w:hAnsi="Microsoft Sans Serif" w:cs="Microsoft Sans Serif"/>
    </w:rPr>
  </w:style>
  <w:style w:type="paragraph" w:styleId="BalloonText">
    <w:name w:val="Balloon Text"/>
    <w:basedOn w:val="Normal"/>
    <w:link w:val="BalloonTextChar"/>
    <w:uiPriority w:val="99"/>
    <w:semiHidden/>
    <w:unhideWhenUsed/>
    <w:rsid w:val="008254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5433"/>
    <w:rPr>
      <w:rFonts w:ascii="Tahoma" w:hAnsi="Tahoma" w:cs="Tahoma"/>
      <w:sz w:val="16"/>
      <w:szCs w:val="16"/>
    </w:rPr>
  </w:style>
  <w:style w:type="table" w:styleId="TableGrid">
    <w:name w:val="Table Grid"/>
    <w:basedOn w:val="TableNormal"/>
    <w:uiPriority w:val="59"/>
    <w:rsid w:val="0082563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Normal"/>
    <w:uiPriority w:val="1"/>
    <w:qFormat/>
    <w:rsid w:val="00825632"/>
    <w:pPr>
      <w:widowControl w:val="0"/>
      <w:autoSpaceDE w:val="0"/>
      <w:autoSpaceDN w:val="0"/>
      <w:spacing w:after="0" w:line="240" w:lineRule="auto"/>
    </w:pPr>
    <w:rPr>
      <w:rFonts w:ascii="Microsoft Sans Serif" w:eastAsia="Microsoft Sans Serif" w:hAnsi="Microsoft Sans Serif" w:cs="Microsoft Sans Serif"/>
    </w:rPr>
  </w:style>
  <w:style w:type="character" w:styleId="Hyperlink">
    <w:name w:val="Hyperlink"/>
    <w:basedOn w:val="DefaultParagraphFont"/>
    <w:uiPriority w:val="99"/>
    <w:semiHidden/>
    <w:unhideWhenUsed/>
    <w:rsid w:val="00317735"/>
    <w:rPr>
      <w:color w:val="0000FF"/>
      <w:u w:val="single"/>
    </w:rPr>
  </w:style>
  <w:style w:type="character" w:customStyle="1" w:styleId="anchor-text">
    <w:name w:val="anchor-text"/>
    <w:basedOn w:val="DefaultParagraphFont"/>
    <w:rsid w:val="00317735"/>
  </w:style>
  <w:style w:type="table" w:styleId="LightShading-Accent4">
    <w:name w:val="Light Shading Accent 4"/>
    <w:basedOn w:val="TableNormal"/>
    <w:uiPriority w:val="60"/>
    <w:rsid w:val="00014907"/>
    <w:pPr>
      <w:spacing w:after="0" w:line="240" w:lineRule="auto"/>
    </w:pPr>
    <w:rPr>
      <w:color w:val="627F26" w:themeColor="accent4" w:themeShade="BF"/>
    </w:rPr>
    <w:tblPr>
      <w:tblStyleRowBandSize w:val="1"/>
      <w:tblStyleColBandSize w:val="1"/>
      <w:tblInd w:w="0" w:type="dxa"/>
      <w:tblBorders>
        <w:top w:val="single" w:sz="8" w:space="0" w:color="84AA33" w:themeColor="accent4"/>
        <w:bottom w:val="single" w:sz="8" w:space="0" w:color="84AA33"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4AA33" w:themeColor="accent4"/>
          <w:left w:val="nil"/>
          <w:bottom w:val="single" w:sz="8" w:space="0" w:color="84AA33" w:themeColor="accent4"/>
          <w:right w:val="nil"/>
          <w:insideH w:val="nil"/>
          <w:insideV w:val="nil"/>
        </w:tcBorders>
      </w:tcPr>
    </w:tblStylePr>
    <w:tblStylePr w:type="lastRow">
      <w:pPr>
        <w:spacing w:before="0" w:after="0" w:line="240" w:lineRule="auto"/>
      </w:pPr>
      <w:rPr>
        <w:b/>
        <w:bCs/>
      </w:rPr>
      <w:tblPr/>
      <w:tcPr>
        <w:tcBorders>
          <w:top w:val="single" w:sz="8" w:space="0" w:color="84AA33" w:themeColor="accent4"/>
          <w:left w:val="nil"/>
          <w:bottom w:val="single" w:sz="8" w:space="0" w:color="84AA3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EC7" w:themeFill="accent4" w:themeFillTint="3F"/>
      </w:tcPr>
    </w:tblStylePr>
    <w:tblStylePr w:type="band1Horz">
      <w:tblPr/>
      <w:tcPr>
        <w:tcBorders>
          <w:left w:val="nil"/>
          <w:right w:val="nil"/>
          <w:insideH w:val="nil"/>
          <w:insideV w:val="nil"/>
        </w:tcBorders>
        <w:shd w:val="clear" w:color="auto" w:fill="E2EEC7" w:themeFill="accent4" w:themeFillTint="3F"/>
      </w:tcPr>
    </w:tblStylePr>
  </w:style>
  <w:style w:type="table" w:styleId="LightShading-Accent3">
    <w:name w:val="Light Shading Accent 3"/>
    <w:basedOn w:val="TableNormal"/>
    <w:uiPriority w:val="60"/>
    <w:rsid w:val="00014907"/>
    <w:pPr>
      <w:spacing w:after="0" w:line="240" w:lineRule="auto"/>
    </w:pPr>
    <w:rPr>
      <w:color w:val="912122" w:themeColor="accent3" w:themeShade="BF"/>
    </w:rPr>
    <w:tblPr>
      <w:tblStyleRowBandSize w:val="1"/>
      <w:tblStyleColBandSize w:val="1"/>
      <w:tblInd w:w="0" w:type="dxa"/>
      <w:tblBorders>
        <w:top w:val="single" w:sz="8" w:space="0" w:color="C32D2E" w:themeColor="accent3"/>
        <w:bottom w:val="single" w:sz="8" w:space="0" w:color="C32D2E"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32D2E" w:themeColor="accent3"/>
          <w:left w:val="nil"/>
          <w:bottom w:val="single" w:sz="8" w:space="0" w:color="C32D2E" w:themeColor="accent3"/>
          <w:right w:val="nil"/>
          <w:insideH w:val="nil"/>
          <w:insideV w:val="nil"/>
        </w:tcBorders>
      </w:tcPr>
    </w:tblStylePr>
    <w:tblStylePr w:type="lastRow">
      <w:pPr>
        <w:spacing w:before="0" w:after="0" w:line="240" w:lineRule="auto"/>
      </w:pPr>
      <w:rPr>
        <w:b/>
        <w:bCs/>
      </w:rPr>
      <w:tblPr/>
      <w:tcPr>
        <w:tcBorders>
          <w:top w:val="single" w:sz="8" w:space="0" w:color="C32D2E" w:themeColor="accent3"/>
          <w:left w:val="nil"/>
          <w:bottom w:val="single" w:sz="8" w:space="0" w:color="C32D2E"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8C8" w:themeFill="accent3" w:themeFillTint="3F"/>
      </w:tcPr>
    </w:tblStylePr>
    <w:tblStylePr w:type="band1Horz">
      <w:tblPr/>
      <w:tcPr>
        <w:tcBorders>
          <w:left w:val="nil"/>
          <w:right w:val="nil"/>
          <w:insideH w:val="nil"/>
          <w:insideV w:val="nil"/>
        </w:tcBorders>
        <w:shd w:val="clear" w:color="auto" w:fill="F2C8C8" w:themeFill="accent3" w:themeFillTint="3F"/>
      </w:tcPr>
    </w:tblStylePr>
  </w:style>
  <w:style w:type="table" w:customStyle="1" w:styleId="LightShading-Accent11">
    <w:name w:val="Light Shading - Accent 11"/>
    <w:basedOn w:val="TableNormal"/>
    <w:uiPriority w:val="60"/>
    <w:rsid w:val="00014907"/>
    <w:pPr>
      <w:spacing w:after="0" w:line="240" w:lineRule="auto"/>
    </w:pPr>
    <w:rPr>
      <w:color w:val="2A6C7D" w:themeColor="accent1" w:themeShade="BF"/>
    </w:rPr>
    <w:tblPr>
      <w:tblStyleRowBandSize w:val="1"/>
      <w:tblStyleColBandSize w:val="1"/>
      <w:tblInd w:w="0" w:type="dxa"/>
      <w:tblBorders>
        <w:top w:val="single" w:sz="8" w:space="0" w:color="3891A7" w:themeColor="accent1"/>
        <w:bottom w:val="single" w:sz="8" w:space="0" w:color="3891A7"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891A7" w:themeColor="accent1"/>
          <w:left w:val="nil"/>
          <w:bottom w:val="single" w:sz="8" w:space="0" w:color="3891A7" w:themeColor="accent1"/>
          <w:right w:val="nil"/>
          <w:insideH w:val="nil"/>
          <w:insideV w:val="nil"/>
        </w:tcBorders>
      </w:tcPr>
    </w:tblStylePr>
    <w:tblStylePr w:type="lastRow">
      <w:pPr>
        <w:spacing w:before="0" w:after="0" w:line="240" w:lineRule="auto"/>
      </w:pPr>
      <w:rPr>
        <w:b/>
        <w:bCs/>
      </w:rPr>
      <w:tblPr/>
      <w:tcPr>
        <w:tcBorders>
          <w:top w:val="single" w:sz="8" w:space="0" w:color="3891A7" w:themeColor="accent1"/>
          <w:left w:val="nil"/>
          <w:bottom w:val="single" w:sz="8" w:space="0" w:color="3891A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6ED" w:themeFill="accent1" w:themeFillTint="3F"/>
      </w:tcPr>
    </w:tblStylePr>
    <w:tblStylePr w:type="band1Horz">
      <w:tblPr/>
      <w:tcPr>
        <w:tcBorders>
          <w:left w:val="nil"/>
          <w:right w:val="nil"/>
          <w:insideH w:val="nil"/>
          <w:insideV w:val="nil"/>
        </w:tcBorders>
        <w:shd w:val="clear" w:color="auto" w:fill="C9E6ED" w:themeFill="accent1" w:themeFillTint="3F"/>
      </w:tcPr>
    </w:tblStylePr>
  </w:style>
  <w:style w:type="table" w:customStyle="1" w:styleId="LightShading1">
    <w:name w:val="Light Shading1"/>
    <w:basedOn w:val="TableNormal"/>
    <w:uiPriority w:val="60"/>
    <w:rsid w:val="0001490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014907"/>
    <w:pPr>
      <w:spacing w:after="0" w:line="240" w:lineRule="auto"/>
    </w:pPr>
    <w:rPr>
      <w:color w:val="703203" w:themeColor="accent5" w:themeShade="BF"/>
    </w:rPr>
    <w:tblPr>
      <w:tblStyleRowBandSize w:val="1"/>
      <w:tblStyleColBandSize w:val="1"/>
      <w:tblInd w:w="0" w:type="dxa"/>
      <w:tblBorders>
        <w:top w:val="single" w:sz="8" w:space="0" w:color="964305" w:themeColor="accent5"/>
        <w:bottom w:val="single" w:sz="8" w:space="0" w:color="964305"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64305" w:themeColor="accent5"/>
          <w:left w:val="nil"/>
          <w:bottom w:val="single" w:sz="8" w:space="0" w:color="964305" w:themeColor="accent5"/>
          <w:right w:val="nil"/>
          <w:insideH w:val="nil"/>
          <w:insideV w:val="nil"/>
        </w:tcBorders>
      </w:tcPr>
    </w:tblStylePr>
    <w:tblStylePr w:type="lastRow">
      <w:pPr>
        <w:spacing w:before="0" w:after="0" w:line="240" w:lineRule="auto"/>
      </w:pPr>
      <w:rPr>
        <w:b/>
        <w:bCs/>
      </w:rPr>
      <w:tblPr/>
      <w:tcPr>
        <w:tcBorders>
          <w:top w:val="single" w:sz="8" w:space="0" w:color="964305" w:themeColor="accent5"/>
          <w:left w:val="nil"/>
          <w:bottom w:val="single" w:sz="8" w:space="0" w:color="96430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CDA9" w:themeFill="accent5" w:themeFillTint="3F"/>
      </w:tcPr>
    </w:tblStylePr>
    <w:tblStylePr w:type="band1Horz">
      <w:tblPr/>
      <w:tcPr>
        <w:tcBorders>
          <w:left w:val="nil"/>
          <w:right w:val="nil"/>
          <w:insideH w:val="nil"/>
          <w:insideV w:val="nil"/>
        </w:tcBorders>
        <w:shd w:val="clear" w:color="auto" w:fill="FCCDA9" w:themeFill="accent5" w:themeFillTint="3F"/>
      </w:tcPr>
    </w:tblStylePr>
  </w:style>
  <w:style w:type="table" w:styleId="MediumShading2-Accent5">
    <w:name w:val="Medium Shading 2 Accent 5"/>
    <w:basedOn w:val="TableNormal"/>
    <w:uiPriority w:val="64"/>
    <w:rsid w:val="0001490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6430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64305" w:themeFill="accent5"/>
      </w:tcPr>
    </w:tblStylePr>
    <w:tblStylePr w:type="lastCol">
      <w:rPr>
        <w:b/>
        <w:bCs/>
        <w:color w:val="FFFFFF" w:themeColor="background1"/>
      </w:rPr>
      <w:tblPr/>
      <w:tcPr>
        <w:tcBorders>
          <w:left w:val="nil"/>
          <w:right w:val="nil"/>
          <w:insideH w:val="nil"/>
          <w:insideV w:val="nil"/>
        </w:tcBorders>
        <w:shd w:val="clear" w:color="auto" w:fill="96430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014907"/>
    <w:pPr>
      <w:spacing w:after="0" w:line="240" w:lineRule="auto"/>
    </w:pPr>
    <w:tblPr>
      <w:tblStyleRowBandSize w:val="1"/>
      <w:tblStyleColBandSize w:val="1"/>
      <w:tblInd w:w="0" w:type="dxa"/>
      <w:tblBorders>
        <w:top w:val="single" w:sz="8" w:space="0" w:color="FEC947" w:themeColor="accent2" w:themeTint="BF"/>
        <w:left w:val="single" w:sz="8" w:space="0" w:color="FEC947" w:themeColor="accent2" w:themeTint="BF"/>
        <w:bottom w:val="single" w:sz="8" w:space="0" w:color="FEC947" w:themeColor="accent2" w:themeTint="BF"/>
        <w:right w:val="single" w:sz="8" w:space="0" w:color="FEC947" w:themeColor="accent2" w:themeTint="BF"/>
        <w:insideH w:val="single" w:sz="8" w:space="0" w:color="FEC94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EC947" w:themeColor="accent2" w:themeTint="BF"/>
          <w:left w:val="single" w:sz="8" w:space="0" w:color="FEC947" w:themeColor="accent2" w:themeTint="BF"/>
          <w:bottom w:val="single" w:sz="8" w:space="0" w:color="FEC947" w:themeColor="accent2" w:themeTint="BF"/>
          <w:right w:val="single" w:sz="8" w:space="0" w:color="FEC947" w:themeColor="accent2" w:themeTint="BF"/>
          <w:insideH w:val="nil"/>
          <w:insideV w:val="nil"/>
        </w:tcBorders>
        <w:shd w:val="clear" w:color="auto" w:fill="FEB80A" w:themeFill="accent2"/>
      </w:tcPr>
    </w:tblStylePr>
    <w:tblStylePr w:type="lastRow">
      <w:pPr>
        <w:spacing w:before="0" w:after="0" w:line="240" w:lineRule="auto"/>
      </w:pPr>
      <w:rPr>
        <w:b/>
        <w:bCs/>
      </w:rPr>
      <w:tblPr/>
      <w:tcPr>
        <w:tcBorders>
          <w:top w:val="double" w:sz="6" w:space="0" w:color="FEC947" w:themeColor="accent2" w:themeTint="BF"/>
          <w:left w:val="single" w:sz="8" w:space="0" w:color="FEC947" w:themeColor="accent2" w:themeTint="BF"/>
          <w:bottom w:val="single" w:sz="8" w:space="0" w:color="FEC947" w:themeColor="accent2" w:themeTint="BF"/>
          <w:right w:val="single" w:sz="8" w:space="0" w:color="FEC94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EEDC2" w:themeFill="accent2" w:themeFillTint="3F"/>
      </w:tcPr>
    </w:tblStylePr>
    <w:tblStylePr w:type="band1Horz">
      <w:tblPr/>
      <w:tcPr>
        <w:tcBorders>
          <w:insideH w:val="nil"/>
          <w:insideV w:val="nil"/>
        </w:tcBorders>
        <w:shd w:val="clear" w:color="auto" w:fill="FEEDC2" w:themeFill="accent2"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093B63"/>
    <w:pPr>
      <w:ind w:left="720"/>
      <w:contextualSpacing/>
    </w:pPr>
  </w:style>
  <w:style w:type="table" w:styleId="DarkList-Accent3">
    <w:name w:val="Dark List Accent 3"/>
    <w:basedOn w:val="TableNormal"/>
    <w:uiPriority w:val="70"/>
    <w:rsid w:val="00643EE8"/>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32D2E"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0161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1212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12122" w:themeFill="accent3" w:themeFillShade="BF"/>
      </w:tcPr>
    </w:tblStylePr>
    <w:tblStylePr w:type="band1Vert">
      <w:tblPr/>
      <w:tcPr>
        <w:tcBorders>
          <w:top w:val="nil"/>
          <w:left w:val="nil"/>
          <w:bottom w:val="nil"/>
          <w:right w:val="nil"/>
          <w:insideH w:val="nil"/>
          <w:insideV w:val="nil"/>
        </w:tcBorders>
        <w:shd w:val="clear" w:color="auto" w:fill="912122" w:themeFill="accent3" w:themeFillShade="BF"/>
      </w:tcPr>
    </w:tblStylePr>
    <w:tblStylePr w:type="band1Horz">
      <w:tblPr/>
      <w:tcPr>
        <w:tcBorders>
          <w:top w:val="nil"/>
          <w:left w:val="nil"/>
          <w:bottom w:val="nil"/>
          <w:right w:val="nil"/>
          <w:insideH w:val="nil"/>
          <w:insideV w:val="nil"/>
        </w:tcBorders>
        <w:shd w:val="clear" w:color="auto" w:fill="912122" w:themeFill="accent3" w:themeFillShade="BF"/>
      </w:tcPr>
    </w:tblStylePr>
  </w:style>
  <w:style w:type="table" w:styleId="MediumGrid2-Accent3">
    <w:name w:val="Medium Grid 2 Accent 3"/>
    <w:basedOn w:val="TableNormal"/>
    <w:uiPriority w:val="68"/>
    <w:rsid w:val="00643EE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32D2E" w:themeColor="accent3"/>
        <w:left w:val="single" w:sz="8" w:space="0" w:color="C32D2E" w:themeColor="accent3"/>
        <w:bottom w:val="single" w:sz="8" w:space="0" w:color="C32D2E" w:themeColor="accent3"/>
        <w:right w:val="single" w:sz="8" w:space="0" w:color="C32D2E" w:themeColor="accent3"/>
        <w:insideH w:val="single" w:sz="8" w:space="0" w:color="C32D2E" w:themeColor="accent3"/>
        <w:insideV w:val="single" w:sz="8" w:space="0" w:color="C32D2E" w:themeColor="accent3"/>
      </w:tblBorders>
      <w:tblCellMar>
        <w:top w:w="0" w:type="dxa"/>
        <w:left w:w="108" w:type="dxa"/>
        <w:bottom w:w="0" w:type="dxa"/>
        <w:right w:w="108" w:type="dxa"/>
      </w:tblCellMar>
    </w:tblPr>
    <w:tcPr>
      <w:shd w:val="clear" w:color="auto" w:fill="F2C8C8" w:themeFill="accent3" w:themeFillTint="3F"/>
    </w:tcPr>
    <w:tblStylePr w:type="firstRow">
      <w:rPr>
        <w:b/>
        <w:bCs/>
        <w:color w:val="000000" w:themeColor="text1"/>
      </w:rPr>
      <w:tblPr/>
      <w:tcPr>
        <w:shd w:val="clear" w:color="auto" w:fill="FAE9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5D3D3" w:themeFill="accent3" w:themeFillTint="33"/>
      </w:tcPr>
    </w:tblStylePr>
    <w:tblStylePr w:type="band1Vert">
      <w:tblPr/>
      <w:tcPr>
        <w:shd w:val="clear" w:color="auto" w:fill="E59191" w:themeFill="accent3" w:themeFillTint="7F"/>
      </w:tcPr>
    </w:tblStylePr>
    <w:tblStylePr w:type="band1Horz">
      <w:tblPr/>
      <w:tcPr>
        <w:tcBorders>
          <w:insideH w:val="single" w:sz="6" w:space="0" w:color="C32D2E" w:themeColor="accent3"/>
          <w:insideV w:val="single" w:sz="6" w:space="0" w:color="C32D2E" w:themeColor="accent3"/>
        </w:tcBorders>
        <w:shd w:val="clear" w:color="auto" w:fill="E59191" w:themeFill="accent3" w:themeFillTint="7F"/>
      </w:tcPr>
    </w:tblStylePr>
    <w:tblStylePr w:type="nwCell">
      <w:tblPr/>
      <w:tcPr>
        <w:shd w:val="clear" w:color="auto" w:fill="FFFFFF" w:themeFill="background1"/>
      </w:tcPr>
    </w:tblStylePr>
  </w:style>
  <w:style w:type="paragraph" w:styleId="NormalWeb">
    <w:name w:val="Normal (Web)"/>
    <w:basedOn w:val="Normal"/>
    <w:uiPriority w:val="99"/>
    <w:semiHidden/>
    <w:unhideWhenUsed/>
    <w:rsid w:val="00260E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3E44DF"/>
    <w:rPr>
      <w:rFonts w:ascii="Times New Roman" w:eastAsia="Times New Roman" w:hAnsi="Times New Roman" w:cs="Times New Roman"/>
      <w:b/>
      <w:bCs/>
      <w:sz w:val="27"/>
      <w:szCs w:val="27"/>
    </w:rPr>
  </w:style>
  <w:style w:type="character" w:customStyle="1" w:styleId="Heading1Char">
    <w:name w:val="Heading 1 Char"/>
    <w:basedOn w:val="DefaultParagraphFont"/>
    <w:link w:val="Heading1"/>
    <w:uiPriority w:val="9"/>
    <w:rsid w:val="007F0479"/>
    <w:rPr>
      <w:rFonts w:asciiTheme="majorHAnsi" w:eastAsiaTheme="majorEastAsia" w:hAnsiTheme="majorHAnsi" w:cstheme="majorBidi"/>
      <w:b/>
      <w:bCs/>
      <w:color w:val="2A6C7D" w:themeColor="accent1" w:themeShade="BF"/>
      <w:sz w:val="28"/>
      <w:szCs w:val="28"/>
      <w:lang w:bidi="en-US"/>
    </w:rPr>
  </w:style>
</w:styles>
</file>

<file path=word/webSettings.xml><?xml version="1.0" encoding="utf-8"?>
<w:webSettings xmlns:r="http://schemas.openxmlformats.org/officeDocument/2006/relationships" xmlns:w="http://schemas.openxmlformats.org/wordprocessingml/2006/main">
  <w:divs>
    <w:div w:id="198397870">
      <w:bodyDiv w:val="1"/>
      <w:marLeft w:val="0"/>
      <w:marRight w:val="0"/>
      <w:marTop w:val="0"/>
      <w:marBottom w:val="0"/>
      <w:divBdr>
        <w:top w:val="none" w:sz="0" w:space="0" w:color="auto"/>
        <w:left w:val="none" w:sz="0" w:space="0" w:color="auto"/>
        <w:bottom w:val="none" w:sz="0" w:space="0" w:color="auto"/>
        <w:right w:val="none" w:sz="0" w:space="0" w:color="auto"/>
      </w:divBdr>
      <w:divsChild>
        <w:div w:id="334110546">
          <w:marLeft w:val="547"/>
          <w:marRight w:val="0"/>
          <w:marTop w:val="0"/>
          <w:marBottom w:val="0"/>
          <w:divBdr>
            <w:top w:val="none" w:sz="0" w:space="0" w:color="auto"/>
            <w:left w:val="none" w:sz="0" w:space="0" w:color="auto"/>
            <w:bottom w:val="none" w:sz="0" w:space="0" w:color="auto"/>
            <w:right w:val="none" w:sz="0" w:space="0" w:color="auto"/>
          </w:divBdr>
        </w:div>
      </w:divsChild>
    </w:div>
    <w:div w:id="1408110347">
      <w:bodyDiv w:val="1"/>
      <w:marLeft w:val="0"/>
      <w:marRight w:val="0"/>
      <w:marTop w:val="0"/>
      <w:marBottom w:val="0"/>
      <w:divBdr>
        <w:top w:val="none" w:sz="0" w:space="0" w:color="auto"/>
        <w:left w:val="none" w:sz="0" w:space="0" w:color="auto"/>
        <w:bottom w:val="none" w:sz="0" w:space="0" w:color="auto"/>
        <w:right w:val="none" w:sz="0" w:space="0" w:color="auto"/>
      </w:divBdr>
      <w:divsChild>
        <w:div w:id="1655181332">
          <w:marLeft w:val="547"/>
          <w:marRight w:val="0"/>
          <w:marTop w:val="0"/>
          <w:marBottom w:val="0"/>
          <w:divBdr>
            <w:top w:val="none" w:sz="0" w:space="0" w:color="auto"/>
            <w:left w:val="none" w:sz="0" w:space="0" w:color="auto"/>
            <w:bottom w:val="none" w:sz="0" w:space="0" w:color="auto"/>
            <w:right w:val="none" w:sz="0" w:space="0" w:color="auto"/>
          </w:divBdr>
        </w:div>
      </w:divsChild>
    </w:div>
    <w:div w:id="1416971166">
      <w:bodyDiv w:val="1"/>
      <w:marLeft w:val="0"/>
      <w:marRight w:val="0"/>
      <w:marTop w:val="0"/>
      <w:marBottom w:val="0"/>
      <w:divBdr>
        <w:top w:val="none" w:sz="0" w:space="0" w:color="auto"/>
        <w:left w:val="none" w:sz="0" w:space="0" w:color="auto"/>
        <w:bottom w:val="none" w:sz="0" w:space="0" w:color="auto"/>
        <w:right w:val="none" w:sz="0" w:space="0" w:color="auto"/>
      </w:divBdr>
      <w:divsChild>
        <w:div w:id="902838782">
          <w:marLeft w:val="0"/>
          <w:marRight w:val="0"/>
          <w:marTop w:val="0"/>
          <w:marBottom w:val="0"/>
          <w:divBdr>
            <w:top w:val="none" w:sz="0" w:space="0" w:color="auto"/>
            <w:left w:val="none" w:sz="0" w:space="0" w:color="auto"/>
            <w:bottom w:val="none" w:sz="0" w:space="0" w:color="auto"/>
            <w:right w:val="none" w:sz="0" w:space="0" w:color="auto"/>
          </w:divBdr>
          <w:divsChild>
            <w:div w:id="1540170606">
              <w:marLeft w:val="0"/>
              <w:marRight w:val="0"/>
              <w:marTop w:val="0"/>
              <w:marBottom w:val="0"/>
              <w:divBdr>
                <w:top w:val="none" w:sz="0" w:space="0" w:color="auto"/>
                <w:left w:val="none" w:sz="0" w:space="0" w:color="auto"/>
                <w:bottom w:val="none" w:sz="0" w:space="0" w:color="auto"/>
                <w:right w:val="none" w:sz="0" w:space="0" w:color="auto"/>
              </w:divBdr>
              <w:divsChild>
                <w:div w:id="2647014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735615721">
      <w:bodyDiv w:val="1"/>
      <w:marLeft w:val="0"/>
      <w:marRight w:val="0"/>
      <w:marTop w:val="0"/>
      <w:marBottom w:val="0"/>
      <w:divBdr>
        <w:top w:val="none" w:sz="0" w:space="0" w:color="auto"/>
        <w:left w:val="none" w:sz="0" w:space="0" w:color="auto"/>
        <w:bottom w:val="none" w:sz="0" w:space="0" w:color="auto"/>
        <w:right w:val="none" w:sz="0" w:space="0" w:color="auto"/>
      </w:divBdr>
    </w:div>
    <w:div w:id="1854416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oleObject" Target="embeddings/oleObject3.bin"/><Relationship Id="rId39" Type="http://schemas.openxmlformats.org/officeDocument/2006/relationships/image" Target="media/image24.emf"/><Relationship Id="rId21" Type="http://schemas.openxmlformats.org/officeDocument/2006/relationships/image" Target="media/image13.emf"/><Relationship Id="rId34" Type="http://schemas.openxmlformats.org/officeDocument/2006/relationships/diagramLayout" Target="diagrams/layout1.xml"/><Relationship Id="rId42" Type="http://schemas.openxmlformats.org/officeDocument/2006/relationships/oleObject" Target="embeddings/oleObject5.bin"/><Relationship Id="rId47" Type="http://schemas.openxmlformats.org/officeDocument/2006/relationships/oleObject" Target="embeddings/oleObject7.bin"/><Relationship Id="rId50" Type="http://schemas.openxmlformats.org/officeDocument/2006/relationships/diagramData" Target="diagrams/data2.xml"/><Relationship Id="rId55" Type="http://schemas.openxmlformats.org/officeDocument/2006/relationships/image" Target="media/image3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oleObject" Target="embeddings/oleObject1.bin"/><Relationship Id="rId29" Type="http://schemas.openxmlformats.org/officeDocument/2006/relationships/image" Target="media/image19.png"/><Relationship Id="rId41" Type="http://schemas.openxmlformats.org/officeDocument/2006/relationships/image" Target="media/image26.emf"/><Relationship Id="rId54" Type="http://schemas.openxmlformats.org/officeDocument/2006/relationships/image" Target="media/image31.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2.tiff"/><Relationship Id="rId37" Type="http://schemas.openxmlformats.org/officeDocument/2006/relationships/image" Target="media/image23.emf"/><Relationship Id="rId40" Type="http://schemas.openxmlformats.org/officeDocument/2006/relationships/image" Target="media/image25.jpeg"/><Relationship Id="rId45" Type="http://schemas.openxmlformats.org/officeDocument/2006/relationships/oleObject" Target="embeddings/oleObject6.bin"/><Relationship Id="rId53" Type="http://schemas.openxmlformats.org/officeDocument/2006/relationships/diagramColors" Target="diagrams/colors2.xml"/><Relationship Id="rId58" Type="http://schemas.openxmlformats.org/officeDocument/2006/relationships/oleObject" Target="embeddings/oleObject9.bin"/><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image" Target="media/image18.png"/><Relationship Id="rId36" Type="http://schemas.openxmlformats.org/officeDocument/2006/relationships/diagramColors" Target="diagrams/colors1.xml"/><Relationship Id="rId49" Type="http://schemas.openxmlformats.org/officeDocument/2006/relationships/oleObject" Target="embeddings/oleObject8.bin"/><Relationship Id="rId57" Type="http://schemas.openxmlformats.org/officeDocument/2006/relationships/image" Target="media/image34.emf"/><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1.tiff"/><Relationship Id="rId44" Type="http://schemas.openxmlformats.org/officeDocument/2006/relationships/image" Target="media/image28.emf"/><Relationship Id="rId52" Type="http://schemas.openxmlformats.org/officeDocument/2006/relationships/diagramQuickStyle" Target="diagrams/quickStyle2.xml"/><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emf"/><Relationship Id="rId27" Type="http://schemas.openxmlformats.org/officeDocument/2006/relationships/image" Target="media/image17.jpeg"/><Relationship Id="rId30" Type="http://schemas.openxmlformats.org/officeDocument/2006/relationships/image" Target="media/image20.tiff"/><Relationship Id="rId35" Type="http://schemas.openxmlformats.org/officeDocument/2006/relationships/diagramQuickStyle" Target="diagrams/quickStyle1.xml"/><Relationship Id="rId43" Type="http://schemas.openxmlformats.org/officeDocument/2006/relationships/image" Target="media/image27.jpeg"/><Relationship Id="rId48" Type="http://schemas.openxmlformats.org/officeDocument/2006/relationships/image" Target="media/image30.emf"/><Relationship Id="rId56" Type="http://schemas.openxmlformats.org/officeDocument/2006/relationships/image" Target="media/image33.emf"/><Relationship Id="rId8" Type="http://schemas.openxmlformats.org/officeDocument/2006/relationships/image" Target="media/image1.emf"/><Relationship Id="rId51" Type="http://schemas.openxmlformats.org/officeDocument/2006/relationships/diagramLayout" Target="diagrams/layout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diagramData" Target="diagrams/data1.xml"/><Relationship Id="rId38" Type="http://schemas.openxmlformats.org/officeDocument/2006/relationships/oleObject" Target="embeddings/oleObject4.bin"/><Relationship Id="rId46" Type="http://schemas.openxmlformats.org/officeDocument/2006/relationships/image" Target="media/image29.wmf"/><Relationship Id="rId59"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4BEADA-1D0E-41F4-9996-316D14C043CD}" type="doc">
      <dgm:prSet loTypeId="urn:microsoft.com/office/officeart/2005/8/layout/matrix1" loCatId="matrix" qsTypeId="urn:microsoft.com/office/officeart/2005/8/quickstyle/3d7" qsCatId="3D" csTypeId="urn:microsoft.com/office/officeart/2005/8/colors/colorful4" csCatId="colorful" phldr="1"/>
      <dgm:spPr/>
      <dgm:t>
        <a:bodyPr/>
        <a:lstStyle/>
        <a:p>
          <a:endParaRPr lang="en-US"/>
        </a:p>
      </dgm:t>
    </dgm:pt>
    <dgm:pt modelId="{A98D1A6E-3065-49AC-A792-BDAF98B2FF2A}">
      <dgm:prSet phldrT="[Text]" custT="1"/>
      <dgm:spPr/>
      <dgm:t>
        <a:bodyPr/>
        <a:lstStyle/>
        <a:p>
          <a:r>
            <a:rPr lang="en-US" sz="1200" b="1" dirty="0" smtClean="0"/>
            <a:t>Functions of Cyclodextrin </a:t>
          </a:r>
          <a:endParaRPr lang="en-US" sz="1400" b="1" dirty="0"/>
        </a:p>
      </dgm:t>
    </dgm:pt>
    <dgm:pt modelId="{69F24AF5-EC6B-42FF-B7CE-1AB27ED670F1}" type="parTrans" cxnId="{DA773F25-F00B-4D54-B2F9-834674167DF6}">
      <dgm:prSet/>
      <dgm:spPr/>
      <dgm:t>
        <a:bodyPr/>
        <a:lstStyle/>
        <a:p>
          <a:endParaRPr lang="en-US"/>
        </a:p>
      </dgm:t>
    </dgm:pt>
    <dgm:pt modelId="{766CB929-2FAC-47D6-8D66-DC2525A4EB0F}" type="sibTrans" cxnId="{DA773F25-F00B-4D54-B2F9-834674167DF6}">
      <dgm:prSet/>
      <dgm:spPr/>
      <dgm:t>
        <a:bodyPr/>
        <a:lstStyle/>
        <a:p>
          <a:endParaRPr lang="en-US"/>
        </a:p>
      </dgm:t>
    </dgm:pt>
    <dgm:pt modelId="{941E28D2-D687-4A91-A893-B98DA00470B1}">
      <dgm:prSet phldrT="[Text]" custT="1"/>
      <dgm:spPr/>
      <dgm:t>
        <a:bodyPr/>
        <a:lstStyle/>
        <a:p>
          <a:r>
            <a:rPr lang="en-US" sz="1400" dirty="0" smtClean="0"/>
            <a:t>Therapeutically inert</a:t>
          </a:r>
          <a:endParaRPr lang="en-US" sz="1400" dirty="0"/>
        </a:p>
      </dgm:t>
    </dgm:pt>
    <dgm:pt modelId="{5BCC525A-7DE5-40A7-91A2-07DD34C07435}" type="parTrans" cxnId="{0CA47838-8D2D-475D-A035-8106A52A24E9}">
      <dgm:prSet/>
      <dgm:spPr/>
      <dgm:t>
        <a:bodyPr/>
        <a:lstStyle/>
        <a:p>
          <a:endParaRPr lang="en-US"/>
        </a:p>
      </dgm:t>
    </dgm:pt>
    <dgm:pt modelId="{8F7D78A6-500D-4FC4-AAD2-5BCFE8BC5B10}" type="sibTrans" cxnId="{0CA47838-8D2D-475D-A035-8106A52A24E9}">
      <dgm:prSet/>
      <dgm:spPr/>
      <dgm:t>
        <a:bodyPr/>
        <a:lstStyle/>
        <a:p>
          <a:endParaRPr lang="en-US"/>
        </a:p>
      </dgm:t>
    </dgm:pt>
    <dgm:pt modelId="{05256BAB-BDD6-41C7-BEBF-5187A53A9110}">
      <dgm:prSet phldrT="[Text]" custT="1"/>
      <dgm:spPr/>
      <dgm:t>
        <a:bodyPr/>
        <a:lstStyle/>
        <a:p>
          <a:r>
            <a:rPr lang="en-US" sz="1400" dirty="0" smtClean="0"/>
            <a:t>Thermal stability up to 300 degree</a:t>
          </a:r>
          <a:endParaRPr lang="en-US" sz="1800" dirty="0"/>
        </a:p>
      </dgm:t>
    </dgm:pt>
    <dgm:pt modelId="{04B5D673-5D04-4647-A345-689393B5DBC9}" type="parTrans" cxnId="{0FE59F79-ADE1-4FFC-88D6-701E86868805}">
      <dgm:prSet/>
      <dgm:spPr/>
      <dgm:t>
        <a:bodyPr/>
        <a:lstStyle/>
        <a:p>
          <a:endParaRPr lang="en-US"/>
        </a:p>
      </dgm:t>
    </dgm:pt>
    <dgm:pt modelId="{40EA0116-2A35-4132-B139-618610E9121C}" type="sibTrans" cxnId="{0FE59F79-ADE1-4FFC-88D6-701E86868805}">
      <dgm:prSet/>
      <dgm:spPr/>
      <dgm:t>
        <a:bodyPr/>
        <a:lstStyle/>
        <a:p>
          <a:endParaRPr lang="en-US"/>
        </a:p>
      </dgm:t>
    </dgm:pt>
    <dgm:pt modelId="{5BE3FDF4-4D19-4232-B599-9434A28A1DA0}">
      <dgm:prSet phldrT="[Text]" phldr="1"/>
      <dgm:spPr/>
      <dgm:t>
        <a:bodyPr/>
        <a:lstStyle/>
        <a:p>
          <a:endParaRPr lang="en-US" dirty="0"/>
        </a:p>
      </dgm:t>
    </dgm:pt>
    <dgm:pt modelId="{AD5CA575-E5F0-480B-A18A-D8E4600F81C4}" type="parTrans" cxnId="{90CB558D-AD4C-477D-82E4-F20935C329C5}">
      <dgm:prSet/>
      <dgm:spPr/>
      <dgm:t>
        <a:bodyPr/>
        <a:lstStyle/>
        <a:p>
          <a:endParaRPr lang="en-US"/>
        </a:p>
      </dgm:t>
    </dgm:pt>
    <dgm:pt modelId="{B8FE6718-D287-4B46-96CA-ECB4269EC60A}" type="sibTrans" cxnId="{90CB558D-AD4C-477D-82E4-F20935C329C5}">
      <dgm:prSet/>
      <dgm:spPr/>
      <dgm:t>
        <a:bodyPr/>
        <a:lstStyle/>
        <a:p>
          <a:endParaRPr lang="en-US"/>
        </a:p>
      </dgm:t>
    </dgm:pt>
    <dgm:pt modelId="{55DAC956-1385-4457-8CC8-6FBC9174DF82}">
      <dgm:prSet phldrT="[Text]" phldr="1"/>
      <dgm:spPr/>
      <dgm:t>
        <a:bodyPr/>
        <a:lstStyle/>
        <a:p>
          <a:endParaRPr lang="en-US" dirty="0"/>
        </a:p>
      </dgm:t>
    </dgm:pt>
    <dgm:pt modelId="{83B62642-E893-413B-A296-560823ACEF7D}" type="parTrans" cxnId="{238D4164-DA56-4681-A688-796EE606F29D}">
      <dgm:prSet/>
      <dgm:spPr/>
      <dgm:t>
        <a:bodyPr/>
        <a:lstStyle/>
        <a:p>
          <a:endParaRPr lang="en-US"/>
        </a:p>
      </dgm:t>
    </dgm:pt>
    <dgm:pt modelId="{DDC256B6-1A33-4CE3-A355-1A438A3B2F9E}" type="sibTrans" cxnId="{238D4164-DA56-4681-A688-796EE606F29D}">
      <dgm:prSet/>
      <dgm:spPr/>
      <dgm:t>
        <a:bodyPr/>
        <a:lstStyle/>
        <a:p>
          <a:endParaRPr lang="en-US"/>
        </a:p>
      </dgm:t>
    </dgm:pt>
    <dgm:pt modelId="{E7D61109-32DC-4390-B8C2-896DCADF91D0}">
      <dgm:prSet custT="1"/>
      <dgm:spPr/>
      <dgm:t>
        <a:bodyPr/>
        <a:lstStyle/>
        <a:p>
          <a:r>
            <a:rPr lang="en-US" sz="1400" dirty="0" smtClean="0"/>
            <a:t>Low toxicity</a:t>
          </a:r>
          <a:endParaRPr lang="en-US" sz="1400" dirty="0"/>
        </a:p>
      </dgm:t>
    </dgm:pt>
    <dgm:pt modelId="{07274E9A-B802-4F2F-97C2-D733BD3FFE11}" type="parTrans" cxnId="{76C1447B-023E-4FA4-89AC-3EAFF278E1F0}">
      <dgm:prSet/>
      <dgm:spPr/>
      <dgm:t>
        <a:bodyPr/>
        <a:lstStyle/>
        <a:p>
          <a:endParaRPr lang="en-US"/>
        </a:p>
      </dgm:t>
    </dgm:pt>
    <dgm:pt modelId="{FC7263CE-C7FD-47BF-871F-F6944FA2C6D0}" type="sibTrans" cxnId="{76C1447B-023E-4FA4-89AC-3EAFF278E1F0}">
      <dgm:prSet/>
      <dgm:spPr/>
      <dgm:t>
        <a:bodyPr/>
        <a:lstStyle/>
        <a:p>
          <a:endParaRPr lang="en-US"/>
        </a:p>
      </dgm:t>
    </dgm:pt>
    <dgm:pt modelId="{D71933ED-D3AC-4B33-AAE1-DA11D6183C51}">
      <dgm:prSet/>
      <dgm:spPr/>
      <dgm:t>
        <a:bodyPr/>
        <a:lstStyle/>
        <a:p>
          <a:endParaRPr lang="en-US"/>
        </a:p>
      </dgm:t>
    </dgm:pt>
    <dgm:pt modelId="{B500C363-71AB-49A7-A01D-DBD27A44077D}" type="parTrans" cxnId="{5476F712-DF8F-4EB4-9AF3-4559E9E10237}">
      <dgm:prSet/>
      <dgm:spPr/>
      <dgm:t>
        <a:bodyPr/>
        <a:lstStyle/>
        <a:p>
          <a:endParaRPr lang="en-US"/>
        </a:p>
      </dgm:t>
    </dgm:pt>
    <dgm:pt modelId="{88321700-4D42-43CB-BA33-990450609532}" type="sibTrans" cxnId="{5476F712-DF8F-4EB4-9AF3-4559E9E10237}">
      <dgm:prSet/>
      <dgm:spPr/>
      <dgm:t>
        <a:bodyPr/>
        <a:lstStyle/>
        <a:p>
          <a:endParaRPr lang="en-US"/>
        </a:p>
      </dgm:t>
    </dgm:pt>
    <dgm:pt modelId="{983A3EAA-9046-4987-8E89-AF4CB3D2917C}">
      <dgm:prSet/>
      <dgm:spPr/>
      <dgm:t>
        <a:bodyPr/>
        <a:lstStyle/>
        <a:p>
          <a:endParaRPr lang="en-US"/>
        </a:p>
      </dgm:t>
    </dgm:pt>
    <dgm:pt modelId="{DE1C33E4-E08D-448F-ACBE-83BCE5FD79BA}" type="parTrans" cxnId="{9C4ED78E-8983-4B14-9BA5-45FD4DB70D61}">
      <dgm:prSet/>
      <dgm:spPr/>
      <dgm:t>
        <a:bodyPr/>
        <a:lstStyle/>
        <a:p>
          <a:endParaRPr lang="en-US"/>
        </a:p>
      </dgm:t>
    </dgm:pt>
    <dgm:pt modelId="{1DEF08BD-3EAF-4E07-A232-F8610DDF2281}" type="sibTrans" cxnId="{9C4ED78E-8983-4B14-9BA5-45FD4DB70D61}">
      <dgm:prSet/>
      <dgm:spPr/>
      <dgm:t>
        <a:bodyPr/>
        <a:lstStyle/>
        <a:p>
          <a:endParaRPr lang="en-US"/>
        </a:p>
      </dgm:t>
    </dgm:pt>
    <dgm:pt modelId="{314ECF57-F00A-419F-98FA-5E5D82DF9EB9}">
      <dgm:prSet phldrT="[Text]" phldr="1"/>
      <dgm:spPr/>
      <dgm:t>
        <a:bodyPr/>
        <a:lstStyle/>
        <a:p>
          <a:endParaRPr lang="en-US" dirty="0"/>
        </a:p>
      </dgm:t>
    </dgm:pt>
    <dgm:pt modelId="{E64940F4-5284-44E7-A03A-E386A189817E}" type="parTrans" cxnId="{2885B655-2FBF-45C5-B3F5-7D9B3D4109EB}">
      <dgm:prSet/>
      <dgm:spPr/>
      <dgm:t>
        <a:bodyPr/>
        <a:lstStyle/>
        <a:p>
          <a:endParaRPr lang="en-US"/>
        </a:p>
      </dgm:t>
    </dgm:pt>
    <dgm:pt modelId="{E8A68B2F-CEAD-430D-8A17-5959B5AB8D86}" type="sibTrans" cxnId="{2885B655-2FBF-45C5-B3F5-7D9B3D4109EB}">
      <dgm:prSet/>
      <dgm:spPr/>
      <dgm:t>
        <a:bodyPr/>
        <a:lstStyle/>
        <a:p>
          <a:endParaRPr lang="en-US"/>
        </a:p>
      </dgm:t>
    </dgm:pt>
    <dgm:pt modelId="{0348C97E-730A-41EB-B0C1-4544172EEBFD}">
      <dgm:prSet custT="1"/>
      <dgm:spPr/>
      <dgm:t>
        <a:bodyPr/>
        <a:lstStyle/>
        <a:p>
          <a:r>
            <a:rPr lang="en-US" sz="1600" dirty="0" smtClean="0"/>
            <a:t>Aqueous solubility</a:t>
          </a:r>
          <a:endParaRPr lang="en-US" sz="1600" dirty="0"/>
        </a:p>
      </dgm:t>
    </dgm:pt>
    <dgm:pt modelId="{06196A54-EC94-49FE-9988-79852EF17ED6}" type="sibTrans" cxnId="{FF56B52F-1499-47DD-A90A-6C94193B9630}">
      <dgm:prSet/>
      <dgm:spPr/>
      <dgm:t>
        <a:bodyPr/>
        <a:lstStyle/>
        <a:p>
          <a:endParaRPr lang="en-US"/>
        </a:p>
      </dgm:t>
    </dgm:pt>
    <dgm:pt modelId="{86458848-607E-41D4-9624-194D0EA0F7F0}" type="parTrans" cxnId="{FF56B52F-1499-47DD-A90A-6C94193B9630}">
      <dgm:prSet/>
      <dgm:spPr/>
      <dgm:t>
        <a:bodyPr/>
        <a:lstStyle/>
        <a:p>
          <a:endParaRPr lang="en-US"/>
        </a:p>
      </dgm:t>
    </dgm:pt>
    <dgm:pt modelId="{BCC84D9C-F7DD-4270-8D4D-78E7865D8059}" type="pres">
      <dgm:prSet presAssocID="{3E4BEADA-1D0E-41F4-9996-316D14C043CD}" presName="diagram" presStyleCnt="0">
        <dgm:presLayoutVars>
          <dgm:chMax val="1"/>
          <dgm:dir/>
          <dgm:animLvl val="ctr"/>
          <dgm:resizeHandles val="exact"/>
        </dgm:presLayoutVars>
      </dgm:prSet>
      <dgm:spPr/>
      <dgm:t>
        <a:bodyPr/>
        <a:lstStyle/>
        <a:p>
          <a:endParaRPr lang="en-US"/>
        </a:p>
      </dgm:t>
    </dgm:pt>
    <dgm:pt modelId="{5B69178B-00DE-488F-BABA-10F92845AE9F}" type="pres">
      <dgm:prSet presAssocID="{3E4BEADA-1D0E-41F4-9996-316D14C043CD}" presName="matrix" presStyleCnt="0"/>
      <dgm:spPr/>
    </dgm:pt>
    <dgm:pt modelId="{E582C17E-A089-4840-A313-1E89DAA9C4E7}" type="pres">
      <dgm:prSet presAssocID="{3E4BEADA-1D0E-41F4-9996-316D14C043CD}" presName="tile1" presStyleLbl="node1" presStyleIdx="0" presStyleCnt="4" custLinFactNeighborX="1007"/>
      <dgm:spPr/>
      <dgm:t>
        <a:bodyPr/>
        <a:lstStyle/>
        <a:p>
          <a:endParaRPr lang="en-US"/>
        </a:p>
      </dgm:t>
    </dgm:pt>
    <dgm:pt modelId="{16D3B02E-3C29-4E28-AD87-C151EA77D1A2}" type="pres">
      <dgm:prSet presAssocID="{3E4BEADA-1D0E-41F4-9996-316D14C043CD}" presName="tile1text" presStyleLbl="node1" presStyleIdx="0" presStyleCnt="4">
        <dgm:presLayoutVars>
          <dgm:chMax val="0"/>
          <dgm:chPref val="0"/>
          <dgm:bulletEnabled val="1"/>
        </dgm:presLayoutVars>
      </dgm:prSet>
      <dgm:spPr/>
      <dgm:t>
        <a:bodyPr/>
        <a:lstStyle/>
        <a:p>
          <a:endParaRPr lang="en-US"/>
        </a:p>
      </dgm:t>
    </dgm:pt>
    <dgm:pt modelId="{058759A8-73D8-47F3-AC35-B2DD6108182A}" type="pres">
      <dgm:prSet presAssocID="{3E4BEADA-1D0E-41F4-9996-316D14C043CD}" presName="tile2" presStyleLbl="node1" presStyleIdx="1" presStyleCnt="4" custLinFactNeighborX="2015" custLinFactNeighborY="-504"/>
      <dgm:spPr/>
      <dgm:t>
        <a:bodyPr/>
        <a:lstStyle/>
        <a:p>
          <a:endParaRPr lang="en-US"/>
        </a:p>
      </dgm:t>
    </dgm:pt>
    <dgm:pt modelId="{B8FB8439-1ECE-4AEB-B54A-DD7E8EC3A9E3}" type="pres">
      <dgm:prSet presAssocID="{3E4BEADA-1D0E-41F4-9996-316D14C043CD}" presName="tile2text" presStyleLbl="node1" presStyleIdx="1" presStyleCnt="4">
        <dgm:presLayoutVars>
          <dgm:chMax val="0"/>
          <dgm:chPref val="0"/>
          <dgm:bulletEnabled val="1"/>
        </dgm:presLayoutVars>
      </dgm:prSet>
      <dgm:spPr/>
      <dgm:t>
        <a:bodyPr/>
        <a:lstStyle/>
        <a:p>
          <a:endParaRPr lang="en-US"/>
        </a:p>
      </dgm:t>
    </dgm:pt>
    <dgm:pt modelId="{4D985E1C-CBB8-44EF-8097-313285BA5405}" type="pres">
      <dgm:prSet presAssocID="{3E4BEADA-1D0E-41F4-9996-316D14C043CD}" presName="tile3" presStyleLbl="node1" presStyleIdx="2" presStyleCnt="4" custLinFactNeighborX="1679"/>
      <dgm:spPr/>
      <dgm:t>
        <a:bodyPr/>
        <a:lstStyle/>
        <a:p>
          <a:endParaRPr lang="en-US"/>
        </a:p>
      </dgm:t>
    </dgm:pt>
    <dgm:pt modelId="{E28695C3-107E-4E41-8002-E88E3666B8A1}" type="pres">
      <dgm:prSet presAssocID="{3E4BEADA-1D0E-41F4-9996-316D14C043CD}" presName="tile3text" presStyleLbl="node1" presStyleIdx="2" presStyleCnt="4">
        <dgm:presLayoutVars>
          <dgm:chMax val="0"/>
          <dgm:chPref val="0"/>
          <dgm:bulletEnabled val="1"/>
        </dgm:presLayoutVars>
      </dgm:prSet>
      <dgm:spPr/>
      <dgm:t>
        <a:bodyPr/>
        <a:lstStyle/>
        <a:p>
          <a:endParaRPr lang="en-US"/>
        </a:p>
      </dgm:t>
    </dgm:pt>
    <dgm:pt modelId="{B132AEC9-EB37-41A5-91A0-353156C7BFC7}" type="pres">
      <dgm:prSet presAssocID="{3E4BEADA-1D0E-41F4-9996-316D14C043CD}" presName="tile4" presStyleLbl="node1" presStyleIdx="3" presStyleCnt="4" custLinFactNeighborX="0" custLinFactNeighborY="-2309"/>
      <dgm:spPr/>
      <dgm:t>
        <a:bodyPr/>
        <a:lstStyle/>
        <a:p>
          <a:endParaRPr lang="en-US"/>
        </a:p>
      </dgm:t>
    </dgm:pt>
    <dgm:pt modelId="{342FFEAC-C4BB-4D03-BB05-323E6BCB5704}" type="pres">
      <dgm:prSet presAssocID="{3E4BEADA-1D0E-41F4-9996-316D14C043CD}" presName="tile4text" presStyleLbl="node1" presStyleIdx="3" presStyleCnt="4">
        <dgm:presLayoutVars>
          <dgm:chMax val="0"/>
          <dgm:chPref val="0"/>
          <dgm:bulletEnabled val="1"/>
        </dgm:presLayoutVars>
      </dgm:prSet>
      <dgm:spPr/>
      <dgm:t>
        <a:bodyPr/>
        <a:lstStyle/>
        <a:p>
          <a:endParaRPr lang="en-US"/>
        </a:p>
      </dgm:t>
    </dgm:pt>
    <dgm:pt modelId="{C8ED3EDA-DD1B-4527-88E4-CC5481ADE9DB}" type="pres">
      <dgm:prSet presAssocID="{3E4BEADA-1D0E-41F4-9996-316D14C043CD}" presName="centerTile" presStyleLbl="fgShp" presStyleIdx="0" presStyleCnt="1" custScaleY="157933">
        <dgm:presLayoutVars>
          <dgm:chMax val="0"/>
          <dgm:chPref val="0"/>
        </dgm:presLayoutVars>
      </dgm:prSet>
      <dgm:spPr/>
      <dgm:t>
        <a:bodyPr/>
        <a:lstStyle/>
        <a:p>
          <a:endParaRPr lang="en-US"/>
        </a:p>
      </dgm:t>
    </dgm:pt>
  </dgm:ptLst>
  <dgm:cxnLst>
    <dgm:cxn modelId="{9C4ED78E-8983-4B14-9BA5-45FD4DB70D61}" srcId="{3E4BEADA-1D0E-41F4-9996-316D14C043CD}" destId="{983A3EAA-9046-4987-8E89-AF4CB3D2917C}" srcOrd="2" destOrd="0" parTransId="{DE1C33E4-E08D-448F-ACBE-83BCE5FD79BA}" sibTransId="{1DEF08BD-3EAF-4E07-A232-F8610DDF2281}"/>
    <dgm:cxn modelId="{0FE59F79-ADE1-4FFC-88D6-701E86868805}" srcId="{A98D1A6E-3065-49AC-A792-BDAF98B2FF2A}" destId="{05256BAB-BDD6-41C7-BEBF-5187A53A9110}" srcOrd="3" destOrd="0" parTransId="{04B5D673-5D04-4647-A345-689393B5DBC9}" sibTransId="{40EA0116-2A35-4132-B139-618610E9121C}"/>
    <dgm:cxn modelId="{6475FB91-A20A-423A-AC41-9364E93D8AB9}" type="presOf" srcId="{E7D61109-32DC-4390-B8C2-896DCADF91D0}" destId="{B8FB8439-1ECE-4AEB-B54A-DD7E8EC3A9E3}" srcOrd="1" destOrd="0" presId="urn:microsoft.com/office/officeart/2005/8/layout/matrix1"/>
    <dgm:cxn modelId="{69C1ED6D-C5D4-4F64-AC31-EE4EA0651494}" type="presOf" srcId="{E7D61109-32DC-4390-B8C2-896DCADF91D0}" destId="{058759A8-73D8-47F3-AC35-B2DD6108182A}" srcOrd="0" destOrd="0" presId="urn:microsoft.com/office/officeart/2005/8/layout/matrix1"/>
    <dgm:cxn modelId="{B5287C9A-FDC9-4D2E-BDA7-81D540A6B605}" type="presOf" srcId="{A98D1A6E-3065-49AC-A792-BDAF98B2FF2A}" destId="{C8ED3EDA-DD1B-4527-88E4-CC5481ADE9DB}" srcOrd="0" destOrd="0" presId="urn:microsoft.com/office/officeart/2005/8/layout/matrix1"/>
    <dgm:cxn modelId="{5476F712-DF8F-4EB4-9AF3-4559E9E10237}" srcId="{A98D1A6E-3065-49AC-A792-BDAF98B2FF2A}" destId="{D71933ED-D3AC-4B33-AAE1-DA11D6183C51}" srcOrd="4" destOrd="0" parTransId="{B500C363-71AB-49A7-A01D-DBD27A44077D}" sibTransId="{88321700-4D42-43CB-BA33-990450609532}"/>
    <dgm:cxn modelId="{0CA47838-8D2D-475D-A035-8106A52A24E9}" srcId="{A98D1A6E-3065-49AC-A792-BDAF98B2FF2A}" destId="{941E28D2-D687-4A91-A893-B98DA00470B1}" srcOrd="0" destOrd="0" parTransId="{5BCC525A-7DE5-40A7-91A2-07DD34C07435}" sibTransId="{8F7D78A6-500D-4FC4-AAD2-5BCFE8BC5B10}"/>
    <dgm:cxn modelId="{76C1447B-023E-4FA4-89AC-3EAFF278E1F0}" srcId="{A98D1A6E-3065-49AC-A792-BDAF98B2FF2A}" destId="{E7D61109-32DC-4390-B8C2-896DCADF91D0}" srcOrd="1" destOrd="0" parTransId="{07274E9A-B802-4F2F-97C2-D733BD3FFE11}" sibTransId="{FC7263CE-C7FD-47BF-871F-F6944FA2C6D0}"/>
    <dgm:cxn modelId="{3BD9D9D5-010A-4383-9101-7DB583ECADD4}" type="presOf" srcId="{0348C97E-730A-41EB-B0C1-4544172EEBFD}" destId="{E28695C3-107E-4E41-8002-E88E3666B8A1}" srcOrd="1" destOrd="0" presId="urn:microsoft.com/office/officeart/2005/8/layout/matrix1"/>
    <dgm:cxn modelId="{2F1BEDDE-E90B-450D-88C8-4086A1773DE8}" type="presOf" srcId="{05256BAB-BDD6-41C7-BEBF-5187A53A9110}" destId="{342FFEAC-C4BB-4D03-BB05-323E6BCB5704}" srcOrd="1" destOrd="0" presId="urn:microsoft.com/office/officeart/2005/8/layout/matrix1"/>
    <dgm:cxn modelId="{CA089BB0-70EF-4F41-B527-D366D811EDF5}" type="presOf" srcId="{3E4BEADA-1D0E-41F4-9996-316D14C043CD}" destId="{BCC84D9C-F7DD-4270-8D4D-78E7865D8059}" srcOrd="0" destOrd="0" presId="urn:microsoft.com/office/officeart/2005/8/layout/matrix1"/>
    <dgm:cxn modelId="{2885B655-2FBF-45C5-B3F5-7D9B3D4109EB}" srcId="{3E4BEADA-1D0E-41F4-9996-316D14C043CD}" destId="{314ECF57-F00A-419F-98FA-5E5D82DF9EB9}" srcOrd="1" destOrd="0" parTransId="{E64940F4-5284-44E7-A03A-E386A189817E}" sibTransId="{E8A68B2F-CEAD-430D-8A17-5959B5AB8D86}"/>
    <dgm:cxn modelId="{90CB558D-AD4C-477D-82E4-F20935C329C5}" srcId="{A98D1A6E-3065-49AC-A792-BDAF98B2FF2A}" destId="{5BE3FDF4-4D19-4232-B599-9434A28A1DA0}" srcOrd="5" destOrd="0" parTransId="{AD5CA575-E5F0-480B-A18A-D8E4600F81C4}" sibTransId="{B8FE6718-D287-4B46-96CA-ECB4269EC60A}"/>
    <dgm:cxn modelId="{FF56B52F-1499-47DD-A90A-6C94193B9630}" srcId="{A98D1A6E-3065-49AC-A792-BDAF98B2FF2A}" destId="{0348C97E-730A-41EB-B0C1-4544172EEBFD}" srcOrd="2" destOrd="0" parTransId="{86458848-607E-41D4-9624-194D0EA0F7F0}" sibTransId="{06196A54-EC94-49FE-9988-79852EF17ED6}"/>
    <dgm:cxn modelId="{DA773F25-F00B-4D54-B2F9-834674167DF6}" srcId="{3E4BEADA-1D0E-41F4-9996-316D14C043CD}" destId="{A98D1A6E-3065-49AC-A792-BDAF98B2FF2A}" srcOrd="0" destOrd="0" parTransId="{69F24AF5-EC6B-42FF-B7CE-1AB27ED670F1}" sibTransId="{766CB929-2FAC-47D6-8D66-DC2525A4EB0F}"/>
    <dgm:cxn modelId="{19D55596-C750-4E26-8AAC-E54AE67E5641}" type="presOf" srcId="{0348C97E-730A-41EB-B0C1-4544172EEBFD}" destId="{4D985E1C-CBB8-44EF-8097-313285BA5405}" srcOrd="0" destOrd="0" presId="urn:microsoft.com/office/officeart/2005/8/layout/matrix1"/>
    <dgm:cxn modelId="{3C4CCF3B-9B2A-4034-B049-232E3E4F380B}" type="presOf" srcId="{05256BAB-BDD6-41C7-BEBF-5187A53A9110}" destId="{B132AEC9-EB37-41A5-91A0-353156C7BFC7}" srcOrd="0" destOrd="0" presId="urn:microsoft.com/office/officeart/2005/8/layout/matrix1"/>
    <dgm:cxn modelId="{238D4164-DA56-4681-A688-796EE606F29D}" srcId="{A98D1A6E-3065-49AC-A792-BDAF98B2FF2A}" destId="{55DAC956-1385-4457-8CC8-6FBC9174DF82}" srcOrd="6" destOrd="0" parTransId="{83B62642-E893-413B-A296-560823ACEF7D}" sibTransId="{DDC256B6-1A33-4CE3-A355-1A438A3B2F9E}"/>
    <dgm:cxn modelId="{E5EF0E06-1D5A-4E51-BDE7-F7FB330E59BB}" type="presOf" srcId="{941E28D2-D687-4A91-A893-B98DA00470B1}" destId="{E582C17E-A089-4840-A313-1E89DAA9C4E7}" srcOrd="0" destOrd="0" presId="urn:microsoft.com/office/officeart/2005/8/layout/matrix1"/>
    <dgm:cxn modelId="{7EEF40AC-F3C6-49EA-846A-D60719123E0C}" type="presOf" srcId="{941E28D2-D687-4A91-A893-B98DA00470B1}" destId="{16D3B02E-3C29-4E28-AD87-C151EA77D1A2}" srcOrd="1" destOrd="0" presId="urn:microsoft.com/office/officeart/2005/8/layout/matrix1"/>
    <dgm:cxn modelId="{4B9F29E6-58CD-4C16-8547-55B8FF69E88F}" type="presParOf" srcId="{BCC84D9C-F7DD-4270-8D4D-78E7865D8059}" destId="{5B69178B-00DE-488F-BABA-10F92845AE9F}" srcOrd="0" destOrd="0" presId="urn:microsoft.com/office/officeart/2005/8/layout/matrix1"/>
    <dgm:cxn modelId="{5FA28558-CF8C-4C5E-B05F-6BFAFE8C0928}" type="presParOf" srcId="{5B69178B-00DE-488F-BABA-10F92845AE9F}" destId="{E582C17E-A089-4840-A313-1E89DAA9C4E7}" srcOrd="0" destOrd="0" presId="urn:microsoft.com/office/officeart/2005/8/layout/matrix1"/>
    <dgm:cxn modelId="{6A02134E-275A-4F29-83DD-5F9FE095CF4C}" type="presParOf" srcId="{5B69178B-00DE-488F-BABA-10F92845AE9F}" destId="{16D3B02E-3C29-4E28-AD87-C151EA77D1A2}" srcOrd="1" destOrd="0" presId="urn:microsoft.com/office/officeart/2005/8/layout/matrix1"/>
    <dgm:cxn modelId="{DCF7DEBA-6E0F-415D-B0A8-2701A7B438B8}" type="presParOf" srcId="{5B69178B-00DE-488F-BABA-10F92845AE9F}" destId="{058759A8-73D8-47F3-AC35-B2DD6108182A}" srcOrd="2" destOrd="0" presId="urn:microsoft.com/office/officeart/2005/8/layout/matrix1"/>
    <dgm:cxn modelId="{E27F543A-11F5-4BFC-A34B-07921997F9D4}" type="presParOf" srcId="{5B69178B-00DE-488F-BABA-10F92845AE9F}" destId="{B8FB8439-1ECE-4AEB-B54A-DD7E8EC3A9E3}" srcOrd="3" destOrd="0" presId="urn:microsoft.com/office/officeart/2005/8/layout/matrix1"/>
    <dgm:cxn modelId="{95AB4823-4128-4A44-9129-B1335CBB6AA4}" type="presParOf" srcId="{5B69178B-00DE-488F-BABA-10F92845AE9F}" destId="{4D985E1C-CBB8-44EF-8097-313285BA5405}" srcOrd="4" destOrd="0" presId="urn:microsoft.com/office/officeart/2005/8/layout/matrix1"/>
    <dgm:cxn modelId="{6ABF86F1-AAFA-431C-8775-28389968B459}" type="presParOf" srcId="{5B69178B-00DE-488F-BABA-10F92845AE9F}" destId="{E28695C3-107E-4E41-8002-E88E3666B8A1}" srcOrd="5" destOrd="0" presId="urn:microsoft.com/office/officeart/2005/8/layout/matrix1"/>
    <dgm:cxn modelId="{9B78110A-E7F5-40FF-8FF9-AA30C550C5FE}" type="presParOf" srcId="{5B69178B-00DE-488F-BABA-10F92845AE9F}" destId="{B132AEC9-EB37-41A5-91A0-353156C7BFC7}" srcOrd="6" destOrd="0" presId="urn:microsoft.com/office/officeart/2005/8/layout/matrix1"/>
    <dgm:cxn modelId="{4E0A695E-A67E-4F7D-A54A-C9E503805B15}" type="presParOf" srcId="{5B69178B-00DE-488F-BABA-10F92845AE9F}" destId="{342FFEAC-C4BB-4D03-BB05-323E6BCB5704}" srcOrd="7" destOrd="0" presId="urn:microsoft.com/office/officeart/2005/8/layout/matrix1"/>
    <dgm:cxn modelId="{7CF0B959-E0DF-41A7-BCFA-6D691FACC0F7}" type="presParOf" srcId="{BCC84D9C-F7DD-4270-8D4D-78E7865D8059}" destId="{C8ED3EDA-DD1B-4527-88E4-CC5481ADE9DB}" srcOrd="1" destOrd="0" presId="urn:microsoft.com/office/officeart/2005/8/layout/matrix1"/>
  </dgm:cxnLst>
  <dgm:bg/>
  <dgm:whole/>
</dgm:dataModel>
</file>

<file path=word/diagrams/data2.xml><?xml version="1.0" encoding="utf-8"?>
<dgm:dataModel xmlns:dgm="http://schemas.openxmlformats.org/drawingml/2006/diagram" xmlns:a="http://schemas.openxmlformats.org/drawingml/2006/main">
  <dgm:ptLst>
    <dgm:pt modelId="{F1DF053A-D594-42F9-A50D-618D67B0A6B4}" type="doc">
      <dgm:prSet loTypeId="urn:microsoft.com/office/officeart/2005/8/layout/process1" loCatId="process" qsTypeId="urn:microsoft.com/office/officeart/2005/8/quickstyle/3d7" qsCatId="3D" csTypeId="urn:microsoft.com/office/officeart/2005/8/colors/accent2_3" csCatId="accent2" phldr="1"/>
      <dgm:spPr/>
    </dgm:pt>
    <dgm:pt modelId="{2A05F974-870B-46AD-90EC-62A2DE7E071B}">
      <dgm:prSet phldrT="[Text]" custT="1"/>
      <dgm:spPr/>
      <dgm:t>
        <a:bodyPr/>
        <a:lstStyle/>
        <a:p>
          <a:r>
            <a:rPr lang="en-US" sz="2000" dirty="0" smtClean="0"/>
            <a:t>Data</a:t>
          </a:r>
          <a:endParaRPr lang="en-US" sz="2000" dirty="0"/>
        </a:p>
      </dgm:t>
    </dgm:pt>
    <dgm:pt modelId="{33C58A4C-7112-4C6D-8EE4-0B277E8B9774}" type="parTrans" cxnId="{D070BBD6-9313-4805-A2EC-D58DC187A746}">
      <dgm:prSet/>
      <dgm:spPr/>
      <dgm:t>
        <a:bodyPr/>
        <a:lstStyle/>
        <a:p>
          <a:endParaRPr lang="en-US"/>
        </a:p>
      </dgm:t>
    </dgm:pt>
    <dgm:pt modelId="{A90AD90C-C3FD-435F-99E3-515F365160D6}" type="sibTrans" cxnId="{D070BBD6-9313-4805-A2EC-D58DC187A746}">
      <dgm:prSet/>
      <dgm:spPr/>
      <dgm:t>
        <a:bodyPr/>
        <a:lstStyle/>
        <a:p>
          <a:endParaRPr lang="en-US"/>
        </a:p>
      </dgm:t>
    </dgm:pt>
    <dgm:pt modelId="{7613525F-6076-4F73-9F59-8EAC329EA0A2}">
      <dgm:prSet phldrT="[Text]" custT="1"/>
      <dgm:spPr/>
      <dgm:t>
        <a:bodyPr/>
        <a:lstStyle/>
        <a:p>
          <a:r>
            <a:rPr lang="en-US" sz="2000" dirty="0" smtClean="0"/>
            <a:t>Information</a:t>
          </a:r>
          <a:endParaRPr lang="en-US" sz="2000" dirty="0"/>
        </a:p>
      </dgm:t>
    </dgm:pt>
    <dgm:pt modelId="{37B74430-0A98-4739-96D3-5FFAD578A2ED}" type="parTrans" cxnId="{068F89AF-AD96-4A24-A207-B10FBAE9E8FA}">
      <dgm:prSet/>
      <dgm:spPr/>
      <dgm:t>
        <a:bodyPr/>
        <a:lstStyle/>
        <a:p>
          <a:endParaRPr lang="en-US"/>
        </a:p>
      </dgm:t>
    </dgm:pt>
    <dgm:pt modelId="{B98B5FB6-D93D-4224-B2EE-AC463FF5AAF3}" type="sibTrans" cxnId="{068F89AF-AD96-4A24-A207-B10FBAE9E8FA}">
      <dgm:prSet/>
      <dgm:spPr/>
      <dgm:t>
        <a:bodyPr/>
        <a:lstStyle/>
        <a:p>
          <a:endParaRPr lang="en-US"/>
        </a:p>
      </dgm:t>
    </dgm:pt>
    <dgm:pt modelId="{B1DDE901-2964-4FFC-B12F-3B08ACA76FF5}">
      <dgm:prSet phldrT="[Text]" custT="1"/>
      <dgm:spPr/>
      <dgm:t>
        <a:bodyPr/>
        <a:lstStyle/>
        <a:p>
          <a:r>
            <a:rPr lang="en-US" sz="1800" dirty="0" smtClean="0"/>
            <a:t>Knowledge</a:t>
          </a:r>
          <a:endParaRPr lang="en-US" sz="1800" dirty="0"/>
        </a:p>
      </dgm:t>
    </dgm:pt>
    <dgm:pt modelId="{5DA453EA-6C84-47C2-B849-E9D6C4F13790}" type="parTrans" cxnId="{0BEE536C-4955-4011-B5B6-6ADCEF1CC0B4}">
      <dgm:prSet/>
      <dgm:spPr/>
      <dgm:t>
        <a:bodyPr/>
        <a:lstStyle/>
        <a:p>
          <a:endParaRPr lang="en-US"/>
        </a:p>
      </dgm:t>
    </dgm:pt>
    <dgm:pt modelId="{11016DC4-0106-44C7-AFDB-0A68F9E2CFA1}" type="sibTrans" cxnId="{0BEE536C-4955-4011-B5B6-6ADCEF1CC0B4}">
      <dgm:prSet/>
      <dgm:spPr/>
      <dgm:t>
        <a:bodyPr/>
        <a:lstStyle/>
        <a:p>
          <a:endParaRPr lang="en-US"/>
        </a:p>
      </dgm:t>
    </dgm:pt>
    <dgm:pt modelId="{F4FCC33B-C834-4CC5-8689-9E70D5D89E9D}" type="pres">
      <dgm:prSet presAssocID="{F1DF053A-D594-42F9-A50D-618D67B0A6B4}" presName="Name0" presStyleCnt="0">
        <dgm:presLayoutVars>
          <dgm:dir/>
          <dgm:resizeHandles val="exact"/>
        </dgm:presLayoutVars>
      </dgm:prSet>
      <dgm:spPr/>
    </dgm:pt>
    <dgm:pt modelId="{E0123F16-525F-4D84-8BCF-575702F87160}" type="pres">
      <dgm:prSet presAssocID="{2A05F974-870B-46AD-90EC-62A2DE7E071B}" presName="node" presStyleLbl="node1" presStyleIdx="0" presStyleCnt="3">
        <dgm:presLayoutVars>
          <dgm:bulletEnabled val="1"/>
        </dgm:presLayoutVars>
      </dgm:prSet>
      <dgm:spPr/>
      <dgm:t>
        <a:bodyPr/>
        <a:lstStyle/>
        <a:p>
          <a:endParaRPr lang="en-US"/>
        </a:p>
      </dgm:t>
    </dgm:pt>
    <dgm:pt modelId="{4B9B6709-05C4-4FC8-8F52-FD1F88ED4EC1}" type="pres">
      <dgm:prSet presAssocID="{A90AD90C-C3FD-435F-99E3-515F365160D6}" presName="sibTrans" presStyleLbl="sibTrans2D1" presStyleIdx="0" presStyleCnt="2"/>
      <dgm:spPr/>
      <dgm:t>
        <a:bodyPr/>
        <a:lstStyle/>
        <a:p>
          <a:endParaRPr lang="en-US"/>
        </a:p>
      </dgm:t>
    </dgm:pt>
    <dgm:pt modelId="{496100ED-E393-45A6-AEF9-757E3834315E}" type="pres">
      <dgm:prSet presAssocID="{A90AD90C-C3FD-435F-99E3-515F365160D6}" presName="connectorText" presStyleLbl="sibTrans2D1" presStyleIdx="0" presStyleCnt="2"/>
      <dgm:spPr/>
      <dgm:t>
        <a:bodyPr/>
        <a:lstStyle/>
        <a:p>
          <a:endParaRPr lang="en-US"/>
        </a:p>
      </dgm:t>
    </dgm:pt>
    <dgm:pt modelId="{B70F587C-50CC-4B21-BC81-FC7599F4DF6E}" type="pres">
      <dgm:prSet presAssocID="{7613525F-6076-4F73-9F59-8EAC329EA0A2}" presName="node" presStyleLbl="node1" presStyleIdx="1" presStyleCnt="3">
        <dgm:presLayoutVars>
          <dgm:bulletEnabled val="1"/>
        </dgm:presLayoutVars>
      </dgm:prSet>
      <dgm:spPr/>
      <dgm:t>
        <a:bodyPr/>
        <a:lstStyle/>
        <a:p>
          <a:endParaRPr lang="en-US"/>
        </a:p>
      </dgm:t>
    </dgm:pt>
    <dgm:pt modelId="{C20042EC-D493-41F7-8DCC-B05767307F77}" type="pres">
      <dgm:prSet presAssocID="{B98B5FB6-D93D-4224-B2EE-AC463FF5AAF3}" presName="sibTrans" presStyleLbl="sibTrans2D1" presStyleIdx="1" presStyleCnt="2"/>
      <dgm:spPr/>
      <dgm:t>
        <a:bodyPr/>
        <a:lstStyle/>
        <a:p>
          <a:endParaRPr lang="en-US"/>
        </a:p>
      </dgm:t>
    </dgm:pt>
    <dgm:pt modelId="{2D2770CC-95F9-4844-9E4F-1BFDDA25DA10}" type="pres">
      <dgm:prSet presAssocID="{B98B5FB6-D93D-4224-B2EE-AC463FF5AAF3}" presName="connectorText" presStyleLbl="sibTrans2D1" presStyleIdx="1" presStyleCnt="2"/>
      <dgm:spPr/>
      <dgm:t>
        <a:bodyPr/>
        <a:lstStyle/>
        <a:p>
          <a:endParaRPr lang="en-US"/>
        </a:p>
      </dgm:t>
    </dgm:pt>
    <dgm:pt modelId="{ED86FDD7-CF1C-42E5-9A8E-4656A13BB115}" type="pres">
      <dgm:prSet presAssocID="{B1DDE901-2964-4FFC-B12F-3B08ACA76FF5}" presName="node" presStyleLbl="node1" presStyleIdx="2" presStyleCnt="3">
        <dgm:presLayoutVars>
          <dgm:bulletEnabled val="1"/>
        </dgm:presLayoutVars>
      </dgm:prSet>
      <dgm:spPr/>
      <dgm:t>
        <a:bodyPr/>
        <a:lstStyle/>
        <a:p>
          <a:endParaRPr lang="en-US"/>
        </a:p>
      </dgm:t>
    </dgm:pt>
  </dgm:ptLst>
  <dgm:cxnLst>
    <dgm:cxn modelId="{2ACAF31B-1CD3-4289-A951-D7F155FCC060}" type="presOf" srcId="{B1DDE901-2964-4FFC-B12F-3B08ACA76FF5}" destId="{ED86FDD7-CF1C-42E5-9A8E-4656A13BB115}" srcOrd="0" destOrd="0" presId="urn:microsoft.com/office/officeart/2005/8/layout/process1"/>
    <dgm:cxn modelId="{0960537A-4257-458E-8383-D2558DAB2B8B}" type="presOf" srcId="{B98B5FB6-D93D-4224-B2EE-AC463FF5AAF3}" destId="{2D2770CC-95F9-4844-9E4F-1BFDDA25DA10}" srcOrd="1" destOrd="0" presId="urn:microsoft.com/office/officeart/2005/8/layout/process1"/>
    <dgm:cxn modelId="{F4491734-DBA7-4F20-AA6C-E875140A61E2}" type="presOf" srcId="{7613525F-6076-4F73-9F59-8EAC329EA0A2}" destId="{B70F587C-50CC-4B21-BC81-FC7599F4DF6E}" srcOrd="0" destOrd="0" presId="urn:microsoft.com/office/officeart/2005/8/layout/process1"/>
    <dgm:cxn modelId="{67312AE1-F075-4B16-8F57-E0865EB12D78}" type="presOf" srcId="{2A05F974-870B-46AD-90EC-62A2DE7E071B}" destId="{E0123F16-525F-4D84-8BCF-575702F87160}" srcOrd="0" destOrd="0" presId="urn:microsoft.com/office/officeart/2005/8/layout/process1"/>
    <dgm:cxn modelId="{C43725B8-1AF3-46FB-BAB6-C181B17DF7A9}" type="presOf" srcId="{A90AD90C-C3FD-435F-99E3-515F365160D6}" destId="{496100ED-E393-45A6-AEF9-757E3834315E}" srcOrd="1" destOrd="0" presId="urn:microsoft.com/office/officeart/2005/8/layout/process1"/>
    <dgm:cxn modelId="{068F89AF-AD96-4A24-A207-B10FBAE9E8FA}" srcId="{F1DF053A-D594-42F9-A50D-618D67B0A6B4}" destId="{7613525F-6076-4F73-9F59-8EAC329EA0A2}" srcOrd="1" destOrd="0" parTransId="{37B74430-0A98-4739-96D3-5FFAD578A2ED}" sibTransId="{B98B5FB6-D93D-4224-B2EE-AC463FF5AAF3}"/>
    <dgm:cxn modelId="{0BEE536C-4955-4011-B5B6-6ADCEF1CC0B4}" srcId="{F1DF053A-D594-42F9-A50D-618D67B0A6B4}" destId="{B1DDE901-2964-4FFC-B12F-3B08ACA76FF5}" srcOrd="2" destOrd="0" parTransId="{5DA453EA-6C84-47C2-B849-E9D6C4F13790}" sibTransId="{11016DC4-0106-44C7-AFDB-0A68F9E2CFA1}"/>
    <dgm:cxn modelId="{5EAD705B-F6C4-4ADF-9892-CB408CDF9706}" type="presOf" srcId="{F1DF053A-D594-42F9-A50D-618D67B0A6B4}" destId="{F4FCC33B-C834-4CC5-8689-9E70D5D89E9D}" srcOrd="0" destOrd="0" presId="urn:microsoft.com/office/officeart/2005/8/layout/process1"/>
    <dgm:cxn modelId="{D070BBD6-9313-4805-A2EC-D58DC187A746}" srcId="{F1DF053A-D594-42F9-A50D-618D67B0A6B4}" destId="{2A05F974-870B-46AD-90EC-62A2DE7E071B}" srcOrd="0" destOrd="0" parTransId="{33C58A4C-7112-4C6D-8EE4-0B277E8B9774}" sibTransId="{A90AD90C-C3FD-435F-99E3-515F365160D6}"/>
    <dgm:cxn modelId="{28644947-D7E0-4988-A24F-EFDDBA76843F}" type="presOf" srcId="{B98B5FB6-D93D-4224-B2EE-AC463FF5AAF3}" destId="{C20042EC-D493-41F7-8DCC-B05767307F77}" srcOrd="0" destOrd="0" presId="urn:microsoft.com/office/officeart/2005/8/layout/process1"/>
    <dgm:cxn modelId="{97560F2A-FE76-420A-B572-87D9CD370E0D}" type="presOf" srcId="{A90AD90C-C3FD-435F-99E3-515F365160D6}" destId="{4B9B6709-05C4-4FC8-8F52-FD1F88ED4EC1}" srcOrd="0" destOrd="0" presId="urn:microsoft.com/office/officeart/2005/8/layout/process1"/>
    <dgm:cxn modelId="{57D73B4C-4534-44B4-AB73-03F61CAA25D9}" type="presParOf" srcId="{F4FCC33B-C834-4CC5-8689-9E70D5D89E9D}" destId="{E0123F16-525F-4D84-8BCF-575702F87160}" srcOrd="0" destOrd="0" presId="urn:microsoft.com/office/officeart/2005/8/layout/process1"/>
    <dgm:cxn modelId="{949F7139-A393-4F5A-A7F8-DBBCA3E6F895}" type="presParOf" srcId="{F4FCC33B-C834-4CC5-8689-9E70D5D89E9D}" destId="{4B9B6709-05C4-4FC8-8F52-FD1F88ED4EC1}" srcOrd="1" destOrd="0" presId="urn:microsoft.com/office/officeart/2005/8/layout/process1"/>
    <dgm:cxn modelId="{E5F8C024-F614-4896-A273-2D2979C8C3AD}" type="presParOf" srcId="{4B9B6709-05C4-4FC8-8F52-FD1F88ED4EC1}" destId="{496100ED-E393-45A6-AEF9-757E3834315E}" srcOrd="0" destOrd="0" presId="urn:microsoft.com/office/officeart/2005/8/layout/process1"/>
    <dgm:cxn modelId="{4014C152-93D8-4EFE-B163-214843E5E99E}" type="presParOf" srcId="{F4FCC33B-C834-4CC5-8689-9E70D5D89E9D}" destId="{B70F587C-50CC-4B21-BC81-FC7599F4DF6E}" srcOrd="2" destOrd="0" presId="urn:microsoft.com/office/officeart/2005/8/layout/process1"/>
    <dgm:cxn modelId="{75D430FD-C485-424E-86C9-95EE1834A39C}" type="presParOf" srcId="{F4FCC33B-C834-4CC5-8689-9E70D5D89E9D}" destId="{C20042EC-D493-41F7-8DCC-B05767307F77}" srcOrd="3" destOrd="0" presId="urn:microsoft.com/office/officeart/2005/8/layout/process1"/>
    <dgm:cxn modelId="{1FFB1DF1-DCB0-438F-8BB4-DF84243D5EBE}" type="presParOf" srcId="{C20042EC-D493-41F7-8DCC-B05767307F77}" destId="{2D2770CC-95F9-4844-9E4F-1BFDDA25DA10}" srcOrd="0" destOrd="0" presId="urn:microsoft.com/office/officeart/2005/8/layout/process1"/>
    <dgm:cxn modelId="{8C8071B0-9C4C-424E-985A-8C52D2E3B676}" type="presParOf" srcId="{F4FCC33B-C834-4CC5-8689-9E70D5D89E9D}" destId="{ED86FDD7-CF1C-42E5-9A8E-4656A13BB115}" srcOrd="4" destOrd="0" presId="urn:microsoft.com/office/officeart/2005/8/layout/process1"/>
  </dgm:cxnLst>
  <dgm:bg/>
  <dgm:whole/>
</dgm:dataModel>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Solstice">
      <a:dk1>
        <a:sysClr val="windowText" lastClr="000000"/>
      </a:dk1>
      <a:lt1>
        <a:sysClr val="window" lastClr="FFFFFF"/>
      </a:lt1>
      <a:dk2>
        <a:srgbClr val="4F271C"/>
      </a:dk2>
      <a:lt2>
        <a:srgbClr val="E7DEC9"/>
      </a:lt2>
      <a:accent1>
        <a:srgbClr val="3891A7"/>
      </a:accent1>
      <a:accent2>
        <a:srgbClr val="FEB80A"/>
      </a:accent2>
      <a:accent3>
        <a:srgbClr val="C32D2E"/>
      </a:accent3>
      <a:accent4>
        <a:srgbClr val="84AA33"/>
      </a:accent4>
      <a:accent5>
        <a:srgbClr val="964305"/>
      </a:accent5>
      <a:accent6>
        <a:srgbClr val="475A8D"/>
      </a:accent6>
      <a:hlink>
        <a:srgbClr val="8DC765"/>
      </a:hlink>
      <a:folHlink>
        <a:srgbClr val="AA8A1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Sna</b:Tag>
    <b:SourceType>InternetSite</b:SourceType>
    <b:Guid>{4ACFF6AE-07FA-4027-BFC4-9B7B98A4F426}</b:Guid>
    <b:LCID>0</b:LCID>
    <b:Title>Snapshot from the molecular dynamics simulation of the multicomponent inclusion complex formed between OME ( light gray ) and β CD ( dark gray ) in the presence of ARG ( colored )</b:Title>
    <b:RefOrder>1</b:RefOrder>
  </b:Source>
</b:Sources>
</file>

<file path=customXml/itemProps1.xml><?xml version="1.0" encoding="utf-8"?>
<ds:datastoreItem xmlns:ds="http://schemas.openxmlformats.org/officeDocument/2006/customXml" ds:itemID="{20C40553-8EFA-4264-8B8A-EB6C703AE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4316</TotalTime>
  <Pages>16</Pages>
  <Words>3942</Words>
  <Characters>22474</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52</cp:revision>
  <dcterms:created xsi:type="dcterms:W3CDTF">2023-06-06T09:00:00Z</dcterms:created>
  <dcterms:modified xsi:type="dcterms:W3CDTF">2023-07-28T11:02:00Z</dcterms:modified>
</cp:coreProperties>
</file>