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3258" w:rsidRDefault="00C0033E" w:rsidP="00111ABF">
      <w:pPr>
        <w:spacing w:line="360" w:lineRule="auto"/>
        <w:jc w:val="center"/>
        <w:rPr>
          <w:b/>
          <w:bCs/>
          <w:sz w:val="28"/>
          <w:szCs w:val="28"/>
          <w:lang w:val="en-US"/>
        </w:rPr>
      </w:pPr>
      <w:r w:rsidRPr="001D2394">
        <w:rPr>
          <w:b/>
          <w:bCs/>
          <w:sz w:val="28"/>
          <w:szCs w:val="28"/>
          <w:lang w:val="en-US"/>
        </w:rPr>
        <w:t xml:space="preserve">Growth and instability of </w:t>
      </w:r>
      <w:r w:rsidR="00AB1C5C" w:rsidRPr="001D2394">
        <w:rPr>
          <w:b/>
          <w:bCs/>
          <w:sz w:val="28"/>
          <w:szCs w:val="28"/>
          <w:lang w:val="en-US"/>
        </w:rPr>
        <w:t>potato in India</w:t>
      </w:r>
    </w:p>
    <w:p w:rsidR="007A230D" w:rsidRPr="001D2394" w:rsidRDefault="007A230D" w:rsidP="00111ABF">
      <w:pPr>
        <w:spacing w:line="360" w:lineRule="auto"/>
        <w:jc w:val="center"/>
        <w:rPr>
          <w:b/>
          <w:bCs/>
          <w:sz w:val="28"/>
          <w:szCs w:val="28"/>
          <w:lang w:val="en-US"/>
        </w:rPr>
      </w:pPr>
      <w:r>
        <w:rPr>
          <w:b/>
          <w:bCs/>
          <w:sz w:val="28"/>
          <w:szCs w:val="28"/>
          <w:lang w:val="en-US"/>
        </w:rPr>
        <w:t xml:space="preserve">Subhash Chand, Sonia Chauhan, </w:t>
      </w:r>
      <w:proofErr w:type="spellStart"/>
      <w:r>
        <w:rPr>
          <w:b/>
          <w:bCs/>
          <w:sz w:val="28"/>
          <w:szCs w:val="28"/>
          <w:lang w:val="en-US"/>
        </w:rPr>
        <w:t>Ezaj</w:t>
      </w:r>
      <w:proofErr w:type="spellEnd"/>
      <w:r>
        <w:rPr>
          <w:b/>
          <w:bCs/>
          <w:sz w:val="28"/>
          <w:szCs w:val="28"/>
          <w:lang w:val="en-US"/>
        </w:rPr>
        <w:t xml:space="preserve"> Anwer</w:t>
      </w:r>
      <w:r>
        <w:rPr>
          <w:b/>
          <w:bCs/>
          <w:sz w:val="28"/>
          <w:szCs w:val="28"/>
          <w:lang w:val="en-US"/>
        </w:rPr>
        <w:t>, Mangal Singh Chauhan, Arvind Kumar</w:t>
      </w:r>
    </w:p>
    <w:p w:rsidR="001D2394" w:rsidRDefault="001D2394" w:rsidP="00111ABF">
      <w:pPr>
        <w:spacing w:line="360" w:lineRule="auto"/>
        <w:jc w:val="center"/>
        <w:rPr>
          <w:b/>
          <w:bCs/>
          <w:sz w:val="24"/>
          <w:szCs w:val="24"/>
          <w:lang w:val="en-US"/>
        </w:rPr>
      </w:pPr>
    </w:p>
    <w:p w:rsidR="00C0033E" w:rsidRDefault="00394E38" w:rsidP="00666BA9">
      <w:pPr>
        <w:spacing w:line="360" w:lineRule="auto"/>
        <w:jc w:val="both"/>
        <w:rPr>
          <w:b/>
          <w:bCs/>
          <w:sz w:val="24"/>
          <w:szCs w:val="24"/>
          <w:lang w:val="en-US"/>
        </w:rPr>
      </w:pPr>
      <w:r w:rsidRPr="00111ABF">
        <w:rPr>
          <w:b/>
          <w:bCs/>
          <w:sz w:val="24"/>
          <w:szCs w:val="24"/>
          <w:lang w:val="en-US"/>
        </w:rPr>
        <w:t>INTRODUCTION</w:t>
      </w:r>
    </w:p>
    <w:p w:rsidR="003926F4" w:rsidRPr="000D05EB" w:rsidRDefault="003926F4" w:rsidP="000D05EB">
      <w:pPr>
        <w:autoSpaceDE w:val="0"/>
        <w:autoSpaceDN w:val="0"/>
        <w:adjustRightInd w:val="0"/>
        <w:spacing w:after="0" w:line="360" w:lineRule="auto"/>
        <w:jc w:val="both"/>
        <w:rPr>
          <w:rFonts w:cs="Times New Roman"/>
          <w:color w:val="000000"/>
          <w:sz w:val="24"/>
          <w:szCs w:val="24"/>
        </w:rPr>
      </w:pPr>
      <w:r w:rsidRPr="000D05EB">
        <w:rPr>
          <w:rFonts w:cs="Times New Roman"/>
          <w:color w:val="000000"/>
          <w:sz w:val="24"/>
          <w:szCs w:val="24"/>
        </w:rPr>
        <w:t xml:space="preserve">Potato is </w:t>
      </w:r>
      <w:r w:rsidR="00EF1124">
        <w:rPr>
          <w:rFonts w:cs="Times New Roman"/>
          <w:color w:val="000000"/>
          <w:sz w:val="24"/>
          <w:szCs w:val="24"/>
        </w:rPr>
        <w:t xml:space="preserve">one among the main food crop worldwide and </w:t>
      </w:r>
      <w:r w:rsidRPr="000D05EB">
        <w:rPr>
          <w:rFonts w:cs="Times New Roman"/>
          <w:color w:val="000000"/>
          <w:sz w:val="24"/>
          <w:szCs w:val="24"/>
        </w:rPr>
        <w:t xml:space="preserve">grown in more than 150 countries. The total world production for potatoes in 2020 was </w:t>
      </w:r>
      <w:r w:rsidRPr="000D05EB">
        <w:rPr>
          <w:rFonts w:eastAsia="Times New Roman" w:cs="Arial"/>
          <w:sz w:val="24"/>
          <w:szCs w:val="24"/>
          <w:lang w:eastAsia="en-IN"/>
        </w:rPr>
        <w:t xml:space="preserve">371.14 </w:t>
      </w:r>
      <w:r w:rsidRPr="000D05EB">
        <w:rPr>
          <w:rFonts w:eastAsia="Times New Roman" w:cs="Arial"/>
          <w:color w:val="000000"/>
          <w:sz w:val="24"/>
          <w:szCs w:val="24"/>
          <w:lang w:eastAsia="en-IN"/>
        </w:rPr>
        <w:t xml:space="preserve">million </w:t>
      </w:r>
      <w:r w:rsidRPr="000D05EB">
        <w:rPr>
          <w:rFonts w:cs="Times New Roman"/>
          <w:color w:val="000000"/>
          <w:sz w:val="24"/>
          <w:szCs w:val="24"/>
        </w:rPr>
        <w:t xml:space="preserve">tonnes, up 0.63 % from </w:t>
      </w:r>
      <w:r w:rsidRPr="000D05EB">
        <w:rPr>
          <w:rFonts w:eastAsia="Times New Roman" w:cs="Arial"/>
          <w:sz w:val="24"/>
          <w:szCs w:val="24"/>
          <w:lang w:eastAsia="en-IN"/>
        </w:rPr>
        <w:t xml:space="preserve">368.83 </w:t>
      </w:r>
      <w:r w:rsidRPr="000D05EB">
        <w:rPr>
          <w:rFonts w:eastAsia="Times New Roman" w:cs="Arial"/>
          <w:color w:val="000000"/>
          <w:sz w:val="24"/>
          <w:szCs w:val="24"/>
          <w:lang w:eastAsia="en-IN"/>
        </w:rPr>
        <w:t>million</w:t>
      </w:r>
      <w:r w:rsidRPr="000D05EB">
        <w:rPr>
          <w:rFonts w:cs="Times New Roman"/>
          <w:color w:val="000000"/>
          <w:sz w:val="24"/>
          <w:szCs w:val="24"/>
        </w:rPr>
        <w:t xml:space="preserve"> tonnes in 2019. China was the largest producer, accounting for 21.07% of world production, followed by India at 13.82%. Ukraine, Russia and United States of America contributed around 5 percent in world potato production. </w:t>
      </w:r>
      <w:r w:rsidR="00660589">
        <w:rPr>
          <w:rFonts w:cs="Times New Roman"/>
          <w:color w:val="000000"/>
          <w:sz w:val="24"/>
          <w:szCs w:val="24"/>
        </w:rPr>
        <w:t>Bangladesh shared 3 percent, whereas France, Netherlands and Poland</w:t>
      </w:r>
      <w:r w:rsidR="00916ECB">
        <w:rPr>
          <w:rFonts w:cs="Times New Roman"/>
          <w:color w:val="000000"/>
          <w:sz w:val="24"/>
          <w:szCs w:val="24"/>
        </w:rPr>
        <w:t xml:space="preserve"> contributed 2percent share at global level (Figure 1).</w:t>
      </w:r>
      <w:r w:rsidR="00660589">
        <w:rPr>
          <w:rFonts w:cs="Times New Roman"/>
          <w:color w:val="000000"/>
          <w:sz w:val="24"/>
          <w:szCs w:val="24"/>
        </w:rPr>
        <w:t xml:space="preserve"> </w:t>
      </w:r>
      <w:r w:rsidRPr="000D05EB">
        <w:rPr>
          <w:rFonts w:cs="Times New Roman"/>
          <w:color w:val="000000"/>
          <w:sz w:val="24"/>
          <w:szCs w:val="24"/>
        </w:rPr>
        <w:t xml:space="preserve">China, India, Ukraine, Russia, United States and Germany shared more than 60 per cent of total global production.  </w:t>
      </w:r>
    </w:p>
    <w:p w:rsidR="000D05EB" w:rsidRPr="000D05EB" w:rsidRDefault="000D05EB" w:rsidP="000D05EB">
      <w:pPr>
        <w:autoSpaceDE w:val="0"/>
        <w:autoSpaceDN w:val="0"/>
        <w:adjustRightInd w:val="0"/>
        <w:spacing w:after="0" w:line="360" w:lineRule="auto"/>
        <w:jc w:val="both"/>
        <w:rPr>
          <w:rFonts w:cs="Times New Roman"/>
          <w:color w:val="000000"/>
          <w:sz w:val="24"/>
          <w:szCs w:val="24"/>
        </w:rPr>
      </w:pPr>
    </w:p>
    <w:p w:rsidR="001779F3" w:rsidRPr="000D05EB" w:rsidRDefault="00D81E62" w:rsidP="000D05EB">
      <w:pPr>
        <w:spacing w:line="360" w:lineRule="auto"/>
        <w:jc w:val="both"/>
        <w:rPr>
          <w:rFonts w:cs="Times New Roman"/>
          <w:color w:val="000000"/>
          <w:sz w:val="24"/>
          <w:szCs w:val="24"/>
        </w:rPr>
      </w:pPr>
      <w:r w:rsidRPr="000D05EB">
        <w:rPr>
          <w:rFonts w:cs="Times New Roman"/>
          <w:color w:val="000000"/>
          <w:sz w:val="24"/>
          <w:szCs w:val="24"/>
        </w:rPr>
        <w:t xml:space="preserve">The consumption of potato in the world has been increasing due to its taste and nutritional importance. </w:t>
      </w:r>
      <w:r w:rsidR="001779F3" w:rsidRPr="000D05EB">
        <w:rPr>
          <w:rFonts w:cs="Times New Roman"/>
          <w:color w:val="000000"/>
          <w:sz w:val="24"/>
          <w:szCs w:val="24"/>
        </w:rPr>
        <w:t xml:space="preserve">The major potato consuming countries in the world are China, India and United states. </w:t>
      </w:r>
      <w:r w:rsidRPr="000D05EB">
        <w:rPr>
          <w:rFonts w:cs="Times New Roman"/>
          <w:color w:val="000000"/>
          <w:sz w:val="24"/>
          <w:szCs w:val="24"/>
        </w:rPr>
        <w:t xml:space="preserve">These three countries consume around 47 percent of potato consumption in the world.  </w:t>
      </w:r>
      <w:r w:rsidRPr="000D05EB">
        <w:rPr>
          <w:sz w:val="24"/>
          <w:szCs w:val="24"/>
        </w:rPr>
        <w:t>The top ranked country, China, alone accounted for 27.0 percent of potato consumption in the world in the year 2020 (FAO</w:t>
      </w:r>
      <w:r w:rsidR="00EF1124">
        <w:rPr>
          <w:sz w:val="24"/>
          <w:szCs w:val="24"/>
        </w:rPr>
        <w:t>, 2020</w:t>
      </w:r>
      <w:r w:rsidRPr="000D05EB">
        <w:rPr>
          <w:sz w:val="24"/>
          <w:szCs w:val="24"/>
        </w:rPr>
        <w:t xml:space="preserve">). </w:t>
      </w:r>
    </w:p>
    <w:p w:rsidR="003926F4" w:rsidRDefault="003926F4" w:rsidP="00C651DF">
      <w:pPr>
        <w:jc w:val="both"/>
        <w:rPr>
          <w:rFonts w:cs="Times New Roman"/>
          <w:color w:val="000000"/>
          <w:sz w:val="24"/>
          <w:szCs w:val="24"/>
        </w:rPr>
      </w:pPr>
      <w:r>
        <w:rPr>
          <w:noProof/>
          <w:lang w:eastAsia="en-IN"/>
        </w:rPr>
        <w:drawing>
          <wp:anchor distT="0" distB="0" distL="114300" distR="114300" simplePos="0" relativeHeight="251679744" behindDoc="0" locked="0" layoutInCell="1" allowOverlap="1" wp14:anchorId="2934B95D" wp14:editId="625F34A6">
            <wp:simplePos x="0" y="0"/>
            <wp:positionH relativeFrom="column">
              <wp:posOffset>0</wp:posOffset>
            </wp:positionH>
            <wp:positionV relativeFrom="paragraph">
              <wp:posOffset>302895</wp:posOffset>
            </wp:positionV>
            <wp:extent cx="5810250" cy="2314575"/>
            <wp:effectExtent l="0" t="0" r="0" b="9525"/>
            <wp:wrapSquare wrapText="bothSides"/>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14:sizeRelH relativeFrom="margin">
              <wp14:pctWidth>0</wp14:pctWidth>
            </wp14:sizeRelH>
            <wp14:sizeRelV relativeFrom="margin">
              <wp14:pctHeight>0</wp14:pctHeight>
            </wp14:sizeRelV>
          </wp:anchor>
        </w:drawing>
      </w:r>
    </w:p>
    <w:p w:rsidR="001D7D69" w:rsidRDefault="001D7D69" w:rsidP="00CC7F48">
      <w:pPr>
        <w:jc w:val="both"/>
        <w:rPr>
          <w:rFonts w:cs="Times New Roman"/>
          <w:color w:val="000000"/>
          <w:sz w:val="24"/>
          <w:szCs w:val="24"/>
        </w:rPr>
      </w:pPr>
    </w:p>
    <w:p w:rsidR="001D2394" w:rsidRDefault="001D2394" w:rsidP="00CC7F48">
      <w:pPr>
        <w:jc w:val="both"/>
        <w:rPr>
          <w:rFonts w:cs="Times New Roman"/>
          <w:color w:val="000000"/>
          <w:sz w:val="24"/>
          <w:szCs w:val="24"/>
        </w:rPr>
      </w:pPr>
    </w:p>
    <w:p w:rsidR="001D2394" w:rsidRDefault="001D2394" w:rsidP="00CC7F48">
      <w:pPr>
        <w:jc w:val="both"/>
        <w:rPr>
          <w:rFonts w:cs="Times New Roman"/>
          <w:color w:val="000000"/>
          <w:sz w:val="24"/>
          <w:szCs w:val="24"/>
        </w:rPr>
      </w:pPr>
    </w:p>
    <w:p w:rsidR="001D2394" w:rsidRDefault="001D2394" w:rsidP="00CC7F48">
      <w:pPr>
        <w:jc w:val="both"/>
        <w:rPr>
          <w:rFonts w:cs="Times New Roman"/>
          <w:color w:val="000000"/>
          <w:sz w:val="24"/>
          <w:szCs w:val="24"/>
        </w:rPr>
      </w:pPr>
    </w:p>
    <w:p w:rsidR="001D2394" w:rsidRDefault="001D2394" w:rsidP="00CC7F48">
      <w:pPr>
        <w:jc w:val="both"/>
        <w:rPr>
          <w:rFonts w:cs="Times New Roman"/>
          <w:color w:val="000000"/>
          <w:sz w:val="24"/>
          <w:szCs w:val="24"/>
        </w:rPr>
      </w:pPr>
    </w:p>
    <w:p w:rsidR="001D2394" w:rsidRPr="009E312C" w:rsidRDefault="00AA4BF4" w:rsidP="009E312C">
      <w:pPr>
        <w:spacing w:line="360" w:lineRule="auto"/>
        <w:jc w:val="both"/>
        <w:rPr>
          <w:rFonts w:cs="Times New Roman"/>
          <w:color w:val="000000"/>
          <w:sz w:val="24"/>
          <w:szCs w:val="24"/>
        </w:rPr>
      </w:pPr>
      <w:r w:rsidRPr="009E312C">
        <w:rPr>
          <w:rFonts w:cs="ArialMT"/>
          <w:sz w:val="24"/>
          <w:szCs w:val="24"/>
        </w:rPr>
        <w:t xml:space="preserve">Potato was introduced in India by the Portuguese sailors during early 17th century and </w:t>
      </w:r>
      <w:r w:rsidR="009E312C" w:rsidRPr="009E312C">
        <w:rPr>
          <w:rFonts w:cs="ArialMT"/>
          <w:sz w:val="24"/>
          <w:szCs w:val="24"/>
        </w:rPr>
        <w:t>its</w:t>
      </w:r>
      <w:r w:rsidRPr="009E312C">
        <w:rPr>
          <w:rFonts w:cs="ArialMT"/>
          <w:sz w:val="24"/>
          <w:szCs w:val="24"/>
        </w:rPr>
        <w:t xml:space="preserve"> cultivation was spread to North India by the British</w:t>
      </w:r>
      <w:r w:rsidRPr="009E312C">
        <w:rPr>
          <w:rFonts w:cs="Times New Roman"/>
          <w:color w:val="000000"/>
          <w:sz w:val="24"/>
          <w:szCs w:val="24"/>
        </w:rPr>
        <w:t xml:space="preserve">. It has become </w:t>
      </w:r>
      <w:r w:rsidR="001D2394" w:rsidRPr="009E312C">
        <w:rPr>
          <w:rFonts w:cs="Times New Roman"/>
          <w:color w:val="000000"/>
          <w:sz w:val="24"/>
          <w:szCs w:val="24"/>
        </w:rPr>
        <w:t>one of the main commercial food crop in India and cultivated in all most all states of the country. About 85 per cent of potatoes are cultivated in Indo-gangetic plains of North India. Uttar Pradesh, West Bengal, Bihar, Punjab and Gujarat account a lion’s share in total production. These five states accounted for more than 80 per cent share in total production. Country has achieved a tremendous growth in potato production during last seven decades. The annual</w:t>
      </w:r>
      <w:r w:rsidR="001779F3" w:rsidRPr="009E312C">
        <w:rPr>
          <w:rFonts w:cs="Times New Roman"/>
          <w:color w:val="000000"/>
          <w:sz w:val="24"/>
          <w:szCs w:val="24"/>
        </w:rPr>
        <w:t xml:space="preserve"> </w:t>
      </w:r>
      <w:r w:rsidR="001D2394" w:rsidRPr="009E312C">
        <w:rPr>
          <w:rFonts w:cs="Times New Roman"/>
          <w:color w:val="000000"/>
          <w:sz w:val="24"/>
          <w:szCs w:val="24"/>
        </w:rPr>
        <w:t>compound growth rate of potato is higher than other major food crops in respect of area,</w:t>
      </w:r>
      <w:r w:rsidR="001779F3" w:rsidRPr="009E312C">
        <w:rPr>
          <w:rFonts w:cs="Times New Roman"/>
          <w:color w:val="000000"/>
          <w:sz w:val="24"/>
          <w:szCs w:val="24"/>
        </w:rPr>
        <w:t xml:space="preserve"> </w:t>
      </w:r>
      <w:r w:rsidR="001D2394" w:rsidRPr="009E312C">
        <w:rPr>
          <w:rFonts w:cs="Times New Roman"/>
          <w:color w:val="000000"/>
          <w:sz w:val="24"/>
          <w:szCs w:val="24"/>
        </w:rPr>
        <w:t xml:space="preserve">production and productivity. </w:t>
      </w:r>
      <w:r w:rsidR="00CE64C8" w:rsidRPr="009E312C">
        <w:rPr>
          <w:rFonts w:cs="Times New Roman"/>
          <w:color w:val="000000"/>
          <w:sz w:val="24"/>
          <w:szCs w:val="24"/>
        </w:rPr>
        <w:t xml:space="preserve">The estimates of area and production for 2021-22 recorded all time high area and production of potato (Agricultural statistics at a glance, 2021). The cultivated area is 2.24 million hectare and production is 54.23 million tonnes. India occupied </w:t>
      </w:r>
      <w:proofErr w:type="gramStart"/>
      <w:r w:rsidR="009E312C" w:rsidRPr="009E312C">
        <w:rPr>
          <w:rFonts w:cs="Times New Roman"/>
          <w:color w:val="000000"/>
          <w:sz w:val="24"/>
          <w:szCs w:val="24"/>
        </w:rPr>
        <w:t>0.24</w:t>
      </w:r>
      <w:r w:rsidR="009E312C">
        <w:rPr>
          <w:rFonts w:cs="Times New Roman"/>
          <w:color w:val="000000"/>
          <w:sz w:val="24"/>
          <w:szCs w:val="24"/>
        </w:rPr>
        <w:t xml:space="preserve"> </w:t>
      </w:r>
      <w:r w:rsidR="009E312C" w:rsidRPr="009E312C">
        <w:rPr>
          <w:rFonts w:cs="Times New Roman"/>
          <w:color w:val="000000"/>
          <w:sz w:val="24"/>
          <w:szCs w:val="24"/>
        </w:rPr>
        <w:t>million</w:t>
      </w:r>
      <w:r w:rsidR="009E312C">
        <w:rPr>
          <w:rFonts w:cs="Times New Roman"/>
          <w:color w:val="000000"/>
          <w:sz w:val="24"/>
          <w:szCs w:val="24"/>
        </w:rPr>
        <w:t xml:space="preserve"> </w:t>
      </w:r>
      <w:r w:rsidR="009E312C" w:rsidRPr="009E312C">
        <w:rPr>
          <w:rFonts w:cs="Times New Roman"/>
          <w:color w:val="000000"/>
          <w:sz w:val="24"/>
          <w:szCs w:val="24"/>
        </w:rPr>
        <w:t>hectare</w:t>
      </w:r>
      <w:proofErr w:type="gramEnd"/>
      <w:r w:rsidR="00CE64C8" w:rsidRPr="009E312C">
        <w:rPr>
          <w:rFonts w:cs="Times New Roman"/>
          <w:color w:val="000000"/>
          <w:sz w:val="24"/>
          <w:szCs w:val="24"/>
        </w:rPr>
        <w:t xml:space="preserve"> area and produced </w:t>
      </w:r>
      <w:r w:rsidR="001779F3" w:rsidRPr="009E312C">
        <w:rPr>
          <w:rFonts w:cs="Times New Roman"/>
          <w:color w:val="000000"/>
          <w:sz w:val="24"/>
          <w:szCs w:val="24"/>
        </w:rPr>
        <w:t>merely 1.66</w:t>
      </w:r>
      <w:r w:rsidR="001D2394" w:rsidRPr="009E312C">
        <w:rPr>
          <w:rFonts w:cs="Times New Roman"/>
          <w:color w:val="000000"/>
          <w:sz w:val="24"/>
          <w:szCs w:val="24"/>
        </w:rPr>
        <w:t xml:space="preserve"> million tonnes </w:t>
      </w:r>
      <w:r w:rsidR="00562787" w:rsidRPr="009E312C">
        <w:rPr>
          <w:rFonts w:cs="Times New Roman"/>
          <w:color w:val="000000"/>
          <w:sz w:val="24"/>
          <w:szCs w:val="24"/>
        </w:rPr>
        <w:t xml:space="preserve">potato </w:t>
      </w:r>
      <w:r w:rsidR="001D2394" w:rsidRPr="009E312C">
        <w:rPr>
          <w:rFonts w:cs="Times New Roman"/>
          <w:color w:val="000000"/>
          <w:sz w:val="24"/>
          <w:szCs w:val="24"/>
        </w:rPr>
        <w:t>during 19</w:t>
      </w:r>
      <w:r w:rsidR="001779F3" w:rsidRPr="009E312C">
        <w:rPr>
          <w:rFonts w:cs="Times New Roman"/>
          <w:color w:val="000000"/>
          <w:sz w:val="24"/>
          <w:szCs w:val="24"/>
        </w:rPr>
        <w:t>50-51</w:t>
      </w:r>
      <w:r w:rsidR="001D2394" w:rsidRPr="009E312C">
        <w:rPr>
          <w:rFonts w:cs="Times New Roman"/>
          <w:color w:val="000000"/>
          <w:sz w:val="24"/>
          <w:szCs w:val="24"/>
        </w:rPr>
        <w:t>. Hence, owing its significant growth in</w:t>
      </w:r>
      <w:r w:rsidR="001779F3" w:rsidRPr="009E312C">
        <w:rPr>
          <w:rFonts w:cs="Times New Roman"/>
          <w:color w:val="000000"/>
          <w:sz w:val="24"/>
          <w:szCs w:val="24"/>
        </w:rPr>
        <w:t xml:space="preserve"> </w:t>
      </w:r>
      <w:r w:rsidR="001D2394" w:rsidRPr="009E312C">
        <w:rPr>
          <w:rFonts w:cs="Times New Roman"/>
          <w:color w:val="000000"/>
          <w:sz w:val="24"/>
          <w:szCs w:val="24"/>
        </w:rPr>
        <w:t>production, bumper yields has been observed almost in every year.</w:t>
      </w:r>
    </w:p>
    <w:p w:rsidR="001D2394" w:rsidRPr="009E312C" w:rsidRDefault="001D2394" w:rsidP="009E312C">
      <w:pPr>
        <w:spacing w:line="360" w:lineRule="auto"/>
        <w:jc w:val="both"/>
        <w:rPr>
          <w:rFonts w:cs="Times New Roman"/>
          <w:color w:val="000000"/>
          <w:sz w:val="24"/>
          <w:szCs w:val="24"/>
        </w:rPr>
      </w:pPr>
      <w:r w:rsidRPr="009E312C">
        <w:rPr>
          <w:rFonts w:cs="Times New Roman"/>
          <w:color w:val="000000"/>
          <w:sz w:val="24"/>
          <w:szCs w:val="24"/>
        </w:rPr>
        <w:t>Due to the bumper crop, and lack of post</w:t>
      </w:r>
      <w:r w:rsidR="001779F3" w:rsidRPr="009E312C">
        <w:rPr>
          <w:rFonts w:cs="Times New Roman"/>
          <w:color w:val="000000"/>
          <w:sz w:val="24"/>
          <w:szCs w:val="24"/>
        </w:rPr>
        <w:t>-</w:t>
      </w:r>
      <w:r w:rsidRPr="009E312C">
        <w:rPr>
          <w:rFonts w:cs="Times New Roman"/>
          <w:color w:val="000000"/>
          <w:sz w:val="24"/>
          <w:szCs w:val="24"/>
        </w:rPr>
        <w:t>harvest management, glut situations</w:t>
      </w:r>
      <w:r w:rsidR="001779F3" w:rsidRPr="009E312C">
        <w:rPr>
          <w:rFonts w:cs="Times New Roman"/>
          <w:color w:val="000000"/>
          <w:sz w:val="24"/>
          <w:szCs w:val="24"/>
        </w:rPr>
        <w:t xml:space="preserve"> </w:t>
      </w:r>
      <w:r w:rsidRPr="009E312C">
        <w:rPr>
          <w:rFonts w:cs="Times New Roman"/>
          <w:color w:val="000000"/>
          <w:sz w:val="24"/>
          <w:szCs w:val="24"/>
        </w:rPr>
        <w:t>risen in the market for the surplus yield every year which ultimately results in decline the</w:t>
      </w:r>
      <w:r w:rsidR="001779F3" w:rsidRPr="009E312C">
        <w:rPr>
          <w:rFonts w:cs="Times New Roman"/>
          <w:color w:val="000000"/>
          <w:sz w:val="24"/>
          <w:szCs w:val="24"/>
        </w:rPr>
        <w:t xml:space="preserve"> </w:t>
      </w:r>
      <w:r w:rsidRPr="009E312C">
        <w:rPr>
          <w:rFonts w:cs="Times New Roman"/>
          <w:color w:val="000000"/>
          <w:sz w:val="24"/>
          <w:szCs w:val="24"/>
        </w:rPr>
        <w:t>prices</w:t>
      </w:r>
      <w:r w:rsidR="001779F3" w:rsidRPr="009E312C">
        <w:rPr>
          <w:rFonts w:cs="Times New Roman"/>
          <w:color w:val="000000"/>
          <w:sz w:val="24"/>
          <w:szCs w:val="24"/>
        </w:rPr>
        <w:t xml:space="preserve"> of po</w:t>
      </w:r>
      <w:r w:rsidR="00AA4BF4" w:rsidRPr="009E312C">
        <w:rPr>
          <w:rFonts w:cs="Times New Roman"/>
          <w:color w:val="000000"/>
          <w:sz w:val="24"/>
          <w:szCs w:val="24"/>
        </w:rPr>
        <w:t>t</w:t>
      </w:r>
      <w:r w:rsidR="001779F3" w:rsidRPr="009E312C">
        <w:rPr>
          <w:rFonts w:cs="Times New Roman"/>
          <w:color w:val="000000"/>
          <w:sz w:val="24"/>
          <w:szCs w:val="24"/>
        </w:rPr>
        <w:t>ato</w:t>
      </w:r>
      <w:r w:rsidRPr="009E312C">
        <w:rPr>
          <w:rFonts w:cs="Times New Roman"/>
          <w:color w:val="000000"/>
          <w:sz w:val="24"/>
          <w:szCs w:val="24"/>
        </w:rPr>
        <w:t xml:space="preserve"> drastically</w:t>
      </w:r>
      <w:r w:rsidR="009E312C">
        <w:rPr>
          <w:rFonts w:cs="Times New Roman"/>
          <w:color w:val="000000"/>
          <w:sz w:val="24"/>
          <w:szCs w:val="24"/>
        </w:rPr>
        <w:t xml:space="preserve"> (</w:t>
      </w:r>
      <w:proofErr w:type="spellStart"/>
      <w:r w:rsidR="008939AB">
        <w:rPr>
          <w:rFonts w:cs="Times New Roman"/>
          <w:color w:val="000000"/>
          <w:sz w:val="24"/>
          <w:szCs w:val="24"/>
        </w:rPr>
        <w:t>Agmarknet</w:t>
      </w:r>
      <w:proofErr w:type="spellEnd"/>
      <w:r w:rsidR="009E312C">
        <w:rPr>
          <w:rFonts w:cs="Times New Roman"/>
          <w:color w:val="000000"/>
          <w:sz w:val="24"/>
          <w:szCs w:val="24"/>
        </w:rPr>
        <w:t>, 2007)</w:t>
      </w:r>
      <w:r w:rsidRPr="009E312C">
        <w:rPr>
          <w:rFonts w:cs="Times New Roman"/>
          <w:color w:val="000000"/>
          <w:sz w:val="24"/>
          <w:szCs w:val="24"/>
        </w:rPr>
        <w:t>.</w:t>
      </w:r>
    </w:p>
    <w:p w:rsidR="009E6310" w:rsidRDefault="009E6310" w:rsidP="009E6310">
      <w:pPr>
        <w:jc w:val="both"/>
        <w:rPr>
          <w:rFonts w:cs="Times New Roman"/>
          <w:color w:val="000000"/>
          <w:sz w:val="24"/>
          <w:szCs w:val="24"/>
        </w:rPr>
      </w:pPr>
    </w:p>
    <w:p w:rsidR="001627FB" w:rsidRPr="00111ABF" w:rsidRDefault="001627FB" w:rsidP="00111ABF">
      <w:pPr>
        <w:autoSpaceDE w:val="0"/>
        <w:autoSpaceDN w:val="0"/>
        <w:adjustRightInd w:val="0"/>
        <w:spacing w:after="0" w:line="360" w:lineRule="auto"/>
        <w:rPr>
          <w:rFonts w:cs="Times New Roman"/>
          <w:b/>
          <w:bCs/>
          <w:color w:val="000000"/>
          <w:sz w:val="24"/>
          <w:szCs w:val="24"/>
        </w:rPr>
      </w:pPr>
      <w:r w:rsidRPr="00111ABF">
        <w:rPr>
          <w:rFonts w:cs="Times New Roman"/>
          <w:b/>
          <w:bCs/>
          <w:color w:val="000000"/>
          <w:sz w:val="24"/>
          <w:szCs w:val="24"/>
        </w:rPr>
        <w:t>Data and methodology</w:t>
      </w:r>
    </w:p>
    <w:p w:rsidR="001627FB" w:rsidRDefault="001627FB" w:rsidP="00A31952">
      <w:pPr>
        <w:autoSpaceDE w:val="0"/>
        <w:autoSpaceDN w:val="0"/>
        <w:adjustRightInd w:val="0"/>
        <w:spacing w:after="0" w:line="360" w:lineRule="auto"/>
        <w:jc w:val="both"/>
        <w:rPr>
          <w:rFonts w:cs="Times New Roman"/>
          <w:color w:val="000000"/>
          <w:sz w:val="24"/>
          <w:szCs w:val="24"/>
        </w:rPr>
      </w:pPr>
      <w:r w:rsidRPr="00111ABF">
        <w:rPr>
          <w:rFonts w:cs="Times New Roman"/>
          <w:color w:val="000000"/>
          <w:sz w:val="24"/>
          <w:szCs w:val="24"/>
        </w:rPr>
        <w:t>Data on important variables like area, production and yield o</w:t>
      </w:r>
      <w:r w:rsidR="00BC20C0">
        <w:rPr>
          <w:rFonts w:cs="Times New Roman"/>
          <w:color w:val="000000"/>
          <w:sz w:val="24"/>
          <w:szCs w:val="24"/>
        </w:rPr>
        <w:t>f potato</w:t>
      </w:r>
      <w:r w:rsidR="00754182" w:rsidRPr="00111ABF">
        <w:rPr>
          <w:rFonts w:cs="Times New Roman"/>
          <w:color w:val="000000"/>
          <w:sz w:val="24"/>
          <w:szCs w:val="24"/>
        </w:rPr>
        <w:t xml:space="preserve"> </w:t>
      </w:r>
      <w:r w:rsidRPr="00111ABF">
        <w:rPr>
          <w:rFonts w:cs="Times New Roman"/>
          <w:color w:val="000000"/>
          <w:sz w:val="24"/>
          <w:szCs w:val="24"/>
        </w:rPr>
        <w:t xml:space="preserve">for the period </w:t>
      </w:r>
      <w:r w:rsidR="00AA4BF4" w:rsidRPr="00AA4BF4">
        <w:rPr>
          <w:rFonts w:cs="Times New Roman"/>
          <w:color w:val="000000"/>
          <w:sz w:val="24"/>
          <w:szCs w:val="24"/>
        </w:rPr>
        <w:t xml:space="preserve">1950-51 to 2020-21 </w:t>
      </w:r>
      <w:r w:rsidRPr="00111ABF">
        <w:rPr>
          <w:rFonts w:cs="Times New Roman"/>
          <w:color w:val="000000"/>
          <w:sz w:val="24"/>
          <w:szCs w:val="24"/>
        </w:rPr>
        <w:t>were compiled from Directorate of Economics</w:t>
      </w:r>
      <w:r w:rsidR="00754182" w:rsidRPr="00111ABF">
        <w:rPr>
          <w:rFonts w:cs="Times New Roman"/>
          <w:color w:val="000000"/>
          <w:sz w:val="24"/>
          <w:szCs w:val="24"/>
        </w:rPr>
        <w:t xml:space="preserve"> </w:t>
      </w:r>
      <w:r w:rsidRPr="00111ABF">
        <w:rPr>
          <w:rFonts w:cs="Times New Roman"/>
          <w:color w:val="000000"/>
          <w:sz w:val="24"/>
          <w:szCs w:val="24"/>
        </w:rPr>
        <w:t>and Statistics, Ministry of Agriculture, Government of India, New Delhi</w:t>
      </w:r>
      <w:r w:rsidR="00BC20C0">
        <w:rPr>
          <w:rFonts w:cs="Times New Roman"/>
          <w:color w:val="000000"/>
          <w:sz w:val="24"/>
          <w:szCs w:val="24"/>
        </w:rPr>
        <w:t xml:space="preserve"> and National Horticulture Board.</w:t>
      </w:r>
      <w:r w:rsidRPr="00111ABF">
        <w:rPr>
          <w:rFonts w:cs="Times New Roman"/>
          <w:color w:val="000000"/>
          <w:sz w:val="24"/>
          <w:szCs w:val="24"/>
        </w:rPr>
        <w:t xml:space="preserve"> </w:t>
      </w:r>
      <w:r w:rsidR="00AA4BF4" w:rsidRPr="00111ABF">
        <w:rPr>
          <w:rFonts w:cs="Times New Roman"/>
          <w:color w:val="000000"/>
          <w:sz w:val="24"/>
          <w:szCs w:val="24"/>
        </w:rPr>
        <w:t>The time period used under the study is divided into</w:t>
      </w:r>
      <w:r w:rsidR="00AA4BF4">
        <w:rPr>
          <w:rFonts w:cs="Times New Roman"/>
          <w:color w:val="000000"/>
          <w:sz w:val="24"/>
          <w:szCs w:val="24"/>
        </w:rPr>
        <w:t xml:space="preserve"> seven</w:t>
      </w:r>
      <w:r w:rsidR="00AA4BF4" w:rsidRPr="00111ABF">
        <w:rPr>
          <w:rFonts w:cs="Times New Roman"/>
          <w:color w:val="000000"/>
          <w:sz w:val="24"/>
          <w:szCs w:val="24"/>
        </w:rPr>
        <w:t xml:space="preserve"> </w:t>
      </w:r>
      <w:r w:rsidR="00AA4BF4">
        <w:rPr>
          <w:rFonts w:cs="Times New Roman"/>
          <w:color w:val="000000"/>
          <w:sz w:val="24"/>
          <w:szCs w:val="24"/>
        </w:rPr>
        <w:t xml:space="preserve">periods to observe decadal changes. </w:t>
      </w:r>
      <w:r w:rsidR="00AA4BF4" w:rsidRPr="00111ABF">
        <w:rPr>
          <w:rFonts w:cs="Times New Roman"/>
          <w:color w:val="000000"/>
          <w:sz w:val="24"/>
          <w:szCs w:val="24"/>
        </w:rPr>
        <w:t xml:space="preserve"> </w:t>
      </w:r>
      <w:r w:rsidRPr="00111ABF">
        <w:rPr>
          <w:rFonts w:cs="Times New Roman"/>
          <w:color w:val="000000"/>
          <w:sz w:val="24"/>
          <w:szCs w:val="24"/>
        </w:rPr>
        <w:t xml:space="preserve">The compound annual growth rate of area, production and yield of </w:t>
      </w:r>
      <w:r w:rsidR="00754182" w:rsidRPr="00111ABF">
        <w:rPr>
          <w:rFonts w:cs="Times New Roman"/>
          <w:color w:val="000000"/>
          <w:sz w:val="24"/>
          <w:szCs w:val="24"/>
        </w:rPr>
        <w:t>p</w:t>
      </w:r>
      <w:r w:rsidR="00BC20C0">
        <w:rPr>
          <w:rFonts w:cs="Times New Roman"/>
          <w:color w:val="000000"/>
          <w:sz w:val="24"/>
          <w:szCs w:val="24"/>
        </w:rPr>
        <w:t xml:space="preserve">otato </w:t>
      </w:r>
      <w:r w:rsidRPr="00111ABF">
        <w:rPr>
          <w:rFonts w:cs="Times New Roman"/>
          <w:color w:val="000000"/>
          <w:sz w:val="24"/>
          <w:szCs w:val="24"/>
        </w:rPr>
        <w:t>has been</w:t>
      </w:r>
      <w:r w:rsidR="00754182" w:rsidRPr="00111ABF">
        <w:rPr>
          <w:rFonts w:cs="Times New Roman"/>
          <w:color w:val="000000"/>
          <w:sz w:val="24"/>
          <w:szCs w:val="24"/>
        </w:rPr>
        <w:t xml:space="preserve"> </w:t>
      </w:r>
      <w:r w:rsidRPr="00111ABF">
        <w:rPr>
          <w:rFonts w:cs="Times New Roman"/>
          <w:color w:val="000000"/>
          <w:sz w:val="24"/>
          <w:szCs w:val="24"/>
        </w:rPr>
        <w:t>c</w:t>
      </w:r>
      <w:r w:rsidR="00754182" w:rsidRPr="00111ABF">
        <w:rPr>
          <w:rFonts w:cs="Times New Roman"/>
          <w:color w:val="000000"/>
          <w:sz w:val="24"/>
          <w:szCs w:val="24"/>
        </w:rPr>
        <w:t xml:space="preserve">omputed </w:t>
      </w:r>
      <w:r w:rsidRPr="00111ABF">
        <w:rPr>
          <w:rFonts w:cs="Times New Roman"/>
          <w:color w:val="000000"/>
          <w:sz w:val="24"/>
          <w:szCs w:val="24"/>
        </w:rPr>
        <w:t xml:space="preserve">using semi log model. </w:t>
      </w:r>
    </w:p>
    <w:p w:rsidR="007D3EB9" w:rsidRPr="007D3EB9" w:rsidRDefault="00D55CE2" w:rsidP="00E452E2">
      <w:pPr>
        <w:spacing w:line="360" w:lineRule="auto"/>
        <w:rPr>
          <w:rFonts w:ascii="Arial" w:eastAsia="Times New Roman" w:hAnsi="Arial" w:cs="Arial"/>
          <w:sz w:val="40"/>
          <w:szCs w:val="40"/>
          <w:lang w:eastAsia="en-IN"/>
        </w:rPr>
      </w:pPr>
      <w:r>
        <w:rPr>
          <w:rFonts w:cs="Times New Roman"/>
          <w:color w:val="000000"/>
          <w:sz w:val="24"/>
          <w:szCs w:val="24"/>
        </w:rPr>
        <w:t>Annual growth rate was used to assess trends in area, production and productivity of pulses crops by following exponential growth function</w:t>
      </w:r>
      <w:r w:rsidR="007D3EB9">
        <w:rPr>
          <w:rFonts w:cs="Times New Roman"/>
          <w:color w:val="000000"/>
          <w:sz w:val="24"/>
          <w:szCs w:val="24"/>
        </w:rPr>
        <w:t xml:space="preserve"> (</w:t>
      </w:r>
      <w:proofErr w:type="spellStart"/>
      <w:r w:rsidR="007D3EB9">
        <w:rPr>
          <w:rFonts w:cs="Times New Roman"/>
          <w:color w:val="000000"/>
          <w:sz w:val="24"/>
          <w:szCs w:val="24"/>
        </w:rPr>
        <w:t>Avinash</w:t>
      </w:r>
      <w:proofErr w:type="spellEnd"/>
      <w:r w:rsidR="007D3EB9">
        <w:rPr>
          <w:rFonts w:cs="Times New Roman"/>
          <w:color w:val="000000"/>
          <w:sz w:val="24"/>
          <w:szCs w:val="24"/>
        </w:rPr>
        <w:t xml:space="preserve"> et. al 2018)</w:t>
      </w:r>
    </w:p>
    <w:p w:rsidR="00D55CE2" w:rsidRDefault="00D55CE2" w:rsidP="006C64A9">
      <w:pPr>
        <w:autoSpaceDE w:val="0"/>
        <w:autoSpaceDN w:val="0"/>
        <w:adjustRightInd w:val="0"/>
        <w:spacing w:after="0" w:line="276" w:lineRule="auto"/>
        <w:jc w:val="both"/>
        <w:rPr>
          <w:rFonts w:cs="Times New Roman"/>
          <w:color w:val="000000"/>
          <w:sz w:val="24"/>
          <w:szCs w:val="24"/>
        </w:rPr>
      </w:pPr>
      <w:r>
        <w:rPr>
          <w:rFonts w:cs="Times New Roman"/>
          <w:color w:val="000000"/>
          <w:sz w:val="24"/>
          <w:szCs w:val="24"/>
        </w:rPr>
        <w:lastRenderedPageBreak/>
        <w:t>The growth was analysed using equation</w:t>
      </w:r>
    </w:p>
    <w:p w:rsidR="00D55CE2" w:rsidRDefault="00D55CE2" w:rsidP="006C64A9">
      <w:pPr>
        <w:autoSpaceDE w:val="0"/>
        <w:autoSpaceDN w:val="0"/>
        <w:adjustRightInd w:val="0"/>
        <w:spacing w:after="0" w:line="276" w:lineRule="auto"/>
        <w:jc w:val="both"/>
        <w:rPr>
          <w:rFonts w:cs="Times New Roman"/>
          <w:color w:val="000000"/>
          <w:sz w:val="24"/>
          <w:szCs w:val="24"/>
        </w:rPr>
      </w:pPr>
      <w:r>
        <w:rPr>
          <w:rFonts w:cs="Times New Roman"/>
          <w:color w:val="000000"/>
          <w:sz w:val="24"/>
          <w:szCs w:val="24"/>
        </w:rPr>
        <w:t xml:space="preserve">Y= </w:t>
      </w:r>
      <w:proofErr w:type="spellStart"/>
      <w:r>
        <w:rPr>
          <w:rFonts w:cs="Times New Roman"/>
          <w:color w:val="000000"/>
          <w:sz w:val="24"/>
          <w:szCs w:val="24"/>
        </w:rPr>
        <w:t>ab</w:t>
      </w:r>
      <w:r w:rsidRPr="008B4AE6">
        <w:rPr>
          <w:rFonts w:cs="Times New Roman"/>
          <w:color w:val="000000"/>
          <w:sz w:val="24"/>
          <w:szCs w:val="24"/>
          <w:vertAlign w:val="superscript"/>
        </w:rPr>
        <w:t>t</w:t>
      </w:r>
      <w:r>
        <w:rPr>
          <w:rFonts w:cs="Times New Roman"/>
          <w:color w:val="000000"/>
          <w:sz w:val="24"/>
          <w:szCs w:val="24"/>
        </w:rPr>
        <w:t>e</w:t>
      </w:r>
      <w:proofErr w:type="spellEnd"/>
    </w:p>
    <w:p w:rsidR="00D55CE2" w:rsidRDefault="00D55CE2" w:rsidP="006C64A9">
      <w:pPr>
        <w:autoSpaceDE w:val="0"/>
        <w:autoSpaceDN w:val="0"/>
        <w:adjustRightInd w:val="0"/>
        <w:spacing w:after="0" w:line="276" w:lineRule="auto"/>
        <w:jc w:val="both"/>
        <w:rPr>
          <w:rFonts w:cs="Times New Roman"/>
          <w:color w:val="000000"/>
          <w:sz w:val="24"/>
          <w:szCs w:val="24"/>
        </w:rPr>
      </w:pPr>
      <w:r>
        <w:rPr>
          <w:rFonts w:cs="Times New Roman"/>
          <w:color w:val="000000"/>
          <w:sz w:val="24"/>
          <w:szCs w:val="24"/>
        </w:rPr>
        <w:t>Where,</w:t>
      </w:r>
    </w:p>
    <w:p w:rsidR="00D55CE2" w:rsidRDefault="00D55CE2" w:rsidP="006C64A9">
      <w:pPr>
        <w:autoSpaceDE w:val="0"/>
        <w:autoSpaceDN w:val="0"/>
        <w:adjustRightInd w:val="0"/>
        <w:spacing w:after="0" w:line="276" w:lineRule="auto"/>
        <w:jc w:val="both"/>
        <w:rPr>
          <w:rFonts w:cs="Times New Roman"/>
          <w:color w:val="000000"/>
          <w:sz w:val="24"/>
          <w:szCs w:val="24"/>
        </w:rPr>
      </w:pPr>
      <w:r>
        <w:rPr>
          <w:rFonts w:cs="Times New Roman"/>
          <w:color w:val="000000"/>
          <w:sz w:val="24"/>
          <w:szCs w:val="24"/>
        </w:rPr>
        <w:t>Y=area/ production/ productivity of pulses</w:t>
      </w:r>
    </w:p>
    <w:p w:rsidR="00D55CE2" w:rsidRDefault="00BE430A" w:rsidP="006C64A9">
      <w:pPr>
        <w:autoSpaceDE w:val="0"/>
        <w:autoSpaceDN w:val="0"/>
        <w:adjustRightInd w:val="0"/>
        <w:spacing w:after="0" w:line="276" w:lineRule="auto"/>
        <w:jc w:val="both"/>
        <w:rPr>
          <w:rFonts w:cs="Times New Roman"/>
          <w:color w:val="000000"/>
          <w:sz w:val="24"/>
          <w:szCs w:val="24"/>
        </w:rPr>
      </w:pPr>
      <w:r>
        <w:rPr>
          <w:rFonts w:cs="Times New Roman"/>
          <w:color w:val="000000"/>
          <w:sz w:val="24"/>
          <w:szCs w:val="24"/>
        </w:rPr>
        <w:t>a</w:t>
      </w:r>
      <w:r w:rsidR="00D55CE2">
        <w:rPr>
          <w:rFonts w:cs="Times New Roman"/>
          <w:color w:val="000000"/>
          <w:sz w:val="24"/>
          <w:szCs w:val="24"/>
        </w:rPr>
        <w:t>= intercept</w:t>
      </w:r>
    </w:p>
    <w:p w:rsidR="00D55CE2" w:rsidRDefault="00BE430A" w:rsidP="006C64A9">
      <w:pPr>
        <w:autoSpaceDE w:val="0"/>
        <w:autoSpaceDN w:val="0"/>
        <w:adjustRightInd w:val="0"/>
        <w:spacing w:after="0" w:line="276" w:lineRule="auto"/>
        <w:jc w:val="both"/>
        <w:rPr>
          <w:rFonts w:cs="Times New Roman"/>
          <w:color w:val="000000"/>
          <w:sz w:val="24"/>
          <w:szCs w:val="24"/>
        </w:rPr>
      </w:pPr>
      <w:r>
        <w:rPr>
          <w:rFonts w:cs="Times New Roman"/>
          <w:color w:val="000000"/>
          <w:sz w:val="24"/>
          <w:szCs w:val="24"/>
        </w:rPr>
        <w:t>b</w:t>
      </w:r>
      <w:r w:rsidR="00D55CE2">
        <w:rPr>
          <w:rFonts w:cs="Times New Roman"/>
          <w:color w:val="000000"/>
          <w:sz w:val="24"/>
          <w:szCs w:val="24"/>
        </w:rPr>
        <w:t>=regression coefficient</w:t>
      </w:r>
    </w:p>
    <w:p w:rsidR="00D55CE2" w:rsidRDefault="00BE430A" w:rsidP="006C64A9">
      <w:pPr>
        <w:autoSpaceDE w:val="0"/>
        <w:autoSpaceDN w:val="0"/>
        <w:adjustRightInd w:val="0"/>
        <w:spacing w:after="0" w:line="276" w:lineRule="auto"/>
        <w:jc w:val="both"/>
        <w:rPr>
          <w:rFonts w:cs="Times New Roman"/>
          <w:color w:val="000000"/>
          <w:sz w:val="24"/>
          <w:szCs w:val="24"/>
        </w:rPr>
      </w:pPr>
      <w:r>
        <w:rPr>
          <w:rFonts w:cs="Times New Roman"/>
          <w:color w:val="000000"/>
          <w:sz w:val="24"/>
          <w:szCs w:val="24"/>
        </w:rPr>
        <w:t>t</w:t>
      </w:r>
      <w:r w:rsidR="00D55CE2">
        <w:rPr>
          <w:rFonts w:cs="Times New Roman"/>
          <w:color w:val="000000"/>
          <w:sz w:val="24"/>
          <w:szCs w:val="24"/>
        </w:rPr>
        <w:t>= time variable</w:t>
      </w:r>
    </w:p>
    <w:p w:rsidR="00D55CE2" w:rsidRDefault="00BE430A" w:rsidP="006C64A9">
      <w:pPr>
        <w:autoSpaceDE w:val="0"/>
        <w:autoSpaceDN w:val="0"/>
        <w:adjustRightInd w:val="0"/>
        <w:spacing w:after="0" w:line="276" w:lineRule="auto"/>
        <w:jc w:val="both"/>
        <w:rPr>
          <w:rFonts w:cs="Times New Roman"/>
          <w:color w:val="000000"/>
          <w:sz w:val="24"/>
          <w:szCs w:val="24"/>
        </w:rPr>
      </w:pPr>
      <w:r>
        <w:rPr>
          <w:rFonts w:cs="Times New Roman"/>
          <w:color w:val="000000"/>
          <w:sz w:val="24"/>
          <w:szCs w:val="24"/>
        </w:rPr>
        <w:t>e</w:t>
      </w:r>
      <w:r w:rsidR="00D55CE2">
        <w:rPr>
          <w:rFonts w:cs="Times New Roman"/>
          <w:color w:val="000000"/>
          <w:sz w:val="24"/>
          <w:szCs w:val="24"/>
        </w:rPr>
        <w:t>= error term</w:t>
      </w:r>
    </w:p>
    <w:p w:rsidR="00D55CE2" w:rsidRDefault="00D55CE2" w:rsidP="006C64A9">
      <w:pPr>
        <w:autoSpaceDE w:val="0"/>
        <w:autoSpaceDN w:val="0"/>
        <w:adjustRightInd w:val="0"/>
        <w:spacing w:after="0" w:line="276" w:lineRule="auto"/>
        <w:jc w:val="both"/>
        <w:rPr>
          <w:rFonts w:cs="Times New Roman"/>
          <w:color w:val="000000"/>
          <w:sz w:val="24"/>
          <w:szCs w:val="24"/>
        </w:rPr>
      </w:pPr>
      <w:r>
        <w:rPr>
          <w:rFonts w:cs="Times New Roman"/>
          <w:color w:val="000000"/>
          <w:sz w:val="24"/>
          <w:szCs w:val="24"/>
        </w:rPr>
        <w:t xml:space="preserve">The compound growth rate was obtained from </w:t>
      </w:r>
      <w:r w:rsidR="00A31952">
        <w:rPr>
          <w:rFonts w:cs="Times New Roman"/>
          <w:color w:val="000000"/>
          <w:sz w:val="24"/>
          <w:szCs w:val="24"/>
        </w:rPr>
        <w:t>logarithmic</w:t>
      </w:r>
      <w:r>
        <w:rPr>
          <w:rFonts w:cs="Times New Roman"/>
          <w:color w:val="000000"/>
          <w:sz w:val="24"/>
          <w:szCs w:val="24"/>
        </w:rPr>
        <w:t xml:space="preserve"> form of the equation as follows</w:t>
      </w:r>
    </w:p>
    <w:p w:rsidR="00D55CE2" w:rsidRDefault="00D55CE2" w:rsidP="006C64A9">
      <w:pPr>
        <w:autoSpaceDE w:val="0"/>
        <w:autoSpaceDN w:val="0"/>
        <w:adjustRightInd w:val="0"/>
        <w:spacing w:after="0" w:line="276" w:lineRule="auto"/>
        <w:jc w:val="both"/>
        <w:rPr>
          <w:rFonts w:cs="Times New Roman"/>
          <w:color w:val="000000"/>
          <w:sz w:val="24"/>
          <w:szCs w:val="24"/>
        </w:rPr>
      </w:pPr>
      <w:r>
        <w:rPr>
          <w:rFonts w:cs="Times New Roman"/>
          <w:color w:val="000000"/>
          <w:sz w:val="24"/>
          <w:szCs w:val="24"/>
        </w:rPr>
        <w:t>Ln y= ln a +t ln b</w:t>
      </w:r>
    </w:p>
    <w:p w:rsidR="00D55CE2" w:rsidRDefault="00D55CE2" w:rsidP="006C64A9">
      <w:pPr>
        <w:autoSpaceDE w:val="0"/>
        <w:autoSpaceDN w:val="0"/>
        <w:adjustRightInd w:val="0"/>
        <w:spacing w:after="0" w:line="276" w:lineRule="auto"/>
        <w:jc w:val="both"/>
        <w:rPr>
          <w:rFonts w:cs="Times New Roman"/>
          <w:color w:val="000000"/>
          <w:sz w:val="24"/>
          <w:szCs w:val="24"/>
        </w:rPr>
      </w:pPr>
      <w:r>
        <w:rPr>
          <w:rFonts w:cs="Times New Roman"/>
          <w:color w:val="000000"/>
          <w:sz w:val="24"/>
          <w:szCs w:val="24"/>
        </w:rPr>
        <w:t>The per cent compound growth rate (G) was derived as follows</w:t>
      </w:r>
    </w:p>
    <w:p w:rsidR="00D55CE2" w:rsidRDefault="00D55CE2" w:rsidP="006C64A9">
      <w:pPr>
        <w:autoSpaceDE w:val="0"/>
        <w:autoSpaceDN w:val="0"/>
        <w:adjustRightInd w:val="0"/>
        <w:spacing w:after="0" w:line="276" w:lineRule="auto"/>
        <w:jc w:val="both"/>
        <w:rPr>
          <w:rFonts w:cs="Times New Roman"/>
          <w:color w:val="000000"/>
          <w:sz w:val="24"/>
          <w:szCs w:val="24"/>
        </w:rPr>
      </w:pPr>
      <w:r>
        <w:rPr>
          <w:rFonts w:cs="Times New Roman"/>
          <w:color w:val="000000"/>
          <w:sz w:val="24"/>
          <w:szCs w:val="24"/>
        </w:rPr>
        <w:t xml:space="preserve">G= </w:t>
      </w:r>
      <w:r w:rsidR="008B4AE6">
        <w:rPr>
          <w:rFonts w:cs="Times New Roman"/>
          <w:color w:val="000000"/>
          <w:sz w:val="24"/>
          <w:szCs w:val="24"/>
        </w:rPr>
        <w:t>(</w:t>
      </w:r>
      <w:r>
        <w:rPr>
          <w:rFonts w:cs="Times New Roman"/>
          <w:color w:val="000000"/>
          <w:sz w:val="24"/>
          <w:szCs w:val="24"/>
        </w:rPr>
        <w:t>Antilog of b-</w:t>
      </w:r>
      <w:proofErr w:type="gramStart"/>
      <w:r>
        <w:rPr>
          <w:rFonts w:cs="Times New Roman"/>
          <w:color w:val="000000"/>
          <w:sz w:val="24"/>
          <w:szCs w:val="24"/>
        </w:rPr>
        <w:t>1)*</w:t>
      </w:r>
      <w:proofErr w:type="gramEnd"/>
      <w:r>
        <w:rPr>
          <w:rFonts w:cs="Times New Roman"/>
          <w:color w:val="000000"/>
          <w:sz w:val="24"/>
          <w:szCs w:val="24"/>
        </w:rPr>
        <w:t>100</w:t>
      </w:r>
    </w:p>
    <w:p w:rsidR="00D55CE2" w:rsidRPr="00111ABF" w:rsidRDefault="00D55CE2" w:rsidP="00A31952">
      <w:pPr>
        <w:autoSpaceDE w:val="0"/>
        <w:autoSpaceDN w:val="0"/>
        <w:adjustRightInd w:val="0"/>
        <w:spacing w:after="0" w:line="360" w:lineRule="auto"/>
        <w:jc w:val="both"/>
        <w:rPr>
          <w:rFonts w:cs="Times New Roman"/>
          <w:color w:val="000000"/>
          <w:sz w:val="24"/>
          <w:szCs w:val="24"/>
        </w:rPr>
      </w:pPr>
    </w:p>
    <w:p w:rsidR="001627FB" w:rsidRPr="00111ABF" w:rsidRDefault="001627FB" w:rsidP="00A31952">
      <w:pPr>
        <w:autoSpaceDE w:val="0"/>
        <w:autoSpaceDN w:val="0"/>
        <w:adjustRightInd w:val="0"/>
        <w:spacing w:after="0" w:line="360" w:lineRule="auto"/>
        <w:jc w:val="both"/>
        <w:rPr>
          <w:rFonts w:cs="Times New Roman"/>
          <w:color w:val="000000"/>
          <w:sz w:val="24"/>
          <w:szCs w:val="24"/>
        </w:rPr>
      </w:pPr>
      <w:r w:rsidRPr="00111ABF">
        <w:rPr>
          <w:rFonts w:cs="Times New Roman"/>
          <w:color w:val="000000"/>
          <w:sz w:val="24"/>
          <w:szCs w:val="24"/>
        </w:rPr>
        <w:t>For calculating instability index the methodology</w:t>
      </w:r>
      <w:r w:rsidR="00754182" w:rsidRPr="00111ABF">
        <w:rPr>
          <w:rFonts w:cs="Times New Roman"/>
          <w:color w:val="000000"/>
          <w:sz w:val="24"/>
          <w:szCs w:val="24"/>
        </w:rPr>
        <w:t xml:space="preserve"> </w:t>
      </w:r>
      <w:r w:rsidR="00A31952">
        <w:rPr>
          <w:rFonts w:cs="Times New Roman"/>
          <w:color w:val="000000"/>
          <w:sz w:val="24"/>
          <w:szCs w:val="24"/>
        </w:rPr>
        <w:t>used by Chand and Raju (2009</w:t>
      </w:r>
      <w:r w:rsidRPr="00111ABF">
        <w:rPr>
          <w:rFonts w:cs="Times New Roman"/>
          <w:color w:val="000000"/>
          <w:sz w:val="24"/>
          <w:szCs w:val="24"/>
        </w:rPr>
        <w:t>) has been used. The instability index is given by:</w:t>
      </w:r>
    </w:p>
    <w:p w:rsidR="001627FB" w:rsidRPr="00111ABF" w:rsidRDefault="001627FB" w:rsidP="00A31952">
      <w:pPr>
        <w:autoSpaceDE w:val="0"/>
        <w:autoSpaceDN w:val="0"/>
        <w:adjustRightInd w:val="0"/>
        <w:spacing w:after="0" w:line="360" w:lineRule="auto"/>
        <w:jc w:val="both"/>
        <w:rPr>
          <w:rFonts w:cs="Times New Roman"/>
          <w:color w:val="000000"/>
          <w:sz w:val="24"/>
          <w:szCs w:val="24"/>
        </w:rPr>
      </w:pPr>
      <w:r w:rsidRPr="00111ABF">
        <w:rPr>
          <w:rFonts w:cs="Times New Roman"/>
          <w:color w:val="000000"/>
          <w:sz w:val="24"/>
          <w:szCs w:val="24"/>
        </w:rPr>
        <w:t>Instability Index = Standard deviation of the natural logarithm (X</w:t>
      </w:r>
      <w:r w:rsidRPr="00A31952">
        <w:rPr>
          <w:rFonts w:cs="Times New Roman"/>
          <w:color w:val="000000"/>
          <w:sz w:val="24"/>
          <w:szCs w:val="24"/>
          <w:vertAlign w:val="subscript"/>
        </w:rPr>
        <w:t>t+1</w:t>
      </w:r>
      <w:r w:rsidRPr="00111ABF">
        <w:rPr>
          <w:rFonts w:cs="Times New Roman"/>
          <w:color w:val="000000"/>
          <w:sz w:val="24"/>
          <w:szCs w:val="24"/>
        </w:rPr>
        <w:t>/</w:t>
      </w:r>
      <w:proofErr w:type="spellStart"/>
      <w:r w:rsidRPr="00111ABF">
        <w:rPr>
          <w:rFonts w:cs="Times New Roman"/>
          <w:color w:val="000000"/>
          <w:sz w:val="24"/>
          <w:szCs w:val="24"/>
        </w:rPr>
        <w:t>X</w:t>
      </w:r>
      <w:r w:rsidRPr="00A31952">
        <w:rPr>
          <w:rFonts w:cs="Times New Roman"/>
          <w:color w:val="000000"/>
          <w:sz w:val="24"/>
          <w:szCs w:val="24"/>
          <w:vertAlign w:val="subscript"/>
        </w:rPr>
        <w:t>t</w:t>
      </w:r>
      <w:proofErr w:type="spellEnd"/>
      <w:r w:rsidRPr="00111ABF">
        <w:rPr>
          <w:rFonts w:cs="Times New Roman"/>
          <w:color w:val="000000"/>
          <w:sz w:val="24"/>
          <w:szCs w:val="24"/>
        </w:rPr>
        <w:t>)</w:t>
      </w:r>
    </w:p>
    <w:p w:rsidR="00754182" w:rsidRPr="00111ABF" w:rsidRDefault="00754182" w:rsidP="00A31952">
      <w:pPr>
        <w:autoSpaceDE w:val="0"/>
        <w:autoSpaceDN w:val="0"/>
        <w:adjustRightInd w:val="0"/>
        <w:spacing w:after="0" w:line="360" w:lineRule="auto"/>
        <w:jc w:val="both"/>
        <w:rPr>
          <w:rFonts w:cs="Times New Roman"/>
          <w:color w:val="000000"/>
          <w:sz w:val="24"/>
          <w:szCs w:val="24"/>
        </w:rPr>
      </w:pPr>
    </w:p>
    <w:p w:rsidR="001627FB" w:rsidRPr="00E452E2" w:rsidRDefault="001627FB" w:rsidP="00E452E2">
      <w:pPr>
        <w:autoSpaceDE w:val="0"/>
        <w:autoSpaceDN w:val="0"/>
        <w:adjustRightInd w:val="0"/>
        <w:spacing w:after="0" w:line="360" w:lineRule="auto"/>
        <w:jc w:val="both"/>
        <w:rPr>
          <w:rFonts w:cs="Times New Roman"/>
          <w:color w:val="000000"/>
          <w:sz w:val="24"/>
          <w:szCs w:val="24"/>
        </w:rPr>
      </w:pPr>
      <w:r w:rsidRPr="00111ABF">
        <w:rPr>
          <w:rFonts w:cs="Times New Roman"/>
          <w:color w:val="000000"/>
          <w:sz w:val="24"/>
          <w:szCs w:val="24"/>
        </w:rPr>
        <w:t xml:space="preserve">Here </w:t>
      </w:r>
      <w:proofErr w:type="spellStart"/>
      <w:r w:rsidRPr="00111ABF">
        <w:rPr>
          <w:rFonts w:cs="Times New Roman"/>
          <w:color w:val="000000"/>
          <w:sz w:val="24"/>
          <w:szCs w:val="24"/>
        </w:rPr>
        <w:t>X</w:t>
      </w:r>
      <w:r w:rsidRPr="00A31952">
        <w:rPr>
          <w:rFonts w:cs="Times New Roman"/>
          <w:color w:val="000000"/>
          <w:sz w:val="24"/>
          <w:szCs w:val="24"/>
          <w:vertAlign w:val="subscript"/>
        </w:rPr>
        <w:t>t</w:t>
      </w:r>
      <w:proofErr w:type="spellEnd"/>
      <w:r w:rsidRPr="00A31952">
        <w:rPr>
          <w:rFonts w:cs="Times New Roman"/>
          <w:color w:val="000000"/>
          <w:sz w:val="24"/>
          <w:szCs w:val="24"/>
          <w:vertAlign w:val="subscript"/>
        </w:rPr>
        <w:t xml:space="preserve"> </w:t>
      </w:r>
      <w:r w:rsidRPr="00111ABF">
        <w:rPr>
          <w:rFonts w:cs="Times New Roman"/>
          <w:color w:val="000000"/>
          <w:sz w:val="24"/>
          <w:szCs w:val="24"/>
        </w:rPr>
        <w:t>refers to Area (A), Production (P), Yield (Y) in</w:t>
      </w:r>
      <w:r w:rsidR="00754182" w:rsidRPr="00111ABF">
        <w:rPr>
          <w:rFonts w:cs="Times New Roman"/>
          <w:color w:val="000000"/>
          <w:sz w:val="24"/>
          <w:szCs w:val="24"/>
        </w:rPr>
        <w:t xml:space="preserve"> </w:t>
      </w:r>
      <w:r w:rsidRPr="00111ABF">
        <w:rPr>
          <w:rFonts w:cs="Times New Roman"/>
          <w:color w:val="000000"/>
          <w:sz w:val="24"/>
          <w:szCs w:val="24"/>
        </w:rPr>
        <w:t>the year “t”; and X</w:t>
      </w:r>
      <w:r w:rsidRPr="00A31952">
        <w:rPr>
          <w:rFonts w:cs="Times New Roman"/>
          <w:color w:val="000000"/>
          <w:sz w:val="24"/>
          <w:szCs w:val="24"/>
          <w:vertAlign w:val="subscript"/>
        </w:rPr>
        <w:t xml:space="preserve">t+1 </w:t>
      </w:r>
      <w:r w:rsidRPr="00111ABF">
        <w:rPr>
          <w:rFonts w:cs="Times New Roman"/>
          <w:color w:val="000000"/>
          <w:sz w:val="24"/>
          <w:szCs w:val="24"/>
        </w:rPr>
        <w:t>denote the same for subsequent year. This index is unit free and</w:t>
      </w:r>
      <w:r w:rsidR="00754182" w:rsidRPr="00111ABF">
        <w:rPr>
          <w:rFonts w:cs="Times New Roman"/>
          <w:color w:val="000000"/>
          <w:sz w:val="24"/>
          <w:szCs w:val="24"/>
        </w:rPr>
        <w:t xml:space="preserve"> </w:t>
      </w:r>
      <w:r w:rsidRPr="00111ABF">
        <w:rPr>
          <w:rFonts w:cs="Times New Roman"/>
          <w:color w:val="000000"/>
          <w:sz w:val="24"/>
          <w:szCs w:val="24"/>
        </w:rPr>
        <w:t xml:space="preserve">robust and measures deviations from </w:t>
      </w:r>
      <w:r w:rsidRPr="00E452E2">
        <w:rPr>
          <w:rFonts w:cs="Times New Roman"/>
          <w:color w:val="000000"/>
          <w:sz w:val="24"/>
          <w:szCs w:val="24"/>
        </w:rPr>
        <w:t>underlying trend (log linear in this case). When</w:t>
      </w:r>
      <w:r w:rsidR="00111ABF" w:rsidRPr="00E452E2">
        <w:rPr>
          <w:rFonts w:cs="Times New Roman"/>
          <w:color w:val="000000"/>
          <w:sz w:val="24"/>
          <w:szCs w:val="24"/>
        </w:rPr>
        <w:t xml:space="preserve"> </w:t>
      </w:r>
      <w:r w:rsidRPr="00E452E2">
        <w:rPr>
          <w:rFonts w:cs="Times New Roman"/>
          <w:color w:val="000000"/>
          <w:sz w:val="24"/>
          <w:szCs w:val="24"/>
        </w:rPr>
        <w:t>there are no deviations from the trend, the ratio of X</w:t>
      </w:r>
      <w:r w:rsidRPr="00E452E2">
        <w:rPr>
          <w:rFonts w:cs="Times New Roman"/>
          <w:color w:val="000000"/>
          <w:sz w:val="24"/>
          <w:szCs w:val="24"/>
          <w:vertAlign w:val="subscript"/>
        </w:rPr>
        <w:t xml:space="preserve">t+1 </w:t>
      </w:r>
      <w:r w:rsidRPr="00E452E2">
        <w:rPr>
          <w:rFonts w:cs="Times New Roman"/>
          <w:color w:val="000000"/>
          <w:sz w:val="24"/>
          <w:szCs w:val="24"/>
        </w:rPr>
        <w:t xml:space="preserve">and </w:t>
      </w:r>
      <w:proofErr w:type="spellStart"/>
      <w:r w:rsidRPr="00E452E2">
        <w:rPr>
          <w:rFonts w:cs="Times New Roman"/>
          <w:color w:val="000000"/>
          <w:sz w:val="24"/>
          <w:szCs w:val="24"/>
        </w:rPr>
        <w:t>X</w:t>
      </w:r>
      <w:r w:rsidRPr="00E452E2">
        <w:rPr>
          <w:rFonts w:cs="Times New Roman"/>
          <w:color w:val="000000"/>
          <w:sz w:val="24"/>
          <w:szCs w:val="24"/>
          <w:vertAlign w:val="subscript"/>
        </w:rPr>
        <w:t>t</w:t>
      </w:r>
      <w:proofErr w:type="spellEnd"/>
      <w:r w:rsidRPr="00E452E2">
        <w:rPr>
          <w:rFonts w:cs="Times New Roman"/>
          <w:color w:val="000000"/>
          <w:sz w:val="24"/>
          <w:szCs w:val="24"/>
        </w:rPr>
        <w:t xml:space="preserve"> remains the same and</w:t>
      </w:r>
      <w:r w:rsidR="00111ABF" w:rsidRPr="00E452E2">
        <w:rPr>
          <w:rFonts w:cs="Times New Roman"/>
          <w:color w:val="000000"/>
          <w:sz w:val="24"/>
          <w:szCs w:val="24"/>
        </w:rPr>
        <w:t xml:space="preserve"> </w:t>
      </w:r>
      <w:r w:rsidRPr="00E452E2">
        <w:rPr>
          <w:rFonts w:cs="Times New Roman"/>
          <w:color w:val="000000"/>
          <w:sz w:val="24"/>
          <w:szCs w:val="24"/>
        </w:rPr>
        <w:t xml:space="preserve">their standard deviation is zero. </w:t>
      </w:r>
    </w:p>
    <w:p w:rsidR="006C64A9" w:rsidRPr="00E452E2" w:rsidRDefault="006C64A9" w:rsidP="00E452E2">
      <w:pPr>
        <w:autoSpaceDE w:val="0"/>
        <w:autoSpaceDN w:val="0"/>
        <w:adjustRightInd w:val="0"/>
        <w:spacing w:after="0" w:line="360" w:lineRule="auto"/>
        <w:rPr>
          <w:rFonts w:cs="Warnock Pro"/>
          <w:b/>
          <w:bCs/>
          <w:color w:val="000000"/>
          <w:sz w:val="24"/>
          <w:szCs w:val="24"/>
        </w:rPr>
      </w:pPr>
    </w:p>
    <w:p w:rsidR="00EF1124" w:rsidRPr="00E452E2" w:rsidRDefault="00EF1124" w:rsidP="00E452E2">
      <w:pPr>
        <w:autoSpaceDE w:val="0"/>
        <w:autoSpaceDN w:val="0"/>
        <w:adjustRightInd w:val="0"/>
        <w:spacing w:after="0" w:line="360" w:lineRule="auto"/>
        <w:rPr>
          <w:rFonts w:cs="Palatia-Bold"/>
          <w:b/>
          <w:bCs/>
          <w:color w:val="000000"/>
          <w:sz w:val="24"/>
          <w:szCs w:val="24"/>
        </w:rPr>
      </w:pPr>
      <w:r w:rsidRPr="00E452E2">
        <w:rPr>
          <w:rFonts w:cs="Palatia-Bold"/>
          <w:b/>
          <w:bCs/>
          <w:color w:val="000000"/>
          <w:sz w:val="24"/>
          <w:szCs w:val="24"/>
        </w:rPr>
        <w:t>Production Profile and Growth</w:t>
      </w:r>
    </w:p>
    <w:p w:rsidR="00900BCF" w:rsidRPr="00900BCF" w:rsidRDefault="00EF1124" w:rsidP="00E452E2">
      <w:pPr>
        <w:autoSpaceDE w:val="0"/>
        <w:autoSpaceDN w:val="0"/>
        <w:adjustRightInd w:val="0"/>
        <w:spacing w:after="0" w:line="360" w:lineRule="auto"/>
        <w:jc w:val="both"/>
        <w:rPr>
          <w:rFonts w:cs="Times New Roman"/>
          <w:color w:val="000000"/>
          <w:sz w:val="24"/>
          <w:szCs w:val="24"/>
        </w:rPr>
      </w:pPr>
      <w:r w:rsidRPr="00E452E2">
        <w:rPr>
          <w:rFonts w:cs="Palatia-Regular"/>
          <w:color w:val="000000"/>
          <w:sz w:val="24"/>
          <w:szCs w:val="24"/>
        </w:rPr>
        <w:t>Total production of potato increased</w:t>
      </w:r>
      <w:r w:rsidR="00900BCF" w:rsidRPr="00E452E2">
        <w:rPr>
          <w:rFonts w:cs="Palatia-Regular"/>
          <w:color w:val="000000"/>
          <w:sz w:val="24"/>
          <w:szCs w:val="24"/>
        </w:rPr>
        <w:t xml:space="preserve"> </w:t>
      </w:r>
      <w:r w:rsidRPr="00E452E2">
        <w:rPr>
          <w:rFonts w:cs="Palatia-Regular"/>
          <w:color w:val="000000"/>
          <w:sz w:val="24"/>
          <w:szCs w:val="24"/>
        </w:rPr>
        <w:t>substantially at all-India level during past</w:t>
      </w:r>
      <w:r w:rsidRPr="00E452E2">
        <w:rPr>
          <w:rFonts w:cs="Palatia-Regular"/>
          <w:color w:val="000000"/>
          <w:sz w:val="24"/>
          <w:szCs w:val="24"/>
        </w:rPr>
        <w:t xml:space="preserve"> seventy </w:t>
      </w:r>
      <w:r w:rsidRPr="00E452E2">
        <w:rPr>
          <w:rFonts w:cs="Palatia-Regular"/>
          <w:color w:val="000000"/>
          <w:sz w:val="24"/>
          <w:szCs w:val="24"/>
        </w:rPr>
        <w:t xml:space="preserve">years, from </w:t>
      </w:r>
      <w:r w:rsidRPr="00E452E2">
        <w:rPr>
          <w:rFonts w:cs="Palatia-Regular"/>
          <w:color w:val="000000"/>
          <w:sz w:val="24"/>
          <w:szCs w:val="24"/>
        </w:rPr>
        <w:t xml:space="preserve">1.66 </w:t>
      </w:r>
      <w:r w:rsidRPr="00E452E2">
        <w:rPr>
          <w:rFonts w:cs="Palatia-Regular"/>
          <w:color w:val="000000"/>
          <w:sz w:val="24"/>
          <w:szCs w:val="24"/>
        </w:rPr>
        <w:t>Mt in 19</w:t>
      </w:r>
      <w:r w:rsidRPr="00E452E2">
        <w:rPr>
          <w:rFonts w:cs="Palatia-Regular"/>
          <w:color w:val="000000"/>
          <w:sz w:val="24"/>
          <w:szCs w:val="24"/>
        </w:rPr>
        <w:t xml:space="preserve">50-51 </w:t>
      </w:r>
      <w:r w:rsidRPr="00E452E2">
        <w:rPr>
          <w:rFonts w:cs="Palatia-Regular"/>
          <w:color w:val="000000"/>
          <w:sz w:val="24"/>
          <w:szCs w:val="24"/>
        </w:rPr>
        <w:t xml:space="preserve">to </w:t>
      </w:r>
      <w:r w:rsidRPr="00E452E2">
        <w:rPr>
          <w:rFonts w:cs="Palatia-Regular"/>
          <w:color w:val="000000"/>
          <w:sz w:val="24"/>
          <w:szCs w:val="24"/>
        </w:rPr>
        <w:t>48</w:t>
      </w:r>
      <w:r w:rsidRPr="00900BCF">
        <w:rPr>
          <w:rFonts w:cs="Palatia-Regular"/>
          <w:color w:val="000000"/>
          <w:sz w:val="24"/>
          <w:szCs w:val="24"/>
        </w:rPr>
        <w:t>.56</w:t>
      </w:r>
      <w:r w:rsidRPr="00900BCF">
        <w:rPr>
          <w:rFonts w:cs="Palatia-Regular"/>
          <w:color w:val="000000"/>
          <w:sz w:val="24"/>
          <w:szCs w:val="24"/>
        </w:rPr>
        <w:t xml:space="preserve"> Mt</w:t>
      </w:r>
      <w:r w:rsidR="00900BCF" w:rsidRPr="00900BCF">
        <w:rPr>
          <w:rFonts w:cs="Palatia-Regular"/>
          <w:color w:val="000000"/>
          <w:sz w:val="24"/>
          <w:szCs w:val="24"/>
        </w:rPr>
        <w:t xml:space="preserve"> </w:t>
      </w:r>
      <w:r w:rsidRPr="00900BCF">
        <w:rPr>
          <w:rFonts w:cs="Palatia-Regular"/>
          <w:color w:val="000000"/>
          <w:sz w:val="24"/>
          <w:szCs w:val="24"/>
        </w:rPr>
        <w:t>in 2019</w:t>
      </w:r>
      <w:r w:rsidRPr="00900BCF">
        <w:rPr>
          <w:rFonts w:cs="Palatia-Regular"/>
          <w:color w:val="000000"/>
          <w:sz w:val="24"/>
          <w:szCs w:val="24"/>
        </w:rPr>
        <w:t>-20</w:t>
      </w:r>
      <w:r w:rsidR="00660589">
        <w:rPr>
          <w:rFonts w:cs="Palatia-Regular"/>
          <w:color w:val="000000"/>
          <w:sz w:val="24"/>
          <w:szCs w:val="24"/>
        </w:rPr>
        <w:t xml:space="preserve"> (Figure 2)</w:t>
      </w:r>
      <w:r w:rsidR="00900BCF" w:rsidRPr="00900BCF">
        <w:rPr>
          <w:rFonts w:cs="Palatia-Regular"/>
          <w:color w:val="000000"/>
          <w:sz w:val="24"/>
          <w:szCs w:val="24"/>
        </w:rPr>
        <w:t>.</w:t>
      </w:r>
      <w:r w:rsidRPr="00900BCF">
        <w:rPr>
          <w:rFonts w:cs="Palatia-Regular"/>
          <w:color w:val="000000"/>
          <w:sz w:val="24"/>
          <w:szCs w:val="24"/>
        </w:rPr>
        <w:t xml:space="preserve"> During the above period,</w:t>
      </w:r>
      <w:r w:rsidR="00900BCF" w:rsidRPr="00900BCF">
        <w:rPr>
          <w:rFonts w:cs="Palatia-Regular"/>
          <w:color w:val="000000"/>
          <w:sz w:val="24"/>
          <w:szCs w:val="24"/>
        </w:rPr>
        <w:t xml:space="preserve"> </w:t>
      </w:r>
      <w:r w:rsidRPr="00900BCF">
        <w:rPr>
          <w:rFonts w:cs="Palatia-Regular"/>
          <w:color w:val="000000"/>
          <w:sz w:val="24"/>
          <w:szCs w:val="24"/>
        </w:rPr>
        <w:t>area increased by 3-times, productivity by</w:t>
      </w:r>
      <w:r w:rsidR="00900BCF" w:rsidRPr="00900BCF">
        <w:rPr>
          <w:rFonts w:cs="Palatia-Regular"/>
          <w:color w:val="000000"/>
          <w:sz w:val="24"/>
          <w:szCs w:val="24"/>
        </w:rPr>
        <w:t xml:space="preserve"> </w:t>
      </w:r>
      <w:r w:rsidRPr="00900BCF">
        <w:rPr>
          <w:rFonts w:cs="Palatia-Regular"/>
          <w:color w:val="000000"/>
          <w:sz w:val="24"/>
          <w:szCs w:val="24"/>
        </w:rPr>
        <w:t>2-times, and output by 5-times.</w:t>
      </w:r>
      <w:r w:rsidR="00900BCF" w:rsidRPr="00900BCF">
        <w:rPr>
          <w:rFonts w:cs="Palatia-Regular"/>
          <w:color w:val="000000"/>
          <w:sz w:val="24"/>
          <w:szCs w:val="24"/>
        </w:rPr>
        <w:t xml:space="preserve"> Specifically, </w:t>
      </w:r>
      <w:r w:rsidR="00900BCF" w:rsidRPr="00900BCF">
        <w:rPr>
          <w:rFonts w:cs="Times New Roman"/>
          <w:color w:val="000000"/>
          <w:sz w:val="24"/>
          <w:szCs w:val="24"/>
        </w:rPr>
        <w:t>India registered impressive growth of 5</w:t>
      </w:r>
      <w:r w:rsidR="00900BCF" w:rsidRPr="00900BCF">
        <w:rPr>
          <w:rFonts w:cs="Times New Roman"/>
          <w:color w:val="000000"/>
          <w:sz w:val="24"/>
          <w:szCs w:val="24"/>
        </w:rPr>
        <w:t>.34</w:t>
      </w:r>
      <w:r w:rsidR="00900BCF" w:rsidRPr="00900BCF">
        <w:rPr>
          <w:rFonts w:cs="Times New Roman"/>
          <w:color w:val="000000"/>
          <w:sz w:val="24"/>
          <w:szCs w:val="24"/>
        </w:rPr>
        <w:t xml:space="preserve"> percent in the production of potato since 1950-51. The area under potato cultivation recorded growth of 3.24 percent and productivity of the magnitude 2</w:t>
      </w:r>
      <w:r w:rsidR="00900BCF" w:rsidRPr="00900BCF">
        <w:rPr>
          <w:rFonts w:cs="Times New Roman"/>
          <w:color w:val="000000"/>
          <w:sz w:val="24"/>
          <w:szCs w:val="24"/>
        </w:rPr>
        <w:t>.03</w:t>
      </w:r>
      <w:r w:rsidR="00900BCF" w:rsidRPr="00900BCF">
        <w:rPr>
          <w:rFonts w:cs="Times New Roman"/>
          <w:color w:val="000000"/>
          <w:sz w:val="24"/>
          <w:szCs w:val="24"/>
        </w:rPr>
        <w:t xml:space="preserve"> percent.  The increase</w:t>
      </w:r>
      <w:r w:rsidR="00900BCF">
        <w:rPr>
          <w:rFonts w:cs="Times New Roman"/>
          <w:color w:val="000000"/>
          <w:sz w:val="24"/>
          <w:szCs w:val="24"/>
        </w:rPr>
        <w:t xml:space="preserve"> </w:t>
      </w:r>
      <w:r w:rsidR="00900BCF" w:rsidRPr="00900BCF">
        <w:rPr>
          <w:rFonts w:cs="Times New Roman"/>
          <w:color w:val="000000"/>
          <w:sz w:val="24"/>
          <w:szCs w:val="24"/>
        </w:rPr>
        <w:t xml:space="preserve">in productivity </w:t>
      </w:r>
      <w:r w:rsidR="00660589">
        <w:rPr>
          <w:rFonts w:cs="Times New Roman"/>
          <w:color w:val="000000"/>
          <w:sz w:val="24"/>
          <w:szCs w:val="24"/>
        </w:rPr>
        <w:t xml:space="preserve">has been contributed by research and government initiatives like </w:t>
      </w:r>
      <w:r w:rsidR="00900BCF" w:rsidRPr="00900BCF">
        <w:rPr>
          <w:rFonts w:cs="Times New Roman"/>
          <w:color w:val="000000"/>
          <w:sz w:val="24"/>
          <w:szCs w:val="24"/>
        </w:rPr>
        <w:t xml:space="preserve">release of </w:t>
      </w:r>
      <w:r w:rsidR="00900BCF">
        <w:rPr>
          <w:rFonts w:cs="Times New Roman"/>
          <w:color w:val="000000"/>
          <w:sz w:val="24"/>
          <w:szCs w:val="24"/>
        </w:rPr>
        <w:t>genetically improved high yielding</w:t>
      </w:r>
      <w:r w:rsidR="00660589">
        <w:rPr>
          <w:rFonts w:cs="Times New Roman"/>
          <w:color w:val="000000"/>
          <w:sz w:val="24"/>
          <w:szCs w:val="24"/>
        </w:rPr>
        <w:t xml:space="preserve"> and stress tolerant </w:t>
      </w:r>
      <w:r w:rsidR="00900BCF">
        <w:rPr>
          <w:rFonts w:cs="Times New Roman"/>
          <w:color w:val="000000"/>
          <w:sz w:val="24"/>
          <w:szCs w:val="24"/>
        </w:rPr>
        <w:t xml:space="preserve">varieties, use of certified quality seeds and micro irrigation facilities. </w:t>
      </w:r>
    </w:p>
    <w:p w:rsidR="00900BCF" w:rsidRDefault="00660589" w:rsidP="00EF1124">
      <w:pPr>
        <w:autoSpaceDE w:val="0"/>
        <w:autoSpaceDN w:val="0"/>
        <w:adjustRightInd w:val="0"/>
        <w:spacing w:after="0" w:line="240" w:lineRule="auto"/>
        <w:rPr>
          <w:rFonts w:ascii="Palatia-Regular" w:hAnsi="Palatia-Regular" w:cs="Palatia-Regular"/>
          <w:color w:val="000000"/>
          <w:szCs w:val="22"/>
        </w:rPr>
      </w:pPr>
      <w:r w:rsidRPr="00687E9C">
        <w:rPr>
          <w:rFonts w:cs="Warnock Pro"/>
          <w:noProof/>
          <w:color w:val="000000"/>
          <w:sz w:val="24"/>
          <w:szCs w:val="24"/>
          <w:lang w:eastAsia="en-IN"/>
        </w:rPr>
        <w:lastRenderedPageBreak/>
        <w:drawing>
          <wp:anchor distT="0" distB="0" distL="114300" distR="114300" simplePos="0" relativeHeight="251693056" behindDoc="0" locked="0" layoutInCell="1" allowOverlap="1" wp14:anchorId="3BC301B8" wp14:editId="19B76745">
            <wp:simplePos x="0" y="0"/>
            <wp:positionH relativeFrom="column">
              <wp:posOffset>0</wp:posOffset>
            </wp:positionH>
            <wp:positionV relativeFrom="paragraph">
              <wp:posOffset>151765</wp:posOffset>
            </wp:positionV>
            <wp:extent cx="5934075" cy="2733675"/>
            <wp:effectExtent l="0" t="0" r="9525" b="9525"/>
            <wp:wrapSquare wrapText="bothSides"/>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14:sizeRelH relativeFrom="margin">
              <wp14:pctWidth>0</wp14:pctWidth>
            </wp14:sizeRelH>
            <wp14:sizeRelV relativeFrom="margin">
              <wp14:pctHeight>0</wp14:pctHeight>
            </wp14:sizeRelV>
          </wp:anchor>
        </w:drawing>
      </w:r>
    </w:p>
    <w:p w:rsidR="00916ECB" w:rsidRPr="004521F6" w:rsidRDefault="00916ECB" w:rsidP="004521F6">
      <w:pPr>
        <w:autoSpaceDE w:val="0"/>
        <w:autoSpaceDN w:val="0"/>
        <w:adjustRightInd w:val="0"/>
        <w:spacing w:after="0" w:line="360" w:lineRule="auto"/>
        <w:jc w:val="both"/>
        <w:rPr>
          <w:rFonts w:cs="Palatia-Regular"/>
          <w:color w:val="000000"/>
          <w:sz w:val="24"/>
          <w:szCs w:val="24"/>
        </w:rPr>
      </w:pPr>
      <w:r w:rsidRPr="004521F6">
        <w:rPr>
          <w:rFonts w:cs="Warnock Pro"/>
          <w:noProof/>
          <w:color w:val="000000"/>
          <w:sz w:val="24"/>
          <w:szCs w:val="24"/>
          <w:lang w:eastAsia="en-IN"/>
        </w:rPr>
        <w:drawing>
          <wp:anchor distT="0" distB="0" distL="114300" distR="114300" simplePos="0" relativeHeight="251695104" behindDoc="0" locked="0" layoutInCell="1" allowOverlap="1" wp14:anchorId="1A1FD439" wp14:editId="521D4E9F">
            <wp:simplePos x="0" y="0"/>
            <wp:positionH relativeFrom="column">
              <wp:posOffset>-47625</wp:posOffset>
            </wp:positionH>
            <wp:positionV relativeFrom="paragraph">
              <wp:posOffset>1417320</wp:posOffset>
            </wp:positionV>
            <wp:extent cx="5883910" cy="2457450"/>
            <wp:effectExtent l="0" t="0" r="2540" b="0"/>
            <wp:wrapSquare wrapText="bothSides"/>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r w:rsidRPr="004521F6">
        <w:rPr>
          <w:rFonts w:cs="Palatia-Regular"/>
          <w:color w:val="000000"/>
          <w:sz w:val="24"/>
          <w:szCs w:val="24"/>
        </w:rPr>
        <w:t xml:space="preserve">Area under potato cultivation has also been accelerating over the last seventy years (Figure 3). India cultivated potato on 0.24 million </w:t>
      </w:r>
      <w:r w:rsidR="002944CE" w:rsidRPr="004521F6">
        <w:rPr>
          <w:rFonts w:cs="Palatia-Regular"/>
          <w:color w:val="000000"/>
          <w:sz w:val="24"/>
          <w:szCs w:val="24"/>
        </w:rPr>
        <w:t>hectares</w:t>
      </w:r>
      <w:r w:rsidRPr="004521F6">
        <w:rPr>
          <w:rFonts w:cs="Palatia-Regular"/>
          <w:color w:val="000000"/>
          <w:sz w:val="24"/>
          <w:szCs w:val="24"/>
        </w:rPr>
        <w:t xml:space="preserve"> during 1950-51 which raised to 2.05 million </w:t>
      </w:r>
      <w:r w:rsidR="002944CE" w:rsidRPr="004521F6">
        <w:rPr>
          <w:rFonts w:cs="Palatia-Regular"/>
          <w:color w:val="000000"/>
          <w:sz w:val="24"/>
          <w:szCs w:val="24"/>
        </w:rPr>
        <w:t>hectares</w:t>
      </w:r>
      <w:r w:rsidRPr="004521F6">
        <w:rPr>
          <w:rFonts w:cs="Palatia-Regular"/>
          <w:color w:val="000000"/>
          <w:sz w:val="24"/>
          <w:szCs w:val="24"/>
        </w:rPr>
        <w:t xml:space="preserve"> during 2019-20. The period of 1970s (1970-71 to 1979-80) after the adoption of green revolution registered highest growth in area and production. The productivity also registered growth nearly 4 percent. (Table 1).</w:t>
      </w:r>
    </w:p>
    <w:p w:rsidR="00916ECB" w:rsidRDefault="00916ECB" w:rsidP="00EF1124">
      <w:pPr>
        <w:autoSpaceDE w:val="0"/>
        <w:autoSpaceDN w:val="0"/>
        <w:adjustRightInd w:val="0"/>
        <w:spacing w:after="0" w:line="240" w:lineRule="auto"/>
        <w:rPr>
          <w:rFonts w:ascii="Palatia-Regular" w:hAnsi="Palatia-Regular" w:cs="Palatia-Regular"/>
          <w:color w:val="000000"/>
          <w:szCs w:val="22"/>
        </w:rPr>
      </w:pPr>
    </w:p>
    <w:p w:rsidR="002944CE" w:rsidRDefault="002944CE">
      <w:pPr>
        <w:rPr>
          <w:rFonts w:ascii="Palatia-Bold" w:hAnsi="Palatia-Bold" w:cs="Palatia-Bold"/>
          <w:b/>
          <w:bCs/>
          <w:color w:val="000000"/>
          <w:sz w:val="24"/>
          <w:szCs w:val="24"/>
        </w:rPr>
      </w:pPr>
      <w:r>
        <w:rPr>
          <w:rFonts w:ascii="Palatia-Bold" w:hAnsi="Palatia-Bold" w:cs="Palatia-Bold"/>
          <w:b/>
          <w:bCs/>
          <w:color w:val="000000"/>
          <w:sz w:val="24"/>
          <w:szCs w:val="24"/>
        </w:rPr>
        <w:br w:type="page"/>
      </w:r>
    </w:p>
    <w:p w:rsidR="00916ECB" w:rsidRDefault="00916ECB" w:rsidP="00EF1124">
      <w:pPr>
        <w:autoSpaceDE w:val="0"/>
        <w:autoSpaceDN w:val="0"/>
        <w:adjustRightInd w:val="0"/>
        <w:spacing w:after="0" w:line="240" w:lineRule="auto"/>
        <w:rPr>
          <w:rFonts w:ascii="Palatia-Bold" w:hAnsi="Palatia-Bold" w:cs="Palatia-Bold"/>
          <w:b/>
          <w:bCs/>
          <w:color w:val="000000"/>
          <w:sz w:val="24"/>
          <w:szCs w:val="24"/>
        </w:rPr>
      </w:pPr>
    </w:p>
    <w:p w:rsidR="00916ECB" w:rsidRDefault="00916ECB" w:rsidP="00916ECB">
      <w:pPr>
        <w:spacing w:after="0" w:line="240" w:lineRule="auto"/>
        <w:rPr>
          <w:rFonts w:ascii="Arial" w:eastAsia="Times New Roman" w:hAnsi="Arial" w:cs="Arial"/>
          <w:sz w:val="20"/>
          <w:lang w:eastAsia="en-IN"/>
        </w:rPr>
      </w:pPr>
      <w:r w:rsidRPr="00660589">
        <w:rPr>
          <w:rFonts w:ascii="Arial" w:eastAsia="Times New Roman" w:hAnsi="Arial" w:cs="Arial"/>
          <w:sz w:val="20"/>
          <w:lang w:eastAsia="en-IN"/>
        </w:rPr>
        <w:t>Table 1: Growth rates in area, production and productivity of potato in India</w:t>
      </w:r>
      <w:r w:rsidR="00E452E2">
        <w:rPr>
          <w:rFonts w:ascii="Arial" w:eastAsia="Times New Roman" w:hAnsi="Arial" w:cs="Arial"/>
          <w:sz w:val="20"/>
          <w:lang w:eastAsia="en-IN"/>
        </w:rPr>
        <w:t xml:space="preserve"> (Percent)</w:t>
      </w:r>
    </w:p>
    <w:tbl>
      <w:tblPr>
        <w:tblW w:w="6663" w:type="dxa"/>
        <w:tblInd w:w="-5" w:type="dxa"/>
        <w:tblLook w:val="04A0" w:firstRow="1" w:lastRow="0" w:firstColumn="1" w:lastColumn="0" w:noHBand="0" w:noVBand="1"/>
      </w:tblPr>
      <w:tblGrid>
        <w:gridCol w:w="2410"/>
        <w:gridCol w:w="1134"/>
        <w:gridCol w:w="1559"/>
        <w:gridCol w:w="1560"/>
      </w:tblGrid>
      <w:tr w:rsidR="00916ECB" w:rsidRPr="00660589" w:rsidTr="004521F6">
        <w:trPr>
          <w:trHeight w:val="255"/>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6ECB" w:rsidRPr="00660589" w:rsidRDefault="00944093" w:rsidP="002944CE">
            <w:pPr>
              <w:spacing w:after="0" w:line="360" w:lineRule="auto"/>
              <w:rPr>
                <w:rFonts w:ascii="Arial" w:eastAsia="Times New Roman" w:hAnsi="Arial" w:cs="Arial"/>
                <w:sz w:val="20"/>
                <w:lang w:eastAsia="en-IN"/>
              </w:rPr>
            </w:pPr>
            <w:r>
              <w:rPr>
                <w:rFonts w:ascii="Arial" w:eastAsia="Times New Roman" w:hAnsi="Arial" w:cs="Arial"/>
                <w:sz w:val="20"/>
                <w:lang w:eastAsia="en-IN"/>
              </w:rPr>
              <w:t>Period</w:t>
            </w:r>
            <w:r w:rsidR="00916ECB" w:rsidRPr="00660589">
              <w:rPr>
                <w:rFonts w:ascii="Arial" w:eastAsia="Times New Roman" w:hAnsi="Arial" w:cs="Arial"/>
                <w:sz w:val="20"/>
                <w:lang w:eastAsia="en-IN"/>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916ECB" w:rsidRPr="00660589" w:rsidRDefault="00916ECB" w:rsidP="002944CE">
            <w:pPr>
              <w:spacing w:after="0" w:line="360" w:lineRule="auto"/>
              <w:rPr>
                <w:rFonts w:ascii="Arial" w:eastAsia="Times New Roman" w:hAnsi="Arial" w:cs="Arial"/>
                <w:sz w:val="20"/>
                <w:lang w:eastAsia="en-IN"/>
              </w:rPr>
            </w:pPr>
            <w:r w:rsidRPr="00660589">
              <w:rPr>
                <w:rFonts w:ascii="Arial" w:eastAsia="Times New Roman" w:hAnsi="Arial" w:cs="Arial"/>
                <w:sz w:val="20"/>
                <w:lang w:eastAsia="en-IN"/>
              </w:rPr>
              <w:t>Area</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916ECB" w:rsidRPr="00660589" w:rsidRDefault="00916ECB" w:rsidP="002944CE">
            <w:pPr>
              <w:spacing w:after="0" w:line="360" w:lineRule="auto"/>
              <w:rPr>
                <w:rFonts w:ascii="Arial" w:eastAsia="Times New Roman" w:hAnsi="Arial" w:cs="Arial"/>
                <w:sz w:val="20"/>
                <w:lang w:eastAsia="en-IN"/>
              </w:rPr>
            </w:pPr>
            <w:r w:rsidRPr="00660589">
              <w:rPr>
                <w:rFonts w:ascii="Arial" w:eastAsia="Times New Roman" w:hAnsi="Arial" w:cs="Arial"/>
                <w:sz w:val="20"/>
                <w:lang w:eastAsia="en-IN"/>
              </w:rPr>
              <w:t>Production</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916ECB" w:rsidRPr="00660589" w:rsidRDefault="00916ECB" w:rsidP="002944CE">
            <w:pPr>
              <w:spacing w:after="0" w:line="360" w:lineRule="auto"/>
              <w:rPr>
                <w:rFonts w:ascii="Arial" w:eastAsia="Times New Roman" w:hAnsi="Arial" w:cs="Arial"/>
                <w:sz w:val="20"/>
                <w:lang w:eastAsia="en-IN"/>
              </w:rPr>
            </w:pPr>
            <w:r w:rsidRPr="00660589">
              <w:rPr>
                <w:rFonts w:ascii="Arial" w:eastAsia="Times New Roman" w:hAnsi="Arial" w:cs="Arial"/>
                <w:sz w:val="20"/>
                <w:lang w:eastAsia="en-IN"/>
              </w:rPr>
              <w:t>Productivity</w:t>
            </w:r>
          </w:p>
        </w:tc>
      </w:tr>
      <w:tr w:rsidR="00916ECB" w:rsidRPr="00660589" w:rsidTr="004521F6">
        <w:trPr>
          <w:trHeight w:val="255"/>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916ECB" w:rsidRPr="00660589" w:rsidRDefault="00916ECB" w:rsidP="002944CE">
            <w:pPr>
              <w:spacing w:after="0" w:line="360" w:lineRule="auto"/>
              <w:rPr>
                <w:rFonts w:ascii="Arial" w:eastAsia="Times New Roman" w:hAnsi="Arial" w:cs="Arial"/>
                <w:sz w:val="20"/>
                <w:lang w:eastAsia="en-IN"/>
              </w:rPr>
            </w:pPr>
            <w:r w:rsidRPr="00660589">
              <w:rPr>
                <w:rFonts w:ascii="Arial" w:eastAsia="Times New Roman" w:hAnsi="Arial" w:cs="Arial"/>
                <w:sz w:val="20"/>
                <w:lang w:eastAsia="en-IN"/>
              </w:rPr>
              <w:t>1950-51 to 1959-60</w:t>
            </w:r>
          </w:p>
        </w:tc>
        <w:tc>
          <w:tcPr>
            <w:tcW w:w="1134" w:type="dxa"/>
            <w:tcBorders>
              <w:top w:val="nil"/>
              <w:left w:val="nil"/>
              <w:bottom w:val="single" w:sz="4" w:space="0" w:color="auto"/>
              <w:right w:val="single" w:sz="4" w:space="0" w:color="auto"/>
            </w:tcBorders>
            <w:shd w:val="clear" w:color="auto" w:fill="auto"/>
            <w:noWrap/>
            <w:vAlign w:val="bottom"/>
            <w:hideMark/>
          </w:tcPr>
          <w:p w:rsidR="00916ECB" w:rsidRPr="00660589" w:rsidRDefault="00916ECB" w:rsidP="002944CE">
            <w:pPr>
              <w:spacing w:after="0" w:line="360" w:lineRule="auto"/>
              <w:jc w:val="center"/>
              <w:rPr>
                <w:rFonts w:ascii="Arial" w:eastAsia="Times New Roman" w:hAnsi="Arial" w:cs="Arial"/>
                <w:sz w:val="20"/>
                <w:lang w:eastAsia="en-IN"/>
              </w:rPr>
            </w:pPr>
            <w:r w:rsidRPr="00660589">
              <w:rPr>
                <w:rFonts w:ascii="Arial" w:eastAsia="Times New Roman" w:hAnsi="Arial" w:cs="Arial"/>
                <w:sz w:val="20"/>
                <w:lang w:eastAsia="en-IN"/>
              </w:rPr>
              <w:t>4.46</w:t>
            </w:r>
          </w:p>
        </w:tc>
        <w:tc>
          <w:tcPr>
            <w:tcW w:w="1559" w:type="dxa"/>
            <w:tcBorders>
              <w:top w:val="nil"/>
              <w:left w:val="nil"/>
              <w:bottom w:val="single" w:sz="4" w:space="0" w:color="auto"/>
              <w:right w:val="single" w:sz="4" w:space="0" w:color="auto"/>
            </w:tcBorders>
            <w:shd w:val="clear" w:color="auto" w:fill="auto"/>
            <w:noWrap/>
            <w:vAlign w:val="bottom"/>
            <w:hideMark/>
          </w:tcPr>
          <w:p w:rsidR="00916ECB" w:rsidRPr="00660589" w:rsidRDefault="00916ECB" w:rsidP="002944CE">
            <w:pPr>
              <w:spacing w:after="0" w:line="360" w:lineRule="auto"/>
              <w:jc w:val="center"/>
              <w:rPr>
                <w:rFonts w:ascii="Arial" w:eastAsia="Times New Roman" w:hAnsi="Arial" w:cs="Arial"/>
                <w:sz w:val="20"/>
                <w:lang w:eastAsia="en-IN"/>
              </w:rPr>
            </w:pPr>
            <w:r w:rsidRPr="00660589">
              <w:rPr>
                <w:rFonts w:ascii="Arial" w:eastAsia="Times New Roman" w:hAnsi="Arial" w:cs="Arial"/>
                <w:sz w:val="20"/>
                <w:lang w:eastAsia="en-IN"/>
              </w:rPr>
              <w:t>3.95</w:t>
            </w:r>
          </w:p>
        </w:tc>
        <w:tc>
          <w:tcPr>
            <w:tcW w:w="1560" w:type="dxa"/>
            <w:tcBorders>
              <w:top w:val="nil"/>
              <w:left w:val="nil"/>
              <w:bottom w:val="single" w:sz="4" w:space="0" w:color="auto"/>
              <w:right w:val="single" w:sz="4" w:space="0" w:color="auto"/>
            </w:tcBorders>
            <w:shd w:val="clear" w:color="auto" w:fill="auto"/>
            <w:noWrap/>
            <w:vAlign w:val="bottom"/>
            <w:hideMark/>
          </w:tcPr>
          <w:p w:rsidR="00916ECB" w:rsidRPr="00660589" w:rsidRDefault="00916ECB" w:rsidP="002944CE">
            <w:pPr>
              <w:spacing w:after="0" w:line="360" w:lineRule="auto"/>
              <w:jc w:val="center"/>
              <w:rPr>
                <w:rFonts w:ascii="Arial" w:eastAsia="Times New Roman" w:hAnsi="Arial" w:cs="Arial"/>
                <w:sz w:val="20"/>
                <w:lang w:eastAsia="en-IN"/>
              </w:rPr>
            </w:pPr>
            <w:r w:rsidRPr="00660589">
              <w:rPr>
                <w:rFonts w:ascii="Arial" w:eastAsia="Times New Roman" w:hAnsi="Arial" w:cs="Arial"/>
                <w:sz w:val="20"/>
                <w:lang w:eastAsia="en-IN"/>
              </w:rPr>
              <w:t>-0.56</w:t>
            </w:r>
          </w:p>
        </w:tc>
      </w:tr>
      <w:tr w:rsidR="00916ECB" w:rsidRPr="00660589" w:rsidTr="004521F6">
        <w:trPr>
          <w:trHeight w:val="255"/>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916ECB" w:rsidRPr="00660589" w:rsidRDefault="00916ECB" w:rsidP="002944CE">
            <w:pPr>
              <w:spacing w:after="0" w:line="360" w:lineRule="auto"/>
              <w:rPr>
                <w:rFonts w:ascii="Arial" w:eastAsia="Times New Roman" w:hAnsi="Arial" w:cs="Arial"/>
                <w:sz w:val="20"/>
                <w:lang w:eastAsia="en-IN"/>
              </w:rPr>
            </w:pPr>
            <w:r w:rsidRPr="00660589">
              <w:rPr>
                <w:rFonts w:ascii="Arial" w:eastAsia="Times New Roman" w:hAnsi="Arial" w:cs="Arial"/>
                <w:sz w:val="20"/>
                <w:lang w:eastAsia="en-IN"/>
              </w:rPr>
              <w:t>1960-61 to 1969-70</w:t>
            </w:r>
          </w:p>
        </w:tc>
        <w:tc>
          <w:tcPr>
            <w:tcW w:w="1134" w:type="dxa"/>
            <w:tcBorders>
              <w:top w:val="nil"/>
              <w:left w:val="nil"/>
              <w:bottom w:val="single" w:sz="4" w:space="0" w:color="auto"/>
              <w:right w:val="single" w:sz="4" w:space="0" w:color="auto"/>
            </w:tcBorders>
            <w:shd w:val="clear" w:color="auto" w:fill="auto"/>
            <w:noWrap/>
            <w:vAlign w:val="bottom"/>
            <w:hideMark/>
          </w:tcPr>
          <w:p w:rsidR="00916ECB" w:rsidRPr="00660589" w:rsidRDefault="00916ECB" w:rsidP="002944CE">
            <w:pPr>
              <w:spacing w:after="0" w:line="360" w:lineRule="auto"/>
              <w:jc w:val="center"/>
              <w:rPr>
                <w:rFonts w:ascii="Arial" w:eastAsia="Times New Roman" w:hAnsi="Arial" w:cs="Arial"/>
                <w:sz w:val="20"/>
                <w:lang w:eastAsia="en-IN"/>
              </w:rPr>
            </w:pPr>
            <w:r w:rsidRPr="00660589">
              <w:rPr>
                <w:rFonts w:ascii="Arial" w:eastAsia="Times New Roman" w:hAnsi="Arial" w:cs="Arial"/>
                <w:sz w:val="20"/>
                <w:lang w:eastAsia="en-IN"/>
              </w:rPr>
              <w:t>3.89</w:t>
            </w:r>
          </w:p>
        </w:tc>
        <w:tc>
          <w:tcPr>
            <w:tcW w:w="1559" w:type="dxa"/>
            <w:tcBorders>
              <w:top w:val="nil"/>
              <w:left w:val="nil"/>
              <w:bottom w:val="single" w:sz="4" w:space="0" w:color="auto"/>
              <w:right w:val="single" w:sz="4" w:space="0" w:color="auto"/>
            </w:tcBorders>
            <w:shd w:val="clear" w:color="auto" w:fill="auto"/>
            <w:noWrap/>
            <w:vAlign w:val="bottom"/>
            <w:hideMark/>
          </w:tcPr>
          <w:p w:rsidR="00916ECB" w:rsidRPr="00660589" w:rsidRDefault="00916ECB" w:rsidP="002944CE">
            <w:pPr>
              <w:spacing w:after="0" w:line="360" w:lineRule="auto"/>
              <w:jc w:val="center"/>
              <w:rPr>
                <w:rFonts w:ascii="Arial" w:eastAsia="Times New Roman" w:hAnsi="Arial" w:cs="Arial"/>
                <w:sz w:val="20"/>
                <w:lang w:eastAsia="en-IN"/>
              </w:rPr>
            </w:pPr>
            <w:r w:rsidRPr="00660589">
              <w:rPr>
                <w:rFonts w:ascii="Arial" w:eastAsia="Times New Roman" w:hAnsi="Arial" w:cs="Arial"/>
                <w:sz w:val="20"/>
                <w:lang w:eastAsia="en-IN"/>
              </w:rPr>
              <w:t>6.28</w:t>
            </w:r>
          </w:p>
        </w:tc>
        <w:tc>
          <w:tcPr>
            <w:tcW w:w="1560" w:type="dxa"/>
            <w:tcBorders>
              <w:top w:val="nil"/>
              <w:left w:val="nil"/>
              <w:bottom w:val="single" w:sz="4" w:space="0" w:color="auto"/>
              <w:right w:val="single" w:sz="4" w:space="0" w:color="auto"/>
            </w:tcBorders>
            <w:shd w:val="clear" w:color="auto" w:fill="auto"/>
            <w:noWrap/>
            <w:vAlign w:val="bottom"/>
            <w:hideMark/>
          </w:tcPr>
          <w:p w:rsidR="00916ECB" w:rsidRPr="00660589" w:rsidRDefault="00916ECB" w:rsidP="002944CE">
            <w:pPr>
              <w:spacing w:after="0" w:line="360" w:lineRule="auto"/>
              <w:jc w:val="center"/>
              <w:rPr>
                <w:rFonts w:ascii="Arial" w:eastAsia="Times New Roman" w:hAnsi="Arial" w:cs="Arial"/>
                <w:sz w:val="20"/>
                <w:lang w:eastAsia="en-IN"/>
              </w:rPr>
            </w:pPr>
            <w:r w:rsidRPr="00660589">
              <w:rPr>
                <w:rFonts w:ascii="Arial" w:eastAsia="Times New Roman" w:hAnsi="Arial" w:cs="Arial"/>
                <w:sz w:val="20"/>
                <w:lang w:eastAsia="en-IN"/>
              </w:rPr>
              <w:t>2.17</w:t>
            </w:r>
          </w:p>
        </w:tc>
      </w:tr>
      <w:tr w:rsidR="00916ECB" w:rsidRPr="00660589" w:rsidTr="004521F6">
        <w:trPr>
          <w:trHeight w:val="255"/>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916ECB" w:rsidRPr="00660589" w:rsidRDefault="00916ECB" w:rsidP="002944CE">
            <w:pPr>
              <w:spacing w:after="0" w:line="360" w:lineRule="auto"/>
              <w:rPr>
                <w:rFonts w:ascii="Arial" w:eastAsia="Times New Roman" w:hAnsi="Arial" w:cs="Arial"/>
                <w:sz w:val="20"/>
                <w:lang w:eastAsia="en-IN"/>
              </w:rPr>
            </w:pPr>
            <w:r w:rsidRPr="00660589">
              <w:rPr>
                <w:rFonts w:ascii="Arial" w:eastAsia="Times New Roman" w:hAnsi="Arial" w:cs="Arial"/>
                <w:sz w:val="20"/>
                <w:lang w:eastAsia="en-IN"/>
              </w:rPr>
              <w:t>1970-71 to 1979-80</w:t>
            </w:r>
          </w:p>
        </w:tc>
        <w:tc>
          <w:tcPr>
            <w:tcW w:w="1134" w:type="dxa"/>
            <w:tcBorders>
              <w:top w:val="nil"/>
              <w:left w:val="nil"/>
              <w:bottom w:val="single" w:sz="4" w:space="0" w:color="auto"/>
              <w:right w:val="single" w:sz="4" w:space="0" w:color="auto"/>
            </w:tcBorders>
            <w:shd w:val="clear" w:color="auto" w:fill="auto"/>
            <w:noWrap/>
            <w:vAlign w:val="bottom"/>
            <w:hideMark/>
          </w:tcPr>
          <w:p w:rsidR="00916ECB" w:rsidRPr="00660589" w:rsidRDefault="00916ECB" w:rsidP="002944CE">
            <w:pPr>
              <w:spacing w:after="0" w:line="360" w:lineRule="auto"/>
              <w:jc w:val="center"/>
              <w:rPr>
                <w:rFonts w:ascii="Arial" w:eastAsia="Times New Roman" w:hAnsi="Arial" w:cs="Arial"/>
                <w:sz w:val="20"/>
                <w:lang w:eastAsia="en-IN"/>
              </w:rPr>
            </w:pPr>
            <w:r w:rsidRPr="00660589">
              <w:rPr>
                <w:rFonts w:ascii="Arial" w:eastAsia="Times New Roman" w:hAnsi="Arial" w:cs="Arial"/>
                <w:sz w:val="20"/>
                <w:lang w:eastAsia="en-IN"/>
              </w:rPr>
              <w:t>5.36</w:t>
            </w:r>
          </w:p>
        </w:tc>
        <w:tc>
          <w:tcPr>
            <w:tcW w:w="1559" w:type="dxa"/>
            <w:tcBorders>
              <w:top w:val="nil"/>
              <w:left w:val="nil"/>
              <w:bottom w:val="single" w:sz="4" w:space="0" w:color="auto"/>
              <w:right w:val="single" w:sz="4" w:space="0" w:color="auto"/>
            </w:tcBorders>
            <w:shd w:val="clear" w:color="auto" w:fill="auto"/>
            <w:noWrap/>
            <w:vAlign w:val="bottom"/>
            <w:hideMark/>
          </w:tcPr>
          <w:p w:rsidR="00916ECB" w:rsidRPr="00660589" w:rsidRDefault="00916ECB" w:rsidP="002944CE">
            <w:pPr>
              <w:spacing w:after="0" w:line="360" w:lineRule="auto"/>
              <w:jc w:val="center"/>
              <w:rPr>
                <w:rFonts w:ascii="Arial" w:eastAsia="Times New Roman" w:hAnsi="Arial" w:cs="Arial"/>
                <w:sz w:val="20"/>
                <w:lang w:eastAsia="en-IN"/>
              </w:rPr>
            </w:pPr>
            <w:r w:rsidRPr="00660589">
              <w:rPr>
                <w:rFonts w:ascii="Arial" w:eastAsia="Times New Roman" w:hAnsi="Arial" w:cs="Arial"/>
                <w:sz w:val="20"/>
                <w:lang w:eastAsia="en-IN"/>
              </w:rPr>
              <w:t>9.17</w:t>
            </w:r>
          </w:p>
        </w:tc>
        <w:tc>
          <w:tcPr>
            <w:tcW w:w="1560" w:type="dxa"/>
            <w:tcBorders>
              <w:top w:val="nil"/>
              <w:left w:val="nil"/>
              <w:bottom w:val="single" w:sz="4" w:space="0" w:color="auto"/>
              <w:right w:val="single" w:sz="4" w:space="0" w:color="auto"/>
            </w:tcBorders>
            <w:shd w:val="clear" w:color="auto" w:fill="auto"/>
            <w:noWrap/>
            <w:vAlign w:val="bottom"/>
            <w:hideMark/>
          </w:tcPr>
          <w:p w:rsidR="00916ECB" w:rsidRPr="00660589" w:rsidRDefault="00916ECB" w:rsidP="002944CE">
            <w:pPr>
              <w:spacing w:after="0" w:line="360" w:lineRule="auto"/>
              <w:jc w:val="center"/>
              <w:rPr>
                <w:rFonts w:ascii="Arial" w:eastAsia="Times New Roman" w:hAnsi="Arial" w:cs="Arial"/>
                <w:sz w:val="20"/>
                <w:lang w:eastAsia="en-IN"/>
              </w:rPr>
            </w:pPr>
            <w:r w:rsidRPr="00660589">
              <w:rPr>
                <w:rFonts w:ascii="Arial" w:eastAsia="Times New Roman" w:hAnsi="Arial" w:cs="Arial"/>
                <w:sz w:val="20"/>
                <w:lang w:eastAsia="en-IN"/>
              </w:rPr>
              <w:t>3.71</w:t>
            </w:r>
          </w:p>
        </w:tc>
      </w:tr>
      <w:tr w:rsidR="00916ECB" w:rsidRPr="00660589" w:rsidTr="004521F6">
        <w:trPr>
          <w:trHeight w:val="255"/>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916ECB" w:rsidRPr="00660589" w:rsidRDefault="00916ECB" w:rsidP="002944CE">
            <w:pPr>
              <w:spacing w:after="0" w:line="360" w:lineRule="auto"/>
              <w:rPr>
                <w:rFonts w:ascii="Arial" w:eastAsia="Times New Roman" w:hAnsi="Arial" w:cs="Arial"/>
                <w:sz w:val="20"/>
                <w:lang w:eastAsia="en-IN"/>
              </w:rPr>
            </w:pPr>
            <w:r w:rsidRPr="00660589">
              <w:rPr>
                <w:rFonts w:ascii="Arial" w:eastAsia="Times New Roman" w:hAnsi="Arial" w:cs="Arial"/>
                <w:sz w:val="20"/>
                <w:lang w:eastAsia="en-IN"/>
              </w:rPr>
              <w:t>1980-81 to 1989-90</w:t>
            </w:r>
          </w:p>
        </w:tc>
        <w:tc>
          <w:tcPr>
            <w:tcW w:w="1134" w:type="dxa"/>
            <w:tcBorders>
              <w:top w:val="nil"/>
              <w:left w:val="nil"/>
              <w:bottom w:val="single" w:sz="4" w:space="0" w:color="auto"/>
              <w:right w:val="single" w:sz="4" w:space="0" w:color="auto"/>
            </w:tcBorders>
            <w:shd w:val="clear" w:color="auto" w:fill="auto"/>
            <w:noWrap/>
            <w:vAlign w:val="bottom"/>
            <w:hideMark/>
          </w:tcPr>
          <w:p w:rsidR="00916ECB" w:rsidRPr="00660589" w:rsidRDefault="00916ECB" w:rsidP="002944CE">
            <w:pPr>
              <w:spacing w:after="0" w:line="360" w:lineRule="auto"/>
              <w:jc w:val="center"/>
              <w:rPr>
                <w:rFonts w:ascii="Arial" w:eastAsia="Times New Roman" w:hAnsi="Arial" w:cs="Arial"/>
                <w:sz w:val="20"/>
                <w:lang w:eastAsia="en-IN"/>
              </w:rPr>
            </w:pPr>
            <w:r w:rsidRPr="00660589">
              <w:rPr>
                <w:rFonts w:ascii="Arial" w:eastAsia="Times New Roman" w:hAnsi="Arial" w:cs="Arial"/>
                <w:sz w:val="20"/>
                <w:lang w:eastAsia="en-IN"/>
              </w:rPr>
              <w:t>2.92</w:t>
            </w:r>
          </w:p>
        </w:tc>
        <w:tc>
          <w:tcPr>
            <w:tcW w:w="1559" w:type="dxa"/>
            <w:tcBorders>
              <w:top w:val="nil"/>
              <w:left w:val="nil"/>
              <w:bottom w:val="single" w:sz="4" w:space="0" w:color="auto"/>
              <w:right w:val="single" w:sz="4" w:space="0" w:color="auto"/>
            </w:tcBorders>
            <w:shd w:val="clear" w:color="auto" w:fill="auto"/>
            <w:noWrap/>
            <w:vAlign w:val="bottom"/>
            <w:hideMark/>
          </w:tcPr>
          <w:p w:rsidR="00916ECB" w:rsidRPr="00660589" w:rsidRDefault="00916ECB" w:rsidP="002944CE">
            <w:pPr>
              <w:spacing w:after="0" w:line="360" w:lineRule="auto"/>
              <w:jc w:val="center"/>
              <w:rPr>
                <w:rFonts w:ascii="Arial" w:eastAsia="Times New Roman" w:hAnsi="Arial" w:cs="Arial"/>
                <w:sz w:val="20"/>
                <w:lang w:eastAsia="en-IN"/>
              </w:rPr>
            </w:pPr>
            <w:r w:rsidRPr="00660589">
              <w:rPr>
                <w:rFonts w:ascii="Arial" w:eastAsia="Times New Roman" w:hAnsi="Arial" w:cs="Arial"/>
                <w:sz w:val="20"/>
                <w:lang w:eastAsia="en-IN"/>
              </w:rPr>
              <w:t>5.17</w:t>
            </w:r>
          </w:p>
        </w:tc>
        <w:tc>
          <w:tcPr>
            <w:tcW w:w="1560" w:type="dxa"/>
            <w:tcBorders>
              <w:top w:val="nil"/>
              <w:left w:val="nil"/>
              <w:bottom w:val="single" w:sz="4" w:space="0" w:color="auto"/>
              <w:right w:val="single" w:sz="4" w:space="0" w:color="auto"/>
            </w:tcBorders>
            <w:shd w:val="clear" w:color="auto" w:fill="auto"/>
            <w:noWrap/>
            <w:vAlign w:val="bottom"/>
            <w:hideMark/>
          </w:tcPr>
          <w:p w:rsidR="00916ECB" w:rsidRPr="00660589" w:rsidRDefault="00916ECB" w:rsidP="002944CE">
            <w:pPr>
              <w:spacing w:after="0" w:line="360" w:lineRule="auto"/>
              <w:jc w:val="center"/>
              <w:rPr>
                <w:rFonts w:ascii="Arial" w:eastAsia="Times New Roman" w:hAnsi="Arial" w:cs="Arial"/>
                <w:sz w:val="20"/>
                <w:lang w:eastAsia="en-IN"/>
              </w:rPr>
            </w:pPr>
            <w:r w:rsidRPr="00660589">
              <w:rPr>
                <w:rFonts w:ascii="Arial" w:eastAsia="Times New Roman" w:hAnsi="Arial" w:cs="Arial"/>
                <w:sz w:val="20"/>
                <w:lang w:eastAsia="en-IN"/>
              </w:rPr>
              <w:t>2.19</w:t>
            </w:r>
          </w:p>
        </w:tc>
      </w:tr>
      <w:tr w:rsidR="00916ECB" w:rsidRPr="00660589" w:rsidTr="004521F6">
        <w:trPr>
          <w:trHeight w:val="255"/>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916ECB" w:rsidRPr="00660589" w:rsidRDefault="00916ECB" w:rsidP="002944CE">
            <w:pPr>
              <w:spacing w:after="0" w:line="360" w:lineRule="auto"/>
              <w:rPr>
                <w:rFonts w:ascii="Arial" w:eastAsia="Times New Roman" w:hAnsi="Arial" w:cs="Arial"/>
                <w:sz w:val="20"/>
                <w:lang w:eastAsia="en-IN"/>
              </w:rPr>
            </w:pPr>
            <w:r w:rsidRPr="00660589">
              <w:rPr>
                <w:rFonts w:ascii="Arial" w:eastAsia="Times New Roman" w:hAnsi="Arial" w:cs="Arial"/>
                <w:sz w:val="20"/>
                <w:lang w:eastAsia="en-IN"/>
              </w:rPr>
              <w:t>1990-91 to 1999-2000</w:t>
            </w:r>
          </w:p>
        </w:tc>
        <w:tc>
          <w:tcPr>
            <w:tcW w:w="1134" w:type="dxa"/>
            <w:tcBorders>
              <w:top w:val="nil"/>
              <w:left w:val="nil"/>
              <w:bottom w:val="single" w:sz="4" w:space="0" w:color="auto"/>
              <w:right w:val="single" w:sz="4" w:space="0" w:color="auto"/>
            </w:tcBorders>
            <w:shd w:val="clear" w:color="auto" w:fill="auto"/>
            <w:noWrap/>
            <w:vAlign w:val="bottom"/>
            <w:hideMark/>
          </w:tcPr>
          <w:p w:rsidR="00916ECB" w:rsidRPr="00660589" w:rsidRDefault="00916ECB" w:rsidP="002944CE">
            <w:pPr>
              <w:spacing w:after="0" w:line="360" w:lineRule="auto"/>
              <w:jc w:val="center"/>
              <w:rPr>
                <w:rFonts w:ascii="Arial" w:eastAsia="Times New Roman" w:hAnsi="Arial" w:cs="Arial"/>
                <w:sz w:val="20"/>
                <w:lang w:eastAsia="en-IN"/>
              </w:rPr>
            </w:pPr>
            <w:r w:rsidRPr="00660589">
              <w:rPr>
                <w:rFonts w:ascii="Arial" w:eastAsia="Times New Roman" w:hAnsi="Arial" w:cs="Arial"/>
                <w:sz w:val="20"/>
                <w:lang w:eastAsia="en-IN"/>
              </w:rPr>
              <w:t>3.83</w:t>
            </w:r>
          </w:p>
        </w:tc>
        <w:tc>
          <w:tcPr>
            <w:tcW w:w="1559" w:type="dxa"/>
            <w:tcBorders>
              <w:top w:val="nil"/>
              <w:left w:val="nil"/>
              <w:bottom w:val="single" w:sz="4" w:space="0" w:color="auto"/>
              <w:right w:val="single" w:sz="4" w:space="0" w:color="auto"/>
            </w:tcBorders>
            <w:shd w:val="clear" w:color="auto" w:fill="auto"/>
            <w:noWrap/>
            <w:vAlign w:val="bottom"/>
            <w:hideMark/>
          </w:tcPr>
          <w:p w:rsidR="00916ECB" w:rsidRPr="00660589" w:rsidRDefault="00916ECB" w:rsidP="002944CE">
            <w:pPr>
              <w:spacing w:after="0" w:line="360" w:lineRule="auto"/>
              <w:jc w:val="center"/>
              <w:rPr>
                <w:rFonts w:ascii="Arial" w:eastAsia="Times New Roman" w:hAnsi="Arial" w:cs="Arial"/>
                <w:sz w:val="20"/>
                <w:lang w:eastAsia="en-IN"/>
              </w:rPr>
            </w:pPr>
            <w:r w:rsidRPr="00660589">
              <w:rPr>
                <w:rFonts w:ascii="Arial" w:eastAsia="Times New Roman" w:hAnsi="Arial" w:cs="Arial"/>
                <w:sz w:val="20"/>
                <w:lang w:eastAsia="en-IN"/>
              </w:rPr>
              <w:t>5.44</w:t>
            </w:r>
          </w:p>
        </w:tc>
        <w:tc>
          <w:tcPr>
            <w:tcW w:w="1560" w:type="dxa"/>
            <w:tcBorders>
              <w:top w:val="nil"/>
              <w:left w:val="nil"/>
              <w:bottom w:val="single" w:sz="4" w:space="0" w:color="auto"/>
              <w:right w:val="single" w:sz="4" w:space="0" w:color="auto"/>
            </w:tcBorders>
            <w:shd w:val="clear" w:color="auto" w:fill="auto"/>
            <w:noWrap/>
            <w:vAlign w:val="bottom"/>
            <w:hideMark/>
          </w:tcPr>
          <w:p w:rsidR="00916ECB" w:rsidRPr="00660589" w:rsidRDefault="00916ECB" w:rsidP="002944CE">
            <w:pPr>
              <w:spacing w:after="0" w:line="360" w:lineRule="auto"/>
              <w:jc w:val="center"/>
              <w:rPr>
                <w:rFonts w:ascii="Arial" w:eastAsia="Times New Roman" w:hAnsi="Arial" w:cs="Arial"/>
                <w:sz w:val="20"/>
                <w:lang w:eastAsia="en-IN"/>
              </w:rPr>
            </w:pPr>
            <w:r w:rsidRPr="00660589">
              <w:rPr>
                <w:rFonts w:ascii="Arial" w:eastAsia="Times New Roman" w:hAnsi="Arial" w:cs="Arial"/>
                <w:sz w:val="20"/>
                <w:lang w:eastAsia="en-IN"/>
              </w:rPr>
              <w:t>1.53</w:t>
            </w:r>
          </w:p>
        </w:tc>
      </w:tr>
      <w:tr w:rsidR="00916ECB" w:rsidRPr="00660589" w:rsidTr="004521F6">
        <w:trPr>
          <w:trHeight w:val="255"/>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916ECB" w:rsidRPr="00660589" w:rsidRDefault="00916ECB" w:rsidP="002944CE">
            <w:pPr>
              <w:spacing w:after="0" w:line="360" w:lineRule="auto"/>
              <w:rPr>
                <w:rFonts w:ascii="Arial" w:eastAsia="Times New Roman" w:hAnsi="Arial" w:cs="Arial"/>
                <w:sz w:val="20"/>
                <w:lang w:eastAsia="en-IN"/>
              </w:rPr>
            </w:pPr>
            <w:r w:rsidRPr="00660589">
              <w:rPr>
                <w:rFonts w:ascii="Arial" w:eastAsia="Times New Roman" w:hAnsi="Arial" w:cs="Arial"/>
                <w:sz w:val="20"/>
                <w:lang w:eastAsia="en-IN"/>
              </w:rPr>
              <w:t>2000-01 to 2009-10</w:t>
            </w:r>
          </w:p>
        </w:tc>
        <w:tc>
          <w:tcPr>
            <w:tcW w:w="1134" w:type="dxa"/>
            <w:tcBorders>
              <w:top w:val="nil"/>
              <w:left w:val="nil"/>
              <w:bottom w:val="single" w:sz="4" w:space="0" w:color="auto"/>
              <w:right w:val="single" w:sz="4" w:space="0" w:color="auto"/>
            </w:tcBorders>
            <w:shd w:val="clear" w:color="auto" w:fill="auto"/>
            <w:noWrap/>
            <w:vAlign w:val="bottom"/>
            <w:hideMark/>
          </w:tcPr>
          <w:p w:rsidR="00916ECB" w:rsidRPr="00660589" w:rsidRDefault="00916ECB" w:rsidP="002944CE">
            <w:pPr>
              <w:spacing w:after="0" w:line="360" w:lineRule="auto"/>
              <w:jc w:val="center"/>
              <w:rPr>
                <w:rFonts w:ascii="Arial" w:eastAsia="Times New Roman" w:hAnsi="Arial" w:cs="Arial"/>
                <w:sz w:val="20"/>
                <w:lang w:eastAsia="en-IN"/>
              </w:rPr>
            </w:pPr>
            <w:r w:rsidRPr="00660589">
              <w:rPr>
                <w:rFonts w:ascii="Arial" w:eastAsia="Times New Roman" w:hAnsi="Arial" w:cs="Arial"/>
                <w:sz w:val="20"/>
                <w:lang w:eastAsia="en-IN"/>
              </w:rPr>
              <w:t>4.81</w:t>
            </w:r>
          </w:p>
        </w:tc>
        <w:tc>
          <w:tcPr>
            <w:tcW w:w="1559" w:type="dxa"/>
            <w:tcBorders>
              <w:top w:val="nil"/>
              <w:left w:val="nil"/>
              <w:bottom w:val="single" w:sz="4" w:space="0" w:color="auto"/>
              <w:right w:val="single" w:sz="4" w:space="0" w:color="auto"/>
            </w:tcBorders>
            <w:shd w:val="clear" w:color="auto" w:fill="auto"/>
            <w:noWrap/>
            <w:vAlign w:val="bottom"/>
            <w:hideMark/>
          </w:tcPr>
          <w:p w:rsidR="00916ECB" w:rsidRPr="00660589" w:rsidRDefault="00916ECB" w:rsidP="002944CE">
            <w:pPr>
              <w:spacing w:after="0" w:line="360" w:lineRule="auto"/>
              <w:jc w:val="center"/>
              <w:rPr>
                <w:rFonts w:ascii="Arial" w:eastAsia="Times New Roman" w:hAnsi="Arial" w:cs="Arial"/>
                <w:sz w:val="20"/>
                <w:lang w:eastAsia="en-IN"/>
              </w:rPr>
            </w:pPr>
            <w:r w:rsidRPr="00660589">
              <w:rPr>
                <w:rFonts w:ascii="Arial" w:eastAsia="Times New Roman" w:hAnsi="Arial" w:cs="Arial"/>
                <w:sz w:val="20"/>
                <w:lang w:eastAsia="en-IN"/>
              </w:rPr>
              <w:t>4.86</w:t>
            </w:r>
          </w:p>
        </w:tc>
        <w:tc>
          <w:tcPr>
            <w:tcW w:w="1560" w:type="dxa"/>
            <w:tcBorders>
              <w:top w:val="nil"/>
              <w:left w:val="nil"/>
              <w:bottom w:val="single" w:sz="4" w:space="0" w:color="auto"/>
              <w:right w:val="single" w:sz="4" w:space="0" w:color="auto"/>
            </w:tcBorders>
            <w:shd w:val="clear" w:color="auto" w:fill="auto"/>
            <w:noWrap/>
            <w:vAlign w:val="bottom"/>
            <w:hideMark/>
          </w:tcPr>
          <w:p w:rsidR="00916ECB" w:rsidRPr="00660589" w:rsidRDefault="00916ECB" w:rsidP="002944CE">
            <w:pPr>
              <w:spacing w:after="0" w:line="360" w:lineRule="auto"/>
              <w:jc w:val="center"/>
              <w:rPr>
                <w:rFonts w:ascii="Arial" w:eastAsia="Times New Roman" w:hAnsi="Arial" w:cs="Arial"/>
                <w:sz w:val="20"/>
                <w:lang w:eastAsia="en-IN"/>
              </w:rPr>
            </w:pPr>
            <w:r w:rsidRPr="00660589">
              <w:rPr>
                <w:rFonts w:ascii="Arial" w:eastAsia="Times New Roman" w:hAnsi="Arial" w:cs="Arial"/>
                <w:sz w:val="20"/>
                <w:lang w:eastAsia="en-IN"/>
              </w:rPr>
              <w:t>0.04</w:t>
            </w:r>
          </w:p>
        </w:tc>
      </w:tr>
      <w:tr w:rsidR="00916ECB" w:rsidRPr="00660589" w:rsidTr="004521F6">
        <w:trPr>
          <w:trHeight w:val="255"/>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916ECB" w:rsidRPr="00660589" w:rsidRDefault="00916ECB" w:rsidP="002944CE">
            <w:pPr>
              <w:spacing w:after="0" w:line="360" w:lineRule="auto"/>
              <w:rPr>
                <w:rFonts w:ascii="Arial" w:eastAsia="Times New Roman" w:hAnsi="Arial" w:cs="Arial"/>
                <w:sz w:val="20"/>
                <w:lang w:eastAsia="en-IN"/>
              </w:rPr>
            </w:pPr>
            <w:r w:rsidRPr="00660589">
              <w:rPr>
                <w:rFonts w:ascii="Arial" w:eastAsia="Times New Roman" w:hAnsi="Arial" w:cs="Arial"/>
                <w:sz w:val="20"/>
                <w:lang w:eastAsia="en-IN"/>
              </w:rPr>
              <w:t>2010-11 to 2019-20</w:t>
            </w:r>
          </w:p>
        </w:tc>
        <w:tc>
          <w:tcPr>
            <w:tcW w:w="1134" w:type="dxa"/>
            <w:tcBorders>
              <w:top w:val="nil"/>
              <w:left w:val="nil"/>
              <w:bottom w:val="single" w:sz="4" w:space="0" w:color="auto"/>
              <w:right w:val="single" w:sz="4" w:space="0" w:color="auto"/>
            </w:tcBorders>
            <w:shd w:val="clear" w:color="auto" w:fill="auto"/>
            <w:noWrap/>
            <w:vAlign w:val="bottom"/>
            <w:hideMark/>
          </w:tcPr>
          <w:p w:rsidR="00916ECB" w:rsidRPr="00660589" w:rsidRDefault="00916ECB" w:rsidP="002944CE">
            <w:pPr>
              <w:spacing w:after="0" w:line="360" w:lineRule="auto"/>
              <w:jc w:val="center"/>
              <w:rPr>
                <w:rFonts w:ascii="Arial" w:eastAsia="Times New Roman" w:hAnsi="Arial" w:cs="Arial"/>
                <w:sz w:val="20"/>
                <w:lang w:eastAsia="en-IN"/>
              </w:rPr>
            </w:pPr>
            <w:r w:rsidRPr="00660589">
              <w:rPr>
                <w:rFonts w:ascii="Arial" w:eastAsia="Times New Roman" w:hAnsi="Arial" w:cs="Arial"/>
                <w:sz w:val="20"/>
                <w:lang w:eastAsia="en-IN"/>
              </w:rPr>
              <w:t>1.50</w:t>
            </w:r>
          </w:p>
        </w:tc>
        <w:tc>
          <w:tcPr>
            <w:tcW w:w="1559" w:type="dxa"/>
            <w:tcBorders>
              <w:top w:val="nil"/>
              <w:left w:val="nil"/>
              <w:bottom w:val="single" w:sz="4" w:space="0" w:color="auto"/>
              <w:right w:val="single" w:sz="4" w:space="0" w:color="auto"/>
            </w:tcBorders>
            <w:shd w:val="clear" w:color="auto" w:fill="auto"/>
            <w:noWrap/>
            <w:vAlign w:val="bottom"/>
            <w:hideMark/>
          </w:tcPr>
          <w:p w:rsidR="00916ECB" w:rsidRPr="00660589" w:rsidRDefault="00916ECB" w:rsidP="002944CE">
            <w:pPr>
              <w:spacing w:after="0" w:line="360" w:lineRule="auto"/>
              <w:jc w:val="center"/>
              <w:rPr>
                <w:rFonts w:ascii="Arial" w:eastAsia="Times New Roman" w:hAnsi="Arial" w:cs="Arial"/>
                <w:sz w:val="20"/>
                <w:lang w:eastAsia="en-IN"/>
              </w:rPr>
            </w:pPr>
            <w:r w:rsidRPr="00660589">
              <w:rPr>
                <w:rFonts w:ascii="Arial" w:eastAsia="Times New Roman" w:hAnsi="Arial" w:cs="Arial"/>
                <w:sz w:val="20"/>
                <w:lang w:eastAsia="en-IN"/>
              </w:rPr>
              <w:t>2.18</w:t>
            </w:r>
          </w:p>
        </w:tc>
        <w:tc>
          <w:tcPr>
            <w:tcW w:w="1560" w:type="dxa"/>
            <w:tcBorders>
              <w:top w:val="nil"/>
              <w:left w:val="nil"/>
              <w:bottom w:val="single" w:sz="4" w:space="0" w:color="auto"/>
              <w:right w:val="single" w:sz="4" w:space="0" w:color="auto"/>
            </w:tcBorders>
            <w:shd w:val="clear" w:color="auto" w:fill="auto"/>
            <w:noWrap/>
            <w:vAlign w:val="bottom"/>
            <w:hideMark/>
          </w:tcPr>
          <w:p w:rsidR="00916ECB" w:rsidRPr="00660589" w:rsidRDefault="00916ECB" w:rsidP="002944CE">
            <w:pPr>
              <w:spacing w:after="0" w:line="360" w:lineRule="auto"/>
              <w:jc w:val="center"/>
              <w:rPr>
                <w:rFonts w:ascii="Arial" w:eastAsia="Times New Roman" w:hAnsi="Arial" w:cs="Arial"/>
                <w:sz w:val="20"/>
                <w:lang w:eastAsia="en-IN"/>
              </w:rPr>
            </w:pPr>
            <w:r w:rsidRPr="00660589">
              <w:rPr>
                <w:rFonts w:ascii="Arial" w:eastAsia="Times New Roman" w:hAnsi="Arial" w:cs="Arial"/>
                <w:sz w:val="20"/>
                <w:lang w:eastAsia="en-IN"/>
              </w:rPr>
              <w:t>0.68</w:t>
            </w:r>
          </w:p>
        </w:tc>
      </w:tr>
      <w:tr w:rsidR="00916ECB" w:rsidRPr="00660589" w:rsidTr="004521F6">
        <w:trPr>
          <w:trHeight w:val="255"/>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916ECB" w:rsidRPr="00660589" w:rsidRDefault="00916ECB" w:rsidP="002944CE">
            <w:pPr>
              <w:spacing w:after="0" w:line="360" w:lineRule="auto"/>
              <w:rPr>
                <w:rFonts w:ascii="Arial" w:eastAsia="Times New Roman" w:hAnsi="Arial" w:cs="Arial"/>
                <w:sz w:val="20"/>
                <w:lang w:eastAsia="en-IN"/>
              </w:rPr>
            </w:pPr>
            <w:r w:rsidRPr="00660589">
              <w:rPr>
                <w:rFonts w:ascii="Arial" w:eastAsia="Times New Roman" w:hAnsi="Arial" w:cs="Arial"/>
                <w:sz w:val="20"/>
                <w:lang w:eastAsia="en-IN"/>
              </w:rPr>
              <w:t>1950-51 to 2019-20</w:t>
            </w:r>
          </w:p>
        </w:tc>
        <w:tc>
          <w:tcPr>
            <w:tcW w:w="1134" w:type="dxa"/>
            <w:tcBorders>
              <w:top w:val="nil"/>
              <w:left w:val="nil"/>
              <w:bottom w:val="single" w:sz="4" w:space="0" w:color="auto"/>
              <w:right w:val="single" w:sz="4" w:space="0" w:color="auto"/>
            </w:tcBorders>
            <w:shd w:val="clear" w:color="auto" w:fill="auto"/>
            <w:noWrap/>
            <w:vAlign w:val="bottom"/>
            <w:hideMark/>
          </w:tcPr>
          <w:p w:rsidR="00916ECB" w:rsidRPr="00660589" w:rsidRDefault="00916ECB" w:rsidP="002944CE">
            <w:pPr>
              <w:spacing w:after="0" w:line="360" w:lineRule="auto"/>
              <w:jc w:val="center"/>
              <w:rPr>
                <w:rFonts w:ascii="Arial" w:eastAsia="Times New Roman" w:hAnsi="Arial" w:cs="Arial"/>
                <w:sz w:val="20"/>
                <w:lang w:eastAsia="en-IN"/>
              </w:rPr>
            </w:pPr>
            <w:r w:rsidRPr="00660589">
              <w:rPr>
                <w:rFonts w:ascii="Arial" w:eastAsia="Times New Roman" w:hAnsi="Arial" w:cs="Arial"/>
                <w:sz w:val="20"/>
                <w:lang w:eastAsia="en-IN"/>
              </w:rPr>
              <w:t>3.24</w:t>
            </w:r>
          </w:p>
        </w:tc>
        <w:tc>
          <w:tcPr>
            <w:tcW w:w="1559" w:type="dxa"/>
            <w:tcBorders>
              <w:top w:val="nil"/>
              <w:left w:val="nil"/>
              <w:bottom w:val="single" w:sz="4" w:space="0" w:color="auto"/>
              <w:right w:val="single" w:sz="4" w:space="0" w:color="auto"/>
            </w:tcBorders>
            <w:shd w:val="clear" w:color="auto" w:fill="auto"/>
            <w:noWrap/>
            <w:vAlign w:val="bottom"/>
            <w:hideMark/>
          </w:tcPr>
          <w:p w:rsidR="00916ECB" w:rsidRPr="00660589" w:rsidRDefault="00916ECB" w:rsidP="002944CE">
            <w:pPr>
              <w:spacing w:after="0" w:line="360" w:lineRule="auto"/>
              <w:jc w:val="center"/>
              <w:rPr>
                <w:rFonts w:ascii="Arial" w:eastAsia="Times New Roman" w:hAnsi="Arial" w:cs="Arial"/>
                <w:sz w:val="20"/>
                <w:lang w:eastAsia="en-IN"/>
              </w:rPr>
            </w:pPr>
            <w:r w:rsidRPr="00660589">
              <w:rPr>
                <w:rFonts w:ascii="Arial" w:eastAsia="Times New Roman" w:hAnsi="Arial" w:cs="Arial"/>
                <w:sz w:val="20"/>
                <w:lang w:eastAsia="en-IN"/>
              </w:rPr>
              <w:t>5.34</w:t>
            </w:r>
          </w:p>
        </w:tc>
        <w:tc>
          <w:tcPr>
            <w:tcW w:w="1560" w:type="dxa"/>
            <w:tcBorders>
              <w:top w:val="nil"/>
              <w:left w:val="nil"/>
              <w:bottom w:val="single" w:sz="4" w:space="0" w:color="auto"/>
              <w:right w:val="single" w:sz="4" w:space="0" w:color="auto"/>
            </w:tcBorders>
            <w:shd w:val="clear" w:color="auto" w:fill="auto"/>
            <w:noWrap/>
            <w:vAlign w:val="bottom"/>
            <w:hideMark/>
          </w:tcPr>
          <w:p w:rsidR="00916ECB" w:rsidRPr="00660589" w:rsidRDefault="00916ECB" w:rsidP="002944CE">
            <w:pPr>
              <w:spacing w:after="0" w:line="360" w:lineRule="auto"/>
              <w:jc w:val="center"/>
              <w:rPr>
                <w:rFonts w:ascii="Arial" w:eastAsia="Times New Roman" w:hAnsi="Arial" w:cs="Arial"/>
                <w:sz w:val="20"/>
                <w:lang w:eastAsia="en-IN"/>
              </w:rPr>
            </w:pPr>
            <w:r w:rsidRPr="00660589">
              <w:rPr>
                <w:rFonts w:ascii="Arial" w:eastAsia="Times New Roman" w:hAnsi="Arial" w:cs="Arial"/>
                <w:sz w:val="20"/>
                <w:lang w:eastAsia="en-IN"/>
              </w:rPr>
              <w:t>2.03</w:t>
            </w:r>
          </w:p>
        </w:tc>
      </w:tr>
    </w:tbl>
    <w:p w:rsidR="00660589" w:rsidRDefault="00660589" w:rsidP="00EF1124">
      <w:pPr>
        <w:autoSpaceDE w:val="0"/>
        <w:autoSpaceDN w:val="0"/>
        <w:adjustRightInd w:val="0"/>
        <w:spacing w:after="0" w:line="240" w:lineRule="auto"/>
        <w:rPr>
          <w:rFonts w:ascii="Palatia-Bold" w:hAnsi="Palatia-Bold" w:cs="Palatia-Bold"/>
          <w:b/>
          <w:bCs/>
          <w:color w:val="000000"/>
          <w:sz w:val="24"/>
          <w:szCs w:val="24"/>
        </w:rPr>
      </w:pPr>
    </w:p>
    <w:p w:rsidR="008939AB" w:rsidRDefault="004521F6" w:rsidP="00095A6E">
      <w:pPr>
        <w:autoSpaceDE w:val="0"/>
        <w:autoSpaceDN w:val="0"/>
        <w:adjustRightInd w:val="0"/>
        <w:spacing w:after="0" w:line="360" w:lineRule="auto"/>
        <w:jc w:val="both"/>
        <w:rPr>
          <w:rFonts w:cs="Palatia-Regular"/>
          <w:sz w:val="24"/>
          <w:szCs w:val="24"/>
        </w:rPr>
      </w:pPr>
      <w:r w:rsidRPr="00095A6E">
        <w:rPr>
          <w:rFonts w:cs="Palatia-Regular"/>
          <w:sz w:val="24"/>
          <w:szCs w:val="24"/>
        </w:rPr>
        <w:t>Table 1 shows that</w:t>
      </w:r>
      <w:r w:rsidRPr="00095A6E">
        <w:rPr>
          <w:rFonts w:cs="Palatia-Regular"/>
          <w:sz w:val="24"/>
          <w:szCs w:val="24"/>
        </w:rPr>
        <w:t xml:space="preserve"> during the</w:t>
      </w:r>
      <w:r w:rsidRPr="00095A6E">
        <w:rPr>
          <w:rFonts w:cs="Palatia-Regular"/>
          <w:sz w:val="24"/>
          <w:szCs w:val="24"/>
        </w:rPr>
        <w:t xml:space="preserve"> </w:t>
      </w:r>
      <w:r w:rsidRPr="00095A6E">
        <w:rPr>
          <w:rFonts w:cs="Palatia-Regular"/>
          <w:sz w:val="24"/>
          <w:szCs w:val="24"/>
        </w:rPr>
        <w:t>overall period</w:t>
      </w:r>
      <w:r w:rsidRPr="00095A6E">
        <w:rPr>
          <w:rFonts w:cs="Palatia-Regular"/>
          <w:sz w:val="24"/>
          <w:szCs w:val="24"/>
        </w:rPr>
        <w:t xml:space="preserve"> of seventy years</w:t>
      </w:r>
      <w:r w:rsidRPr="00095A6E">
        <w:rPr>
          <w:rFonts w:cs="Palatia-Regular"/>
          <w:sz w:val="24"/>
          <w:szCs w:val="24"/>
        </w:rPr>
        <w:t>, growth in area, production and</w:t>
      </w:r>
      <w:r w:rsidRPr="00095A6E">
        <w:rPr>
          <w:rFonts w:cs="Palatia-Regular"/>
          <w:sz w:val="24"/>
          <w:szCs w:val="24"/>
        </w:rPr>
        <w:t xml:space="preserve"> yield was positive</w:t>
      </w:r>
      <w:r w:rsidR="00095A6E" w:rsidRPr="00095A6E">
        <w:rPr>
          <w:rFonts w:cs="Palatia-Regular"/>
          <w:sz w:val="24"/>
          <w:szCs w:val="24"/>
        </w:rPr>
        <w:t xml:space="preserve"> except in first period</w:t>
      </w:r>
      <w:r w:rsidRPr="00095A6E">
        <w:rPr>
          <w:rFonts w:cs="Palatia-Regular"/>
          <w:sz w:val="24"/>
          <w:szCs w:val="24"/>
        </w:rPr>
        <w:t xml:space="preserve">. </w:t>
      </w:r>
      <w:r w:rsidR="00095A6E" w:rsidRPr="00095A6E">
        <w:rPr>
          <w:rFonts w:cs="Palatia-Regular"/>
          <w:sz w:val="24"/>
          <w:szCs w:val="24"/>
        </w:rPr>
        <w:t>Over time particularly after 2000s the g</w:t>
      </w:r>
      <w:r w:rsidRPr="00095A6E">
        <w:rPr>
          <w:rFonts w:cs="Palatia-Regular"/>
          <w:sz w:val="24"/>
          <w:szCs w:val="24"/>
        </w:rPr>
        <w:t>rowth in producti</w:t>
      </w:r>
      <w:r w:rsidR="00095A6E" w:rsidRPr="00095A6E">
        <w:rPr>
          <w:rFonts w:cs="Palatia-Regular"/>
          <w:sz w:val="24"/>
          <w:szCs w:val="24"/>
        </w:rPr>
        <w:t xml:space="preserve">vity declined and growth in area was mainly responsive for increase in production. </w:t>
      </w:r>
      <w:r w:rsidRPr="00095A6E">
        <w:rPr>
          <w:rFonts w:cs="Palatia-Regular"/>
          <w:sz w:val="24"/>
          <w:szCs w:val="24"/>
        </w:rPr>
        <w:t xml:space="preserve">This </w:t>
      </w:r>
      <w:r w:rsidR="00095A6E">
        <w:rPr>
          <w:rFonts w:cs="Palatia-Regular"/>
          <w:sz w:val="24"/>
          <w:szCs w:val="24"/>
        </w:rPr>
        <w:t>advocates more focus on research and development on potato varieties, schemes</w:t>
      </w:r>
      <w:r w:rsidR="002944CE">
        <w:rPr>
          <w:rFonts w:cs="Palatia-Regular"/>
          <w:sz w:val="24"/>
          <w:szCs w:val="24"/>
        </w:rPr>
        <w:t xml:space="preserve">, policies </w:t>
      </w:r>
      <w:r w:rsidR="00095A6E">
        <w:rPr>
          <w:rFonts w:cs="Palatia-Regular"/>
          <w:sz w:val="24"/>
          <w:szCs w:val="24"/>
        </w:rPr>
        <w:t xml:space="preserve">and technologies </w:t>
      </w:r>
      <w:r w:rsidRPr="00095A6E">
        <w:rPr>
          <w:rFonts w:cs="Palatia-Regular"/>
          <w:sz w:val="24"/>
          <w:szCs w:val="24"/>
        </w:rPr>
        <w:t>for enhancing</w:t>
      </w:r>
      <w:r w:rsidRPr="00095A6E">
        <w:rPr>
          <w:rFonts w:cs="Palatia-Regular"/>
          <w:sz w:val="24"/>
          <w:szCs w:val="24"/>
        </w:rPr>
        <w:t xml:space="preserve"> </w:t>
      </w:r>
      <w:r w:rsidR="002944CE">
        <w:rPr>
          <w:rFonts w:cs="Palatia-Regular"/>
          <w:sz w:val="24"/>
          <w:szCs w:val="24"/>
        </w:rPr>
        <w:t xml:space="preserve">potato production in the country.  </w:t>
      </w:r>
    </w:p>
    <w:p w:rsidR="005B6AAA" w:rsidRDefault="005B6AAA" w:rsidP="00095A6E">
      <w:pPr>
        <w:autoSpaceDE w:val="0"/>
        <w:autoSpaceDN w:val="0"/>
        <w:adjustRightInd w:val="0"/>
        <w:spacing w:after="0" w:line="360" w:lineRule="auto"/>
        <w:jc w:val="both"/>
        <w:rPr>
          <w:rFonts w:cs="Palatia-Regular"/>
          <w:sz w:val="24"/>
          <w:szCs w:val="24"/>
        </w:rPr>
      </w:pPr>
    </w:p>
    <w:p w:rsidR="008939AB" w:rsidRDefault="005B6AAA" w:rsidP="00095A6E">
      <w:pPr>
        <w:autoSpaceDE w:val="0"/>
        <w:autoSpaceDN w:val="0"/>
        <w:adjustRightInd w:val="0"/>
        <w:spacing w:after="0" w:line="360" w:lineRule="auto"/>
        <w:jc w:val="both"/>
        <w:rPr>
          <w:rFonts w:cs="Palatia-Regular"/>
          <w:sz w:val="24"/>
          <w:szCs w:val="24"/>
        </w:rPr>
      </w:pPr>
      <w:r>
        <w:rPr>
          <w:noProof/>
          <w:lang w:eastAsia="en-IN"/>
        </w:rPr>
        <w:drawing>
          <wp:anchor distT="0" distB="0" distL="114300" distR="114300" simplePos="0" relativeHeight="251699200" behindDoc="0" locked="0" layoutInCell="1" allowOverlap="1" wp14:anchorId="6BFF50F1" wp14:editId="3CD1285C">
            <wp:simplePos x="0" y="0"/>
            <wp:positionH relativeFrom="column">
              <wp:posOffset>-85725</wp:posOffset>
            </wp:positionH>
            <wp:positionV relativeFrom="paragraph">
              <wp:posOffset>1132840</wp:posOffset>
            </wp:positionV>
            <wp:extent cx="5731510" cy="2478405"/>
            <wp:effectExtent l="0" t="0" r="2540" b="17145"/>
            <wp:wrapSquare wrapText="bothSides"/>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r>
        <w:rPr>
          <w:rFonts w:cs="Palatia-Regular"/>
          <w:sz w:val="24"/>
          <w:szCs w:val="24"/>
        </w:rPr>
        <w:t xml:space="preserve">Uttar Pradesh, West Bengal, Bihar, Gujarat and Punjab are the leading states in the production and cultivated area of potato in the India. (Figure 4 &amp; 5). These five states contributed more than 80 per cent share in the total production of potato in the country and constitute more than 70 per cent in the total cultivated area.   </w:t>
      </w:r>
    </w:p>
    <w:p w:rsidR="005B6AAA" w:rsidRDefault="005B6AAA" w:rsidP="00095A6E">
      <w:pPr>
        <w:autoSpaceDE w:val="0"/>
        <w:autoSpaceDN w:val="0"/>
        <w:adjustRightInd w:val="0"/>
        <w:spacing w:after="0" w:line="360" w:lineRule="auto"/>
        <w:jc w:val="both"/>
        <w:rPr>
          <w:rFonts w:cs="Palatia-Regular"/>
          <w:sz w:val="24"/>
          <w:szCs w:val="24"/>
        </w:rPr>
      </w:pPr>
    </w:p>
    <w:p w:rsidR="005B6AAA" w:rsidRDefault="005B6AAA" w:rsidP="00095A6E">
      <w:pPr>
        <w:autoSpaceDE w:val="0"/>
        <w:autoSpaceDN w:val="0"/>
        <w:adjustRightInd w:val="0"/>
        <w:spacing w:after="0" w:line="360" w:lineRule="auto"/>
        <w:jc w:val="both"/>
        <w:rPr>
          <w:rFonts w:cs="Palatia-Regular"/>
          <w:sz w:val="24"/>
          <w:szCs w:val="24"/>
        </w:rPr>
      </w:pPr>
    </w:p>
    <w:p w:rsidR="005B6AAA" w:rsidRDefault="005B6AAA" w:rsidP="00095A6E">
      <w:pPr>
        <w:autoSpaceDE w:val="0"/>
        <w:autoSpaceDN w:val="0"/>
        <w:adjustRightInd w:val="0"/>
        <w:spacing w:after="0" w:line="360" w:lineRule="auto"/>
        <w:jc w:val="both"/>
        <w:rPr>
          <w:rFonts w:cs="Palatia-Regular"/>
          <w:sz w:val="24"/>
          <w:szCs w:val="24"/>
        </w:rPr>
      </w:pPr>
    </w:p>
    <w:p w:rsidR="005B6AAA" w:rsidRDefault="005B6AAA" w:rsidP="00095A6E">
      <w:pPr>
        <w:autoSpaceDE w:val="0"/>
        <w:autoSpaceDN w:val="0"/>
        <w:adjustRightInd w:val="0"/>
        <w:spacing w:after="0" w:line="360" w:lineRule="auto"/>
        <w:jc w:val="both"/>
        <w:rPr>
          <w:rFonts w:cs="Palatia-Regular"/>
          <w:sz w:val="24"/>
          <w:szCs w:val="24"/>
        </w:rPr>
      </w:pPr>
      <w:r>
        <w:rPr>
          <w:noProof/>
          <w:lang w:eastAsia="en-IN"/>
        </w:rPr>
        <w:lastRenderedPageBreak/>
        <w:drawing>
          <wp:anchor distT="0" distB="0" distL="114300" distR="114300" simplePos="0" relativeHeight="251700224" behindDoc="0" locked="0" layoutInCell="1" allowOverlap="1" wp14:anchorId="7EF5ECD2" wp14:editId="3B8B3EC2">
            <wp:simplePos x="0" y="0"/>
            <wp:positionH relativeFrom="column">
              <wp:posOffset>0</wp:posOffset>
            </wp:positionH>
            <wp:positionV relativeFrom="paragraph">
              <wp:posOffset>217170</wp:posOffset>
            </wp:positionV>
            <wp:extent cx="5731510" cy="2478405"/>
            <wp:effectExtent l="0" t="0" r="2540" b="17145"/>
            <wp:wrapSquare wrapText="bothSides"/>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p>
    <w:p w:rsidR="005B6AAA" w:rsidRDefault="005B6AAA" w:rsidP="00095A6E">
      <w:pPr>
        <w:autoSpaceDE w:val="0"/>
        <w:autoSpaceDN w:val="0"/>
        <w:adjustRightInd w:val="0"/>
        <w:spacing w:after="0" w:line="360" w:lineRule="auto"/>
        <w:jc w:val="both"/>
        <w:rPr>
          <w:rFonts w:cs="Palatia-Regular"/>
          <w:sz w:val="24"/>
          <w:szCs w:val="24"/>
        </w:rPr>
      </w:pPr>
    </w:p>
    <w:p w:rsidR="002944CE" w:rsidRDefault="008939AB" w:rsidP="00095A6E">
      <w:pPr>
        <w:autoSpaceDE w:val="0"/>
        <w:autoSpaceDN w:val="0"/>
        <w:adjustRightInd w:val="0"/>
        <w:spacing w:after="0" w:line="360" w:lineRule="auto"/>
        <w:jc w:val="both"/>
        <w:rPr>
          <w:rFonts w:cs="Palatia-Regular"/>
          <w:sz w:val="24"/>
          <w:szCs w:val="24"/>
        </w:rPr>
      </w:pPr>
      <w:bookmarkStart w:id="0" w:name="_GoBack"/>
      <w:bookmarkEnd w:id="0"/>
      <w:r>
        <w:rPr>
          <w:rFonts w:cs="Palatia-Regular"/>
          <w:sz w:val="24"/>
          <w:szCs w:val="24"/>
        </w:rPr>
        <w:t xml:space="preserve">Potato has remained major vegetable crop in India.  </w:t>
      </w:r>
      <w:r w:rsidRPr="008939AB">
        <w:rPr>
          <w:rFonts w:cs="Palatia-Regular"/>
          <w:sz w:val="24"/>
          <w:szCs w:val="24"/>
        </w:rPr>
        <w:t>It has been observed that during present trend of diversification from cereals to</w:t>
      </w:r>
      <w:r>
        <w:rPr>
          <w:rFonts w:cs="Palatia-Regular"/>
          <w:sz w:val="24"/>
          <w:szCs w:val="24"/>
        </w:rPr>
        <w:t xml:space="preserve"> </w:t>
      </w:r>
      <w:r w:rsidRPr="008939AB">
        <w:rPr>
          <w:rFonts w:cs="Palatia-Regular"/>
          <w:sz w:val="24"/>
          <w:szCs w:val="24"/>
        </w:rPr>
        <w:t>horticultural crops, shifting from wheat / barley cultivation to potato cultivation, returns</w:t>
      </w:r>
      <w:r>
        <w:rPr>
          <w:rFonts w:cs="Palatia-Regular"/>
          <w:sz w:val="24"/>
          <w:szCs w:val="24"/>
        </w:rPr>
        <w:t xml:space="preserve"> </w:t>
      </w:r>
      <w:r w:rsidRPr="008939AB">
        <w:rPr>
          <w:rFonts w:cs="Palatia-Regular"/>
          <w:sz w:val="24"/>
          <w:szCs w:val="24"/>
        </w:rPr>
        <w:t>more to the farmers.</w:t>
      </w:r>
      <w:r>
        <w:rPr>
          <w:rFonts w:cs="Palatia-Regular"/>
          <w:sz w:val="24"/>
          <w:szCs w:val="24"/>
        </w:rPr>
        <w:t xml:space="preserve"> (</w:t>
      </w:r>
      <w:proofErr w:type="spellStart"/>
      <w:r>
        <w:rPr>
          <w:rFonts w:cs="Palatia-Regular"/>
          <w:sz w:val="24"/>
          <w:szCs w:val="24"/>
        </w:rPr>
        <w:t>Agmarknet</w:t>
      </w:r>
      <w:proofErr w:type="spellEnd"/>
      <w:r>
        <w:rPr>
          <w:rFonts w:cs="Palatia-Regular"/>
          <w:sz w:val="24"/>
          <w:szCs w:val="24"/>
        </w:rPr>
        <w:t>, 2007). Potato occupied substantial share in total vegetable area and production</w:t>
      </w:r>
      <w:r w:rsidR="005B6AAA">
        <w:rPr>
          <w:rFonts w:cs="Palatia-Regular"/>
          <w:sz w:val="24"/>
          <w:szCs w:val="24"/>
        </w:rPr>
        <w:t xml:space="preserve"> (Figure 6</w:t>
      </w:r>
      <w:r>
        <w:rPr>
          <w:rFonts w:cs="Palatia-Regular"/>
          <w:sz w:val="24"/>
          <w:szCs w:val="24"/>
        </w:rPr>
        <w:t>).</w:t>
      </w:r>
      <w:r w:rsidR="00E452E2">
        <w:rPr>
          <w:rFonts w:cs="Palatia-Regular"/>
          <w:sz w:val="24"/>
          <w:szCs w:val="24"/>
        </w:rPr>
        <w:t xml:space="preserve"> </w:t>
      </w:r>
      <w:r w:rsidR="002944CE">
        <w:rPr>
          <w:rFonts w:cs="Palatia-Regular"/>
          <w:sz w:val="24"/>
          <w:szCs w:val="24"/>
        </w:rPr>
        <w:t xml:space="preserve">Though the share of potato in total vegetables area and production has been declining over the years yet it is more than 20 percent (Table 2).  </w:t>
      </w:r>
      <w:r w:rsidR="00A11616">
        <w:rPr>
          <w:rFonts w:cs="Warnock Pro"/>
          <w:color w:val="000000"/>
          <w:sz w:val="24"/>
          <w:szCs w:val="24"/>
        </w:rPr>
        <w:t>Potato occupies 20 per cent and 28 per cent share in total cultivated area under vegetables and total production of vegetables in India</w:t>
      </w:r>
      <w:r w:rsidR="00A11616">
        <w:rPr>
          <w:rFonts w:cs="Warnock Pro"/>
          <w:color w:val="000000"/>
          <w:sz w:val="24"/>
          <w:szCs w:val="24"/>
        </w:rPr>
        <w:t xml:space="preserve"> during 2020-21</w:t>
      </w:r>
      <w:r w:rsidR="00A11616">
        <w:rPr>
          <w:rFonts w:cs="Warnock Pro"/>
          <w:color w:val="000000"/>
          <w:sz w:val="24"/>
          <w:szCs w:val="24"/>
        </w:rPr>
        <w:t xml:space="preserve">.  </w:t>
      </w:r>
    </w:p>
    <w:p w:rsidR="002944CE" w:rsidRDefault="002944CE" w:rsidP="00095A6E">
      <w:pPr>
        <w:autoSpaceDE w:val="0"/>
        <w:autoSpaceDN w:val="0"/>
        <w:adjustRightInd w:val="0"/>
        <w:spacing w:after="0" w:line="360" w:lineRule="auto"/>
        <w:jc w:val="both"/>
        <w:rPr>
          <w:rFonts w:ascii="Arial" w:eastAsia="Times New Roman" w:hAnsi="Arial" w:cs="Arial"/>
          <w:sz w:val="20"/>
          <w:lang w:eastAsia="en-IN"/>
        </w:rPr>
      </w:pPr>
      <w:r>
        <w:rPr>
          <w:noProof/>
          <w:lang w:eastAsia="en-IN"/>
        </w:rPr>
        <w:drawing>
          <wp:anchor distT="0" distB="0" distL="114300" distR="114300" simplePos="0" relativeHeight="251697152" behindDoc="0" locked="0" layoutInCell="1" allowOverlap="1" wp14:anchorId="7B035A51" wp14:editId="411F6DEE">
            <wp:simplePos x="0" y="0"/>
            <wp:positionH relativeFrom="column">
              <wp:posOffset>-635</wp:posOffset>
            </wp:positionH>
            <wp:positionV relativeFrom="paragraph">
              <wp:posOffset>219075</wp:posOffset>
            </wp:positionV>
            <wp:extent cx="5610225" cy="2981325"/>
            <wp:effectExtent l="0" t="0" r="9525" b="9525"/>
            <wp:wrapSquare wrapText="bothSides"/>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rsidR="008939AB" w:rsidRDefault="008939AB" w:rsidP="00095A6E">
      <w:pPr>
        <w:autoSpaceDE w:val="0"/>
        <w:autoSpaceDN w:val="0"/>
        <w:adjustRightInd w:val="0"/>
        <w:spacing w:after="0" w:line="360" w:lineRule="auto"/>
        <w:jc w:val="both"/>
        <w:rPr>
          <w:rFonts w:ascii="Arial" w:eastAsia="Times New Roman" w:hAnsi="Arial" w:cs="Arial"/>
          <w:sz w:val="20"/>
          <w:lang w:eastAsia="en-IN"/>
        </w:rPr>
      </w:pPr>
    </w:p>
    <w:p w:rsidR="00660589" w:rsidRPr="00095A6E" w:rsidRDefault="002944CE" w:rsidP="00095A6E">
      <w:pPr>
        <w:autoSpaceDE w:val="0"/>
        <w:autoSpaceDN w:val="0"/>
        <w:adjustRightInd w:val="0"/>
        <w:spacing w:after="0" w:line="360" w:lineRule="auto"/>
        <w:jc w:val="both"/>
        <w:rPr>
          <w:rFonts w:cs="Palatia-Bold"/>
          <w:b/>
          <w:bCs/>
          <w:color w:val="000000"/>
          <w:sz w:val="24"/>
          <w:szCs w:val="24"/>
        </w:rPr>
      </w:pPr>
      <w:r w:rsidRPr="004521F6">
        <w:rPr>
          <w:rFonts w:ascii="Arial" w:eastAsia="Times New Roman" w:hAnsi="Arial" w:cs="Arial"/>
          <w:sz w:val="20"/>
          <w:lang w:eastAsia="en-IN"/>
        </w:rPr>
        <w:t>Table 2: Share of potato in Total Vegetable</w:t>
      </w:r>
      <w:r>
        <w:rPr>
          <w:rFonts w:ascii="Arial" w:eastAsia="Times New Roman" w:hAnsi="Arial" w:cs="Arial"/>
          <w:sz w:val="20"/>
          <w:lang w:eastAsia="en-IN"/>
        </w:rPr>
        <w:t>s</w:t>
      </w:r>
      <w:r w:rsidR="00E452E2">
        <w:rPr>
          <w:rFonts w:ascii="Arial" w:eastAsia="Times New Roman" w:hAnsi="Arial" w:cs="Arial"/>
          <w:sz w:val="20"/>
          <w:lang w:eastAsia="en-IN"/>
        </w:rPr>
        <w:t xml:space="preserve"> (Percent)</w:t>
      </w:r>
      <w:r>
        <w:rPr>
          <w:rFonts w:cs="Palatia-Regular"/>
          <w:sz w:val="24"/>
          <w:szCs w:val="24"/>
        </w:rPr>
        <w:t xml:space="preserve">  </w:t>
      </w:r>
    </w:p>
    <w:tbl>
      <w:tblPr>
        <w:tblW w:w="4820" w:type="dxa"/>
        <w:tblInd w:w="-5" w:type="dxa"/>
        <w:tblLook w:val="04A0" w:firstRow="1" w:lastRow="0" w:firstColumn="1" w:lastColumn="0" w:noHBand="0" w:noVBand="1"/>
      </w:tblPr>
      <w:tblGrid>
        <w:gridCol w:w="1333"/>
        <w:gridCol w:w="1502"/>
        <w:gridCol w:w="1985"/>
      </w:tblGrid>
      <w:tr w:rsidR="002944CE" w:rsidRPr="004521F6" w:rsidTr="00E452E2">
        <w:trPr>
          <w:trHeight w:val="255"/>
        </w:trPr>
        <w:tc>
          <w:tcPr>
            <w:tcW w:w="13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944CE" w:rsidRPr="004521F6" w:rsidRDefault="00E452E2" w:rsidP="002944CE">
            <w:pPr>
              <w:spacing w:after="0" w:line="360" w:lineRule="auto"/>
              <w:rPr>
                <w:rFonts w:ascii="Arial" w:eastAsia="Times New Roman" w:hAnsi="Arial" w:cs="Arial"/>
                <w:sz w:val="20"/>
                <w:lang w:eastAsia="en-IN"/>
              </w:rPr>
            </w:pPr>
            <w:r>
              <w:rPr>
                <w:rFonts w:ascii="Arial" w:eastAsia="Times New Roman" w:hAnsi="Arial" w:cs="Arial"/>
                <w:sz w:val="20"/>
                <w:lang w:eastAsia="en-IN"/>
              </w:rPr>
              <w:t>Year</w:t>
            </w:r>
          </w:p>
        </w:tc>
        <w:tc>
          <w:tcPr>
            <w:tcW w:w="1502" w:type="dxa"/>
            <w:tcBorders>
              <w:top w:val="single" w:sz="4" w:space="0" w:color="auto"/>
              <w:left w:val="nil"/>
              <w:bottom w:val="single" w:sz="4" w:space="0" w:color="auto"/>
              <w:right w:val="single" w:sz="4" w:space="0" w:color="auto"/>
            </w:tcBorders>
            <w:shd w:val="clear" w:color="auto" w:fill="auto"/>
            <w:noWrap/>
            <w:vAlign w:val="bottom"/>
            <w:hideMark/>
          </w:tcPr>
          <w:p w:rsidR="002944CE" w:rsidRPr="004521F6" w:rsidRDefault="002944CE" w:rsidP="002944CE">
            <w:pPr>
              <w:spacing w:after="0" w:line="360" w:lineRule="auto"/>
              <w:jc w:val="center"/>
              <w:rPr>
                <w:rFonts w:ascii="Arial" w:eastAsia="Times New Roman" w:hAnsi="Arial" w:cs="Arial"/>
                <w:sz w:val="20"/>
                <w:lang w:eastAsia="en-IN"/>
              </w:rPr>
            </w:pPr>
            <w:r w:rsidRPr="004521F6">
              <w:rPr>
                <w:rFonts w:ascii="Arial" w:eastAsia="Times New Roman" w:hAnsi="Arial" w:cs="Arial"/>
                <w:sz w:val="20"/>
                <w:lang w:eastAsia="en-IN"/>
              </w:rPr>
              <w:t>Area</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2944CE" w:rsidRPr="004521F6" w:rsidRDefault="002944CE" w:rsidP="002944CE">
            <w:pPr>
              <w:spacing w:after="0" w:line="360" w:lineRule="auto"/>
              <w:jc w:val="center"/>
              <w:rPr>
                <w:rFonts w:ascii="Arial" w:eastAsia="Times New Roman" w:hAnsi="Arial" w:cs="Arial"/>
                <w:sz w:val="20"/>
                <w:lang w:eastAsia="en-IN"/>
              </w:rPr>
            </w:pPr>
            <w:r w:rsidRPr="004521F6">
              <w:rPr>
                <w:rFonts w:ascii="Arial" w:eastAsia="Times New Roman" w:hAnsi="Arial" w:cs="Arial"/>
                <w:sz w:val="20"/>
                <w:lang w:eastAsia="en-IN"/>
              </w:rPr>
              <w:t>Production</w:t>
            </w:r>
          </w:p>
        </w:tc>
      </w:tr>
      <w:tr w:rsidR="002944CE" w:rsidRPr="004521F6" w:rsidTr="00E452E2">
        <w:trPr>
          <w:trHeight w:val="255"/>
        </w:trPr>
        <w:tc>
          <w:tcPr>
            <w:tcW w:w="1333" w:type="dxa"/>
            <w:tcBorders>
              <w:top w:val="nil"/>
              <w:left w:val="single" w:sz="4" w:space="0" w:color="auto"/>
              <w:bottom w:val="single" w:sz="4" w:space="0" w:color="auto"/>
              <w:right w:val="single" w:sz="4" w:space="0" w:color="auto"/>
            </w:tcBorders>
            <w:shd w:val="clear" w:color="auto" w:fill="auto"/>
            <w:noWrap/>
            <w:vAlign w:val="bottom"/>
            <w:hideMark/>
          </w:tcPr>
          <w:p w:rsidR="002944CE" w:rsidRPr="004521F6" w:rsidRDefault="002944CE" w:rsidP="002944CE">
            <w:pPr>
              <w:spacing w:after="0" w:line="360" w:lineRule="auto"/>
              <w:rPr>
                <w:rFonts w:ascii="Arial" w:eastAsia="Times New Roman" w:hAnsi="Arial" w:cs="Arial"/>
                <w:sz w:val="20"/>
                <w:lang w:eastAsia="en-IN"/>
              </w:rPr>
            </w:pPr>
            <w:r w:rsidRPr="004521F6">
              <w:rPr>
                <w:rFonts w:ascii="Arial" w:eastAsia="Times New Roman" w:hAnsi="Arial" w:cs="Arial"/>
                <w:sz w:val="20"/>
                <w:lang w:eastAsia="en-IN"/>
              </w:rPr>
              <w:lastRenderedPageBreak/>
              <w:t xml:space="preserve">1980-81 </w:t>
            </w:r>
          </w:p>
        </w:tc>
        <w:tc>
          <w:tcPr>
            <w:tcW w:w="1502" w:type="dxa"/>
            <w:tcBorders>
              <w:top w:val="nil"/>
              <w:left w:val="nil"/>
              <w:bottom w:val="single" w:sz="4" w:space="0" w:color="auto"/>
              <w:right w:val="single" w:sz="4" w:space="0" w:color="auto"/>
            </w:tcBorders>
            <w:shd w:val="clear" w:color="auto" w:fill="auto"/>
            <w:noWrap/>
            <w:vAlign w:val="bottom"/>
            <w:hideMark/>
          </w:tcPr>
          <w:p w:rsidR="002944CE" w:rsidRPr="004521F6" w:rsidRDefault="002944CE" w:rsidP="002944CE">
            <w:pPr>
              <w:spacing w:after="0" w:line="360" w:lineRule="auto"/>
              <w:jc w:val="right"/>
              <w:rPr>
                <w:rFonts w:ascii="Arial" w:eastAsia="Times New Roman" w:hAnsi="Arial" w:cs="Arial"/>
                <w:sz w:val="20"/>
                <w:lang w:eastAsia="en-IN"/>
              </w:rPr>
            </w:pPr>
            <w:r w:rsidRPr="004521F6">
              <w:rPr>
                <w:rFonts w:ascii="Arial" w:eastAsia="Times New Roman" w:hAnsi="Arial" w:cs="Arial"/>
                <w:sz w:val="20"/>
                <w:lang w:eastAsia="en-IN"/>
              </w:rPr>
              <w:t>26.60</w:t>
            </w:r>
          </w:p>
        </w:tc>
        <w:tc>
          <w:tcPr>
            <w:tcW w:w="1985" w:type="dxa"/>
            <w:tcBorders>
              <w:top w:val="nil"/>
              <w:left w:val="nil"/>
              <w:bottom w:val="single" w:sz="4" w:space="0" w:color="auto"/>
              <w:right w:val="single" w:sz="4" w:space="0" w:color="auto"/>
            </w:tcBorders>
            <w:shd w:val="clear" w:color="auto" w:fill="auto"/>
            <w:noWrap/>
            <w:vAlign w:val="bottom"/>
            <w:hideMark/>
          </w:tcPr>
          <w:p w:rsidR="002944CE" w:rsidRPr="004521F6" w:rsidRDefault="002944CE" w:rsidP="002944CE">
            <w:pPr>
              <w:spacing w:after="0" w:line="360" w:lineRule="auto"/>
              <w:jc w:val="right"/>
              <w:rPr>
                <w:rFonts w:ascii="Arial" w:eastAsia="Times New Roman" w:hAnsi="Arial" w:cs="Arial"/>
                <w:sz w:val="20"/>
                <w:lang w:eastAsia="en-IN"/>
              </w:rPr>
            </w:pPr>
            <w:r w:rsidRPr="004521F6">
              <w:rPr>
                <w:rFonts w:ascii="Arial" w:eastAsia="Times New Roman" w:hAnsi="Arial" w:cs="Arial"/>
                <w:sz w:val="20"/>
                <w:lang w:eastAsia="en-IN"/>
              </w:rPr>
              <w:t>25.65</w:t>
            </w:r>
          </w:p>
        </w:tc>
      </w:tr>
      <w:tr w:rsidR="002944CE" w:rsidRPr="004521F6" w:rsidTr="00E452E2">
        <w:trPr>
          <w:trHeight w:val="255"/>
        </w:trPr>
        <w:tc>
          <w:tcPr>
            <w:tcW w:w="1333" w:type="dxa"/>
            <w:tcBorders>
              <w:top w:val="nil"/>
              <w:left w:val="single" w:sz="4" w:space="0" w:color="auto"/>
              <w:bottom w:val="single" w:sz="4" w:space="0" w:color="auto"/>
              <w:right w:val="single" w:sz="4" w:space="0" w:color="auto"/>
            </w:tcBorders>
            <w:shd w:val="clear" w:color="auto" w:fill="auto"/>
            <w:noWrap/>
            <w:vAlign w:val="bottom"/>
            <w:hideMark/>
          </w:tcPr>
          <w:p w:rsidR="002944CE" w:rsidRPr="004521F6" w:rsidRDefault="002944CE" w:rsidP="002944CE">
            <w:pPr>
              <w:spacing w:after="0" w:line="360" w:lineRule="auto"/>
              <w:rPr>
                <w:rFonts w:ascii="Arial" w:eastAsia="Times New Roman" w:hAnsi="Arial" w:cs="Arial"/>
                <w:sz w:val="20"/>
                <w:lang w:eastAsia="en-IN"/>
              </w:rPr>
            </w:pPr>
            <w:r w:rsidRPr="004521F6">
              <w:rPr>
                <w:rFonts w:ascii="Arial" w:eastAsia="Times New Roman" w:hAnsi="Arial" w:cs="Arial"/>
                <w:sz w:val="20"/>
                <w:lang w:eastAsia="en-IN"/>
              </w:rPr>
              <w:t>1990-91</w:t>
            </w:r>
          </w:p>
        </w:tc>
        <w:tc>
          <w:tcPr>
            <w:tcW w:w="1502" w:type="dxa"/>
            <w:tcBorders>
              <w:top w:val="nil"/>
              <w:left w:val="nil"/>
              <w:bottom w:val="single" w:sz="4" w:space="0" w:color="auto"/>
              <w:right w:val="single" w:sz="4" w:space="0" w:color="auto"/>
            </w:tcBorders>
            <w:shd w:val="clear" w:color="auto" w:fill="auto"/>
            <w:noWrap/>
            <w:vAlign w:val="bottom"/>
            <w:hideMark/>
          </w:tcPr>
          <w:p w:rsidR="002944CE" w:rsidRPr="004521F6" w:rsidRDefault="002944CE" w:rsidP="002944CE">
            <w:pPr>
              <w:spacing w:after="0" w:line="360" w:lineRule="auto"/>
              <w:jc w:val="right"/>
              <w:rPr>
                <w:rFonts w:ascii="Arial" w:eastAsia="Times New Roman" w:hAnsi="Arial" w:cs="Arial"/>
                <w:sz w:val="20"/>
                <w:lang w:eastAsia="en-IN"/>
              </w:rPr>
            </w:pPr>
            <w:r w:rsidRPr="004521F6">
              <w:rPr>
                <w:rFonts w:ascii="Arial" w:eastAsia="Times New Roman" w:hAnsi="Arial" w:cs="Arial"/>
                <w:sz w:val="20"/>
                <w:lang w:eastAsia="en-IN"/>
              </w:rPr>
              <w:t>28.34</w:t>
            </w:r>
          </w:p>
        </w:tc>
        <w:tc>
          <w:tcPr>
            <w:tcW w:w="1985" w:type="dxa"/>
            <w:tcBorders>
              <w:top w:val="nil"/>
              <w:left w:val="nil"/>
              <w:bottom w:val="single" w:sz="4" w:space="0" w:color="auto"/>
              <w:right w:val="single" w:sz="4" w:space="0" w:color="auto"/>
            </w:tcBorders>
            <w:shd w:val="clear" w:color="auto" w:fill="auto"/>
            <w:noWrap/>
            <w:vAlign w:val="bottom"/>
            <w:hideMark/>
          </w:tcPr>
          <w:p w:rsidR="002944CE" w:rsidRPr="004521F6" w:rsidRDefault="002944CE" w:rsidP="002944CE">
            <w:pPr>
              <w:spacing w:after="0" w:line="360" w:lineRule="auto"/>
              <w:jc w:val="right"/>
              <w:rPr>
                <w:rFonts w:ascii="Arial" w:eastAsia="Times New Roman" w:hAnsi="Arial" w:cs="Arial"/>
                <w:sz w:val="20"/>
                <w:lang w:eastAsia="en-IN"/>
              </w:rPr>
            </w:pPr>
            <w:r w:rsidRPr="004521F6">
              <w:rPr>
                <w:rFonts w:ascii="Arial" w:eastAsia="Times New Roman" w:hAnsi="Arial" w:cs="Arial"/>
                <w:sz w:val="20"/>
                <w:lang w:eastAsia="en-IN"/>
              </w:rPr>
              <w:t>33.38</w:t>
            </w:r>
          </w:p>
        </w:tc>
      </w:tr>
      <w:tr w:rsidR="002944CE" w:rsidRPr="004521F6" w:rsidTr="00E452E2">
        <w:trPr>
          <w:trHeight w:val="255"/>
        </w:trPr>
        <w:tc>
          <w:tcPr>
            <w:tcW w:w="1333" w:type="dxa"/>
            <w:tcBorders>
              <w:top w:val="nil"/>
              <w:left w:val="single" w:sz="4" w:space="0" w:color="auto"/>
              <w:bottom w:val="single" w:sz="4" w:space="0" w:color="auto"/>
              <w:right w:val="single" w:sz="4" w:space="0" w:color="auto"/>
            </w:tcBorders>
            <w:shd w:val="clear" w:color="auto" w:fill="auto"/>
            <w:noWrap/>
            <w:vAlign w:val="bottom"/>
            <w:hideMark/>
          </w:tcPr>
          <w:p w:rsidR="002944CE" w:rsidRPr="004521F6" w:rsidRDefault="002944CE" w:rsidP="002944CE">
            <w:pPr>
              <w:spacing w:after="0" w:line="360" w:lineRule="auto"/>
              <w:rPr>
                <w:rFonts w:ascii="Arial" w:eastAsia="Times New Roman" w:hAnsi="Arial" w:cs="Arial"/>
                <w:sz w:val="20"/>
                <w:lang w:eastAsia="en-IN"/>
              </w:rPr>
            </w:pPr>
            <w:r w:rsidRPr="004521F6">
              <w:rPr>
                <w:rFonts w:ascii="Arial" w:eastAsia="Times New Roman" w:hAnsi="Arial" w:cs="Arial"/>
                <w:sz w:val="20"/>
                <w:lang w:eastAsia="en-IN"/>
              </w:rPr>
              <w:t xml:space="preserve">2000-01 </w:t>
            </w:r>
          </w:p>
        </w:tc>
        <w:tc>
          <w:tcPr>
            <w:tcW w:w="1502" w:type="dxa"/>
            <w:tcBorders>
              <w:top w:val="nil"/>
              <w:left w:val="nil"/>
              <w:bottom w:val="single" w:sz="4" w:space="0" w:color="auto"/>
              <w:right w:val="single" w:sz="4" w:space="0" w:color="auto"/>
            </w:tcBorders>
            <w:shd w:val="clear" w:color="auto" w:fill="auto"/>
            <w:noWrap/>
            <w:vAlign w:val="bottom"/>
            <w:hideMark/>
          </w:tcPr>
          <w:p w:rsidR="002944CE" w:rsidRPr="004521F6" w:rsidRDefault="002944CE" w:rsidP="002944CE">
            <w:pPr>
              <w:spacing w:after="0" w:line="360" w:lineRule="auto"/>
              <w:jc w:val="right"/>
              <w:rPr>
                <w:rFonts w:ascii="Arial" w:eastAsia="Times New Roman" w:hAnsi="Arial" w:cs="Arial"/>
                <w:sz w:val="20"/>
                <w:lang w:eastAsia="en-IN"/>
              </w:rPr>
            </w:pPr>
            <w:r w:rsidRPr="004521F6">
              <w:rPr>
                <w:rFonts w:ascii="Arial" w:eastAsia="Times New Roman" w:hAnsi="Arial" w:cs="Arial"/>
                <w:sz w:val="20"/>
                <w:lang w:eastAsia="en-IN"/>
              </w:rPr>
              <w:t>19.52</w:t>
            </w:r>
          </w:p>
        </w:tc>
        <w:tc>
          <w:tcPr>
            <w:tcW w:w="1985" w:type="dxa"/>
            <w:tcBorders>
              <w:top w:val="nil"/>
              <w:left w:val="nil"/>
              <w:bottom w:val="single" w:sz="4" w:space="0" w:color="auto"/>
              <w:right w:val="single" w:sz="4" w:space="0" w:color="auto"/>
            </w:tcBorders>
            <w:shd w:val="clear" w:color="auto" w:fill="auto"/>
            <w:noWrap/>
            <w:vAlign w:val="bottom"/>
            <w:hideMark/>
          </w:tcPr>
          <w:p w:rsidR="002944CE" w:rsidRPr="004521F6" w:rsidRDefault="002944CE" w:rsidP="002944CE">
            <w:pPr>
              <w:spacing w:after="0" w:line="360" w:lineRule="auto"/>
              <w:jc w:val="right"/>
              <w:rPr>
                <w:rFonts w:ascii="Arial" w:eastAsia="Times New Roman" w:hAnsi="Arial" w:cs="Arial"/>
                <w:sz w:val="20"/>
                <w:lang w:eastAsia="en-IN"/>
              </w:rPr>
            </w:pPr>
            <w:r w:rsidRPr="004521F6">
              <w:rPr>
                <w:rFonts w:ascii="Arial" w:eastAsia="Times New Roman" w:hAnsi="Arial" w:cs="Arial"/>
                <w:sz w:val="20"/>
                <w:lang w:eastAsia="en-IN"/>
              </w:rPr>
              <w:t>23.96</w:t>
            </w:r>
          </w:p>
        </w:tc>
      </w:tr>
      <w:tr w:rsidR="002944CE" w:rsidRPr="004521F6" w:rsidTr="00E452E2">
        <w:trPr>
          <w:trHeight w:val="255"/>
        </w:trPr>
        <w:tc>
          <w:tcPr>
            <w:tcW w:w="1333" w:type="dxa"/>
            <w:tcBorders>
              <w:top w:val="nil"/>
              <w:left w:val="single" w:sz="4" w:space="0" w:color="auto"/>
              <w:bottom w:val="single" w:sz="4" w:space="0" w:color="auto"/>
              <w:right w:val="single" w:sz="4" w:space="0" w:color="auto"/>
            </w:tcBorders>
            <w:shd w:val="clear" w:color="auto" w:fill="auto"/>
            <w:noWrap/>
            <w:vAlign w:val="bottom"/>
            <w:hideMark/>
          </w:tcPr>
          <w:p w:rsidR="002944CE" w:rsidRPr="004521F6" w:rsidRDefault="002944CE" w:rsidP="002944CE">
            <w:pPr>
              <w:spacing w:after="0" w:line="360" w:lineRule="auto"/>
              <w:rPr>
                <w:rFonts w:ascii="Arial" w:eastAsia="Times New Roman" w:hAnsi="Arial" w:cs="Arial"/>
                <w:sz w:val="20"/>
                <w:lang w:eastAsia="en-IN"/>
              </w:rPr>
            </w:pPr>
            <w:r w:rsidRPr="004521F6">
              <w:rPr>
                <w:rFonts w:ascii="Arial" w:eastAsia="Times New Roman" w:hAnsi="Arial" w:cs="Arial"/>
                <w:sz w:val="20"/>
                <w:lang w:eastAsia="en-IN"/>
              </w:rPr>
              <w:t>2010-11</w:t>
            </w:r>
          </w:p>
        </w:tc>
        <w:tc>
          <w:tcPr>
            <w:tcW w:w="1502" w:type="dxa"/>
            <w:tcBorders>
              <w:top w:val="nil"/>
              <w:left w:val="nil"/>
              <w:bottom w:val="single" w:sz="4" w:space="0" w:color="auto"/>
              <w:right w:val="single" w:sz="4" w:space="0" w:color="auto"/>
            </w:tcBorders>
            <w:shd w:val="clear" w:color="auto" w:fill="auto"/>
            <w:noWrap/>
            <w:vAlign w:val="bottom"/>
            <w:hideMark/>
          </w:tcPr>
          <w:p w:rsidR="002944CE" w:rsidRPr="004521F6" w:rsidRDefault="002944CE" w:rsidP="002944CE">
            <w:pPr>
              <w:spacing w:after="0" w:line="360" w:lineRule="auto"/>
              <w:jc w:val="right"/>
              <w:rPr>
                <w:rFonts w:ascii="Arial" w:eastAsia="Times New Roman" w:hAnsi="Arial" w:cs="Arial"/>
                <w:sz w:val="20"/>
                <w:lang w:eastAsia="en-IN"/>
              </w:rPr>
            </w:pPr>
            <w:r w:rsidRPr="004521F6">
              <w:rPr>
                <w:rFonts w:ascii="Arial" w:eastAsia="Times New Roman" w:hAnsi="Arial" w:cs="Arial"/>
                <w:sz w:val="20"/>
                <w:lang w:eastAsia="en-IN"/>
              </w:rPr>
              <w:t>21.90</w:t>
            </w:r>
          </w:p>
        </w:tc>
        <w:tc>
          <w:tcPr>
            <w:tcW w:w="1985" w:type="dxa"/>
            <w:tcBorders>
              <w:top w:val="nil"/>
              <w:left w:val="nil"/>
              <w:bottom w:val="single" w:sz="4" w:space="0" w:color="auto"/>
              <w:right w:val="single" w:sz="4" w:space="0" w:color="auto"/>
            </w:tcBorders>
            <w:shd w:val="clear" w:color="auto" w:fill="auto"/>
            <w:noWrap/>
            <w:vAlign w:val="bottom"/>
            <w:hideMark/>
          </w:tcPr>
          <w:p w:rsidR="002944CE" w:rsidRPr="004521F6" w:rsidRDefault="002944CE" w:rsidP="002944CE">
            <w:pPr>
              <w:spacing w:after="0" w:line="360" w:lineRule="auto"/>
              <w:jc w:val="right"/>
              <w:rPr>
                <w:rFonts w:ascii="Arial" w:eastAsia="Times New Roman" w:hAnsi="Arial" w:cs="Arial"/>
                <w:sz w:val="20"/>
                <w:lang w:eastAsia="en-IN"/>
              </w:rPr>
            </w:pPr>
            <w:r w:rsidRPr="004521F6">
              <w:rPr>
                <w:rFonts w:ascii="Arial" w:eastAsia="Times New Roman" w:hAnsi="Arial" w:cs="Arial"/>
                <w:sz w:val="20"/>
                <w:lang w:eastAsia="en-IN"/>
              </w:rPr>
              <w:t>28.89</w:t>
            </w:r>
          </w:p>
        </w:tc>
      </w:tr>
      <w:tr w:rsidR="002944CE" w:rsidRPr="004521F6" w:rsidTr="00E452E2">
        <w:trPr>
          <w:trHeight w:val="255"/>
        </w:trPr>
        <w:tc>
          <w:tcPr>
            <w:tcW w:w="1333" w:type="dxa"/>
            <w:tcBorders>
              <w:top w:val="nil"/>
              <w:left w:val="single" w:sz="4" w:space="0" w:color="auto"/>
              <w:bottom w:val="single" w:sz="4" w:space="0" w:color="auto"/>
              <w:right w:val="single" w:sz="4" w:space="0" w:color="auto"/>
            </w:tcBorders>
            <w:shd w:val="clear" w:color="auto" w:fill="auto"/>
            <w:noWrap/>
            <w:vAlign w:val="bottom"/>
            <w:hideMark/>
          </w:tcPr>
          <w:p w:rsidR="002944CE" w:rsidRPr="004521F6" w:rsidRDefault="002944CE" w:rsidP="002944CE">
            <w:pPr>
              <w:spacing w:after="0" w:line="360" w:lineRule="auto"/>
              <w:rPr>
                <w:rFonts w:ascii="Arial" w:eastAsia="Times New Roman" w:hAnsi="Arial" w:cs="Arial"/>
                <w:sz w:val="20"/>
                <w:lang w:eastAsia="en-IN"/>
              </w:rPr>
            </w:pPr>
            <w:r w:rsidRPr="004521F6">
              <w:rPr>
                <w:rFonts w:ascii="Arial" w:eastAsia="Times New Roman" w:hAnsi="Arial" w:cs="Arial"/>
                <w:sz w:val="20"/>
                <w:lang w:eastAsia="en-IN"/>
              </w:rPr>
              <w:t>2020-21</w:t>
            </w:r>
          </w:p>
        </w:tc>
        <w:tc>
          <w:tcPr>
            <w:tcW w:w="1502" w:type="dxa"/>
            <w:tcBorders>
              <w:top w:val="nil"/>
              <w:left w:val="nil"/>
              <w:bottom w:val="single" w:sz="4" w:space="0" w:color="auto"/>
              <w:right w:val="single" w:sz="4" w:space="0" w:color="auto"/>
            </w:tcBorders>
            <w:shd w:val="clear" w:color="auto" w:fill="auto"/>
            <w:noWrap/>
            <w:vAlign w:val="bottom"/>
            <w:hideMark/>
          </w:tcPr>
          <w:p w:rsidR="002944CE" w:rsidRPr="004521F6" w:rsidRDefault="002944CE" w:rsidP="002944CE">
            <w:pPr>
              <w:spacing w:after="0" w:line="360" w:lineRule="auto"/>
              <w:jc w:val="right"/>
              <w:rPr>
                <w:rFonts w:ascii="Arial" w:eastAsia="Times New Roman" w:hAnsi="Arial" w:cs="Arial"/>
                <w:sz w:val="20"/>
                <w:lang w:eastAsia="en-IN"/>
              </w:rPr>
            </w:pPr>
            <w:r w:rsidRPr="004521F6">
              <w:rPr>
                <w:rFonts w:ascii="Arial" w:eastAsia="Times New Roman" w:hAnsi="Arial" w:cs="Arial"/>
                <w:sz w:val="20"/>
                <w:lang w:eastAsia="en-IN"/>
              </w:rPr>
              <w:t>20.50</w:t>
            </w:r>
          </w:p>
        </w:tc>
        <w:tc>
          <w:tcPr>
            <w:tcW w:w="1985" w:type="dxa"/>
            <w:tcBorders>
              <w:top w:val="nil"/>
              <w:left w:val="nil"/>
              <w:bottom w:val="single" w:sz="4" w:space="0" w:color="auto"/>
              <w:right w:val="single" w:sz="4" w:space="0" w:color="auto"/>
            </w:tcBorders>
            <w:shd w:val="clear" w:color="auto" w:fill="auto"/>
            <w:noWrap/>
            <w:vAlign w:val="bottom"/>
            <w:hideMark/>
          </w:tcPr>
          <w:p w:rsidR="002944CE" w:rsidRPr="004521F6" w:rsidRDefault="002944CE" w:rsidP="002944CE">
            <w:pPr>
              <w:spacing w:after="0" w:line="360" w:lineRule="auto"/>
              <w:jc w:val="right"/>
              <w:rPr>
                <w:rFonts w:ascii="Arial" w:eastAsia="Times New Roman" w:hAnsi="Arial" w:cs="Arial"/>
                <w:sz w:val="20"/>
                <w:lang w:eastAsia="en-IN"/>
              </w:rPr>
            </w:pPr>
            <w:r w:rsidRPr="004521F6">
              <w:rPr>
                <w:rFonts w:ascii="Arial" w:eastAsia="Times New Roman" w:hAnsi="Arial" w:cs="Arial"/>
                <w:sz w:val="20"/>
                <w:lang w:eastAsia="en-IN"/>
              </w:rPr>
              <w:t>27.50</w:t>
            </w:r>
          </w:p>
        </w:tc>
      </w:tr>
    </w:tbl>
    <w:p w:rsidR="00660589" w:rsidRDefault="00660589" w:rsidP="00EF1124">
      <w:pPr>
        <w:autoSpaceDE w:val="0"/>
        <w:autoSpaceDN w:val="0"/>
        <w:adjustRightInd w:val="0"/>
        <w:spacing w:after="0" w:line="240" w:lineRule="auto"/>
        <w:rPr>
          <w:rFonts w:ascii="Palatia-Bold" w:hAnsi="Palatia-Bold" w:cs="Palatia-Bold"/>
          <w:b/>
          <w:bCs/>
          <w:color w:val="000000"/>
          <w:sz w:val="24"/>
          <w:szCs w:val="24"/>
        </w:rPr>
      </w:pPr>
    </w:p>
    <w:p w:rsidR="00660589" w:rsidRPr="00E452E2" w:rsidRDefault="00660589" w:rsidP="00E452E2">
      <w:pPr>
        <w:autoSpaceDE w:val="0"/>
        <w:autoSpaceDN w:val="0"/>
        <w:adjustRightInd w:val="0"/>
        <w:spacing w:after="0" w:line="360" w:lineRule="auto"/>
        <w:rPr>
          <w:rFonts w:cs="Palatia-Bold"/>
          <w:b/>
          <w:bCs/>
          <w:color w:val="000000"/>
          <w:sz w:val="24"/>
          <w:szCs w:val="24"/>
        </w:rPr>
      </w:pPr>
    </w:p>
    <w:p w:rsidR="00EF1124" w:rsidRPr="00E452E2" w:rsidRDefault="00EF1124" w:rsidP="00E452E2">
      <w:pPr>
        <w:autoSpaceDE w:val="0"/>
        <w:autoSpaceDN w:val="0"/>
        <w:adjustRightInd w:val="0"/>
        <w:spacing w:after="0" w:line="360" w:lineRule="auto"/>
        <w:rPr>
          <w:rFonts w:cs="Palatia-Bold"/>
          <w:b/>
          <w:bCs/>
          <w:color w:val="000000"/>
          <w:sz w:val="24"/>
          <w:szCs w:val="24"/>
        </w:rPr>
      </w:pPr>
      <w:r w:rsidRPr="00E452E2">
        <w:rPr>
          <w:rFonts w:cs="Palatia-Bold"/>
          <w:b/>
          <w:bCs/>
          <w:color w:val="000000"/>
          <w:sz w:val="24"/>
          <w:szCs w:val="24"/>
        </w:rPr>
        <w:t>Instability in Production</w:t>
      </w:r>
    </w:p>
    <w:p w:rsidR="00E452E2" w:rsidRDefault="00EF1124" w:rsidP="00A11616">
      <w:pPr>
        <w:autoSpaceDE w:val="0"/>
        <w:autoSpaceDN w:val="0"/>
        <w:adjustRightInd w:val="0"/>
        <w:spacing w:after="0" w:line="360" w:lineRule="auto"/>
        <w:rPr>
          <w:rFonts w:cs="Palatia-Regular"/>
          <w:sz w:val="24"/>
          <w:szCs w:val="24"/>
        </w:rPr>
      </w:pPr>
      <w:r w:rsidRPr="00E452E2">
        <w:rPr>
          <w:rFonts w:cs="Palatia-Regular"/>
          <w:color w:val="000000"/>
          <w:sz w:val="24"/>
          <w:szCs w:val="24"/>
        </w:rPr>
        <w:t xml:space="preserve">Instability in potato </w:t>
      </w:r>
      <w:r w:rsidR="00E77CFE" w:rsidRPr="00E452E2">
        <w:rPr>
          <w:rFonts w:cs="Palatia-Regular"/>
          <w:color w:val="000000"/>
          <w:sz w:val="24"/>
          <w:szCs w:val="24"/>
        </w:rPr>
        <w:t xml:space="preserve">production </w:t>
      </w:r>
      <w:r w:rsidRPr="00E452E2">
        <w:rPr>
          <w:rFonts w:cs="Palatia-Regular"/>
          <w:color w:val="000000"/>
          <w:sz w:val="24"/>
          <w:szCs w:val="24"/>
        </w:rPr>
        <w:t>is caused by</w:t>
      </w:r>
      <w:r w:rsidR="00512E99" w:rsidRPr="00E452E2">
        <w:rPr>
          <w:rFonts w:cs="Palatia-Regular"/>
          <w:color w:val="000000"/>
          <w:sz w:val="24"/>
          <w:szCs w:val="24"/>
        </w:rPr>
        <w:t xml:space="preserve"> </w:t>
      </w:r>
      <w:r w:rsidR="00E77CFE" w:rsidRPr="00E452E2">
        <w:rPr>
          <w:rFonts w:cs="Palatia-Regular"/>
          <w:color w:val="000000"/>
          <w:sz w:val="24"/>
          <w:szCs w:val="24"/>
        </w:rPr>
        <w:t xml:space="preserve">the </w:t>
      </w:r>
      <w:r w:rsidRPr="00E452E2">
        <w:rPr>
          <w:rFonts w:cs="Palatia-Regular"/>
          <w:color w:val="000000"/>
          <w:sz w:val="24"/>
          <w:szCs w:val="24"/>
        </w:rPr>
        <w:t xml:space="preserve">variability in </w:t>
      </w:r>
      <w:r w:rsidR="00E77CFE" w:rsidRPr="00E452E2">
        <w:rPr>
          <w:rFonts w:cs="Palatia-Regular"/>
          <w:color w:val="000000"/>
          <w:sz w:val="24"/>
          <w:szCs w:val="24"/>
        </w:rPr>
        <w:t xml:space="preserve">both </w:t>
      </w:r>
      <w:r w:rsidRPr="00E452E2">
        <w:rPr>
          <w:rFonts w:cs="Palatia-Regular"/>
          <w:color w:val="000000"/>
          <w:sz w:val="24"/>
          <w:szCs w:val="24"/>
        </w:rPr>
        <w:t xml:space="preserve">area and </w:t>
      </w:r>
      <w:r w:rsidR="00E77CFE" w:rsidRPr="00E452E2">
        <w:rPr>
          <w:rFonts w:cs="Palatia-Regular"/>
          <w:color w:val="000000"/>
          <w:sz w:val="24"/>
          <w:szCs w:val="24"/>
        </w:rPr>
        <w:t>productivity</w:t>
      </w:r>
      <w:r w:rsidR="00F76291" w:rsidRPr="00E452E2">
        <w:rPr>
          <w:rFonts w:cs="Palatia-Regular"/>
          <w:color w:val="000000"/>
          <w:sz w:val="24"/>
          <w:szCs w:val="24"/>
        </w:rPr>
        <w:t xml:space="preserve"> (Sant Kumar, et.al. 2021)</w:t>
      </w:r>
      <w:r w:rsidRPr="00E452E2">
        <w:rPr>
          <w:rFonts w:cs="Palatia-Regular"/>
          <w:color w:val="000000"/>
          <w:sz w:val="24"/>
          <w:szCs w:val="24"/>
        </w:rPr>
        <w:t>. If the instability</w:t>
      </w:r>
      <w:r w:rsidR="00512E99" w:rsidRPr="00E452E2">
        <w:rPr>
          <w:rFonts w:cs="Palatia-Regular"/>
          <w:color w:val="000000"/>
          <w:sz w:val="24"/>
          <w:szCs w:val="24"/>
        </w:rPr>
        <w:t xml:space="preserve"> </w:t>
      </w:r>
      <w:r w:rsidRPr="00E452E2">
        <w:rPr>
          <w:rFonts w:cs="Palatia-Regular"/>
          <w:color w:val="000000"/>
          <w:sz w:val="24"/>
          <w:szCs w:val="24"/>
        </w:rPr>
        <w:t xml:space="preserve">in both components </w:t>
      </w:r>
      <w:r w:rsidR="00E77CFE" w:rsidRPr="00E452E2">
        <w:rPr>
          <w:rFonts w:cs="Palatia-Regular"/>
          <w:color w:val="000000"/>
          <w:sz w:val="24"/>
          <w:szCs w:val="24"/>
        </w:rPr>
        <w:t>will decrease</w:t>
      </w:r>
      <w:r w:rsidRPr="00E452E2">
        <w:rPr>
          <w:rFonts w:cs="Palatia-Regular"/>
          <w:color w:val="000000"/>
          <w:sz w:val="24"/>
          <w:szCs w:val="24"/>
        </w:rPr>
        <w:t>, the instability in</w:t>
      </w:r>
      <w:r w:rsidR="00512E99" w:rsidRPr="00E452E2">
        <w:rPr>
          <w:rFonts w:cs="Palatia-Regular"/>
          <w:color w:val="000000"/>
          <w:sz w:val="24"/>
          <w:szCs w:val="24"/>
        </w:rPr>
        <w:t xml:space="preserve"> </w:t>
      </w:r>
      <w:r w:rsidR="00E77CFE" w:rsidRPr="00E452E2">
        <w:rPr>
          <w:rFonts w:cs="Palatia-Regular"/>
          <w:color w:val="000000"/>
          <w:sz w:val="24"/>
          <w:szCs w:val="24"/>
        </w:rPr>
        <w:t xml:space="preserve">production also </w:t>
      </w:r>
      <w:r w:rsidRPr="00E452E2">
        <w:rPr>
          <w:rFonts w:cs="Palatia-Regular"/>
          <w:color w:val="000000"/>
          <w:sz w:val="24"/>
          <w:szCs w:val="24"/>
        </w:rPr>
        <w:t>declines.</w:t>
      </w:r>
      <w:r w:rsidR="00E77CFE" w:rsidRPr="00E452E2">
        <w:rPr>
          <w:rFonts w:cs="Palatia-Regular"/>
          <w:color w:val="000000"/>
          <w:sz w:val="24"/>
          <w:szCs w:val="24"/>
        </w:rPr>
        <w:t xml:space="preserve"> </w:t>
      </w:r>
      <w:r w:rsidRPr="00E452E2">
        <w:rPr>
          <w:rFonts w:cs="Palatia-Regular"/>
          <w:color w:val="000000"/>
          <w:sz w:val="24"/>
          <w:szCs w:val="24"/>
        </w:rPr>
        <w:t>It is interesting</w:t>
      </w:r>
      <w:r w:rsidR="00512E99" w:rsidRPr="00E452E2">
        <w:rPr>
          <w:rFonts w:cs="Palatia-Regular"/>
          <w:color w:val="000000"/>
          <w:sz w:val="24"/>
          <w:szCs w:val="24"/>
        </w:rPr>
        <w:t xml:space="preserve"> </w:t>
      </w:r>
      <w:r w:rsidRPr="00E452E2">
        <w:rPr>
          <w:rFonts w:cs="Palatia-Regular"/>
          <w:color w:val="000000"/>
          <w:sz w:val="24"/>
          <w:szCs w:val="24"/>
        </w:rPr>
        <w:t xml:space="preserve">to </w:t>
      </w:r>
      <w:r w:rsidR="00E77CFE" w:rsidRPr="00E452E2">
        <w:rPr>
          <w:rFonts w:cs="Palatia-Regular"/>
          <w:color w:val="000000"/>
          <w:sz w:val="24"/>
          <w:szCs w:val="24"/>
        </w:rPr>
        <w:t xml:space="preserve">observe that the </w:t>
      </w:r>
      <w:r w:rsidRPr="00E452E2">
        <w:rPr>
          <w:rFonts w:cs="Palatia-Regular"/>
          <w:color w:val="000000"/>
          <w:sz w:val="24"/>
          <w:szCs w:val="24"/>
        </w:rPr>
        <w:t xml:space="preserve">instability in area and </w:t>
      </w:r>
      <w:r w:rsidR="00E77CFE" w:rsidRPr="00E452E2">
        <w:rPr>
          <w:rFonts w:cs="Palatia-Regular"/>
          <w:color w:val="000000"/>
          <w:sz w:val="24"/>
          <w:szCs w:val="24"/>
        </w:rPr>
        <w:t xml:space="preserve">productivity in the latest period 2010-11 to 2019-20 </w:t>
      </w:r>
      <w:r w:rsidRPr="00E452E2">
        <w:rPr>
          <w:rFonts w:cs="Palatia-Regular"/>
          <w:color w:val="000000"/>
          <w:sz w:val="24"/>
          <w:szCs w:val="24"/>
        </w:rPr>
        <w:t xml:space="preserve">has declined </w:t>
      </w:r>
      <w:r w:rsidR="00E77CFE" w:rsidRPr="00E452E2">
        <w:rPr>
          <w:rFonts w:cs="Palatia-Regular"/>
          <w:color w:val="000000"/>
          <w:sz w:val="24"/>
          <w:szCs w:val="24"/>
        </w:rPr>
        <w:t xml:space="preserve">from the previous period 2000-01 to 2009-10, so as the instability in the production of potato for the country as a whole. </w:t>
      </w:r>
      <w:r w:rsidR="00F76291" w:rsidRPr="00E452E2">
        <w:rPr>
          <w:rFonts w:cs="Palatia-Regular"/>
          <w:color w:val="000000"/>
          <w:sz w:val="24"/>
          <w:szCs w:val="24"/>
        </w:rPr>
        <w:t xml:space="preserve">The rise in instability in area and productivity in the period 1960-61 to 1969-70 and </w:t>
      </w:r>
      <w:r w:rsidRPr="00E452E2">
        <w:rPr>
          <w:rFonts w:cs="Palatia-Regular"/>
          <w:color w:val="000000"/>
          <w:sz w:val="24"/>
          <w:szCs w:val="24"/>
        </w:rPr>
        <w:t xml:space="preserve">in </w:t>
      </w:r>
      <w:r w:rsidR="00F76291" w:rsidRPr="00E452E2">
        <w:rPr>
          <w:rFonts w:cs="Palatia-Regular"/>
          <w:color w:val="000000"/>
          <w:sz w:val="24"/>
          <w:szCs w:val="24"/>
        </w:rPr>
        <w:t xml:space="preserve">1990-91 to 1999-2000 from previous period resulted rise in instability of production. </w:t>
      </w:r>
      <w:r w:rsidR="00A11616" w:rsidRPr="00111ABF">
        <w:rPr>
          <w:rFonts w:cs="Warnock Pro"/>
          <w:color w:val="000000"/>
          <w:sz w:val="24"/>
          <w:szCs w:val="24"/>
        </w:rPr>
        <w:t xml:space="preserve">The instability in area, production and productivity are presented in Table </w:t>
      </w:r>
      <w:r w:rsidR="00A11616">
        <w:rPr>
          <w:rFonts w:cs="Warnock Pro"/>
          <w:color w:val="000000"/>
          <w:sz w:val="24"/>
          <w:szCs w:val="24"/>
        </w:rPr>
        <w:t>3</w:t>
      </w:r>
      <w:r w:rsidR="00A11616" w:rsidRPr="00111ABF">
        <w:rPr>
          <w:rFonts w:cs="Warnock Pro"/>
          <w:color w:val="000000"/>
          <w:sz w:val="24"/>
          <w:szCs w:val="24"/>
        </w:rPr>
        <w:t xml:space="preserve"> that reflects that production is highly instable as high as </w:t>
      </w:r>
      <w:r w:rsidR="00A11616">
        <w:rPr>
          <w:rFonts w:cs="Warnock Pro"/>
          <w:color w:val="000000"/>
          <w:sz w:val="24"/>
          <w:szCs w:val="24"/>
        </w:rPr>
        <w:t>around fourteen eleven</w:t>
      </w:r>
      <w:r w:rsidR="00A11616" w:rsidRPr="00111ABF">
        <w:rPr>
          <w:rFonts w:cs="Warnock Pro"/>
          <w:color w:val="000000"/>
          <w:sz w:val="24"/>
          <w:szCs w:val="24"/>
        </w:rPr>
        <w:t xml:space="preserve"> per cent. The </w:t>
      </w:r>
      <w:r w:rsidR="00A11616">
        <w:rPr>
          <w:rFonts w:cs="Warnock Pro"/>
          <w:color w:val="000000"/>
          <w:sz w:val="24"/>
          <w:szCs w:val="24"/>
        </w:rPr>
        <w:t xml:space="preserve">instability index for </w:t>
      </w:r>
      <w:r w:rsidR="00A11616" w:rsidRPr="00111ABF">
        <w:rPr>
          <w:rFonts w:cs="Warnock Pro"/>
          <w:color w:val="000000"/>
          <w:sz w:val="24"/>
          <w:szCs w:val="24"/>
        </w:rPr>
        <w:t xml:space="preserve">cultivated area </w:t>
      </w:r>
      <w:r w:rsidR="00A11616">
        <w:rPr>
          <w:rFonts w:cs="Warnock Pro"/>
          <w:color w:val="000000"/>
          <w:sz w:val="24"/>
          <w:szCs w:val="24"/>
        </w:rPr>
        <w:t>in nearly six percent and productivity is around eleven per cent</w:t>
      </w:r>
      <w:r w:rsidR="00A11616">
        <w:rPr>
          <w:rFonts w:cs="Warnock Pro"/>
          <w:color w:val="000000"/>
          <w:sz w:val="24"/>
          <w:szCs w:val="24"/>
        </w:rPr>
        <w:t xml:space="preserve"> in the period of last seventy </w:t>
      </w:r>
      <w:proofErr w:type="spellStart"/>
      <w:proofErr w:type="gramStart"/>
      <w:r w:rsidR="00A11616">
        <w:rPr>
          <w:rFonts w:cs="Warnock Pro"/>
          <w:color w:val="000000"/>
          <w:sz w:val="24"/>
          <w:szCs w:val="24"/>
        </w:rPr>
        <w:t>years</w:t>
      </w:r>
      <w:r w:rsidR="00A11616">
        <w:rPr>
          <w:rFonts w:cs="Warnock Pro"/>
          <w:color w:val="000000"/>
          <w:sz w:val="24"/>
          <w:szCs w:val="24"/>
        </w:rPr>
        <w:t>.</w:t>
      </w:r>
      <w:r w:rsidRPr="00E452E2">
        <w:rPr>
          <w:rFonts w:cs="Palatia-Regular"/>
          <w:color w:val="000000"/>
          <w:sz w:val="24"/>
          <w:szCs w:val="24"/>
        </w:rPr>
        <w:t>The</w:t>
      </w:r>
      <w:proofErr w:type="spellEnd"/>
      <w:proofErr w:type="gramEnd"/>
      <w:r w:rsidR="00512E99" w:rsidRPr="00E452E2">
        <w:rPr>
          <w:rFonts w:cs="Palatia-Regular"/>
          <w:color w:val="000000"/>
          <w:sz w:val="24"/>
          <w:szCs w:val="24"/>
        </w:rPr>
        <w:t xml:space="preserve"> </w:t>
      </w:r>
      <w:r w:rsidRPr="00E452E2">
        <w:rPr>
          <w:rFonts w:cs="Palatia-Regular"/>
          <w:color w:val="000000"/>
          <w:sz w:val="24"/>
          <w:szCs w:val="24"/>
        </w:rPr>
        <w:t xml:space="preserve">instability in </w:t>
      </w:r>
      <w:r w:rsidR="00F76291" w:rsidRPr="00E452E2">
        <w:rPr>
          <w:rFonts w:cs="Palatia-Regular"/>
          <w:color w:val="000000"/>
          <w:sz w:val="24"/>
          <w:szCs w:val="24"/>
        </w:rPr>
        <w:t xml:space="preserve">production could be </w:t>
      </w:r>
      <w:r w:rsidRPr="00E452E2">
        <w:rPr>
          <w:rFonts w:cs="Palatia-Regular"/>
          <w:color w:val="000000"/>
          <w:sz w:val="24"/>
          <w:szCs w:val="24"/>
        </w:rPr>
        <w:t>reduced</w:t>
      </w:r>
      <w:r w:rsidR="00F76291" w:rsidRPr="00E452E2">
        <w:rPr>
          <w:rFonts w:cs="Palatia-Regular"/>
          <w:color w:val="000000"/>
          <w:sz w:val="24"/>
          <w:szCs w:val="24"/>
        </w:rPr>
        <w:t xml:space="preserve"> by</w:t>
      </w:r>
      <w:r w:rsidRPr="00E452E2">
        <w:rPr>
          <w:rFonts w:cs="Palatia-Regular"/>
          <w:color w:val="000000"/>
          <w:sz w:val="24"/>
          <w:szCs w:val="24"/>
        </w:rPr>
        <w:t xml:space="preserve"> </w:t>
      </w:r>
      <w:r w:rsidR="00F76291" w:rsidRPr="00E452E2">
        <w:rPr>
          <w:rFonts w:cs="Palatia-Regular"/>
          <w:sz w:val="24"/>
          <w:szCs w:val="24"/>
        </w:rPr>
        <w:t xml:space="preserve">adoption of </w:t>
      </w:r>
      <w:r w:rsidR="00F76291" w:rsidRPr="00E452E2">
        <w:rPr>
          <w:rFonts w:cs="Palatia-Regular"/>
          <w:sz w:val="24"/>
          <w:szCs w:val="24"/>
        </w:rPr>
        <w:t xml:space="preserve">quality seeds, </w:t>
      </w:r>
      <w:r w:rsidR="00F76291" w:rsidRPr="00E452E2">
        <w:rPr>
          <w:rFonts w:cs="Palatia-Regular"/>
          <w:sz w:val="24"/>
          <w:szCs w:val="24"/>
        </w:rPr>
        <w:t>improved technologies and</w:t>
      </w:r>
      <w:r w:rsidR="00F76291" w:rsidRPr="00E452E2">
        <w:rPr>
          <w:rFonts w:cs="Palatia-Regular"/>
          <w:sz w:val="24"/>
          <w:szCs w:val="24"/>
        </w:rPr>
        <w:t xml:space="preserve"> reducing post-harvest losses across all</w:t>
      </w:r>
      <w:r w:rsidR="00F76291" w:rsidRPr="00E452E2">
        <w:rPr>
          <w:rFonts w:cs="Palatia-Regular"/>
          <w:sz w:val="24"/>
          <w:szCs w:val="24"/>
        </w:rPr>
        <w:t xml:space="preserve"> potato growing</w:t>
      </w:r>
      <w:r w:rsidR="00F76291" w:rsidRPr="00E452E2">
        <w:rPr>
          <w:rFonts w:cs="Palatia-Regular"/>
          <w:sz w:val="24"/>
          <w:szCs w:val="24"/>
        </w:rPr>
        <w:t xml:space="preserve"> states. </w:t>
      </w:r>
    </w:p>
    <w:p w:rsidR="00F76291" w:rsidRPr="00F76291" w:rsidRDefault="00F76291" w:rsidP="00F76291">
      <w:pPr>
        <w:autoSpaceDE w:val="0"/>
        <w:autoSpaceDN w:val="0"/>
        <w:adjustRightInd w:val="0"/>
        <w:spacing w:after="0" w:line="240" w:lineRule="auto"/>
        <w:jc w:val="both"/>
        <w:rPr>
          <w:rFonts w:cs="Palatia-Regular"/>
          <w:color w:val="000000"/>
          <w:sz w:val="24"/>
          <w:szCs w:val="24"/>
        </w:rPr>
      </w:pPr>
    </w:p>
    <w:p w:rsidR="00512E99" w:rsidRPr="00F76291" w:rsidRDefault="00F76291" w:rsidP="00F76291">
      <w:pPr>
        <w:autoSpaceDE w:val="0"/>
        <w:autoSpaceDN w:val="0"/>
        <w:adjustRightInd w:val="0"/>
        <w:spacing w:after="0" w:line="240" w:lineRule="auto"/>
        <w:jc w:val="both"/>
        <w:rPr>
          <w:rFonts w:cs="Palatia-Regular"/>
          <w:color w:val="000000"/>
          <w:sz w:val="24"/>
          <w:szCs w:val="24"/>
        </w:rPr>
      </w:pPr>
      <w:r w:rsidRPr="00512E99">
        <w:rPr>
          <w:rFonts w:ascii="Arial" w:eastAsia="Times New Roman" w:hAnsi="Arial" w:cs="Arial"/>
          <w:sz w:val="20"/>
          <w:lang w:eastAsia="en-IN"/>
        </w:rPr>
        <w:t xml:space="preserve">Table 3: Instability in area, production and productivity of </w:t>
      </w:r>
      <w:r>
        <w:rPr>
          <w:rFonts w:ascii="Arial" w:eastAsia="Times New Roman" w:hAnsi="Arial" w:cs="Arial"/>
          <w:sz w:val="20"/>
          <w:lang w:eastAsia="en-IN"/>
        </w:rPr>
        <w:t>po</w:t>
      </w:r>
      <w:r w:rsidRPr="00512E99">
        <w:rPr>
          <w:rFonts w:ascii="Arial" w:eastAsia="Times New Roman" w:hAnsi="Arial" w:cs="Arial"/>
          <w:sz w:val="20"/>
          <w:lang w:eastAsia="en-IN"/>
        </w:rPr>
        <w:t>tato in India</w:t>
      </w:r>
      <w:r w:rsidR="00A11616">
        <w:rPr>
          <w:rFonts w:ascii="Arial" w:eastAsia="Times New Roman" w:hAnsi="Arial" w:cs="Arial"/>
          <w:sz w:val="20"/>
          <w:lang w:eastAsia="en-IN"/>
        </w:rPr>
        <w:t xml:space="preserve"> (Percent)</w:t>
      </w:r>
    </w:p>
    <w:tbl>
      <w:tblPr>
        <w:tblW w:w="6237" w:type="dxa"/>
        <w:tblInd w:w="-5" w:type="dxa"/>
        <w:tblLook w:val="04A0" w:firstRow="1" w:lastRow="0" w:firstColumn="1" w:lastColumn="0" w:noHBand="0" w:noVBand="1"/>
      </w:tblPr>
      <w:tblGrid>
        <w:gridCol w:w="2231"/>
        <w:gridCol w:w="1171"/>
        <w:gridCol w:w="1173"/>
        <w:gridCol w:w="1662"/>
      </w:tblGrid>
      <w:tr w:rsidR="00E452E2" w:rsidRPr="00512E99" w:rsidTr="00E452E2">
        <w:trPr>
          <w:trHeight w:val="255"/>
        </w:trPr>
        <w:tc>
          <w:tcPr>
            <w:tcW w:w="22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52E2" w:rsidRPr="00512E99" w:rsidRDefault="00E452E2" w:rsidP="00E452E2">
            <w:pPr>
              <w:spacing w:after="0" w:line="240" w:lineRule="auto"/>
              <w:jc w:val="center"/>
              <w:rPr>
                <w:rFonts w:ascii="Arial" w:eastAsia="Times New Roman" w:hAnsi="Arial" w:cs="Arial"/>
                <w:sz w:val="20"/>
                <w:lang w:eastAsia="en-IN"/>
              </w:rPr>
            </w:pPr>
            <w:r>
              <w:rPr>
                <w:rFonts w:ascii="Arial" w:eastAsia="Times New Roman" w:hAnsi="Arial" w:cs="Arial"/>
                <w:sz w:val="20"/>
                <w:lang w:eastAsia="en-IN"/>
              </w:rPr>
              <w:t>Period</w:t>
            </w:r>
          </w:p>
        </w:tc>
        <w:tc>
          <w:tcPr>
            <w:tcW w:w="1171" w:type="dxa"/>
            <w:tcBorders>
              <w:top w:val="single" w:sz="4" w:space="0" w:color="auto"/>
              <w:left w:val="nil"/>
              <w:bottom w:val="single" w:sz="4" w:space="0" w:color="auto"/>
              <w:right w:val="single" w:sz="4" w:space="0" w:color="auto"/>
            </w:tcBorders>
            <w:shd w:val="clear" w:color="auto" w:fill="auto"/>
            <w:noWrap/>
            <w:vAlign w:val="bottom"/>
            <w:hideMark/>
          </w:tcPr>
          <w:p w:rsidR="00E452E2" w:rsidRPr="00512E99" w:rsidRDefault="00E452E2" w:rsidP="00E452E2">
            <w:pPr>
              <w:spacing w:after="0" w:line="240" w:lineRule="auto"/>
              <w:jc w:val="center"/>
              <w:rPr>
                <w:rFonts w:ascii="Arial" w:eastAsia="Times New Roman" w:hAnsi="Arial" w:cs="Arial"/>
                <w:sz w:val="20"/>
                <w:lang w:eastAsia="en-IN"/>
              </w:rPr>
            </w:pPr>
            <w:r w:rsidRPr="00512E99">
              <w:rPr>
                <w:rFonts w:ascii="Arial" w:eastAsia="Times New Roman" w:hAnsi="Arial" w:cs="Arial"/>
                <w:sz w:val="20"/>
                <w:lang w:eastAsia="en-IN"/>
              </w:rPr>
              <w:t>Area</w:t>
            </w:r>
          </w:p>
        </w:tc>
        <w:tc>
          <w:tcPr>
            <w:tcW w:w="1173" w:type="dxa"/>
            <w:tcBorders>
              <w:top w:val="single" w:sz="4" w:space="0" w:color="auto"/>
              <w:left w:val="nil"/>
              <w:bottom w:val="single" w:sz="4" w:space="0" w:color="auto"/>
              <w:right w:val="single" w:sz="4" w:space="0" w:color="auto"/>
            </w:tcBorders>
            <w:shd w:val="clear" w:color="auto" w:fill="auto"/>
            <w:noWrap/>
            <w:vAlign w:val="bottom"/>
            <w:hideMark/>
          </w:tcPr>
          <w:p w:rsidR="00E452E2" w:rsidRPr="00512E99" w:rsidRDefault="00E452E2" w:rsidP="00E452E2">
            <w:pPr>
              <w:spacing w:after="0" w:line="240" w:lineRule="auto"/>
              <w:jc w:val="center"/>
              <w:rPr>
                <w:rFonts w:ascii="Arial" w:eastAsia="Times New Roman" w:hAnsi="Arial" w:cs="Arial"/>
                <w:sz w:val="20"/>
                <w:lang w:eastAsia="en-IN"/>
              </w:rPr>
            </w:pPr>
            <w:r w:rsidRPr="00512E99">
              <w:rPr>
                <w:rFonts w:ascii="Arial" w:eastAsia="Times New Roman" w:hAnsi="Arial" w:cs="Arial"/>
                <w:sz w:val="20"/>
                <w:lang w:eastAsia="en-IN"/>
              </w:rPr>
              <w:t>Production</w:t>
            </w:r>
          </w:p>
        </w:tc>
        <w:tc>
          <w:tcPr>
            <w:tcW w:w="1662" w:type="dxa"/>
            <w:tcBorders>
              <w:top w:val="single" w:sz="4" w:space="0" w:color="auto"/>
              <w:left w:val="nil"/>
              <w:bottom w:val="single" w:sz="4" w:space="0" w:color="auto"/>
              <w:right w:val="single" w:sz="4" w:space="0" w:color="auto"/>
            </w:tcBorders>
            <w:shd w:val="clear" w:color="auto" w:fill="auto"/>
            <w:noWrap/>
            <w:vAlign w:val="bottom"/>
            <w:hideMark/>
          </w:tcPr>
          <w:p w:rsidR="00E452E2" w:rsidRPr="00512E99" w:rsidRDefault="00E452E2" w:rsidP="00E452E2">
            <w:pPr>
              <w:spacing w:after="0" w:line="240" w:lineRule="auto"/>
              <w:jc w:val="center"/>
              <w:rPr>
                <w:rFonts w:ascii="Arial" w:eastAsia="Times New Roman" w:hAnsi="Arial" w:cs="Arial"/>
                <w:sz w:val="20"/>
                <w:lang w:eastAsia="en-IN"/>
              </w:rPr>
            </w:pPr>
            <w:r w:rsidRPr="00512E99">
              <w:rPr>
                <w:rFonts w:ascii="Arial" w:eastAsia="Times New Roman" w:hAnsi="Arial" w:cs="Arial"/>
                <w:sz w:val="20"/>
                <w:lang w:eastAsia="en-IN"/>
              </w:rPr>
              <w:t>Productivity</w:t>
            </w:r>
          </w:p>
        </w:tc>
      </w:tr>
      <w:tr w:rsidR="00E452E2" w:rsidRPr="00512E99" w:rsidTr="00E452E2">
        <w:trPr>
          <w:trHeight w:val="255"/>
        </w:trPr>
        <w:tc>
          <w:tcPr>
            <w:tcW w:w="2231" w:type="dxa"/>
            <w:tcBorders>
              <w:top w:val="nil"/>
              <w:left w:val="single" w:sz="4" w:space="0" w:color="auto"/>
              <w:bottom w:val="single" w:sz="4" w:space="0" w:color="auto"/>
              <w:right w:val="single" w:sz="4" w:space="0" w:color="auto"/>
            </w:tcBorders>
            <w:shd w:val="clear" w:color="auto" w:fill="auto"/>
            <w:noWrap/>
            <w:vAlign w:val="bottom"/>
            <w:hideMark/>
          </w:tcPr>
          <w:p w:rsidR="00E452E2" w:rsidRPr="00512E99" w:rsidRDefault="00E452E2" w:rsidP="00512E99">
            <w:pPr>
              <w:spacing w:after="0" w:line="240" w:lineRule="auto"/>
              <w:rPr>
                <w:rFonts w:ascii="Arial" w:eastAsia="Times New Roman" w:hAnsi="Arial" w:cs="Arial"/>
                <w:sz w:val="20"/>
                <w:lang w:eastAsia="en-IN"/>
              </w:rPr>
            </w:pPr>
            <w:r w:rsidRPr="00512E99">
              <w:rPr>
                <w:rFonts w:ascii="Arial" w:eastAsia="Times New Roman" w:hAnsi="Arial" w:cs="Arial"/>
                <w:sz w:val="20"/>
                <w:lang w:eastAsia="en-IN"/>
              </w:rPr>
              <w:t>1950-51 to 1959-60</w:t>
            </w:r>
          </w:p>
        </w:tc>
        <w:tc>
          <w:tcPr>
            <w:tcW w:w="1171" w:type="dxa"/>
            <w:tcBorders>
              <w:top w:val="nil"/>
              <w:left w:val="nil"/>
              <w:bottom w:val="single" w:sz="4" w:space="0" w:color="auto"/>
              <w:right w:val="single" w:sz="4" w:space="0" w:color="auto"/>
            </w:tcBorders>
            <w:shd w:val="clear" w:color="auto" w:fill="auto"/>
            <w:noWrap/>
            <w:vAlign w:val="bottom"/>
            <w:hideMark/>
          </w:tcPr>
          <w:p w:rsidR="00E452E2" w:rsidRPr="00512E99" w:rsidRDefault="00E452E2" w:rsidP="00512E99">
            <w:pPr>
              <w:spacing w:after="0" w:line="240" w:lineRule="auto"/>
              <w:jc w:val="right"/>
              <w:rPr>
                <w:rFonts w:ascii="Arial" w:eastAsia="Times New Roman" w:hAnsi="Arial" w:cs="Arial"/>
                <w:sz w:val="20"/>
                <w:lang w:eastAsia="en-IN"/>
              </w:rPr>
            </w:pPr>
            <w:r w:rsidRPr="00512E99">
              <w:rPr>
                <w:rFonts w:ascii="Arial" w:eastAsia="Times New Roman" w:hAnsi="Arial" w:cs="Arial"/>
                <w:sz w:val="20"/>
                <w:lang w:eastAsia="en-IN"/>
              </w:rPr>
              <w:t>2.63</w:t>
            </w:r>
          </w:p>
        </w:tc>
        <w:tc>
          <w:tcPr>
            <w:tcW w:w="1173" w:type="dxa"/>
            <w:tcBorders>
              <w:top w:val="nil"/>
              <w:left w:val="nil"/>
              <w:bottom w:val="single" w:sz="4" w:space="0" w:color="auto"/>
              <w:right w:val="single" w:sz="4" w:space="0" w:color="auto"/>
            </w:tcBorders>
            <w:shd w:val="clear" w:color="auto" w:fill="auto"/>
            <w:noWrap/>
            <w:vAlign w:val="bottom"/>
            <w:hideMark/>
          </w:tcPr>
          <w:p w:rsidR="00E452E2" w:rsidRPr="00512E99" w:rsidRDefault="00E452E2" w:rsidP="00512E99">
            <w:pPr>
              <w:spacing w:after="0" w:line="240" w:lineRule="auto"/>
              <w:jc w:val="right"/>
              <w:rPr>
                <w:rFonts w:ascii="Arial" w:eastAsia="Times New Roman" w:hAnsi="Arial" w:cs="Arial"/>
                <w:sz w:val="20"/>
                <w:lang w:eastAsia="en-IN"/>
              </w:rPr>
            </w:pPr>
            <w:r w:rsidRPr="00512E99">
              <w:rPr>
                <w:rFonts w:ascii="Arial" w:eastAsia="Times New Roman" w:hAnsi="Arial" w:cs="Arial"/>
                <w:sz w:val="20"/>
                <w:lang w:eastAsia="en-IN"/>
              </w:rPr>
              <w:t>10.52</w:t>
            </w:r>
          </w:p>
        </w:tc>
        <w:tc>
          <w:tcPr>
            <w:tcW w:w="1662" w:type="dxa"/>
            <w:tcBorders>
              <w:top w:val="nil"/>
              <w:left w:val="nil"/>
              <w:bottom w:val="single" w:sz="4" w:space="0" w:color="auto"/>
              <w:right w:val="single" w:sz="4" w:space="0" w:color="auto"/>
            </w:tcBorders>
            <w:shd w:val="clear" w:color="auto" w:fill="auto"/>
            <w:noWrap/>
            <w:vAlign w:val="bottom"/>
            <w:hideMark/>
          </w:tcPr>
          <w:p w:rsidR="00E452E2" w:rsidRPr="00512E99" w:rsidRDefault="00E452E2" w:rsidP="00512E99">
            <w:pPr>
              <w:spacing w:after="0" w:line="240" w:lineRule="auto"/>
              <w:jc w:val="right"/>
              <w:rPr>
                <w:rFonts w:ascii="Arial" w:eastAsia="Times New Roman" w:hAnsi="Arial" w:cs="Arial"/>
                <w:sz w:val="20"/>
                <w:lang w:eastAsia="en-IN"/>
              </w:rPr>
            </w:pPr>
            <w:r w:rsidRPr="00512E99">
              <w:rPr>
                <w:rFonts w:ascii="Arial" w:eastAsia="Times New Roman" w:hAnsi="Arial" w:cs="Arial"/>
                <w:sz w:val="20"/>
                <w:lang w:eastAsia="en-IN"/>
              </w:rPr>
              <w:t>9.02</w:t>
            </w:r>
          </w:p>
        </w:tc>
      </w:tr>
      <w:tr w:rsidR="00E452E2" w:rsidRPr="00512E99" w:rsidTr="00E452E2">
        <w:trPr>
          <w:trHeight w:val="255"/>
        </w:trPr>
        <w:tc>
          <w:tcPr>
            <w:tcW w:w="2231" w:type="dxa"/>
            <w:tcBorders>
              <w:top w:val="nil"/>
              <w:left w:val="single" w:sz="4" w:space="0" w:color="auto"/>
              <w:bottom w:val="single" w:sz="4" w:space="0" w:color="auto"/>
              <w:right w:val="single" w:sz="4" w:space="0" w:color="auto"/>
            </w:tcBorders>
            <w:shd w:val="clear" w:color="auto" w:fill="auto"/>
            <w:noWrap/>
            <w:vAlign w:val="bottom"/>
            <w:hideMark/>
          </w:tcPr>
          <w:p w:rsidR="00E452E2" w:rsidRPr="00512E99" w:rsidRDefault="00E452E2" w:rsidP="00512E99">
            <w:pPr>
              <w:spacing w:after="0" w:line="240" w:lineRule="auto"/>
              <w:rPr>
                <w:rFonts w:ascii="Arial" w:eastAsia="Times New Roman" w:hAnsi="Arial" w:cs="Arial"/>
                <w:sz w:val="20"/>
                <w:lang w:eastAsia="en-IN"/>
              </w:rPr>
            </w:pPr>
            <w:r w:rsidRPr="00512E99">
              <w:rPr>
                <w:rFonts w:ascii="Arial" w:eastAsia="Times New Roman" w:hAnsi="Arial" w:cs="Arial"/>
                <w:sz w:val="20"/>
                <w:lang w:eastAsia="en-IN"/>
              </w:rPr>
              <w:t>1960-61 to 1969-70</w:t>
            </w:r>
          </w:p>
        </w:tc>
        <w:tc>
          <w:tcPr>
            <w:tcW w:w="1171" w:type="dxa"/>
            <w:tcBorders>
              <w:top w:val="nil"/>
              <w:left w:val="nil"/>
              <w:bottom w:val="single" w:sz="4" w:space="0" w:color="auto"/>
              <w:right w:val="single" w:sz="4" w:space="0" w:color="auto"/>
            </w:tcBorders>
            <w:shd w:val="clear" w:color="auto" w:fill="auto"/>
            <w:noWrap/>
            <w:vAlign w:val="bottom"/>
            <w:hideMark/>
          </w:tcPr>
          <w:p w:rsidR="00E452E2" w:rsidRPr="00512E99" w:rsidRDefault="00E452E2" w:rsidP="00512E99">
            <w:pPr>
              <w:spacing w:after="0" w:line="240" w:lineRule="auto"/>
              <w:jc w:val="right"/>
              <w:rPr>
                <w:rFonts w:ascii="Arial" w:eastAsia="Times New Roman" w:hAnsi="Arial" w:cs="Arial"/>
                <w:sz w:val="20"/>
                <w:lang w:eastAsia="en-IN"/>
              </w:rPr>
            </w:pPr>
            <w:r w:rsidRPr="00512E99">
              <w:rPr>
                <w:rFonts w:ascii="Arial" w:eastAsia="Times New Roman" w:hAnsi="Arial" w:cs="Arial"/>
                <w:sz w:val="20"/>
                <w:lang w:eastAsia="en-IN"/>
              </w:rPr>
              <w:t>5.16</w:t>
            </w:r>
          </w:p>
        </w:tc>
        <w:tc>
          <w:tcPr>
            <w:tcW w:w="1173" w:type="dxa"/>
            <w:tcBorders>
              <w:top w:val="nil"/>
              <w:left w:val="nil"/>
              <w:bottom w:val="single" w:sz="4" w:space="0" w:color="auto"/>
              <w:right w:val="single" w:sz="4" w:space="0" w:color="auto"/>
            </w:tcBorders>
            <w:shd w:val="clear" w:color="auto" w:fill="auto"/>
            <w:noWrap/>
            <w:vAlign w:val="bottom"/>
            <w:hideMark/>
          </w:tcPr>
          <w:p w:rsidR="00E452E2" w:rsidRPr="00512E99" w:rsidRDefault="00E452E2" w:rsidP="00512E99">
            <w:pPr>
              <w:spacing w:after="0" w:line="240" w:lineRule="auto"/>
              <w:jc w:val="right"/>
              <w:rPr>
                <w:rFonts w:ascii="Arial" w:eastAsia="Times New Roman" w:hAnsi="Arial" w:cs="Arial"/>
                <w:sz w:val="20"/>
                <w:lang w:eastAsia="en-IN"/>
              </w:rPr>
            </w:pPr>
            <w:r w:rsidRPr="00512E99">
              <w:rPr>
                <w:rFonts w:ascii="Arial" w:eastAsia="Times New Roman" w:hAnsi="Arial" w:cs="Arial"/>
                <w:sz w:val="20"/>
                <w:lang w:eastAsia="en-IN"/>
              </w:rPr>
              <w:t>21.04</w:t>
            </w:r>
          </w:p>
        </w:tc>
        <w:tc>
          <w:tcPr>
            <w:tcW w:w="1662" w:type="dxa"/>
            <w:tcBorders>
              <w:top w:val="nil"/>
              <w:left w:val="nil"/>
              <w:bottom w:val="single" w:sz="4" w:space="0" w:color="auto"/>
              <w:right w:val="single" w:sz="4" w:space="0" w:color="auto"/>
            </w:tcBorders>
            <w:shd w:val="clear" w:color="auto" w:fill="auto"/>
            <w:noWrap/>
            <w:vAlign w:val="bottom"/>
            <w:hideMark/>
          </w:tcPr>
          <w:p w:rsidR="00E452E2" w:rsidRPr="00512E99" w:rsidRDefault="00E452E2" w:rsidP="00512E99">
            <w:pPr>
              <w:spacing w:after="0" w:line="240" w:lineRule="auto"/>
              <w:jc w:val="right"/>
              <w:rPr>
                <w:rFonts w:ascii="Arial" w:eastAsia="Times New Roman" w:hAnsi="Arial" w:cs="Arial"/>
                <w:sz w:val="20"/>
                <w:lang w:eastAsia="en-IN"/>
              </w:rPr>
            </w:pPr>
            <w:r w:rsidRPr="00512E99">
              <w:rPr>
                <w:rFonts w:ascii="Arial" w:eastAsia="Times New Roman" w:hAnsi="Arial" w:cs="Arial"/>
                <w:sz w:val="20"/>
                <w:lang w:eastAsia="en-IN"/>
              </w:rPr>
              <w:t>16.99</w:t>
            </w:r>
          </w:p>
        </w:tc>
      </w:tr>
      <w:tr w:rsidR="00E452E2" w:rsidRPr="00512E99" w:rsidTr="00E452E2">
        <w:trPr>
          <w:trHeight w:val="255"/>
        </w:trPr>
        <w:tc>
          <w:tcPr>
            <w:tcW w:w="2231" w:type="dxa"/>
            <w:tcBorders>
              <w:top w:val="nil"/>
              <w:left w:val="single" w:sz="4" w:space="0" w:color="auto"/>
              <w:bottom w:val="single" w:sz="4" w:space="0" w:color="auto"/>
              <w:right w:val="single" w:sz="4" w:space="0" w:color="auto"/>
            </w:tcBorders>
            <w:shd w:val="clear" w:color="auto" w:fill="auto"/>
            <w:noWrap/>
            <w:vAlign w:val="bottom"/>
            <w:hideMark/>
          </w:tcPr>
          <w:p w:rsidR="00E452E2" w:rsidRPr="00512E99" w:rsidRDefault="00E452E2" w:rsidP="00512E99">
            <w:pPr>
              <w:spacing w:after="0" w:line="240" w:lineRule="auto"/>
              <w:rPr>
                <w:rFonts w:ascii="Arial" w:eastAsia="Times New Roman" w:hAnsi="Arial" w:cs="Arial"/>
                <w:sz w:val="20"/>
                <w:lang w:eastAsia="en-IN"/>
              </w:rPr>
            </w:pPr>
            <w:r w:rsidRPr="00512E99">
              <w:rPr>
                <w:rFonts w:ascii="Arial" w:eastAsia="Times New Roman" w:hAnsi="Arial" w:cs="Arial"/>
                <w:sz w:val="20"/>
                <w:lang w:eastAsia="en-IN"/>
              </w:rPr>
              <w:t>1970-71 to 1979-80</w:t>
            </w:r>
          </w:p>
        </w:tc>
        <w:tc>
          <w:tcPr>
            <w:tcW w:w="1171" w:type="dxa"/>
            <w:tcBorders>
              <w:top w:val="nil"/>
              <w:left w:val="nil"/>
              <w:bottom w:val="single" w:sz="4" w:space="0" w:color="auto"/>
              <w:right w:val="single" w:sz="4" w:space="0" w:color="auto"/>
            </w:tcBorders>
            <w:shd w:val="clear" w:color="auto" w:fill="auto"/>
            <w:noWrap/>
            <w:vAlign w:val="bottom"/>
            <w:hideMark/>
          </w:tcPr>
          <w:p w:rsidR="00E452E2" w:rsidRPr="00512E99" w:rsidRDefault="00E452E2" w:rsidP="00512E99">
            <w:pPr>
              <w:spacing w:after="0" w:line="240" w:lineRule="auto"/>
              <w:jc w:val="right"/>
              <w:rPr>
                <w:rFonts w:ascii="Arial" w:eastAsia="Times New Roman" w:hAnsi="Arial" w:cs="Arial"/>
                <w:sz w:val="20"/>
                <w:lang w:eastAsia="en-IN"/>
              </w:rPr>
            </w:pPr>
            <w:r w:rsidRPr="00512E99">
              <w:rPr>
                <w:rFonts w:ascii="Arial" w:eastAsia="Times New Roman" w:hAnsi="Arial" w:cs="Arial"/>
                <w:sz w:val="20"/>
                <w:lang w:eastAsia="en-IN"/>
              </w:rPr>
              <w:t>9.11</w:t>
            </w:r>
          </w:p>
        </w:tc>
        <w:tc>
          <w:tcPr>
            <w:tcW w:w="1173" w:type="dxa"/>
            <w:tcBorders>
              <w:top w:val="nil"/>
              <w:left w:val="nil"/>
              <w:bottom w:val="single" w:sz="4" w:space="0" w:color="auto"/>
              <w:right w:val="single" w:sz="4" w:space="0" w:color="auto"/>
            </w:tcBorders>
            <w:shd w:val="clear" w:color="auto" w:fill="auto"/>
            <w:noWrap/>
            <w:vAlign w:val="bottom"/>
            <w:hideMark/>
          </w:tcPr>
          <w:p w:rsidR="00E452E2" w:rsidRPr="00512E99" w:rsidRDefault="00E452E2" w:rsidP="00512E99">
            <w:pPr>
              <w:spacing w:after="0" w:line="240" w:lineRule="auto"/>
              <w:jc w:val="right"/>
              <w:rPr>
                <w:rFonts w:ascii="Arial" w:eastAsia="Times New Roman" w:hAnsi="Arial" w:cs="Arial"/>
                <w:sz w:val="20"/>
                <w:lang w:eastAsia="en-IN"/>
              </w:rPr>
            </w:pPr>
            <w:r w:rsidRPr="00512E99">
              <w:rPr>
                <w:rFonts w:ascii="Arial" w:eastAsia="Times New Roman" w:hAnsi="Arial" w:cs="Arial"/>
                <w:sz w:val="20"/>
                <w:lang w:eastAsia="en-IN"/>
              </w:rPr>
              <w:t>14.53</w:t>
            </w:r>
          </w:p>
        </w:tc>
        <w:tc>
          <w:tcPr>
            <w:tcW w:w="1662" w:type="dxa"/>
            <w:tcBorders>
              <w:top w:val="nil"/>
              <w:left w:val="nil"/>
              <w:bottom w:val="single" w:sz="4" w:space="0" w:color="auto"/>
              <w:right w:val="single" w:sz="4" w:space="0" w:color="auto"/>
            </w:tcBorders>
            <w:shd w:val="clear" w:color="auto" w:fill="auto"/>
            <w:noWrap/>
            <w:vAlign w:val="bottom"/>
            <w:hideMark/>
          </w:tcPr>
          <w:p w:rsidR="00E452E2" w:rsidRPr="00512E99" w:rsidRDefault="00E452E2" w:rsidP="00512E99">
            <w:pPr>
              <w:spacing w:after="0" w:line="240" w:lineRule="auto"/>
              <w:jc w:val="right"/>
              <w:rPr>
                <w:rFonts w:ascii="Arial" w:eastAsia="Times New Roman" w:hAnsi="Arial" w:cs="Arial"/>
                <w:sz w:val="20"/>
                <w:lang w:eastAsia="en-IN"/>
              </w:rPr>
            </w:pPr>
            <w:r w:rsidRPr="00512E99">
              <w:rPr>
                <w:rFonts w:ascii="Arial" w:eastAsia="Times New Roman" w:hAnsi="Arial" w:cs="Arial"/>
                <w:sz w:val="20"/>
                <w:lang w:eastAsia="en-IN"/>
              </w:rPr>
              <w:t>10.13</w:t>
            </w:r>
          </w:p>
        </w:tc>
      </w:tr>
      <w:tr w:rsidR="00E452E2" w:rsidRPr="00512E99" w:rsidTr="00E452E2">
        <w:trPr>
          <w:trHeight w:val="255"/>
        </w:trPr>
        <w:tc>
          <w:tcPr>
            <w:tcW w:w="2231" w:type="dxa"/>
            <w:tcBorders>
              <w:top w:val="nil"/>
              <w:left w:val="single" w:sz="4" w:space="0" w:color="auto"/>
              <w:bottom w:val="single" w:sz="4" w:space="0" w:color="auto"/>
              <w:right w:val="single" w:sz="4" w:space="0" w:color="auto"/>
            </w:tcBorders>
            <w:shd w:val="clear" w:color="auto" w:fill="auto"/>
            <w:noWrap/>
            <w:vAlign w:val="bottom"/>
            <w:hideMark/>
          </w:tcPr>
          <w:p w:rsidR="00E452E2" w:rsidRPr="00512E99" w:rsidRDefault="00E452E2" w:rsidP="00512E99">
            <w:pPr>
              <w:spacing w:after="0" w:line="240" w:lineRule="auto"/>
              <w:rPr>
                <w:rFonts w:ascii="Arial" w:eastAsia="Times New Roman" w:hAnsi="Arial" w:cs="Arial"/>
                <w:sz w:val="20"/>
                <w:lang w:eastAsia="en-IN"/>
              </w:rPr>
            </w:pPr>
            <w:r w:rsidRPr="00512E99">
              <w:rPr>
                <w:rFonts w:ascii="Arial" w:eastAsia="Times New Roman" w:hAnsi="Arial" w:cs="Arial"/>
                <w:sz w:val="20"/>
                <w:lang w:eastAsia="en-IN"/>
              </w:rPr>
              <w:t>1980-81 to 1989-90</w:t>
            </w:r>
          </w:p>
        </w:tc>
        <w:tc>
          <w:tcPr>
            <w:tcW w:w="1171" w:type="dxa"/>
            <w:tcBorders>
              <w:top w:val="nil"/>
              <w:left w:val="nil"/>
              <w:bottom w:val="single" w:sz="4" w:space="0" w:color="auto"/>
              <w:right w:val="single" w:sz="4" w:space="0" w:color="auto"/>
            </w:tcBorders>
            <w:shd w:val="clear" w:color="auto" w:fill="auto"/>
            <w:noWrap/>
            <w:vAlign w:val="bottom"/>
            <w:hideMark/>
          </w:tcPr>
          <w:p w:rsidR="00E452E2" w:rsidRPr="00512E99" w:rsidRDefault="00E452E2" w:rsidP="00512E99">
            <w:pPr>
              <w:spacing w:after="0" w:line="240" w:lineRule="auto"/>
              <w:jc w:val="right"/>
              <w:rPr>
                <w:rFonts w:ascii="Arial" w:eastAsia="Times New Roman" w:hAnsi="Arial" w:cs="Arial"/>
                <w:sz w:val="20"/>
                <w:lang w:eastAsia="en-IN"/>
              </w:rPr>
            </w:pPr>
            <w:r w:rsidRPr="00512E99">
              <w:rPr>
                <w:rFonts w:ascii="Arial" w:eastAsia="Times New Roman" w:hAnsi="Arial" w:cs="Arial"/>
                <w:sz w:val="20"/>
                <w:lang w:eastAsia="en-IN"/>
              </w:rPr>
              <w:t>3.77</w:t>
            </w:r>
          </w:p>
        </w:tc>
        <w:tc>
          <w:tcPr>
            <w:tcW w:w="1173" w:type="dxa"/>
            <w:tcBorders>
              <w:top w:val="nil"/>
              <w:left w:val="nil"/>
              <w:bottom w:val="single" w:sz="4" w:space="0" w:color="auto"/>
              <w:right w:val="single" w:sz="4" w:space="0" w:color="auto"/>
            </w:tcBorders>
            <w:shd w:val="clear" w:color="auto" w:fill="auto"/>
            <w:noWrap/>
            <w:vAlign w:val="bottom"/>
            <w:hideMark/>
          </w:tcPr>
          <w:p w:rsidR="00E452E2" w:rsidRPr="00512E99" w:rsidRDefault="00E452E2" w:rsidP="00512E99">
            <w:pPr>
              <w:spacing w:after="0" w:line="240" w:lineRule="auto"/>
              <w:jc w:val="right"/>
              <w:rPr>
                <w:rFonts w:ascii="Arial" w:eastAsia="Times New Roman" w:hAnsi="Arial" w:cs="Arial"/>
                <w:sz w:val="20"/>
                <w:lang w:eastAsia="en-IN"/>
              </w:rPr>
            </w:pPr>
            <w:r w:rsidRPr="00512E99">
              <w:rPr>
                <w:rFonts w:ascii="Arial" w:eastAsia="Times New Roman" w:hAnsi="Arial" w:cs="Arial"/>
                <w:sz w:val="20"/>
                <w:lang w:eastAsia="en-IN"/>
              </w:rPr>
              <w:t>11.50</w:t>
            </w:r>
          </w:p>
        </w:tc>
        <w:tc>
          <w:tcPr>
            <w:tcW w:w="1662" w:type="dxa"/>
            <w:tcBorders>
              <w:top w:val="nil"/>
              <w:left w:val="nil"/>
              <w:bottom w:val="single" w:sz="4" w:space="0" w:color="auto"/>
              <w:right w:val="single" w:sz="4" w:space="0" w:color="auto"/>
            </w:tcBorders>
            <w:shd w:val="clear" w:color="auto" w:fill="auto"/>
            <w:noWrap/>
            <w:vAlign w:val="bottom"/>
            <w:hideMark/>
          </w:tcPr>
          <w:p w:rsidR="00E452E2" w:rsidRPr="00512E99" w:rsidRDefault="00E452E2" w:rsidP="00512E99">
            <w:pPr>
              <w:spacing w:after="0" w:line="240" w:lineRule="auto"/>
              <w:jc w:val="right"/>
              <w:rPr>
                <w:rFonts w:ascii="Arial" w:eastAsia="Times New Roman" w:hAnsi="Arial" w:cs="Arial"/>
                <w:sz w:val="20"/>
                <w:lang w:eastAsia="en-IN"/>
              </w:rPr>
            </w:pPr>
            <w:r w:rsidRPr="00512E99">
              <w:rPr>
                <w:rFonts w:ascii="Arial" w:eastAsia="Times New Roman" w:hAnsi="Arial" w:cs="Arial"/>
                <w:sz w:val="20"/>
                <w:lang w:eastAsia="en-IN"/>
              </w:rPr>
              <w:t>10.48</w:t>
            </w:r>
          </w:p>
        </w:tc>
      </w:tr>
      <w:tr w:rsidR="00E452E2" w:rsidRPr="00512E99" w:rsidTr="00E452E2">
        <w:trPr>
          <w:trHeight w:val="255"/>
        </w:trPr>
        <w:tc>
          <w:tcPr>
            <w:tcW w:w="2231" w:type="dxa"/>
            <w:tcBorders>
              <w:top w:val="nil"/>
              <w:left w:val="single" w:sz="4" w:space="0" w:color="auto"/>
              <w:bottom w:val="single" w:sz="4" w:space="0" w:color="auto"/>
              <w:right w:val="single" w:sz="4" w:space="0" w:color="auto"/>
            </w:tcBorders>
            <w:shd w:val="clear" w:color="auto" w:fill="auto"/>
            <w:noWrap/>
            <w:vAlign w:val="bottom"/>
            <w:hideMark/>
          </w:tcPr>
          <w:p w:rsidR="00E452E2" w:rsidRPr="00512E99" w:rsidRDefault="00E452E2" w:rsidP="00512E99">
            <w:pPr>
              <w:spacing w:after="0" w:line="240" w:lineRule="auto"/>
              <w:rPr>
                <w:rFonts w:ascii="Arial" w:eastAsia="Times New Roman" w:hAnsi="Arial" w:cs="Arial"/>
                <w:sz w:val="20"/>
                <w:lang w:eastAsia="en-IN"/>
              </w:rPr>
            </w:pPr>
            <w:r w:rsidRPr="00512E99">
              <w:rPr>
                <w:rFonts w:ascii="Arial" w:eastAsia="Times New Roman" w:hAnsi="Arial" w:cs="Arial"/>
                <w:sz w:val="20"/>
                <w:lang w:eastAsia="en-IN"/>
              </w:rPr>
              <w:t>1990-91 to 1999-2000</w:t>
            </w:r>
          </w:p>
        </w:tc>
        <w:tc>
          <w:tcPr>
            <w:tcW w:w="1171" w:type="dxa"/>
            <w:tcBorders>
              <w:top w:val="nil"/>
              <w:left w:val="nil"/>
              <w:bottom w:val="single" w:sz="4" w:space="0" w:color="auto"/>
              <w:right w:val="single" w:sz="4" w:space="0" w:color="auto"/>
            </w:tcBorders>
            <w:shd w:val="clear" w:color="auto" w:fill="auto"/>
            <w:noWrap/>
            <w:vAlign w:val="bottom"/>
            <w:hideMark/>
          </w:tcPr>
          <w:p w:rsidR="00E452E2" w:rsidRPr="00512E99" w:rsidRDefault="00E452E2" w:rsidP="00512E99">
            <w:pPr>
              <w:spacing w:after="0" w:line="240" w:lineRule="auto"/>
              <w:jc w:val="right"/>
              <w:rPr>
                <w:rFonts w:ascii="Arial" w:eastAsia="Times New Roman" w:hAnsi="Arial" w:cs="Arial"/>
                <w:sz w:val="20"/>
                <w:lang w:eastAsia="en-IN"/>
              </w:rPr>
            </w:pPr>
            <w:r w:rsidRPr="00512E99">
              <w:rPr>
                <w:rFonts w:ascii="Arial" w:eastAsia="Times New Roman" w:hAnsi="Arial" w:cs="Arial"/>
                <w:sz w:val="20"/>
                <w:lang w:eastAsia="en-IN"/>
              </w:rPr>
              <w:t>4.81</w:t>
            </w:r>
          </w:p>
        </w:tc>
        <w:tc>
          <w:tcPr>
            <w:tcW w:w="1173" w:type="dxa"/>
            <w:tcBorders>
              <w:top w:val="nil"/>
              <w:left w:val="nil"/>
              <w:bottom w:val="single" w:sz="4" w:space="0" w:color="auto"/>
              <w:right w:val="single" w:sz="4" w:space="0" w:color="auto"/>
            </w:tcBorders>
            <w:shd w:val="clear" w:color="auto" w:fill="auto"/>
            <w:noWrap/>
            <w:vAlign w:val="bottom"/>
            <w:hideMark/>
          </w:tcPr>
          <w:p w:rsidR="00E452E2" w:rsidRPr="00512E99" w:rsidRDefault="00E452E2" w:rsidP="00512E99">
            <w:pPr>
              <w:spacing w:after="0" w:line="240" w:lineRule="auto"/>
              <w:jc w:val="right"/>
              <w:rPr>
                <w:rFonts w:ascii="Arial" w:eastAsia="Times New Roman" w:hAnsi="Arial" w:cs="Arial"/>
                <w:sz w:val="20"/>
                <w:lang w:eastAsia="en-IN"/>
              </w:rPr>
            </w:pPr>
            <w:r w:rsidRPr="00512E99">
              <w:rPr>
                <w:rFonts w:ascii="Arial" w:eastAsia="Times New Roman" w:hAnsi="Arial" w:cs="Arial"/>
                <w:sz w:val="20"/>
                <w:lang w:eastAsia="en-IN"/>
              </w:rPr>
              <w:t>16.97</w:t>
            </w:r>
          </w:p>
        </w:tc>
        <w:tc>
          <w:tcPr>
            <w:tcW w:w="1662" w:type="dxa"/>
            <w:tcBorders>
              <w:top w:val="nil"/>
              <w:left w:val="nil"/>
              <w:bottom w:val="single" w:sz="4" w:space="0" w:color="auto"/>
              <w:right w:val="single" w:sz="4" w:space="0" w:color="auto"/>
            </w:tcBorders>
            <w:shd w:val="clear" w:color="auto" w:fill="auto"/>
            <w:noWrap/>
            <w:vAlign w:val="bottom"/>
            <w:hideMark/>
          </w:tcPr>
          <w:p w:rsidR="00E452E2" w:rsidRPr="00512E99" w:rsidRDefault="00E452E2" w:rsidP="00512E99">
            <w:pPr>
              <w:spacing w:after="0" w:line="240" w:lineRule="auto"/>
              <w:jc w:val="right"/>
              <w:rPr>
                <w:rFonts w:ascii="Arial" w:eastAsia="Times New Roman" w:hAnsi="Arial" w:cs="Arial"/>
                <w:sz w:val="20"/>
                <w:lang w:eastAsia="en-IN"/>
              </w:rPr>
            </w:pPr>
            <w:r w:rsidRPr="00512E99">
              <w:rPr>
                <w:rFonts w:ascii="Arial" w:eastAsia="Times New Roman" w:hAnsi="Arial" w:cs="Arial"/>
                <w:sz w:val="20"/>
                <w:lang w:eastAsia="en-IN"/>
              </w:rPr>
              <w:t>13.76</w:t>
            </w:r>
          </w:p>
        </w:tc>
      </w:tr>
      <w:tr w:rsidR="00E452E2" w:rsidRPr="00512E99" w:rsidTr="00E452E2">
        <w:trPr>
          <w:trHeight w:val="255"/>
        </w:trPr>
        <w:tc>
          <w:tcPr>
            <w:tcW w:w="2231" w:type="dxa"/>
            <w:tcBorders>
              <w:top w:val="nil"/>
              <w:left w:val="single" w:sz="4" w:space="0" w:color="auto"/>
              <w:bottom w:val="single" w:sz="4" w:space="0" w:color="auto"/>
              <w:right w:val="single" w:sz="4" w:space="0" w:color="auto"/>
            </w:tcBorders>
            <w:shd w:val="clear" w:color="auto" w:fill="auto"/>
            <w:noWrap/>
            <w:vAlign w:val="bottom"/>
            <w:hideMark/>
          </w:tcPr>
          <w:p w:rsidR="00E452E2" w:rsidRPr="00512E99" w:rsidRDefault="00E452E2" w:rsidP="00512E99">
            <w:pPr>
              <w:spacing w:after="0" w:line="240" w:lineRule="auto"/>
              <w:rPr>
                <w:rFonts w:ascii="Arial" w:eastAsia="Times New Roman" w:hAnsi="Arial" w:cs="Arial"/>
                <w:sz w:val="20"/>
                <w:lang w:eastAsia="en-IN"/>
              </w:rPr>
            </w:pPr>
            <w:r w:rsidRPr="00512E99">
              <w:rPr>
                <w:rFonts w:ascii="Arial" w:eastAsia="Times New Roman" w:hAnsi="Arial" w:cs="Arial"/>
                <w:sz w:val="20"/>
                <w:lang w:eastAsia="en-IN"/>
              </w:rPr>
              <w:t>2000-01 to 2009-10</w:t>
            </w:r>
          </w:p>
        </w:tc>
        <w:tc>
          <w:tcPr>
            <w:tcW w:w="1171" w:type="dxa"/>
            <w:tcBorders>
              <w:top w:val="nil"/>
              <w:left w:val="nil"/>
              <w:bottom w:val="single" w:sz="4" w:space="0" w:color="auto"/>
              <w:right w:val="single" w:sz="4" w:space="0" w:color="auto"/>
            </w:tcBorders>
            <w:shd w:val="clear" w:color="auto" w:fill="auto"/>
            <w:noWrap/>
            <w:vAlign w:val="bottom"/>
            <w:hideMark/>
          </w:tcPr>
          <w:p w:rsidR="00E452E2" w:rsidRPr="00512E99" w:rsidRDefault="00E452E2" w:rsidP="00512E99">
            <w:pPr>
              <w:spacing w:after="0" w:line="240" w:lineRule="auto"/>
              <w:jc w:val="right"/>
              <w:rPr>
                <w:rFonts w:ascii="Arial" w:eastAsia="Times New Roman" w:hAnsi="Arial" w:cs="Arial"/>
                <w:sz w:val="20"/>
                <w:lang w:eastAsia="en-IN"/>
              </w:rPr>
            </w:pPr>
            <w:r w:rsidRPr="00512E99">
              <w:rPr>
                <w:rFonts w:ascii="Arial" w:eastAsia="Times New Roman" w:hAnsi="Arial" w:cs="Arial"/>
                <w:sz w:val="20"/>
                <w:lang w:eastAsia="en-IN"/>
              </w:rPr>
              <w:t>7.43</w:t>
            </w:r>
          </w:p>
        </w:tc>
        <w:tc>
          <w:tcPr>
            <w:tcW w:w="1173" w:type="dxa"/>
            <w:tcBorders>
              <w:top w:val="nil"/>
              <w:left w:val="nil"/>
              <w:bottom w:val="single" w:sz="4" w:space="0" w:color="auto"/>
              <w:right w:val="single" w:sz="4" w:space="0" w:color="auto"/>
            </w:tcBorders>
            <w:shd w:val="clear" w:color="auto" w:fill="auto"/>
            <w:noWrap/>
            <w:vAlign w:val="bottom"/>
            <w:hideMark/>
          </w:tcPr>
          <w:p w:rsidR="00E452E2" w:rsidRPr="00512E99" w:rsidRDefault="00E452E2" w:rsidP="00512E99">
            <w:pPr>
              <w:spacing w:after="0" w:line="240" w:lineRule="auto"/>
              <w:jc w:val="right"/>
              <w:rPr>
                <w:rFonts w:ascii="Arial" w:eastAsia="Times New Roman" w:hAnsi="Arial" w:cs="Arial"/>
                <w:sz w:val="20"/>
                <w:lang w:eastAsia="en-IN"/>
              </w:rPr>
            </w:pPr>
            <w:r w:rsidRPr="00512E99">
              <w:rPr>
                <w:rFonts w:ascii="Arial" w:eastAsia="Times New Roman" w:hAnsi="Arial" w:cs="Arial"/>
                <w:sz w:val="20"/>
                <w:lang w:eastAsia="en-IN"/>
              </w:rPr>
              <w:t>10.87</w:t>
            </w:r>
          </w:p>
        </w:tc>
        <w:tc>
          <w:tcPr>
            <w:tcW w:w="1662" w:type="dxa"/>
            <w:tcBorders>
              <w:top w:val="nil"/>
              <w:left w:val="nil"/>
              <w:bottom w:val="single" w:sz="4" w:space="0" w:color="auto"/>
              <w:right w:val="single" w:sz="4" w:space="0" w:color="auto"/>
            </w:tcBorders>
            <w:shd w:val="clear" w:color="auto" w:fill="auto"/>
            <w:noWrap/>
            <w:vAlign w:val="bottom"/>
            <w:hideMark/>
          </w:tcPr>
          <w:p w:rsidR="00E452E2" w:rsidRPr="00512E99" w:rsidRDefault="00E452E2" w:rsidP="00512E99">
            <w:pPr>
              <w:spacing w:after="0" w:line="240" w:lineRule="auto"/>
              <w:jc w:val="right"/>
              <w:rPr>
                <w:rFonts w:ascii="Arial" w:eastAsia="Times New Roman" w:hAnsi="Arial" w:cs="Arial"/>
                <w:sz w:val="20"/>
                <w:lang w:eastAsia="en-IN"/>
              </w:rPr>
            </w:pPr>
            <w:r w:rsidRPr="00512E99">
              <w:rPr>
                <w:rFonts w:ascii="Arial" w:eastAsia="Times New Roman" w:hAnsi="Arial" w:cs="Arial"/>
                <w:sz w:val="20"/>
                <w:lang w:eastAsia="en-IN"/>
              </w:rPr>
              <w:t>10.00</w:t>
            </w:r>
          </w:p>
        </w:tc>
      </w:tr>
      <w:tr w:rsidR="00E452E2" w:rsidRPr="00512E99" w:rsidTr="00E452E2">
        <w:trPr>
          <w:trHeight w:val="255"/>
        </w:trPr>
        <w:tc>
          <w:tcPr>
            <w:tcW w:w="2231" w:type="dxa"/>
            <w:tcBorders>
              <w:top w:val="nil"/>
              <w:left w:val="single" w:sz="4" w:space="0" w:color="auto"/>
              <w:bottom w:val="single" w:sz="4" w:space="0" w:color="auto"/>
              <w:right w:val="single" w:sz="4" w:space="0" w:color="auto"/>
            </w:tcBorders>
            <w:shd w:val="clear" w:color="auto" w:fill="auto"/>
            <w:noWrap/>
            <w:vAlign w:val="bottom"/>
            <w:hideMark/>
          </w:tcPr>
          <w:p w:rsidR="00E452E2" w:rsidRPr="00512E99" w:rsidRDefault="00E452E2" w:rsidP="00512E99">
            <w:pPr>
              <w:spacing w:after="0" w:line="240" w:lineRule="auto"/>
              <w:rPr>
                <w:rFonts w:ascii="Arial" w:eastAsia="Times New Roman" w:hAnsi="Arial" w:cs="Arial"/>
                <w:sz w:val="20"/>
                <w:lang w:eastAsia="en-IN"/>
              </w:rPr>
            </w:pPr>
            <w:r w:rsidRPr="00512E99">
              <w:rPr>
                <w:rFonts w:ascii="Arial" w:eastAsia="Times New Roman" w:hAnsi="Arial" w:cs="Arial"/>
                <w:sz w:val="20"/>
                <w:lang w:eastAsia="en-IN"/>
              </w:rPr>
              <w:t>2010-11 to 2019-20</w:t>
            </w:r>
          </w:p>
        </w:tc>
        <w:tc>
          <w:tcPr>
            <w:tcW w:w="1171" w:type="dxa"/>
            <w:tcBorders>
              <w:top w:val="nil"/>
              <w:left w:val="nil"/>
              <w:bottom w:val="single" w:sz="4" w:space="0" w:color="auto"/>
              <w:right w:val="single" w:sz="4" w:space="0" w:color="auto"/>
            </w:tcBorders>
            <w:shd w:val="clear" w:color="auto" w:fill="auto"/>
            <w:noWrap/>
            <w:vAlign w:val="bottom"/>
            <w:hideMark/>
          </w:tcPr>
          <w:p w:rsidR="00E452E2" w:rsidRPr="00512E99" w:rsidRDefault="00E452E2" w:rsidP="00512E99">
            <w:pPr>
              <w:spacing w:after="0" w:line="240" w:lineRule="auto"/>
              <w:jc w:val="right"/>
              <w:rPr>
                <w:rFonts w:ascii="Arial" w:eastAsia="Times New Roman" w:hAnsi="Arial" w:cs="Arial"/>
                <w:sz w:val="20"/>
                <w:lang w:eastAsia="en-IN"/>
              </w:rPr>
            </w:pPr>
            <w:r w:rsidRPr="00512E99">
              <w:rPr>
                <w:rFonts w:ascii="Arial" w:eastAsia="Times New Roman" w:hAnsi="Arial" w:cs="Arial"/>
                <w:sz w:val="20"/>
                <w:lang w:eastAsia="en-IN"/>
              </w:rPr>
              <w:t>3.22</w:t>
            </w:r>
          </w:p>
        </w:tc>
        <w:tc>
          <w:tcPr>
            <w:tcW w:w="1173" w:type="dxa"/>
            <w:tcBorders>
              <w:top w:val="nil"/>
              <w:left w:val="nil"/>
              <w:bottom w:val="single" w:sz="4" w:space="0" w:color="auto"/>
              <w:right w:val="single" w:sz="4" w:space="0" w:color="auto"/>
            </w:tcBorders>
            <w:shd w:val="clear" w:color="auto" w:fill="auto"/>
            <w:noWrap/>
            <w:vAlign w:val="bottom"/>
            <w:hideMark/>
          </w:tcPr>
          <w:p w:rsidR="00E452E2" w:rsidRPr="00512E99" w:rsidRDefault="00E452E2" w:rsidP="00512E99">
            <w:pPr>
              <w:spacing w:after="0" w:line="240" w:lineRule="auto"/>
              <w:jc w:val="right"/>
              <w:rPr>
                <w:rFonts w:ascii="Arial" w:eastAsia="Times New Roman" w:hAnsi="Arial" w:cs="Arial"/>
                <w:sz w:val="20"/>
                <w:lang w:eastAsia="en-IN"/>
              </w:rPr>
            </w:pPr>
            <w:r w:rsidRPr="00512E99">
              <w:rPr>
                <w:rFonts w:ascii="Arial" w:eastAsia="Times New Roman" w:hAnsi="Arial" w:cs="Arial"/>
                <w:sz w:val="20"/>
                <w:lang w:eastAsia="en-IN"/>
              </w:rPr>
              <w:t>9.27</w:t>
            </w:r>
          </w:p>
        </w:tc>
        <w:tc>
          <w:tcPr>
            <w:tcW w:w="1662" w:type="dxa"/>
            <w:tcBorders>
              <w:top w:val="nil"/>
              <w:left w:val="nil"/>
              <w:bottom w:val="single" w:sz="4" w:space="0" w:color="auto"/>
              <w:right w:val="single" w:sz="4" w:space="0" w:color="auto"/>
            </w:tcBorders>
            <w:shd w:val="clear" w:color="auto" w:fill="auto"/>
            <w:noWrap/>
            <w:vAlign w:val="bottom"/>
            <w:hideMark/>
          </w:tcPr>
          <w:p w:rsidR="00E452E2" w:rsidRPr="00512E99" w:rsidRDefault="00E452E2" w:rsidP="00512E99">
            <w:pPr>
              <w:spacing w:after="0" w:line="240" w:lineRule="auto"/>
              <w:jc w:val="right"/>
              <w:rPr>
                <w:rFonts w:ascii="Arial" w:eastAsia="Times New Roman" w:hAnsi="Arial" w:cs="Arial"/>
                <w:sz w:val="20"/>
                <w:lang w:eastAsia="en-IN"/>
              </w:rPr>
            </w:pPr>
            <w:r w:rsidRPr="00512E99">
              <w:rPr>
                <w:rFonts w:ascii="Arial" w:eastAsia="Times New Roman" w:hAnsi="Arial" w:cs="Arial"/>
                <w:sz w:val="20"/>
                <w:lang w:eastAsia="en-IN"/>
              </w:rPr>
              <w:t>8.24</w:t>
            </w:r>
          </w:p>
        </w:tc>
      </w:tr>
      <w:tr w:rsidR="00E452E2" w:rsidRPr="00512E99" w:rsidTr="00E452E2">
        <w:trPr>
          <w:trHeight w:val="255"/>
        </w:trPr>
        <w:tc>
          <w:tcPr>
            <w:tcW w:w="2231" w:type="dxa"/>
            <w:tcBorders>
              <w:top w:val="nil"/>
              <w:left w:val="single" w:sz="4" w:space="0" w:color="auto"/>
              <w:bottom w:val="single" w:sz="4" w:space="0" w:color="auto"/>
              <w:right w:val="single" w:sz="4" w:space="0" w:color="auto"/>
            </w:tcBorders>
            <w:shd w:val="clear" w:color="auto" w:fill="auto"/>
            <w:noWrap/>
            <w:vAlign w:val="bottom"/>
            <w:hideMark/>
          </w:tcPr>
          <w:p w:rsidR="00E452E2" w:rsidRPr="00512E99" w:rsidRDefault="00E452E2" w:rsidP="00512E99">
            <w:pPr>
              <w:spacing w:after="0" w:line="240" w:lineRule="auto"/>
              <w:rPr>
                <w:rFonts w:ascii="Arial" w:eastAsia="Times New Roman" w:hAnsi="Arial" w:cs="Arial"/>
                <w:sz w:val="20"/>
                <w:lang w:eastAsia="en-IN"/>
              </w:rPr>
            </w:pPr>
            <w:r w:rsidRPr="00512E99">
              <w:rPr>
                <w:rFonts w:ascii="Arial" w:eastAsia="Times New Roman" w:hAnsi="Arial" w:cs="Arial"/>
                <w:sz w:val="20"/>
                <w:lang w:eastAsia="en-IN"/>
              </w:rPr>
              <w:t>1950-51 to 2019-20</w:t>
            </w:r>
          </w:p>
        </w:tc>
        <w:tc>
          <w:tcPr>
            <w:tcW w:w="1171" w:type="dxa"/>
            <w:tcBorders>
              <w:top w:val="nil"/>
              <w:left w:val="nil"/>
              <w:bottom w:val="single" w:sz="4" w:space="0" w:color="auto"/>
              <w:right w:val="single" w:sz="4" w:space="0" w:color="auto"/>
            </w:tcBorders>
            <w:shd w:val="clear" w:color="auto" w:fill="auto"/>
            <w:noWrap/>
            <w:vAlign w:val="bottom"/>
            <w:hideMark/>
          </w:tcPr>
          <w:p w:rsidR="00E452E2" w:rsidRPr="00512E99" w:rsidRDefault="00E452E2" w:rsidP="00512E99">
            <w:pPr>
              <w:spacing w:after="0" w:line="240" w:lineRule="auto"/>
              <w:jc w:val="right"/>
              <w:rPr>
                <w:rFonts w:ascii="Arial" w:eastAsia="Times New Roman" w:hAnsi="Arial" w:cs="Arial"/>
                <w:sz w:val="20"/>
                <w:lang w:eastAsia="en-IN"/>
              </w:rPr>
            </w:pPr>
            <w:r w:rsidRPr="00512E99">
              <w:rPr>
                <w:rFonts w:ascii="Arial" w:eastAsia="Times New Roman" w:hAnsi="Arial" w:cs="Arial"/>
                <w:sz w:val="20"/>
                <w:lang w:eastAsia="en-IN"/>
              </w:rPr>
              <w:t>5.47</w:t>
            </w:r>
          </w:p>
        </w:tc>
        <w:tc>
          <w:tcPr>
            <w:tcW w:w="1173" w:type="dxa"/>
            <w:tcBorders>
              <w:top w:val="nil"/>
              <w:left w:val="nil"/>
              <w:bottom w:val="single" w:sz="4" w:space="0" w:color="auto"/>
              <w:right w:val="single" w:sz="4" w:space="0" w:color="auto"/>
            </w:tcBorders>
            <w:shd w:val="clear" w:color="auto" w:fill="auto"/>
            <w:noWrap/>
            <w:vAlign w:val="bottom"/>
            <w:hideMark/>
          </w:tcPr>
          <w:p w:rsidR="00E452E2" w:rsidRPr="00512E99" w:rsidRDefault="00E452E2" w:rsidP="00512E99">
            <w:pPr>
              <w:spacing w:after="0" w:line="240" w:lineRule="auto"/>
              <w:jc w:val="right"/>
              <w:rPr>
                <w:rFonts w:ascii="Arial" w:eastAsia="Times New Roman" w:hAnsi="Arial" w:cs="Arial"/>
                <w:sz w:val="20"/>
                <w:lang w:eastAsia="en-IN"/>
              </w:rPr>
            </w:pPr>
            <w:r w:rsidRPr="00512E99">
              <w:rPr>
                <w:rFonts w:ascii="Arial" w:eastAsia="Times New Roman" w:hAnsi="Arial" w:cs="Arial"/>
                <w:sz w:val="20"/>
                <w:lang w:eastAsia="en-IN"/>
              </w:rPr>
              <w:t>13.50</w:t>
            </w:r>
          </w:p>
        </w:tc>
        <w:tc>
          <w:tcPr>
            <w:tcW w:w="1662" w:type="dxa"/>
            <w:tcBorders>
              <w:top w:val="nil"/>
              <w:left w:val="nil"/>
              <w:bottom w:val="single" w:sz="4" w:space="0" w:color="auto"/>
              <w:right w:val="single" w:sz="4" w:space="0" w:color="auto"/>
            </w:tcBorders>
            <w:shd w:val="clear" w:color="auto" w:fill="auto"/>
            <w:noWrap/>
            <w:vAlign w:val="bottom"/>
            <w:hideMark/>
          </w:tcPr>
          <w:p w:rsidR="00E452E2" w:rsidRPr="00512E99" w:rsidRDefault="00E452E2" w:rsidP="00512E99">
            <w:pPr>
              <w:spacing w:after="0" w:line="240" w:lineRule="auto"/>
              <w:jc w:val="right"/>
              <w:rPr>
                <w:rFonts w:ascii="Arial" w:eastAsia="Times New Roman" w:hAnsi="Arial" w:cs="Arial"/>
                <w:sz w:val="20"/>
                <w:lang w:eastAsia="en-IN"/>
              </w:rPr>
            </w:pPr>
            <w:r w:rsidRPr="00512E99">
              <w:rPr>
                <w:rFonts w:ascii="Arial" w:eastAsia="Times New Roman" w:hAnsi="Arial" w:cs="Arial"/>
                <w:sz w:val="20"/>
                <w:lang w:eastAsia="en-IN"/>
              </w:rPr>
              <w:t>11.09</w:t>
            </w:r>
          </w:p>
        </w:tc>
      </w:tr>
    </w:tbl>
    <w:p w:rsidR="00512E99" w:rsidRDefault="00512E99" w:rsidP="00EF1124">
      <w:pPr>
        <w:autoSpaceDE w:val="0"/>
        <w:autoSpaceDN w:val="0"/>
        <w:adjustRightInd w:val="0"/>
        <w:spacing w:after="0" w:line="240" w:lineRule="auto"/>
        <w:rPr>
          <w:rFonts w:ascii="Palatia-Regular" w:hAnsi="Palatia-Regular" w:cs="Palatia-Regular"/>
          <w:color w:val="000000"/>
          <w:szCs w:val="22"/>
        </w:rPr>
      </w:pPr>
    </w:p>
    <w:p w:rsidR="00512E99" w:rsidRDefault="00512E99" w:rsidP="00EF1124">
      <w:pPr>
        <w:autoSpaceDE w:val="0"/>
        <w:autoSpaceDN w:val="0"/>
        <w:adjustRightInd w:val="0"/>
        <w:spacing w:after="0" w:line="240" w:lineRule="auto"/>
        <w:rPr>
          <w:rFonts w:ascii="Palatia-Regular" w:hAnsi="Palatia-Regular" w:cs="Palatia-Regular"/>
          <w:color w:val="000000"/>
          <w:szCs w:val="22"/>
        </w:rPr>
      </w:pPr>
    </w:p>
    <w:p w:rsidR="00E452E2" w:rsidRPr="007A230D" w:rsidRDefault="00E452E2" w:rsidP="007A230D">
      <w:pPr>
        <w:autoSpaceDE w:val="0"/>
        <w:autoSpaceDN w:val="0"/>
        <w:adjustRightInd w:val="0"/>
        <w:spacing w:after="0" w:line="360" w:lineRule="auto"/>
        <w:jc w:val="both"/>
        <w:rPr>
          <w:rFonts w:cs="Palatia-Regular"/>
          <w:b/>
          <w:bCs/>
          <w:color w:val="000000"/>
          <w:sz w:val="24"/>
          <w:szCs w:val="24"/>
        </w:rPr>
      </w:pPr>
      <w:r w:rsidRPr="007A230D">
        <w:rPr>
          <w:rFonts w:cs="Palatia-Regular"/>
          <w:b/>
          <w:bCs/>
          <w:color w:val="000000"/>
          <w:sz w:val="24"/>
          <w:szCs w:val="24"/>
        </w:rPr>
        <w:t>Conclusion</w:t>
      </w:r>
    </w:p>
    <w:p w:rsidR="00E452E2" w:rsidRPr="007A230D" w:rsidRDefault="00E452E2" w:rsidP="007A230D">
      <w:pPr>
        <w:autoSpaceDE w:val="0"/>
        <w:autoSpaceDN w:val="0"/>
        <w:adjustRightInd w:val="0"/>
        <w:spacing w:after="0" w:line="360" w:lineRule="auto"/>
        <w:jc w:val="both"/>
        <w:rPr>
          <w:rFonts w:cs="Palatia-Regular"/>
          <w:color w:val="000000"/>
          <w:sz w:val="24"/>
          <w:szCs w:val="24"/>
        </w:rPr>
      </w:pPr>
    </w:p>
    <w:p w:rsidR="00EF1124" w:rsidRPr="007A230D" w:rsidRDefault="00172AB1" w:rsidP="007A230D">
      <w:pPr>
        <w:autoSpaceDE w:val="0"/>
        <w:autoSpaceDN w:val="0"/>
        <w:adjustRightInd w:val="0"/>
        <w:spacing w:after="0" w:line="360" w:lineRule="auto"/>
        <w:jc w:val="both"/>
        <w:rPr>
          <w:rFonts w:cs="Palatia-Regular"/>
          <w:color w:val="000000"/>
          <w:sz w:val="24"/>
          <w:szCs w:val="24"/>
        </w:rPr>
      </w:pPr>
      <w:r w:rsidRPr="007A230D">
        <w:rPr>
          <w:rFonts w:cs="Palatia-Regular"/>
          <w:color w:val="000000"/>
          <w:sz w:val="24"/>
          <w:szCs w:val="24"/>
        </w:rPr>
        <w:t xml:space="preserve">Potato has been one of the main food and commercial crop in India. </w:t>
      </w:r>
      <w:r w:rsidR="00EF1124" w:rsidRPr="007A230D">
        <w:rPr>
          <w:rFonts w:cs="Palatia-Regular"/>
          <w:color w:val="000000"/>
          <w:sz w:val="24"/>
          <w:szCs w:val="24"/>
        </w:rPr>
        <w:t>The growth in</w:t>
      </w:r>
      <w:r w:rsidRPr="007A230D">
        <w:rPr>
          <w:rFonts w:cs="Palatia-Regular"/>
          <w:color w:val="000000"/>
          <w:sz w:val="24"/>
          <w:szCs w:val="24"/>
        </w:rPr>
        <w:t xml:space="preserve"> the production of potato is contributed by the growth in the area and productivity. It remained </w:t>
      </w:r>
      <w:r w:rsidRPr="007A230D">
        <w:rPr>
          <w:rFonts w:cs="Palatia-Regular"/>
          <w:color w:val="000000"/>
          <w:sz w:val="24"/>
          <w:szCs w:val="24"/>
        </w:rPr>
        <w:lastRenderedPageBreak/>
        <w:t xml:space="preserve">positive in almost all years. But the growth in yield of potato is decelerating in the latest years. The scope of expansion of area is limited, therefore more focussed should be on the improvement of yield by </w:t>
      </w:r>
      <w:r w:rsidRPr="007A230D">
        <w:rPr>
          <w:rFonts w:cs="Palatia-Regular"/>
          <w:color w:val="000000"/>
          <w:sz w:val="24"/>
          <w:szCs w:val="24"/>
        </w:rPr>
        <w:t>special attention of potato</w:t>
      </w:r>
      <w:r w:rsidRPr="007A230D">
        <w:rPr>
          <w:rFonts w:cs="Palatia-Regular"/>
          <w:color w:val="000000"/>
          <w:sz w:val="24"/>
          <w:szCs w:val="24"/>
        </w:rPr>
        <w:t xml:space="preserve"> r</w:t>
      </w:r>
      <w:r w:rsidRPr="007A230D">
        <w:rPr>
          <w:rFonts w:cs="Palatia-Regular"/>
          <w:color w:val="000000"/>
          <w:sz w:val="24"/>
          <w:szCs w:val="24"/>
        </w:rPr>
        <w:t>esearchers and policy makers to improve the</w:t>
      </w:r>
      <w:r w:rsidRPr="007A230D">
        <w:rPr>
          <w:rFonts w:cs="Palatia-Regular"/>
          <w:color w:val="000000"/>
          <w:sz w:val="24"/>
          <w:szCs w:val="24"/>
        </w:rPr>
        <w:t xml:space="preserve"> </w:t>
      </w:r>
      <w:r w:rsidRPr="007A230D">
        <w:rPr>
          <w:rFonts w:cs="Palatia-Regular"/>
          <w:color w:val="000000"/>
          <w:sz w:val="24"/>
          <w:szCs w:val="24"/>
        </w:rPr>
        <w:t>situation</w:t>
      </w:r>
      <w:r w:rsidRPr="007A230D">
        <w:rPr>
          <w:rFonts w:cs="Palatia-Regular"/>
          <w:color w:val="000000"/>
          <w:sz w:val="24"/>
          <w:szCs w:val="24"/>
        </w:rPr>
        <w:t xml:space="preserve">. The Indian potato has demand in the foreign markets and consumption of potato has also been increasing globally due to various uses and preparation of potato. So more efforts are to be done to decrease the instability and explore potential for exporting of potato be creating advance infrastructural facilities. </w:t>
      </w:r>
    </w:p>
    <w:p w:rsidR="00172AB1" w:rsidRPr="007A230D" w:rsidRDefault="00172AB1" w:rsidP="00EF1124">
      <w:pPr>
        <w:autoSpaceDE w:val="0"/>
        <w:autoSpaceDN w:val="0"/>
        <w:adjustRightInd w:val="0"/>
        <w:spacing w:after="0" w:line="240" w:lineRule="auto"/>
        <w:rPr>
          <w:rFonts w:ascii="Palatia-Bold" w:hAnsi="Palatia-Bold" w:cs="Palatia-Bold"/>
          <w:b/>
          <w:bCs/>
          <w:color w:val="000000"/>
          <w:sz w:val="24"/>
          <w:szCs w:val="24"/>
        </w:rPr>
      </w:pPr>
    </w:p>
    <w:p w:rsidR="00EF1124" w:rsidRDefault="00EF1124" w:rsidP="001779F3">
      <w:pPr>
        <w:jc w:val="both"/>
        <w:rPr>
          <w:rFonts w:cs="Times New Roman"/>
          <w:color w:val="000000"/>
          <w:sz w:val="24"/>
          <w:szCs w:val="24"/>
        </w:rPr>
      </w:pPr>
    </w:p>
    <w:p w:rsidR="00EB59D3" w:rsidRDefault="00EB59D3" w:rsidP="00111ABF">
      <w:pPr>
        <w:autoSpaceDE w:val="0"/>
        <w:autoSpaceDN w:val="0"/>
        <w:adjustRightInd w:val="0"/>
        <w:spacing w:after="0" w:line="360" w:lineRule="auto"/>
        <w:jc w:val="both"/>
        <w:rPr>
          <w:rFonts w:cs="Warnock Pro"/>
          <w:color w:val="000000"/>
          <w:sz w:val="24"/>
          <w:szCs w:val="24"/>
        </w:rPr>
      </w:pPr>
    </w:p>
    <w:p w:rsidR="00EB59D3" w:rsidRDefault="00EB59D3" w:rsidP="00111ABF">
      <w:pPr>
        <w:autoSpaceDE w:val="0"/>
        <w:autoSpaceDN w:val="0"/>
        <w:adjustRightInd w:val="0"/>
        <w:spacing w:after="0" w:line="360" w:lineRule="auto"/>
        <w:jc w:val="both"/>
        <w:rPr>
          <w:rFonts w:cs="Warnock Pro"/>
          <w:color w:val="000000"/>
          <w:sz w:val="24"/>
          <w:szCs w:val="24"/>
        </w:rPr>
      </w:pPr>
    </w:p>
    <w:p w:rsidR="00EB59D3" w:rsidRDefault="00EB59D3" w:rsidP="00111ABF">
      <w:pPr>
        <w:autoSpaceDE w:val="0"/>
        <w:autoSpaceDN w:val="0"/>
        <w:adjustRightInd w:val="0"/>
        <w:spacing w:after="0" w:line="360" w:lineRule="auto"/>
        <w:jc w:val="both"/>
        <w:rPr>
          <w:rFonts w:cs="Warnock Pro"/>
          <w:color w:val="000000"/>
          <w:sz w:val="24"/>
          <w:szCs w:val="24"/>
        </w:rPr>
      </w:pPr>
    </w:p>
    <w:p w:rsidR="00EB59D3" w:rsidRDefault="00EB59D3" w:rsidP="00111ABF">
      <w:pPr>
        <w:autoSpaceDE w:val="0"/>
        <w:autoSpaceDN w:val="0"/>
        <w:adjustRightInd w:val="0"/>
        <w:spacing w:after="0" w:line="360" w:lineRule="auto"/>
        <w:jc w:val="both"/>
        <w:rPr>
          <w:rFonts w:cs="Warnock Pro"/>
          <w:color w:val="000000"/>
          <w:sz w:val="24"/>
          <w:szCs w:val="24"/>
        </w:rPr>
      </w:pPr>
    </w:p>
    <w:p w:rsidR="00EB59D3" w:rsidRDefault="00EB59D3" w:rsidP="00111ABF">
      <w:pPr>
        <w:autoSpaceDE w:val="0"/>
        <w:autoSpaceDN w:val="0"/>
        <w:adjustRightInd w:val="0"/>
        <w:spacing w:after="0" w:line="360" w:lineRule="auto"/>
        <w:jc w:val="both"/>
        <w:rPr>
          <w:rFonts w:cs="Warnock Pro"/>
          <w:color w:val="000000"/>
          <w:sz w:val="24"/>
          <w:szCs w:val="24"/>
        </w:rPr>
      </w:pPr>
    </w:p>
    <w:p w:rsidR="00EB59D3" w:rsidRDefault="00EB59D3" w:rsidP="00111ABF">
      <w:pPr>
        <w:autoSpaceDE w:val="0"/>
        <w:autoSpaceDN w:val="0"/>
        <w:adjustRightInd w:val="0"/>
        <w:spacing w:after="0" w:line="360" w:lineRule="auto"/>
        <w:jc w:val="both"/>
        <w:rPr>
          <w:rFonts w:cs="Warnock Pro"/>
          <w:color w:val="000000"/>
          <w:sz w:val="24"/>
          <w:szCs w:val="24"/>
        </w:rPr>
      </w:pPr>
    </w:p>
    <w:p w:rsidR="003020EA" w:rsidRDefault="003020EA" w:rsidP="00111ABF">
      <w:pPr>
        <w:autoSpaceDE w:val="0"/>
        <w:autoSpaceDN w:val="0"/>
        <w:adjustRightInd w:val="0"/>
        <w:spacing w:after="0" w:line="360" w:lineRule="auto"/>
        <w:rPr>
          <w:rFonts w:eastAsia="Times New Roman" w:cs="Times New Roman"/>
          <w:color w:val="000000"/>
          <w:sz w:val="24"/>
          <w:szCs w:val="24"/>
          <w:lang w:eastAsia="en-IN"/>
        </w:rPr>
      </w:pPr>
    </w:p>
    <w:p w:rsidR="003020EA" w:rsidRDefault="003020EA" w:rsidP="00947D02">
      <w:pPr>
        <w:autoSpaceDE w:val="0"/>
        <w:autoSpaceDN w:val="0"/>
        <w:adjustRightInd w:val="0"/>
        <w:spacing w:after="0" w:line="360" w:lineRule="auto"/>
        <w:rPr>
          <w:rFonts w:eastAsia="Times New Roman" w:cs="Times New Roman"/>
          <w:color w:val="000000"/>
          <w:sz w:val="24"/>
          <w:szCs w:val="24"/>
          <w:lang w:eastAsia="en-IN"/>
        </w:rPr>
      </w:pPr>
    </w:p>
    <w:p w:rsidR="003020EA" w:rsidRDefault="003020EA" w:rsidP="00947D02">
      <w:pPr>
        <w:autoSpaceDE w:val="0"/>
        <w:autoSpaceDN w:val="0"/>
        <w:adjustRightInd w:val="0"/>
        <w:spacing w:after="0" w:line="360" w:lineRule="auto"/>
        <w:rPr>
          <w:rFonts w:eastAsia="Times New Roman" w:cs="Times New Roman"/>
          <w:color w:val="000000"/>
          <w:sz w:val="24"/>
          <w:szCs w:val="24"/>
          <w:lang w:eastAsia="en-IN"/>
        </w:rPr>
      </w:pPr>
    </w:p>
    <w:p w:rsidR="003020EA" w:rsidRDefault="003020EA" w:rsidP="00947D02">
      <w:pPr>
        <w:autoSpaceDE w:val="0"/>
        <w:autoSpaceDN w:val="0"/>
        <w:adjustRightInd w:val="0"/>
        <w:spacing w:after="0" w:line="360" w:lineRule="auto"/>
        <w:rPr>
          <w:rFonts w:eastAsia="Times New Roman" w:cs="Times New Roman"/>
          <w:color w:val="000000"/>
          <w:sz w:val="24"/>
          <w:szCs w:val="24"/>
          <w:lang w:eastAsia="en-IN"/>
        </w:rPr>
      </w:pPr>
    </w:p>
    <w:p w:rsidR="003020EA" w:rsidRDefault="003020EA" w:rsidP="00947D02">
      <w:pPr>
        <w:autoSpaceDE w:val="0"/>
        <w:autoSpaceDN w:val="0"/>
        <w:adjustRightInd w:val="0"/>
        <w:spacing w:after="0" w:line="360" w:lineRule="auto"/>
        <w:rPr>
          <w:rFonts w:eastAsia="Times New Roman" w:cs="Times New Roman"/>
          <w:color w:val="000000"/>
          <w:sz w:val="24"/>
          <w:szCs w:val="24"/>
          <w:lang w:eastAsia="en-IN"/>
        </w:rPr>
      </w:pPr>
    </w:p>
    <w:p w:rsidR="003020EA" w:rsidRDefault="003020EA" w:rsidP="00947D02">
      <w:pPr>
        <w:autoSpaceDE w:val="0"/>
        <w:autoSpaceDN w:val="0"/>
        <w:adjustRightInd w:val="0"/>
        <w:spacing w:after="0" w:line="360" w:lineRule="auto"/>
        <w:rPr>
          <w:rFonts w:eastAsia="Times New Roman" w:cs="Times New Roman"/>
          <w:color w:val="000000"/>
          <w:sz w:val="24"/>
          <w:szCs w:val="24"/>
          <w:lang w:eastAsia="en-IN"/>
        </w:rPr>
      </w:pPr>
    </w:p>
    <w:p w:rsidR="003020EA" w:rsidRDefault="003020EA" w:rsidP="00947D02">
      <w:pPr>
        <w:autoSpaceDE w:val="0"/>
        <w:autoSpaceDN w:val="0"/>
        <w:adjustRightInd w:val="0"/>
        <w:spacing w:after="0" w:line="360" w:lineRule="auto"/>
        <w:rPr>
          <w:rFonts w:eastAsia="Times New Roman" w:cs="Times New Roman"/>
          <w:color w:val="000000"/>
          <w:sz w:val="24"/>
          <w:szCs w:val="24"/>
          <w:lang w:eastAsia="en-IN"/>
        </w:rPr>
      </w:pPr>
    </w:p>
    <w:p w:rsidR="003020EA" w:rsidRDefault="003020EA" w:rsidP="00947D02">
      <w:pPr>
        <w:autoSpaceDE w:val="0"/>
        <w:autoSpaceDN w:val="0"/>
        <w:adjustRightInd w:val="0"/>
        <w:spacing w:after="0" w:line="360" w:lineRule="auto"/>
        <w:rPr>
          <w:rFonts w:eastAsia="Times New Roman" w:cs="Times New Roman"/>
          <w:color w:val="000000"/>
          <w:sz w:val="24"/>
          <w:szCs w:val="24"/>
          <w:lang w:eastAsia="en-IN"/>
        </w:rPr>
      </w:pPr>
    </w:p>
    <w:p w:rsidR="003020EA" w:rsidRDefault="003020EA" w:rsidP="00947D02">
      <w:pPr>
        <w:autoSpaceDE w:val="0"/>
        <w:autoSpaceDN w:val="0"/>
        <w:adjustRightInd w:val="0"/>
        <w:spacing w:after="0" w:line="360" w:lineRule="auto"/>
        <w:rPr>
          <w:rFonts w:eastAsia="Times New Roman" w:cs="Times New Roman"/>
          <w:color w:val="000000"/>
          <w:sz w:val="24"/>
          <w:szCs w:val="24"/>
          <w:lang w:eastAsia="en-IN"/>
        </w:rPr>
      </w:pPr>
    </w:p>
    <w:p w:rsidR="003020EA" w:rsidRDefault="003020EA" w:rsidP="00947D02">
      <w:pPr>
        <w:autoSpaceDE w:val="0"/>
        <w:autoSpaceDN w:val="0"/>
        <w:adjustRightInd w:val="0"/>
        <w:spacing w:after="0" w:line="360" w:lineRule="auto"/>
        <w:rPr>
          <w:rFonts w:eastAsia="Times New Roman" w:cs="Times New Roman"/>
          <w:color w:val="000000"/>
          <w:sz w:val="24"/>
          <w:szCs w:val="24"/>
          <w:lang w:eastAsia="en-IN"/>
        </w:rPr>
      </w:pPr>
    </w:p>
    <w:p w:rsidR="00326E97" w:rsidRPr="00326B6B" w:rsidRDefault="00326E97" w:rsidP="00111ABF">
      <w:pPr>
        <w:autoSpaceDE w:val="0"/>
        <w:autoSpaceDN w:val="0"/>
        <w:adjustRightInd w:val="0"/>
        <w:spacing w:after="0" w:line="360" w:lineRule="auto"/>
        <w:jc w:val="both"/>
        <w:rPr>
          <w:rFonts w:cs="Times New Roman"/>
          <w:b/>
          <w:bCs/>
          <w:sz w:val="24"/>
          <w:szCs w:val="24"/>
        </w:rPr>
      </w:pPr>
      <w:r w:rsidRPr="00326B6B">
        <w:rPr>
          <w:rFonts w:cs="Times New Roman"/>
          <w:b/>
          <w:bCs/>
          <w:sz w:val="24"/>
          <w:szCs w:val="24"/>
        </w:rPr>
        <w:t>References</w:t>
      </w:r>
    </w:p>
    <w:p w:rsidR="00DD0391" w:rsidRPr="00EE1C26" w:rsidRDefault="00DD0391" w:rsidP="00DD0391">
      <w:pPr>
        <w:autoSpaceDE w:val="0"/>
        <w:autoSpaceDN w:val="0"/>
        <w:adjustRightInd w:val="0"/>
        <w:spacing w:after="0" w:line="240" w:lineRule="auto"/>
        <w:jc w:val="both"/>
        <w:rPr>
          <w:rFonts w:cs="Palatino Linotype"/>
          <w:sz w:val="24"/>
          <w:szCs w:val="24"/>
        </w:rPr>
      </w:pPr>
      <w:r w:rsidRPr="00EE1C26">
        <w:rPr>
          <w:rFonts w:cs="Palatino Linotype"/>
          <w:sz w:val="24"/>
          <w:szCs w:val="24"/>
        </w:rPr>
        <w:t>Agricultural Statistics at a Glance (Various Issues), Directorate of Economics and Statistics, Department of Agriculture and Cooperation, Ministry of Agriculture, Government of India, New Delhi.</w:t>
      </w:r>
    </w:p>
    <w:p w:rsidR="00DD0391" w:rsidRPr="00EE1C26" w:rsidRDefault="00DD0391" w:rsidP="00DD0391">
      <w:pPr>
        <w:spacing w:after="0"/>
        <w:jc w:val="both"/>
        <w:rPr>
          <w:rFonts w:cs="Times New Roman"/>
          <w:sz w:val="24"/>
          <w:szCs w:val="24"/>
        </w:rPr>
      </w:pPr>
    </w:p>
    <w:p w:rsidR="00DD0391" w:rsidRPr="00EE1C26" w:rsidRDefault="00DD0391" w:rsidP="00DD0391">
      <w:pPr>
        <w:spacing w:after="0"/>
        <w:jc w:val="both"/>
        <w:rPr>
          <w:rFonts w:cs="Times New Roman"/>
          <w:sz w:val="24"/>
          <w:szCs w:val="24"/>
        </w:rPr>
      </w:pPr>
      <w:proofErr w:type="spellStart"/>
      <w:r w:rsidRPr="00EE1C26">
        <w:rPr>
          <w:rFonts w:cs="Times New Roman"/>
          <w:sz w:val="24"/>
          <w:szCs w:val="24"/>
        </w:rPr>
        <w:t>Avinash</w:t>
      </w:r>
      <w:proofErr w:type="spellEnd"/>
      <w:r w:rsidRPr="00EE1C26">
        <w:rPr>
          <w:rFonts w:cs="Times New Roman"/>
          <w:sz w:val="24"/>
          <w:szCs w:val="24"/>
        </w:rPr>
        <w:t xml:space="preserve"> CS and BL </w:t>
      </w:r>
      <w:proofErr w:type="spellStart"/>
      <w:r w:rsidRPr="00EE1C26">
        <w:rPr>
          <w:rFonts w:cs="Times New Roman"/>
          <w:sz w:val="24"/>
          <w:szCs w:val="24"/>
        </w:rPr>
        <w:t>Patil</w:t>
      </w:r>
      <w:proofErr w:type="spellEnd"/>
      <w:r w:rsidRPr="00EE1C26">
        <w:rPr>
          <w:rFonts w:cs="Times New Roman"/>
          <w:sz w:val="24"/>
          <w:szCs w:val="24"/>
        </w:rPr>
        <w:t xml:space="preserve"> (2018), Trends in area, production and productivity of major pulses in Karnataka and </w:t>
      </w:r>
      <w:proofErr w:type="spellStart"/>
      <w:proofErr w:type="gramStart"/>
      <w:r w:rsidRPr="00EE1C26">
        <w:rPr>
          <w:rFonts w:cs="Times New Roman"/>
          <w:sz w:val="24"/>
          <w:szCs w:val="24"/>
        </w:rPr>
        <w:t>India:An</w:t>
      </w:r>
      <w:proofErr w:type="spellEnd"/>
      <w:proofErr w:type="gramEnd"/>
      <w:r w:rsidRPr="00EE1C26">
        <w:rPr>
          <w:rFonts w:cs="Times New Roman"/>
          <w:sz w:val="24"/>
          <w:szCs w:val="24"/>
        </w:rPr>
        <w:t xml:space="preserve"> economic analysis, 2097,Journal of </w:t>
      </w:r>
      <w:proofErr w:type="spellStart"/>
      <w:r w:rsidRPr="00EE1C26">
        <w:rPr>
          <w:rFonts w:cs="Times New Roman"/>
          <w:sz w:val="24"/>
          <w:szCs w:val="24"/>
        </w:rPr>
        <w:t>Pharmacognosy</w:t>
      </w:r>
      <w:proofErr w:type="spellEnd"/>
      <w:r w:rsidRPr="00EE1C26">
        <w:rPr>
          <w:rFonts w:cs="Times New Roman"/>
          <w:sz w:val="24"/>
          <w:szCs w:val="24"/>
        </w:rPr>
        <w:t xml:space="preserve"> and </w:t>
      </w:r>
      <w:proofErr w:type="spellStart"/>
      <w:r w:rsidRPr="00EE1C26">
        <w:rPr>
          <w:rFonts w:cs="Times New Roman"/>
          <w:sz w:val="24"/>
          <w:szCs w:val="24"/>
        </w:rPr>
        <w:t>Phytochemistry</w:t>
      </w:r>
      <w:proofErr w:type="spellEnd"/>
      <w:r w:rsidRPr="00EE1C26">
        <w:rPr>
          <w:rFonts w:cs="Times New Roman"/>
          <w:sz w:val="24"/>
          <w:szCs w:val="24"/>
        </w:rPr>
        <w:t>, 7(4):2097-2102</w:t>
      </w:r>
    </w:p>
    <w:p w:rsidR="00DD0391" w:rsidRPr="00EE1C26" w:rsidRDefault="00DD0391" w:rsidP="00DD0391">
      <w:pPr>
        <w:autoSpaceDE w:val="0"/>
        <w:autoSpaceDN w:val="0"/>
        <w:adjustRightInd w:val="0"/>
        <w:spacing w:after="0" w:line="240" w:lineRule="auto"/>
        <w:jc w:val="both"/>
        <w:rPr>
          <w:rFonts w:cs="Times New Roman"/>
          <w:sz w:val="24"/>
          <w:szCs w:val="24"/>
        </w:rPr>
      </w:pPr>
    </w:p>
    <w:p w:rsidR="00DD0391" w:rsidRPr="00EE1C26" w:rsidRDefault="00DD0391" w:rsidP="00DD0391">
      <w:pPr>
        <w:autoSpaceDE w:val="0"/>
        <w:autoSpaceDN w:val="0"/>
        <w:adjustRightInd w:val="0"/>
        <w:spacing w:after="0" w:line="240" w:lineRule="auto"/>
        <w:jc w:val="both"/>
        <w:rPr>
          <w:rFonts w:cs="Times New Roman"/>
          <w:i/>
          <w:iCs/>
          <w:sz w:val="24"/>
          <w:szCs w:val="24"/>
        </w:rPr>
      </w:pPr>
      <w:r w:rsidRPr="00EE1C26">
        <w:rPr>
          <w:rFonts w:cs="Times New Roman"/>
          <w:sz w:val="24"/>
          <w:szCs w:val="24"/>
        </w:rPr>
        <w:lastRenderedPageBreak/>
        <w:t xml:space="preserve">Chand, Ramesh and S.S. Raju (2009), Instability in Indian Agriculture During Different Phases of Technology and Policy, </w:t>
      </w:r>
      <w:r w:rsidRPr="00EE1C26">
        <w:rPr>
          <w:rFonts w:cs="Times New Roman"/>
          <w:i/>
          <w:iCs/>
          <w:sz w:val="24"/>
          <w:szCs w:val="24"/>
        </w:rPr>
        <w:t>Indian Journal of Agriculture Economics., Vol. 64, No. 2, April-June 2009</w:t>
      </w:r>
    </w:p>
    <w:p w:rsidR="00DD0391" w:rsidRPr="00EE1C26" w:rsidRDefault="00DD0391" w:rsidP="00DD0391">
      <w:pPr>
        <w:autoSpaceDE w:val="0"/>
        <w:autoSpaceDN w:val="0"/>
        <w:adjustRightInd w:val="0"/>
        <w:spacing w:after="0" w:line="240" w:lineRule="auto"/>
        <w:jc w:val="both"/>
        <w:rPr>
          <w:rFonts w:cs="Times New Roman"/>
          <w:sz w:val="24"/>
          <w:szCs w:val="24"/>
        </w:rPr>
      </w:pPr>
    </w:p>
    <w:p w:rsidR="00EE1C26" w:rsidRPr="00EE1C26" w:rsidRDefault="00EE1C26" w:rsidP="00EE1C26">
      <w:pPr>
        <w:pStyle w:val="Default"/>
        <w:jc w:val="both"/>
        <w:rPr>
          <w:rFonts w:asciiTheme="minorHAnsi" w:hAnsiTheme="minorHAnsi" w:cs="Palatino-Bold"/>
        </w:rPr>
      </w:pPr>
      <w:r w:rsidRPr="00EE1C26">
        <w:rPr>
          <w:rFonts w:asciiTheme="minorHAnsi" w:hAnsiTheme="minorHAnsi" w:cs="Palatia-Bold"/>
        </w:rPr>
        <w:t>Kumar</w:t>
      </w:r>
      <w:r w:rsidRPr="00EE1C26">
        <w:rPr>
          <w:rFonts w:asciiTheme="minorHAnsi" w:hAnsiTheme="minorHAnsi" w:cs="Palatia-Bold"/>
        </w:rPr>
        <w:t xml:space="preserve"> </w:t>
      </w:r>
      <w:r w:rsidRPr="00EE1C26">
        <w:rPr>
          <w:rFonts w:asciiTheme="minorHAnsi" w:hAnsiTheme="minorHAnsi" w:cs="Palatia-Bold"/>
        </w:rPr>
        <w:t>Sant, Kingsly Immanuelraj T, Nalini Ranjan Kumar</w:t>
      </w:r>
      <w:r w:rsidRPr="00EE1C26">
        <w:rPr>
          <w:rFonts w:asciiTheme="minorHAnsi" w:hAnsiTheme="minorHAnsi" w:cs="Palatia-Bold"/>
        </w:rPr>
        <w:t xml:space="preserve"> </w:t>
      </w:r>
      <w:r w:rsidRPr="00EE1C26">
        <w:rPr>
          <w:rFonts w:asciiTheme="minorHAnsi" w:hAnsiTheme="minorHAnsi" w:cs="Palatia-Bold"/>
        </w:rPr>
        <w:t>and N.K. Pandey</w:t>
      </w:r>
      <w:r w:rsidRPr="00EE1C26">
        <w:rPr>
          <w:rFonts w:asciiTheme="minorHAnsi" w:hAnsiTheme="minorHAnsi" w:cs="Palatia-Bold"/>
        </w:rPr>
        <w:t xml:space="preserve"> (2021), </w:t>
      </w:r>
      <w:r>
        <w:rPr>
          <w:rFonts w:asciiTheme="minorHAnsi" w:hAnsiTheme="minorHAnsi" w:cs="Palatino-Bold"/>
        </w:rPr>
        <w:t>G</w:t>
      </w:r>
      <w:r w:rsidRPr="00EE1C26">
        <w:rPr>
          <w:rFonts w:asciiTheme="minorHAnsi" w:hAnsiTheme="minorHAnsi" w:cs="Palatino-Bold"/>
        </w:rPr>
        <w:t>rowth, instability and profitability of</w:t>
      </w:r>
      <w:r>
        <w:rPr>
          <w:rFonts w:asciiTheme="minorHAnsi" w:hAnsiTheme="minorHAnsi" w:cs="Palatino-Bold"/>
        </w:rPr>
        <w:t xml:space="preserve"> </w:t>
      </w:r>
      <w:r w:rsidRPr="00EE1C26">
        <w:rPr>
          <w:rFonts w:cs="Palatino-Bold"/>
        </w:rPr>
        <w:t xml:space="preserve">potato production in eastern </w:t>
      </w:r>
      <w:r>
        <w:rPr>
          <w:rFonts w:cs="Palatino-Bold"/>
        </w:rPr>
        <w:t>I</w:t>
      </w:r>
      <w:r w:rsidRPr="00EE1C26">
        <w:rPr>
          <w:rFonts w:cs="Palatino-Bold"/>
        </w:rPr>
        <w:t>ndia</w:t>
      </w:r>
      <w:r w:rsidRPr="00EE1C26">
        <w:rPr>
          <w:rFonts w:asciiTheme="minorHAnsi" w:hAnsiTheme="minorHAnsi" w:cs="Palatino-Bold"/>
        </w:rPr>
        <w:t xml:space="preserve">, </w:t>
      </w:r>
      <w:r>
        <w:rPr>
          <w:rFonts w:asciiTheme="minorHAnsi" w:hAnsiTheme="minorHAnsi" w:cs="Palatia-Regular"/>
        </w:rPr>
        <w:t xml:space="preserve">Potato J., </w:t>
      </w:r>
      <w:r w:rsidRPr="00EE1C26">
        <w:rPr>
          <w:rFonts w:asciiTheme="minorHAnsi" w:hAnsiTheme="minorHAnsi" w:cs="Palatia-Regular"/>
        </w:rPr>
        <w:t>48 (2): 93-98</w:t>
      </w:r>
    </w:p>
    <w:p w:rsidR="00EE1C26" w:rsidRDefault="00EE1C26" w:rsidP="001200E7">
      <w:pPr>
        <w:pStyle w:val="Default"/>
        <w:jc w:val="both"/>
        <w:rPr>
          <w:rFonts w:asciiTheme="minorHAnsi" w:eastAsiaTheme="minorHAnsi" w:hAnsiTheme="minorHAnsi" w:cs="TimesNewRomanPS-BoldMT"/>
          <w:color w:val="auto"/>
          <w:lang w:val="en-IN"/>
        </w:rPr>
      </w:pPr>
    </w:p>
    <w:p w:rsidR="00326B6B" w:rsidRPr="00326B6B" w:rsidRDefault="00326B6B" w:rsidP="00326B6B">
      <w:pPr>
        <w:autoSpaceDE w:val="0"/>
        <w:autoSpaceDN w:val="0"/>
        <w:adjustRightInd w:val="0"/>
        <w:spacing w:after="0" w:line="240" w:lineRule="auto"/>
        <w:jc w:val="both"/>
        <w:rPr>
          <w:rFonts w:eastAsia="Calibri" w:cs="Palatia-Bold"/>
          <w:color w:val="000000"/>
          <w:sz w:val="24"/>
          <w:szCs w:val="24"/>
          <w:lang w:val="en-US"/>
        </w:rPr>
      </w:pPr>
      <w:r w:rsidRPr="00326B6B">
        <w:rPr>
          <w:rFonts w:eastAsia="Calibri" w:cs="Palatia-Bold"/>
          <w:color w:val="000000"/>
          <w:sz w:val="24"/>
          <w:szCs w:val="24"/>
          <w:lang w:val="en-US"/>
        </w:rPr>
        <w:t>NHB (2020) National Horticulture Board. Ministry of</w:t>
      </w:r>
      <w:r w:rsidRPr="00326B6B">
        <w:rPr>
          <w:rFonts w:eastAsia="Calibri" w:cs="Palatia-Bold"/>
          <w:color w:val="000000"/>
          <w:sz w:val="24"/>
          <w:szCs w:val="24"/>
          <w:lang w:val="en-US"/>
        </w:rPr>
        <w:t xml:space="preserve"> A</w:t>
      </w:r>
      <w:r w:rsidRPr="00326B6B">
        <w:rPr>
          <w:rFonts w:eastAsia="Calibri" w:cs="Palatia-Bold"/>
          <w:color w:val="000000"/>
          <w:sz w:val="24"/>
          <w:szCs w:val="24"/>
          <w:lang w:val="en-US"/>
        </w:rPr>
        <w:t>griculture &amp; Farmers Welfare, Government of India.</w:t>
      </w:r>
      <w:r w:rsidRPr="00326B6B">
        <w:rPr>
          <w:rFonts w:eastAsia="Calibri" w:cs="Palatia-Bold"/>
          <w:color w:val="000000"/>
          <w:sz w:val="24"/>
          <w:szCs w:val="24"/>
          <w:lang w:val="en-US"/>
        </w:rPr>
        <w:t xml:space="preserve"> </w:t>
      </w:r>
      <w:r w:rsidRPr="00326B6B">
        <w:rPr>
          <w:rFonts w:eastAsia="Calibri" w:cs="Palatia-Bold"/>
          <w:color w:val="000000"/>
          <w:sz w:val="24"/>
          <w:szCs w:val="24"/>
          <w:lang w:val="en-US"/>
        </w:rPr>
        <w:t>Online data on area, production and yield from website</w:t>
      </w:r>
      <w:r w:rsidRPr="00326B6B">
        <w:rPr>
          <w:rFonts w:eastAsia="Calibri" w:cs="Palatia-Bold"/>
          <w:color w:val="000000"/>
          <w:sz w:val="24"/>
          <w:szCs w:val="24"/>
          <w:lang w:val="en-US"/>
        </w:rPr>
        <w:t xml:space="preserve"> </w:t>
      </w:r>
      <w:r w:rsidRPr="00326B6B">
        <w:rPr>
          <w:rFonts w:eastAsia="Calibri" w:cs="Palatia-Bold"/>
          <w:color w:val="000000"/>
          <w:sz w:val="24"/>
          <w:szCs w:val="24"/>
          <w:lang w:val="en-US"/>
        </w:rPr>
        <w:t xml:space="preserve">downloaded from </w:t>
      </w:r>
      <w:hyperlink r:id="rId12" w:history="1">
        <w:r w:rsidRPr="00326B6B">
          <w:rPr>
            <w:rFonts w:eastAsia="Calibri" w:cs="Palatia-Bold"/>
            <w:color w:val="000000"/>
            <w:sz w:val="24"/>
            <w:szCs w:val="24"/>
            <w:lang w:val="en-US"/>
          </w:rPr>
          <w:t>http://wwww.nhb.gov.in/Default.aspx</w:t>
        </w:r>
      </w:hyperlink>
      <w:r w:rsidRPr="00326B6B">
        <w:rPr>
          <w:rFonts w:eastAsia="Calibri" w:cs="Palatia-Bold"/>
          <w:color w:val="000000"/>
          <w:sz w:val="24"/>
          <w:szCs w:val="24"/>
          <w:lang w:val="en-US"/>
        </w:rPr>
        <w:t>.</w:t>
      </w:r>
    </w:p>
    <w:p w:rsidR="00326B6B" w:rsidRPr="00326B6B" w:rsidRDefault="00326B6B" w:rsidP="00326B6B">
      <w:pPr>
        <w:autoSpaceDE w:val="0"/>
        <w:autoSpaceDN w:val="0"/>
        <w:adjustRightInd w:val="0"/>
        <w:spacing w:after="0" w:line="240" w:lineRule="auto"/>
        <w:jc w:val="both"/>
        <w:rPr>
          <w:rFonts w:eastAsia="Calibri" w:cs="Palatia-Bold"/>
          <w:color w:val="000000"/>
          <w:sz w:val="24"/>
          <w:szCs w:val="24"/>
          <w:lang w:val="en-US"/>
        </w:rPr>
      </w:pPr>
    </w:p>
    <w:p w:rsidR="00326B6B" w:rsidRDefault="00326B6B" w:rsidP="00326B6B">
      <w:pPr>
        <w:autoSpaceDE w:val="0"/>
        <w:autoSpaceDN w:val="0"/>
        <w:adjustRightInd w:val="0"/>
        <w:spacing w:after="0" w:line="240" w:lineRule="auto"/>
        <w:jc w:val="both"/>
        <w:rPr>
          <w:rFonts w:eastAsia="Calibri" w:cs="Palatia-Bold"/>
          <w:color w:val="000000"/>
          <w:sz w:val="24"/>
          <w:szCs w:val="24"/>
          <w:lang w:val="en-US"/>
        </w:rPr>
      </w:pPr>
      <w:r w:rsidRPr="00326B6B">
        <w:rPr>
          <w:rFonts w:eastAsia="Calibri" w:cs="Palatia-Bold"/>
          <w:color w:val="000000"/>
          <w:sz w:val="24"/>
          <w:szCs w:val="24"/>
          <w:lang w:val="en-US"/>
        </w:rPr>
        <w:t>FAO (Food and Agriculture Organization of the United Nations)</w:t>
      </w:r>
      <w:r w:rsidRPr="00326B6B">
        <w:rPr>
          <w:rFonts w:eastAsia="Calibri" w:cs="Palatia-Bold"/>
          <w:color w:val="000000"/>
          <w:sz w:val="24"/>
          <w:szCs w:val="24"/>
          <w:lang w:val="en-US"/>
        </w:rPr>
        <w:t xml:space="preserve"> </w:t>
      </w:r>
      <w:r w:rsidRPr="00326B6B">
        <w:rPr>
          <w:rFonts w:eastAsia="Calibri" w:cs="Palatia-Bold"/>
          <w:color w:val="000000"/>
          <w:sz w:val="24"/>
          <w:szCs w:val="24"/>
          <w:lang w:val="en-US"/>
        </w:rPr>
        <w:t>(20</w:t>
      </w:r>
      <w:r w:rsidRPr="00326B6B">
        <w:rPr>
          <w:rFonts w:eastAsia="Calibri" w:cs="Palatia-Bold"/>
          <w:color w:val="000000"/>
          <w:sz w:val="24"/>
          <w:szCs w:val="24"/>
          <w:lang w:val="en-US"/>
        </w:rPr>
        <w:t>20</w:t>
      </w:r>
      <w:r w:rsidRPr="00326B6B">
        <w:rPr>
          <w:rFonts w:eastAsia="Calibri" w:cs="Palatia-Bold"/>
          <w:color w:val="000000"/>
          <w:sz w:val="24"/>
          <w:szCs w:val="24"/>
          <w:lang w:val="en-US"/>
        </w:rPr>
        <w:t xml:space="preserve">) FAOSTAT. FAO Statistics Division. </w:t>
      </w:r>
      <w:hyperlink r:id="rId13" w:history="1">
        <w:r w:rsidRPr="00881EA8">
          <w:rPr>
            <w:rStyle w:val="Hyperlink"/>
            <w:rFonts w:eastAsia="Calibri" w:cs="Palatia-Bold"/>
            <w:sz w:val="24"/>
            <w:szCs w:val="24"/>
            <w:lang w:val="en-US"/>
          </w:rPr>
          <w:t>http://faostat3</w:t>
        </w:r>
      </w:hyperlink>
      <w:r w:rsidRPr="00326B6B">
        <w:rPr>
          <w:rFonts w:eastAsia="Calibri" w:cs="Palatia-Bold"/>
          <w:color w:val="000000"/>
          <w:sz w:val="24"/>
          <w:szCs w:val="24"/>
          <w:lang w:val="en-US"/>
        </w:rPr>
        <w:t>.</w:t>
      </w:r>
      <w:r>
        <w:rPr>
          <w:rFonts w:eastAsia="Calibri" w:cs="Palatia-Bold"/>
          <w:color w:val="000000"/>
          <w:sz w:val="24"/>
          <w:szCs w:val="24"/>
          <w:lang w:val="en-US"/>
        </w:rPr>
        <w:t xml:space="preserve"> </w:t>
      </w:r>
      <w:r w:rsidRPr="00326B6B">
        <w:rPr>
          <w:rFonts w:eastAsia="Calibri" w:cs="Palatia-Bold"/>
          <w:color w:val="000000"/>
          <w:sz w:val="24"/>
          <w:szCs w:val="24"/>
          <w:lang w:val="en-US"/>
        </w:rPr>
        <w:t>fao.org</w:t>
      </w:r>
    </w:p>
    <w:p w:rsidR="00326B6B" w:rsidRPr="00326B6B" w:rsidRDefault="00326B6B" w:rsidP="00326B6B">
      <w:pPr>
        <w:autoSpaceDE w:val="0"/>
        <w:autoSpaceDN w:val="0"/>
        <w:adjustRightInd w:val="0"/>
        <w:spacing w:after="0" w:line="240" w:lineRule="auto"/>
        <w:jc w:val="both"/>
        <w:rPr>
          <w:rFonts w:eastAsia="Calibri" w:cs="Palatia-Bold"/>
          <w:color w:val="000000"/>
          <w:sz w:val="24"/>
          <w:szCs w:val="24"/>
          <w:lang w:val="en-US"/>
        </w:rPr>
      </w:pPr>
    </w:p>
    <w:p w:rsidR="00D81E62" w:rsidRPr="00326B6B" w:rsidRDefault="00EE1C26" w:rsidP="001200E7">
      <w:pPr>
        <w:pStyle w:val="Default"/>
        <w:jc w:val="both"/>
        <w:rPr>
          <w:rFonts w:asciiTheme="minorHAnsi" w:eastAsiaTheme="minorHAnsi" w:hAnsiTheme="minorHAnsi" w:cs="TimesNewRomanPS-BoldMT"/>
          <w:b/>
          <w:bCs/>
          <w:color w:val="auto"/>
          <w:lang w:val="en-IN"/>
        </w:rPr>
      </w:pPr>
      <w:r w:rsidRPr="00326B6B">
        <w:rPr>
          <w:rFonts w:asciiTheme="minorHAnsi" w:eastAsiaTheme="minorHAnsi" w:hAnsiTheme="minorHAnsi" w:cs="TimesNewRomanPS-BoldMT"/>
          <w:b/>
          <w:bCs/>
          <w:color w:val="auto"/>
          <w:lang w:val="en-IN"/>
        </w:rPr>
        <w:t>Website referred:</w:t>
      </w:r>
    </w:p>
    <w:p w:rsidR="00D81E62" w:rsidRPr="00EE1C26" w:rsidRDefault="000D05EB" w:rsidP="001200E7">
      <w:pPr>
        <w:pStyle w:val="Default"/>
        <w:jc w:val="both"/>
        <w:rPr>
          <w:rFonts w:asciiTheme="minorHAnsi" w:eastAsiaTheme="minorHAnsi" w:hAnsiTheme="minorHAnsi" w:cs="TimesNewRomanPS-BoldMT"/>
          <w:color w:val="auto"/>
          <w:lang w:val="en-IN"/>
        </w:rPr>
      </w:pPr>
      <w:hyperlink r:id="rId14" w:history="1">
        <w:r w:rsidRPr="00EE1C26">
          <w:rPr>
            <w:rStyle w:val="Hyperlink"/>
            <w:rFonts w:asciiTheme="minorHAnsi" w:eastAsiaTheme="minorHAnsi" w:hAnsiTheme="minorHAnsi" w:cs="TimesNewRomanPS-BoldMT"/>
            <w:color w:val="auto"/>
            <w:lang w:val="en-IN"/>
          </w:rPr>
          <w:t>https://www.helgilibrary.com/charts/which-country-eats-the-most-potatoes/</w:t>
        </w:r>
      </w:hyperlink>
    </w:p>
    <w:p w:rsidR="000D05EB" w:rsidRPr="00EE1C26" w:rsidRDefault="00EE1C26" w:rsidP="001200E7">
      <w:pPr>
        <w:pStyle w:val="Default"/>
        <w:jc w:val="both"/>
        <w:rPr>
          <w:rFonts w:asciiTheme="minorHAnsi" w:eastAsiaTheme="minorHAnsi" w:hAnsiTheme="minorHAnsi" w:cs="TimesNewRomanPS-BoldMT"/>
          <w:color w:val="auto"/>
          <w:lang w:val="en-IN"/>
        </w:rPr>
      </w:pPr>
      <w:hyperlink w:history="1">
        <w:r w:rsidRPr="00EE1C26">
          <w:rPr>
            <w:rStyle w:val="Hyperlink"/>
            <w:rFonts w:asciiTheme="minorHAnsi" w:eastAsiaTheme="minorHAnsi" w:hAnsiTheme="minorHAnsi" w:cs="TimesNewRomanPS-BoldMT"/>
            <w:color w:val="auto"/>
            <w:lang w:val="en-IN"/>
          </w:rPr>
          <w:t>http://www.agmarknet.gov.in%2FOthers%2Fprofile-potato.pdf&amp;usg=AOvVaw1BzvO-6XbKixJJgQMqdQZD&amp;opi=89978449</w:t>
        </w:r>
      </w:hyperlink>
    </w:p>
    <w:p w:rsidR="00E452E2" w:rsidRPr="00EE1C26" w:rsidRDefault="00E452E2" w:rsidP="001200E7">
      <w:pPr>
        <w:pStyle w:val="Default"/>
        <w:jc w:val="both"/>
        <w:rPr>
          <w:rFonts w:asciiTheme="minorHAnsi" w:eastAsiaTheme="minorHAnsi" w:hAnsiTheme="minorHAnsi" w:cs="TimesNewRomanPS-BoldMT"/>
          <w:color w:val="auto"/>
          <w:lang w:val="en-IN"/>
        </w:rPr>
      </w:pPr>
    </w:p>
    <w:p w:rsidR="00E452E2" w:rsidRPr="00AE4548" w:rsidRDefault="00E452E2" w:rsidP="001200E7">
      <w:pPr>
        <w:pStyle w:val="Default"/>
        <w:jc w:val="both"/>
        <w:rPr>
          <w:rFonts w:asciiTheme="minorHAnsi" w:eastAsiaTheme="minorHAnsi" w:hAnsiTheme="minorHAnsi" w:cs="TimesNewRomanPS-BoldMT"/>
          <w:color w:val="auto"/>
          <w:sz w:val="22"/>
          <w:szCs w:val="22"/>
          <w:lang w:val="en-IN"/>
        </w:rPr>
      </w:pPr>
    </w:p>
    <w:sectPr w:rsidR="00E452E2" w:rsidRPr="00AE454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0000400000000000000"/>
    <w:charset w:val="00"/>
    <w:family w:val="roman"/>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ArialMT">
    <w:panose1 w:val="00000000000000000000"/>
    <w:charset w:val="00"/>
    <w:family w:val="swiss"/>
    <w:notTrueType/>
    <w:pitch w:val="default"/>
    <w:sig w:usb0="00000003" w:usb1="00000000" w:usb2="00000000" w:usb3="00000000" w:csb0="00000001" w:csb1="00000000"/>
  </w:font>
  <w:font w:name="Warnock Pro">
    <w:altName w:val="Warnock Pro"/>
    <w:panose1 w:val="00000000000000000000"/>
    <w:charset w:val="00"/>
    <w:family w:val="roman"/>
    <w:notTrueType/>
    <w:pitch w:val="default"/>
    <w:sig w:usb0="00000003" w:usb1="00000000" w:usb2="00000000" w:usb3="00000000" w:csb0="00000001" w:csb1="00000000"/>
  </w:font>
  <w:font w:name="Palatia-Bold">
    <w:panose1 w:val="00000000000000000000"/>
    <w:charset w:val="00"/>
    <w:family w:val="roman"/>
    <w:notTrueType/>
    <w:pitch w:val="default"/>
    <w:sig w:usb0="00000003" w:usb1="00000000" w:usb2="00000000" w:usb3="00000000" w:csb0="00000001" w:csb1="00000000"/>
  </w:font>
  <w:font w:name="Palatia-Regular">
    <w:panose1 w:val="00000000000000000000"/>
    <w:charset w:val="00"/>
    <w:family w:val="roman"/>
    <w:notTrueType/>
    <w:pitch w:val="default"/>
    <w:sig w:usb0="00000003" w:usb1="00000000" w:usb2="00000000" w:usb3="00000000" w:csb0="00000001" w:csb1="00000000"/>
  </w:font>
  <w:font w:name="Palatino-Bold">
    <w:panose1 w:val="00000000000000000000"/>
    <w:charset w:val="00"/>
    <w:family w:val="roman"/>
    <w:notTrueType/>
    <w:pitch w:val="default"/>
    <w:sig w:usb0="00000003" w:usb1="00000000" w:usb2="00000000" w:usb3="00000000" w:csb0="00000001" w:csb1="00000000"/>
  </w:font>
  <w:font w:name="TimesNewRomanPS-BoldM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D43628"/>
    <w:multiLevelType w:val="multilevel"/>
    <w:tmpl w:val="A79A3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47787B"/>
    <w:multiLevelType w:val="multilevel"/>
    <w:tmpl w:val="D4EE4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036A12"/>
    <w:multiLevelType w:val="hybridMultilevel"/>
    <w:tmpl w:val="93A00426"/>
    <w:lvl w:ilvl="0" w:tplc="04AA60D8">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C97224"/>
    <w:multiLevelType w:val="multilevel"/>
    <w:tmpl w:val="1BDC3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7A6E3C"/>
    <w:multiLevelType w:val="multilevel"/>
    <w:tmpl w:val="9FF28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CC52D9"/>
    <w:multiLevelType w:val="multilevel"/>
    <w:tmpl w:val="083A0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48459D5"/>
    <w:multiLevelType w:val="hybridMultilevel"/>
    <w:tmpl w:val="9CC8193E"/>
    <w:lvl w:ilvl="0" w:tplc="45820FD4">
      <w:start w:val="1"/>
      <w:numFmt w:val="bullet"/>
      <w:lvlText w:val=""/>
      <w:lvlJc w:val="left"/>
      <w:pPr>
        <w:ind w:left="1140" w:hanging="360"/>
      </w:pPr>
      <w:rPr>
        <w:rFonts w:ascii="Symbol" w:eastAsia="Calibri" w:hAnsi="Symbol" w:cs="Times New Roman"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7" w15:restartNumberingAfterBreak="0">
    <w:nsid w:val="3F573CB4"/>
    <w:multiLevelType w:val="multilevel"/>
    <w:tmpl w:val="2BC0C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C7E3C30"/>
    <w:multiLevelType w:val="multilevel"/>
    <w:tmpl w:val="59BA88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2287DD9"/>
    <w:multiLevelType w:val="multilevel"/>
    <w:tmpl w:val="66DEDD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19B4103"/>
    <w:multiLevelType w:val="multilevel"/>
    <w:tmpl w:val="C8AA994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3320951"/>
    <w:multiLevelType w:val="multilevel"/>
    <w:tmpl w:val="2828F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9"/>
  </w:num>
  <w:num w:numId="3">
    <w:abstractNumId w:val="4"/>
  </w:num>
  <w:num w:numId="4">
    <w:abstractNumId w:val="3"/>
  </w:num>
  <w:num w:numId="5">
    <w:abstractNumId w:val="0"/>
  </w:num>
  <w:num w:numId="6">
    <w:abstractNumId w:val="8"/>
  </w:num>
  <w:num w:numId="7">
    <w:abstractNumId w:val="10"/>
  </w:num>
  <w:num w:numId="8">
    <w:abstractNumId w:val="5"/>
  </w:num>
  <w:num w:numId="9">
    <w:abstractNumId w:val="7"/>
  </w:num>
  <w:num w:numId="10">
    <w:abstractNumId w:val="11"/>
  </w:num>
  <w:num w:numId="11">
    <w:abstractNumId w:val="2"/>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033E"/>
    <w:rsid w:val="00027A49"/>
    <w:rsid w:val="000576A4"/>
    <w:rsid w:val="00087D1E"/>
    <w:rsid w:val="00095A6E"/>
    <w:rsid w:val="000B2942"/>
    <w:rsid w:val="000D05EB"/>
    <w:rsid w:val="000F219E"/>
    <w:rsid w:val="00102FFE"/>
    <w:rsid w:val="00111ABF"/>
    <w:rsid w:val="0011211A"/>
    <w:rsid w:val="001200E7"/>
    <w:rsid w:val="00144BD4"/>
    <w:rsid w:val="001627FB"/>
    <w:rsid w:val="00172AB1"/>
    <w:rsid w:val="001779F3"/>
    <w:rsid w:val="00192BF0"/>
    <w:rsid w:val="001A31A4"/>
    <w:rsid w:val="001C7285"/>
    <w:rsid w:val="001D2394"/>
    <w:rsid w:val="001D7D69"/>
    <w:rsid w:val="00215264"/>
    <w:rsid w:val="00235F62"/>
    <w:rsid w:val="00242925"/>
    <w:rsid w:val="0026151D"/>
    <w:rsid w:val="00263258"/>
    <w:rsid w:val="0026541A"/>
    <w:rsid w:val="002944CE"/>
    <w:rsid w:val="002A0D1B"/>
    <w:rsid w:val="002B56A6"/>
    <w:rsid w:val="002D0C54"/>
    <w:rsid w:val="002D1D1C"/>
    <w:rsid w:val="002E1C3F"/>
    <w:rsid w:val="002F2DAD"/>
    <w:rsid w:val="002F5747"/>
    <w:rsid w:val="002F7C5A"/>
    <w:rsid w:val="003020EA"/>
    <w:rsid w:val="00313DD9"/>
    <w:rsid w:val="00326B6B"/>
    <w:rsid w:val="00326E97"/>
    <w:rsid w:val="003926F4"/>
    <w:rsid w:val="00394E38"/>
    <w:rsid w:val="003A1A47"/>
    <w:rsid w:val="003D057E"/>
    <w:rsid w:val="004018B5"/>
    <w:rsid w:val="00426647"/>
    <w:rsid w:val="004521F6"/>
    <w:rsid w:val="00462362"/>
    <w:rsid w:val="00483116"/>
    <w:rsid w:val="0049450E"/>
    <w:rsid w:val="004B7C15"/>
    <w:rsid w:val="004C3F91"/>
    <w:rsid w:val="0050168C"/>
    <w:rsid w:val="00512E99"/>
    <w:rsid w:val="00531D2D"/>
    <w:rsid w:val="00532DF5"/>
    <w:rsid w:val="00562787"/>
    <w:rsid w:val="00576F8E"/>
    <w:rsid w:val="005B6AAA"/>
    <w:rsid w:val="005C15B2"/>
    <w:rsid w:val="0061311B"/>
    <w:rsid w:val="00613D9B"/>
    <w:rsid w:val="00622FCA"/>
    <w:rsid w:val="00653DE7"/>
    <w:rsid w:val="006562C7"/>
    <w:rsid w:val="00660589"/>
    <w:rsid w:val="00666BA9"/>
    <w:rsid w:val="00687E9C"/>
    <w:rsid w:val="006A345C"/>
    <w:rsid w:val="006C64A9"/>
    <w:rsid w:val="006F5AD8"/>
    <w:rsid w:val="007164EC"/>
    <w:rsid w:val="00735850"/>
    <w:rsid w:val="00752251"/>
    <w:rsid w:val="007525E8"/>
    <w:rsid w:val="00754182"/>
    <w:rsid w:val="00755358"/>
    <w:rsid w:val="00764686"/>
    <w:rsid w:val="00765EA7"/>
    <w:rsid w:val="00782E80"/>
    <w:rsid w:val="007A230D"/>
    <w:rsid w:val="007C1C60"/>
    <w:rsid w:val="007D3EB9"/>
    <w:rsid w:val="00836985"/>
    <w:rsid w:val="00865242"/>
    <w:rsid w:val="008939AB"/>
    <w:rsid w:val="008B4AE6"/>
    <w:rsid w:val="008D2840"/>
    <w:rsid w:val="008F526D"/>
    <w:rsid w:val="00900BCF"/>
    <w:rsid w:val="00916ECB"/>
    <w:rsid w:val="00944093"/>
    <w:rsid w:val="00947D02"/>
    <w:rsid w:val="00964AB5"/>
    <w:rsid w:val="00967E06"/>
    <w:rsid w:val="0097034C"/>
    <w:rsid w:val="009E312C"/>
    <w:rsid w:val="009E6310"/>
    <w:rsid w:val="00A11616"/>
    <w:rsid w:val="00A31952"/>
    <w:rsid w:val="00A650AB"/>
    <w:rsid w:val="00A87739"/>
    <w:rsid w:val="00A94737"/>
    <w:rsid w:val="00AA4BF4"/>
    <w:rsid w:val="00AB1C5C"/>
    <w:rsid w:val="00AD5243"/>
    <w:rsid w:val="00AE4548"/>
    <w:rsid w:val="00AE684D"/>
    <w:rsid w:val="00AF3C32"/>
    <w:rsid w:val="00AF4D73"/>
    <w:rsid w:val="00B13AFF"/>
    <w:rsid w:val="00B5008F"/>
    <w:rsid w:val="00B56413"/>
    <w:rsid w:val="00B74BC1"/>
    <w:rsid w:val="00B77D14"/>
    <w:rsid w:val="00BA042B"/>
    <w:rsid w:val="00BB04DB"/>
    <w:rsid w:val="00BC11E3"/>
    <w:rsid w:val="00BC20C0"/>
    <w:rsid w:val="00BD7F54"/>
    <w:rsid w:val="00BE430A"/>
    <w:rsid w:val="00C0033E"/>
    <w:rsid w:val="00C551AD"/>
    <w:rsid w:val="00C651DF"/>
    <w:rsid w:val="00CB3721"/>
    <w:rsid w:val="00CC7F48"/>
    <w:rsid w:val="00CE64C8"/>
    <w:rsid w:val="00CE6AD3"/>
    <w:rsid w:val="00D01E2C"/>
    <w:rsid w:val="00D55CE2"/>
    <w:rsid w:val="00D70A02"/>
    <w:rsid w:val="00D81E62"/>
    <w:rsid w:val="00D87986"/>
    <w:rsid w:val="00DA6FFF"/>
    <w:rsid w:val="00DC0ED3"/>
    <w:rsid w:val="00DD0391"/>
    <w:rsid w:val="00DE367F"/>
    <w:rsid w:val="00E01786"/>
    <w:rsid w:val="00E03F93"/>
    <w:rsid w:val="00E07B4E"/>
    <w:rsid w:val="00E452E2"/>
    <w:rsid w:val="00E513A2"/>
    <w:rsid w:val="00E63C22"/>
    <w:rsid w:val="00E77CFE"/>
    <w:rsid w:val="00EA6A15"/>
    <w:rsid w:val="00EB59D3"/>
    <w:rsid w:val="00ED1E8C"/>
    <w:rsid w:val="00EE1C26"/>
    <w:rsid w:val="00EE4AC6"/>
    <w:rsid w:val="00EE5F83"/>
    <w:rsid w:val="00EF1124"/>
    <w:rsid w:val="00F639E4"/>
    <w:rsid w:val="00F76291"/>
    <w:rsid w:val="00FA336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82C39D"/>
  <w15:chartTrackingRefBased/>
  <w15:docId w15:val="{FBF5C232-6FE1-46B2-9FD0-3DC315A8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C0033E"/>
    <w:pPr>
      <w:spacing w:before="100" w:beforeAutospacing="1" w:after="100" w:afterAutospacing="1" w:line="240" w:lineRule="auto"/>
      <w:outlineLvl w:val="0"/>
    </w:pPr>
    <w:rPr>
      <w:rFonts w:ascii="Georgia" w:eastAsia="Times New Roman" w:hAnsi="Georgia" w:cs="Times New Roman"/>
      <w:color w:val="000000"/>
      <w:kern w:val="36"/>
      <w:sz w:val="42"/>
      <w:szCs w:val="42"/>
      <w:lang w:val="en-US"/>
    </w:rPr>
  </w:style>
  <w:style w:type="paragraph" w:styleId="Heading2">
    <w:name w:val="heading 2"/>
    <w:basedOn w:val="Normal"/>
    <w:next w:val="Normal"/>
    <w:link w:val="Heading2Char"/>
    <w:uiPriority w:val="9"/>
    <w:semiHidden/>
    <w:unhideWhenUsed/>
    <w:qFormat/>
    <w:rsid w:val="00C0033E"/>
    <w:pPr>
      <w:keepNext/>
      <w:keepLines/>
      <w:spacing w:before="200" w:after="0" w:line="276" w:lineRule="auto"/>
      <w:outlineLvl w:val="1"/>
    </w:pPr>
    <w:rPr>
      <w:rFonts w:ascii="Cambria" w:eastAsia="Times New Roman" w:hAnsi="Cambria" w:cs="Mangal"/>
      <w:b/>
      <w:bCs/>
      <w:color w:val="4F81BD"/>
      <w:sz w:val="26"/>
      <w:szCs w:val="23"/>
      <w:lang w:val="en-US"/>
    </w:rPr>
  </w:style>
  <w:style w:type="paragraph" w:styleId="Heading3">
    <w:name w:val="heading 3"/>
    <w:basedOn w:val="Normal"/>
    <w:link w:val="Heading3Char"/>
    <w:uiPriority w:val="9"/>
    <w:qFormat/>
    <w:rsid w:val="00C0033E"/>
    <w:pPr>
      <w:spacing w:before="100" w:beforeAutospacing="1" w:after="100" w:afterAutospacing="1" w:line="240" w:lineRule="auto"/>
      <w:outlineLvl w:val="2"/>
    </w:pPr>
    <w:rPr>
      <w:rFonts w:ascii="Times New Roman" w:eastAsia="Times New Roman" w:hAnsi="Times New Roman" w:cs="Times New Roman"/>
      <w:b/>
      <w:bCs/>
      <w:color w:val="000000"/>
      <w:sz w:val="27"/>
      <w:szCs w:val="27"/>
      <w:lang w:val="en-US"/>
    </w:rPr>
  </w:style>
  <w:style w:type="paragraph" w:styleId="Heading5">
    <w:name w:val="heading 5"/>
    <w:basedOn w:val="Normal"/>
    <w:next w:val="Normal"/>
    <w:link w:val="Heading5Char"/>
    <w:uiPriority w:val="9"/>
    <w:unhideWhenUsed/>
    <w:qFormat/>
    <w:rsid w:val="00C0033E"/>
    <w:pPr>
      <w:spacing w:before="240" w:after="60" w:line="276" w:lineRule="auto"/>
      <w:outlineLvl w:val="4"/>
    </w:pPr>
    <w:rPr>
      <w:rFonts w:ascii="Calibri" w:eastAsia="Times New Roman" w:hAnsi="Calibri" w:cs="Mangal"/>
      <w:b/>
      <w:bCs/>
      <w:i/>
      <w:iCs/>
      <w:sz w:val="26"/>
      <w:szCs w:val="23"/>
      <w:lang w:val="en-US"/>
    </w:rPr>
  </w:style>
  <w:style w:type="paragraph" w:styleId="Heading8">
    <w:name w:val="heading 8"/>
    <w:basedOn w:val="Normal"/>
    <w:link w:val="Heading8Char"/>
    <w:uiPriority w:val="9"/>
    <w:qFormat/>
    <w:rsid w:val="00C0033E"/>
    <w:pPr>
      <w:spacing w:before="100" w:beforeAutospacing="1" w:after="100" w:afterAutospacing="1" w:line="240" w:lineRule="auto"/>
      <w:outlineLvl w:val="7"/>
    </w:pPr>
    <w:rPr>
      <w:rFonts w:ascii="Times New Roman" w:eastAsia="Times New Roman" w:hAnsi="Times New Roman" w:cs="Times New Roman"/>
      <w:color w:val="000000"/>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033E"/>
    <w:rPr>
      <w:rFonts w:ascii="Georgia" w:eastAsia="Times New Roman" w:hAnsi="Georgia" w:cs="Times New Roman"/>
      <w:color w:val="000000"/>
      <w:kern w:val="36"/>
      <w:sz w:val="42"/>
      <w:szCs w:val="42"/>
      <w:lang w:val="en-US"/>
    </w:rPr>
  </w:style>
  <w:style w:type="character" w:customStyle="1" w:styleId="Heading2Char">
    <w:name w:val="Heading 2 Char"/>
    <w:basedOn w:val="DefaultParagraphFont"/>
    <w:link w:val="Heading2"/>
    <w:uiPriority w:val="9"/>
    <w:semiHidden/>
    <w:rsid w:val="00C0033E"/>
    <w:rPr>
      <w:rFonts w:ascii="Cambria" w:eastAsia="Times New Roman" w:hAnsi="Cambria" w:cs="Mangal"/>
      <w:b/>
      <w:bCs/>
      <w:color w:val="4F81BD"/>
      <w:sz w:val="26"/>
      <w:szCs w:val="23"/>
      <w:lang w:val="en-US"/>
    </w:rPr>
  </w:style>
  <w:style w:type="character" w:customStyle="1" w:styleId="Heading3Char">
    <w:name w:val="Heading 3 Char"/>
    <w:basedOn w:val="DefaultParagraphFont"/>
    <w:link w:val="Heading3"/>
    <w:uiPriority w:val="9"/>
    <w:rsid w:val="00C0033E"/>
    <w:rPr>
      <w:rFonts w:ascii="Times New Roman" w:eastAsia="Times New Roman" w:hAnsi="Times New Roman" w:cs="Times New Roman"/>
      <w:b/>
      <w:bCs/>
      <w:color w:val="000000"/>
      <w:sz w:val="27"/>
      <w:szCs w:val="27"/>
      <w:lang w:val="en-US"/>
    </w:rPr>
  </w:style>
  <w:style w:type="character" w:customStyle="1" w:styleId="Heading5Char">
    <w:name w:val="Heading 5 Char"/>
    <w:basedOn w:val="DefaultParagraphFont"/>
    <w:link w:val="Heading5"/>
    <w:uiPriority w:val="9"/>
    <w:rsid w:val="00C0033E"/>
    <w:rPr>
      <w:rFonts w:ascii="Calibri" w:eastAsia="Times New Roman" w:hAnsi="Calibri" w:cs="Mangal"/>
      <w:b/>
      <w:bCs/>
      <w:i/>
      <w:iCs/>
      <w:sz w:val="26"/>
      <w:szCs w:val="23"/>
      <w:lang w:val="en-US"/>
    </w:rPr>
  </w:style>
  <w:style w:type="character" w:customStyle="1" w:styleId="Heading8Char">
    <w:name w:val="Heading 8 Char"/>
    <w:basedOn w:val="DefaultParagraphFont"/>
    <w:link w:val="Heading8"/>
    <w:uiPriority w:val="9"/>
    <w:rsid w:val="00C0033E"/>
    <w:rPr>
      <w:rFonts w:ascii="Times New Roman" w:eastAsia="Times New Roman" w:hAnsi="Times New Roman" w:cs="Times New Roman"/>
      <w:color w:val="000000"/>
      <w:sz w:val="24"/>
      <w:szCs w:val="24"/>
      <w:lang w:val="en-US"/>
    </w:rPr>
  </w:style>
  <w:style w:type="paragraph" w:styleId="BalloonText">
    <w:name w:val="Balloon Text"/>
    <w:basedOn w:val="Normal"/>
    <w:link w:val="BalloonTextChar"/>
    <w:uiPriority w:val="99"/>
    <w:semiHidden/>
    <w:unhideWhenUsed/>
    <w:rsid w:val="00C0033E"/>
    <w:pPr>
      <w:spacing w:after="0" w:line="240" w:lineRule="auto"/>
    </w:pPr>
    <w:rPr>
      <w:rFonts w:ascii="Tahoma" w:eastAsia="Calibri" w:hAnsi="Tahoma" w:cs="Mangal"/>
      <w:sz w:val="16"/>
      <w:szCs w:val="14"/>
      <w:lang w:val="en-US"/>
    </w:rPr>
  </w:style>
  <w:style w:type="character" w:customStyle="1" w:styleId="BalloonTextChar">
    <w:name w:val="Balloon Text Char"/>
    <w:basedOn w:val="DefaultParagraphFont"/>
    <w:link w:val="BalloonText"/>
    <w:uiPriority w:val="99"/>
    <w:semiHidden/>
    <w:rsid w:val="00C0033E"/>
    <w:rPr>
      <w:rFonts w:ascii="Tahoma" w:eastAsia="Calibri" w:hAnsi="Tahoma" w:cs="Mangal"/>
      <w:sz w:val="16"/>
      <w:szCs w:val="14"/>
      <w:lang w:val="en-US"/>
    </w:rPr>
  </w:style>
  <w:style w:type="paragraph" w:customStyle="1" w:styleId="Default">
    <w:name w:val="Default"/>
    <w:rsid w:val="00C0033E"/>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styleId="NormalWeb">
    <w:name w:val="Normal (Web)"/>
    <w:basedOn w:val="Normal"/>
    <w:uiPriority w:val="99"/>
    <w:unhideWhenUsed/>
    <w:rsid w:val="00C0033E"/>
    <w:pPr>
      <w:spacing w:before="100" w:beforeAutospacing="1" w:after="100" w:afterAutospacing="1" w:line="240" w:lineRule="auto"/>
    </w:pPr>
    <w:rPr>
      <w:rFonts w:ascii="Times New Roman" w:eastAsia="Times New Roman" w:hAnsi="Times New Roman" w:cs="Times New Roman"/>
      <w:color w:val="000000"/>
      <w:sz w:val="24"/>
      <w:szCs w:val="24"/>
      <w:lang w:val="en-US"/>
    </w:rPr>
  </w:style>
  <w:style w:type="character" w:styleId="Hyperlink">
    <w:name w:val="Hyperlink"/>
    <w:uiPriority w:val="99"/>
    <w:unhideWhenUsed/>
    <w:rsid w:val="00C0033E"/>
    <w:rPr>
      <w:color w:val="0000FF"/>
      <w:u w:val="single"/>
    </w:rPr>
  </w:style>
  <w:style w:type="character" w:customStyle="1" w:styleId="headline">
    <w:name w:val="headline"/>
    <w:basedOn w:val="DefaultParagraphFont"/>
    <w:rsid w:val="00C0033E"/>
  </w:style>
  <w:style w:type="character" w:customStyle="1" w:styleId="desc">
    <w:name w:val="desc"/>
    <w:basedOn w:val="DefaultParagraphFont"/>
    <w:rsid w:val="00C0033E"/>
  </w:style>
  <w:style w:type="character" w:customStyle="1" w:styleId="dispurl">
    <w:name w:val="dispurl"/>
    <w:basedOn w:val="DefaultParagraphFont"/>
    <w:rsid w:val="00C0033E"/>
  </w:style>
  <w:style w:type="character" w:customStyle="1" w:styleId="sm11">
    <w:name w:val="sm11"/>
    <w:rsid w:val="00C0033E"/>
    <w:rPr>
      <w:sz w:val="17"/>
      <w:szCs w:val="17"/>
    </w:rPr>
  </w:style>
  <w:style w:type="character" w:styleId="Strong">
    <w:name w:val="Strong"/>
    <w:uiPriority w:val="22"/>
    <w:qFormat/>
    <w:rsid w:val="00C0033E"/>
    <w:rPr>
      <w:b/>
      <w:bCs/>
    </w:rPr>
  </w:style>
  <w:style w:type="paragraph" w:customStyle="1" w:styleId="cont470">
    <w:name w:val="cont470"/>
    <w:basedOn w:val="Normal"/>
    <w:rsid w:val="00C0033E"/>
    <w:pPr>
      <w:spacing w:before="100" w:beforeAutospacing="1" w:after="100" w:afterAutospacing="1" w:line="240" w:lineRule="auto"/>
    </w:pPr>
    <w:rPr>
      <w:rFonts w:ascii="Georgia" w:eastAsia="Times New Roman" w:hAnsi="Georgia" w:cs="Times New Roman"/>
      <w:color w:val="636363"/>
      <w:sz w:val="18"/>
      <w:szCs w:val="18"/>
      <w:lang w:val="en-US"/>
    </w:rPr>
  </w:style>
  <w:style w:type="paragraph" w:customStyle="1" w:styleId="font-11">
    <w:name w:val="font-11"/>
    <w:basedOn w:val="Normal"/>
    <w:rsid w:val="00C0033E"/>
    <w:pPr>
      <w:spacing w:before="100" w:beforeAutospacing="1" w:after="100" w:afterAutospacing="1" w:line="240" w:lineRule="auto"/>
    </w:pPr>
    <w:rPr>
      <w:rFonts w:ascii="Georgia" w:eastAsia="Times New Roman" w:hAnsi="Georgia" w:cs="Times New Roman"/>
      <w:color w:val="636363"/>
      <w:sz w:val="17"/>
      <w:szCs w:val="17"/>
      <w:lang w:val="en-US"/>
    </w:rPr>
  </w:style>
  <w:style w:type="paragraph" w:customStyle="1" w:styleId="pad-tb10">
    <w:name w:val="pad-tb10"/>
    <w:basedOn w:val="Normal"/>
    <w:rsid w:val="00C0033E"/>
    <w:pPr>
      <w:spacing w:before="100" w:beforeAutospacing="1" w:after="100" w:afterAutospacing="1" w:line="240" w:lineRule="auto"/>
    </w:pPr>
    <w:rPr>
      <w:rFonts w:ascii="Georgia" w:eastAsia="Times New Roman" w:hAnsi="Georgia" w:cs="Times New Roman"/>
      <w:color w:val="636363"/>
      <w:sz w:val="18"/>
      <w:szCs w:val="18"/>
      <w:lang w:val="en-US"/>
    </w:rPr>
  </w:style>
  <w:style w:type="character" w:customStyle="1" w:styleId="dir">
    <w:name w:val="dir"/>
    <w:basedOn w:val="DefaultParagraphFont"/>
    <w:rsid w:val="00C0033E"/>
  </w:style>
  <w:style w:type="paragraph" w:styleId="z-TopofForm">
    <w:name w:val="HTML Top of Form"/>
    <w:basedOn w:val="Normal"/>
    <w:next w:val="Normal"/>
    <w:link w:val="z-TopofFormChar"/>
    <w:hidden/>
    <w:uiPriority w:val="99"/>
    <w:semiHidden/>
    <w:unhideWhenUsed/>
    <w:rsid w:val="00C0033E"/>
    <w:pPr>
      <w:pBdr>
        <w:bottom w:val="single" w:sz="6" w:space="1" w:color="auto"/>
      </w:pBdr>
      <w:spacing w:after="0" w:line="240" w:lineRule="auto"/>
      <w:jc w:val="center"/>
    </w:pPr>
    <w:rPr>
      <w:rFonts w:ascii="Arial" w:eastAsia="Times New Roman" w:hAnsi="Arial" w:cs="Mangal"/>
      <w:vanish/>
      <w:sz w:val="16"/>
      <w:szCs w:val="14"/>
      <w:lang w:val="en-US"/>
    </w:rPr>
  </w:style>
  <w:style w:type="character" w:customStyle="1" w:styleId="z-TopofFormChar">
    <w:name w:val="z-Top of Form Char"/>
    <w:basedOn w:val="DefaultParagraphFont"/>
    <w:link w:val="z-TopofForm"/>
    <w:uiPriority w:val="99"/>
    <w:semiHidden/>
    <w:rsid w:val="00C0033E"/>
    <w:rPr>
      <w:rFonts w:ascii="Arial" w:eastAsia="Times New Roman" w:hAnsi="Arial" w:cs="Mangal"/>
      <w:vanish/>
      <w:sz w:val="16"/>
      <w:szCs w:val="14"/>
      <w:lang w:val="en-US"/>
    </w:rPr>
  </w:style>
  <w:style w:type="paragraph" w:styleId="z-BottomofForm">
    <w:name w:val="HTML Bottom of Form"/>
    <w:basedOn w:val="Normal"/>
    <w:next w:val="Normal"/>
    <w:link w:val="z-BottomofFormChar"/>
    <w:hidden/>
    <w:uiPriority w:val="99"/>
    <w:semiHidden/>
    <w:unhideWhenUsed/>
    <w:rsid w:val="00C0033E"/>
    <w:pPr>
      <w:pBdr>
        <w:top w:val="single" w:sz="6" w:space="1" w:color="auto"/>
      </w:pBdr>
      <w:spacing w:after="0" w:line="240" w:lineRule="auto"/>
      <w:jc w:val="center"/>
    </w:pPr>
    <w:rPr>
      <w:rFonts w:ascii="Arial" w:eastAsia="Times New Roman" w:hAnsi="Arial" w:cs="Mangal"/>
      <w:vanish/>
      <w:sz w:val="16"/>
      <w:szCs w:val="14"/>
      <w:lang w:val="en-US"/>
    </w:rPr>
  </w:style>
  <w:style w:type="character" w:customStyle="1" w:styleId="z-BottomofFormChar">
    <w:name w:val="z-Bottom of Form Char"/>
    <w:basedOn w:val="DefaultParagraphFont"/>
    <w:link w:val="z-BottomofForm"/>
    <w:uiPriority w:val="99"/>
    <w:semiHidden/>
    <w:rsid w:val="00C0033E"/>
    <w:rPr>
      <w:rFonts w:ascii="Arial" w:eastAsia="Times New Roman" w:hAnsi="Arial" w:cs="Mangal"/>
      <w:vanish/>
      <w:sz w:val="16"/>
      <w:szCs w:val="14"/>
      <w:lang w:val="en-US"/>
    </w:rPr>
  </w:style>
  <w:style w:type="paragraph" w:customStyle="1" w:styleId="font11">
    <w:name w:val="font11"/>
    <w:basedOn w:val="Normal"/>
    <w:rsid w:val="00C0033E"/>
    <w:pPr>
      <w:spacing w:before="100" w:beforeAutospacing="1" w:after="100" w:afterAutospacing="1" w:line="240" w:lineRule="auto"/>
    </w:pPr>
    <w:rPr>
      <w:rFonts w:ascii="Georgia" w:eastAsia="Times New Roman" w:hAnsi="Georgia" w:cs="Times New Roman"/>
      <w:color w:val="636363"/>
      <w:sz w:val="18"/>
      <w:szCs w:val="18"/>
      <w:lang w:val="en-US"/>
    </w:rPr>
  </w:style>
  <w:style w:type="character" w:customStyle="1" w:styleId="chicklets3">
    <w:name w:val="chicklets3"/>
    <w:rsid w:val="00C0033E"/>
    <w:rPr>
      <w:rFonts w:ascii="Verdana" w:hAnsi="Verdana" w:hint="default"/>
      <w:sz w:val="17"/>
      <w:szCs w:val="17"/>
      <w:shd w:val="clear" w:color="auto" w:fill="auto"/>
    </w:rPr>
  </w:style>
  <w:style w:type="paragraph" w:customStyle="1" w:styleId="font-111">
    <w:name w:val="font-111"/>
    <w:basedOn w:val="Normal"/>
    <w:rsid w:val="00C0033E"/>
    <w:pPr>
      <w:spacing w:before="150" w:after="100" w:afterAutospacing="1" w:line="270" w:lineRule="atLeast"/>
    </w:pPr>
    <w:rPr>
      <w:rFonts w:ascii="Georgia" w:eastAsia="Times New Roman" w:hAnsi="Georgia" w:cs="Times New Roman"/>
      <w:color w:val="636363"/>
      <w:sz w:val="21"/>
      <w:szCs w:val="21"/>
      <w:lang w:val="en-US"/>
    </w:rPr>
  </w:style>
  <w:style w:type="character" w:styleId="Emphasis">
    <w:name w:val="Emphasis"/>
    <w:uiPriority w:val="20"/>
    <w:qFormat/>
    <w:rsid w:val="00C0033E"/>
    <w:rPr>
      <w:i/>
      <w:iCs/>
    </w:rPr>
  </w:style>
  <w:style w:type="character" w:customStyle="1" w:styleId="hidethis">
    <w:name w:val="hidethis"/>
    <w:basedOn w:val="DefaultParagraphFont"/>
    <w:rsid w:val="00C0033E"/>
  </w:style>
  <w:style w:type="paragraph" w:styleId="PlainText">
    <w:name w:val="Plain Text"/>
    <w:basedOn w:val="Normal"/>
    <w:link w:val="PlainTextChar"/>
    <w:uiPriority w:val="99"/>
    <w:unhideWhenUsed/>
    <w:rsid w:val="00C0033E"/>
    <w:pPr>
      <w:spacing w:before="100" w:beforeAutospacing="1" w:after="100" w:afterAutospacing="1" w:line="240" w:lineRule="auto"/>
    </w:pPr>
    <w:rPr>
      <w:rFonts w:ascii="Times New Roman" w:eastAsia="Times New Roman" w:hAnsi="Times New Roman" w:cs="Times New Roman"/>
      <w:color w:val="000000"/>
      <w:sz w:val="24"/>
      <w:szCs w:val="24"/>
      <w:lang w:val="en-US"/>
    </w:rPr>
  </w:style>
  <w:style w:type="character" w:customStyle="1" w:styleId="PlainTextChar">
    <w:name w:val="Plain Text Char"/>
    <w:basedOn w:val="DefaultParagraphFont"/>
    <w:link w:val="PlainText"/>
    <w:uiPriority w:val="99"/>
    <w:rsid w:val="00C0033E"/>
    <w:rPr>
      <w:rFonts w:ascii="Times New Roman" w:eastAsia="Times New Roman" w:hAnsi="Times New Roman" w:cs="Times New Roman"/>
      <w:color w:val="000000"/>
      <w:sz w:val="24"/>
      <w:szCs w:val="24"/>
      <w:lang w:val="en-US"/>
    </w:rPr>
  </w:style>
  <w:style w:type="paragraph" w:styleId="BodyText2">
    <w:name w:val="Body Text 2"/>
    <w:basedOn w:val="Normal"/>
    <w:link w:val="BodyText2Char"/>
    <w:uiPriority w:val="99"/>
    <w:unhideWhenUsed/>
    <w:rsid w:val="00C0033E"/>
    <w:pPr>
      <w:spacing w:before="100" w:beforeAutospacing="1" w:after="100" w:afterAutospacing="1" w:line="240" w:lineRule="auto"/>
    </w:pPr>
    <w:rPr>
      <w:rFonts w:ascii="Times New Roman" w:eastAsia="Times New Roman" w:hAnsi="Times New Roman" w:cs="Times New Roman"/>
      <w:color w:val="000000"/>
      <w:sz w:val="24"/>
      <w:szCs w:val="24"/>
      <w:lang w:val="en-US"/>
    </w:rPr>
  </w:style>
  <w:style w:type="character" w:customStyle="1" w:styleId="BodyText2Char">
    <w:name w:val="Body Text 2 Char"/>
    <w:basedOn w:val="DefaultParagraphFont"/>
    <w:link w:val="BodyText2"/>
    <w:uiPriority w:val="99"/>
    <w:rsid w:val="00C0033E"/>
    <w:rPr>
      <w:rFonts w:ascii="Times New Roman" w:eastAsia="Times New Roman" w:hAnsi="Times New Roman" w:cs="Times New Roman"/>
      <w:color w:val="000000"/>
      <w:sz w:val="24"/>
      <w:szCs w:val="24"/>
      <w:lang w:val="en-US"/>
    </w:rPr>
  </w:style>
  <w:style w:type="paragraph" w:styleId="BodyTextIndent">
    <w:name w:val="Body Text Indent"/>
    <w:basedOn w:val="Normal"/>
    <w:link w:val="BodyTextIndentChar"/>
    <w:uiPriority w:val="99"/>
    <w:semiHidden/>
    <w:unhideWhenUsed/>
    <w:rsid w:val="00C0033E"/>
    <w:pPr>
      <w:spacing w:before="100" w:beforeAutospacing="1" w:after="100" w:afterAutospacing="1" w:line="240" w:lineRule="auto"/>
    </w:pPr>
    <w:rPr>
      <w:rFonts w:ascii="Times New Roman" w:eastAsia="Times New Roman" w:hAnsi="Times New Roman" w:cs="Times New Roman"/>
      <w:color w:val="000000"/>
      <w:sz w:val="24"/>
      <w:szCs w:val="24"/>
      <w:lang w:val="en-US"/>
    </w:rPr>
  </w:style>
  <w:style w:type="character" w:customStyle="1" w:styleId="BodyTextIndentChar">
    <w:name w:val="Body Text Indent Char"/>
    <w:basedOn w:val="DefaultParagraphFont"/>
    <w:link w:val="BodyTextIndent"/>
    <w:uiPriority w:val="99"/>
    <w:semiHidden/>
    <w:rsid w:val="00C0033E"/>
    <w:rPr>
      <w:rFonts w:ascii="Times New Roman" w:eastAsia="Times New Roman" w:hAnsi="Times New Roman" w:cs="Times New Roman"/>
      <w:color w:val="000000"/>
      <w:sz w:val="24"/>
      <w:szCs w:val="24"/>
      <w:lang w:val="en-US"/>
    </w:rPr>
  </w:style>
  <w:style w:type="paragraph" w:styleId="BodyText">
    <w:name w:val="Body Text"/>
    <w:basedOn w:val="Normal"/>
    <w:link w:val="BodyTextChar"/>
    <w:uiPriority w:val="99"/>
    <w:semiHidden/>
    <w:unhideWhenUsed/>
    <w:rsid w:val="00C0033E"/>
    <w:pPr>
      <w:spacing w:before="100" w:beforeAutospacing="1" w:after="100" w:afterAutospacing="1" w:line="240" w:lineRule="auto"/>
    </w:pPr>
    <w:rPr>
      <w:rFonts w:ascii="Times New Roman" w:eastAsia="Times New Roman" w:hAnsi="Times New Roman" w:cs="Times New Roman"/>
      <w:color w:val="000000"/>
      <w:sz w:val="24"/>
      <w:szCs w:val="24"/>
      <w:lang w:val="en-US"/>
    </w:rPr>
  </w:style>
  <w:style w:type="character" w:customStyle="1" w:styleId="BodyTextChar">
    <w:name w:val="Body Text Char"/>
    <w:basedOn w:val="DefaultParagraphFont"/>
    <w:link w:val="BodyText"/>
    <w:uiPriority w:val="99"/>
    <w:semiHidden/>
    <w:rsid w:val="00C0033E"/>
    <w:rPr>
      <w:rFonts w:ascii="Times New Roman" w:eastAsia="Times New Roman" w:hAnsi="Times New Roman" w:cs="Times New Roman"/>
      <w:color w:val="000000"/>
      <w:sz w:val="24"/>
      <w:szCs w:val="24"/>
      <w:lang w:val="en-US"/>
    </w:rPr>
  </w:style>
  <w:style w:type="paragraph" w:styleId="BodyTextIndent2">
    <w:name w:val="Body Text Indent 2"/>
    <w:basedOn w:val="Normal"/>
    <w:link w:val="BodyTextIndent2Char"/>
    <w:uiPriority w:val="99"/>
    <w:semiHidden/>
    <w:unhideWhenUsed/>
    <w:rsid w:val="00C0033E"/>
    <w:pPr>
      <w:spacing w:before="100" w:beforeAutospacing="1" w:after="100" w:afterAutospacing="1" w:line="240" w:lineRule="auto"/>
    </w:pPr>
    <w:rPr>
      <w:rFonts w:ascii="Times New Roman" w:eastAsia="Times New Roman" w:hAnsi="Times New Roman" w:cs="Times New Roman"/>
      <w:color w:val="000000"/>
      <w:sz w:val="24"/>
      <w:szCs w:val="24"/>
      <w:lang w:val="en-US"/>
    </w:rPr>
  </w:style>
  <w:style w:type="character" w:customStyle="1" w:styleId="BodyTextIndent2Char">
    <w:name w:val="Body Text Indent 2 Char"/>
    <w:basedOn w:val="DefaultParagraphFont"/>
    <w:link w:val="BodyTextIndent2"/>
    <w:uiPriority w:val="99"/>
    <w:semiHidden/>
    <w:rsid w:val="00C0033E"/>
    <w:rPr>
      <w:rFonts w:ascii="Times New Roman" w:eastAsia="Times New Roman" w:hAnsi="Times New Roman" w:cs="Times New Roman"/>
      <w:color w:val="000000"/>
      <w:sz w:val="24"/>
      <w:szCs w:val="24"/>
      <w:lang w:val="en-US"/>
    </w:rPr>
  </w:style>
  <w:style w:type="paragraph" w:styleId="BodyText3">
    <w:name w:val="Body Text 3"/>
    <w:basedOn w:val="Normal"/>
    <w:link w:val="BodyText3Char"/>
    <w:uiPriority w:val="99"/>
    <w:semiHidden/>
    <w:unhideWhenUsed/>
    <w:rsid w:val="00C0033E"/>
    <w:pPr>
      <w:spacing w:before="100" w:beforeAutospacing="1" w:after="100" w:afterAutospacing="1" w:line="240" w:lineRule="auto"/>
    </w:pPr>
    <w:rPr>
      <w:rFonts w:ascii="Times New Roman" w:eastAsia="Times New Roman" w:hAnsi="Times New Roman" w:cs="Times New Roman"/>
      <w:color w:val="000000"/>
      <w:sz w:val="24"/>
      <w:szCs w:val="24"/>
      <w:lang w:val="en-US"/>
    </w:rPr>
  </w:style>
  <w:style w:type="character" w:customStyle="1" w:styleId="BodyText3Char">
    <w:name w:val="Body Text 3 Char"/>
    <w:basedOn w:val="DefaultParagraphFont"/>
    <w:link w:val="BodyText3"/>
    <w:uiPriority w:val="99"/>
    <w:semiHidden/>
    <w:rsid w:val="00C0033E"/>
    <w:rPr>
      <w:rFonts w:ascii="Times New Roman" w:eastAsia="Times New Roman" w:hAnsi="Times New Roman" w:cs="Times New Roman"/>
      <w:color w:val="000000"/>
      <w:sz w:val="24"/>
      <w:szCs w:val="24"/>
      <w:lang w:val="en-US"/>
    </w:rPr>
  </w:style>
  <w:style w:type="paragraph" w:styleId="BodyTextIndent3">
    <w:name w:val="Body Text Indent 3"/>
    <w:basedOn w:val="Normal"/>
    <w:link w:val="BodyTextIndent3Char"/>
    <w:uiPriority w:val="99"/>
    <w:semiHidden/>
    <w:unhideWhenUsed/>
    <w:rsid w:val="00C0033E"/>
    <w:pPr>
      <w:spacing w:before="100" w:beforeAutospacing="1" w:after="100" w:afterAutospacing="1" w:line="240" w:lineRule="auto"/>
    </w:pPr>
    <w:rPr>
      <w:rFonts w:ascii="Times New Roman" w:eastAsia="Times New Roman" w:hAnsi="Times New Roman" w:cs="Times New Roman"/>
      <w:color w:val="000000"/>
      <w:sz w:val="24"/>
      <w:szCs w:val="24"/>
      <w:lang w:val="en-US"/>
    </w:rPr>
  </w:style>
  <w:style w:type="character" w:customStyle="1" w:styleId="BodyTextIndent3Char">
    <w:name w:val="Body Text Indent 3 Char"/>
    <w:basedOn w:val="DefaultParagraphFont"/>
    <w:link w:val="BodyTextIndent3"/>
    <w:uiPriority w:val="99"/>
    <w:semiHidden/>
    <w:rsid w:val="00C0033E"/>
    <w:rPr>
      <w:rFonts w:ascii="Times New Roman" w:eastAsia="Times New Roman" w:hAnsi="Times New Roman" w:cs="Times New Roman"/>
      <w:color w:val="000000"/>
      <w:sz w:val="24"/>
      <w:szCs w:val="24"/>
      <w:lang w:val="en-US"/>
    </w:rPr>
  </w:style>
  <w:style w:type="paragraph" w:customStyle="1" w:styleId="Pa10">
    <w:name w:val="Pa10"/>
    <w:basedOn w:val="Default"/>
    <w:next w:val="Default"/>
    <w:uiPriority w:val="99"/>
    <w:rsid w:val="00B56413"/>
    <w:pPr>
      <w:spacing w:line="241" w:lineRule="atLeast"/>
    </w:pPr>
    <w:rPr>
      <w:rFonts w:eastAsiaTheme="minorHAnsi" w:cs="Mangal"/>
      <w:color w:val="auto"/>
      <w:lang w:val="en-IN"/>
    </w:rPr>
  </w:style>
  <w:style w:type="character" w:customStyle="1" w:styleId="A9">
    <w:name w:val="A9"/>
    <w:uiPriority w:val="99"/>
    <w:rsid w:val="00B56413"/>
    <w:rPr>
      <w:rFonts w:cs="Times New Roman"/>
      <w:color w:val="211D1E"/>
      <w:sz w:val="22"/>
      <w:szCs w:val="22"/>
    </w:rPr>
  </w:style>
  <w:style w:type="character" w:customStyle="1" w:styleId="A5">
    <w:name w:val="A5"/>
    <w:uiPriority w:val="99"/>
    <w:rsid w:val="00B56413"/>
    <w:rPr>
      <w:rFonts w:cs="Times New Roman"/>
      <w:i/>
      <w:iCs/>
      <w:color w:val="211D1E"/>
      <w:sz w:val="18"/>
      <w:szCs w:val="18"/>
    </w:rPr>
  </w:style>
  <w:style w:type="paragraph" w:customStyle="1" w:styleId="Pa7">
    <w:name w:val="Pa7"/>
    <w:basedOn w:val="Default"/>
    <w:next w:val="Default"/>
    <w:uiPriority w:val="99"/>
    <w:rsid w:val="00B56413"/>
    <w:pPr>
      <w:spacing w:line="211" w:lineRule="atLeast"/>
    </w:pPr>
    <w:rPr>
      <w:rFonts w:eastAsiaTheme="minorHAnsi" w:cs="Mangal"/>
      <w:color w:val="auto"/>
      <w:lang w:val="en-IN"/>
    </w:rPr>
  </w:style>
  <w:style w:type="paragraph" w:customStyle="1" w:styleId="Pa9">
    <w:name w:val="Pa9"/>
    <w:basedOn w:val="Default"/>
    <w:next w:val="Default"/>
    <w:uiPriority w:val="99"/>
    <w:rsid w:val="00B56413"/>
    <w:pPr>
      <w:spacing w:line="211" w:lineRule="atLeast"/>
    </w:pPr>
    <w:rPr>
      <w:rFonts w:eastAsiaTheme="minorHAnsi" w:cs="Mangal"/>
      <w:color w:val="auto"/>
      <w:lang w:val="en-IN"/>
    </w:rPr>
  </w:style>
  <w:style w:type="character" w:customStyle="1" w:styleId="A8">
    <w:name w:val="A8"/>
    <w:uiPriority w:val="99"/>
    <w:rsid w:val="00B56413"/>
    <w:rPr>
      <w:rFonts w:ascii="Palatino Linotype" w:hAnsi="Palatino Linotype" w:cs="Palatino Linotype"/>
      <w:color w:val="211D1E"/>
      <w:sz w:val="12"/>
      <w:szCs w:val="12"/>
    </w:rPr>
  </w:style>
  <w:style w:type="paragraph" w:customStyle="1" w:styleId="Pa12">
    <w:name w:val="Pa12"/>
    <w:basedOn w:val="Default"/>
    <w:next w:val="Default"/>
    <w:uiPriority w:val="99"/>
    <w:rsid w:val="00B56413"/>
    <w:pPr>
      <w:spacing w:line="201" w:lineRule="atLeast"/>
    </w:pPr>
    <w:rPr>
      <w:rFonts w:eastAsiaTheme="minorHAnsi" w:cs="Mangal"/>
      <w:color w:val="auto"/>
      <w:lang w:val="en-IN"/>
    </w:rPr>
  </w:style>
  <w:style w:type="paragraph" w:customStyle="1" w:styleId="Pa13">
    <w:name w:val="Pa13"/>
    <w:basedOn w:val="Default"/>
    <w:next w:val="Default"/>
    <w:uiPriority w:val="99"/>
    <w:rsid w:val="00B56413"/>
    <w:pPr>
      <w:spacing w:line="241" w:lineRule="atLeast"/>
    </w:pPr>
    <w:rPr>
      <w:rFonts w:eastAsiaTheme="minorHAnsi" w:cs="Mangal"/>
      <w:color w:val="auto"/>
      <w:lang w:val="en-IN"/>
    </w:rPr>
  </w:style>
  <w:style w:type="table" w:styleId="TableGrid">
    <w:name w:val="Table Grid"/>
    <w:basedOn w:val="TableNormal"/>
    <w:uiPriority w:val="39"/>
    <w:rsid w:val="001200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28518">
      <w:bodyDiv w:val="1"/>
      <w:marLeft w:val="0"/>
      <w:marRight w:val="0"/>
      <w:marTop w:val="0"/>
      <w:marBottom w:val="0"/>
      <w:divBdr>
        <w:top w:val="none" w:sz="0" w:space="0" w:color="auto"/>
        <w:left w:val="none" w:sz="0" w:space="0" w:color="auto"/>
        <w:bottom w:val="none" w:sz="0" w:space="0" w:color="auto"/>
        <w:right w:val="none" w:sz="0" w:space="0" w:color="auto"/>
      </w:divBdr>
      <w:divsChild>
        <w:div w:id="204027778">
          <w:marLeft w:val="0"/>
          <w:marRight w:val="0"/>
          <w:marTop w:val="0"/>
          <w:marBottom w:val="0"/>
          <w:divBdr>
            <w:top w:val="none" w:sz="0" w:space="0" w:color="auto"/>
            <w:left w:val="none" w:sz="0" w:space="0" w:color="auto"/>
            <w:bottom w:val="none" w:sz="0" w:space="0" w:color="auto"/>
            <w:right w:val="none" w:sz="0" w:space="0" w:color="auto"/>
          </w:divBdr>
        </w:div>
        <w:div w:id="347026412">
          <w:marLeft w:val="0"/>
          <w:marRight w:val="0"/>
          <w:marTop w:val="0"/>
          <w:marBottom w:val="0"/>
          <w:divBdr>
            <w:top w:val="none" w:sz="0" w:space="0" w:color="auto"/>
            <w:left w:val="none" w:sz="0" w:space="0" w:color="auto"/>
            <w:bottom w:val="none" w:sz="0" w:space="0" w:color="auto"/>
            <w:right w:val="none" w:sz="0" w:space="0" w:color="auto"/>
          </w:divBdr>
        </w:div>
        <w:div w:id="200286709">
          <w:marLeft w:val="0"/>
          <w:marRight w:val="0"/>
          <w:marTop w:val="0"/>
          <w:marBottom w:val="0"/>
          <w:divBdr>
            <w:top w:val="none" w:sz="0" w:space="0" w:color="auto"/>
            <w:left w:val="none" w:sz="0" w:space="0" w:color="auto"/>
            <w:bottom w:val="none" w:sz="0" w:space="0" w:color="auto"/>
            <w:right w:val="none" w:sz="0" w:space="0" w:color="auto"/>
          </w:divBdr>
        </w:div>
        <w:div w:id="1351561812">
          <w:marLeft w:val="0"/>
          <w:marRight w:val="0"/>
          <w:marTop w:val="0"/>
          <w:marBottom w:val="0"/>
          <w:divBdr>
            <w:top w:val="none" w:sz="0" w:space="0" w:color="auto"/>
            <w:left w:val="none" w:sz="0" w:space="0" w:color="auto"/>
            <w:bottom w:val="none" w:sz="0" w:space="0" w:color="auto"/>
            <w:right w:val="none" w:sz="0" w:space="0" w:color="auto"/>
          </w:divBdr>
        </w:div>
        <w:div w:id="1191994511">
          <w:marLeft w:val="0"/>
          <w:marRight w:val="0"/>
          <w:marTop w:val="0"/>
          <w:marBottom w:val="0"/>
          <w:divBdr>
            <w:top w:val="none" w:sz="0" w:space="0" w:color="auto"/>
            <w:left w:val="none" w:sz="0" w:space="0" w:color="auto"/>
            <w:bottom w:val="none" w:sz="0" w:space="0" w:color="auto"/>
            <w:right w:val="none" w:sz="0" w:space="0" w:color="auto"/>
          </w:divBdr>
        </w:div>
        <w:div w:id="1727534283">
          <w:marLeft w:val="0"/>
          <w:marRight w:val="0"/>
          <w:marTop w:val="0"/>
          <w:marBottom w:val="0"/>
          <w:divBdr>
            <w:top w:val="none" w:sz="0" w:space="0" w:color="auto"/>
            <w:left w:val="none" w:sz="0" w:space="0" w:color="auto"/>
            <w:bottom w:val="none" w:sz="0" w:space="0" w:color="auto"/>
            <w:right w:val="none" w:sz="0" w:space="0" w:color="auto"/>
          </w:divBdr>
        </w:div>
        <w:div w:id="1202865302">
          <w:marLeft w:val="0"/>
          <w:marRight w:val="0"/>
          <w:marTop w:val="0"/>
          <w:marBottom w:val="0"/>
          <w:divBdr>
            <w:top w:val="none" w:sz="0" w:space="0" w:color="auto"/>
            <w:left w:val="none" w:sz="0" w:space="0" w:color="auto"/>
            <w:bottom w:val="none" w:sz="0" w:space="0" w:color="auto"/>
            <w:right w:val="none" w:sz="0" w:space="0" w:color="auto"/>
          </w:divBdr>
        </w:div>
        <w:div w:id="950283184">
          <w:marLeft w:val="0"/>
          <w:marRight w:val="0"/>
          <w:marTop w:val="0"/>
          <w:marBottom w:val="0"/>
          <w:divBdr>
            <w:top w:val="none" w:sz="0" w:space="0" w:color="auto"/>
            <w:left w:val="none" w:sz="0" w:space="0" w:color="auto"/>
            <w:bottom w:val="none" w:sz="0" w:space="0" w:color="auto"/>
            <w:right w:val="none" w:sz="0" w:space="0" w:color="auto"/>
          </w:divBdr>
        </w:div>
        <w:div w:id="324863417">
          <w:marLeft w:val="0"/>
          <w:marRight w:val="0"/>
          <w:marTop w:val="0"/>
          <w:marBottom w:val="0"/>
          <w:divBdr>
            <w:top w:val="none" w:sz="0" w:space="0" w:color="auto"/>
            <w:left w:val="none" w:sz="0" w:space="0" w:color="auto"/>
            <w:bottom w:val="none" w:sz="0" w:space="0" w:color="auto"/>
            <w:right w:val="none" w:sz="0" w:space="0" w:color="auto"/>
          </w:divBdr>
        </w:div>
        <w:div w:id="146439833">
          <w:marLeft w:val="0"/>
          <w:marRight w:val="0"/>
          <w:marTop w:val="0"/>
          <w:marBottom w:val="0"/>
          <w:divBdr>
            <w:top w:val="none" w:sz="0" w:space="0" w:color="auto"/>
            <w:left w:val="none" w:sz="0" w:space="0" w:color="auto"/>
            <w:bottom w:val="none" w:sz="0" w:space="0" w:color="auto"/>
            <w:right w:val="none" w:sz="0" w:space="0" w:color="auto"/>
          </w:divBdr>
        </w:div>
        <w:div w:id="1334576892">
          <w:marLeft w:val="0"/>
          <w:marRight w:val="0"/>
          <w:marTop w:val="0"/>
          <w:marBottom w:val="0"/>
          <w:divBdr>
            <w:top w:val="none" w:sz="0" w:space="0" w:color="auto"/>
            <w:left w:val="none" w:sz="0" w:space="0" w:color="auto"/>
            <w:bottom w:val="none" w:sz="0" w:space="0" w:color="auto"/>
            <w:right w:val="none" w:sz="0" w:space="0" w:color="auto"/>
          </w:divBdr>
        </w:div>
      </w:divsChild>
    </w:div>
    <w:div w:id="54544974">
      <w:bodyDiv w:val="1"/>
      <w:marLeft w:val="0"/>
      <w:marRight w:val="0"/>
      <w:marTop w:val="0"/>
      <w:marBottom w:val="0"/>
      <w:divBdr>
        <w:top w:val="none" w:sz="0" w:space="0" w:color="auto"/>
        <w:left w:val="none" w:sz="0" w:space="0" w:color="auto"/>
        <w:bottom w:val="none" w:sz="0" w:space="0" w:color="auto"/>
        <w:right w:val="none" w:sz="0" w:space="0" w:color="auto"/>
      </w:divBdr>
    </w:div>
    <w:div w:id="91826088">
      <w:bodyDiv w:val="1"/>
      <w:marLeft w:val="0"/>
      <w:marRight w:val="0"/>
      <w:marTop w:val="0"/>
      <w:marBottom w:val="0"/>
      <w:divBdr>
        <w:top w:val="none" w:sz="0" w:space="0" w:color="auto"/>
        <w:left w:val="none" w:sz="0" w:space="0" w:color="auto"/>
        <w:bottom w:val="none" w:sz="0" w:space="0" w:color="auto"/>
        <w:right w:val="none" w:sz="0" w:space="0" w:color="auto"/>
      </w:divBdr>
    </w:div>
    <w:div w:id="127819696">
      <w:bodyDiv w:val="1"/>
      <w:marLeft w:val="0"/>
      <w:marRight w:val="0"/>
      <w:marTop w:val="0"/>
      <w:marBottom w:val="0"/>
      <w:divBdr>
        <w:top w:val="none" w:sz="0" w:space="0" w:color="auto"/>
        <w:left w:val="none" w:sz="0" w:space="0" w:color="auto"/>
        <w:bottom w:val="none" w:sz="0" w:space="0" w:color="auto"/>
        <w:right w:val="none" w:sz="0" w:space="0" w:color="auto"/>
      </w:divBdr>
    </w:div>
    <w:div w:id="128281853">
      <w:bodyDiv w:val="1"/>
      <w:marLeft w:val="0"/>
      <w:marRight w:val="0"/>
      <w:marTop w:val="0"/>
      <w:marBottom w:val="0"/>
      <w:divBdr>
        <w:top w:val="none" w:sz="0" w:space="0" w:color="auto"/>
        <w:left w:val="none" w:sz="0" w:space="0" w:color="auto"/>
        <w:bottom w:val="none" w:sz="0" w:space="0" w:color="auto"/>
        <w:right w:val="none" w:sz="0" w:space="0" w:color="auto"/>
      </w:divBdr>
    </w:div>
    <w:div w:id="135345273">
      <w:bodyDiv w:val="1"/>
      <w:marLeft w:val="0"/>
      <w:marRight w:val="0"/>
      <w:marTop w:val="0"/>
      <w:marBottom w:val="0"/>
      <w:divBdr>
        <w:top w:val="none" w:sz="0" w:space="0" w:color="auto"/>
        <w:left w:val="none" w:sz="0" w:space="0" w:color="auto"/>
        <w:bottom w:val="none" w:sz="0" w:space="0" w:color="auto"/>
        <w:right w:val="none" w:sz="0" w:space="0" w:color="auto"/>
      </w:divBdr>
    </w:div>
    <w:div w:id="185289613">
      <w:bodyDiv w:val="1"/>
      <w:marLeft w:val="0"/>
      <w:marRight w:val="0"/>
      <w:marTop w:val="0"/>
      <w:marBottom w:val="0"/>
      <w:divBdr>
        <w:top w:val="none" w:sz="0" w:space="0" w:color="auto"/>
        <w:left w:val="none" w:sz="0" w:space="0" w:color="auto"/>
        <w:bottom w:val="none" w:sz="0" w:space="0" w:color="auto"/>
        <w:right w:val="none" w:sz="0" w:space="0" w:color="auto"/>
      </w:divBdr>
    </w:div>
    <w:div w:id="196895330">
      <w:bodyDiv w:val="1"/>
      <w:marLeft w:val="0"/>
      <w:marRight w:val="0"/>
      <w:marTop w:val="0"/>
      <w:marBottom w:val="0"/>
      <w:divBdr>
        <w:top w:val="none" w:sz="0" w:space="0" w:color="auto"/>
        <w:left w:val="none" w:sz="0" w:space="0" w:color="auto"/>
        <w:bottom w:val="none" w:sz="0" w:space="0" w:color="auto"/>
        <w:right w:val="none" w:sz="0" w:space="0" w:color="auto"/>
      </w:divBdr>
    </w:div>
    <w:div w:id="204029423">
      <w:bodyDiv w:val="1"/>
      <w:marLeft w:val="0"/>
      <w:marRight w:val="0"/>
      <w:marTop w:val="0"/>
      <w:marBottom w:val="0"/>
      <w:divBdr>
        <w:top w:val="none" w:sz="0" w:space="0" w:color="auto"/>
        <w:left w:val="none" w:sz="0" w:space="0" w:color="auto"/>
        <w:bottom w:val="none" w:sz="0" w:space="0" w:color="auto"/>
        <w:right w:val="none" w:sz="0" w:space="0" w:color="auto"/>
      </w:divBdr>
      <w:divsChild>
        <w:div w:id="888036624">
          <w:marLeft w:val="0"/>
          <w:marRight w:val="0"/>
          <w:marTop w:val="0"/>
          <w:marBottom w:val="0"/>
          <w:divBdr>
            <w:top w:val="none" w:sz="0" w:space="0" w:color="auto"/>
            <w:left w:val="none" w:sz="0" w:space="0" w:color="auto"/>
            <w:bottom w:val="none" w:sz="0" w:space="0" w:color="auto"/>
            <w:right w:val="none" w:sz="0" w:space="0" w:color="auto"/>
          </w:divBdr>
        </w:div>
        <w:div w:id="1325815690">
          <w:marLeft w:val="0"/>
          <w:marRight w:val="0"/>
          <w:marTop w:val="0"/>
          <w:marBottom w:val="0"/>
          <w:divBdr>
            <w:top w:val="none" w:sz="0" w:space="0" w:color="auto"/>
            <w:left w:val="none" w:sz="0" w:space="0" w:color="auto"/>
            <w:bottom w:val="none" w:sz="0" w:space="0" w:color="auto"/>
            <w:right w:val="none" w:sz="0" w:space="0" w:color="auto"/>
          </w:divBdr>
        </w:div>
        <w:div w:id="1751196182">
          <w:marLeft w:val="0"/>
          <w:marRight w:val="0"/>
          <w:marTop w:val="0"/>
          <w:marBottom w:val="0"/>
          <w:divBdr>
            <w:top w:val="none" w:sz="0" w:space="0" w:color="auto"/>
            <w:left w:val="none" w:sz="0" w:space="0" w:color="auto"/>
            <w:bottom w:val="none" w:sz="0" w:space="0" w:color="auto"/>
            <w:right w:val="none" w:sz="0" w:space="0" w:color="auto"/>
          </w:divBdr>
        </w:div>
        <w:div w:id="672024776">
          <w:marLeft w:val="0"/>
          <w:marRight w:val="0"/>
          <w:marTop w:val="0"/>
          <w:marBottom w:val="0"/>
          <w:divBdr>
            <w:top w:val="none" w:sz="0" w:space="0" w:color="auto"/>
            <w:left w:val="none" w:sz="0" w:space="0" w:color="auto"/>
            <w:bottom w:val="none" w:sz="0" w:space="0" w:color="auto"/>
            <w:right w:val="none" w:sz="0" w:space="0" w:color="auto"/>
          </w:divBdr>
        </w:div>
        <w:div w:id="912273728">
          <w:marLeft w:val="0"/>
          <w:marRight w:val="0"/>
          <w:marTop w:val="0"/>
          <w:marBottom w:val="0"/>
          <w:divBdr>
            <w:top w:val="none" w:sz="0" w:space="0" w:color="auto"/>
            <w:left w:val="none" w:sz="0" w:space="0" w:color="auto"/>
            <w:bottom w:val="none" w:sz="0" w:space="0" w:color="auto"/>
            <w:right w:val="none" w:sz="0" w:space="0" w:color="auto"/>
          </w:divBdr>
        </w:div>
        <w:div w:id="2143426762">
          <w:marLeft w:val="0"/>
          <w:marRight w:val="0"/>
          <w:marTop w:val="0"/>
          <w:marBottom w:val="0"/>
          <w:divBdr>
            <w:top w:val="none" w:sz="0" w:space="0" w:color="auto"/>
            <w:left w:val="none" w:sz="0" w:space="0" w:color="auto"/>
            <w:bottom w:val="none" w:sz="0" w:space="0" w:color="auto"/>
            <w:right w:val="none" w:sz="0" w:space="0" w:color="auto"/>
          </w:divBdr>
        </w:div>
        <w:div w:id="117336829">
          <w:marLeft w:val="0"/>
          <w:marRight w:val="0"/>
          <w:marTop w:val="0"/>
          <w:marBottom w:val="0"/>
          <w:divBdr>
            <w:top w:val="none" w:sz="0" w:space="0" w:color="auto"/>
            <w:left w:val="none" w:sz="0" w:space="0" w:color="auto"/>
            <w:bottom w:val="none" w:sz="0" w:space="0" w:color="auto"/>
            <w:right w:val="none" w:sz="0" w:space="0" w:color="auto"/>
          </w:divBdr>
        </w:div>
        <w:div w:id="205070453">
          <w:marLeft w:val="0"/>
          <w:marRight w:val="0"/>
          <w:marTop w:val="0"/>
          <w:marBottom w:val="0"/>
          <w:divBdr>
            <w:top w:val="none" w:sz="0" w:space="0" w:color="auto"/>
            <w:left w:val="none" w:sz="0" w:space="0" w:color="auto"/>
            <w:bottom w:val="none" w:sz="0" w:space="0" w:color="auto"/>
            <w:right w:val="none" w:sz="0" w:space="0" w:color="auto"/>
          </w:divBdr>
        </w:div>
        <w:div w:id="1015115530">
          <w:marLeft w:val="0"/>
          <w:marRight w:val="0"/>
          <w:marTop w:val="0"/>
          <w:marBottom w:val="0"/>
          <w:divBdr>
            <w:top w:val="none" w:sz="0" w:space="0" w:color="auto"/>
            <w:left w:val="none" w:sz="0" w:space="0" w:color="auto"/>
            <w:bottom w:val="none" w:sz="0" w:space="0" w:color="auto"/>
            <w:right w:val="none" w:sz="0" w:space="0" w:color="auto"/>
          </w:divBdr>
        </w:div>
        <w:div w:id="2071272465">
          <w:marLeft w:val="0"/>
          <w:marRight w:val="0"/>
          <w:marTop w:val="0"/>
          <w:marBottom w:val="0"/>
          <w:divBdr>
            <w:top w:val="none" w:sz="0" w:space="0" w:color="auto"/>
            <w:left w:val="none" w:sz="0" w:space="0" w:color="auto"/>
            <w:bottom w:val="none" w:sz="0" w:space="0" w:color="auto"/>
            <w:right w:val="none" w:sz="0" w:space="0" w:color="auto"/>
          </w:divBdr>
        </w:div>
        <w:div w:id="1281106847">
          <w:marLeft w:val="0"/>
          <w:marRight w:val="0"/>
          <w:marTop w:val="0"/>
          <w:marBottom w:val="0"/>
          <w:divBdr>
            <w:top w:val="none" w:sz="0" w:space="0" w:color="auto"/>
            <w:left w:val="none" w:sz="0" w:space="0" w:color="auto"/>
            <w:bottom w:val="none" w:sz="0" w:space="0" w:color="auto"/>
            <w:right w:val="none" w:sz="0" w:space="0" w:color="auto"/>
          </w:divBdr>
        </w:div>
      </w:divsChild>
    </w:div>
    <w:div w:id="208034252">
      <w:bodyDiv w:val="1"/>
      <w:marLeft w:val="0"/>
      <w:marRight w:val="0"/>
      <w:marTop w:val="0"/>
      <w:marBottom w:val="0"/>
      <w:divBdr>
        <w:top w:val="none" w:sz="0" w:space="0" w:color="auto"/>
        <w:left w:val="none" w:sz="0" w:space="0" w:color="auto"/>
        <w:bottom w:val="none" w:sz="0" w:space="0" w:color="auto"/>
        <w:right w:val="none" w:sz="0" w:space="0" w:color="auto"/>
      </w:divBdr>
    </w:div>
    <w:div w:id="226451961">
      <w:bodyDiv w:val="1"/>
      <w:marLeft w:val="0"/>
      <w:marRight w:val="0"/>
      <w:marTop w:val="0"/>
      <w:marBottom w:val="0"/>
      <w:divBdr>
        <w:top w:val="none" w:sz="0" w:space="0" w:color="auto"/>
        <w:left w:val="none" w:sz="0" w:space="0" w:color="auto"/>
        <w:bottom w:val="none" w:sz="0" w:space="0" w:color="auto"/>
        <w:right w:val="none" w:sz="0" w:space="0" w:color="auto"/>
      </w:divBdr>
    </w:div>
    <w:div w:id="244144847">
      <w:bodyDiv w:val="1"/>
      <w:marLeft w:val="0"/>
      <w:marRight w:val="0"/>
      <w:marTop w:val="0"/>
      <w:marBottom w:val="0"/>
      <w:divBdr>
        <w:top w:val="none" w:sz="0" w:space="0" w:color="auto"/>
        <w:left w:val="none" w:sz="0" w:space="0" w:color="auto"/>
        <w:bottom w:val="none" w:sz="0" w:space="0" w:color="auto"/>
        <w:right w:val="none" w:sz="0" w:space="0" w:color="auto"/>
      </w:divBdr>
    </w:div>
    <w:div w:id="260258620">
      <w:bodyDiv w:val="1"/>
      <w:marLeft w:val="0"/>
      <w:marRight w:val="0"/>
      <w:marTop w:val="0"/>
      <w:marBottom w:val="0"/>
      <w:divBdr>
        <w:top w:val="none" w:sz="0" w:space="0" w:color="auto"/>
        <w:left w:val="none" w:sz="0" w:space="0" w:color="auto"/>
        <w:bottom w:val="none" w:sz="0" w:space="0" w:color="auto"/>
        <w:right w:val="none" w:sz="0" w:space="0" w:color="auto"/>
      </w:divBdr>
    </w:div>
    <w:div w:id="267087743">
      <w:bodyDiv w:val="1"/>
      <w:marLeft w:val="0"/>
      <w:marRight w:val="0"/>
      <w:marTop w:val="0"/>
      <w:marBottom w:val="0"/>
      <w:divBdr>
        <w:top w:val="none" w:sz="0" w:space="0" w:color="auto"/>
        <w:left w:val="none" w:sz="0" w:space="0" w:color="auto"/>
        <w:bottom w:val="none" w:sz="0" w:space="0" w:color="auto"/>
        <w:right w:val="none" w:sz="0" w:space="0" w:color="auto"/>
      </w:divBdr>
      <w:divsChild>
        <w:div w:id="358237007">
          <w:marLeft w:val="0"/>
          <w:marRight w:val="0"/>
          <w:marTop w:val="0"/>
          <w:marBottom w:val="0"/>
          <w:divBdr>
            <w:top w:val="none" w:sz="0" w:space="0" w:color="auto"/>
            <w:left w:val="none" w:sz="0" w:space="0" w:color="auto"/>
            <w:bottom w:val="none" w:sz="0" w:space="0" w:color="auto"/>
            <w:right w:val="none" w:sz="0" w:space="0" w:color="auto"/>
          </w:divBdr>
        </w:div>
        <w:div w:id="968703346">
          <w:marLeft w:val="0"/>
          <w:marRight w:val="0"/>
          <w:marTop w:val="0"/>
          <w:marBottom w:val="0"/>
          <w:divBdr>
            <w:top w:val="none" w:sz="0" w:space="0" w:color="auto"/>
            <w:left w:val="none" w:sz="0" w:space="0" w:color="auto"/>
            <w:bottom w:val="none" w:sz="0" w:space="0" w:color="auto"/>
            <w:right w:val="none" w:sz="0" w:space="0" w:color="auto"/>
          </w:divBdr>
        </w:div>
        <w:div w:id="1201744668">
          <w:marLeft w:val="0"/>
          <w:marRight w:val="0"/>
          <w:marTop w:val="0"/>
          <w:marBottom w:val="0"/>
          <w:divBdr>
            <w:top w:val="none" w:sz="0" w:space="0" w:color="auto"/>
            <w:left w:val="none" w:sz="0" w:space="0" w:color="auto"/>
            <w:bottom w:val="none" w:sz="0" w:space="0" w:color="auto"/>
            <w:right w:val="none" w:sz="0" w:space="0" w:color="auto"/>
          </w:divBdr>
        </w:div>
        <w:div w:id="1646470547">
          <w:marLeft w:val="0"/>
          <w:marRight w:val="0"/>
          <w:marTop w:val="0"/>
          <w:marBottom w:val="0"/>
          <w:divBdr>
            <w:top w:val="none" w:sz="0" w:space="0" w:color="auto"/>
            <w:left w:val="none" w:sz="0" w:space="0" w:color="auto"/>
            <w:bottom w:val="none" w:sz="0" w:space="0" w:color="auto"/>
            <w:right w:val="none" w:sz="0" w:space="0" w:color="auto"/>
          </w:divBdr>
        </w:div>
        <w:div w:id="15497715">
          <w:marLeft w:val="0"/>
          <w:marRight w:val="0"/>
          <w:marTop w:val="0"/>
          <w:marBottom w:val="0"/>
          <w:divBdr>
            <w:top w:val="none" w:sz="0" w:space="0" w:color="auto"/>
            <w:left w:val="none" w:sz="0" w:space="0" w:color="auto"/>
            <w:bottom w:val="none" w:sz="0" w:space="0" w:color="auto"/>
            <w:right w:val="none" w:sz="0" w:space="0" w:color="auto"/>
          </w:divBdr>
        </w:div>
        <w:div w:id="2089112917">
          <w:marLeft w:val="0"/>
          <w:marRight w:val="0"/>
          <w:marTop w:val="0"/>
          <w:marBottom w:val="0"/>
          <w:divBdr>
            <w:top w:val="none" w:sz="0" w:space="0" w:color="auto"/>
            <w:left w:val="none" w:sz="0" w:space="0" w:color="auto"/>
            <w:bottom w:val="none" w:sz="0" w:space="0" w:color="auto"/>
            <w:right w:val="none" w:sz="0" w:space="0" w:color="auto"/>
          </w:divBdr>
        </w:div>
        <w:div w:id="1355156332">
          <w:marLeft w:val="0"/>
          <w:marRight w:val="0"/>
          <w:marTop w:val="0"/>
          <w:marBottom w:val="0"/>
          <w:divBdr>
            <w:top w:val="none" w:sz="0" w:space="0" w:color="auto"/>
            <w:left w:val="none" w:sz="0" w:space="0" w:color="auto"/>
            <w:bottom w:val="none" w:sz="0" w:space="0" w:color="auto"/>
            <w:right w:val="none" w:sz="0" w:space="0" w:color="auto"/>
          </w:divBdr>
        </w:div>
        <w:div w:id="764956241">
          <w:marLeft w:val="0"/>
          <w:marRight w:val="0"/>
          <w:marTop w:val="0"/>
          <w:marBottom w:val="0"/>
          <w:divBdr>
            <w:top w:val="none" w:sz="0" w:space="0" w:color="auto"/>
            <w:left w:val="none" w:sz="0" w:space="0" w:color="auto"/>
            <w:bottom w:val="none" w:sz="0" w:space="0" w:color="auto"/>
            <w:right w:val="none" w:sz="0" w:space="0" w:color="auto"/>
          </w:divBdr>
        </w:div>
        <w:div w:id="721096261">
          <w:marLeft w:val="0"/>
          <w:marRight w:val="0"/>
          <w:marTop w:val="0"/>
          <w:marBottom w:val="0"/>
          <w:divBdr>
            <w:top w:val="none" w:sz="0" w:space="0" w:color="auto"/>
            <w:left w:val="none" w:sz="0" w:space="0" w:color="auto"/>
            <w:bottom w:val="none" w:sz="0" w:space="0" w:color="auto"/>
            <w:right w:val="none" w:sz="0" w:space="0" w:color="auto"/>
          </w:divBdr>
        </w:div>
        <w:div w:id="1802570637">
          <w:marLeft w:val="0"/>
          <w:marRight w:val="0"/>
          <w:marTop w:val="0"/>
          <w:marBottom w:val="0"/>
          <w:divBdr>
            <w:top w:val="none" w:sz="0" w:space="0" w:color="auto"/>
            <w:left w:val="none" w:sz="0" w:space="0" w:color="auto"/>
            <w:bottom w:val="none" w:sz="0" w:space="0" w:color="auto"/>
            <w:right w:val="none" w:sz="0" w:space="0" w:color="auto"/>
          </w:divBdr>
        </w:div>
        <w:div w:id="572662560">
          <w:marLeft w:val="0"/>
          <w:marRight w:val="0"/>
          <w:marTop w:val="0"/>
          <w:marBottom w:val="0"/>
          <w:divBdr>
            <w:top w:val="none" w:sz="0" w:space="0" w:color="auto"/>
            <w:left w:val="none" w:sz="0" w:space="0" w:color="auto"/>
            <w:bottom w:val="none" w:sz="0" w:space="0" w:color="auto"/>
            <w:right w:val="none" w:sz="0" w:space="0" w:color="auto"/>
          </w:divBdr>
        </w:div>
      </w:divsChild>
    </w:div>
    <w:div w:id="278805351">
      <w:bodyDiv w:val="1"/>
      <w:marLeft w:val="0"/>
      <w:marRight w:val="0"/>
      <w:marTop w:val="0"/>
      <w:marBottom w:val="0"/>
      <w:divBdr>
        <w:top w:val="none" w:sz="0" w:space="0" w:color="auto"/>
        <w:left w:val="none" w:sz="0" w:space="0" w:color="auto"/>
        <w:bottom w:val="none" w:sz="0" w:space="0" w:color="auto"/>
        <w:right w:val="none" w:sz="0" w:space="0" w:color="auto"/>
      </w:divBdr>
    </w:div>
    <w:div w:id="351105795">
      <w:bodyDiv w:val="1"/>
      <w:marLeft w:val="0"/>
      <w:marRight w:val="0"/>
      <w:marTop w:val="0"/>
      <w:marBottom w:val="0"/>
      <w:divBdr>
        <w:top w:val="none" w:sz="0" w:space="0" w:color="auto"/>
        <w:left w:val="none" w:sz="0" w:space="0" w:color="auto"/>
        <w:bottom w:val="none" w:sz="0" w:space="0" w:color="auto"/>
        <w:right w:val="none" w:sz="0" w:space="0" w:color="auto"/>
      </w:divBdr>
    </w:div>
    <w:div w:id="637686823">
      <w:bodyDiv w:val="1"/>
      <w:marLeft w:val="0"/>
      <w:marRight w:val="0"/>
      <w:marTop w:val="0"/>
      <w:marBottom w:val="0"/>
      <w:divBdr>
        <w:top w:val="none" w:sz="0" w:space="0" w:color="auto"/>
        <w:left w:val="none" w:sz="0" w:space="0" w:color="auto"/>
        <w:bottom w:val="none" w:sz="0" w:space="0" w:color="auto"/>
        <w:right w:val="none" w:sz="0" w:space="0" w:color="auto"/>
      </w:divBdr>
    </w:div>
    <w:div w:id="682363158">
      <w:bodyDiv w:val="1"/>
      <w:marLeft w:val="0"/>
      <w:marRight w:val="0"/>
      <w:marTop w:val="0"/>
      <w:marBottom w:val="0"/>
      <w:divBdr>
        <w:top w:val="none" w:sz="0" w:space="0" w:color="auto"/>
        <w:left w:val="none" w:sz="0" w:space="0" w:color="auto"/>
        <w:bottom w:val="none" w:sz="0" w:space="0" w:color="auto"/>
        <w:right w:val="none" w:sz="0" w:space="0" w:color="auto"/>
      </w:divBdr>
    </w:div>
    <w:div w:id="682899533">
      <w:bodyDiv w:val="1"/>
      <w:marLeft w:val="0"/>
      <w:marRight w:val="0"/>
      <w:marTop w:val="0"/>
      <w:marBottom w:val="0"/>
      <w:divBdr>
        <w:top w:val="none" w:sz="0" w:space="0" w:color="auto"/>
        <w:left w:val="none" w:sz="0" w:space="0" w:color="auto"/>
        <w:bottom w:val="none" w:sz="0" w:space="0" w:color="auto"/>
        <w:right w:val="none" w:sz="0" w:space="0" w:color="auto"/>
      </w:divBdr>
    </w:div>
    <w:div w:id="691492930">
      <w:bodyDiv w:val="1"/>
      <w:marLeft w:val="0"/>
      <w:marRight w:val="0"/>
      <w:marTop w:val="0"/>
      <w:marBottom w:val="0"/>
      <w:divBdr>
        <w:top w:val="none" w:sz="0" w:space="0" w:color="auto"/>
        <w:left w:val="none" w:sz="0" w:space="0" w:color="auto"/>
        <w:bottom w:val="none" w:sz="0" w:space="0" w:color="auto"/>
        <w:right w:val="none" w:sz="0" w:space="0" w:color="auto"/>
      </w:divBdr>
    </w:div>
    <w:div w:id="701638239">
      <w:bodyDiv w:val="1"/>
      <w:marLeft w:val="0"/>
      <w:marRight w:val="0"/>
      <w:marTop w:val="0"/>
      <w:marBottom w:val="0"/>
      <w:divBdr>
        <w:top w:val="none" w:sz="0" w:space="0" w:color="auto"/>
        <w:left w:val="none" w:sz="0" w:space="0" w:color="auto"/>
        <w:bottom w:val="none" w:sz="0" w:space="0" w:color="auto"/>
        <w:right w:val="none" w:sz="0" w:space="0" w:color="auto"/>
      </w:divBdr>
    </w:div>
    <w:div w:id="769663912">
      <w:bodyDiv w:val="1"/>
      <w:marLeft w:val="0"/>
      <w:marRight w:val="0"/>
      <w:marTop w:val="0"/>
      <w:marBottom w:val="0"/>
      <w:divBdr>
        <w:top w:val="none" w:sz="0" w:space="0" w:color="auto"/>
        <w:left w:val="none" w:sz="0" w:space="0" w:color="auto"/>
        <w:bottom w:val="none" w:sz="0" w:space="0" w:color="auto"/>
        <w:right w:val="none" w:sz="0" w:space="0" w:color="auto"/>
      </w:divBdr>
    </w:div>
    <w:div w:id="793868124">
      <w:bodyDiv w:val="1"/>
      <w:marLeft w:val="0"/>
      <w:marRight w:val="0"/>
      <w:marTop w:val="0"/>
      <w:marBottom w:val="0"/>
      <w:divBdr>
        <w:top w:val="none" w:sz="0" w:space="0" w:color="auto"/>
        <w:left w:val="none" w:sz="0" w:space="0" w:color="auto"/>
        <w:bottom w:val="none" w:sz="0" w:space="0" w:color="auto"/>
        <w:right w:val="none" w:sz="0" w:space="0" w:color="auto"/>
      </w:divBdr>
    </w:div>
    <w:div w:id="832645511">
      <w:bodyDiv w:val="1"/>
      <w:marLeft w:val="0"/>
      <w:marRight w:val="0"/>
      <w:marTop w:val="0"/>
      <w:marBottom w:val="0"/>
      <w:divBdr>
        <w:top w:val="none" w:sz="0" w:space="0" w:color="auto"/>
        <w:left w:val="none" w:sz="0" w:space="0" w:color="auto"/>
        <w:bottom w:val="none" w:sz="0" w:space="0" w:color="auto"/>
        <w:right w:val="none" w:sz="0" w:space="0" w:color="auto"/>
      </w:divBdr>
    </w:div>
    <w:div w:id="955254998">
      <w:bodyDiv w:val="1"/>
      <w:marLeft w:val="0"/>
      <w:marRight w:val="0"/>
      <w:marTop w:val="0"/>
      <w:marBottom w:val="0"/>
      <w:divBdr>
        <w:top w:val="none" w:sz="0" w:space="0" w:color="auto"/>
        <w:left w:val="none" w:sz="0" w:space="0" w:color="auto"/>
        <w:bottom w:val="none" w:sz="0" w:space="0" w:color="auto"/>
        <w:right w:val="none" w:sz="0" w:space="0" w:color="auto"/>
      </w:divBdr>
    </w:div>
    <w:div w:id="989291187">
      <w:bodyDiv w:val="1"/>
      <w:marLeft w:val="0"/>
      <w:marRight w:val="0"/>
      <w:marTop w:val="0"/>
      <w:marBottom w:val="0"/>
      <w:divBdr>
        <w:top w:val="none" w:sz="0" w:space="0" w:color="auto"/>
        <w:left w:val="none" w:sz="0" w:space="0" w:color="auto"/>
        <w:bottom w:val="none" w:sz="0" w:space="0" w:color="auto"/>
        <w:right w:val="none" w:sz="0" w:space="0" w:color="auto"/>
      </w:divBdr>
      <w:divsChild>
        <w:div w:id="1938245809">
          <w:marLeft w:val="0"/>
          <w:marRight w:val="0"/>
          <w:marTop w:val="0"/>
          <w:marBottom w:val="0"/>
          <w:divBdr>
            <w:top w:val="none" w:sz="0" w:space="0" w:color="auto"/>
            <w:left w:val="none" w:sz="0" w:space="0" w:color="auto"/>
            <w:bottom w:val="none" w:sz="0" w:space="0" w:color="auto"/>
            <w:right w:val="none" w:sz="0" w:space="0" w:color="auto"/>
          </w:divBdr>
          <w:divsChild>
            <w:div w:id="131875281">
              <w:marLeft w:val="0"/>
              <w:marRight w:val="0"/>
              <w:marTop w:val="0"/>
              <w:marBottom w:val="0"/>
              <w:divBdr>
                <w:top w:val="none" w:sz="0" w:space="0" w:color="auto"/>
                <w:left w:val="none" w:sz="0" w:space="0" w:color="auto"/>
                <w:bottom w:val="none" w:sz="0" w:space="0" w:color="auto"/>
                <w:right w:val="none" w:sz="0" w:space="0" w:color="auto"/>
              </w:divBdr>
            </w:div>
            <w:div w:id="172452377">
              <w:marLeft w:val="0"/>
              <w:marRight w:val="0"/>
              <w:marTop w:val="0"/>
              <w:marBottom w:val="0"/>
              <w:divBdr>
                <w:top w:val="none" w:sz="0" w:space="0" w:color="auto"/>
                <w:left w:val="none" w:sz="0" w:space="0" w:color="auto"/>
                <w:bottom w:val="none" w:sz="0" w:space="0" w:color="auto"/>
                <w:right w:val="none" w:sz="0" w:space="0" w:color="auto"/>
              </w:divBdr>
            </w:div>
            <w:div w:id="2057196377">
              <w:marLeft w:val="0"/>
              <w:marRight w:val="0"/>
              <w:marTop w:val="0"/>
              <w:marBottom w:val="0"/>
              <w:divBdr>
                <w:top w:val="none" w:sz="0" w:space="0" w:color="auto"/>
                <w:left w:val="none" w:sz="0" w:space="0" w:color="auto"/>
                <w:bottom w:val="none" w:sz="0" w:space="0" w:color="auto"/>
                <w:right w:val="none" w:sz="0" w:space="0" w:color="auto"/>
              </w:divBdr>
            </w:div>
            <w:div w:id="818033248">
              <w:marLeft w:val="0"/>
              <w:marRight w:val="0"/>
              <w:marTop w:val="0"/>
              <w:marBottom w:val="0"/>
              <w:divBdr>
                <w:top w:val="none" w:sz="0" w:space="0" w:color="auto"/>
                <w:left w:val="none" w:sz="0" w:space="0" w:color="auto"/>
                <w:bottom w:val="none" w:sz="0" w:space="0" w:color="auto"/>
                <w:right w:val="none" w:sz="0" w:space="0" w:color="auto"/>
              </w:divBdr>
            </w:div>
            <w:div w:id="325014201">
              <w:marLeft w:val="0"/>
              <w:marRight w:val="0"/>
              <w:marTop w:val="0"/>
              <w:marBottom w:val="0"/>
              <w:divBdr>
                <w:top w:val="none" w:sz="0" w:space="0" w:color="auto"/>
                <w:left w:val="none" w:sz="0" w:space="0" w:color="auto"/>
                <w:bottom w:val="none" w:sz="0" w:space="0" w:color="auto"/>
                <w:right w:val="none" w:sz="0" w:space="0" w:color="auto"/>
              </w:divBdr>
            </w:div>
            <w:div w:id="921527328">
              <w:marLeft w:val="0"/>
              <w:marRight w:val="0"/>
              <w:marTop w:val="0"/>
              <w:marBottom w:val="0"/>
              <w:divBdr>
                <w:top w:val="none" w:sz="0" w:space="0" w:color="auto"/>
                <w:left w:val="none" w:sz="0" w:space="0" w:color="auto"/>
                <w:bottom w:val="none" w:sz="0" w:space="0" w:color="auto"/>
                <w:right w:val="none" w:sz="0" w:space="0" w:color="auto"/>
              </w:divBdr>
            </w:div>
            <w:div w:id="1434091483">
              <w:marLeft w:val="0"/>
              <w:marRight w:val="0"/>
              <w:marTop w:val="0"/>
              <w:marBottom w:val="0"/>
              <w:divBdr>
                <w:top w:val="none" w:sz="0" w:space="0" w:color="auto"/>
                <w:left w:val="none" w:sz="0" w:space="0" w:color="auto"/>
                <w:bottom w:val="none" w:sz="0" w:space="0" w:color="auto"/>
                <w:right w:val="none" w:sz="0" w:space="0" w:color="auto"/>
              </w:divBdr>
            </w:div>
            <w:div w:id="347295961">
              <w:marLeft w:val="0"/>
              <w:marRight w:val="0"/>
              <w:marTop w:val="0"/>
              <w:marBottom w:val="0"/>
              <w:divBdr>
                <w:top w:val="none" w:sz="0" w:space="0" w:color="auto"/>
                <w:left w:val="none" w:sz="0" w:space="0" w:color="auto"/>
                <w:bottom w:val="none" w:sz="0" w:space="0" w:color="auto"/>
                <w:right w:val="none" w:sz="0" w:space="0" w:color="auto"/>
              </w:divBdr>
            </w:div>
            <w:div w:id="968631009">
              <w:marLeft w:val="0"/>
              <w:marRight w:val="0"/>
              <w:marTop w:val="0"/>
              <w:marBottom w:val="0"/>
              <w:divBdr>
                <w:top w:val="none" w:sz="0" w:space="0" w:color="auto"/>
                <w:left w:val="none" w:sz="0" w:space="0" w:color="auto"/>
                <w:bottom w:val="none" w:sz="0" w:space="0" w:color="auto"/>
                <w:right w:val="none" w:sz="0" w:space="0" w:color="auto"/>
              </w:divBdr>
            </w:div>
            <w:div w:id="779834767">
              <w:marLeft w:val="0"/>
              <w:marRight w:val="0"/>
              <w:marTop w:val="0"/>
              <w:marBottom w:val="0"/>
              <w:divBdr>
                <w:top w:val="none" w:sz="0" w:space="0" w:color="auto"/>
                <w:left w:val="none" w:sz="0" w:space="0" w:color="auto"/>
                <w:bottom w:val="none" w:sz="0" w:space="0" w:color="auto"/>
                <w:right w:val="none" w:sz="0" w:space="0" w:color="auto"/>
              </w:divBdr>
            </w:div>
            <w:div w:id="1874879112">
              <w:marLeft w:val="0"/>
              <w:marRight w:val="0"/>
              <w:marTop w:val="0"/>
              <w:marBottom w:val="0"/>
              <w:divBdr>
                <w:top w:val="none" w:sz="0" w:space="0" w:color="auto"/>
                <w:left w:val="none" w:sz="0" w:space="0" w:color="auto"/>
                <w:bottom w:val="none" w:sz="0" w:space="0" w:color="auto"/>
                <w:right w:val="none" w:sz="0" w:space="0" w:color="auto"/>
              </w:divBdr>
            </w:div>
            <w:div w:id="679427379">
              <w:marLeft w:val="0"/>
              <w:marRight w:val="0"/>
              <w:marTop w:val="0"/>
              <w:marBottom w:val="0"/>
              <w:divBdr>
                <w:top w:val="none" w:sz="0" w:space="0" w:color="auto"/>
                <w:left w:val="none" w:sz="0" w:space="0" w:color="auto"/>
                <w:bottom w:val="none" w:sz="0" w:space="0" w:color="auto"/>
                <w:right w:val="none" w:sz="0" w:space="0" w:color="auto"/>
              </w:divBdr>
            </w:div>
            <w:div w:id="2015836703">
              <w:marLeft w:val="0"/>
              <w:marRight w:val="0"/>
              <w:marTop w:val="0"/>
              <w:marBottom w:val="0"/>
              <w:divBdr>
                <w:top w:val="none" w:sz="0" w:space="0" w:color="auto"/>
                <w:left w:val="none" w:sz="0" w:space="0" w:color="auto"/>
                <w:bottom w:val="none" w:sz="0" w:space="0" w:color="auto"/>
                <w:right w:val="none" w:sz="0" w:space="0" w:color="auto"/>
              </w:divBdr>
            </w:div>
            <w:div w:id="135476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049918">
      <w:bodyDiv w:val="1"/>
      <w:marLeft w:val="0"/>
      <w:marRight w:val="0"/>
      <w:marTop w:val="0"/>
      <w:marBottom w:val="0"/>
      <w:divBdr>
        <w:top w:val="none" w:sz="0" w:space="0" w:color="auto"/>
        <w:left w:val="none" w:sz="0" w:space="0" w:color="auto"/>
        <w:bottom w:val="none" w:sz="0" w:space="0" w:color="auto"/>
        <w:right w:val="none" w:sz="0" w:space="0" w:color="auto"/>
      </w:divBdr>
      <w:divsChild>
        <w:div w:id="176162699">
          <w:marLeft w:val="0"/>
          <w:marRight w:val="0"/>
          <w:marTop w:val="0"/>
          <w:marBottom w:val="0"/>
          <w:divBdr>
            <w:top w:val="none" w:sz="0" w:space="0" w:color="auto"/>
            <w:left w:val="none" w:sz="0" w:space="0" w:color="auto"/>
            <w:bottom w:val="none" w:sz="0" w:space="0" w:color="auto"/>
            <w:right w:val="none" w:sz="0" w:space="0" w:color="auto"/>
          </w:divBdr>
        </w:div>
        <w:div w:id="1749695286">
          <w:marLeft w:val="0"/>
          <w:marRight w:val="0"/>
          <w:marTop w:val="0"/>
          <w:marBottom w:val="0"/>
          <w:divBdr>
            <w:top w:val="none" w:sz="0" w:space="0" w:color="auto"/>
            <w:left w:val="none" w:sz="0" w:space="0" w:color="auto"/>
            <w:bottom w:val="none" w:sz="0" w:space="0" w:color="auto"/>
            <w:right w:val="none" w:sz="0" w:space="0" w:color="auto"/>
          </w:divBdr>
        </w:div>
        <w:div w:id="792089818">
          <w:marLeft w:val="0"/>
          <w:marRight w:val="0"/>
          <w:marTop w:val="0"/>
          <w:marBottom w:val="0"/>
          <w:divBdr>
            <w:top w:val="none" w:sz="0" w:space="0" w:color="auto"/>
            <w:left w:val="none" w:sz="0" w:space="0" w:color="auto"/>
            <w:bottom w:val="none" w:sz="0" w:space="0" w:color="auto"/>
            <w:right w:val="none" w:sz="0" w:space="0" w:color="auto"/>
          </w:divBdr>
        </w:div>
        <w:div w:id="1264262771">
          <w:marLeft w:val="0"/>
          <w:marRight w:val="0"/>
          <w:marTop w:val="0"/>
          <w:marBottom w:val="0"/>
          <w:divBdr>
            <w:top w:val="none" w:sz="0" w:space="0" w:color="auto"/>
            <w:left w:val="none" w:sz="0" w:space="0" w:color="auto"/>
            <w:bottom w:val="none" w:sz="0" w:space="0" w:color="auto"/>
            <w:right w:val="none" w:sz="0" w:space="0" w:color="auto"/>
          </w:divBdr>
        </w:div>
        <w:div w:id="895161682">
          <w:marLeft w:val="0"/>
          <w:marRight w:val="0"/>
          <w:marTop w:val="0"/>
          <w:marBottom w:val="0"/>
          <w:divBdr>
            <w:top w:val="none" w:sz="0" w:space="0" w:color="auto"/>
            <w:left w:val="none" w:sz="0" w:space="0" w:color="auto"/>
            <w:bottom w:val="none" w:sz="0" w:space="0" w:color="auto"/>
            <w:right w:val="none" w:sz="0" w:space="0" w:color="auto"/>
          </w:divBdr>
        </w:div>
        <w:div w:id="141504118">
          <w:marLeft w:val="0"/>
          <w:marRight w:val="0"/>
          <w:marTop w:val="0"/>
          <w:marBottom w:val="0"/>
          <w:divBdr>
            <w:top w:val="none" w:sz="0" w:space="0" w:color="auto"/>
            <w:left w:val="none" w:sz="0" w:space="0" w:color="auto"/>
            <w:bottom w:val="none" w:sz="0" w:space="0" w:color="auto"/>
            <w:right w:val="none" w:sz="0" w:space="0" w:color="auto"/>
          </w:divBdr>
        </w:div>
        <w:div w:id="1835992947">
          <w:marLeft w:val="0"/>
          <w:marRight w:val="0"/>
          <w:marTop w:val="0"/>
          <w:marBottom w:val="0"/>
          <w:divBdr>
            <w:top w:val="none" w:sz="0" w:space="0" w:color="auto"/>
            <w:left w:val="none" w:sz="0" w:space="0" w:color="auto"/>
            <w:bottom w:val="none" w:sz="0" w:space="0" w:color="auto"/>
            <w:right w:val="none" w:sz="0" w:space="0" w:color="auto"/>
          </w:divBdr>
        </w:div>
        <w:div w:id="1602492265">
          <w:marLeft w:val="0"/>
          <w:marRight w:val="0"/>
          <w:marTop w:val="0"/>
          <w:marBottom w:val="0"/>
          <w:divBdr>
            <w:top w:val="none" w:sz="0" w:space="0" w:color="auto"/>
            <w:left w:val="none" w:sz="0" w:space="0" w:color="auto"/>
            <w:bottom w:val="none" w:sz="0" w:space="0" w:color="auto"/>
            <w:right w:val="none" w:sz="0" w:space="0" w:color="auto"/>
          </w:divBdr>
        </w:div>
        <w:div w:id="796604518">
          <w:marLeft w:val="0"/>
          <w:marRight w:val="0"/>
          <w:marTop w:val="0"/>
          <w:marBottom w:val="0"/>
          <w:divBdr>
            <w:top w:val="none" w:sz="0" w:space="0" w:color="auto"/>
            <w:left w:val="none" w:sz="0" w:space="0" w:color="auto"/>
            <w:bottom w:val="none" w:sz="0" w:space="0" w:color="auto"/>
            <w:right w:val="none" w:sz="0" w:space="0" w:color="auto"/>
          </w:divBdr>
        </w:div>
        <w:div w:id="1288245036">
          <w:marLeft w:val="0"/>
          <w:marRight w:val="0"/>
          <w:marTop w:val="0"/>
          <w:marBottom w:val="0"/>
          <w:divBdr>
            <w:top w:val="none" w:sz="0" w:space="0" w:color="auto"/>
            <w:left w:val="none" w:sz="0" w:space="0" w:color="auto"/>
            <w:bottom w:val="none" w:sz="0" w:space="0" w:color="auto"/>
            <w:right w:val="none" w:sz="0" w:space="0" w:color="auto"/>
          </w:divBdr>
        </w:div>
        <w:div w:id="183708527">
          <w:marLeft w:val="0"/>
          <w:marRight w:val="0"/>
          <w:marTop w:val="0"/>
          <w:marBottom w:val="0"/>
          <w:divBdr>
            <w:top w:val="none" w:sz="0" w:space="0" w:color="auto"/>
            <w:left w:val="none" w:sz="0" w:space="0" w:color="auto"/>
            <w:bottom w:val="none" w:sz="0" w:space="0" w:color="auto"/>
            <w:right w:val="none" w:sz="0" w:space="0" w:color="auto"/>
          </w:divBdr>
        </w:div>
        <w:div w:id="1214926930">
          <w:marLeft w:val="0"/>
          <w:marRight w:val="0"/>
          <w:marTop w:val="0"/>
          <w:marBottom w:val="0"/>
          <w:divBdr>
            <w:top w:val="none" w:sz="0" w:space="0" w:color="auto"/>
            <w:left w:val="none" w:sz="0" w:space="0" w:color="auto"/>
            <w:bottom w:val="none" w:sz="0" w:space="0" w:color="auto"/>
            <w:right w:val="none" w:sz="0" w:space="0" w:color="auto"/>
          </w:divBdr>
        </w:div>
        <w:div w:id="2137209858">
          <w:marLeft w:val="0"/>
          <w:marRight w:val="0"/>
          <w:marTop w:val="0"/>
          <w:marBottom w:val="0"/>
          <w:divBdr>
            <w:top w:val="none" w:sz="0" w:space="0" w:color="auto"/>
            <w:left w:val="none" w:sz="0" w:space="0" w:color="auto"/>
            <w:bottom w:val="none" w:sz="0" w:space="0" w:color="auto"/>
            <w:right w:val="none" w:sz="0" w:space="0" w:color="auto"/>
          </w:divBdr>
        </w:div>
        <w:div w:id="949894757">
          <w:marLeft w:val="0"/>
          <w:marRight w:val="0"/>
          <w:marTop w:val="0"/>
          <w:marBottom w:val="0"/>
          <w:divBdr>
            <w:top w:val="none" w:sz="0" w:space="0" w:color="auto"/>
            <w:left w:val="none" w:sz="0" w:space="0" w:color="auto"/>
            <w:bottom w:val="none" w:sz="0" w:space="0" w:color="auto"/>
            <w:right w:val="none" w:sz="0" w:space="0" w:color="auto"/>
          </w:divBdr>
        </w:div>
        <w:div w:id="980384897">
          <w:marLeft w:val="0"/>
          <w:marRight w:val="0"/>
          <w:marTop w:val="0"/>
          <w:marBottom w:val="0"/>
          <w:divBdr>
            <w:top w:val="none" w:sz="0" w:space="0" w:color="auto"/>
            <w:left w:val="none" w:sz="0" w:space="0" w:color="auto"/>
            <w:bottom w:val="none" w:sz="0" w:space="0" w:color="auto"/>
            <w:right w:val="none" w:sz="0" w:space="0" w:color="auto"/>
          </w:divBdr>
        </w:div>
        <w:div w:id="175509198">
          <w:marLeft w:val="0"/>
          <w:marRight w:val="0"/>
          <w:marTop w:val="0"/>
          <w:marBottom w:val="0"/>
          <w:divBdr>
            <w:top w:val="none" w:sz="0" w:space="0" w:color="auto"/>
            <w:left w:val="none" w:sz="0" w:space="0" w:color="auto"/>
            <w:bottom w:val="none" w:sz="0" w:space="0" w:color="auto"/>
            <w:right w:val="none" w:sz="0" w:space="0" w:color="auto"/>
          </w:divBdr>
        </w:div>
        <w:div w:id="225996937">
          <w:marLeft w:val="0"/>
          <w:marRight w:val="0"/>
          <w:marTop w:val="0"/>
          <w:marBottom w:val="0"/>
          <w:divBdr>
            <w:top w:val="none" w:sz="0" w:space="0" w:color="auto"/>
            <w:left w:val="none" w:sz="0" w:space="0" w:color="auto"/>
            <w:bottom w:val="none" w:sz="0" w:space="0" w:color="auto"/>
            <w:right w:val="none" w:sz="0" w:space="0" w:color="auto"/>
          </w:divBdr>
        </w:div>
        <w:div w:id="1485467692">
          <w:marLeft w:val="0"/>
          <w:marRight w:val="0"/>
          <w:marTop w:val="0"/>
          <w:marBottom w:val="0"/>
          <w:divBdr>
            <w:top w:val="none" w:sz="0" w:space="0" w:color="auto"/>
            <w:left w:val="none" w:sz="0" w:space="0" w:color="auto"/>
            <w:bottom w:val="none" w:sz="0" w:space="0" w:color="auto"/>
            <w:right w:val="none" w:sz="0" w:space="0" w:color="auto"/>
          </w:divBdr>
        </w:div>
        <w:div w:id="1672217143">
          <w:marLeft w:val="0"/>
          <w:marRight w:val="0"/>
          <w:marTop w:val="0"/>
          <w:marBottom w:val="0"/>
          <w:divBdr>
            <w:top w:val="none" w:sz="0" w:space="0" w:color="auto"/>
            <w:left w:val="none" w:sz="0" w:space="0" w:color="auto"/>
            <w:bottom w:val="none" w:sz="0" w:space="0" w:color="auto"/>
            <w:right w:val="none" w:sz="0" w:space="0" w:color="auto"/>
          </w:divBdr>
        </w:div>
        <w:div w:id="14305428">
          <w:marLeft w:val="0"/>
          <w:marRight w:val="0"/>
          <w:marTop w:val="0"/>
          <w:marBottom w:val="0"/>
          <w:divBdr>
            <w:top w:val="none" w:sz="0" w:space="0" w:color="auto"/>
            <w:left w:val="none" w:sz="0" w:space="0" w:color="auto"/>
            <w:bottom w:val="none" w:sz="0" w:space="0" w:color="auto"/>
            <w:right w:val="none" w:sz="0" w:space="0" w:color="auto"/>
          </w:divBdr>
        </w:div>
        <w:div w:id="1838108484">
          <w:marLeft w:val="0"/>
          <w:marRight w:val="0"/>
          <w:marTop w:val="0"/>
          <w:marBottom w:val="0"/>
          <w:divBdr>
            <w:top w:val="none" w:sz="0" w:space="0" w:color="auto"/>
            <w:left w:val="none" w:sz="0" w:space="0" w:color="auto"/>
            <w:bottom w:val="none" w:sz="0" w:space="0" w:color="auto"/>
            <w:right w:val="none" w:sz="0" w:space="0" w:color="auto"/>
          </w:divBdr>
        </w:div>
        <w:div w:id="2018343228">
          <w:marLeft w:val="0"/>
          <w:marRight w:val="0"/>
          <w:marTop w:val="0"/>
          <w:marBottom w:val="0"/>
          <w:divBdr>
            <w:top w:val="none" w:sz="0" w:space="0" w:color="auto"/>
            <w:left w:val="none" w:sz="0" w:space="0" w:color="auto"/>
            <w:bottom w:val="none" w:sz="0" w:space="0" w:color="auto"/>
            <w:right w:val="none" w:sz="0" w:space="0" w:color="auto"/>
          </w:divBdr>
        </w:div>
        <w:div w:id="392042602">
          <w:marLeft w:val="0"/>
          <w:marRight w:val="0"/>
          <w:marTop w:val="0"/>
          <w:marBottom w:val="0"/>
          <w:divBdr>
            <w:top w:val="none" w:sz="0" w:space="0" w:color="auto"/>
            <w:left w:val="none" w:sz="0" w:space="0" w:color="auto"/>
            <w:bottom w:val="none" w:sz="0" w:space="0" w:color="auto"/>
            <w:right w:val="none" w:sz="0" w:space="0" w:color="auto"/>
          </w:divBdr>
        </w:div>
        <w:div w:id="456487614">
          <w:marLeft w:val="0"/>
          <w:marRight w:val="0"/>
          <w:marTop w:val="0"/>
          <w:marBottom w:val="0"/>
          <w:divBdr>
            <w:top w:val="none" w:sz="0" w:space="0" w:color="auto"/>
            <w:left w:val="none" w:sz="0" w:space="0" w:color="auto"/>
            <w:bottom w:val="none" w:sz="0" w:space="0" w:color="auto"/>
            <w:right w:val="none" w:sz="0" w:space="0" w:color="auto"/>
          </w:divBdr>
        </w:div>
        <w:div w:id="448865122">
          <w:marLeft w:val="0"/>
          <w:marRight w:val="0"/>
          <w:marTop w:val="0"/>
          <w:marBottom w:val="0"/>
          <w:divBdr>
            <w:top w:val="none" w:sz="0" w:space="0" w:color="auto"/>
            <w:left w:val="none" w:sz="0" w:space="0" w:color="auto"/>
            <w:bottom w:val="none" w:sz="0" w:space="0" w:color="auto"/>
            <w:right w:val="none" w:sz="0" w:space="0" w:color="auto"/>
          </w:divBdr>
        </w:div>
        <w:div w:id="2066222965">
          <w:marLeft w:val="0"/>
          <w:marRight w:val="0"/>
          <w:marTop w:val="0"/>
          <w:marBottom w:val="0"/>
          <w:divBdr>
            <w:top w:val="none" w:sz="0" w:space="0" w:color="auto"/>
            <w:left w:val="none" w:sz="0" w:space="0" w:color="auto"/>
            <w:bottom w:val="none" w:sz="0" w:space="0" w:color="auto"/>
            <w:right w:val="none" w:sz="0" w:space="0" w:color="auto"/>
          </w:divBdr>
        </w:div>
        <w:div w:id="300770211">
          <w:marLeft w:val="0"/>
          <w:marRight w:val="0"/>
          <w:marTop w:val="0"/>
          <w:marBottom w:val="0"/>
          <w:divBdr>
            <w:top w:val="none" w:sz="0" w:space="0" w:color="auto"/>
            <w:left w:val="none" w:sz="0" w:space="0" w:color="auto"/>
            <w:bottom w:val="none" w:sz="0" w:space="0" w:color="auto"/>
            <w:right w:val="none" w:sz="0" w:space="0" w:color="auto"/>
          </w:divBdr>
        </w:div>
        <w:div w:id="380593854">
          <w:marLeft w:val="0"/>
          <w:marRight w:val="0"/>
          <w:marTop w:val="0"/>
          <w:marBottom w:val="0"/>
          <w:divBdr>
            <w:top w:val="none" w:sz="0" w:space="0" w:color="auto"/>
            <w:left w:val="none" w:sz="0" w:space="0" w:color="auto"/>
            <w:bottom w:val="none" w:sz="0" w:space="0" w:color="auto"/>
            <w:right w:val="none" w:sz="0" w:space="0" w:color="auto"/>
          </w:divBdr>
        </w:div>
        <w:div w:id="485324056">
          <w:marLeft w:val="0"/>
          <w:marRight w:val="0"/>
          <w:marTop w:val="0"/>
          <w:marBottom w:val="0"/>
          <w:divBdr>
            <w:top w:val="none" w:sz="0" w:space="0" w:color="auto"/>
            <w:left w:val="none" w:sz="0" w:space="0" w:color="auto"/>
            <w:bottom w:val="none" w:sz="0" w:space="0" w:color="auto"/>
            <w:right w:val="none" w:sz="0" w:space="0" w:color="auto"/>
          </w:divBdr>
        </w:div>
        <w:div w:id="1424260079">
          <w:marLeft w:val="0"/>
          <w:marRight w:val="0"/>
          <w:marTop w:val="0"/>
          <w:marBottom w:val="0"/>
          <w:divBdr>
            <w:top w:val="none" w:sz="0" w:space="0" w:color="auto"/>
            <w:left w:val="none" w:sz="0" w:space="0" w:color="auto"/>
            <w:bottom w:val="none" w:sz="0" w:space="0" w:color="auto"/>
            <w:right w:val="none" w:sz="0" w:space="0" w:color="auto"/>
          </w:divBdr>
        </w:div>
        <w:div w:id="773676317">
          <w:marLeft w:val="0"/>
          <w:marRight w:val="0"/>
          <w:marTop w:val="0"/>
          <w:marBottom w:val="0"/>
          <w:divBdr>
            <w:top w:val="none" w:sz="0" w:space="0" w:color="auto"/>
            <w:left w:val="none" w:sz="0" w:space="0" w:color="auto"/>
            <w:bottom w:val="none" w:sz="0" w:space="0" w:color="auto"/>
            <w:right w:val="none" w:sz="0" w:space="0" w:color="auto"/>
          </w:divBdr>
        </w:div>
        <w:div w:id="947739705">
          <w:marLeft w:val="0"/>
          <w:marRight w:val="0"/>
          <w:marTop w:val="0"/>
          <w:marBottom w:val="0"/>
          <w:divBdr>
            <w:top w:val="none" w:sz="0" w:space="0" w:color="auto"/>
            <w:left w:val="none" w:sz="0" w:space="0" w:color="auto"/>
            <w:bottom w:val="none" w:sz="0" w:space="0" w:color="auto"/>
            <w:right w:val="none" w:sz="0" w:space="0" w:color="auto"/>
          </w:divBdr>
        </w:div>
        <w:div w:id="135805189">
          <w:marLeft w:val="0"/>
          <w:marRight w:val="0"/>
          <w:marTop w:val="0"/>
          <w:marBottom w:val="0"/>
          <w:divBdr>
            <w:top w:val="none" w:sz="0" w:space="0" w:color="auto"/>
            <w:left w:val="none" w:sz="0" w:space="0" w:color="auto"/>
            <w:bottom w:val="none" w:sz="0" w:space="0" w:color="auto"/>
            <w:right w:val="none" w:sz="0" w:space="0" w:color="auto"/>
          </w:divBdr>
        </w:div>
        <w:div w:id="127432237">
          <w:marLeft w:val="0"/>
          <w:marRight w:val="0"/>
          <w:marTop w:val="0"/>
          <w:marBottom w:val="0"/>
          <w:divBdr>
            <w:top w:val="none" w:sz="0" w:space="0" w:color="auto"/>
            <w:left w:val="none" w:sz="0" w:space="0" w:color="auto"/>
            <w:bottom w:val="none" w:sz="0" w:space="0" w:color="auto"/>
            <w:right w:val="none" w:sz="0" w:space="0" w:color="auto"/>
          </w:divBdr>
        </w:div>
        <w:div w:id="926378781">
          <w:marLeft w:val="0"/>
          <w:marRight w:val="0"/>
          <w:marTop w:val="0"/>
          <w:marBottom w:val="0"/>
          <w:divBdr>
            <w:top w:val="none" w:sz="0" w:space="0" w:color="auto"/>
            <w:left w:val="none" w:sz="0" w:space="0" w:color="auto"/>
            <w:bottom w:val="none" w:sz="0" w:space="0" w:color="auto"/>
            <w:right w:val="none" w:sz="0" w:space="0" w:color="auto"/>
          </w:divBdr>
        </w:div>
        <w:div w:id="1753047162">
          <w:marLeft w:val="0"/>
          <w:marRight w:val="0"/>
          <w:marTop w:val="0"/>
          <w:marBottom w:val="0"/>
          <w:divBdr>
            <w:top w:val="none" w:sz="0" w:space="0" w:color="auto"/>
            <w:left w:val="none" w:sz="0" w:space="0" w:color="auto"/>
            <w:bottom w:val="none" w:sz="0" w:space="0" w:color="auto"/>
            <w:right w:val="none" w:sz="0" w:space="0" w:color="auto"/>
          </w:divBdr>
        </w:div>
        <w:div w:id="1524510180">
          <w:marLeft w:val="0"/>
          <w:marRight w:val="0"/>
          <w:marTop w:val="0"/>
          <w:marBottom w:val="0"/>
          <w:divBdr>
            <w:top w:val="none" w:sz="0" w:space="0" w:color="auto"/>
            <w:left w:val="none" w:sz="0" w:space="0" w:color="auto"/>
            <w:bottom w:val="none" w:sz="0" w:space="0" w:color="auto"/>
            <w:right w:val="none" w:sz="0" w:space="0" w:color="auto"/>
          </w:divBdr>
        </w:div>
        <w:div w:id="265583269">
          <w:marLeft w:val="0"/>
          <w:marRight w:val="0"/>
          <w:marTop w:val="0"/>
          <w:marBottom w:val="0"/>
          <w:divBdr>
            <w:top w:val="none" w:sz="0" w:space="0" w:color="auto"/>
            <w:left w:val="none" w:sz="0" w:space="0" w:color="auto"/>
            <w:bottom w:val="none" w:sz="0" w:space="0" w:color="auto"/>
            <w:right w:val="none" w:sz="0" w:space="0" w:color="auto"/>
          </w:divBdr>
        </w:div>
        <w:div w:id="633025519">
          <w:marLeft w:val="0"/>
          <w:marRight w:val="0"/>
          <w:marTop w:val="0"/>
          <w:marBottom w:val="0"/>
          <w:divBdr>
            <w:top w:val="none" w:sz="0" w:space="0" w:color="auto"/>
            <w:left w:val="none" w:sz="0" w:space="0" w:color="auto"/>
            <w:bottom w:val="none" w:sz="0" w:space="0" w:color="auto"/>
            <w:right w:val="none" w:sz="0" w:space="0" w:color="auto"/>
          </w:divBdr>
        </w:div>
        <w:div w:id="2060780482">
          <w:marLeft w:val="0"/>
          <w:marRight w:val="0"/>
          <w:marTop w:val="0"/>
          <w:marBottom w:val="0"/>
          <w:divBdr>
            <w:top w:val="none" w:sz="0" w:space="0" w:color="auto"/>
            <w:left w:val="none" w:sz="0" w:space="0" w:color="auto"/>
            <w:bottom w:val="none" w:sz="0" w:space="0" w:color="auto"/>
            <w:right w:val="none" w:sz="0" w:space="0" w:color="auto"/>
          </w:divBdr>
        </w:div>
        <w:div w:id="1108506344">
          <w:marLeft w:val="0"/>
          <w:marRight w:val="0"/>
          <w:marTop w:val="0"/>
          <w:marBottom w:val="0"/>
          <w:divBdr>
            <w:top w:val="none" w:sz="0" w:space="0" w:color="auto"/>
            <w:left w:val="none" w:sz="0" w:space="0" w:color="auto"/>
            <w:bottom w:val="none" w:sz="0" w:space="0" w:color="auto"/>
            <w:right w:val="none" w:sz="0" w:space="0" w:color="auto"/>
          </w:divBdr>
        </w:div>
        <w:div w:id="1598519958">
          <w:marLeft w:val="0"/>
          <w:marRight w:val="0"/>
          <w:marTop w:val="0"/>
          <w:marBottom w:val="0"/>
          <w:divBdr>
            <w:top w:val="none" w:sz="0" w:space="0" w:color="auto"/>
            <w:left w:val="none" w:sz="0" w:space="0" w:color="auto"/>
            <w:bottom w:val="none" w:sz="0" w:space="0" w:color="auto"/>
            <w:right w:val="none" w:sz="0" w:space="0" w:color="auto"/>
          </w:divBdr>
        </w:div>
        <w:div w:id="15009210">
          <w:marLeft w:val="0"/>
          <w:marRight w:val="0"/>
          <w:marTop w:val="0"/>
          <w:marBottom w:val="0"/>
          <w:divBdr>
            <w:top w:val="none" w:sz="0" w:space="0" w:color="auto"/>
            <w:left w:val="none" w:sz="0" w:space="0" w:color="auto"/>
            <w:bottom w:val="none" w:sz="0" w:space="0" w:color="auto"/>
            <w:right w:val="none" w:sz="0" w:space="0" w:color="auto"/>
          </w:divBdr>
        </w:div>
        <w:div w:id="871187527">
          <w:marLeft w:val="0"/>
          <w:marRight w:val="0"/>
          <w:marTop w:val="0"/>
          <w:marBottom w:val="0"/>
          <w:divBdr>
            <w:top w:val="none" w:sz="0" w:space="0" w:color="auto"/>
            <w:left w:val="none" w:sz="0" w:space="0" w:color="auto"/>
            <w:bottom w:val="none" w:sz="0" w:space="0" w:color="auto"/>
            <w:right w:val="none" w:sz="0" w:space="0" w:color="auto"/>
          </w:divBdr>
        </w:div>
        <w:div w:id="2129279244">
          <w:marLeft w:val="0"/>
          <w:marRight w:val="0"/>
          <w:marTop w:val="0"/>
          <w:marBottom w:val="0"/>
          <w:divBdr>
            <w:top w:val="none" w:sz="0" w:space="0" w:color="auto"/>
            <w:left w:val="none" w:sz="0" w:space="0" w:color="auto"/>
            <w:bottom w:val="none" w:sz="0" w:space="0" w:color="auto"/>
            <w:right w:val="none" w:sz="0" w:space="0" w:color="auto"/>
          </w:divBdr>
        </w:div>
        <w:div w:id="335617171">
          <w:marLeft w:val="0"/>
          <w:marRight w:val="0"/>
          <w:marTop w:val="0"/>
          <w:marBottom w:val="0"/>
          <w:divBdr>
            <w:top w:val="none" w:sz="0" w:space="0" w:color="auto"/>
            <w:left w:val="none" w:sz="0" w:space="0" w:color="auto"/>
            <w:bottom w:val="none" w:sz="0" w:space="0" w:color="auto"/>
            <w:right w:val="none" w:sz="0" w:space="0" w:color="auto"/>
          </w:divBdr>
        </w:div>
        <w:div w:id="1260063429">
          <w:marLeft w:val="0"/>
          <w:marRight w:val="0"/>
          <w:marTop w:val="0"/>
          <w:marBottom w:val="0"/>
          <w:divBdr>
            <w:top w:val="none" w:sz="0" w:space="0" w:color="auto"/>
            <w:left w:val="none" w:sz="0" w:space="0" w:color="auto"/>
            <w:bottom w:val="none" w:sz="0" w:space="0" w:color="auto"/>
            <w:right w:val="none" w:sz="0" w:space="0" w:color="auto"/>
          </w:divBdr>
        </w:div>
        <w:div w:id="1040519524">
          <w:marLeft w:val="0"/>
          <w:marRight w:val="0"/>
          <w:marTop w:val="0"/>
          <w:marBottom w:val="0"/>
          <w:divBdr>
            <w:top w:val="none" w:sz="0" w:space="0" w:color="auto"/>
            <w:left w:val="none" w:sz="0" w:space="0" w:color="auto"/>
            <w:bottom w:val="none" w:sz="0" w:space="0" w:color="auto"/>
            <w:right w:val="none" w:sz="0" w:space="0" w:color="auto"/>
          </w:divBdr>
        </w:div>
        <w:div w:id="777985396">
          <w:marLeft w:val="0"/>
          <w:marRight w:val="0"/>
          <w:marTop w:val="0"/>
          <w:marBottom w:val="0"/>
          <w:divBdr>
            <w:top w:val="none" w:sz="0" w:space="0" w:color="auto"/>
            <w:left w:val="none" w:sz="0" w:space="0" w:color="auto"/>
            <w:bottom w:val="none" w:sz="0" w:space="0" w:color="auto"/>
            <w:right w:val="none" w:sz="0" w:space="0" w:color="auto"/>
          </w:divBdr>
        </w:div>
        <w:div w:id="1868787891">
          <w:marLeft w:val="0"/>
          <w:marRight w:val="0"/>
          <w:marTop w:val="0"/>
          <w:marBottom w:val="0"/>
          <w:divBdr>
            <w:top w:val="none" w:sz="0" w:space="0" w:color="auto"/>
            <w:left w:val="none" w:sz="0" w:space="0" w:color="auto"/>
            <w:bottom w:val="none" w:sz="0" w:space="0" w:color="auto"/>
            <w:right w:val="none" w:sz="0" w:space="0" w:color="auto"/>
          </w:divBdr>
        </w:div>
        <w:div w:id="480926060">
          <w:marLeft w:val="0"/>
          <w:marRight w:val="0"/>
          <w:marTop w:val="0"/>
          <w:marBottom w:val="0"/>
          <w:divBdr>
            <w:top w:val="none" w:sz="0" w:space="0" w:color="auto"/>
            <w:left w:val="none" w:sz="0" w:space="0" w:color="auto"/>
            <w:bottom w:val="none" w:sz="0" w:space="0" w:color="auto"/>
            <w:right w:val="none" w:sz="0" w:space="0" w:color="auto"/>
          </w:divBdr>
        </w:div>
        <w:div w:id="406534944">
          <w:marLeft w:val="0"/>
          <w:marRight w:val="0"/>
          <w:marTop w:val="0"/>
          <w:marBottom w:val="0"/>
          <w:divBdr>
            <w:top w:val="none" w:sz="0" w:space="0" w:color="auto"/>
            <w:left w:val="none" w:sz="0" w:space="0" w:color="auto"/>
            <w:bottom w:val="none" w:sz="0" w:space="0" w:color="auto"/>
            <w:right w:val="none" w:sz="0" w:space="0" w:color="auto"/>
          </w:divBdr>
        </w:div>
        <w:div w:id="1203595431">
          <w:marLeft w:val="0"/>
          <w:marRight w:val="0"/>
          <w:marTop w:val="0"/>
          <w:marBottom w:val="0"/>
          <w:divBdr>
            <w:top w:val="none" w:sz="0" w:space="0" w:color="auto"/>
            <w:left w:val="none" w:sz="0" w:space="0" w:color="auto"/>
            <w:bottom w:val="none" w:sz="0" w:space="0" w:color="auto"/>
            <w:right w:val="none" w:sz="0" w:space="0" w:color="auto"/>
          </w:divBdr>
        </w:div>
        <w:div w:id="1890845707">
          <w:marLeft w:val="0"/>
          <w:marRight w:val="0"/>
          <w:marTop w:val="0"/>
          <w:marBottom w:val="0"/>
          <w:divBdr>
            <w:top w:val="none" w:sz="0" w:space="0" w:color="auto"/>
            <w:left w:val="none" w:sz="0" w:space="0" w:color="auto"/>
            <w:bottom w:val="none" w:sz="0" w:space="0" w:color="auto"/>
            <w:right w:val="none" w:sz="0" w:space="0" w:color="auto"/>
          </w:divBdr>
        </w:div>
        <w:div w:id="759177399">
          <w:marLeft w:val="0"/>
          <w:marRight w:val="0"/>
          <w:marTop w:val="0"/>
          <w:marBottom w:val="0"/>
          <w:divBdr>
            <w:top w:val="none" w:sz="0" w:space="0" w:color="auto"/>
            <w:left w:val="none" w:sz="0" w:space="0" w:color="auto"/>
            <w:bottom w:val="none" w:sz="0" w:space="0" w:color="auto"/>
            <w:right w:val="none" w:sz="0" w:space="0" w:color="auto"/>
          </w:divBdr>
        </w:div>
        <w:div w:id="332495136">
          <w:marLeft w:val="0"/>
          <w:marRight w:val="0"/>
          <w:marTop w:val="0"/>
          <w:marBottom w:val="0"/>
          <w:divBdr>
            <w:top w:val="none" w:sz="0" w:space="0" w:color="auto"/>
            <w:left w:val="none" w:sz="0" w:space="0" w:color="auto"/>
            <w:bottom w:val="none" w:sz="0" w:space="0" w:color="auto"/>
            <w:right w:val="none" w:sz="0" w:space="0" w:color="auto"/>
          </w:divBdr>
        </w:div>
        <w:div w:id="1885409617">
          <w:marLeft w:val="0"/>
          <w:marRight w:val="0"/>
          <w:marTop w:val="0"/>
          <w:marBottom w:val="0"/>
          <w:divBdr>
            <w:top w:val="none" w:sz="0" w:space="0" w:color="auto"/>
            <w:left w:val="none" w:sz="0" w:space="0" w:color="auto"/>
            <w:bottom w:val="none" w:sz="0" w:space="0" w:color="auto"/>
            <w:right w:val="none" w:sz="0" w:space="0" w:color="auto"/>
          </w:divBdr>
        </w:div>
        <w:div w:id="1379862217">
          <w:marLeft w:val="0"/>
          <w:marRight w:val="0"/>
          <w:marTop w:val="0"/>
          <w:marBottom w:val="0"/>
          <w:divBdr>
            <w:top w:val="none" w:sz="0" w:space="0" w:color="auto"/>
            <w:left w:val="none" w:sz="0" w:space="0" w:color="auto"/>
            <w:bottom w:val="none" w:sz="0" w:space="0" w:color="auto"/>
            <w:right w:val="none" w:sz="0" w:space="0" w:color="auto"/>
          </w:divBdr>
        </w:div>
        <w:div w:id="1661615493">
          <w:marLeft w:val="0"/>
          <w:marRight w:val="0"/>
          <w:marTop w:val="0"/>
          <w:marBottom w:val="0"/>
          <w:divBdr>
            <w:top w:val="none" w:sz="0" w:space="0" w:color="auto"/>
            <w:left w:val="none" w:sz="0" w:space="0" w:color="auto"/>
            <w:bottom w:val="none" w:sz="0" w:space="0" w:color="auto"/>
            <w:right w:val="none" w:sz="0" w:space="0" w:color="auto"/>
          </w:divBdr>
        </w:div>
        <w:div w:id="666516615">
          <w:marLeft w:val="0"/>
          <w:marRight w:val="0"/>
          <w:marTop w:val="0"/>
          <w:marBottom w:val="0"/>
          <w:divBdr>
            <w:top w:val="none" w:sz="0" w:space="0" w:color="auto"/>
            <w:left w:val="none" w:sz="0" w:space="0" w:color="auto"/>
            <w:bottom w:val="none" w:sz="0" w:space="0" w:color="auto"/>
            <w:right w:val="none" w:sz="0" w:space="0" w:color="auto"/>
          </w:divBdr>
        </w:div>
        <w:div w:id="535626422">
          <w:marLeft w:val="0"/>
          <w:marRight w:val="0"/>
          <w:marTop w:val="0"/>
          <w:marBottom w:val="0"/>
          <w:divBdr>
            <w:top w:val="none" w:sz="0" w:space="0" w:color="auto"/>
            <w:left w:val="none" w:sz="0" w:space="0" w:color="auto"/>
            <w:bottom w:val="none" w:sz="0" w:space="0" w:color="auto"/>
            <w:right w:val="none" w:sz="0" w:space="0" w:color="auto"/>
          </w:divBdr>
        </w:div>
        <w:div w:id="182477937">
          <w:marLeft w:val="0"/>
          <w:marRight w:val="0"/>
          <w:marTop w:val="0"/>
          <w:marBottom w:val="0"/>
          <w:divBdr>
            <w:top w:val="none" w:sz="0" w:space="0" w:color="auto"/>
            <w:left w:val="none" w:sz="0" w:space="0" w:color="auto"/>
            <w:bottom w:val="none" w:sz="0" w:space="0" w:color="auto"/>
            <w:right w:val="none" w:sz="0" w:space="0" w:color="auto"/>
          </w:divBdr>
        </w:div>
        <w:div w:id="1578007428">
          <w:marLeft w:val="0"/>
          <w:marRight w:val="0"/>
          <w:marTop w:val="0"/>
          <w:marBottom w:val="0"/>
          <w:divBdr>
            <w:top w:val="none" w:sz="0" w:space="0" w:color="auto"/>
            <w:left w:val="none" w:sz="0" w:space="0" w:color="auto"/>
            <w:bottom w:val="none" w:sz="0" w:space="0" w:color="auto"/>
            <w:right w:val="none" w:sz="0" w:space="0" w:color="auto"/>
          </w:divBdr>
        </w:div>
        <w:div w:id="359018122">
          <w:marLeft w:val="0"/>
          <w:marRight w:val="0"/>
          <w:marTop w:val="0"/>
          <w:marBottom w:val="0"/>
          <w:divBdr>
            <w:top w:val="none" w:sz="0" w:space="0" w:color="auto"/>
            <w:left w:val="none" w:sz="0" w:space="0" w:color="auto"/>
            <w:bottom w:val="none" w:sz="0" w:space="0" w:color="auto"/>
            <w:right w:val="none" w:sz="0" w:space="0" w:color="auto"/>
          </w:divBdr>
        </w:div>
        <w:div w:id="1962418274">
          <w:marLeft w:val="0"/>
          <w:marRight w:val="0"/>
          <w:marTop w:val="0"/>
          <w:marBottom w:val="0"/>
          <w:divBdr>
            <w:top w:val="none" w:sz="0" w:space="0" w:color="auto"/>
            <w:left w:val="none" w:sz="0" w:space="0" w:color="auto"/>
            <w:bottom w:val="none" w:sz="0" w:space="0" w:color="auto"/>
            <w:right w:val="none" w:sz="0" w:space="0" w:color="auto"/>
          </w:divBdr>
        </w:div>
        <w:div w:id="1937520385">
          <w:marLeft w:val="0"/>
          <w:marRight w:val="0"/>
          <w:marTop w:val="0"/>
          <w:marBottom w:val="0"/>
          <w:divBdr>
            <w:top w:val="none" w:sz="0" w:space="0" w:color="auto"/>
            <w:left w:val="none" w:sz="0" w:space="0" w:color="auto"/>
            <w:bottom w:val="none" w:sz="0" w:space="0" w:color="auto"/>
            <w:right w:val="none" w:sz="0" w:space="0" w:color="auto"/>
          </w:divBdr>
        </w:div>
        <w:div w:id="699670932">
          <w:marLeft w:val="0"/>
          <w:marRight w:val="0"/>
          <w:marTop w:val="0"/>
          <w:marBottom w:val="0"/>
          <w:divBdr>
            <w:top w:val="none" w:sz="0" w:space="0" w:color="auto"/>
            <w:left w:val="none" w:sz="0" w:space="0" w:color="auto"/>
            <w:bottom w:val="none" w:sz="0" w:space="0" w:color="auto"/>
            <w:right w:val="none" w:sz="0" w:space="0" w:color="auto"/>
          </w:divBdr>
        </w:div>
        <w:div w:id="736707441">
          <w:marLeft w:val="0"/>
          <w:marRight w:val="0"/>
          <w:marTop w:val="0"/>
          <w:marBottom w:val="0"/>
          <w:divBdr>
            <w:top w:val="none" w:sz="0" w:space="0" w:color="auto"/>
            <w:left w:val="none" w:sz="0" w:space="0" w:color="auto"/>
            <w:bottom w:val="none" w:sz="0" w:space="0" w:color="auto"/>
            <w:right w:val="none" w:sz="0" w:space="0" w:color="auto"/>
          </w:divBdr>
        </w:div>
        <w:div w:id="1487818452">
          <w:marLeft w:val="0"/>
          <w:marRight w:val="0"/>
          <w:marTop w:val="0"/>
          <w:marBottom w:val="0"/>
          <w:divBdr>
            <w:top w:val="none" w:sz="0" w:space="0" w:color="auto"/>
            <w:left w:val="none" w:sz="0" w:space="0" w:color="auto"/>
            <w:bottom w:val="none" w:sz="0" w:space="0" w:color="auto"/>
            <w:right w:val="none" w:sz="0" w:space="0" w:color="auto"/>
          </w:divBdr>
        </w:div>
        <w:div w:id="1250431606">
          <w:marLeft w:val="0"/>
          <w:marRight w:val="0"/>
          <w:marTop w:val="0"/>
          <w:marBottom w:val="0"/>
          <w:divBdr>
            <w:top w:val="none" w:sz="0" w:space="0" w:color="auto"/>
            <w:left w:val="none" w:sz="0" w:space="0" w:color="auto"/>
            <w:bottom w:val="none" w:sz="0" w:space="0" w:color="auto"/>
            <w:right w:val="none" w:sz="0" w:space="0" w:color="auto"/>
          </w:divBdr>
        </w:div>
        <w:div w:id="1429544298">
          <w:marLeft w:val="0"/>
          <w:marRight w:val="0"/>
          <w:marTop w:val="0"/>
          <w:marBottom w:val="0"/>
          <w:divBdr>
            <w:top w:val="none" w:sz="0" w:space="0" w:color="auto"/>
            <w:left w:val="none" w:sz="0" w:space="0" w:color="auto"/>
            <w:bottom w:val="none" w:sz="0" w:space="0" w:color="auto"/>
            <w:right w:val="none" w:sz="0" w:space="0" w:color="auto"/>
          </w:divBdr>
        </w:div>
        <w:div w:id="26369300">
          <w:marLeft w:val="0"/>
          <w:marRight w:val="0"/>
          <w:marTop w:val="0"/>
          <w:marBottom w:val="0"/>
          <w:divBdr>
            <w:top w:val="none" w:sz="0" w:space="0" w:color="auto"/>
            <w:left w:val="none" w:sz="0" w:space="0" w:color="auto"/>
            <w:bottom w:val="none" w:sz="0" w:space="0" w:color="auto"/>
            <w:right w:val="none" w:sz="0" w:space="0" w:color="auto"/>
          </w:divBdr>
        </w:div>
        <w:div w:id="1846047862">
          <w:marLeft w:val="0"/>
          <w:marRight w:val="0"/>
          <w:marTop w:val="0"/>
          <w:marBottom w:val="0"/>
          <w:divBdr>
            <w:top w:val="none" w:sz="0" w:space="0" w:color="auto"/>
            <w:left w:val="none" w:sz="0" w:space="0" w:color="auto"/>
            <w:bottom w:val="none" w:sz="0" w:space="0" w:color="auto"/>
            <w:right w:val="none" w:sz="0" w:space="0" w:color="auto"/>
          </w:divBdr>
        </w:div>
        <w:div w:id="63577010">
          <w:marLeft w:val="0"/>
          <w:marRight w:val="0"/>
          <w:marTop w:val="0"/>
          <w:marBottom w:val="0"/>
          <w:divBdr>
            <w:top w:val="none" w:sz="0" w:space="0" w:color="auto"/>
            <w:left w:val="none" w:sz="0" w:space="0" w:color="auto"/>
            <w:bottom w:val="none" w:sz="0" w:space="0" w:color="auto"/>
            <w:right w:val="none" w:sz="0" w:space="0" w:color="auto"/>
          </w:divBdr>
        </w:div>
        <w:div w:id="145516896">
          <w:marLeft w:val="0"/>
          <w:marRight w:val="0"/>
          <w:marTop w:val="0"/>
          <w:marBottom w:val="0"/>
          <w:divBdr>
            <w:top w:val="none" w:sz="0" w:space="0" w:color="auto"/>
            <w:left w:val="none" w:sz="0" w:space="0" w:color="auto"/>
            <w:bottom w:val="none" w:sz="0" w:space="0" w:color="auto"/>
            <w:right w:val="none" w:sz="0" w:space="0" w:color="auto"/>
          </w:divBdr>
        </w:div>
        <w:div w:id="1074015423">
          <w:marLeft w:val="0"/>
          <w:marRight w:val="0"/>
          <w:marTop w:val="0"/>
          <w:marBottom w:val="0"/>
          <w:divBdr>
            <w:top w:val="none" w:sz="0" w:space="0" w:color="auto"/>
            <w:left w:val="none" w:sz="0" w:space="0" w:color="auto"/>
            <w:bottom w:val="none" w:sz="0" w:space="0" w:color="auto"/>
            <w:right w:val="none" w:sz="0" w:space="0" w:color="auto"/>
          </w:divBdr>
        </w:div>
        <w:div w:id="894202085">
          <w:marLeft w:val="0"/>
          <w:marRight w:val="0"/>
          <w:marTop w:val="0"/>
          <w:marBottom w:val="0"/>
          <w:divBdr>
            <w:top w:val="none" w:sz="0" w:space="0" w:color="auto"/>
            <w:left w:val="none" w:sz="0" w:space="0" w:color="auto"/>
            <w:bottom w:val="none" w:sz="0" w:space="0" w:color="auto"/>
            <w:right w:val="none" w:sz="0" w:space="0" w:color="auto"/>
          </w:divBdr>
        </w:div>
        <w:div w:id="804197192">
          <w:marLeft w:val="0"/>
          <w:marRight w:val="0"/>
          <w:marTop w:val="0"/>
          <w:marBottom w:val="0"/>
          <w:divBdr>
            <w:top w:val="none" w:sz="0" w:space="0" w:color="auto"/>
            <w:left w:val="none" w:sz="0" w:space="0" w:color="auto"/>
            <w:bottom w:val="none" w:sz="0" w:space="0" w:color="auto"/>
            <w:right w:val="none" w:sz="0" w:space="0" w:color="auto"/>
          </w:divBdr>
        </w:div>
        <w:div w:id="1167405691">
          <w:marLeft w:val="0"/>
          <w:marRight w:val="0"/>
          <w:marTop w:val="0"/>
          <w:marBottom w:val="0"/>
          <w:divBdr>
            <w:top w:val="none" w:sz="0" w:space="0" w:color="auto"/>
            <w:left w:val="none" w:sz="0" w:space="0" w:color="auto"/>
            <w:bottom w:val="none" w:sz="0" w:space="0" w:color="auto"/>
            <w:right w:val="none" w:sz="0" w:space="0" w:color="auto"/>
          </w:divBdr>
        </w:div>
      </w:divsChild>
    </w:div>
    <w:div w:id="1109160832">
      <w:bodyDiv w:val="1"/>
      <w:marLeft w:val="0"/>
      <w:marRight w:val="0"/>
      <w:marTop w:val="0"/>
      <w:marBottom w:val="0"/>
      <w:divBdr>
        <w:top w:val="none" w:sz="0" w:space="0" w:color="auto"/>
        <w:left w:val="none" w:sz="0" w:space="0" w:color="auto"/>
        <w:bottom w:val="none" w:sz="0" w:space="0" w:color="auto"/>
        <w:right w:val="none" w:sz="0" w:space="0" w:color="auto"/>
      </w:divBdr>
    </w:div>
    <w:div w:id="1180270516">
      <w:bodyDiv w:val="1"/>
      <w:marLeft w:val="0"/>
      <w:marRight w:val="0"/>
      <w:marTop w:val="0"/>
      <w:marBottom w:val="0"/>
      <w:divBdr>
        <w:top w:val="none" w:sz="0" w:space="0" w:color="auto"/>
        <w:left w:val="none" w:sz="0" w:space="0" w:color="auto"/>
        <w:bottom w:val="none" w:sz="0" w:space="0" w:color="auto"/>
        <w:right w:val="none" w:sz="0" w:space="0" w:color="auto"/>
      </w:divBdr>
    </w:div>
    <w:div w:id="1399128212">
      <w:bodyDiv w:val="1"/>
      <w:marLeft w:val="0"/>
      <w:marRight w:val="0"/>
      <w:marTop w:val="0"/>
      <w:marBottom w:val="0"/>
      <w:divBdr>
        <w:top w:val="none" w:sz="0" w:space="0" w:color="auto"/>
        <w:left w:val="none" w:sz="0" w:space="0" w:color="auto"/>
        <w:bottom w:val="none" w:sz="0" w:space="0" w:color="auto"/>
        <w:right w:val="none" w:sz="0" w:space="0" w:color="auto"/>
      </w:divBdr>
    </w:div>
    <w:div w:id="1431584429">
      <w:bodyDiv w:val="1"/>
      <w:marLeft w:val="0"/>
      <w:marRight w:val="0"/>
      <w:marTop w:val="0"/>
      <w:marBottom w:val="0"/>
      <w:divBdr>
        <w:top w:val="none" w:sz="0" w:space="0" w:color="auto"/>
        <w:left w:val="none" w:sz="0" w:space="0" w:color="auto"/>
        <w:bottom w:val="none" w:sz="0" w:space="0" w:color="auto"/>
        <w:right w:val="none" w:sz="0" w:space="0" w:color="auto"/>
      </w:divBdr>
      <w:divsChild>
        <w:div w:id="135152279">
          <w:marLeft w:val="0"/>
          <w:marRight w:val="0"/>
          <w:marTop w:val="0"/>
          <w:marBottom w:val="0"/>
          <w:divBdr>
            <w:top w:val="none" w:sz="0" w:space="0" w:color="auto"/>
            <w:left w:val="none" w:sz="0" w:space="0" w:color="auto"/>
            <w:bottom w:val="none" w:sz="0" w:space="0" w:color="auto"/>
            <w:right w:val="none" w:sz="0" w:space="0" w:color="auto"/>
          </w:divBdr>
        </w:div>
        <w:div w:id="1178039383">
          <w:marLeft w:val="0"/>
          <w:marRight w:val="0"/>
          <w:marTop w:val="0"/>
          <w:marBottom w:val="0"/>
          <w:divBdr>
            <w:top w:val="none" w:sz="0" w:space="0" w:color="auto"/>
            <w:left w:val="none" w:sz="0" w:space="0" w:color="auto"/>
            <w:bottom w:val="none" w:sz="0" w:space="0" w:color="auto"/>
            <w:right w:val="none" w:sz="0" w:space="0" w:color="auto"/>
          </w:divBdr>
        </w:div>
        <w:div w:id="1327634027">
          <w:marLeft w:val="0"/>
          <w:marRight w:val="0"/>
          <w:marTop w:val="0"/>
          <w:marBottom w:val="0"/>
          <w:divBdr>
            <w:top w:val="none" w:sz="0" w:space="0" w:color="auto"/>
            <w:left w:val="none" w:sz="0" w:space="0" w:color="auto"/>
            <w:bottom w:val="none" w:sz="0" w:space="0" w:color="auto"/>
            <w:right w:val="none" w:sz="0" w:space="0" w:color="auto"/>
          </w:divBdr>
        </w:div>
        <w:div w:id="651062441">
          <w:marLeft w:val="0"/>
          <w:marRight w:val="0"/>
          <w:marTop w:val="0"/>
          <w:marBottom w:val="0"/>
          <w:divBdr>
            <w:top w:val="none" w:sz="0" w:space="0" w:color="auto"/>
            <w:left w:val="none" w:sz="0" w:space="0" w:color="auto"/>
            <w:bottom w:val="none" w:sz="0" w:space="0" w:color="auto"/>
            <w:right w:val="none" w:sz="0" w:space="0" w:color="auto"/>
          </w:divBdr>
        </w:div>
        <w:div w:id="1091244268">
          <w:marLeft w:val="0"/>
          <w:marRight w:val="0"/>
          <w:marTop w:val="0"/>
          <w:marBottom w:val="0"/>
          <w:divBdr>
            <w:top w:val="none" w:sz="0" w:space="0" w:color="auto"/>
            <w:left w:val="none" w:sz="0" w:space="0" w:color="auto"/>
            <w:bottom w:val="none" w:sz="0" w:space="0" w:color="auto"/>
            <w:right w:val="none" w:sz="0" w:space="0" w:color="auto"/>
          </w:divBdr>
        </w:div>
        <w:div w:id="780993223">
          <w:marLeft w:val="0"/>
          <w:marRight w:val="0"/>
          <w:marTop w:val="0"/>
          <w:marBottom w:val="0"/>
          <w:divBdr>
            <w:top w:val="none" w:sz="0" w:space="0" w:color="auto"/>
            <w:left w:val="none" w:sz="0" w:space="0" w:color="auto"/>
            <w:bottom w:val="none" w:sz="0" w:space="0" w:color="auto"/>
            <w:right w:val="none" w:sz="0" w:space="0" w:color="auto"/>
          </w:divBdr>
        </w:div>
        <w:div w:id="196697554">
          <w:marLeft w:val="0"/>
          <w:marRight w:val="0"/>
          <w:marTop w:val="0"/>
          <w:marBottom w:val="0"/>
          <w:divBdr>
            <w:top w:val="none" w:sz="0" w:space="0" w:color="auto"/>
            <w:left w:val="none" w:sz="0" w:space="0" w:color="auto"/>
            <w:bottom w:val="none" w:sz="0" w:space="0" w:color="auto"/>
            <w:right w:val="none" w:sz="0" w:space="0" w:color="auto"/>
          </w:divBdr>
        </w:div>
        <w:div w:id="1565601900">
          <w:marLeft w:val="0"/>
          <w:marRight w:val="0"/>
          <w:marTop w:val="0"/>
          <w:marBottom w:val="0"/>
          <w:divBdr>
            <w:top w:val="none" w:sz="0" w:space="0" w:color="auto"/>
            <w:left w:val="none" w:sz="0" w:space="0" w:color="auto"/>
            <w:bottom w:val="none" w:sz="0" w:space="0" w:color="auto"/>
            <w:right w:val="none" w:sz="0" w:space="0" w:color="auto"/>
          </w:divBdr>
        </w:div>
        <w:div w:id="760569469">
          <w:marLeft w:val="0"/>
          <w:marRight w:val="0"/>
          <w:marTop w:val="0"/>
          <w:marBottom w:val="0"/>
          <w:divBdr>
            <w:top w:val="none" w:sz="0" w:space="0" w:color="auto"/>
            <w:left w:val="none" w:sz="0" w:space="0" w:color="auto"/>
            <w:bottom w:val="none" w:sz="0" w:space="0" w:color="auto"/>
            <w:right w:val="none" w:sz="0" w:space="0" w:color="auto"/>
          </w:divBdr>
        </w:div>
        <w:div w:id="2064668387">
          <w:marLeft w:val="0"/>
          <w:marRight w:val="0"/>
          <w:marTop w:val="0"/>
          <w:marBottom w:val="0"/>
          <w:divBdr>
            <w:top w:val="none" w:sz="0" w:space="0" w:color="auto"/>
            <w:left w:val="none" w:sz="0" w:space="0" w:color="auto"/>
            <w:bottom w:val="none" w:sz="0" w:space="0" w:color="auto"/>
            <w:right w:val="none" w:sz="0" w:space="0" w:color="auto"/>
          </w:divBdr>
        </w:div>
        <w:div w:id="1899319127">
          <w:marLeft w:val="0"/>
          <w:marRight w:val="0"/>
          <w:marTop w:val="0"/>
          <w:marBottom w:val="0"/>
          <w:divBdr>
            <w:top w:val="none" w:sz="0" w:space="0" w:color="auto"/>
            <w:left w:val="none" w:sz="0" w:space="0" w:color="auto"/>
            <w:bottom w:val="none" w:sz="0" w:space="0" w:color="auto"/>
            <w:right w:val="none" w:sz="0" w:space="0" w:color="auto"/>
          </w:divBdr>
        </w:div>
      </w:divsChild>
    </w:div>
    <w:div w:id="1503275966">
      <w:bodyDiv w:val="1"/>
      <w:marLeft w:val="0"/>
      <w:marRight w:val="0"/>
      <w:marTop w:val="0"/>
      <w:marBottom w:val="0"/>
      <w:divBdr>
        <w:top w:val="none" w:sz="0" w:space="0" w:color="auto"/>
        <w:left w:val="none" w:sz="0" w:space="0" w:color="auto"/>
        <w:bottom w:val="none" w:sz="0" w:space="0" w:color="auto"/>
        <w:right w:val="none" w:sz="0" w:space="0" w:color="auto"/>
      </w:divBdr>
      <w:divsChild>
        <w:div w:id="1026637226">
          <w:marLeft w:val="0"/>
          <w:marRight w:val="0"/>
          <w:marTop w:val="0"/>
          <w:marBottom w:val="0"/>
          <w:divBdr>
            <w:top w:val="none" w:sz="0" w:space="0" w:color="auto"/>
            <w:left w:val="none" w:sz="0" w:space="0" w:color="auto"/>
            <w:bottom w:val="none" w:sz="0" w:space="0" w:color="auto"/>
            <w:right w:val="none" w:sz="0" w:space="0" w:color="auto"/>
          </w:divBdr>
        </w:div>
        <w:div w:id="1157529328">
          <w:marLeft w:val="0"/>
          <w:marRight w:val="0"/>
          <w:marTop w:val="0"/>
          <w:marBottom w:val="0"/>
          <w:divBdr>
            <w:top w:val="none" w:sz="0" w:space="0" w:color="auto"/>
            <w:left w:val="none" w:sz="0" w:space="0" w:color="auto"/>
            <w:bottom w:val="none" w:sz="0" w:space="0" w:color="auto"/>
            <w:right w:val="none" w:sz="0" w:space="0" w:color="auto"/>
          </w:divBdr>
        </w:div>
        <w:div w:id="1776510128">
          <w:marLeft w:val="0"/>
          <w:marRight w:val="0"/>
          <w:marTop w:val="0"/>
          <w:marBottom w:val="0"/>
          <w:divBdr>
            <w:top w:val="none" w:sz="0" w:space="0" w:color="auto"/>
            <w:left w:val="none" w:sz="0" w:space="0" w:color="auto"/>
            <w:bottom w:val="none" w:sz="0" w:space="0" w:color="auto"/>
            <w:right w:val="none" w:sz="0" w:space="0" w:color="auto"/>
          </w:divBdr>
        </w:div>
        <w:div w:id="1482306060">
          <w:marLeft w:val="0"/>
          <w:marRight w:val="0"/>
          <w:marTop w:val="0"/>
          <w:marBottom w:val="0"/>
          <w:divBdr>
            <w:top w:val="none" w:sz="0" w:space="0" w:color="auto"/>
            <w:left w:val="none" w:sz="0" w:space="0" w:color="auto"/>
            <w:bottom w:val="none" w:sz="0" w:space="0" w:color="auto"/>
            <w:right w:val="none" w:sz="0" w:space="0" w:color="auto"/>
          </w:divBdr>
        </w:div>
        <w:div w:id="2107381289">
          <w:marLeft w:val="0"/>
          <w:marRight w:val="0"/>
          <w:marTop w:val="0"/>
          <w:marBottom w:val="0"/>
          <w:divBdr>
            <w:top w:val="none" w:sz="0" w:space="0" w:color="auto"/>
            <w:left w:val="none" w:sz="0" w:space="0" w:color="auto"/>
            <w:bottom w:val="none" w:sz="0" w:space="0" w:color="auto"/>
            <w:right w:val="none" w:sz="0" w:space="0" w:color="auto"/>
          </w:divBdr>
        </w:div>
        <w:div w:id="932324671">
          <w:marLeft w:val="0"/>
          <w:marRight w:val="0"/>
          <w:marTop w:val="0"/>
          <w:marBottom w:val="0"/>
          <w:divBdr>
            <w:top w:val="none" w:sz="0" w:space="0" w:color="auto"/>
            <w:left w:val="none" w:sz="0" w:space="0" w:color="auto"/>
            <w:bottom w:val="none" w:sz="0" w:space="0" w:color="auto"/>
            <w:right w:val="none" w:sz="0" w:space="0" w:color="auto"/>
          </w:divBdr>
        </w:div>
        <w:div w:id="1684623568">
          <w:marLeft w:val="0"/>
          <w:marRight w:val="0"/>
          <w:marTop w:val="0"/>
          <w:marBottom w:val="0"/>
          <w:divBdr>
            <w:top w:val="none" w:sz="0" w:space="0" w:color="auto"/>
            <w:left w:val="none" w:sz="0" w:space="0" w:color="auto"/>
            <w:bottom w:val="none" w:sz="0" w:space="0" w:color="auto"/>
            <w:right w:val="none" w:sz="0" w:space="0" w:color="auto"/>
          </w:divBdr>
        </w:div>
        <w:div w:id="1578591720">
          <w:marLeft w:val="0"/>
          <w:marRight w:val="0"/>
          <w:marTop w:val="0"/>
          <w:marBottom w:val="0"/>
          <w:divBdr>
            <w:top w:val="none" w:sz="0" w:space="0" w:color="auto"/>
            <w:left w:val="none" w:sz="0" w:space="0" w:color="auto"/>
            <w:bottom w:val="none" w:sz="0" w:space="0" w:color="auto"/>
            <w:right w:val="none" w:sz="0" w:space="0" w:color="auto"/>
          </w:divBdr>
        </w:div>
        <w:div w:id="457915761">
          <w:marLeft w:val="0"/>
          <w:marRight w:val="0"/>
          <w:marTop w:val="0"/>
          <w:marBottom w:val="0"/>
          <w:divBdr>
            <w:top w:val="none" w:sz="0" w:space="0" w:color="auto"/>
            <w:left w:val="none" w:sz="0" w:space="0" w:color="auto"/>
            <w:bottom w:val="none" w:sz="0" w:space="0" w:color="auto"/>
            <w:right w:val="none" w:sz="0" w:space="0" w:color="auto"/>
          </w:divBdr>
        </w:div>
        <w:div w:id="679478097">
          <w:marLeft w:val="0"/>
          <w:marRight w:val="0"/>
          <w:marTop w:val="0"/>
          <w:marBottom w:val="0"/>
          <w:divBdr>
            <w:top w:val="none" w:sz="0" w:space="0" w:color="auto"/>
            <w:left w:val="none" w:sz="0" w:space="0" w:color="auto"/>
            <w:bottom w:val="none" w:sz="0" w:space="0" w:color="auto"/>
            <w:right w:val="none" w:sz="0" w:space="0" w:color="auto"/>
          </w:divBdr>
        </w:div>
        <w:div w:id="1257136711">
          <w:marLeft w:val="0"/>
          <w:marRight w:val="0"/>
          <w:marTop w:val="0"/>
          <w:marBottom w:val="0"/>
          <w:divBdr>
            <w:top w:val="none" w:sz="0" w:space="0" w:color="auto"/>
            <w:left w:val="none" w:sz="0" w:space="0" w:color="auto"/>
            <w:bottom w:val="none" w:sz="0" w:space="0" w:color="auto"/>
            <w:right w:val="none" w:sz="0" w:space="0" w:color="auto"/>
          </w:divBdr>
        </w:div>
        <w:div w:id="1430200662">
          <w:marLeft w:val="0"/>
          <w:marRight w:val="0"/>
          <w:marTop w:val="0"/>
          <w:marBottom w:val="0"/>
          <w:divBdr>
            <w:top w:val="none" w:sz="0" w:space="0" w:color="auto"/>
            <w:left w:val="none" w:sz="0" w:space="0" w:color="auto"/>
            <w:bottom w:val="none" w:sz="0" w:space="0" w:color="auto"/>
            <w:right w:val="none" w:sz="0" w:space="0" w:color="auto"/>
          </w:divBdr>
        </w:div>
        <w:div w:id="2082674827">
          <w:marLeft w:val="0"/>
          <w:marRight w:val="0"/>
          <w:marTop w:val="0"/>
          <w:marBottom w:val="0"/>
          <w:divBdr>
            <w:top w:val="none" w:sz="0" w:space="0" w:color="auto"/>
            <w:left w:val="none" w:sz="0" w:space="0" w:color="auto"/>
            <w:bottom w:val="none" w:sz="0" w:space="0" w:color="auto"/>
            <w:right w:val="none" w:sz="0" w:space="0" w:color="auto"/>
          </w:divBdr>
        </w:div>
        <w:div w:id="269895813">
          <w:marLeft w:val="0"/>
          <w:marRight w:val="0"/>
          <w:marTop w:val="0"/>
          <w:marBottom w:val="0"/>
          <w:divBdr>
            <w:top w:val="none" w:sz="0" w:space="0" w:color="auto"/>
            <w:left w:val="none" w:sz="0" w:space="0" w:color="auto"/>
            <w:bottom w:val="none" w:sz="0" w:space="0" w:color="auto"/>
            <w:right w:val="none" w:sz="0" w:space="0" w:color="auto"/>
          </w:divBdr>
        </w:div>
        <w:div w:id="605818996">
          <w:marLeft w:val="0"/>
          <w:marRight w:val="0"/>
          <w:marTop w:val="0"/>
          <w:marBottom w:val="0"/>
          <w:divBdr>
            <w:top w:val="none" w:sz="0" w:space="0" w:color="auto"/>
            <w:left w:val="none" w:sz="0" w:space="0" w:color="auto"/>
            <w:bottom w:val="none" w:sz="0" w:space="0" w:color="auto"/>
            <w:right w:val="none" w:sz="0" w:space="0" w:color="auto"/>
          </w:divBdr>
        </w:div>
        <w:div w:id="1144467169">
          <w:marLeft w:val="0"/>
          <w:marRight w:val="0"/>
          <w:marTop w:val="0"/>
          <w:marBottom w:val="0"/>
          <w:divBdr>
            <w:top w:val="none" w:sz="0" w:space="0" w:color="auto"/>
            <w:left w:val="none" w:sz="0" w:space="0" w:color="auto"/>
            <w:bottom w:val="none" w:sz="0" w:space="0" w:color="auto"/>
            <w:right w:val="none" w:sz="0" w:space="0" w:color="auto"/>
          </w:divBdr>
        </w:div>
        <w:div w:id="1926303650">
          <w:marLeft w:val="0"/>
          <w:marRight w:val="0"/>
          <w:marTop w:val="0"/>
          <w:marBottom w:val="0"/>
          <w:divBdr>
            <w:top w:val="none" w:sz="0" w:space="0" w:color="auto"/>
            <w:left w:val="none" w:sz="0" w:space="0" w:color="auto"/>
            <w:bottom w:val="none" w:sz="0" w:space="0" w:color="auto"/>
            <w:right w:val="none" w:sz="0" w:space="0" w:color="auto"/>
          </w:divBdr>
        </w:div>
        <w:div w:id="1126775651">
          <w:marLeft w:val="0"/>
          <w:marRight w:val="0"/>
          <w:marTop w:val="0"/>
          <w:marBottom w:val="0"/>
          <w:divBdr>
            <w:top w:val="none" w:sz="0" w:space="0" w:color="auto"/>
            <w:left w:val="none" w:sz="0" w:space="0" w:color="auto"/>
            <w:bottom w:val="none" w:sz="0" w:space="0" w:color="auto"/>
            <w:right w:val="none" w:sz="0" w:space="0" w:color="auto"/>
          </w:divBdr>
        </w:div>
        <w:div w:id="1574850556">
          <w:marLeft w:val="0"/>
          <w:marRight w:val="0"/>
          <w:marTop w:val="0"/>
          <w:marBottom w:val="0"/>
          <w:divBdr>
            <w:top w:val="none" w:sz="0" w:space="0" w:color="auto"/>
            <w:left w:val="none" w:sz="0" w:space="0" w:color="auto"/>
            <w:bottom w:val="none" w:sz="0" w:space="0" w:color="auto"/>
            <w:right w:val="none" w:sz="0" w:space="0" w:color="auto"/>
          </w:divBdr>
        </w:div>
        <w:div w:id="548030217">
          <w:marLeft w:val="0"/>
          <w:marRight w:val="0"/>
          <w:marTop w:val="0"/>
          <w:marBottom w:val="0"/>
          <w:divBdr>
            <w:top w:val="none" w:sz="0" w:space="0" w:color="auto"/>
            <w:left w:val="none" w:sz="0" w:space="0" w:color="auto"/>
            <w:bottom w:val="none" w:sz="0" w:space="0" w:color="auto"/>
            <w:right w:val="none" w:sz="0" w:space="0" w:color="auto"/>
          </w:divBdr>
        </w:div>
        <w:div w:id="823542471">
          <w:marLeft w:val="0"/>
          <w:marRight w:val="0"/>
          <w:marTop w:val="0"/>
          <w:marBottom w:val="0"/>
          <w:divBdr>
            <w:top w:val="none" w:sz="0" w:space="0" w:color="auto"/>
            <w:left w:val="none" w:sz="0" w:space="0" w:color="auto"/>
            <w:bottom w:val="none" w:sz="0" w:space="0" w:color="auto"/>
            <w:right w:val="none" w:sz="0" w:space="0" w:color="auto"/>
          </w:divBdr>
        </w:div>
        <w:div w:id="1879776476">
          <w:marLeft w:val="0"/>
          <w:marRight w:val="0"/>
          <w:marTop w:val="0"/>
          <w:marBottom w:val="0"/>
          <w:divBdr>
            <w:top w:val="none" w:sz="0" w:space="0" w:color="auto"/>
            <w:left w:val="none" w:sz="0" w:space="0" w:color="auto"/>
            <w:bottom w:val="none" w:sz="0" w:space="0" w:color="auto"/>
            <w:right w:val="none" w:sz="0" w:space="0" w:color="auto"/>
          </w:divBdr>
        </w:div>
        <w:div w:id="638269724">
          <w:marLeft w:val="0"/>
          <w:marRight w:val="0"/>
          <w:marTop w:val="0"/>
          <w:marBottom w:val="0"/>
          <w:divBdr>
            <w:top w:val="none" w:sz="0" w:space="0" w:color="auto"/>
            <w:left w:val="none" w:sz="0" w:space="0" w:color="auto"/>
            <w:bottom w:val="none" w:sz="0" w:space="0" w:color="auto"/>
            <w:right w:val="none" w:sz="0" w:space="0" w:color="auto"/>
          </w:divBdr>
        </w:div>
        <w:div w:id="51779631">
          <w:marLeft w:val="0"/>
          <w:marRight w:val="0"/>
          <w:marTop w:val="0"/>
          <w:marBottom w:val="0"/>
          <w:divBdr>
            <w:top w:val="none" w:sz="0" w:space="0" w:color="auto"/>
            <w:left w:val="none" w:sz="0" w:space="0" w:color="auto"/>
            <w:bottom w:val="none" w:sz="0" w:space="0" w:color="auto"/>
            <w:right w:val="none" w:sz="0" w:space="0" w:color="auto"/>
          </w:divBdr>
        </w:div>
        <w:div w:id="1412967565">
          <w:marLeft w:val="0"/>
          <w:marRight w:val="0"/>
          <w:marTop w:val="0"/>
          <w:marBottom w:val="0"/>
          <w:divBdr>
            <w:top w:val="none" w:sz="0" w:space="0" w:color="auto"/>
            <w:left w:val="none" w:sz="0" w:space="0" w:color="auto"/>
            <w:bottom w:val="none" w:sz="0" w:space="0" w:color="auto"/>
            <w:right w:val="none" w:sz="0" w:space="0" w:color="auto"/>
          </w:divBdr>
        </w:div>
        <w:div w:id="606355832">
          <w:marLeft w:val="0"/>
          <w:marRight w:val="0"/>
          <w:marTop w:val="0"/>
          <w:marBottom w:val="0"/>
          <w:divBdr>
            <w:top w:val="none" w:sz="0" w:space="0" w:color="auto"/>
            <w:left w:val="none" w:sz="0" w:space="0" w:color="auto"/>
            <w:bottom w:val="none" w:sz="0" w:space="0" w:color="auto"/>
            <w:right w:val="none" w:sz="0" w:space="0" w:color="auto"/>
          </w:divBdr>
        </w:div>
        <w:div w:id="691302290">
          <w:marLeft w:val="0"/>
          <w:marRight w:val="0"/>
          <w:marTop w:val="0"/>
          <w:marBottom w:val="0"/>
          <w:divBdr>
            <w:top w:val="none" w:sz="0" w:space="0" w:color="auto"/>
            <w:left w:val="none" w:sz="0" w:space="0" w:color="auto"/>
            <w:bottom w:val="none" w:sz="0" w:space="0" w:color="auto"/>
            <w:right w:val="none" w:sz="0" w:space="0" w:color="auto"/>
          </w:divBdr>
        </w:div>
        <w:div w:id="1761483570">
          <w:marLeft w:val="0"/>
          <w:marRight w:val="0"/>
          <w:marTop w:val="0"/>
          <w:marBottom w:val="0"/>
          <w:divBdr>
            <w:top w:val="none" w:sz="0" w:space="0" w:color="auto"/>
            <w:left w:val="none" w:sz="0" w:space="0" w:color="auto"/>
            <w:bottom w:val="none" w:sz="0" w:space="0" w:color="auto"/>
            <w:right w:val="none" w:sz="0" w:space="0" w:color="auto"/>
          </w:divBdr>
        </w:div>
      </w:divsChild>
    </w:div>
    <w:div w:id="1557819955">
      <w:bodyDiv w:val="1"/>
      <w:marLeft w:val="0"/>
      <w:marRight w:val="0"/>
      <w:marTop w:val="0"/>
      <w:marBottom w:val="0"/>
      <w:divBdr>
        <w:top w:val="none" w:sz="0" w:space="0" w:color="auto"/>
        <w:left w:val="none" w:sz="0" w:space="0" w:color="auto"/>
        <w:bottom w:val="none" w:sz="0" w:space="0" w:color="auto"/>
        <w:right w:val="none" w:sz="0" w:space="0" w:color="auto"/>
      </w:divBdr>
    </w:div>
    <w:div w:id="1648825242">
      <w:bodyDiv w:val="1"/>
      <w:marLeft w:val="0"/>
      <w:marRight w:val="0"/>
      <w:marTop w:val="0"/>
      <w:marBottom w:val="0"/>
      <w:divBdr>
        <w:top w:val="none" w:sz="0" w:space="0" w:color="auto"/>
        <w:left w:val="none" w:sz="0" w:space="0" w:color="auto"/>
        <w:bottom w:val="none" w:sz="0" w:space="0" w:color="auto"/>
        <w:right w:val="none" w:sz="0" w:space="0" w:color="auto"/>
      </w:divBdr>
    </w:div>
    <w:div w:id="1725979790">
      <w:bodyDiv w:val="1"/>
      <w:marLeft w:val="0"/>
      <w:marRight w:val="0"/>
      <w:marTop w:val="0"/>
      <w:marBottom w:val="0"/>
      <w:divBdr>
        <w:top w:val="none" w:sz="0" w:space="0" w:color="auto"/>
        <w:left w:val="none" w:sz="0" w:space="0" w:color="auto"/>
        <w:bottom w:val="none" w:sz="0" w:space="0" w:color="auto"/>
        <w:right w:val="none" w:sz="0" w:space="0" w:color="auto"/>
      </w:divBdr>
    </w:div>
    <w:div w:id="1743529281">
      <w:bodyDiv w:val="1"/>
      <w:marLeft w:val="0"/>
      <w:marRight w:val="0"/>
      <w:marTop w:val="0"/>
      <w:marBottom w:val="0"/>
      <w:divBdr>
        <w:top w:val="none" w:sz="0" w:space="0" w:color="auto"/>
        <w:left w:val="none" w:sz="0" w:space="0" w:color="auto"/>
        <w:bottom w:val="none" w:sz="0" w:space="0" w:color="auto"/>
        <w:right w:val="none" w:sz="0" w:space="0" w:color="auto"/>
      </w:divBdr>
    </w:div>
    <w:div w:id="1753887639">
      <w:bodyDiv w:val="1"/>
      <w:marLeft w:val="0"/>
      <w:marRight w:val="0"/>
      <w:marTop w:val="0"/>
      <w:marBottom w:val="0"/>
      <w:divBdr>
        <w:top w:val="none" w:sz="0" w:space="0" w:color="auto"/>
        <w:left w:val="none" w:sz="0" w:space="0" w:color="auto"/>
        <w:bottom w:val="none" w:sz="0" w:space="0" w:color="auto"/>
        <w:right w:val="none" w:sz="0" w:space="0" w:color="auto"/>
      </w:divBdr>
    </w:div>
    <w:div w:id="1768308805">
      <w:bodyDiv w:val="1"/>
      <w:marLeft w:val="0"/>
      <w:marRight w:val="0"/>
      <w:marTop w:val="0"/>
      <w:marBottom w:val="0"/>
      <w:divBdr>
        <w:top w:val="none" w:sz="0" w:space="0" w:color="auto"/>
        <w:left w:val="none" w:sz="0" w:space="0" w:color="auto"/>
        <w:bottom w:val="none" w:sz="0" w:space="0" w:color="auto"/>
        <w:right w:val="none" w:sz="0" w:space="0" w:color="auto"/>
      </w:divBdr>
    </w:div>
    <w:div w:id="1772430787">
      <w:bodyDiv w:val="1"/>
      <w:marLeft w:val="0"/>
      <w:marRight w:val="0"/>
      <w:marTop w:val="0"/>
      <w:marBottom w:val="0"/>
      <w:divBdr>
        <w:top w:val="none" w:sz="0" w:space="0" w:color="auto"/>
        <w:left w:val="none" w:sz="0" w:space="0" w:color="auto"/>
        <w:bottom w:val="none" w:sz="0" w:space="0" w:color="auto"/>
        <w:right w:val="none" w:sz="0" w:space="0" w:color="auto"/>
      </w:divBdr>
    </w:div>
    <w:div w:id="1778208517">
      <w:bodyDiv w:val="1"/>
      <w:marLeft w:val="0"/>
      <w:marRight w:val="0"/>
      <w:marTop w:val="0"/>
      <w:marBottom w:val="0"/>
      <w:divBdr>
        <w:top w:val="none" w:sz="0" w:space="0" w:color="auto"/>
        <w:left w:val="none" w:sz="0" w:space="0" w:color="auto"/>
        <w:bottom w:val="none" w:sz="0" w:space="0" w:color="auto"/>
        <w:right w:val="none" w:sz="0" w:space="0" w:color="auto"/>
      </w:divBdr>
    </w:div>
    <w:div w:id="1780371196">
      <w:bodyDiv w:val="1"/>
      <w:marLeft w:val="0"/>
      <w:marRight w:val="0"/>
      <w:marTop w:val="0"/>
      <w:marBottom w:val="0"/>
      <w:divBdr>
        <w:top w:val="none" w:sz="0" w:space="0" w:color="auto"/>
        <w:left w:val="none" w:sz="0" w:space="0" w:color="auto"/>
        <w:bottom w:val="none" w:sz="0" w:space="0" w:color="auto"/>
        <w:right w:val="none" w:sz="0" w:space="0" w:color="auto"/>
      </w:divBdr>
    </w:div>
    <w:div w:id="1875842649">
      <w:bodyDiv w:val="1"/>
      <w:marLeft w:val="0"/>
      <w:marRight w:val="0"/>
      <w:marTop w:val="0"/>
      <w:marBottom w:val="0"/>
      <w:divBdr>
        <w:top w:val="none" w:sz="0" w:space="0" w:color="auto"/>
        <w:left w:val="none" w:sz="0" w:space="0" w:color="auto"/>
        <w:bottom w:val="none" w:sz="0" w:space="0" w:color="auto"/>
        <w:right w:val="none" w:sz="0" w:space="0" w:color="auto"/>
      </w:divBdr>
    </w:div>
    <w:div w:id="1935286472">
      <w:bodyDiv w:val="1"/>
      <w:marLeft w:val="0"/>
      <w:marRight w:val="0"/>
      <w:marTop w:val="0"/>
      <w:marBottom w:val="0"/>
      <w:divBdr>
        <w:top w:val="none" w:sz="0" w:space="0" w:color="auto"/>
        <w:left w:val="none" w:sz="0" w:space="0" w:color="auto"/>
        <w:bottom w:val="none" w:sz="0" w:space="0" w:color="auto"/>
        <w:right w:val="none" w:sz="0" w:space="0" w:color="auto"/>
      </w:divBdr>
    </w:div>
    <w:div w:id="2145005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3.xml"/><Relationship Id="rId13" Type="http://schemas.openxmlformats.org/officeDocument/2006/relationships/hyperlink" Target="http://faostat3" TargetMode="External"/><Relationship Id="rId3" Type="http://schemas.openxmlformats.org/officeDocument/2006/relationships/styles" Target="styles.xml"/><Relationship Id="rId7" Type="http://schemas.openxmlformats.org/officeDocument/2006/relationships/chart" Target="charts/chart2.xml"/><Relationship Id="rId12" Type="http://schemas.openxmlformats.org/officeDocument/2006/relationships/hyperlink" Target="http://wwww.nhb.gov.in/Default.aspx"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hart" Target="charts/chart1.xml"/><Relationship Id="rId11" Type="http://schemas.openxmlformats.org/officeDocument/2006/relationships/chart" Target="charts/chart6.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chart" Target="charts/chart4.xml"/><Relationship Id="rId14" Type="http://schemas.openxmlformats.org/officeDocument/2006/relationships/hyperlink" Target="https://www.helgilibrary.com/charts/which-country-eats-the-most-potatoe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E:\Desktop_23_3_2023\potato\APY_Major_statewise_potato%201996-97%20to%202020-2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Desktop_23_3_2023\potato\APY_Major_statewise_potato%201996-97%20to%202020-2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E:\Desktop_23_3_2023\potato\potato_book%20chpater.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E:\Desktop_23_3_2023\potato\potato_book%20chpater.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E:\Desktop_23_3_2023\potato\APY_Major_statewise_potato%201996-97%20to%202020-21.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IN"/>
              <a:t>Figure 1: Top ten potato producting countires during 2020</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2C1A-4415-8BD5-8D3522FB8D9E}"/>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2C1A-4415-8BD5-8D3522FB8D9E}"/>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2C1A-4415-8BD5-8D3522FB8D9E}"/>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2C1A-4415-8BD5-8D3522FB8D9E}"/>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2C1A-4415-8BD5-8D3522FB8D9E}"/>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2C1A-4415-8BD5-8D3522FB8D9E}"/>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D-2C1A-4415-8BD5-8D3522FB8D9E}"/>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F-2C1A-4415-8BD5-8D3522FB8D9E}"/>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1-2C1A-4415-8BD5-8D3522FB8D9E}"/>
              </c:ext>
            </c:extLst>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3-2C1A-4415-8BD5-8D3522FB8D9E}"/>
              </c:ext>
            </c:extLst>
          </c:dPt>
          <c:dPt>
            <c:idx val="10"/>
            <c:bubble3D val="0"/>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5-2C1A-4415-8BD5-8D3522FB8D9E}"/>
              </c:ext>
            </c:extLst>
          </c:dPt>
          <c:dLbls>
            <c:dLbl>
              <c:idx val="10"/>
              <c:layout>
                <c:manualLayout>
                  <c:x val="0.10297077035545607"/>
                  <c:y val="-0.12245703234109656"/>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2C1A-4415-8BD5-8D3522FB8D9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pototo_world_produ!$B$36:$B$46</c:f>
              <c:strCache>
                <c:ptCount val="11"/>
                <c:pt idx="0">
                  <c:v> China</c:v>
                </c:pt>
                <c:pt idx="1">
                  <c:v> India</c:v>
                </c:pt>
                <c:pt idx="2">
                  <c:v> Ukraine</c:v>
                </c:pt>
                <c:pt idx="3">
                  <c:v> Russia</c:v>
                </c:pt>
                <c:pt idx="4">
                  <c:v> United States</c:v>
                </c:pt>
                <c:pt idx="5">
                  <c:v> Germany</c:v>
                </c:pt>
                <c:pt idx="6">
                  <c:v> Bangladesh</c:v>
                </c:pt>
                <c:pt idx="7">
                  <c:v> France</c:v>
                </c:pt>
                <c:pt idx="8">
                  <c:v> Poland</c:v>
                </c:pt>
                <c:pt idx="9">
                  <c:v> Netherlands</c:v>
                </c:pt>
                <c:pt idx="10">
                  <c:v>Others</c:v>
                </c:pt>
              </c:strCache>
            </c:strRef>
          </c:cat>
          <c:val>
            <c:numRef>
              <c:f>pototo_world_produ!$C$36:$C$46</c:f>
              <c:numCache>
                <c:formatCode>0.00</c:formatCode>
                <c:ptCount val="11"/>
                <c:pt idx="0">
                  <c:v>21.065691010729847</c:v>
                </c:pt>
                <c:pt idx="1">
                  <c:v>13.822159143079061</c:v>
                </c:pt>
                <c:pt idx="2">
                  <c:v>5.61454218327271</c:v>
                </c:pt>
                <c:pt idx="3">
                  <c:v>5.2829642128226464</c:v>
                </c:pt>
                <c:pt idx="4">
                  <c:v>5.0627281799937869</c:v>
                </c:pt>
                <c:pt idx="5">
                  <c:v>3.1564907714831483</c:v>
                </c:pt>
                <c:pt idx="6">
                  <c:v>2.5882195073765586</c:v>
                </c:pt>
                <c:pt idx="7">
                  <c:v>2.3419264143416938</c:v>
                </c:pt>
                <c:pt idx="8">
                  <c:v>2.1147095175510784</c:v>
                </c:pt>
                <c:pt idx="9">
                  <c:v>1.891469522689349</c:v>
                </c:pt>
                <c:pt idx="10">
                  <c:v>37.059099536660121</c:v>
                </c:pt>
              </c:numCache>
            </c:numRef>
          </c:val>
          <c:extLst>
            <c:ext xmlns:c16="http://schemas.microsoft.com/office/drawing/2014/chart" uri="{C3380CC4-5D6E-409C-BE32-E72D297353CC}">
              <c16:uniqueId val="{00000016-2C1A-4415-8BD5-8D3522FB8D9E}"/>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Figure 2: Production of potato in India, 1950-51 to 2019-20</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All_india_potato!$A$7:$A$76</c:f>
              <c:strCache>
                <c:ptCount val="70"/>
                <c:pt idx="0">
                  <c:v>1950-51</c:v>
                </c:pt>
                <c:pt idx="1">
                  <c:v>1951-52</c:v>
                </c:pt>
                <c:pt idx="2">
                  <c:v>1952-53</c:v>
                </c:pt>
                <c:pt idx="3">
                  <c:v>1953-54</c:v>
                </c:pt>
                <c:pt idx="4">
                  <c:v>1954-55</c:v>
                </c:pt>
                <c:pt idx="5">
                  <c:v>1955-56</c:v>
                </c:pt>
                <c:pt idx="6">
                  <c:v>1956-57</c:v>
                </c:pt>
                <c:pt idx="7">
                  <c:v>1957-58</c:v>
                </c:pt>
                <c:pt idx="8">
                  <c:v>1958-59</c:v>
                </c:pt>
                <c:pt idx="9">
                  <c:v>1959-60</c:v>
                </c:pt>
                <c:pt idx="10">
                  <c:v>1960-61</c:v>
                </c:pt>
                <c:pt idx="11">
                  <c:v>1961-62</c:v>
                </c:pt>
                <c:pt idx="12">
                  <c:v>1962-63</c:v>
                </c:pt>
                <c:pt idx="13">
                  <c:v>1963-64</c:v>
                </c:pt>
                <c:pt idx="14">
                  <c:v>1964-65</c:v>
                </c:pt>
                <c:pt idx="15">
                  <c:v>1965-66</c:v>
                </c:pt>
                <c:pt idx="16">
                  <c:v>1966-67</c:v>
                </c:pt>
                <c:pt idx="17">
                  <c:v>1967-68</c:v>
                </c:pt>
                <c:pt idx="18">
                  <c:v>1968-69</c:v>
                </c:pt>
                <c:pt idx="19">
                  <c:v>1969-70</c:v>
                </c:pt>
                <c:pt idx="20">
                  <c:v>1970-71</c:v>
                </c:pt>
                <c:pt idx="21">
                  <c:v>1971-72</c:v>
                </c:pt>
                <c:pt idx="22">
                  <c:v>1972-73</c:v>
                </c:pt>
                <c:pt idx="23">
                  <c:v>1973-74</c:v>
                </c:pt>
                <c:pt idx="24">
                  <c:v>1974-75</c:v>
                </c:pt>
                <c:pt idx="25">
                  <c:v>1975-76</c:v>
                </c:pt>
                <c:pt idx="26">
                  <c:v>1976-77</c:v>
                </c:pt>
                <c:pt idx="27">
                  <c:v>1977-78</c:v>
                </c:pt>
                <c:pt idx="28">
                  <c:v>1978-79</c:v>
                </c:pt>
                <c:pt idx="29">
                  <c:v>1979-80</c:v>
                </c:pt>
                <c:pt idx="30">
                  <c:v>1980-81</c:v>
                </c:pt>
                <c:pt idx="31">
                  <c:v>1981-82</c:v>
                </c:pt>
                <c:pt idx="32">
                  <c:v>1982-83</c:v>
                </c:pt>
                <c:pt idx="33">
                  <c:v>1983-84</c:v>
                </c:pt>
                <c:pt idx="34">
                  <c:v>1984-85</c:v>
                </c:pt>
                <c:pt idx="35">
                  <c:v>1985-86</c:v>
                </c:pt>
                <c:pt idx="36">
                  <c:v>1986-87</c:v>
                </c:pt>
                <c:pt idx="37">
                  <c:v>1987-88</c:v>
                </c:pt>
                <c:pt idx="38">
                  <c:v>1988-89</c:v>
                </c:pt>
                <c:pt idx="39">
                  <c:v>1989-90</c:v>
                </c:pt>
                <c:pt idx="40">
                  <c:v>1990-91</c:v>
                </c:pt>
                <c:pt idx="41">
                  <c:v>1991-92</c:v>
                </c:pt>
                <c:pt idx="42">
                  <c:v>1992-93</c:v>
                </c:pt>
                <c:pt idx="43">
                  <c:v>1993-94</c:v>
                </c:pt>
                <c:pt idx="44">
                  <c:v>1994-95</c:v>
                </c:pt>
                <c:pt idx="45">
                  <c:v>1995-96</c:v>
                </c:pt>
                <c:pt idx="46">
                  <c:v>1996-97</c:v>
                </c:pt>
                <c:pt idx="47">
                  <c:v>1997-98</c:v>
                </c:pt>
                <c:pt idx="48">
                  <c:v>1998-99</c:v>
                </c:pt>
                <c:pt idx="49">
                  <c:v>1999-00</c:v>
                </c:pt>
                <c:pt idx="50">
                  <c:v>2000-01</c:v>
                </c:pt>
                <c:pt idx="51">
                  <c:v>2001-02</c:v>
                </c:pt>
                <c:pt idx="52">
                  <c:v>2002-03</c:v>
                </c:pt>
                <c:pt idx="53">
                  <c:v>2003-04</c:v>
                </c:pt>
                <c:pt idx="54">
                  <c:v>2004-05</c:v>
                </c:pt>
                <c:pt idx="55">
                  <c:v>2005-06</c:v>
                </c:pt>
                <c:pt idx="56">
                  <c:v>2006-07</c:v>
                </c:pt>
                <c:pt idx="57">
                  <c:v>2007-08</c:v>
                </c:pt>
                <c:pt idx="58">
                  <c:v>2008-09</c:v>
                </c:pt>
                <c:pt idx="59">
                  <c:v>2009-10</c:v>
                </c:pt>
                <c:pt idx="60">
                  <c:v>2010-11</c:v>
                </c:pt>
                <c:pt idx="61">
                  <c:v>2011-12</c:v>
                </c:pt>
                <c:pt idx="62">
                  <c:v>2012-13</c:v>
                </c:pt>
                <c:pt idx="63">
                  <c:v>2013-14</c:v>
                </c:pt>
                <c:pt idx="64">
                  <c:v>2014-15</c:v>
                </c:pt>
                <c:pt idx="65">
                  <c:v>2015-16</c:v>
                </c:pt>
                <c:pt idx="66">
                  <c:v>2016-17</c:v>
                </c:pt>
                <c:pt idx="67">
                  <c:v>2017-18</c:v>
                </c:pt>
                <c:pt idx="68">
                  <c:v>2018-19</c:v>
                </c:pt>
                <c:pt idx="69">
                  <c:v>2019-20</c:v>
                </c:pt>
              </c:strCache>
            </c:strRef>
          </c:cat>
          <c:val>
            <c:numRef>
              <c:f>All_india_potato!$C$7:$C$76</c:f>
              <c:numCache>
                <c:formatCode>General</c:formatCode>
                <c:ptCount val="70"/>
                <c:pt idx="0">
                  <c:v>1.66</c:v>
                </c:pt>
                <c:pt idx="1">
                  <c:v>1.71</c:v>
                </c:pt>
                <c:pt idx="2">
                  <c:v>1.99</c:v>
                </c:pt>
                <c:pt idx="3">
                  <c:v>1.96</c:v>
                </c:pt>
                <c:pt idx="4">
                  <c:v>1.76</c:v>
                </c:pt>
                <c:pt idx="5">
                  <c:v>1.86</c:v>
                </c:pt>
                <c:pt idx="6">
                  <c:v>1.72</c:v>
                </c:pt>
                <c:pt idx="7">
                  <c:v>2</c:v>
                </c:pt>
                <c:pt idx="8">
                  <c:v>2.35</c:v>
                </c:pt>
                <c:pt idx="9">
                  <c:v>2.73</c:v>
                </c:pt>
                <c:pt idx="10">
                  <c:v>2.72</c:v>
                </c:pt>
                <c:pt idx="11">
                  <c:v>2.4500000000000002</c:v>
                </c:pt>
                <c:pt idx="12">
                  <c:v>3.37</c:v>
                </c:pt>
                <c:pt idx="13">
                  <c:v>2.59</c:v>
                </c:pt>
                <c:pt idx="14">
                  <c:v>3.61</c:v>
                </c:pt>
                <c:pt idx="15">
                  <c:v>4.08</c:v>
                </c:pt>
                <c:pt idx="16">
                  <c:v>3.52</c:v>
                </c:pt>
                <c:pt idx="17">
                  <c:v>4.2300000000000004</c:v>
                </c:pt>
                <c:pt idx="18">
                  <c:v>4.7300000000000004</c:v>
                </c:pt>
                <c:pt idx="19">
                  <c:v>3.91</c:v>
                </c:pt>
                <c:pt idx="20">
                  <c:v>4.8099999999999996</c:v>
                </c:pt>
                <c:pt idx="21">
                  <c:v>4.83</c:v>
                </c:pt>
                <c:pt idx="22">
                  <c:v>4.45</c:v>
                </c:pt>
                <c:pt idx="23">
                  <c:v>4.8600000000000003</c:v>
                </c:pt>
                <c:pt idx="24">
                  <c:v>6.23</c:v>
                </c:pt>
                <c:pt idx="25">
                  <c:v>7.31</c:v>
                </c:pt>
                <c:pt idx="26">
                  <c:v>7.17</c:v>
                </c:pt>
                <c:pt idx="27">
                  <c:v>8.14</c:v>
                </c:pt>
                <c:pt idx="28">
                  <c:v>10.130000000000001</c:v>
                </c:pt>
                <c:pt idx="29">
                  <c:v>8.33</c:v>
                </c:pt>
                <c:pt idx="30">
                  <c:v>9.67</c:v>
                </c:pt>
                <c:pt idx="31">
                  <c:v>9.91</c:v>
                </c:pt>
                <c:pt idx="32">
                  <c:v>9.9600000000000009</c:v>
                </c:pt>
                <c:pt idx="33">
                  <c:v>12.15</c:v>
                </c:pt>
                <c:pt idx="34">
                  <c:v>12.57</c:v>
                </c:pt>
                <c:pt idx="35">
                  <c:v>10.42</c:v>
                </c:pt>
                <c:pt idx="36">
                  <c:v>12.74</c:v>
                </c:pt>
                <c:pt idx="37">
                  <c:v>14.05</c:v>
                </c:pt>
                <c:pt idx="38">
                  <c:v>14.86</c:v>
                </c:pt>
                <c:pt idx="39">
                  <c:v>14.77</c:v>
                </c:pt>
                <c:pt idx="40">
                  <c:v>15.21</c:v>
                </c:pt>
                <c:pt idx="41">
                  <c:v>16.39</c:v>
                </c:pt>
                <c:pt idx="42">
                  <c:v>15.23</c:v>
                </c:pt>
                <c:pt idx="43">
                  <c:v>17.39</c:v>
                </c:pt>
                <c:pt idx="44">
                  <c:v>17.399999999999999</c:v>
                </c:pt>
                <c:pt idx="45">
                  <c:v>18.84</c:v>
                </c:pt>
                <c:pt idx="46">
                  <c:v>24.22</c:v>
                </c:pt>
                <c:pt idx="47">
                  <c:v>17.649999999999999</c:v>
                </c:pt>
                <c:pt idx="48">
                  <c:v>23.61</c:v>
                </c:pt>
                <c:pt idx="49">
                  <c:v>24.71</c:v>
                </c:pt>
                <c:pt idx="50">
                  <c:v>22.49</c:v>
                </c:pt>
                <c:pt idx="51">
                  <c:v>23.92</c:v>
                </c:pt>
                <c:pt idx="52">
                  <c:v>23.27</c:v>
                </c:pt>
                <c:pt idx="53">
                  <c:v>23.06</c:v>
                </c:pt>
                <c:pt idx="54">
                  <c:v>23.63</c:v>
                </c:pt>
                <c:pt idx="55">
                  <c:v>23.91</c:v>
                </c:pt>
                <c:pt idx="56">
                  <c:v>22.18</c:v>
                </c:pt>
                <c:pt idx="57">
                  <c:v>28.47</c:v>
                </c:pt>
                <c:pt idx="58">
                  <c:v>34.39</c:v>
                </c:pt>
                <c:pt idx="59">
                  <c:v>36.58</c:v>
                </c:pt>
                <c:pt idx="60">
                  <c:v>42.34</c:v>
                </c:pt>
                <c:pt idx="61">
                  <c:v>41.48</c:v>
                </c:pt>
                <c:pt idx="62">
                  <c:v>45.34</c:v>
                </c:pt>
                <c:pt idx="63">
                  <c:v>41.56</c:v>
                </c:pt>
                <c:pt idx="64">
                  <c:v>48.01</c:v>
                </c:pt>
                <c:pt idx="65">
                  <c:v>43.42</c:v>
                </c:pt>
                <c:pt idx="66">
                  <c:v>48.6</c:v>
                </c:pt>
                <c:pt idx="67">
                  <c:v>51.31</c:v>
                </c:pt>
                <c:pt idx="68">
                  <c:v>50.19</c:v>
                </c:pt>
                <c:pt idx="69">
                  <c:v>48.56</c:v>
                </c:pt>
              </c:numCache>
            </c:numRef>
          </c:val>
          <c:extLst>
            <c:ext xmlns:c16="http://schemas.microsoft.com/office/drawing/2014/chart" uri="{C3380CC4-5D6E-409C-BE32-E72D297353CC}">
              <c16:uniqueId val="{00000000-CFB2-4D19-B9E2-63B5B0EEB8CA}"/>
            </c:ext>
          </c:extLst>
        </c:ser>
        <c:dLbls>
          <c:showLegendKey val="0"/>
          <c:showVal val="0"/>
          <c:showCatName val="0"/>
          <c:showSerName val="0"/>
          <c:showPercent val="0"/>
          <c:showBubbleSize val="0"/>
        </c:dLbls>
        <c:gapWidth val="150"/>
        <c:shape val="box"/>
        <c:axId val="506948352"/>
        <c:axId val="506947936"/>
        <c:axId val="0"/>
      </c:bar3DChart>
      <c:catAx>
        <c:axId val="5069483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6947936"/>
        <c:crosses val="autoZero"/>
        <c:auto val="1"/>
        <c:lblAlgn val="ctr"/>
        <c:lblOffset val="100"/>
        <c:noMultiLvlLbl val="0"/>
      </c:catAx>
      <c:valAx>
        <c:axId val="5069479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Million Ton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6948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Figure 3: Area of potato in India, 1950-51 to 2019-20</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All_india_potato!$A$7:$A$76</c:f>
              <c:strCache>
                <c:ptCount val="70"/>
                <c:pt idx="0">
                  <c:v>1950-51</c:v>
                </c:pt>
                <c:pt idx="1">
                  <c:v>1951-52</c:v>
                </c:pt>
                <c:pt idx="2">
                  <c:v>1952-53</c:v>
                </c:pt>
                <c:pt idx="3">
                  <c:v>1953-54</c:v>
                </c:pt>
                <c:pt idx="4">
                  <c:v>1954-55</c:v>
                </c:pt>
                <c:pt idx="5">
                  <c:v>1955-56</c:v>
                </c:pt>
                <c:pt idx="6">
                  <c:v>1956-57</c:v>
                </c:pt>
                <c:pt idx="7">
                  <c:v>1957-58</c:v>
                </c:pt>
                <c:pt idx="8">
                  <c:v>1958-59</c:v>
                </c:pt>
                <c:pt idx="9">
                  <c:v>1959-60</c:v>
                </c:pt>
                <c:pt idx="10">
                  <c:v>1960-61</c:v>
                </c:pt>
                <c:pt idx="11">
                  <c:v>1961-62</c:v>
                </c:pt>
                <c:pt idx="12">
                  <c:v>1962-63</c:v>
                </c:pt>
                <c:pt idx="13">
                  <c:v>1963-64</c:v>
                </c:pt>
                <c:pt idx="14">
                  <c:v>1964-65</c:v>
                </c:pt>
                <c:pt idx="15">
                  <c:v>1965-66</c:v>
                </c:pt>
                <c:pt idx="16">
                  <c:v>1966-67</c:v>
                </c:pt>
                <c:pt idx="17">
                  <c:v>1967-68</c:v>
                </c:pt>
                <c:pt idx="18">
                  <c:v>1968-69</c:v>
                </c:pt>
                <c:pt idx="19">
                  <c:v>1969-70</c:v>
                </c:pt>
                <c:pt idx="20">
                  <c:v>1970-71</c:v>
                </c:pt>
                <c:pt idx="21">
                  <c:v>1971-72</c:v>
                </c:pt>
                <c:pt idx="22">
                  <c:v>1972-73</c:v>
                </c:pt>
                <c:pt idx="23">
                  <c:v>1973-74</c:v>
                </c:pt>
                <c:pt idx="24">
                  <c:v>1974-75</c:v>
                </c:pt>
                <c:pt idx="25">
                  <c:v>1975-76</c:v>
                </c:pt>
                <c:pt idx="26">
                  <c:v>1976-77</c:v>
                </c:pt>
                <c:pt idx="27">
                  <c:v>1977-78</c:v>
                </c:pt>
                <c:pt idx="28">
                  <c:v>1978-79</c:v>
                </c:pt>
                <c:pt idx="29">
                  <c:v>1979-80</c:v>
                </c:pt>
                <c:pt idx="30">
                  <c:v>1980-81</c:v>
                </c:pt>
                <c:pt idx="31">
                  <c:v>1981-82</c:v>
                </c:pt>
                <c:pt idx="32">
                  <c:v>1982-83</c:v>
                </c:pt>
                <c:pt idx="33">
                  <c:v>1983-84</c:v>
                </c:pt>
                <c:pt idx="34">
                  <c:v>1984-85</c:v>
                </c:pt>
                <c:pt idx="35">
                  <c:v>1985-86</c:v>
                </c:pt>
                <c:pt idx="36">
                  <c:v>1986-87</c:v>
                </c:pt>
                <c:pt idx="37">
                  <c:v>1987-88</c:v>
                </c:pt>
                <c:pt idx="38">
                  <c:v>1988-89</c:v>
                </c:pt>
                <c:pt idx="39">
                  <c:v>1989-90</c:v>
                </c:pt>
                <c:pt idx="40">
                  <c:v>1990-91</c:v>
                </c:pt>
                <c:pt idx="41">
                  <c:v>1991-92</c:v>
                </c:pt>
                <c:pt idx="42">
                  <c:v>1992-93</c:v>
                </c:pt>
                <c:pt idx="43">
                  <c:v>1993-94</c:v>
                </c:pt>
                <c:pt idx="44">
                  <c:v>1994-95</c:v>
                </c:pt>
                <c:pt idx="45">
                  <c:v>1995-96</c:v>
                </c:pt>
                <c:pt idx="46">
                  <c:v>1996-97</c:v>
                </c:pt>
                <c:pt idx="47">
                  <c:v>1997-98</c:v>
                </c:pt>
                <c:pt idx="48">
                  <c:v>1998-99</c:v>
                </c:pt>
                <c:pt idx="49">
                  <c:v>1999-00</c:v>
                </c:pt>
                <c:pt idx="50">
                  <c:v>2000-01</c:v>
                </c:pt>
                <c:pt idx="51">
                  <c:v>2001-02</c:v>
                </c:pt>
                <c:pt idx="52">
                  <c:v>2002-03</c:v>
                </c:pt>
                <c:pt idx="53">
                  <c:v>2003-04</c:v>
                </c:pt>
                <c:pt idx="54">
                  <c:v>2004-05</c:v>
                </c:pt>
                <c:pt idx="55">
                  <c:v>2005-06</c:v>
                </c:pt>
                <c:pt idx="56">
                  <c:v>2006-07</c:v>
                </c:pt>
                <c:pt idx="57">
                  <c:v>2007-08</c:v>
                </c:pt>
                <c:pt idx="58">
                  <c:v>2008-09</c:v>
                </c:pt>
                <c:pt idx="59">
                  <c:v>2009-10</c:v>
                </c:pt>
                <c:pt idx="60">
                  <c:v>2010-11</c:v>
                </c:pt>
                <c:pt idx="61">
                  <c:v>2011-12</c:v>
                </c:pt>
                <c:pt idx="62">
                  <c:v>2012-13</c:v>
                </c:pt>
                <c:pt idx="63">
                  <c:v>2013-14</c:v>
                </c:pt>
                <c:pt idx="64">
                  <c:v>2014-15</c:v>
                </c:pt>
                <c:pt idx="65">
                  <c:v>2015-16</c:v>
                </c:pt>
                <c:pt idx="66">
                  <c:v>2016-17</c:v>
                </c:pt>
                <c:pt idx="67">
                  <c:v>2017-18</c:v>
                </c:pt>
                <c:pt idx="68">
                  <c:v>2018-19</c:v>
                </c:pt>
                <c:pt idx="69">
                  <c:v>2019-20</c:v>
                </c:pt>
              </c:strCache>
            </c:strRef>
          </c:cat>
          <c:val>
            <c:numRef>
              <c:f>All_india_potato!$B$7:$B$76</c:f>
              <c:numCache>
                <c:formatCode>General</c:formatCode>
                <c:ptCount val="70"/>
                <c:pt idx="0">
                  <c:v>0.24</c:v>
                </c:pt>
                <c:pt idx="1">
                  <c:v>0.25</c:v>
                </c:pt>
                <c:pt idx="2">
                  <c:v>0.26</c:v>
                </c:pt>
                <c:pt idx="3">
                  <c:v>0.26</c:v>
                </c:pt>
                <c:pt idx="4">
                  <c:v>0.27</c:v>
                </c:pt>
                <c:pt idx="5">
                  <c:v>0.28000000000000003</c:v>
                </c:pt>
                <c:pt idx="6">
                  <c:v>0.28999999999999998</c:v>
                </c:pt>
                <c:pt idx="7">
                  <c:v>0.32</c:v>
                </c:pt>
                <c:pt idx="8">
                  <c:v>0.34</c:v>
                </c:pt>
                <c:pt idx="9">
                  <c:v>0.36</c:v>
                </c:pt>
                <c:pt idx="10">
                  <c:v>0.38</c:v>
                </c:pt>
                <c:pt idx="11">
                  <c:v>0.37</c:v>
                </c:pt>
                <c:pt idx="12">
                  <c:v>0.41</c:v>
                </c:pt>
                <c:pt idx="13">
                  <c:v>0.42</c:v>
                </c:pt>
                <c:pt idx="14">
                  <c:v>0.43</c:v>
                </c:pt>
                <c:pt idx="15">
                  <c:v>0.48</c:v>
                </c:pt>
                <c:pt idx="16">
                  <c:v>0.47</c:v>
                </c:pt>
                <c:pt idx="17">
                  <c:v>0.5</c:v>
                </c:pt>
                <c:pt idx="18">
                  <c:v>0.52</c:v>
                </c:pt>
                <c:pt idx="19">
                  <c:v>0.5</c:v>
                </c:pt>
                <c:pt idx="20">
                  <c:v>0.48</c:v>
                </c:pt>
                <c:pt idx="21">
                  <c:v>0.49</c:v>
                </c:pt>
                <c:pt idx="22">
                  <c:v>0.51</c:v>
                </c:pt>
                <c:pt idx="23">
                  <c:v>0.54</c:v>
                </c:pt>
                <c:pt idx="24">
                  <c:v>0.59</c:v>
                </c:pt>
                <c:pt idx="25">
                  <c:v>0.62</c:v>
                </c:pt>
                <c:pt idx="26">
                  <c:v>0.62</c:v>
                </c:pt>
                <c:pt idx="27">
                  <c:v>0.67</c:v>
                </c:pt>
                <c:pt idx="28">
                  <c:v>0.81</c:v>
                </c:pt>
                <c:pt idx="29">
                  <c:v>0.69</c:v>
                </c:pt>
                <c:pt idx="30">
                  <c:v>0.73</c:v>
                </c:pt>
                <c:pt idx="31">
                  <c:v>0.76</c:v>
                </c:pt>
                <c:pt idx="32">
                  <c:v>0.74</c:v>
                </c:pt>
                <c:pt idx="33">
                  <c:v>0.79</c:v>
                </c:pt>
                <c:pt idx="34">
                  <c:v>0.85</c:v>
                </c:pt>
                <c:pt idx="35">
                  <c:v>0.84</c:v>
                </c:pt>
                <c:pt idx="36">
                  <c:v>0.83</c:v>
                </c:pt>
                <c:pt idx="37">
                  <c:v>0.89</c:v>
                </c:pt>
                <c:pt idx="38">
                  <c:v>0.93</c:v>
                </c:pt>
                <c:pt idx="39">
                  <c:v>0.94</c:v>
                </c:pt>
                <c:pt idx="40">
                  <c:v>0.94</c:v>
                </c:pt>
                <c:pt idx="41">
                  <c:v>1.03</c:v>
                </c:pt>
                <c:pt idx="42">
                  <c:v>1.05</c:v>
                </c:pt>
                <c:pt idx="43">
                  <c:v>1.05</c:v>
                </c:pt>
                <c:pt idx="44">
                  <c:v>1.07</c:v>
                </c:pt>
                <c:pt idx="45">
                  <c:v>1.1100000000000001</c:v>
                </c:pt>
                <c:pt idx="46">
                  <c:v>1.25</c:v>
                </c:pt>
                <c:pt idx="47">
                  <c:v>1.21</c:v>
                </c:pt>
                <c:pt idx="48">
                  <c:v>1.32</c:v>
                </c:pt>
                <c:pt idx="49">
                  <c:v>1.34</c:v>
                </c:pt>
                <c:pt idx="50">
                  <c:v>1.22</c:v>
                </c:pt>
                <c:pt idx="51">
                  <c:v>1.21</c:v>
                </c:pt>
                <c:pt idx="52">
                  <c:v>1.35</c:v>
                </c:pt>
                <c:pt idx="53">
                  <c:v>1.29</c:v>
                </c:pt>
                <c:pt idx="54">
                  <c:v>1.32</c:v>
                </c:pt>
                <c:pt idx="55">
                  <c:v>1.4</c:v>
                </c:pt>
                <c:pt idx="56">
                  <c:v>1.48</c:v>
                </c:pt>
                <c:pt idx="57">
                  <c:v>1.55</c:v>
                </c:pt>
                <c:pt idx="58">
                  <c:v>1.83</c:v>
                </c:pt>
                <c:pt idx="59">
                  <c:v>1.84</c:v>
                </c:pt>
                <c:pt idx="60">
                  <c:v>1.86</c:v>
                </c:pt>
                <c:pt idx="61">
                  <c:v>1.91</c:v>
                </c:pt>
                <c:pt idx="62">
                  <c:v>1.99</c:v>
                </c:pt>
                <c:pt idx="63">
                  <c:v>1.97</c:v>
                </c:pt>
                <c:pt idx="64">
                  <c:v>2.08</c:v>
                </c:pt>
                <c:pt idx="65">
                  <c:v>2.12</c:v>
                </c:pt>
                <c:pt idx="66">
                  <c:v>2.1800000000000002</c:v>
                </c:pt>
                <c:pt idx="67">
                  <c:v>2.14</c:v>
                </c:pt>
                <c:pt idx="68">
                  <c:v>2.17</c:v>
                </c:pt>
                <c:pt idx="69">
                  <c:v>2.0499999999999998</c:v>
                </c:pt>
              </c:numCache>
            </c:numRef>
          </c:val>
          <c:extLst>
            <c:ext xmlns:c16="http://schemas.microsoft.com/office/drawing/2014/chart" uri="{C3380CC4-5D6E-409C-BE32-E72D297353CC}">
              <c16:uniqueId val="{00000000-DC91-4C0F-83D4-10508CB95A34}"/>
            </c:ext>
          </c:extLst>
        </c:ser>
        <c:dLbls>
          <c:showLegendKey val="0"/>
          <c:showVal val="0"/>
          <c:showCatName val="0"/>
          <c:showSerName val="0"/>
          <c:showPercent val="0"/>
          <c:showBubbleSize val="0"/>
        </c:dLbls>
        <c:gapWidth val="150"/>
        <c:shape val="box"/>
        <c:axId val="506948352"/>
        <c:axId val="506947936"/>
        <c:axId val="0"/>
      </c:bar3DChart>
      <c:catAx>
        <c:axId val="5069483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6947936"/>
        <c:crosses val="autoZero"/>
        <c:auto val="1"/>
        <c:lblAlgn val="ctr"/>
        <c:lblOffset val="100"/>
        <c:noMultiLvlLbl val="0"/>
      </c:catAx>
      <c:valAx>
        <c:axId val="5069479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Million Ha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6948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spc="0" baseline="0">
                <a:solidFill>
                  <a:schemeClr val="tx1">
                    <a:lumMod val="65000"/>
                    <a:lumOff val="35000"/>
                  </a:schemeClr>
                </a:solidFill>
                <a:latin typeface="+mn-lt"/>
                <a:ea typeface="+mn-ea"/>
                <a:cs typeface="+mn-cs"/>
              </a:defRPr>
            </a:pPr>
            <a:r>
              <a:rPr lang="en-IN"/>
              <a:t>Figure 4: Share of major states in total production, 2019-20</a:t>
            </a:r>
          </a:p>
        </c:rich>
      </c:tx>
      <c:overlay val="0"/>
      <c:spPr>
        <a:noFill/>
        <a:ln>
          <a:noFill/>
        </a:ln>
        <a:effectLst/>
      </c:spPr>
      <c:txPr>
        <a:bodyPr rot="0" spcFirstLastPara="1" vertOverflow="ellipsis" vert="horz" wrap="square" anchor="ctr" anchorCtr="1"/>
        <a:lstStyle/>
        <a:p>
          <a:pPr>
            <a:defRPr sz="1440" b="1"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094B-4DC5-8C83-A40A8DE0A40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094B-4DC5-8C83-A40A8DE0A40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094B-4DC5-8C83-A40A8DE0A40B}"/>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094B-4DC5-8C83-A40A8DE0A40B}"/>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094B-4DC5-8C83-A40A8DE0A40B}"/>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094B-4DC5-8C83-A40A8DE0A40B}"/>
              </c:ext>
            </c:extLst>
          </c:dPt>
          <c:dLbls>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Sheet1!$A$17:$A$22</c:f>
              <c:strCache>
                <c:ptCount val="6"/>
                <c:pt idx="0">
                  <c:v>Bihar</c:v>
                </c:pt>
                <c:pt idx="1">
                  <c:v>Gujarat</c:v>
                </c:pt>
                <c:pt idx="2">
                  <c:v>Punjab  </c:v>
                </c:pt>
                <c:pt idx="3">
                  <c:v>Uttar Pradesh</c:v>
                </c:pt>
                <c:pt idx="4">
                  <c:v>West Bengal</c:v>
                </c:pt>
                <c:pt idx="5">
                  <c:v>Others</c:v>
                </c:pt>
              </c:strCache>
            </c:strRef>
          </c:cat>
          <c:val>
            <c:numRef>
              <c:f>Sheet1!$Y$17:$Y$22</c:f>
              <c:numCache>
                <c:formatCode>0.00</c:formatCode>
                <c:ptCount val="6"/>
                <c:pt idx="0">
                  <c:v>7710</c:v>
                </c:pt>
                <c:pt idx="1">
                  <c:v>3616.5</c:v>
                </c:pt>
                <c:pt idx="2">
                  <c:v>2870</c:v>
                </c:pt>
                <c:pt idx="3">
                  <c:v>13000</c:v>
                </c:pt>
                <c:pt idx="4">
                  <c:v>12563</c:v>
                </c:pt>
                <c:pt idx="5" formatCode="0.0">
                  <c:v>8802.4281210000045</c:v>
                </c:pt>
              </c:numCache>
            </c:numRef>
          </c:val>
          <c:extLst>
            <c:ext xmlns:c16="http://schemas.microsoft.com/office/drawing/2014/chart" uri="{C3380CC4-5D6E-409C-BE32-E72D297353CC}">
              <c16:uniqueId val="{0000000C-094B-4DC5-8C83-A40A8DE0A40B}"/>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1"/>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spc="0" baseline="0">
                <a:solidFill>
                  <a:schemeClr val="tx1">
                    <a:lumMod val="65000"/>
                    <a:lumOff val="35000"/>
                  </a:schemeClr>
                </a:solidFill>
                <a:latin typeface="+mn-lt"/>
                <a:ea typeface="+mn-ea"/>
                <a:cs typeface="+mn-cs"/>
              </a:defRPr>
            </a:pPr>
            <a:r>
              <a:rPr lang="en-IN"/>
              <a:t>Figure 5: Share of major states in total area, 2019-20</a:t>
            </a:r>
          </a:p>
        </c:rich>
      </c:tx>
      <c:overlay val="0"/>
      <c:spPr>
        <a:noFill/>
        <a:ln>
          <a:noFill/>
        </a:ln>
        <a:effectLst/>
      </c:spPr>
      <c:txPr>
        <a:bodyPr rot="0" spcFirstLastPara="1" vertOverflow="ellipsis" vert="horz" wrap="square" anchor="ctr" anchorCtr="1"/>
        <a:lstStyle/>
        <a:p>
          <a:pPr>
            <a:defRPr sz="1440" b="1"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8AE-4E13-8A45-74B57924001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D8AE-4E13-8A45-74B57924001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D8AE-4E13-8A45-74B57924001D}"/>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D8AE-4E13-8A45-74B57924001D}"/>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D8AE-4E13-8A45-74B57924001D}"/>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D8AE-4E13-8A45-74B57924001D}"/>
              </c:ext>
            </c:extLst>
          </c:dPt>
          <c:dLbls>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Sheet1!$A$17:$A$22</c:f>
              <c:strCache>
                <c:ptCount val="6"/>
                <c:pt idx="0">
                  <c:v>Bihar</c:v>
                </c:pt>
                <c:pt idx="1">
                  <c:v>Gujarat</c:v>
                </c:pt>
                <c:pt idx="2">
                  <c:v>Punjab  </c:v>
                </c:pt>
                <c:pt idx="3">
                  <c:v>Uttar Pradesh</c:v>
                </c:pt>
                <c:pt idx="4">
                  <c:v>West Bengal</c:v>
                </c:pt>
                <c:pt idx="5">
                  <c:v>Others</c:v>
                </c:pt>
              </c:strCache>
            </c:strRef>
          </c:cat>
          <c:val>
            <c:numRef>
              <c:f>Sheet1!$Y$3:$Y$8</c:f>
              <c:numCache>
                <c:formatCode>0.00</c:formatCode>
                <c:ptCount val="6"/>
                <c:pt idx="0">
                  <c:v>258</c:v>
                </c:pt>
                <c:pt idx="1">
                  <c:v>118</c:v>
                </c:pt>
                <c:pt idx="2">
                  <c:v>106</c:v>
                </c:pt>
                <c:pt idx="3">
                  <c:v>570</c:v>
                </c:pt>
                <c:pt idx="4">
                  <c:v>435</c:v>
                </c:pt>
                <c:pt idx="5" formatCode="0.0">
                  <c:v>564.34990000000016</c:v>
                </c:pt>
              </c:numCache>
            </c:numRef>
          </c:val>
          <c:extLst>
            <c:ext xmlns:c16="http://schemas.microsoft.com/office/drawing/2014/chart" uri="{C3380CC4-5D6E-409C-BE32-E72D297353CC}">
              <c16:uniqueId val="{0000000C-D8AE-4E13-8A45-74B57924001D}"/>
            </c:ext>
          </c:extLst>
        </c:ser>
        <c:dLbls>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1"/>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en-IN" sz="1200" b="1"/>
              <a:t>Figure 6: Percentage share of potato in area and production of total vegetables</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47665135608049"/>
          <c:y val="2.8635342720802873E-2"/>
          <c:w val="0.86389946048410615"/>
          <c:h val="0.65510336203162123"/>
        </c:manualLayout>
      </c:layout>
      <c:bar3DChart>
        <c:barDir val="col"/>
        <c:grouping val="clustered"/>
        <c:varyColors val="0"/>
        <c:ser>
          <c:idx val="0"/>
          <c:order val="0"/>
          <c:tx>
            <c:v>Area</c:v>
          </c:tx>
          <c:spPr>
            <a:solidFill>
              <a:schemeClr val="accent1"/>
            </a:solidFill>
            <a:ln>
              <a:noFill/>
            </a:ln>
            <a:effectLst/>
            <a:sp3d/>
          </c:spPr>
          <c:invertIfNegative val="0"/>
          <c:cat>
            <c:strRef>
              <c:f>All_india_potato!$A$37:$A$76</c:f>
              <c:strCache>
                <c:ptCount val="40"/>
                <c:pt idx="0">
                  <c:v>1980-81</c:v>
                </c:pt>
                <c:pt idx="1">
                  <c:v>1981-82</c:v>
                </c:pt>
                <c:pt idx="2">
                  <c:v>1982-83</c:v>
                </c:pt>
                <c:pt idx="3">
                  <c:v>1983-84</c:v>
                </c:pt>
                <c:pt idx="4">
                  <c:v>1984-85</c:v>
                </c:pt>
                <c:pt idx="5">
                  <c:v>1985-86</c:v>
                </c:pt>
                <c:pt idx="6">
                  <c:v>1986-87</c:v>
                </c:pt>
                <c:pt idx="7">
                  <c:v>1987-88</c:v>
                </c:pt>
                <c:pt idx="8">
                  <c:v>1988-89</c:v>
                </c:pt>
                <c:pt idx="9">
                  <c:v>1989-90</c:v>
                </c:pt>
                <c:pt idx="10">
                  <c:v>1990-91</c:v>
                </c:pt>
                <c:pt idx="11">
                  <c:v>1991-92</c:v>
                </c:pt>
                <c:pt idx="12">
                  <c:v>1992-93</c:v>
                </c:pt>
                <c:pt idx="13">
                  <c:v>1993-94</c:v>
                </c:pt>
                <c:pt idx="14">
                  <c:v>1994-95</c:v>
                </c:pt>
                <c:pt idx="15">
                  <c:v>1995-96</c:v>
                </c:pt>
                <c:pt idx="16">
                  <c:v>1996-97</c:v>
                </c:pt>
                <c:pt idx="17">
                  <c:v>1997-98</c:v>
                </c:pt>
                <c:pt idx="18">
                  <c:v>1998-99</c:v>
                </c:pt>
                <c:pt idx="19">
                  <c:v>1999-00</c:v>
                </c:pt>
                <c:pt idx="20">
                  <c:v>2000-01</c:v>
                </c:pt>
                <c:pt idx="21">
                  <c:v>2001-02</c:v>
                </c:pt>
                <c:pt idx="22">
                  <c:v>2002-03</c:v>
                </c:pt>
                <c:pt idx="23">
                  <c:v>2003-04</c:v>
                </c:pt>
                <c:pt idx="24">
                  <c:v>2004-05</c:v>
                </c:pt>
                <c:pt idx="25">
                  <c:v>2005-06</c:v>
                </c:pt>
                <c:pt idx="26">
                  <c:v>2006-07</c:v>
                </c:pt>
                <c:pt idx="27">
                  <c:v>2007-08</c:v>
                </c:pt>
                <c:pt idx="28">
                  <c:v>2008-09</c:v>
                </c:pt>
                <c:pt idx="29">
                  <c:v>2009-10</c:v>
                </c:pt>
                <c:pt idx="30">
                  <c:v>2010-11</c:v>
                </c:pt>
                <c:pt idx="31">
                  <c:v>2011-12</c:v>
                </c:pt>
                <c:pt idx="32">
                  <c:v>2012-13</c:v>
                </c:pt>
                <c:pt idx="33">
                  <c:v>2013-14</c:v>
                </c:pt>
                <c:pt idx="34">
                  <c:v>2014-15</c:v>
                </c:pt>
                <c:pt idx="35">
                  <c:v>2015-16</c:v>
                </c:pt>
                <c:pt idx="36">
                  <c:v>2016-17</c:v>
                </c:pt>
                <c:pt idx="37">
                  <c:v>2017-18</c:v>
                </c:pt>
                <c:pt idx="38">
                  <c:v>2018-19</c:v>
                </c:pt>
                <c:pt idx="39">
                  <c:v>2019-20</c:v>
                </c:pt>
              </c:strCache>
            </c:strRef>
          </c:cat>
          <c:val>
            <c:numRef>
              <c:f>All_india_potato!$L$37:$L$77</c:f>
              <c:numCache>
                <c:formatCode>General</c:formatCode>
                <c:ptCount val="41"/>
                <c:pt idx="0">
                  <c:v>26.604254513520736</c:v>
                </c:pt>
                <c:pt idx="1">
                  <c:v>27.007785848110572</c:v>
                </c:pt>
                <c:pt idx="2">
                  <c:v>27.935798618381511</c:v>
                </c:pt>
                <c:pt idx="3">
                  <c:v>27.198380647149612</c:v>
                </c:pt>
                <c:pt idx="4">
                  <c:v>26.588754515373651</c:v>
                </c:pt>
                <c:pt idx="5">
                  <c:v>26.721226722400921</c:v>
                </c:pt>
                <c:pt idx="6">
                  <c:v>26.260549059722642</c:v>
                </c:pt>
                <c:pt idx="7">
                  <c:v>21.600368905176808</c:v>
                </c:pt>
                <c:pt idx="8">
                  <c:v>28.111795263651253</c:v>
                </c:pt>
                <c:pt idx="9">
                  <c:v>27.92263735677717</c:v>
                </c:pt>
                <c:pt idx="10">
                  <c:v>28.343841151927286</c:v>
                </c:pt>
                <c:pt idx="11">
                  <c:v>18.416864841668605</c:v>
                </c:pt>
                <c:pt idx="12">
                  <c:v>20.814047301409211</c:v>
                </c:pt>
                <c:pt idx="13">
                  <c:v>21.534353446419452</c:v>
                </c:pt>
                <c:pt idx="14">
                  <c:v>21.344632024528373</c:v>
                </c:pt>
                <c:pt idx="15">
                  <c:v>20.804243315933991</c:v>
                </c:pt>
                <c:pt idx="16">
                  <c:v>22.663814047938502</c:v>
                </c:pt>
                <c:pt idx="17">
                  <c:v>21.579782775409747</c:v>
                </c:pt>
                <c:pt idx="18">
                  <c:v>22.50255710876236</c:v>
                </c:pt>
                <c:pt idx="19">
                  <c:v>22.365390392896487</c:v>
                </c:pt>
                <c:pt idx="20">
                  <c:v>19.519687684997038</c:v>
                </c:pt>
                <c:pt idx="21">
                  <c:v>19.655620532813519</c:v>
                </c:pt>
                <c:pt idx="22">
                  <c:v>22.160210111621804</c:v>
                </c:pt>
                <c:pt idx="23">
                  <c:v>21.210128247287077</c:v>
                </c:pt>
                <c:pt idx="24">
                  <c:v>19.572953736654807</c:v>
                </c:pt>
                <c:pt idx="25">
                  <c:v>19.409399694995148</c:v>
                </c:pt>
                <c:pt idx="26">
                  <c:v>19.522490436617858</c:v>
                </c:pt>
                <c:pt idx="27">
                  <c:v>19.750254841997965</c:v>
                </c:pt>
                <c:pt idx="28">
                  <c:v>22.929457461470996</c:v>
                </c:pt>
                <c:pt idx="29">
                  <c:v>23.043206011271135</c:v>
                </c:pt>
                <c:pt idx="30">
                  <c:v>21.895232489699826</c:v>
                </c:pt>
                <c:pt idx="31">
                  <c:v>21.24819223495383</c:v>
                </c:pt>
                <c:pt idx="32">
                  <c:v>21.618685497012493</c:v>
                </c:pt>
                <c:pt idx="33">
                  <c:v>20.96636866751809</c:v>
                </c:pt>
                <c:pt idx="34">
                  <c:v>21.798365122615802</c:v>
                </c:pt>
                <c:pt idx="35">
                  <c:v>20.977637047298636</c:v>
                </c:pt>
                <c:pt idx="36">
                  <c:v>21.293221332291466</c:v>
                </c:pt>
                <c:pt idx="37">
                  <c:v>20.859732917438347</c:v>
                </c:pt>
                <c:pt idx="38">
                  <c:v>21.542738012508686</c:v>
                </c:pt>
                <c:pt idx="39">
                  <c:v>19.883608147429676</c:v>
                </c:pt>
                <c:pt idx="40">
                  <c:v>20.49972642713843</c:v>
                </c:pt>
              </c:numCache>
            </c:numRef>
          </c:val>
          <c:extLst>
            <c:ext xmlns:c16="http://schemas.microsoft.com/office/drawing/2014/chart" uri="{C3380CC4-5D6E-409C-BE32-E72D297353CC}">
              <c16:uniqueId val="{00000000-F75E-44F5-9739-8DF323E1EFBA}"/>
            </c:ext>
          </c:extLst>
        </c:ser>
        <c:ser>
          <c:idx val="1"/>
          <c:order val="1"/>
          <c:tx>
            <c:v>Production</c:v>
          </c:tx>
          <c:spPr>
            <a:solidFill>
              <a:schemeClr val="accent2"/>
            </a:solidFill>
            <a:ln>
              <a:noFill/>
            </a:ln>
            <a:effectLst/>
            <a:sp3d/>
          </c:spPr>
          <c:invertIfNegative val="0"/>
          <c:cat>
            <c:strRef>
              <c:f>All_india_potato!$A$37:$A$76</c:f>
              <c:strCache>
                <c:ptCount val="40"/>
                <c:pt idx="0">
                  <c:v>1980-81</c:v>
                </c:pt>
                <c:pt idx="1">
                  <c:v>1981-82</c:v>
                </c:pt>
                <c:pt idx="2">
                  <c:v>1982-83</c:v>
                </c:pt>
                <c:pt idx="3">
                  <c:v>1983-84</c:v>
                </c:pt>
                <c:pt idx="4">
                  <c:v>1984-85</c:v>
                </c:pt>
                <c:pt idx="5">
                  <c:v>1985-86</c:v>
                </c:pt>
                <c:pt idx="6">
                  <c:v>1986-87</c:v>
                </c:pt>
                <c:pt idx="7">
                  <c:v>1987-88</c:v>
                </c:pt>
                <c:pt idx="8">
                  <c:v>1988-89</c:v>
                </c:pt>
                <c:pt idx="9">
                  <c:v>1989-90</c:v>
                </c:pt>
                <c:pt idx="10">
                  <c:v>1990-91</c:v>
                </c:pt>
                <c:pt idx="11">
                  <c:v>1991-92</c:v>
                </c:pt>
                <c:pt idx="12">
                  <c:v>1992-93</c:v>
                </c:pt>
                <c:pt idx="13">
                  <c:v>1993-94</c:v>
                </c:pt>
                <c:pt idx="14">
                  <c:v>1994-95</c:v>
                </c:pt>
                <c:pt idx="15">
                  <c:v>1995-96</c:v>
                </c:pt>
                <c:pt idx="16">
                  <c:v>1996-97</c:v>
                </c:pt>
                <c:pt idx="17">
                  <c:v>1997-98</c:v>
                </c:pt>
                <c:pt idx="18">
                  <c:v>1998-99</c:v>
                </c:pt>
                <c:pt idx="19">
                  <c:v>1999-00</c:v>
                </c:pt>
                <c:pt idx="20">
                  <c:v>2000-01</c:v>
                </c:pt>
                <c:pt idx="21">
                  <c:v>2001-02</c:v>
                </c:pt>
                <c:pt idx="22">
                  <c:v>2002-03</c:v>
                </c:pt>
                <c:pt idx="23">
                  <c:v>2003-04</c:v>
                </c:pt>
                <c:pt idx="24">
                  <c:v>2004-05</c:v>
                </c:pt>
                <c:pt idx="25">
                  <c:v>2005-06</c:v>
                </c:pt>
                <c:pt idx="26">
                  <c:v>2006-07</c:v>
                </c:pt>
                <c:pt idx="27">
                  <c:v>2007-08</c:v>
                </c:pt>
                <c:pt idx="28">
                  <c:v>2008-09</c:v>
                </c:pt>
                <c:pt idx="29">
                  <c:v>2009-10</c:v>
                </c:pt>
                <c:pt idx="30">
                  <c:v>2010-11</c:v>
                </c:pt>
                <c:pt idx="31">
                  <c:v>2011-12</c:v>
                </c:pt>
                <c:pt idx="32">
                  <c:v>2012-13</c:v>
                </c:pt>
                <c:pt idx="33">
                  <c:v>2013-14</c:v>
                </c:pt>
                <c:pt idx="34">
                  <c:v>2014-15</c:v>
                </c:pt>
                <c:pt idx="35">
                  <c:v>2015-16</c:v>
                </c:pt>
                <c:pt idx="36">
                  <c:v>2016-17</c:v>
                </c:pt>
                <c:pt idx="37">
                  <c:v>2017-18</c:v>
                </c:pt>
                <c:pt idx="38">
                  <c:v>2018-19</c:v>
                </c:pt>
                <c:pt idx="39">
                  <c:v>2019-20</c:v>
                </c:pt>
              </c:strCache>
            </c:strRef>
          </c:cat>
          <c:val>
            <c:numRef>
              <c:f>All_india_potato!$M$37:$M$77</c:f>
              <c:numCache>
                <c:formatCode>General</c:formatCode>
                <c:ptCount val="41"/>
                <c:pt idx="0">
                  <c:v>25.648854573761792</c:v>
                </c:pt>
                <c:pt idx="1">
                  <c:v>25.630808794412758</c:v>
                </c:pt>
                <c:pt idx="2">
                  <c:v>27.36541113331365</c:v>
                </c:pt>
                <c:pt idx="3">
                  <c:v>30.444265552196097</c:v>
                </c:pt>
                <c:pt idx="4">
                  <c:v>28.617231291912564</c:v>
                </c:pt>
                <c:pt idx="5">
                  <c:v>24.12448728490136</c:v>
                </c:pt>
                <c:pt idx="6">
                  <c:v>29.336507165857</c:v>
                </c:pt>
                <c:pt idx="7">
                  <c:v>28.716368125444543</c:v>
                </c:pt>
                <c:pt idx="8">
                  <c:v>32.691715391671558</c:v>
                </c:pt>
                <c:pt idx="9">
                  <c:v>31.931722394592494</c:v>
                </c:pt>
                <c:pt idx="10">
                  <c:v>33.379000892007653</c:v>
                </c:pt>
                <c:pt idx="11">
                  <c:v>28.001757669816396</c:v>
                </c:pt>
                <c:pt idx="12">
                  <c:v>23.869209894672995</c:v>
                </c:pt>
                <c:pt idx="13">
                  <c:v>26.433910435709585</c:v>
                </c:pt>
                <c:pt idx="14">
                  <c:v>25.859793549675768</c:v>
                </c:pt>
                <c:pt idx="15">
                  <c:v>26.314848502456051</c:v>
                </c:pt>
                <c:pt idx="16">
                  <c:v>32.261330093880204</c:v>
                </c:pt>
                <c:pt idx="17">
                  <c:v>24.283499190320715</c:v>
                </c:pt>
                <c:pt idx="18">
                  <c:v>26.971760190093221</c:v>
                </c:pt>
                <c:pt idx="19">
                  <c:v>27.206764806271543</c:v>
                </c:pt>
                <c:pt idx="20">
                  <c:v>23.963823044907926</c:v>
                </c:pt>
                <c:pt idx="21">
                  <c:v>26.991040599399703</c:v>
                </c:pt>
                <c:pt idx="22">
                  <c:v>27.436184637151445</c:v>
                </c:pt>
                <c:pt idx="23">
                  <c:v>26.105463354993546</c:v>
                </c:pt>
                <c:pt idx="24">
                  <c:v>23.339193647156431</c:v>
                </c:pt>
                <c:pt idx="25">
                  <c:v>21.463388360757278</c:v>
                </c:pt>
                <c:pt idx="26">
                  <c:v>19.288130581861505</c:v>
                </c:pt>
                <c:pt idx="27">
                  <c:v>22.164438804506066</c:v>
                </c:pt>
                <c:pt idx="28">
                  <c:v>26.643011535749977</c:v>
                </c:pt>
                <c:pt idx="29">
                  <c:v>27.351986720303877</c:v>
                </c:pt>
                <c:pt idx="30">
                  <c:v>28.890374878884234</c:v>
                </c:pt>
                <c:pt idx="31">
                  <c:v>26.534463457540379</c:v>
                </c:pt>
                <c:pt idx="32">
                  <c:v>27.95538483355633</c:v>
                </c:pt>
                <c:pt idx="33">
                  <c:v>25.51305426128167</c:v>
                </c:pt>
                <c:pt idx="34">
                  <c:v>28.328160587214857</c:v>
                </c:pt>
                <c:pt idx="35">
                  <c:v>25.682581744191552</c:v>
                </c:pt>
                <c:pt idx="36">
                  <c:v>27.277013223177605</c:v>
                </c:pt>
                <c:pt idx="37">
                  <c:v>27.826285020119961</c:v>
                </c:pt>
                <c:pt idx="38">
                  <c:v>27.400775236119451</c:v>
                </c:pt>
                <c:pt idx="39">
                  <c:v>25.790826623611139</c:v>
                </c:pt>
                <c:pt idx="40">
                  <c:v>27.495817066369217</c:v>
                </c:pt>
              </c:numCache>
            </c:numRef>
          </c:val>
          <c:extLst>
            <c:ext xmlns:c16="http://schemas.microsoft.com/office/drawing/2014/chart" uri="{C3380CC4-5D6E-409C-BE32-E72D297353CC}">
              <c16:uniqueId val="{00000001-F75E-44F5-9739-8DF323E1EFBA}"/>
            </c:ext>
          </c:extLst>
        </c:ser>
        <c:dLbls>
          <c:showLegendKey val="0"/>
          <c:showVal val="0"/>
          <c:showCatName val="0"/>
          <c:showSerName val="0"/>
          <c:showPercent val="0"/>
          <c:showBubbleSize val="0"/>
        </c:dLbls>
        <c:gapWidth val="150"/>
        <c:shape val="box"/>
        <c:axId val="319789184"/>
        <c:axId val="319788768"/>
        <c:axId val="0"/>
      </c:bar3DChart>
      <c:catAx>
        <c:axId val="319789184"/>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319788768"/>
        <c:crosses val="autoZero"/>
        <c:auto val="1"/>
        <c:lblAlgn val="ctr"/>
        <c:lblOffset val="100"/>
        <c:noMultiLvlLbl val="0"/>
      </c:catAx>
      <c:valAx>
        <c:axId val="319788768"/>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a:t>Percenatge</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319789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E34143-12E8-4D45-8175-667AE976C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1695</Words>
  <Characters>9663</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2</cp:revision>
  <dcterms:created xsi:type="dcterms:W3CDTF">2023-08-29T11:46:00Z</dcterms:created>
  <dcterms:modified xsi:type="dcterms:W3CDTF">2023-08-29T11:46:00Z</dcterms:modified>
</cp:coreProperties>
</file>